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A5D" w:rsidRPr="00862636" w:rsidRDefault="008A5A5D" w:rsidP="006D141C">
      <w:pPr>
        <w:autoSpaceDE w:val="0"/>
        <w:autoSpaceDN w:val="0"/>
        <w:adjustRightInd w:val="0"/>
        <w:spacing w:line="360" w:lineRule="auto"/>
        <w:jc w:val="left"/>
        <w:rPr>
          <w:rFonts w:eastAsiaTheme="minorEastAsia"/>
          <w:color w:val="000000"/>
          <w:kern w:val="0"/>
          <w:szCs w:val="21"/>
        </w:rPr>
      </w:pPr>
      <w:bookmarkStart w:id="0" w:name="_GoBack"/>
    </w:p>
    <w:p w:rsidR="008A5A5D" w:rsidRPr="00862636" w:rsidRDefault="008A5A5D" w:rsidP="006D141C">
      <w:pPr>
        <w:autoSpaceDE w:val="0"/>
        <w:autoSpaceDN w:val="0"/>
        <w:adjustRightInd w:val="0"/>
        <w:spacing w:line="360" w:lineRule="auto"/>
        <w:jc w:val="left"/>
        <w:rPr>
          <w:rFonts w:eastAsiaTheme="minorEastAsia"/>
          <w:color w:val="000000"/>
          <w:kern w:val="0"/>
          <w:szCs w:val="21"/>
        </w:rPr>
      </w:pPr>
    </w:p>
    <w:p w:rsidR="006A28BF" w:rsidRPr="00862636" w:rsidRDefault="006A28BF" w:rsidP="006D141C">
      <w:pPr>
        <w:autoSpaceDE w:val="0"/>
        <w:autoSpaceDN w:val="0"/>
        <w:adjustRightInd w:val="0"/>
        <w:spacing w:line="360" w:lineRule="auto"/>
        <w:jc w:val="left"/>
        <w:rPr>
          <w:rFonts w:eastAsiaTheme="minorEastAsia"/>
          <w:color w:val="000000"/>
          <w:kern w:val="0"/>
          <w:szCs w:val="21"/>
        </w:rPr>
      </w:pPr>
    </w:p>
    <w:p w:rsidR="008A5A5D" w:rsidRPr="00862636" w:rsidRDefault="008A5A5D" w:rsidP="006D141C">
      <w:pPr>
        <w:autoSpaceDE w:val="0"/>
        <w:autoSpaceDN w:val="0"/>
        <w:adjustRightInd w:val="0"/>
        <w:spacing w:line="360" w:lineRule="auto"/>
        <w:jc w:val="left"/>
        <w:rPr>
          <w:rStyle w:val="af8"/>
          <w:rFonts w:eastAsiaTheme="minorEastAsia"/>
          <w:szCs w:val="21"/>
        </w:rPr>
      </w:pPr>
    </w:p>
    <w:p w:rsidR="008A5A5D" w:rsidRPr="00307E35" w:rsidRDefault="008A5A5D" w:rsidP="00F07EDE">
      <w:pPr>
        <w:spacing w:line="360" w:lineRule="auto"/>
        <w:jc w:val="center"/>
        <w:rPr>
          <w:b/>
          <w:sz w:val="44"/>
          <w:szCs w:val="44"/>
        </w:rPr>
      </w:pPr>
      <w:bookmarkStart w:id="1" w:name="_Toc352254876"/>
      <w:bookmarkStart w:id="2" w:name="_Toc352255956"/>
      <w:bookmarkStart w:id="3" w:name="_Toc352256024"/>
      <w:bookmarkStart w:id="4" w:name="_Toc352256201"/>
      <w:bookmarkStart w:id="5" w:name="_Toc352331202"/>
      <w:r w:rsidRPr="00307E35">
        <w:rPr>
          <w:b/>
          <w:sz w:val="44"/>
          <w:szCs w:val="44"/>
        </w:rPr>
        <w:t>易方达黄金主题证券投资基金（</w:t>
      </w:r>
      <w:r w:rsidRPr="00307E35">
        <w:rPr>
          <w:b/>
          <w:sz w:val="44"/>
          <w:szCs w:val="44"/>
        </w:rPr>
        <w:t>LOF</w:t>
      </w:r>
      <w:r w:rsidRPr="00307E35">
        <w:rPr>
          <w:b/>
          <w:sz w:val="44"/>
          <w:szCs w:val="44"/>
        </w:rPr>
        <w:t>）</w:t>
      </w:r>
      <w:bookmarkEnd w:id="1"/>
      <w:bookmarkEnd w:id="2"/>
      <w:bookmarkEnd w:id="3"/>
      <w:bookmarkEnd w:id="4"/>
      <w:bookmarkEnd w:id="5"/>
    </w:p>
    <w:p w:rsidR="008A5A5D" w:rsidRPr="00307E35" w:rsidRDefault="008A5A5D" w:rsidP="00F07EDE">
      <w:pPr>
        <w:spacing w:line="360" w:lineRule="auto"/>
        <w:jc w:val="center"/>
        <w:rPr>
          <w:b/>
          <w:sz w:val="44"/>
          <w:szCs w:val="44"/>
        </w:rPr>
      </w:pPr>
      <w:bookmarkStart w:id="6" w:name="_Toc352254877"/>
      <w:bookmarkStart w:id="7" w:name="_Toc352255957"/>
      <w:bookmarkStart w:id="8" w:name="_Toc352256025"/>
      <w:bookmarkStart w:id="9" w:name="_Toc352256202"/>
      <w:bookmarkStart w:id="10" w:name="_Toc352331203"/>
      <w:r w:rsidRPr="00307E35">
        <w:rPr>
          <w:b/>
          <w:sz w:val="44"/>
          <w:szCs w:val="44"/>
        </w:rPr>
        <w:t>2020</w:t>
      </w:r>
      <w:r w:rsidRPr="00307E35">
        <w:rPr>
          <w:b/>
          <w:sz w:val="44"/>
          <w:szCs w:val="44"/>
        </w:rPr>
        <w:t>年中期报告</w:t>
      </w:r>
      <w:bookmarkEnd w:id="6"/>
      <w:bookmarkEnd w:id="7"/>
      <w:bookmarkEnd w:id="8"/>
      <w:bookmarkEnd w:id="9"/>
      <w:bookmarkEnd w:id="10"/>
    </w:p>
    <w:p w:rsidR="008A5A5D" w:rsidRPr="00307E35" w:rsidRDefault="00146FBA" w:rsidP="00F07EDE">
      <w:pPr>
        <w:spacing w:line="360" w:lineRule="auto"/>
        <w:jc w:val="center"/>
        <w:rPr>
          <w:b/>
          <w:sz w:val="44"/>
          <w:szCs w:val="44"/>
        </w:rPr>
      </w:pPr>
      <w:r w:rsidRPr="00307E35">
        <w:rPr>
          <w:b/>
          <w:sz w:val="44"/>
          <w:szCs w:val="44"/>
        </w:rPr>
        <w:t>2020</w:t>
      </w:r>
      <w:r w:rsidRPr="00307E35">
        <w:rPr>
          <w:b/>
          <w:sz w:val="44"/>
          <w:szCs w:val="44"/>
        </w:rPr>
        <w:t>年</w:t>
      </w:r>
      <w:r w:rsidRPr="00307E35">
        <w:rPr>
          <w:b/>
          <w:sz w:val="44"/>
          <w:szCs w:val="44"/>
        </w:rPr>
        <w:t>6</w:t>
      </w:r>
      <w:r w:rsidRPr="00307E35">
        <w:rPr>
          <w:b/>
          <w:sz w:val="44"/>
          <w:szCs w:val="44"/>
        </w:rPr>
        <w:t>月</w:t>
      </w:r>
      <w:r w:rsidRPr="00307E35">
        <w:rPr>
          <w:b/>
          <w:sz w:val="44"/>
          <w:szCs w:val="44"/>
        </w:rPr>
        <w:t>30</w:t>
      </w:r>
      <w:r w:rsidRPr="00307E35">
        <w:rPr>
          <w:b/>
          <w:sz w:val="44"/>
          <w:szCs w:val="44"/>
        </w:rPr>
        <w:t>日</w:t>
      </w:r>
    </w:p>
    <w:p w:rsidR="008A5A5D" w:rsidRPr="008134C7" w:rsidRDefault="008A5A5D" w:rsidP="006D141C">
      <w:pPr>
        <w:spacing w:line="360" w:lineRule="auto"/>
        <w:jc w:val="center"/>
        <w:rPr>
          <w:rStyle w:val="af8"/>
          <w:rFonts w:eastAsiaTheme="minorEastAsia"/>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rPr>
          <w:rFonts w:eastAsiaTheme="minorEastAsia"/>
          <w:b/>
          <w:color w:val="000000"/>
          <w:sz w:val="24"/>
        </w:rPr>
      </w:pPr>
    </w:p>
    <w:p w:rsidR="008A5A5D" w:rsidRPr="008134C7"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基金管理人：易方达基金管理有限公司</w:t>
      </w:r>
    </w:p>
    <w:p w:rsidR="008A5A5D" w:rsidRPr="008134C7"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基金托管人：中国农业银行股份有限公司</w:t>
      </w:r>
    </w:p>
    <w:p w:rsidR="008A5A5D" w:rsidRPr="00862636"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送出日期：二〇二〇年八月二十八日</w:t>
      </w:r>
    </w:p>
    <w:p w:rsidR="008A5A5D" w:rsidRPr="00862636" w:rsidRDefault="008A5A5D" w:rsidP="00F07EDE">
      <w:pPr>
        <w:spacing w:line="288" w:lineRule="auto"/>
        <w:ind w:firstLineChars="900" w:firstLine="1897"/>
        <w:rPr>
          <w:rFonts w:eastAsiaTheme="minorEastAsia"/>
          <w:b/>
          <w:color w:val="000000"/>
          <w:szCs w:val="21"/>
        </w:rPr>
        <w:sectPr w:rsidR="008A5A5D" w:rsidRPr="00862636">
          <w:headerReference w:type="default" r:id="rId8"/>
          <w:footerReference w:type="default" r:id="rId9"/>
          <w:pgSz w:w="11926" w:h="15840"/>
          <w:pgMar w:top="1418" w:right="1418" w:bottom="851" w:left="1418" w:header="851" w:footer="992" w:gutter="0"/>
          <w:cols w:space="720"/>
        </w:sectPr>
      </w:pPr>
    </w:p>
    <w:p w:rsidR="00937FC6" w:rsidRPr="00A432E9" w:rsidRDefault="00937FC6"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1" w:name="_Toc225498243"/>
      <w:bookmarkStart w:id="12" w:name="_Toc352255958"/>
      <w:bookmarkStart w:id="13" w:name="_Toc352256026"/>
      <w:bookmarkStart w:id="14" w:name="_Toc352331204"/>
      <w:bookmarkStart w:id="15" w:name="_Toc48663395"/>
      <w:r w:rsidRPr="000C6CCD">
        <w:rPr>
          <w:rFonts w:ascii="宋体" w:hAnsi="宋体"/>
          <w:bCs w:val="0"/>
          <w:color w:val="000000"/>
          <w:sz w:val="21"/>
          <w:szCs w:val="21"/>
        </w:rPr>
        <w:lastRenderedPageBreak/>
        <w:t>1</w:t>
      </w:r>
      <w:r w:rsidR="000C6CCD">
        <w:rPr>
          <w:rFonts w:ascii="Times New Roman" w:hAnsi="Times New Roman"/>
          <w:bCs w:val="0"/>
          <w:color w:val="000000"/>
          <w:sz w:val="21"/>
          <w:szCs w:val="21"/>
        </w:rPr>
        <w:t xml:space="preserve">    </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重要提示及目录</w:t>
      </w:r>
      <w:bookmarkEnd w:id="11"/>
      <w:bookmarkEnd w:id="12"/>
      <w:bookmarkEnd w:id="13"/>
      <w:bookmarkEnd w:id="14"/>
      <w:bookmarkEnd w:id="15"/>
    </w:p>
    <w:p w:rsidR="00C24ACA" w:rsidRPr="00A432E9" w:rsidRDefault="00C24ACA" w:rsidP="00732F5C">
      <w:pPr>
        <w:pStyle w:val="20"/>
        <w:spacing w:beforeLines="100" w:before="312" w:after="0"/>
        <w:rPr>
          <w:rFonts w:ascii="Times New Roman" w:eastAsiaTheme="minorEastAsia" w:hAnsi="Times New Roman"/>
          <w:kern w:val="0"/>
          <w:sz w:val="21"/>
          <w:szCs w:val="21"/>
        </w:rPr>
      </w:pPr>
      <w:bookmarkStart w:id="16" w:name="_Toc352255959"/>
      <w:bookmarkStart w:id="17" w:name="_Toc352256027"/>
      <w:bookmarkStart w:id="18" w:name="_Toc352331205"/>
      <w:bookmarkStart w:id="19" w:name="_Toc48663396"/>
      <w:r w:rsidRPr="0087359D">
        <w:rPr>
          <w:rFonts w:ascii="宋体" w:hAnsi="宋体"/>
          <w:kern w:val="0"/>
          <w:sz w:val="21"/>
          <w:szCs w:val="21"/>
        </w:rPr>
        <w:t>1.1</w:t>
      </w:r>
      <w:r w:rsidR="009A2157" w:rsidRPr="009A2157">
        <w:rPr>
          <w:rFonts w:ascii="Times New Roman" w:eastAsiaTheme="minorEastAsia" w:hAnsi="Times New Roman"/>
          <w:kern w:val="0"/>
          <w:sz w:val="21"/>
          <w:szCs w:val="21"/>
        </w:rPr>
        <w:t xml:space="preserve">   </w:t>
      </w:r>
      <w:r w:rsidRPr="00A432E9">
        <w:rPr>
          <w:rFonts w:ascii="Times New Roman" w:eastAsiaTheme="minorEastAsia" w:hAnsi="Times New Roman" w:hint="eastAsia"/>
          <w:kern w:val="0"/>
          <w:sz w:val="21"/>
          <w:szCs w:val="21"/>
        </w:rPr>
        <w:t>重要提示</w:t>
      </w:r>
      <w:bookmarkEnd w:id="16"/>
      <w:bookmarkEnd w:id="17"/>
      <w:bookmarkEnd w:id="18"/>
      <w:bookmarkEnd w:id="19"/>
    </w:p>
    <w:p w:rsidR="00854133" w:rsidRDefault="00581AA4">
      <w:pPr>
        <w:spacing w:line="360" w:lineRule="auto"/>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854133" w:rsidRDefault="00581AA4">
      <w:pPr>
        <w:spacing w:line="360" w:lineRule="auto"/>
        <w:ind w:firstLineChars="200" w:firstLine="420"/>
        <w:rPr>
          <w:szCs w:val="21"/>
        </w:rPr>
      </w:pPr>
      <w:r>
        <w:rPr>
          <w:color w:val="000000"/>
          <w:szCs w:val="21"/>
        </w:rPr>
        <w:t>基金托管人中国农业银行股份有限公司根据本基金合同规定，于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854133" w:rsidRDefault="00581AA4">
      <w:pPr>
        <w:spacing w:line="360" w:lineRule="auto"/>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854133" w:rsidRDefault="00581AA4">
      <w:pPr>
        <w:spacing w:line="360" w:lineRule="auto"/>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854133" w:rsidRDefault="00581AA4">
      <w:pPr>
        <w:spacing w:line="360" w:lineRule="auto"/>
        <w:ind w:firstLineChars="200" w:firstLine="420"/>
        <w:rPr>
          <w:szCs w:val="21"/>
        </w:rPr>
      </w:pPr>
      <w:r>
        <w:rPr>
          <w:color w:val="000000"/>
          <w:szCs w:val="21"/>
        </w:rPr>
        <w:t>本报告中财务资料未经审计。</w:t>
      </w:r>
      <w:r>
        <w:rPr>
          <w:color w:val="000000"/>
          <w:szCs w:val="21"/>
        </w:rPr>
        <w:t xml:space="preserve"> </w:t>
      </w:r>
    </w:p>
    <w:p w:rsidR="00C24ACA" w:rsidRPr="00C24ACA" w:rsidRDefault="00C24ACA" w:rsidP="001412CA">
      <w:pPr>
        <w:spacing w:line="360" w:lineRule="auto"/>
        <w:ind w:firstLineChars="200" w:firstLine="420"/>
        <w:rPr>
          <w:szCs w:val="21"/>
        </w:rPr>
      </w:pPr>
      <w:r w:rsidRPr="00C24ACA">
        <w:rPr>
          <w:color w:val="000000"/>
          <w:szCs w:val="21"/>
        </w:rPr>
        <w:t>本报告期自</w:t>
      </w:r>
      <w:r w:rsidRPr="00C24ACA">
        <w:rPr>
          <w:color w:val="000000"/>
          <w:szCs w:val="21"/>
        </w:rPr>
        <w:t>2020</w:t>
      </w:r>
      <w:r w:rsidRPr="00C24ACA">
        <w:rPr>
          <w:color w:val="000000"/>
          <w:szCs w:val="21"/>
        </w:rPr>
        <w:t>年</w:t>
      </w:r>
      <w:r w:rsidRPr="00C24ACA">
        <w:rPr>
          <w:color w:val="000000"/>
          <w:szCs w:val="21"/>
        </w:rPr>
        <w:t>1</w:t>
      </w:r>
      <w:r w:rsidRPr="00C24ACA">
        <w:rPr>
          <w:color w:val="000000"/>
          <w:szCs w:val="21"/>
        </w:rPr>
        <w:t>月</w:t>
      </w:r>
      <w:r w:rsidRPr="00C24ACA">
        <w:rPr>
          <w:color w:val="000000"/>
          <w:szCs w:val="21"/>
        </w:rPr>
        <w:t>1</w:t>
      </w:r>
      <w:r w:rsidRPr="00C24ACA">
        <w:rPr>
          <w:color w:val="000000"/>
          <w:szCs w:val="21"/>
        </w:rPr>
        <w:t>日起至</w:t>
      </w:r>
      <w:r w:rsidRPr="00C24ACA">
        <w:rPr>
          <w:color w:val="000000"/>
          <w:szCs w:val="21"/>
        </w:rPr>
        <w:t>6</w:t>
      </w:r>
      <w:r w:rsidRPr="00C24ACA">
        <w:rPr>
          <w:color w:val="000000"/>
          <w:szCs w:val="21"/>
        </w:rPr>
        <w:t>月</w:t>
      </w:r>
      <w:r w:rsidRPr="00C24ACA">
        <w:rPr>
          <w:color w:val="000000"/>
          <w:szCs w:val="21"/>
        </w:rPr>
        <w:t>30</w:t>
      </w:r>
      <w:r w:rsidRPr="00C24ACA">
        <w:rPr>
          <w:color w:val="000000"/>
          <w:szCs w:val="21"/>
        </w:rPr>
        <w:t>日止。</w:t>
      </w:r>
    </w:p>
    <w:p w:rsidR="00937FC6" w:rsidRPr="00C24ACA" w:rsidRDefault="00871A0D" w:rsidP="00732F5C">
      <w:pPr>
        <w:pStyle w:val="20"/>
        <w:spacing w:beforeLines="100" w:before="312" w:after="0"/>
        <w:rPr>
          <w:rFonts w:eastAsiaTheme="minorEastAsia"/>
          <w:b w:val="0"/>
          <w:szCs w:val="21"/>
        </w:rPr>
      </w:pPr>
      <w:r w:rsidRPr="00C24ACA">
        <w:rPr>
          <w:rFonts w:eastAsiaTheme="minorEastAsia"/>
          <w:szCs w:val="21"/>
        </w:rPr>
        <w:br w:type="page"/>
      </w:r>
      <w:bookmarkStart w:id="20" w:name="_Toc48663397"/>
      <w:r w:rsidR="00937FC6" w:rsidRPr="00E141AF">
        <w:rPr>
          <w:rFonts w:ascii="宋体" w:hAnsi="宋体"/>
          <w:kern w:val="0"/>
          <w:sz w:val="21"/>
          <w:szCs w:val="21"/>
        </w:rPr>
        <w:lastRenderedPageBreak/>
        <w:t>1.2</w:t>
      </w:r>
      <w:r w:rsidR="00257CCE" w:rsidRPr="00257CCE">
        <w:rPr>
          <w:rFonts w:ascii="宋体" w:hAnsi="宋体"/>
          <w:kern w:val="0"/>
          <w:sz w:val="21"/>
          <w:szCs w:val="21"/>
        </w:rPr>
        <w:t xml:space="preserve">   </w:t>
      </w:r>
      <w:r w:rsidR="00937FC6" w:rsidRPr="00E141AF">
        <w:rPr>
          <w:rFonts w:ascii="宋体" w:hAnsi="宋体"/>
          <w:kern w:val="0"/>
          <w:sz w:val="21"/>
          <w:szCs w:val="21"/>
        </w:rPr>
        <w:t>目录</w:t>
      </w:r>
      <w:bookmarkEnd w:id="20"/>
    </w:p>
    <w:p w:rsidR="00D64F49" w:rsidRDefault="00955B17">
      <w:pPr>
        <w:pStyle w:val="22"/>
        <w:ind w:left="420"/>
        <w:rPr>
          <w:rFonts w:asciiTheme="minorHAnsi" w:eastAsiaTheme="minorEastAsia" w:hAnsiTheme="minorHAnsi" w:cstheme="minorBidi"/>
          <w:noProof/>
          <w:kern w:val="2"/>
          <w:szCs w:val="22"/>
        </w:rPr>
      </w:pPr>
      <w:r w:rsidRPr="006F3222">
        <w:rPr>
          <w:rFonts w:eastAsiaTheme="minorEastAsia"/>
        </w:rPr>
        <w:fldChar w:fldCharType="begin"/>
      </w:r>
      <w:r w:rsidR="00937FC6" w:rsidRPr="006F3222">
        <w:rPr>
          <w:rFonts w:eastAsiaTheme="minorEastAsia"/>
        </w:rPr>
        <w:instrText xml:space="preserve"> TOC \o "1-3" \h \z \u </w:instrText>
      </w:r>
      <w:r w:rsidRPr="006F3222">
        <w:rPr>
          <w:rFonts w:eastAsiaTheme="minorEastAsia"/>
        </w:rPr>
        <w:fldChar w:fldCharType="separate"/>
      </w:r>
      <w:hyperlink w:anchor="_Toc48663395" w:history="1">
        <w:r w:rsidR="00D64F49" w:rsidRPr="00777301">
          <w:rPr>
            <w:rStyle w:val="a9"/>
            <w:rFonts w:ascii="宋体" w:hAnsi="宋体"/>
            <w:noProof/>
          </w:rPr>
          <w:t>1</w:t>
        </w:r>
        <w:r w:rsidR="00D64F49" w:rsidRPr="00777301">
          <w:rPr>
            <w:rStyle w:val="a9"/>
            <w:noProof/>
          </w:rPr>
          <w:t xml:space="preserve">     </w:t>
        </w:r>
        <w:r w:rsidR="00D64F49" w:rsidRPr="00777301">
          <w:rPr>
            <w:rStyle w:val="a9"/>
            <w:rFonts w:hint="eastAsia"/>
            <w:noProof/>
          </w:rPr>
          <w:t>重要提示及目录</w:t>
        </w:r>
        <w:r w:rsidR="00D64F49">
          <w:rPr>
            <w:noProof/>
            <w:webHidden/>
          </w:rPr>
          <w:tab/>
        </w:r>
        <w:r w:rsidR="00D64F49">
          <w:rPr>
            <w:noProof/>
            <w:webHidden/>
          </w:rPr>
          <w:fldChar w:fldCharType="begin"/>
        </w:r>
        <w:r w:rsidR="00D64F49">
          <w:rPr>
            <w:noProof/>
            <w:webHidden/>
          </w:rPr>
          <w:instrText xml:space="preserve"> PAGEREF _Toc48663395 \h </w:instrText>
        </w:r>
        <w:r w:rsidR="00D64F49">
          <w:rPr>
            <w:noProof/>
            <w:webHidden/>
          </w:rPr>
        </w:r>
        <w:r w:rsidR="00D64F49">
          <w:rPr>
            <w:noProof/>
            <w:webHidden/>
          </w:rPr>
          <w:fldChar w:fldCharType="separate"/>
        </w:r>
        <w:r w:rsidR="00D64F49">
          <w:rPr>
            <w:noProof/>
            <w:webHidden/>
          </w:rPr>
          <w:t>2</w:t>
        </w:r>
        <w:r w:rsidR="00D64F49">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396" w:history="1">
        <w:r w:rsidRPr="00777301">
          <w:rPr>
            <w:rStyle w:val="a9"/>
            <w:rFonts w:ascii="宋体" w:hAnsi="宋体"/>
            <w:noProof/>
          </w:rPr>
          <w:t>1.1</w:t>
        </w:r>
        <w:r w:rsidRPr="00777301">
          <w:rPr>
            <w:rStyle w:val="a9"/>
            <w:noProof/>
          </w:rPr>
          <w:t xml:space="preserve">   </w:t>
        </w:r>
        <w:r w:rsidRPr="00777301">
          <w:rPr>
            <w:rStyle w:val="a9"/>
            <w:rFonts w:hint="eastAsia"/>
            <w:noProof/>
          </w:rPr>
          <w:t>重要提示</w:t>
        </w:r>
        <w:r>
          <w:rPr>
            <w:noProof/>
            <w:webHidden/>
          </w:rPr>
          <w:tab/>
        </w:r>
        <w:r>
          <w:rPr>
            <w:noProof/>
            <w:webHidden/>
          </w:rPr>
          <w:fldChar w:fldCharType="begin"/>
        </w:r>
        <w:r>
          <w:rPr>
            <w:noProof/>
            <w:webHidden/>
          </w:rPr>
          <w:instrText xml:space="preserve"> PAGEREF _Toc48663396 \h </w:instrText>
        </w:r>
        <w:r>
          <w:rPr>
            <w:noProof/>
            <w:webHidden/>
          </w:rPr>
        </w:r>
        <w:r>
          <w:rPr>
            <w:noProof/>
            <w:webHidden/>
          </w:rPr>
          <w:fldChar w:fldCharType="separate"/>
        </w:r>
        <w:r>
          <w:rPr>
            <w:noProof/>
            <w:webHidden/>
          </w:rPr>
          <w:t>2</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397" w:history="1">
        <w:r w:rsidRPr="00777301">
          <w:rPr>
            <w:rStyle w:val="a9"/>
            <w:rFonts w:ascii="宋体" w:hAnsi="宋体"/>
            <w:noProof/>
          </w:rPr>
          <w:t xml:space="preserve">1.2   </w:t>
        </w:r>
        <w:r w:rsidRPr="00777301">
          <w:rPr>
            <w:rStyle w:val="a9"/>
            <w:rFonts w:ascii="宋体" w:hAnsi="宋体" w:hint="eastAsia"/>
            <w:noProof/>
          </w:rPr>
          <w:t>目录</w:t>
        </w:r>
        <w:r>
          <w:rPr>
            <w:noProof/>
            <w:webHidden/>
          </w:rPr>
          <w:tab/>
        </w:r>
        <w:r>
          <w:rPr>
            <w:noProof/>
            <w:webHidden/>
          </w:rPr>
          <w:fldChar w:fldCharType="begin"/>
        </w:r>
        <w:r>
          <w:rPr>
            <w:noProof/>
            <w:webHidden/>
          </w:rPr>
          <w:instrText xml:space="preserve"> PAGEREF _Toc48663397 \h </w:instrText>
        </w:r>
        <w:r>
          <w:rPr>
            <w:noProof/>
            <w:webHidden/>
          </w:rPr>
        </w:r>
        <w:r>
          <w:rPr>
            <w:noProof/>
            <w:webHidden/>
          </w:rPr>
          <w:fldChar w:fldCharType="separate"/>
        </w:r>
        <w:r>
          <w:rPr>
            <w:noProof/>
            <w:webHidden/>
          </w:rPr>
          <w:t>3</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398" w:history="1">
        <w:r w:rsidRPr="00777301">
          <w:rPr>
            <w:rStyle w:val="a9"/>
            <w:rFonts w:ascii="宋体" w:hAnsi="宋体"/>
            <w:noProof/>
          </w:rPr>
          <w:t>2</w:t>
        </w:r>
        <w:r w:rsidRPr="00777301">
          <w:rPr>
            <w:rStyle w:val="a9"/>
            <w:noProof/>
          </w:rPr>
          <w:t xml:space="preserve">     </w:t>
        </w:r>
        <w:r w:rsidRPr="00777301">
          <w:rPr>
            <w:rStyle w:val="a9"/>
            <w:rFonts w:hint="eastAsia"/>
            <w:noProof/>
          </w:rPr>
          <w:t>基金简介</w:t>
        </w:r>
        <w:r>
          <w:rPr>
            <w:noProof/>
            <w:webHidden/>
          </w:rPr>
          <w:tab/>
        </w:r>
        <w:r>
          <w:rPr>
            <w:noProof/>
            <w:webHidden/>
          </w:rPr>
          <w:fldChar w:fldCharType="begin"/>
        </w:r>
        <w:r>
          <w:rPr>
            <w:noProof/>
            <w:webHidden/>
          </w:rPr>
          <w:instrText xml:space="preserve"> PAGEREF _Toc48663398 \h </w:instrText>
        </w:r>
        <w:r>
          <w:rPr>
            <w:noProof/>
            <w:webHidden/>
          </w:rPr>
        </w:r>
        <w:r>
          <w:rPr>
            <w:noProof/>
            <w:webHidden/>
          </w:rPr>
          <w:fldChar w:fldCharType="separate"/>
        </w:r>
        <w:r>
          <w:rPr>
            <w:noProof/>
            <w:webHidden/>
          </w:rPr>
          <w:t>5</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399" w:history="1">
        <w:r w:rsidRPr="00777301">
          <w:rPr>
            <w:rStyle w:val="a9"/>
            <w:rFonts w:ascii="宋体" w:hAnsi="宋体"/>
            <w:noProof/>
          </w:rPr>
          <w:t>2.1</w:t>
        </w:r>
        <w:r w:rsidRPr="00777301">
          <w:rPr>
            <w:rStyle w:val="a9"/>
            <w:noProof/>
          </w:rPr>
          <w:t xml:space="preserve">   </w:t>
        </w:r>
        <w:r w:rsidRPr="00777301">
          <w:rPr>
            <w:rStyle w:val="a9"/>
            <w:rFonts w:hint="eastAsia"/>
            <w:noProof/>
          </w:rPr>
          <w:t>基金基本情况</w:t>
        </w:r>
        <w:r>
          <w:rPr>
            <w:noProof/>
            <w:webHidden/>
          </w:rPr>
          <w:tab/>
        </w:r>
        <w:r>
          <w:rPr>
            <w:noProof/>
            <w:webHidden/>
          </w:rPr>
          <w:fldChar w:fldCharType="begin"/>
        </w:r>
        <w:r>
          <w:rPr>
            <w:noProof/>
            <w:webHidden/>
          </w:rPr>
          <w:instrText xml:space="preserve"> PAGEREF _Toc48663399 \h </w:instrText>
        </w:r>
        <w:r>
          <w:rPr>
            <w:noProof/>
            <w:webHidden/>
          </w:rPr>
        </w:r>
        <w:r>
          <w:rPr>
            <w:noProof/>
            <w:webHidden/>
          </w:rPr>
          <w:fldChar w:fldCharType="separate"/>
        </w:r>
        <w:r>
          <w:rPr>
            <w:noProof/>
            <w:webHidden/>
          </w:rPr>
          <w:t>5</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00" w:history="1">
        <w:r w:rsidRPr="00777301">
          <w:rPr>
            <w:rStyle w:val="a9"/>
            <w:rFonts w:ascii="宋体" w:hAnsi="宋体"/>
            <w:noProof/>
          </w:rPr>
          <w:t>2.2</w:t>
        </w:r>
        <w:r w:rsidRPr="00777301">
          <w:rPr>
            <w:rStyle w:val="a9"/>
            <w:noProof/>
          </w:rPr>
          <w:t xml:space="preserve">   </w:t>
        </w:r>
        <w:r w:rsidRPr="00777301">
          <w:rPr>
            <w:rStyle w:val="a9"/>
            <w:rFonts w:hint="eastAsia"/>
            <w:noProof/>
          </w:rPr>
          <w:t>基金产品说明</w:t>
        </w:r>
        <w:r>
          <w:rPr>
            <w:noProof/>
            <w:webHidden/>
          </w:rPr>
          <w:tab/>
        </w:r>
        <w:r>
          <w:rPr>
            <w:noProof/>
            <w:webHidden/>
          </w:rPr>
          <w:fldChar w:fldCharType="begin"/>
        </w:r>
        <w:r>
          <w:rPr>
            <w:noProof/>
            <w:webHidden/>
          </w:rPr>
          <w:instrText xml:space="preserve"> PAGEREF _Toc48663400 \h </w:instrText>
        </w:r>
        <w:r>
          <w:rPr>
            <w:noProof/>
            <w:webHidden/>
          </w:rPr>
        </w:r>
        <w:r>
          <w:rPr>
            <w:noProof/>
            <w:webHidden/>
          </w:rPr>
          <w:fldChar w:fldCharType="separate"/>
        </w:r>
        <w:r>
          <w:rPr>
            <w:noProof/>
            <w:webHidden/>
          </w:rPr>
          <w:t>5</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01" w:history="1">
        <w:r w:rsidRPr="00777301">
          <w:rPr>
            <w:rStyle w:val="a9"/>
            <w:rFonts w:ascii="宋体" w:hAnsi="宋体"/>
            <w:noProof/>
          </w:rPr>
          <w:t>2.3</w:t>
        </w:r>
        <w:r w:rsidRPr="00777301">
          <w:rPr>
            <w:rStyle w:val="a9"/>
            <w:noProof/>
          </w:rPr>
          <w:t xml:space="preserve">   </w:t>
        </w:r>
        <w:r w:rsidRPr="00777301">
          <w:rPr>
            <w:rStyle w:val="a9"/>
            <w:rFonts w:hint="eastAsia"/>
            <w:noProof/>
          </w:rPr>
          <w:t>基金管理人和基金托管人</w:t>
        </w:r>
        <w:r>
          <w:rPr>
            <w:noProof/>
            <w:webHidden/>
          </w:rPr>
          <w:tab/>
        </w:r>
        <w:r>
          <w:rPr>
            <w:noProof/>
            <w:webHidden/>
          </w:rPr>
          <w:fldChar w:fldCharType="begin"/>
        </w:r>
        <w:r>
          <w:rPr>
            <w:noProof/>
            <w:webHidden/>
          </w:rPr>
          <w:instrText xml:space="preserve"> PAGEREF _Toc48663401 \h </w:instrText>
        </w:r>
        <w:r>
          <w:rPr>
            <w:noProof/>
            <w:webHidden/>
          </w:rPr>
        </w:r>
        <w:r>
          <w:rPr>
            <w:noProof/>
            <w:webHidden/>
          </w:rPr>
          <w:fldChar w:fldCharType="separate"/>
        </w:r>
        <w:r>
          <w:rPr>
            <w:noProof/>
            <w:webHidden/>
          </w:rPr>
          <w:t>6</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02" w:history="1">
        <w:r w:rsidRPr="00777301">
          <w:rPr>
            <w:rStyle w:val="a9"/>
            <w:rFonts w:ascii="宋体" w:hAnsi="宋体"/>
            <w:noProof/>
          </w:rPr>
          <w:t>2.4</w:t>
        </w:r>
        <w:r w:rsidRPr="00777301">
          <w:rPr>
            <w:rStyle w:val="a9"/>
            <w:noProof/>
          </w:rPr>
          <w:t xml:space="preserve">   </w:t>
        </w:r>
        <w:r w:rsidRPr="00777301">
          <w:rPr>
            <w:rStyle w:val="a9"/>
            <w:rFonts w:hint="eastAsia"/>
            <w:noProof/>
          </w:rPr>
          <w:t>境外投资顾问和境外资产托管人</w:t>
        </w:r>
        <w:r>
          <w:rPr>
            <w:noProof/>
            <w:webHidden/>
          </w:rPr>
          <w:tab/>
        </w:r>
        <w:r>
          <w:rPr>
            <w:noProof/>
            <w:webHidden/>
          </w:rPr>
          <w:fldChar w:fldCharType="begin"/>
        </w:r>
        <w:r>
          <w:rPr>
            <w:noProof/>
            <w:webHidden/>
          </w:rPr>
          <w:instrText xml:space="preserve"> PAGEREF _Toc48663402 \h </w:instrText>
        </w:r>
        <w:r>
          <w:rPr>
            <w:noProof/>
            <w:webHidden/>
          </w:rPr>
        </w:r>
        <w:r>
          <w:rPr>
            <w:noProof/>
            <w:webHidden/>
          </w:rPr>
          <w:fldChar w:fldCharType="separate"/>
        </w:r>
        <w:r>
          <w:rPr>
            <w:noProof/>
            <w:webHidden/>
          </w:rPr>
          <w:t>7</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03" w:history="1">
        <w:r w:rsidRPr="00777301">
          <w:rPr>
            <w:rStyle w:val="a9"/>
            <w:rFonts w:ascii="宋体" w:hAnsi="宋体"/>
            <w:noProof/>
          </w:rPr>
          <w:t>2.5</w:t>
        </w:r>
        <w:r w:rsidRPr="00777301">
          <w:rPr>
            <w:rStyle w:val="a9"/>
            <w:noProof/>
          </w:rPr>
          <w:t xml:space="preserve">   </w:t>
        </w:r>
        <w:r w:rsidRPr="00777301">
          <w:rPr>
            <w:rStyle w:val="a9"/>
            <w:rFonts w:hint="eastAsia"/>
            <w:noProof/>
          </w:rPr>
          <w:t>信息披露方式</w:t>
        </w:r>
        <w:r>
          <w:rPr>
            <w:noProof/>
            <w:webHidden/>
          </w:rPr>
          <w:tab/>
        </w:r>
        <w:r>
          <w:rPr>
            <w:noProof/>
            <w:webHidden/>
          </w:rPr>
          <w:fldChar w:fldCharType="begin"/>
        </w:r>
        <w:r>
          <w:rPr>
            <w:noProof/>
            <w:webHidden/>
          </w:rPr>
          <w:instrText xml:space="preserve"> PAGEREF _Toc48663403 \h </w:instrText>
        </w:r>
        <w:r>
          <w:rPr>
            <w:noProof/>
            <w:webHidden/>
          </w:rPr>
        </w:r>
        <w:r>
          <w:rPr>
            <w:noProof/>
            <w:webHidden/>
          </w:rPr>
          <w:fldChar w:fldCharType="separate"/>
        </w:r>
        <w:r>
          <w:rPr>
            <w:noProof/>
            <w:webHidden/>
          </w:rPr>
          <w:t>7</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04" w:history="1">
        <w:r w:rsidRPr="00777301">
          <w:rPr>
            <w:rStyle w:val="a9"/>
            <w:rFonts w:ascii="宋体" w:hAnsi="宋体"/>
            <w:noProof/>
          </w:rPr>
          <w:t>2.6</w:t>
        </w:r>
        <w:r w:rsidRPr="00777301">
          <w:rPr>
            <w:rStyle w:val="a9"/>
            <w:noProof/>
          </w:rPr>
          <w:t xml:space="preserve">   </w:t>
        </w:r>
        <w:r w:rsidRPr="00777301">
          <w:rPr>
            <w:rStyle w:val="a9"/>
            <w:rFonts w:hint="eastAsia"/>
            <w:noProof/>
          </w:rPr>
          <w:t>其他相关资料</w:t>
        </w:r>
        <w:r>
          <w:rPr>
            <w:noProof/>
            <w:webHidden/>
          </w:rPr>
          <w:tab/>
        </w:r>
        <w:r>
          <w:rPr>
            <w:noProof/>
            <w:webHidden/>
          </w:rPr>
          <w:fldChar w:fldCharType="begin"/>
        </w:r>
        <w:r>
          <w:rPr>
            <w:noProof/>
            <w:webHidden/>
          </w:rPr>
          <w:instrText xml:space="preserve"> PAGEREF _Toc48663404 \h </w:instrText>
        </w:r>
        <w:r>
          <w:rPr>
            <w:noProof/>
            <w:webHidden/>
          </w:rPr>
        </w:r>
        <w:r>
          <w:rPr>
            <w:noProof/>
            <w:webHidden/>
          </w:rPr>
          <w:fldChar w:fldCharType="separate"/>
        </w:r>
        <w:r>
          <w:rPr>
            <w:noProof/>
            <w:webHidden/>
          </w:rPr>
          <w:t>7</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05" w:history="1">
        <w:r w:rsidRPr="00777301">
          <w:rPr>
            <w:rStyle w:val="a9"/>
            <w:rFonts w:ascii="宋体" w:hAnsi="宋体"/>
            <w:noProof/>
          </w:rPr>
          <w:t>3</w:t>
        </w:r>
        <w:r w:rsidRPr="00777301">
          <w:rPr>
            <w:rStyle w:val="a9"/>
            <w:noProof/>
          </w:rPr>
          <w:t xml:space="preserve">     </w:t>
        </w:r>
        <w:r w:rsidRPr="00777301">
          <w:rPr>
            <w:rStyle w:val="a9"/>
            <w:rFonts w:hint="eastAsia"/>
            <w:noProof/>
          </w:rPr>
          <w:t>主要财务指标和基金净值表现</w:t>
        </w:r>
        <w:r>
          <w:rPr>
            <w:noProof/>
            <w:webHidden/>
          </w:rPr>
          <w:tab/>
        </w:r>
        <w:r>
          <w:rPr>
            <w:noProof/>
            <w:webHidden/>
          </w:rPr>
          <w:fldChar w:fldCharType="begin"/>
        </w:r>
        <w:r>
          <w:rPr>
            <w:noProof/>
            <w:webHidden/>
          </w:rPr>
          <w:instrText xml:space="preserve"> PAGEREF _Toc48663405 \h </w:instrText>
        </w:r>
        <w:r>
          <w:rPr>
            <w:noProof/>
            <w:webHidden/>
          </w:rPr>
        </w:r>
        <w:r>
          <w:rPr>
            <w:noProof/>
            <w:webHidden/>
          </w:rPr>
          <w:fldChar w:fldCharType="separate"/>
        </w:r>
        <w:r>
          <w:rPr>
            <w:noProof/>
            <w:webHidden/>
          </w:rPr>
          <w:t>7</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06" w:history="1">
        <w:r w:rsidRPr="00777301">
          <w:rPr>
            <w:rStyle w:val="a9"/>
            <w:rFonts w:ascii="宋体" w:hAnsi="宋体"/>
            <w:noProof/>
          </w:rPr>
          <w:t>3.1</w:t>
        </w:r>
        <w:r w:rsidRPr="00777301">
          <w:rPr>
            <w:rStyle w:val="a9"/>
            <w:noProof/>
          </w:rPr>
          <w:t xml:space="preserve">   </w:t>
        </w:r>
        <w:r w:rsidRPr="00777301">
          <w:rPr>
            <w:rStyle w:val="a9"/>
            <w:rFonts w:hint="eastAsia"/>
            <w:noProof/>
          </w:rPr>
          <w:t>主要会计数据和财务指标</w:t>
        </w:r>
        <w:r>
          <w:rPr>
            <w:noProof/>
            <w:webHidden/>
          </w:rPr>
          <w:tab/>
        </w:r>
        <w:r>
          <w:rPr>
            <w:noProof/>
            <w:webHidden/>
          </w:rPr>
          <w:fldChar w:fldCharType="begin"/>
        </w:r>
        <w:r>
          <w:rPr>
            <w:noProof/>
            <w:webHidden/>
          </w:rPr>
          <w:instrText xml:space="preserve"> PAGEREF _Toc48663406 \h </w:instrText>
        </w:r>
        <w:r>
          <w:rPr>
            <w:noProof/>
            <w:webHidden/>
          </w:rPr>
        </w:r>
        <w:r>
          <w:rPr>
            <w:noProof/>
            <w:webHidden/>
          </w:rPr>
          <w:fldChar w:fldCharType="separate"/>
        </w:r>
        <w:r>
          <w:rPr>
            <w:noProof/>
            <w:webHidden/>
          </w:rPr>
          <w:t>7</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07" w:history="1">
        <w:r w:rsidRPr="00777301">
          <w:rPr>
            <w:rStyle w:val="a9"/>
            <w:rFonts w:ascii="宋体" w:hAnsi="宋体"/>
            <w:noProof/>
          </w:rPr>
          <w:t>3.2</w:t>
        </w:r>
        <w:r w:rsidRPr="00777301">
          <w:rPr>
            <w:rStyle w:val="a9"/>
            <w:noProof/>
          </w:rPr>
          <w:t xml:space="preserve">   </w:t>
        </w:r>
        <w:r w:rsidRPr="00777301">
          <w:rPr>
            <w:rStyle w:val="a9"/>
            <w:rFonts w:hint="eastAsia"/>
            <w:noProof/>
          </w:rPr>
          <w:t>基金净值表现</w:t>
        </w:r>
        <w:r>
          <w:rPr>
            <w:noProof/>
            <w:webHidden/>
          </w:rPr>
          <w:tab/>
        </w:r>
        <w:r>
          <w:rPr>
            <w:noProof/>
            <w:webHidden/>
          </w:rPr>
          <w:fldChar w:fldCharType="begin"/>
        </w:r>
        <w:r>
          <w:rPr>
            <w:noProof/>
            <w:webHidden/>
          </w:rPr>
          <w:instrText xml:space="preserve"> PAGEREF _Toc48663407 \h </w:instrText>
        </w:r>
        <w:r>
          <w:rPr>
            <w:noProof/>
            <w:webHidden/>
          </w:rPr>
        </w:r>
        <w:r>
          <w:rPr>
            <w:noProof/>
            <w:webHidden/>
          </w:rPr>
          <w:fldChar w:fldCharType="separate"/>
        </w:r>
        <w:r>
          <w:rPr>
            <w:noProof/>
            <w:webHidden/>
          </w:rPr>
          <w:t>8</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08" w:history="1">
        <w:r w:rsidRPr="00777301">
          <w:rPr>
            <w:rStyle w:val="a9"/>
            <w:rFonts w:ascii="宋体" w:hAnsi="宋体"/>
            <w:noProof/>
          </w:rPr>
          <w:t>4</w:t>
        </w:r>
        <w:r w:rsidRPr="00777301">
          <w:rPr>
            <w:rStyle w:val="a9"/>
            <w:noProof/>
          </w:rPr>
          <w:t xml:space="preserve">     </w:t>
        </w:r>
        <w:r w:rsidRPr="00777301">
          <w:rPr>
            <w:rStyle w:val="a9"/>
            <w:rFonts w:hint="eastAsia"/>
            <w:noProof/>
          </w:rPr>
          <w:t>管理人报告</w:t>
        </w:r>
        <w:r>
          <w:rPr>
            <w:noProof/>
            <w:webHidden/>
          </w:rPr>
          <w:tab/>
        </w:r>
        <w:r>
          <w:rPr>
            <w:noProof/>
            <w:webHidden/>
          </w:rPr>
          <w:fldChar w:fldCharType="begin"/>
        </w:r>
        <w:r>
          <w:rPr>
            <w:noProof/>
            <w:webHidden/>
          </w:rPr>
          <w:instrText xml:space="preserve"> PAGEREF _Toc48663408 \h </w:instrText>
        </w:r>
        <w:r>
          <w:rPr>
            <w:noProof/>
            <w:webHidden/>
          </w:rPr>
        </w:r>
        <w:r>
          <w:rPr>
            <w:noProof/>
            <w:webHidden/>
          </w:rPr>
          <w:fldChar w:fldCharType="separate"/>
        </w:r>
        <w:r>
          <w:rPr>
            <w:noProof/>
            <w:webHidden/>
          </w:rPr>
          <w:t>11</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09" w:history="1">
        <w:r w:rsidRPr="00777301">
          <w:rPr>
            <w:rStyle w:val="a9"/>
            <w:rFonts w:ascii="宋体" w:hAnsi="宋体"/>
            <w:noProof/>
          </w:rPr>
          <w:t>4.1</w:t>
        </w:r>
        <w:r w:rsidRPr="00777301">
          <w:rPr>
            <w:rStyle w:val="a9"/>
            <w:noProof/>
          </w:rPr>
          <w:t xml:space="preserve">   </w:t>
        </w:r>
        <w:r w:rsidRPr="00777301">
          <w:rPr>
            <w:rStyle w:val="a9"/>
            <w:rFonts w:hint="eastAsia"/>
            <w:noProof/>
          </w:rPr>
          <w:t>基金管理人及基金经理情况</w:t>
        </w:r>
        <w:r>
          <w:rPr>
            <w:noProof/>
            <w:webHidden/>
          </w:rPr>
          <w:tab/>
        </w:r>
        <w:r>
          <w:rPr>
            <w:noProof/>
            <w:webHidden/>
          </w:rPr>
          <w:fldChar w:fldCharType="begin"/>
        </w:r>
        <w:r>
          <w:rPr>
            <w:noProof/>
            <w:webHidden/>
          </w:rPr>
          <w:instrText xml:space="preserve"> PAGEREF _Toc48663409 \h </w:instrText>
        </w:r>
        <w:r>
          <w:rPr>
            <w:noProof/>
            <w:webHidden/>
          </w:rPr>
        </w:r>
        <w:r>
          <w:rPr>
            <w:noProof/>
            <w:webHidden/>
          </w:rPr>
          <w:fldChar w:fldCharType="separate"/>
        </w:r>
        <w:r>
          <w:rPr>
            <w:noProof/>
            <w:webHidden/>
          </w:rPr>
          <w:t>11</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10" w:history="1">
        <w:r w:rsidRPr="00777301">
          <w:rPr>
            <w:rStyle w:val="a9"/>
            <w:rFonts w:ascii="宋体" w:hAnsi="宋体"/>
            <w:noProof/>
          </w:rPr>
          <w:t>4.2</w:t>
        </w:r>
        <w:r w:rsidRPr="00777301">
          <w:rPr>
            <w:rStyle w:val="a9"/>
            <w:noProof/>
          </w:rPr>
          <w:t xml:space="preserve">   </w:t>
        </w:r>
        <w:r w:rsidRPr="00777301">
          <w:rPr>
            <w:rStyle w:val="a9"/>
            <w:rFonts w:hint="eastAsia"/>
            <w:noProof/>
          </w:rPr>
          <w:t>境外投资顾问为本基金提供投资建议的主要成员简介</w:t>
        </w:r>
        <w:r>
          <w:rPr>
            <w:noProof/>
            <w:webHidden/>
          </w:rPr>
          <w:tab/>
        </w:r>
        <w:r>
          <w:rPr>
            <w:noProof/>
            <w:webHidden/>
          </w:rPr>
          <w:fldChar w:fldCharType="begin"/>
        </w:r>
        <w:r>
          <w:rPr>
            <w:noProof/>
            <w:webHidden/>
          </w:rPr>
          <w:instrText xml:space="preserve"> PAGEREF _Toc48663410 \h </w:instrText>
        </w:r>
        <w:r>
          <w:rPr>
            <w:noProof/>
            <w:webHidden/>
          </w:rPr>
        </w:r>
        <w:r>
          <w:rPr>
            <w:noProof/>
            <w:webHidden/>
          </w:rPr>
          <w:fldChar w:fldCharType="separate"/>
        </w:r>
        <w:r>
          <w:rPr>
            <w:noProof/>
            <w:webHidden/>
          </w:rPr>
          <w:t>12</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11" w:history="1">
        <w:r w:rsidRPr="00777301">
          <w:rPr>
            <w:rStyle w:val="a9"/>
            <w:rFonts w:ascii="宋体" w:hAnsi="宋体"/>
            <w:noProof/>
          </w:rPr>
          <w:t>4.3</w:t>
        </w:r>
        <w:r w:rsidRPr="00777301">
          <w:rPr>
            <w:rStyle w:val="a9"/>
            <w:noProof/>
          </w:rPr>
          <w:t xml:space="preserve">   </w:t>
        </w:r>
        <w:r w:rsidRPr="00777301">
          <w:rPr>
            <w:rStyle w:val="a9"/>
            <w:rFonts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_Toc48663411 \h </w:instrText>
        </w:r>
        <w:r>
          <w:rPr>
            <w:noProof/>
            <w:webHidden/>
          </w:rPr>
        </w:r>
        <w:r>
          <w:rPr>
            <w:noProof/>
            <w:webHidden/>
          </w:rPr>
          <w:fldChar w:fldCharType="separate"/>
        </w:r>
        <w:r>
          <w:rPr>
            <w:noProof/>
            <w:webHidden/>
          </w:rPr>
          <w:t>12</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12" w:history="1">
        <w:r w:rsidRPr="00777301">
          <w:rPr>
            <w:rStyle w:val="a9"/>
            <w:rFonts w:ascii="宋体" w:hAnsi="宋体"/>
            <w:noProof/>
          </w:rPr>
          <w:t>4.4</w:t>
        </w:r>
        <w:r w:rsidRPr="00777301">
          <w:rPr>
            <w:rStyle w:val="a9"/>
            <w:noProof/>
          </w:rPr>
          <w:t xml:space="preserve">   </w:t>
        </w:r>
        <w:r w:rsidRPr="00777301">
          <w:rPr>
            <w:rStyle w:val="a9"/>
            <w:rFonts w:hint="eastAsia"/>
            <w:noProof/>
          </w:rPr>
          <w:t>管理人对报告期内公平交易情况的专项说明</w:t>
        </w:r>
        <w:r>
          <w:rPr>
            <w:noProof/>
            <w:webHidden/>
          </w:rPr>
          <w:tab/>
        </w:r>
        <w:r>
          <w:rPr>
            <w:noProof/>
            <w:webHidden/>
          </w:rPr>
          <w:fldChar w:fldCharType="begin"/>
        </w:r>
        <w:r>
          <w:rPr>
            <w:noProof/>
            <w:webHidden/>
          </w:rPr>
          <w:instrText xml:space="preserve"> PAGEREF _Toc48663412 \h </w:instrText>
        </w:r>
        <w:r>
          <w:rPr>
            <w:noProof/>
            <w:webHidden/>
          </w:rPr>
        </w:r>
        <w:r>
          <w:rPr>
            <w:noProof/>
            <w:webHidden/>
          </w:rPr>
          <w:fldChar w:fldCharType="separate"/>
        </w:r>
        <w:r>
          <w:rPr>
            <w:noProof/>
            <w:webHidden/>
          </w:rPr>
          <w:t>12</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13" w:history="1">
        <w:r w:rsidRPr="00777301">
          <w:rPr>
            <w:rStyle w:val="a9"/>
            <w:rFonts w:ascii="宋体" w:hAnsi="宋体"/>
            <w:noProof/>
          </w:rPr>
          <w:t>4.5</w:t>
        </w:r>
        <w:r w:rsidRPr="00777301">
          <w:rPr>
            <w:rStyle w:val="a9"/>
            <w:noProof/>
          </w:rPr>
          <w:t xml:space="preserve">   </w:t>
        </w:r>
        <w:r w:rsidRPr="00777301">
          <w:rPr>
            <w:rStyle w:val="a9"/>
            <w:rFonts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_Toc48663413 \h </w:instrText>
        </w:r>
        <w:r>
          <w:rPr>
            <w:noProof/>
            <w:webHidden/>
          </w:rPr>
        </w:r>
        <w:r>
          <w:rPr>
            <w:noProof/>
            <w:webHidden/>
          </w:rPr>
          <w:fldChar w:fldCharType="separate"/>
        </w:r>
        <w:r>
          <w:rPr>
            <w:noProof/>
            <w:webHidden/>
          </w:rPr>
          <w:t>12</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14" w:history="1">
        <w:r w:rsidRPr="00777301">
          <w:rPr>
            <w:rStyle w:val="a9"/>
            <w:rFonts w:ascii="宋体" w:hAnsi="宋体"/>
            <w:noProof/>
          </w:rPr>
          <w:t>4.6</w:t>
        </w:r>
        <w:r w:rsidRPr="00777301">
          <w:rPr>
            <w:rStyle w:val="a9"/>
            <w:noProof/>
          </w:rPr>
          <w:t xml:space="preserve">   </w:t>
        </w:r>
        <w:r w:rsidRPr="00777301">
          <w:rPr>
            <w:rStyle w:val="a9"/>
            <w:rFonts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_Toc48663414 \h </w:instrText>
        </w:r>
        <w:r>
          <w:rPr>
            <w:noProof/>
            <w:webHidden/>
          </w:rPr>
        </w:r>
        <w:r>
          <w:rPr>
            <w:noProof/>
            <w:webHidden/>
          </w:rPr>
          <w:fldChar w:fldCharType="separate"/>
        </w:r>
        <w:r>
          <w:rPr>
            <w:noProof/>
            <w:webHidden/>
          </w:rPr>
          <w:t>13</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15" w:history="1">
        <w:r w:rsidRPr="00777301">
          <w:rPr>
            <w:rStyle w:val="a9"/>
            <w:rFonts w:ascii="宋体" w:hAnsi="宋体"/>
            <w:noProof/>
          </w:rPr>
          <w:t>4.7</w:t>
        </w:r>
        <w:r w:rsidRPr="00777301">
          <w:rPr>
            <w:rStyle w:val="a9"/>
            <w:noProof/>
          </w:rPr>
          <w:t xml:space="preserve">   </w:t>
        </w:r>
        <w:r w:rsidRPr="00777301">
          <w:rPr>
            <w:rStyle w:val="a9"/>
            <w:rFonts w:hint="eastAsia"/>
            <w:noProof/>
          </w:rPr>
          <w:t>管理人对报告期内基金估值程序等事项的说明</w:t>
        </w:r>
        <w:r>
          <w:rPr>
            <w:noProof/>
            <w:webHidden/>
          </w:rPr>
          <w:tab/>
        </w:r>
        <w:r>
          <w:rPr>
            <w:noProof/>
            <w:webHidden/>
          </w:rPr>
          <w:fldChar w:fldCharType="begin"/>
        </w:r>
        <w:r>
          <w:rPr>
            <w:noProof/>
            <w:webHidden/>
          </w:rPr>
          <w:instrText xml:space="preserve"> PAGEREF _Toc48663415 \h </w:instrText>
        </w:r>
        <w:r>
          <w:rPr>
            <w:noProof/>
            <w:webHidden/>
          </w:rPr>
        </w:r>
        <w:r>
          <w:rPr>
            <w:noProof/>
            <w:webHidden/>
          </w:rPr>
          <w:fldChar w:fldCharType="separate"/>
        </w:r>
        <w:r>
          <w:rPr>
            <w:noProof/>
            <w:webHidden/>
          </w:rPr>
          <w:t>13</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16" w:history="1">
        <w:r w:rsidRPr="00777301">
          <w:rPr>
            <w:rStyle w:val="a9"/>
            <w:rFonts w:ascii="宋体" w:hAnsi="宋体"/>
            <w:noProof/>
          </w:rPr>
          <w:t>4.8</w:t>
        </w:r>
        <w:r w:rsidRPr="00777301">
          <w:rPr>
            <w:rStyle w:val="a9"/>
            <w:noProof/>
          </w:rPr>
          <w:t xml:space="preserve">   </w:t>
        </w:r>
        <w:r w:rsidRPr="00777301">
          <w:rPr>
            <w:rStyle w:val="a9"/>
            <w:rFonts w:hint="eastAsia"/>
            <w:noProof/>
          </w:rPr>
          <w:t>管理人对报告期内基金利润分配情况的说明</w:t>
        </w:r>
        <w:r>
          <w:rPr>
            <w:noProof/>
            <w:webHidden/>
          </w:rPr>
          <w:tab/>
        </w:r>
        <w:r>
          <w:rPr>
            <w:noProof/>
            <w:webHidden/>
          </w:rPr>
          <w:fldChar w:fldCharType="begin"/>
        </w:r>
        <w:r>
          <w:rPr>
            <w:noProof/>
            <w:webHidden/>
          </w:rPr>
          <w:instrText xml:space="preserve"> PAGEREF _Toc48663416 \h </w:instrText>
        </w:r>
        <w:r>
          <w:rPr>
            <w:noProof/>
            <w:webHidden/>
          </w:rPr>
        </w:r>
        <w:r>
          <w:rPr>
            <w:noProof/>
            <w:webHidden/>
          </w:rPr>
          <w:fldChar w:fldCharType="separate"/>
        </w:r>
        <w:r>
          <w:rPr>
            <w:noProof/>
            <w:webHidden/>
          </w:rPr>
          <w:t>14</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17" w:history="1">
        <w:r w:rsidRPr="00777301">
          <w:rPr>
            <w:rStyle w:val="a9"/>
            <w:rFonts w:ascii="宋体" w:hAnsi="宋体"/>
            <w:noProof/>
          </w:rPr>
          <w:t>5</w:t>
        </w:r>
        <w:r w:rsidRPr="00777301">
          <w:rPr>
            <w:rStyle w:val="a9"/>
            <w:noProof/>
          </w:rPr>
          <w:t xml:space="preserve">     </w:t>
        </w:r>
        <w:r w:rsidRPr="00777301">
          <w:rPr>
            <w:rStyle w:val="a9"/>
            <w:rFonts w:hint="eastAsia"/>
            <w:noProof/>
          </w:rPr>
          <w:t>托管人报告</w:t>
        </w:r>
        <w:r>
          <w:rPr>
            <w:noProof/>
            <w:webHidden/>
          </w:rPr>
          <w:tab/>
        </w:r>
        <w:r>
          <w:rPr>
            <w:noProof/>
            <w:webHidden/>
          </w:rPr>
          <w:fldChar w:fldCharType="begin"/>
        </w:r>
        <w:r>
          <w:rPr>
            <w:noProof/>
            <w:webHidden/>
          </w:rPr>
          <w:instrText xml:space="preserve"> PAGEREF _Toc48663417 \h </w:instrText>
        </w:r>
        <w:r>
          <w:rPr>
            <w:noProof/>
            <w:webHidden/>
          </w:rPr>
        </w:r>
        <w:r>
          <w:rPr>
            <w:noProof/>
            <w:webHidden/>
          </w:rPr>
          <w:fldChar w:fldCharType="separate"/>
        </w:r>
        <w:r>
          <w:rPr>
            <w:noProof/>
            <w:webHidden/>
          </w:rPr>
          <w:t>14</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18" w:history="1">
        <w:r w:rsidRPr="00777301">
          <w:rPr>
            <w:rStyle w:val="a9"/>
            <w:rFonts w:ascii="宋体" w:hAnsi="宋体"/>
            <w:noProof/>
          </w:rPr>
          <w:t>5.1</w:t>
        </w:r>
        <w:r w:rsidRPr="00777301">
          <w:rPr>
            <w:rStyle w:val="a9"/>
            <w:noProof/>
          </w:rPr>
          <w:t xml:space="preserve">   </w:t>
        </w:r>
        <w:r w:rsidRPr="00777301">
          <w:rPr>
            <w:rStyle w:val="a9"/>
            <w:rFonts w:hint="eastAsia"/>
            <w:noProof/>
          </w:rPr>
          <w:t>报告期内本基金托管人遵规守信情况声明</w:t>
        </w:r>
        <w:r>
          <w:rPr>
            <w:noProof/>
            <w:webHidden/>
          </w:rPr>
          <w:tab/>
        </w:r>
        <w:r>
          <w:rPr>
            <w:noProof/>
            <w:webHidden/>
          </w:rPr>
          <w:fldChar w:fldCharType="begin"/>
        </w:r>
        <w:r>
          <w:rPr>
            <w:noProof/>
            <w:webHidden/>
          </w:rPr>
          <w:instrText xml:space="preserve"> PAGEREF _Toc48663418 \h </w:instrText>
        </w:r>
        <w:r>
          <w:rPr>
            <w:noProof/>
            <w:webHidden/>
          </w:rPr>
        </w:r>
        <w:r>
          <w:rPr>
            <w:noProof/>
            <w:webHidden/>
          </w:rPr>
          <w:fldChar w:fldCharType="separate"/>
        </w:r>
        <w:r>
          <w:rPr>
            <w:noProof/>
            <w:webHidden/>
          </w:rPr>
          <w:t>14</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19" w:history="1">
        <w:r w:rsidRPr="00777301">
          <w:rPr>
            <w:rStyle w:val="a9"/>
            <w:rFonts w:ascii="宋体" w:hAnsi="宋体"/>
            <w:noProof/>
          </w:rPr>
          <w:t>5.2</w:t>
        </w:r>
        <w:r w:rsidRPr="00777301">
          <w:rPr>
            <w:rStyle w:val="a9"/>
            <w:noProof/>
          </w:rPr>
          <w:t xml:space="preserve">   </w:t>
        </w:r>
        <w:r w:rsidRPr="00777301">
          <w:rPr>
            <w:rStyle w:val="a9"/>
            <w:rFonts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_Toc48663419 \h </w:instrText>
        </w:r>
        <w:r>
          <w:rPr>
            <w:noProof/>
            <w:webHidden/>
          </w:rPr>
        </w:r>
        <w:r>
          <w:rPr>
            <w:noProof/>
            <w:webHidden/>
          </w:rPr>
          <w:fldChar w:fldCharType="separate"/>
        </w:r>
        <w:r>
          <w:rPr>
            <w:noProof/>
            <w:webHidden/>
          </w:rPr>
          <w:t>14</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20" w:history="1">
        <w:r w:rsidRPr="00777301">
          <w:rPr>
            <w:rStyle w:val="a9"/>
            <w:rFonts w:ascii="宋体" w:hAnsi="宋体"/>
            <w:noProof/>
          </w:rPr>
          <w:t>5.3</w:t>
        </w:r>
        <w:r w:rsidRPr="00777301">
          <w:rPr>
            <w:rStyle w:val="a9"/>
            <w:noProof/>
          </w:rPr>
          <w:t xml:space="preserve">   </w:t>
        </w:r>
        <w:r w:rsidRPr="00777301">
          <w:rPr>
            <w:rStyle w:val="a9"/>
            <w:rFonts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_Toc48663420 \h </w:instrText>
        </w:r>
        <w:r>
          <w:rPr>
            <w:noProof/>
            <w:webHidden/>
          </w:rPr>
        </w:r>
        <w:r>
          <w:rPr>
            <w:noProof/>
            <w:webHidden/>
          </w:rPr>
          <w:fldChar w:fldCharType="separate"/>
        </w:r>
        <w:r>
          <w:rPr>
            <w:noProof/>
            <w:webHidden/>
          </w:rPr>
          <w:t>14</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21" w:history="1">
        <w:r w:rsidRPr="00777301">
          <w:rPr>
            <w:rStyle w:val="a9"/>
            <w:rFonts w:ascii="宋体" w:hAnsi="宋体"/>
            <w:noProof/>
          </w:rPr>
          <w:t>6</w:t>
        </w:r>
        <w:r w:rsidRPr="00777301">
          <w:rPr>
            <w:rStyle w:val="a9"/>
            <w:noProof/>
          </w:rPr>
          <w:t xml:space="preserve">     </w:t>
        </w:r>
        <w:r w:rsidRPr="00777301">
          <w:rPr>
            <w:rStyle w:val="a9"/>
            <w:rFonts w:hint="eastAsia"/>
            <w:noProof/>
          </w:rPr>
          <w:t>半年度财务会计报告（未经审计）</w:t>
        </w:r>
        <w:r>
          <w:rPr>
            <w:noProof/>
            <w:webHidden/>
          </w:rPr>
          <w:tab/>
        </w:r>
        <w:r>
          <w:rPr>
            <w:noProof/>
            <w:webHidden/>
          </w:rPr>
          <w:fldChar w:fldCharType="begin"/>
        </w:r>
        <w:r>
          <w:rPr>
            <w:noProof/>
            <w:webHidden/>
          </w:rPr>
          <w:instrText xml:space="preserve"> PAGEREF _Toc48663421 \h </w:instrText>
        </w:r>
        <w:r>
          <w:rPr>
            <w:noProof/>
            <w:webHidden/>
          </w:rPr>
        </w:r>
        <w:r>
          <w:rPr>
            <w:noProof/>
            <w:webHidden/>
          </w:rPr>
          <w:fldChar w:fldCharType="separate"/>
        </w:r>
        <w:r>
          <w:rPr>
            <w:noProof/>
            <w:webHidden/>
          </w:rPr>
          <w:t>14</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22" w:history="1">
        <w:r w:rsidRPr="00777301">
          <w:rPr>
            <w:rStyle w:val="a9"/>
            <w:rFonts w:ascii="宋体" w:hAnsi="宋体"/>
            <w:noProof/>
          </w:rPr>
          <w:t>6.1</w:t>
        </w:r>
        <w:r w:rsidRPr="00777301">
          <w:rPr>
            <w:rStyle w:val="a9"/>
            <w:noProof/>
          </w:rPr>
          <w:t xml:space="preserve">   </w:t>
        </w:r>
        <w:r w:rsidRPr="00777301">
          <w:rPr>
            <w:rStyle w:val="a9"/>
            <w:rFonts w:hint="eastAsia"/>
            <w:noProof/>
          </w:rPr>
          <w:t>资产负债表</w:t>
        </w:r>
        <w:r>
          <w:rPr>
            <w:noProof/>
            <w:webHidden/>
          </w:rPr>
          <w:tab/>
        </w:r>
        <w:r>
          <w:rPr>
            <w:noProof/>
            <w:webHidden/>
          </w:rPr>
          <w:fldChar w:fldCharType="begin"/>
        </w:r>
        <w:r>
          <w:rPr>
            <w:noProof/>
            <w:webHidden/>
          </w:rPr>
          <w:instrText xml:space="preserve"> PAGEREF _Toc48663422 \h </w:instrText>
        </w:r>
        <w:r>
          <w:rPr>
            <w:noProof/>
            <w:webHidden/>
          </w:rPr>
        </w:r>
        <w:r>
          <w:rPr>
            <w:noProof/>
            <w:webHidden/>
          </w:rPr>
          <w:fldChar w:fldCharType="separate"/>
        </w:r>
        <w:r>
          <w:rPr>
            <w:noProof/>
            <w:webHidden/>
          </w:rPr>
          <w:t>14</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23" w:history="1">
        <w:r w:rsidRPr="00777301">
          <w:rPr>
            <w:rStyle w:val="a9"/>
            <w:rFonts w:ascii="宋体" w:hAnsi="宋体"/>
            <w:noProof/>
          </w:rPr>
          <w:t>6.2</w:t>
        </w:r>
        <w:r w:rsidRPr="00777301">
          <w:rPr>
            <w:rStyle w:val="a9"/>
            <w:noProof/>
          </w:rPr>
          <w:t xml:space="preserve">   </w:t>
        </w:r>
        <w:r w:rsidRPr="00777301">
          <w:rPr>
            <w:rStyle w:val="a9"/>
            <w:rFonts w:hint="eastAsia"/>
            <w:noProof/>
          </w:rPr>
          <w:t>利润表</w:t>
        </w:r>
        <w:r>
          <w:rPr>
            <w:noProof/>
            <w:webHidden/>
          </w:rPr>
          <w:tab/>
        </w:r>
        <w:r>
          <w:rPr>
            <w:noProof/>
            <w:webHidden/>
          </w:rPr>
          <w:fldChar w:fldCharType="begin"/>
        </w:r>
        <w:r>
          <w:rPr>
            <w:noProof/>
            <w:webHidden/>
          </w:rPr>
          <w:instrText xml:space="preserve"> PAGEREF _Toc48663423 \h </w:instrText>
        </w:r>
        <w:r>
          <w:rPr>
            <w:noProof/>
            <w:webHidden/>
          </w:rPr>
        </w:r>
        <w:r>
          <w:rPr>
            <w:noProof/>
            <w:webHidden/>
          </w:rPr>
          <w:fldChar w:fldCharType="separate"/>
        </w:r>
        <w:r>
          <w:rPr>
            <w:noProof/>
            <w:webHidden/>
          </w:rPr>
          <w:t>16</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24" w:history="1">
        <w:r w:rsidRPr="00777301">
          <w:rPr>
            <w:rStyle w:val="a9"/>
            <w:rFonts w:ascii="宋体" w:hAnsi="宋体"/>
            <w:noProof/>
          </w:rPr>
          <w:t>6.3</w:t>
        </w:r>
        <w:r w:rsidRPr="00777301">
          <w:rPr>
            <w:rStyle w:val="a9"/>
            <w:noProof/>
          </w:rPr>
          <w:t xml:space="preserve">   </w:t>
        </w:r>
        <w:r w:rsidRPr="00777301">
          <w:rPr>
            <w:rStyle w:val="a9"/>
            <w:rFonts w:hint="eastAsia"/>
            <w:noProof/>
          </w:rPr>
          <w:t>所有者权益（基金净值）变动表</w:t>
        </w:r>
        <w:r>
          <w:rPr>
            <w:noProof/>
            <w:webHidden/>
          </w:rPr>
          <w:tab/>
        </w:r>
        <w:r>
          <w:rPr>
            <w:noProof/>
            <w:webHidden/>
          </w:rPr>
          <w:fldChar w:fldCharType="begin"/>
        </w:r>
        <w:r>
          <w:rPr>
            <w:noProof/>
            <w:webHidden/>
          </w:rPr>
          <w:instrText xml:space="preserve"> PAGEREF _Toc48663424 \h </w:instrText>
        </w:r>
        <w:r>
          <w:rPr>
            <w:noProof/>
            <w:webHidden/>
          </w:rPr>
        </w:r>
        <w:r>
          <w:rPr>
            <w:noProof/>
            <w:webHidden/>
          </w:rPr>
          <w:fldChar w:fldCharType="separate"/>
        </w:r>
        <w:r>
          <w:rPr>
            <w:noProof/>
            <w:webHidden/>
          </w:rPr>
          <w:t>17</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25" w:history="1">
        <w:r w:rsidRPr="00777301">
          <w:rPr>
            <w:rStyle w:val="a9"/>
            <w:rFonts w:ascii="宋体" w:hAnsi="宋体"/>
            <w:noProof/>
          </w:rPr>
          <w:t>6.4</w:t>
        </w:r>
        <w:r w:rsidRPr="00777301">
          <w:rPr>
            <w:rStyle w:val="a9"/>
            <w:noProof/>
          </w:rPr>
          <w:t xml:space="preserve">   </w:t>
        </w:r>
        <w:r w:rsidRPr="00777301">
          <w:rPr>
            <w:rStyle w:val="a9"/>
            <w:rFonts w:hint="eastAsia"/>
            <w:noProof/>
          </w:rPr>
          <w:t>报表附注</w:t>
        </w:r>
        <w:r>
          <w:rPr>
            <w:noProof/>
            <w:webHidden/>
          </w:rPr>
          <w:tab/>
        </w:r>
        <w:r>
          <w:rPr>
            <w:noProof/>
            <w:webHidden/>
          </w:rPr>
          <w:fldChar w:fldCharType="begin"/>
        </w:r>
        <w:r>
          <w:rPr>
            <w:noProof/>
            <w:webHidden/>
          </w:rPr>
          <w:instrText xml:space="preserve"> PAGEREF _Toc48663425 \h </w:instrText>
        </w:r>
        <w:r>
          <w:rPr>
            <w:noProof/>
            <w:webHidden/>
          </w:rPr>
        </w:r>
        <w:r>
          <w:rPr>
            <w:noProof/>
            <w:webHidden/>
          </w:rPr>
          <w:fldChar w:fldCharType="separate"/>
        </w:r>
        <w:r>
          <w:rPr>
            <w:noProof/>
            <w:webHidden/>
          </w:rPr>
          <w:t>18</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26" w:history="1">
        <w:r w:rsidRPr="00777301">
          <w:rPr>
            <w:rStyle w:val="a9"/>
            <w:rFonts w:ascii="宋体" w:hAnsi="宋体"/>
            <w:noProof/>
          </w:rPr>
          <w:t>7</w:t>
        </w:r>
        <w:r w:rsidRPr="00777301">
          <w:rPr>
            <w:rStyle w:val="a9"/>
            <w:noProof/>
          </w:rPr>
          <w:t xml:space="preserve">     </w:t>
        </w:r>
        <w:r w:rsidRPr="00777301">
          <w:rPr>
            <w:rStyle w:val="a9"/>
            <w:rFonts w:hint="eastAsia"/>
            <w:noProof/>
          </w:rPr>
          <w:t>投资组合报告</w:t>
        </w:r>
        <w:r>
          <w:rPr>
            <w:noProof/>
            <w:webHidden/>
          </w:rPr>
          <w:tab/>
        </w:r>
        <w:r>
          <w:rPr>
            <w:noProof/>
            <w:webHidden/>
          </w:rPr>
          <w:fldChar w:fldCharType="begin"/>
        </w:r>
        <w:r>
          <w:rPr>
            <w:noProof/>
            <w:webHidden/>
          </w:rPr>
          <w:instrText xml:space="preserve"> PAGEREF _Toc48663426 \h </w:instrText>
        </w:r>
        <w:r>
          <w:rPr>
            <w:noProof/>
            <w:webHidden/>
          </w:rPr>
        </w:r>
        <w:r>
          <w:rPr>
            <w:noProof/>
            <w:webHidden/>
          </w:rPr>
          <w:fldChar w:fldCharType="separate"/>
        </w:r>
        <w:r>
          <w:rPr>
            <w:noProof/>
            <w:webHidden/>
          </w:rPr>
          <w:t>39</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27" w:history="1">
        <w:r w:rsidRPr="00777301">
          <w:rPr>
            <w:rStyle w:val="a9"/>
            <w:rFonts w:ascii="宋体" w:hAnsi="宋体"/>
            <w:noProof/>
          </w:rPr>
          <w:t>7.1</w:t>
        </w:r>
        <w:r w:rsidRPr="00777301">
          <w:rPr>
            <w:rStyle w:val="a9"/>
            <w:noProof/>
          </w:rPr>
          <w:t xml:space="preserve">   </w:t>
        </w:r>
        <w:r w:rsidRPr="00777301">
          <w:rPr>
            <w:rStyle w:val="a9"/>
            <w:rFonts w:hint="eastAsia"/>
            <w:noProof/>
          </w:rPr>
          <w:t>期末基金资产组合情况</w:t>
        </w:r>
        <w:r>
          <w:rPr>
            <w:noProof/>
            <w:webHidden/>
          </w:rPr>
          <w:tab/>
        </w:r>
        <w:r>
          <w:rPr>
            <w:noProof/>
            <w:webHidden/>
          </w:rPr>
          <w:fldChar w:fldCharType="begin"/>
        </w:r>
        <w:r>
          <w:rPr>
            <w:noProof/>
            <w:webHidden/>
          </w:rPr>
          <w:instrText xml:space="preserve"> PAGEREF _Toc48663427 \h </w:instrText>
        </w:r>
        <w:r>
          <w:rPr>
            <w:noProof/>
            <w:webHidden/>
          </w:rPr>
        </w:r>
        <w:r>
          <w:rPr>
            <w:noProof/>
            <w:webHidden/>
          </w:rPr>
          <w:fldChar w:fldCharType="separate"/>
        </w:r>
        <w:r>
          <w:rPr>
            <w:noProof/>
            <w:webHidden/>
          </w:rPr>
          <w:t>39</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28" w:history="1">
        <w:r w:rsidRPr="00777301">
          <w:rPr>
            <w:rStyle w:val="a9"/>
            <w:rFonts w:ascii="宋体" w:hAnsi="宋体"/>
            <w:noProof/>
          </w:rPr>
          <w:t>7.2</w:t>
        </w:r>
        <w:r w:rsidRPr="00777301">
          <w:rPr>
            <w:rStyle w:val="a9"/>
            <w:noProof/>
          </w:rPr>
          <w:t xml:space="preserve">   </w:t>
        </w:r>
        <w:r w:rsidRPr="00777301">
          <w:rPr>
            <w:rStyle w:val="a9"/>
            <w:rFonts w:hint="eastAsia"/>
            <w:noProof/>
          </w:rPr>
          <w:t>期末在各个国家（地区）证券市场的权益投资分布</w:t>
        </w:r>
        <w:r>
          <w:rPr>
            <w:noProof/>
            <w:webHidden/>
          </w:rPr>
          <w:tab/>
        </w:r>
        <w:r>
          <w:rPr>
            <w:noProof/>
            <w:webHidden/>
          </w:rPr>
          <w:fldChar w:fldCharType="begin"/>
        </w:r>
        <w:r>
          <w:rPr>
            <w:noProof/>
            <w:webHidden/>
          </w:rPr>
          <w:instrText xml:space="preserve"> PAGEREF _Toc48663428 \h </w:instrText>
        </w:r>
        <w:r>
          <w:rPr>
            <w:noProof/>
            <w:webHidden/>
          </w:rPr>
        </w:r>
        <w:r>
          <w:rPr>
            <w:noProof/>
            <w:webHidden/>
          </w:rPr>
          <w:fldChar w:fldCharType="separate"/>
        </w:r>
        <w:r>
          <w:rPr>
            <w:noProof/>
            <w:webHidden/>
          </w:rPr>
          <w:t>39</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29" w:history="1">
        <w:r w:rsidRPr="00777301">
          <w:rPr>
            <w:rStyle w:val="a9"/>
            <w:rFonts w:ascii="宋体" w:hAnsi="宋体"/>
            <w:noProof/>
          </w:rPr>
          <w:t>7.3</w:t>
        </w:r>
        <w:r w:rsidRPr="00777301">
          <w:rPr>
            <w:rStyle w:val="a9"/>
            <w:noProof/>
          </w:rPr>
          <w:t xml:space="preserve">   </w:t>
        </w:r>
        <w:r w:rsidRPr="00777301">
          <w:rPr>
            <w:rStyle w:val="a9"/>
            <w:rFonts w:hint="eastAsia"/>
            <w:noProof/>
          </w:rPr>
          <w:t>期末按行业分类的权益投资组合</w:t>
        </w:r>
        <w:r>
          <w:rPr>
            <w:noProof/>
            <w:webHidden/>
          </w:rPr>
          <w:tab/>
        </w:r>
        <w:r>
          <w:rPr>
            <w:noProof/>
            <w:webHidden/>
          </w:rPr>
          <w:fldChar w:fldCharType="begin"/>
        </w:r>
        <w:r>
          <w:rPr>
            <w:noProof/>
            <w:webHidden/>
          </w:rPr>
          <w:instrText xml:space="preserve"> PAGEREF _Toc48663429 \h </w:instrText>
        </w:r>
        <w:r>
          <w:rPr>
            <w:noProof/>
            <w:webHidden/>
          </w:rPr>
        </w:r>
        <w:r>
          <w:rPr>
            <w:noProof/>
            <w:webHidden/>
          </w:rPr>
          <w:fldChar w:fldCharType="separate"/>
        </w:r>
        <w:r>
          <w:rPr>
            <w:noProof/>
            <w:webHidden/>
          </w:rPr>
          <w:t>40</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30" w:history="1">
        <w:r w:rsidRPr="00777301">
          <w:rPr>
            <w:rStyle w:val="a9"/>
            <w:rFonts w:ascii="宋体" w:hAnsi="宋体"/>
            <w:noProof/>
          </w:rPr>
          <w:t>7.4</w:t>
        </w:r>
        <w:r w:rsidRPr="00777301">
          <w:rPr>
            <w:rStyle w:val="a9"/>
            <w:noProof/>
          </w:rPr>
          <w:t xml:space="preserve">   </w:t>
        </w:r>
        <w:r w:rsidRPr="00777301">
          <w:rPr>
            <w:rStyle w:val="a9"/>
            <w:rFonts w:hint="eastAsia"/>
            <w:noProof/>
          </w:rPr>
          <w:t>期末按公允价值占基金资产净值比例大小排序的所有权益投资明细</w:t>
        </w:r>
        <w:r>
          <w:rPr>
            <w:noProof/>
            <w:webHidden/>
          </w:rPr>
          <w:tab/>
        </w:r>
        <w:r>
          <w:rPr>
            <w:noProof/>
            <w:webHidden/>
          </w:rPr>
          <w:fldChar w:fldCharType="begin"/>
        </w:r>
        <w:r>
          <w:rPr>
            <w:noProof/>
            <w:webHidden/>
          </w:rPr>
          <w:instrText xml:space="preserve"> PAGEREF _Toc48663430 \h </w:instrText>
        </w:r>
        <w:r>
          <w:rPr>
            <w:noProof/>
            <w:webHidden/>
          </w:rPr>
        </w:r>
        <w:r>
          <w:rPr>
            <w:noProof/>
            <w:webHidden/>
          </w:rPr>
          <w:fldChar w:fldCharType="separate"/>
        </w:r>
        <w:r>
          <w:rPr>
            <w:noProof/>
            <w:webHidden/>
          </w:rPr>
          <w:t>40</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31" w:history="1">
        <w:r w:rsidRPr="00777301">
          <w:rPr>
            <w:rStyle w:val="a9"/>
            <w:rFonts w:ascii="宋体" w:hAnsi="宋体"/>
            <w:noProof/>
          </w:rPr>
          <w:t>7.5</w:t>
        </w:r>
        <w:r w:rsidRPr="00777301">
          <w:rPr>
            <w:rStyle w:val="a9"/>
            <w:noProof/>
          </w:rPr>
          <w:t xml:space="preserve">   </w:t>
        </w:r>
        <w:r w:rsidRPr="00777301">
          <w:rPr>
            <w:rStyle w:val="a9"/>
            <w:rFonts w:hint="eastAsia"/>
            <w:noProof/>
          </w:rPr>
          <w:t>报告期内</w:t>
        </w:r>
        <w:r w:rsidRPr="00777301">
          <w:rPr>
            <w:rStyle w:val="a9"/>
            <w:rFonts w:ascii="宋体" w:hAnsi="宋体" w:hint="eastAsia"/>
            <w:noProof/>
          </w:rPr>
          <w:t>权益</w:t>
        </w:r>
        <w:r w:rsidRPr="00777301">
          <w:rPr>
            <w:rStyle w:val="a9"/>
            <w:rFonts w:hint="eastAsia"/>
            <w:noProof/>
          </w:rPr>
          <w:t>投资组合的重大变动</w:t>
        </w:r>
        <w:r>
          <w:rPr>
            <w:noProof/>
            <w:webHidden/>
          </w:rPr>
          <w:tab/>
        </w:r>
        <w:r>
          <w:rPr>
            <w:noProof/>
            <w:webHidden/>
          </w:rPr>
          <w:fldChar w:fldCharType="begin"/>
        </w:r>
        <w:r>
          <w:rPr>
            <w:noProof/>
            <w:webHidden/>
          </w:rPr>
          <w:instrText xml:space="preserve"> PAGEREF _Toc48663431 \h </w:instrText>
        </w:r>
        <w:r>
          <w:rPr>
            <w:noProof/>
            <w:webHidden/>
          </w:rPr>
        </w:r>
        <w:r>
          <w:rPr>
            <w:noProof/>
            <w:webHidden/>
          </w:rPr>
          <w:fldChar w:fldCharType="separate"/>
        </w:r>
        <w:r>
          <w:rPr>
            <w:noProof/>
            <w:webHidden/>
          </w:rPr>
          <w:t>40</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32" w:history="1">
        <w:r w:rsidRPr="00777301">
          <w:rPr>
            <w:rStyle w:val="a9"/>
            <w:rFonts w:ascii="宋体" w:hAnsi="宋体"/>
            <w:noProof/>
          </w:rPr>
          <w:t>7.6</w:t>
        </w:r>
        <w:r w:rsidRPr="00777301">
          <w:rPr>
            <w:rStyle w:val="a9"/>
            <w:noProof/>
          </w:rPr>
          <w:t xml:space="preserve">   </w:t>
        </w:r>
        <w:r w:rsidRPr="00777301">
          <w:rPr>
            <w:rStyle w:val="a9"/>
            <w:rFonts w:hint="eastAsia"/>
            <w:noProof/>
          </w:rPr>
          <w:t>期末按债券信用等级分类的债券投资组合</w:t>
        </w:r>
        <w:r>
          <w:rPr>
            <w:noProof/>
            <w:webHidden/>
          </w:rPr>
          <w:tab/>
        </w:r>
        <w:r>
          <w:rPr>
            <w:noProof/>
            <w:webHidden/>
          </w:rPr>
          <w:fldChar w:fldCharType="begin"/>
        </w:r>
        <w:r>
          <w:rPr>
            <w:noProof/>
            <w:webHidden/>
          </w:rPr>
          <w:instrText xml:space="preserve"> PAGEREF _Toc48663432 \h </w:instrText>
        </w:r>
        <w:r>
          <w:rPr>
            <w:noProof/>
            <w:webHidden/>
          </w:rPr>
        </w:r>
        <w:r>
          <w:rPr>
            <w:noProof/>
            <w:webHidden/>
          </w:rPr>
          <w:fldChar w:fldCharType="separate"/>
        </w:r>
        <w:r>
          <w:rPr>
            <w:noProof/>
            <w:webHidden/>
          </w:rPr>
          <w:t>41</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33" w:history="1">
        <w:r w:rsidRPr="00777301">
          <w:rPr>
            <w:rStyle w:val="a9"/>
            <w:rFonts w:ascii="宋体" w:hAnsi="宋体"/>
            <w:noProof/>
          </w:rPr>
          <w:t>7.7</w:t>
        </w:r>
        <w:r w:rsidRPr="00777301">
          <w:rPr>
            <w:rStyle w:val="a9"/>
            <w:noProof/>
          </w:rPr>
          <w:t xml:space="preserve">   </w:t>
        </w:r>
        <w:r w:rsidRPr="00777301">
          <w:rPr>
            <w:rStyle w:val="a9"/>
            <w:rFonts w:hint="eastAsia"/>
            <w:noProof/>
          </w:rPr>
          <w:t>期末按公允价值占基金资产净值比例大小排名的前五名债券投资明细</w:t>
        </w:r>
        <w:r>
          <w:rPr>
            <w:noProof/>
            <w:webHidden/>
          </w:rPr>
          <w:tab/>
        </w:r>
        <w:r>
          <w:rPr>
            <w:noProof/>
            <w:webHidden/>
          </w:rPr>
          <w:fldChar w:fldCharType="begin"/>
        </w:r>
        <w:r>
          <w:rPr>
            <w:noProof/>
            <w:webHidden/>
          </w:rPr>
          <w:instrText xml:space="preserve"> PAGEREF _Toc48663433 \h </w:instrText>
        </w:r>
        <w:r>
          <w:rPr>
            <w:noProof/>
            <w:webHidden/>
          </w:rPr>
        </w:r>
        <w:r>
          <w:rPr>
            <w:noProof/>
            <w:webHidden/>
          </w:rPr>
          <w:fldChar w:fldCharType="separate"/>
        </w:r>
        <w:r>
          <w:rPr>
            <w:noProof/>
            <w:webHidden/>
          </w:rPr>
          <w:t>41</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34" w:history="1">
        <w:r w:rsidRPr="00777301">
          <w:rPr>
            <w:rStyle w:val="a9"/>
            <w:rFonts w:ascii="宋体" w:hAnsi="宋体"/>
            <w:noProof/>
          </w:rPr>
          <w:t>7.8</w:t>
        </w:r>
        <w:r w:rsidRPr="00777301">
          <w:rPr>
            <w:rStyle w:val="a9"/>
            <w:noProof/>
          </w:rPr>
          <w:t xml:space="preserve">   </w:t>
        </w:r>
        <w:r w:rsidRPr="00777301">
          <w:rPr>
            <w:rStyle w:val="a9"/>
            <w:rFonts w:hint="eastAsia"/>
            <w:noProof/>
          </w:rPr>
          <w:t>期末按公允价值占基金资产净值比例大小排名的所有资产支持证券投资明细</w:t>
        </w:r>
        <w:r>
          <w:rPr>
            <w:noProof/>
            <w:webHidden/>
          </w:rPr>
          <w:tab/>
        </w:r>
        <w:r>
          <w:rPr>
            <w:noProof/>
            <w:webHidden/>
          </w:rPr>
          <w:fldChar w:fldCharType="begin"/>
        </w:r>
        <w:r>
          <w:rPr>
            <w:noProof/>
            <w:webHidden/>
          </w:rPr>
          <w:instrText xml:space="preserve"> PAGEREF _Toc48663434 \h </w:instrText>
        </w:r>
        <w:r>
          <w:rPr>
            <w:noProof/>
            <w:webHidden/>
          </w:rPr>
        </w:r>
        <w:r>
          <w:rPr>
            <w:noProof/>
            <w:webHidden/>
          </w:rPr>
          <w:fldChar w:fldCharType="separate"/>
        </w:r>
        <w:r>
          <w:rPr>
            <w:noProof/>
            <w:webHidden/>
          </w:rPr>
          <w:t>42</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35" w:history="1">
        <w:r w:rsidRPr="00777301">
          <w:rPr>
            <w:rStyle w:val="a9"/>
            <w:rFonts w:ascii="宋体" w:hAnsi="宋体"/>
            <w:noProof/>
          </w:rPr>
          <w:t>7.9</w:t>
        </w:r>
        <w:r w:rsidRPr="00777301">
          <w:rPr>
            <w:rStyle w:val="a9"/>
            <w:noProof/>
          </w:rPr>
          <w:t xml:space="preserve">   </w:t>
        </w:r>
        <w:r w:rsidRPr="00777301">
          <w:rPr>
            <w:rStyle w:val="a9"/>
            <w:rFonts w:hint="eastAsia"/>
            <w:noProof/>
          </w:rPr>
          <w:t>期末按公允价值占基金资产净值比例大小排名的前五名金融衍生品投资明细</w:t>
        </w:r>
        <w:r>
          <w:rPr>
            <w:noProof/>
            <w:webHidden/>
          </w:rPr>
          <w:tab/>
        </w:r>
        <w:r>
          <w:rPr>
            <w:noProof/>
            <w:webHidden/>
          </w:rPr>
          <w:fldChar w:fldCharType="begin"/>
        </w:r>
        <w:r>
          <w:rPr>
            <w:noProof/>
            <w:webHidden/>
          </w:rPr>
          <w:instrText xml:space="preserve"> PAGEREF _Toc48663435 \h </w:instrText>
        </w:r>
        <w:r>
          <w:rPr>
            <w:noProof/>
            <w:webHidden/>
          </w:rPr>
        </w:r>
        <w:r>
          <w:rPr>
            <w:noProof/>
            <w:webHidden/>
          </w:rPr>
          <w:fldChar w:fldCharType="separate"/>
        </w:r>
        <w:r>
          <w:rPr>
            <w:noProof/>
            <w:webHidden/>
          </w:rPr>
          <w:t>42</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36" w:history="1">
        <w:r w:rsidRPr="00777301">
          <w:rPr>
            <w:rStyle w:val="a9"/>
            <w:rFonts w:ascii="宋体" w:hAnsi="宋体"/>
            <w:noProof/>
          </w:rPr>
          <w:t>7.10</w:t>
        </w:r>
        <w:r w:rsidRPr="00777301">
          <w:rPr>
            <w:rStyle w:val="a9"/>
            <w:noProof/>
          </w:rPr>
          <w:t xml:space="preserve">   </w:t>
        </w:r>
        <w:r w:rsidRPr="00777301">
          <w:rPr>
            <w:rStyle w:val="a9"/>
            <w:rFonts w:hint="eastAsia"/>
            <w:noProof/>
          </w:rPr>
          <w:t>期末按公允价值占基金资产净值比例大小排序的前十名基金投资明细</w:t>
        </w:r>
        <w:r>
          <w:rPr>
            <w:noProof/>
            <w:webHidden/>
          </w:rPr>
          <w:tab/>
        </w:r>
        <w:r>
          <w:rPr>
            <w:noProof/>
            <w:webHidden/>
          </w:rPr>
          <w:fldChar w:fldCharType="begin"/>
        </w:r>
        <w:r>
          <w:rPr>
            <w:noProof/>
            <w:webHidden/>
          </w:rPr>
          <w:instrText xml:space="preserve"> PAGEREF _Toc48663436 \h </w:instrText>
        </w:r>
        <w:r>
          <w:rPr>
            <w:noProof/>
            <w:webHidden/>
          </w:rPr>
        </w:r>
        <w:r>
          <w:rPr>
            <w:noProof/>
            <w:webHidden/>
          </w:rPr>
          <w:fldChar w:fldCharType="separate"/>
        </w:r>
        <w:r>
          <w:rPr>
            <w:noProof/>
            <w:webHidden/>
          </w:rPr>
          <w:t>42</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37" w:history="1">
        <w:r w:rsidRPr="00777301">
          <w:rPr>
            <w:rStyle w:val="a9"/>
            <w:rFonts w:ascii="宋体" w:hAnsi="宋体"/>
            <w:noProof/>
          </w:rPr>
          <w:t>7.11</w:t>
        </w:r>
        <w:r w:rsidRPr="00777301">
          <w:rPr>
            <w:rStyle w:val="a9"/>
            <w:noProof/>
          </w:rPr>
          <w:t xml:space="preserve">   </w:t>
        </w:r>
        <w:r w:rsidRPr="00777301">
          <w:rPr>
            <w:rStyle w:val="a9"/>
            <w:rFonts w:hint="eastAsia"/>
            <w:noProof/>
          </w:rPr>
          <w:t>投资组合报告附注</w:t>
        </w:r>
        <w:r>
          <w:rPr>
            <w:noProof/>
            <w:webHidden/>
          </w:rPr>
          <w:tab/>
        </w:r>
        <w:r>
          <w:rPr>
            <w:noProof/>
            <w:webHidden/>
          </w:rPr>
          <w:fldChar w:fldCharType="begin"/>
        </w:r>
        <w:r>
          <w:rPr>
            <w:noProof/>
            <w:webHidden/>
          </w:rPr>
          <w:instrText xml:space="preserve"> PAGEREF _Toc48663437 \h </w:instrText>
        </w:r>
        <w:r>
          <w:rPr>
            <w:noProof/>
            <w:webHidden/>
          </w:rPr>
        </w:r>
        <w:r>
          <w:rPr>
            <w:noProof/>
            <w:webHidden/>
          </w:rPr>
          <w:fldChar w:fldCharType="separate"/>
        </w:r>
        <w:r>
          <w:rPr>
            <w:noProof/>
            <w:webHidden/>
          </w:rPr>
          <w:t>43</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38" w:history="1">
        <w:r w:rsidRPr="00777301">
          <w:rPr>
            <w:rStyle w:val="a9"/>
            <w:rFonts w:ascii="宋体" w:hAnsi="宋体"/>
            <w:noProof/>
          </w:rPr>
          <w:t>8</w:t>
        </w:r>
        <w:r w:rsidRPr="00777301">
          <w:rPr>
            <w:rStyle w:val="a9"/>
            <w:noProof/>
          </w:rPr>
          <w:t xml:space="preserve">     </w:t>
        </w:r>
        <w:r w:rsidRPr="00777301">
          <w:rPr>
            <w:rStyle w:val="a9"/>
            <w:rFonts w:hint="eastAsia"/>
            <w:noProof/>
          </w:rPr>
          <w:t>基金份额持有人信息</w:t>
        </w:r>
        <w:r>
          <w:rPr>
            <w:noProof/>
            <w:webHidden/>
          </w:rPr>
          <w:tab/>
        </w:r>
        <w:r>
          <w:rPr>
            <w:noProof/>
            <w:webHidden/>
          </w:rPr>
          <w:fldChar w:fldCharType="begin"/>
        </w:r>
        <w:r>
          <w:rPr>
            <w:noProof/>
            <w:webHidden/>
          </w:rPr>
          <w:instrText xml:space="preserve"> PAGEREF _Toc48663438 \h </w:instrText>
        </w:r>
        <w:r>
          <w:rPr>
            <w:noProof/>
            <w:webHidden/>
          </w:rPr>
        </w:r>
        <w:r>
          <w:rPr>
            <w:noProof/>
            <w:webHidden/>
          </w:rPr>
          <w:fldChar w:fldCharType="separate"/>
        </w:r>
        <w:r>
          <w:rPr>
            <w:noProof/>
            <w:webHidden/>
          </w:rPr>
          <w:t>43</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39" w:history="1">
        <w:r w:rsidRPr="00777301">
          <w:rPr>
            <w:rStyle w:val="a9"/>
            <w:rFonts w:ascii="宋体" w:hAnsi="宋体"/>
            <w:noProof/>
          </w:rPr>
          <w:t>8.1</w:t>
        </w:r>
        <w:r w:rsidRPr="00777301">
          <w:rPr>
            <w:rStyle w:val="a9"/>
            <w:noProof/>
          </w:rPr>
          <w:t xml:space="preserve">   </w:t>
        </w:r>
        <w:r w:rsidRPr="00777301">
          <w:rPr>
            <w:rStyle w:val="a9"/>
            <w:rFonts w:hint="eastAsia"/>
            <w:noProof/>
          </w:rPr>
          <w:t>期末基金份额持有人户数及持有人结构</w:t>
        </w:r>
        <w:r>
          <w:rPr>
            <w:noProof/>
            <w:webHidden/>
          </w:rPr>
          <w:tab/>
        </w:r>
        <w:r>
          <w:rPr>
            <w:noProof/>
            <w:webHidden/>
          </w:rPr>
          <w:fldChar w:fldCharType="begin"/>
        </w:r>
        <w:r>
          <w:rPr>
            <w:noProof/>
            <w:webHidden/>
          </w:rPr>
          <w:instrText xml:space="preserve"> PAGEREF _Toc48663439 \h </w:instrText>
        </w:r>
        <w:r>
          <w:rPr>
            <w:noProof/>
            <w:webHidden/>
          </w:rPr>
        </w:r>
        <w:r>
          <w:rPr>
            <w:noProof/>
            <w:webHidden/>
          </w:rPr>
          <w:fldChar w:fldCharType="separate"/>
        </w:r>
        <w:r>
          <w:rPr>
            <w:noProof/>
            <w:webHidden/>
          </w:rPr>
          <w:t>43</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40" w:history="1">
        <w:r w:rsidRPr="00777301">
          <w:rPr>
            <w:rStyle w:val="a9"/>
            <w:rFonts w:ascii="宋体" w:hAnsi="宋体"/>
            <w:noProof/>
          </w:rPr>
          <w:t>8.2</w:t>
        </w:r>
        <w:r w:rsidRPr="00777301">
          <w:rPr>
            <w:rStyle w:val="a9"/>
            <w:noProof/>
          </w:rPr>
          <w:t xml:space="preserve">   </w:t>
        </w:r>
        <w:r w:rsidRPr="00777301">
          <w:rPr>
            <w:rStyle w:val="a9"/>
            <w:rFonts w:hint="eastAsia"/>
            <w:noProof/>
          </w:rPr>
          <w:t>期末上市基金前十名持有人</w:t>
        </w:r>
        <w:r>
          <w:rPr>
            <w:noProof/>
            <w:webHidden/>
          </w:rPr>
          <w:tab/>
        </w:r>
        <w:r>
          <w:rPr>
            <w:noProof/>
            <w:webHidden/>
          </w:rPr>
          <w:fldChar w:fldCharType="begin"/>
        </w:r>
        <w:r>
          <w:rPr>
            <w:noProof/>
            <w:webHidden/>
          </w:rPr>
          <w:instrText xml:space="preserve"> PAGEREF _Toc48663440 \h </w:instrText>
        </w:r>
        <w:r>
          <w:rPr>
            <w:noProof/>
            <w:webHidden/>
          </w:rPr>
        </w:r>
        <w:r>
          <w:rPr>
            <w:noProof/>
            <w:webHidden/>
          </w:rPr>
          <w:fldChar w:fldCharType="separate"/>
        </w:r>
        <w:r>
          <w:rPr>
            <w:noProof/>
            <w:webHidden/>
          </w:rPr>
          <w:t>44</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41" w:history="1">
        <w:r w:rsidRPr="00777301">
          <w:rPr>
            <w:rStyle w:val="a9"/>
            <w:rFonts w:ascii="宋体" w:hAnsi="宋体"/>
            <w:noProof/>
          </w:rPr>
          <w:t>8.3</w:t>
        </w:r>
        <w:r w:rsidRPr="00777301">
          <w:rPr>
            <w:rStyle w:val="a9"/>
            <w:noProof/>
          </w:rPr>
          <w:t xml:space="preserve">   </w:t>
        </w:r>
        <w:r w:rsidRPr="00777301">
          <w:rPr>
            <w:rStyle w:val="a9"/>
            <w:rFonts w:hint="eastAsia"/>
            <w:noProof/>
          </w:rPr>
          <w:t>期末基金管理人的从业人员持有本基金的情况</w:t>
        </w:r>
        <w:r>
          <w:rPr>
            <w:noProof/>
            <w:webHidden/>
          </w:rPr>
          <w:tab/>
        </w:r>
        <w:r>
          <w:rPr>
            <w:noProof/>
            <w:webHidden/>
          </w:rPr>
          <w:fldChar w:fldCharType="begin"/>
        </w:r>
        <w:r>
          <w:rPr>
            <w:noProof/>
            <w:webHidden/>
          </w:rPr>
          <w:instrText xml:space="preserve"> PAGEREF _Toc48663441 \h </w:instrText>
        </w:r>
        <w:r>
          <w:rPr>
            <w:noProof/>
            <w:webHidden/>
          </w:rPr>
        </w:r>
        <w:r>
          <w:rPr>
            <w:noProof/>
            <w:webHidden/>
          </w:rPr>
          <w:fldChar w:fldCharType="separate"/>
        </w:r>
        <w:r>
          <w:rPr>
            <w:noProof/>
            <w:webHidden/>
          </w:rPr>
          <w:t>44</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42" w:history="1">
        <w:r w:rsidRPr="00777301">
          <w:rPr>
            <w:rStyle w:val="a9"/>
            <w:rFonts w:ascii="宋体" w:hAnsi="宋体"/>
            <w:noProof/>
          </w:rPr>
          <w:t>8.4</w:t>
        </w:r>
        <w:r w:rsidRPr="00777301">
          <w:rPr>
            <w:rStyle w:val="a9"/>
            <w:noProof/>
          </w:rPr>
          <w:t xml:space="preserve">   </w:t>
        </w:r>
        <w:r w:rsidRPr="00777301">
          <w:rPr>
            <w:rStyle w:val="a9"/>
            <w:rFonts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_Toc48663442 \h </w:instrText>
        </w:r>
        <w:r>
          <w:rPr>
            <w:noProof/>
            <w:webHidden/>
          </w:rPr>
        </w:r>
        <w:r>
          <w:rPr>
            <w:noProof/>
            <w:webHidden/>
          </w:rPr>
          <w:fldChar w:fldCharType="separate"/>
        </w:r>
        <w:r>
          <w:rPr>
            <w:noProof/>
            <w:webHidden/>
          </w:rPr>
          <w:t>45</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43" w:history="1">
        <w:r w:rsidRPr="00777301">
          <w:rPr>
            <w:rStyle w:val="a9"/>
            <w:noProof/>
          </w:rPr>
          <w:t xml:space="preserve">9     </w:t>
        </w:r>
        <w:r w:rsidRPr="00777301">
          <w:rPr>
            <w:rStyle w:val="a9"/>
            <w:rFonts w:hint="eastAsia"/>
            <w:noProof/>
          </w:rPr>
          <w:t>开放式基金份额变动</w:t>
        </w:r>
        <w:r>
          <w:rPr>
            <w:noProof/>
            <w:webHidden/>
          </w:rPr>
          <w:tab/>
        </w:r>
        <w:r>
          <w:rPr>
            <w:noProof/>
            <w:webHidden/>
          </w:rPr>
          <w:fldChar w:fldCharType="begin"/>
        </w:r>
        <w:r>
          <w:rPr>
            <w:noProof/>
            <w:webHidden/>
          </w:rPr>
          <w:instrText xml:space="preserve"> PAGEREF _Toc48663443 \h </w:instrText>
        </w:r>
        <w:r>
          <w:rPr>
            <w:noProof/>
            <w:webHidden/>
          </w:rPr>
        </w:r>
        <w:r>
          <w:rPr>
            <w:noProof/>
            <w:webHidden/>
          </w:rPr>
          <w:fldChar w:fldCharType="separate"/>
        </w:r>
        <w:r>
          <w:rPr>
            <w:noProof/>
            <w:webHidden/>
          </w:rPr>
          <w:t>45</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44" w:history="1">
        <w:r w:rsidRPr="00777301">
          <w:rPr>
            <w:rStyle w:val="a9"/>
            <w:rFonts w:ascii="宋体" w:hAnsi="宋体"/>
            <w:noProof/>
          </w:rPr>
          <w:t>10</w:t>
        </w:r>
        <w:r w:rsidRPr="00777301">
          <w:rPr>
            <w:rStyle w:val="a9"/>
            <w:noProof/>
          </w:rPr>
          <w:t xml:space="preserve">     </w:t>
        </w:r>
        <w:r w:rsidRPr="00777301">
          <w:rPr>
            <w:rStyle w:val="a9"/>
            <w:rFonts w:hint="eastAsia"/>
            <w:noProof/>
          </w:rPr>
          <w:t>重大事件揭示</w:t>
        </w:r>
        <w:r>
          <w:rPr>
            <w:noProof/>
            <w:webHidden/>
          </w:rPr>
          <w:tab/>
        </w:r>
        <w:r>
          <w:rPr>
            <w:noProof/>
            <w:webHidden/>
          </w:rPr>
          <w:fldChar w:fldCharType="begin"/>
        </w:r>
        <w:r>
          <w:rPr>
            <w:noProof/>
            <w:webHidden/>
          </w:rPr>
          <w:instrText xml:space="preserve"> PAGEREF _Toc48663444 \h </w:instrText>
        </w:r>
        <w:r>
          <w:rPr>
            <w:noProof/>
            <w:webHidden/>
          </w:rPr>
        </w:r>
        <w:r>
          <w:rPr>
            <w:noProof/>
            <w:webHidden/>
          </w:rPr>
          <w:fldChar w:fldCharType="separate"/>
        </w:r>
        <w:r>
          <w:rPr>
            <w:noProof/>
            <w:webHidden/>
          </w:rPr>
          <w:t>46</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45" w:history="1">
        <w:r w:rsidRPr="00777301">
          <w:rPr>
            <w:rStyle w:val="a9"/>
            <w:rFonts w:ascii="宋体" w:hAnsi="宋体"/>
            <w:noProof/>
          </w:rPr>
          <w:t>10.1</w:t>
        </w:r>
        <w:r w:rsidRPr="00777301">
          <w:rPr>
            <w:rStyle w:val="a9"/>
            <w:noProof/>
          </w:rPr>
          <w:t xml:space="preserve">   </w:t>
        </w:r>
        <w:r w:rsidRPr="00777301">
          <w:rPr>
            <w:rStyle w:val="a9"/>
            <w:rFonts w:hint="eastAsia"/>
            <w:noProof/>
          </w:rPr>
          <w:t>基金份额持有人大会决议</w:t>
        </w:r>
        <w:r>
          <w:rPr>
            <w:noProof/>
            <w:webHidden/>
          </w:rPr>
          <w:tab/>
        </w:r>
        <w:r>
          <w:rPr>
            <w:noProof/>
            <w:webHidden/>
          </w:rPr>
          <w:fldChar w:fldCharType="begin"/>
        </w:r>
        <w:r>
          <w:rPr>
            <w:noProof/>
            <w:webHidden/>
          </w:rPr>
          <w:instrText xml:space="preserve"> PAGEREF _Toc48663445 \h </w:instrText>
        </w:r>
        <w:r>
          <w:rPr>
            <w:noProof/>
            <w:webHidden/>
          </w:rPr>
        </w:r>
        <w:r>
          <w:rPr>
            <w:noProof/>
            <w:webHidden/>
          </w:rPr>
          <w:fldChar w:fldCharType="separate"/>
        </w:r>
        <w:r>
          <w:rPr>
            <w:noProof/>
            <w:webHidden/>
          </w:rPr>
          <w:t>46</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46" w:history="1">
        <w:r w:rsidRPr="00777301">
          <w:rPr>
            <w:rStyle w:val="a9"/>
            <w:rFonts w:ascii="宋体" w:hAnsi="宋体"/>
            <w:noProof/>
          </w:rPr>
          <w:t>10.2</w:t>
        </w:r>
        <w:r w:rsidRPr="00777301">
          <w:rPr>
            <w:rStyle w:val="a9"/>
            <w:noProof/>
          </w:rPr>
          <w:t xml:space="preserve">   </w:t>
        </w:r>
        <w:r w:rsidRPr="00777301">
          <w:rPr>
            <w:rStyle w:val="a9"/>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_Toc48663446 \h </w:instrText>
        </w:r>
        <w:r>
          <w:rPr>
            <w:noProof/>
            <w:webHidden/>
          </w:rPr>
        </w:r>
        <w:r>
          <w:rPr>
            <w:noProof/>
            <w:webHidden/>
          </w:rPr>
          <w:fldChar w:fldCharType="separate"/>
        </w:r>
        <w:r>
          <w:rPr>
            <w:noProof/>
            <w:webHidden/>
          </w:rPr>
          <w:t>46</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47" w:history="1">
        <w:r w:rsidRPr="00777301">
          <w:rPr>
            <w:rStyle w:val="a9"/>
            <w:rFonts w:ascii="宋体" w:hAnsi="宋体"/>
            <w:noProof/>
          </w:rPr>
          <w:t>10.3</w:t>
        </w:r>
        <w:r w:rsidRPr="00777301">
          <w:rPr>
            <w:rStyle w:val="a9"/>
            <w:noProof/>
          </w:rPr>
          <w:t xml:space="preserve">   </w:t>
        </w:r>
        <w:r w:rsidRPr="00777301">
          <w:rPr>
            <w:rStyle w:val="a9"/>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_Toc48663447 \h </w:instrText>
        </w:r>
        <w:r>
          <w:rPr>
            <w:noProof/>
            <w:webHidden/>
          </w:rPr>
        </w:r>
        <w:r>
          <w:rPr>
            <w:noProof/>
            <w:webHidden/>
          </w:rPr>
          <w:fldChar w:fldCharType="separate"/>
        </w:r>
        <w:r>
          <w:rPr>
            <w:noProof/>
            <w:webHidden/>
          </w:rPr>
          <w:t>46</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48" w:history="1">
        <w:r w:rsidRPr="00777301">
          <w:rPr>
            <w:rStyle w:val="a9"/>
            <w:rFonts w:ascii="宋体" w:hAnsi="宋体"/>
            <w:noProof/>
          </w:rPr>
          <w:t>10.4</w:t>
        </w:r>
        <w:r w:rsidRPr="00777301">
          <w:rPr>
            <w:rStyle w:val="a9"/>
            <w:noProof/>
          </w:rPr>
          <w:t xml:space="preserve">   </w:t>
        </w:r>
        <w:r w:rsidRPr="00777301">
          <w:rPr>
            <w:rStyle w:val="a9"/>
            <w:rFonts w:hint="eastAsia"/>
            <w:noProof/>
          </w:rPr>
          <w:t>基金投资策略的改变</w:t>
        </w:r>
        <w:r>
          <w:rPr>
            <w:noProof/>
            <w:webHidden/>
          </w:rPr>
          <w:tab/>
        </w:r>
        <w:r>
          <w:rPr>
            <w:noProof/>
            <w:webHidden/>
          </w:rPr>
          <w:fldChar w:fldCharType="begin"/>
        </w:r>
        <w:r>
          <w:rPr>
            <w:noProof/>
            <w:webHidden/>
          </w:rPr>
          <w:instrText xml:space="preserve"> PAGEREF _Toc48663448 \h </w:instrText>
        </w:r>
        <w:r>
          <w:rPr>
            <w:noProof/>
            <w:webHidden/>
          </w:rPr>
        </w:r>
        <w:r>
          <w:rPr>
            <w:noProof/>
            <w:webHidden/>
          </w:rPr>
          <w:fldChar w:fldCharType="separate"/>
        </w:r>
        <w:r>
          <w:rPr>
            <w:noProof/>
            <w:webHidden/>
          </w:rPr>
          <w:t>46</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49" w:history="1">
        <w:r w:rsidRPr="00777301">
          <w:rPr>
            <w:rStyle w:val="a9"/>
            <w:rFonts w:ascii="宋体" w:hAnsi="宋体"/>
            <w:noProof/>
          </w:rPr>
          <w:t>10.5</w:t>
        </w:r>
        <w:r w:rsidRPr="00777301">
          <w:rPr>
            <w:rStyle w:val="a9"/>
            <w:noProof/>
          </w:rPr>
          <w:t xml:space="preserve">  </w:t>
        </w:r>
        <w:r w:rsidRPr="00777301">
          <w:rPr>
            <w:rStyle w:val="a9"/>
            <w:rFonts w:ascii="宋体" w:hAnsi="宋体" w:hint="eastAsia"/>
            <w:noProof/>
          </w:rPr>
          <w:t>为基金进行审计的会计师事务所情况</w:t>
        </w:r>
        <w:r>
          <w:rPr>
            <w:noProof/>
            <w:webHidden/>
          </w:rPr>
          <w:tab/>
        </w:r>
        <w:r>
          <w:rPr>
            <w:noProof/>
            <w:webHidden/>
          </w:rPr>
          <w:fldChar w:fldCharType="begin"/>
        </w:r>
        <w:r>
          <w:rPr>
            <w:noProof/>
            <w:webHidden/>
          </w:rPr>
          <w:instrText xml:space="preserve"> PAGEREF _Toc48663449 \h </w:instrText>
        </w:r>
        <w:r>
          <w:rPr>
            <w:noProof/>
            <w:webHidden/>
          </w:rPr>
        </w:r>
        <w:r>
          <w:rPr>
            <w:noProof/>
            <w:webHidden/>
          </w:rPr>
          <w:fldChar w:fldCharType="separate"/>
        </w:r>
        <w:r>
          <w:rPr>
            <w:noProof/>
            <w:webHidden/>
          </w:rPr>
          <w:t>46</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50" w:history="1">
        <w:r w:rsidRPr="00777301">
          <w:rPr>
            <w:rStyle w:val="a9"/>
            <w:rFonts w:ascii="宋体" w:hAnsi="宋体"/>
            <w:noProof/>
          </w:rPr>
          <w:t>10.6</w:t>
        </w:r>
        <w:r w:rsidRPr="00777301">
          <w:rPr>
            <w:rStyle w:val="a9"/>
            <w:noProof/>
          </w:rPr>
          <w:t xml:space="preserve">  </w:t>
        </w:r>
        <w:r w:rsidRPr="00777301">
          <w:rPr>
            <w:rStyle w:val="a9"/>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_Toc48663450 \h </w:instrText>
        </w:r>
        <w:r>
          <w:rPr>
            <w:noProof/>
            <w:webHidden/>
          </w:rPr>
        </w:r>
        <w:r>
          <w:rPr>
            <w:noProof/>
            <w:webHidden/>
          </w:rPr>
          <w:fldChar w:fldCharType="separate"/>
        </w:r>
        <w:r>
          <w:rPr>
            <w:noProof/>
            <w:webHidden/>
          </w:rPr>
          <w:t>46</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51" w:history="1">
        <w:r w:rsidRPr="00777301">
          <w:rPr>
            <w:rStyle w:val="a9"/>
            <w:rFonts w:ascii="宋体" w:hAnsi="宋体"/>
            <w:noProof/>
          </w:rPr>
          <w:t>10.7</w:t>
        </w:r>
        <w:r w:rsidRPr="00777301">
          <w:rPr>
            <w:rStyle w:val="a9"/>
            <w:noProof/>
          </w:rPr>
          <w:t xml:space="preserve">  </w:t>
        </w:r>
        <w:r w:rsidRPr="00777301">
          <w:rPr>
            <w:rStyle w:val="a9"/>
            <w:rFonts w:hint="eastAsia"/>
            <w:noProof/>
          </w:rPr>
          <w:t>基金租用证券公司交易单元的有关情况</w:t>
        </w:r>
        <w:r>
          <w:rPr>
            <w:noProof/>
            <w:webHidden/>
          </w:rPr>
          <w:tab/>
        </w:r>
        <w:r>
          <w:rPr>
            <w:noProof/>
            <w:webHidden/>
          </w:rPr>
          <w:fldChar w:fldCharType="begin"/>
        </w:r>
        <w:r>
          <w:rPr>
            <w:noProof/>
            <w:webHidden/>
          </w:rPr>
          <w:instrText xml:space="preserve"> PAGEREF _Toc48663451 \h </w:instrText>
        </w:r>
        <w:r>
          <w:rPr>
            <w:noProof/>
            <w:webHidden/>
          </w:rPr>
        </w:r>
        <w:r>
          <w:rPr>
            <w:noProof/>
            <w:webHidden/>
          </w:rPr>
          <w:fldChar w:fldCharType="separate"/>
        </w:r>
        <w:r>
          <w:rPr>
            <w:noProof/>
            <w:webHidden/>
          </w:rPr>
          <w:t>46</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52" w:history="1">
        <w:r w:rsidRPr="00777301">
          <w:rPr>
            <w:rStyle w:val="a9"/>
            <w:rFonts w:ascii="宋体" w:hAnsi="宋体"/>
            <w:noProof/>
          </w:rPr>
          <w:t>10.8</w:t>
        </w:r>
        <w:r w:rsidRPr="00777301">
          <w:rPr>
            <w:rStyle w:val="a9"/>
            <w:noProof/>
          </w:rPr>
          <w:t xml:space="preserve">   </w:t>
        </w:r>
        <w:r w:rsidRPr="00777301">
          <w:rPr>
            <w:rStyle w:val="a9"/>
            <w:rFonts w:hint="eastAsia"/>
            <w:noProof/>
          </w:rPr>
          <w:t>其他重大事件</w:t>
        </w:r>
        <w:r>
          <w:rPr>
            <w:noProof/>
            <w:webHidden/>
          </w:rPr>
          <w:tab/>
        </w:r>
        <w:r>
          <w:rPr>
            <w:noProof/>
            <w:webHidden/>
          </w:rPr>
          <w:fldChar w:fldCharType="begin"/>
        </w:r>
        <w:r>
          <w:rPr>
            <w:noProof/>
            <w:webHidden/>
          </w:rPr>
          <w:instrText xml:space="preserve"> PAGEREF _Toc48663452 \h </w:instrText>
        </w:r>
        <w:r>
          <w:rPr>
            <w:noProof/>
            <w:webHidden/>
          </w:rPr>
        </w:r>
        <w:r>
          <w:rPr>
            <w:noProof/>
            <w:webHidden/>
          </w:rPr>
          <w:fldChar w:fldCharType="separate"/>
        </w:r>
        <w:r>
          <w:rPr>
            <w:noProof/>
            <w:webHidden/>
          </w:rPr>
          <w:t>50</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53" w:history="1">
        <w:r w:rsidRPr="00777301">
          <w:rPr>
            <w:rStyle w:val="a9"/>
            <w:rFonts w:ascii="宋体" w:hAnsi="宋体"/>
            <w:noProof/>
          </w:rPr>
          <w:t>11</w:t>
        </w:r>
        <w:r w:rsidRPr="00777301">
          <w:rPr>
            <w:rStyle w:val="a9"/>
            <w:noProof/>
          </w:rPr>
          <w:t xml:space="preserve">     </w:t>
        </w:r>
        <w:r w:rsidRPr="00777301">
          <w:rPr>
            <w:rStyle w:val="a9"/>
            <w:rFonts w:hint="eastAsia"/>
            <w:noProof/>
          </w:rPr>
          <w:t>备查文件目录</w:t>
        </w:r>
        <w:r>
          <w:rPr>
            <w:noProof/>
            <w:webHidden/>
          </w:rPr>
          <w:tab/>
        </w:r>
        <w:r>
          <w:rPr>
            <w:noProof/>
            <w:webHidden/>
          </w:rPr>
          <w:fldChar w:fldCharType="begin"/>
        </w:r>
        <w:r>
          <w:rPr>
            <w:noProof/>
            <w:webHidden/>
          </w:rPr>
          <w:instrText xml:space="preserve"> PAGEREF _Toc48663453 \h </w:instrText>
        </w:r>
        <w:r>
          <w:rPr>
            <w:noProof/>
            <w:webHidden/>
          </w:rPr>
        </w:r>
        <w:r>
          <w:rPr>
            <w:noProof/>
            <w:webHidden/>
          </w:rPr>
          <w:fldChar w:fldCharType="separate"/>
        </w:r>
        <w:r>
          <w:rPr>
            <w:noProof/>
            <w:webHidden/>
          </w:rPr>
          <w:t>52</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54" w:history="1">
        <w:r w:rsidRPr="00777301">
          <w:rPr>
            <w:rStyle w:val="a9"/>
            <w:rFonts w:ascii="宋体" w:hAnsi="宋体"/>
            <w:noProof/>
          </w:rPr>
          <w:t>11.1</w:t>
        </w:r>
        <w:r w:rsidRPr="00777301">
          <w:rPr>
            <w:rStyle w:val="a9"/>
            <w:noProof/>
          </w:rPr>
          <w:t xml:space="preserve">   </w:t>
        </w:r>
        <w:r w:rsidRPr="00777301">
          <w:rPr>
            <w:rStyle w:val="a9"/>
            <w:rFonts w:hint="eastAsia"/>
            <w:noProof/>
          </w:rPr>
          <w:t>备查文件目录</w:t>
        </w:r>
        <w:r>
          <w:rPr>
            <w:noProof/>
            <w:webHidden/>
          </w:rPr>
          <w:tab/>
        </w:r>
        <w:r>
          <w:rPr>
            <w:noProof/>
            <w:webHidden/>
          </w:rPr>
          <w:fldChar w:fldCharType="begin"/>
        </w:r>
        <w:r>
          <w:rPr>
            <w:noProof/>
            <w:webHidden/>
          </w:rPr>
          <w:instrText xml:space="preserve"> PAGEREF _Toc48663454 \h </w:instrText>
        </w:r>
        <w:r>
          <w:rPr>
            <w:noProof/>
            <w:webHidden/>
          </w:rPr>
        </w:r>
        <w:r>
          <w:rPr>
            <w:noProof/>
            <w:webHidden/>
          </w:rPr>
          <w:fldChar w:fldCharType="separate"/>
        </w:r>
        <w:r>
          <w:rPr>
            <w:noProof/>
            <w:webHidden/>
          </w:rPr>
          <w:t>52</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55" w:history="1">
        <w:r w:rsidRPr="00777301">
          <w:rPr>
            <w:rStyle w:val="a9"/>
            <w:rFonts w:ascii="宋体" w:hAnsi="宋体"/>
            <w:noProof/>
          </w:rPr>
          <w:t>11.2</w:t>
        </w:r>
        <w:r w:rsidRPr="00777301">
          <w:rPr>
            <w:rStyle w:val="a9"/>
            <w:noProof/>
          </w:rPr>
          <w:t xml:space="preserve">   </w:t>
        </w:r>
        <w:r w:rsidRPr="00777301">
          <w:rPr>
            <w:rStyle w:val="a9"/>
            <w:rFonts w:hint="eastAsia"/>
            <w:noProof/>
          </w:rPr>
          <w:t>存放地点</w:t>
        </w:r>
        <w:r>
          <w:rPr>
            <w:noProof/>
            <w:webHidden/>
          </w:rPr>
          <w:tab/>
        </w:r>
        <w:r>
          <w:rPr>
            <w:noProof/>
            <w:webHidden/>
          </w:rPr>
          <w:fldChar w:fldCharType="begin"/>
        </w:r>
        <w:r>
          <w:rPr>
            <w:noProof/>
            <w:webHidden/>
          </w:rPr>
          <w:instrText xml:space="preserve"> PAGEREF _Toc48663455 \h </w:instrText>
        </w:r>
        <w:r>
          <w:rPr>
            <w:noProof/>
            <w:webHidden/>
          </w:rPr>
        </w:r>
        <w:r>
          <w:rPr>
            <w:noProof/>
            <w:webHidden/>
          </w:rPr>
          <w:fldChar w:fldCharType="separate"/>
        </w:r>
        <w:r>
          <w:rPr>
            <w:noProof/>
            <w:webHidden/>
          </w:rPr>
          <w:t>52</w:t>
        </w:r>
        <w:r>
          <w:rPr>
            <w:noProof/>
            <w:webHidden/>
          </w:rPr>
          <w:fldChar w:fldCharType="end"/>
        </w:r>
      </w:hyperlink>
    </w:p>
    <w:p w:rsidR="00D64F49" w:rsidRDefault="00D64F49">
      <w:pPr>
        <w:pStyle w:val="22"/>
        <w:ind w:left="420"/>
        <w:rPr>
          <w:rFonts w:asciiTheme="minorHAnsi" w:eastAsiaTheme="minorEastAsia" w:hAnsiTheme="minorHAnsi" w:cstheme="minorBidi"/>
          <w:noProof/>
          <w:kern w:val="2"/>
          <w:szCs w:val="22"/>
        </w:rPr>
      </w:pPr>
      <w:hyperlink w:anchor="_Toc48663456" w:history="1">
        <w:r w:rsidRPr="00777301">
          <w:rPr>
            <w:rStyle w:val="a9"/>
            <w:rFonts w:ascii="宋体" w:hAnsi="宋体"/>
            <w:noProof/>
          </w:rPr>
          <w:t>11.3</w:t>
        </w:r>
        <w:r w:rsidRPr="00777301">
          <w:rPr>
            <w:rStyle w:val="a9"/>
            <w:noProof/>
          </w:rPr>
          <w:t xml:space="preserve">   </w:t>
        </w:r>
        <w:r w:rsidRPr="00777301">
          <w:rPr>
            <w:rStyle w:val="a9"/>
            <w:rFonts w:hint="eastAsia"/>
            <w:noProof/>
          </w:rPr>
          <w:t>查阅方式</w:t>
        </w:r>
        <w:r>
          <w:rPr>
            <w:noProof/>
            <w:webHidden/>
          </w:rPr>
          <w:tab/>
        </w:r>
        <w:r>
          <w:rPr>
            <w:noProof/>
            <w:webHidden/>
          </w:rPr>
          <w:fldChar w:fldCharType="begin"/>
        </w:r>
        <w:r>
          <w:rPr>
            <w:noProof/>
            <w:webHidden/>
          </w:rPr>
          <w:instrText xml:space="preserve"> PAGEREF _Toc48663456 \h </w:instrText>
        </w:r>
        <w:r>
          <w:rPr>
            <w:noProof/>
            <w:webHidden/>
          </w:rPr>
        </w:r>
        <w:r>
          <w:rPr>
            <w:noProof/>
            <w:webHidden/>
          </w:rPr>
          <w:fldChar w:fldCharType="separate"/>
        </w:r>
        <w:r>
          <w:rPr>
            <w:noProof/>
            <w:webHidden/>
          </w:rPr>
          <w:t>52</w:t>
        </w:r>
        <w:r>
          <w:rPr>
            <w:noProof/>
            <w:webHidden/>
          </w:rPr>
          <w:fldChar w:fldCharType="end"/>
        </w:r>
      </w:hyperlink>
    </w:p>
    <w:p w:rsidR="00871A0D" w:rsidRPr="00C24ACA" w:rsidRDefault="00955B17" w:rsidP="00DB02ED">
      <w:pPr>
        <w:pStyle w:val="22"/>
        <w:tabs>
          <w:tab w:val="clear" w:pos="9072"/>
          <w:tab w:val="right" w:leader="dot" w:pos="8834"/>
        </w:tabs>
        <w:ind w:left="420"/>
        <w:rPr>
          <w:rFonts w:eastAsiaTheme="minorEastAsia"/>
        </w:rPr>
      </w:pPr>
      <w:r w:rsidRPr="006F3222">
        <w:rPr>
          <w:rFonts w:eastAsiaTheme="minorEastAsia"/>
          <w:color w:val="000000"/>
        </w:rPr>
        <w:fldChar w:fldCharType="end"/>
      </w:r>
      <w:r w:rsidR="00871A0D" w:rsidRPr="00C24ACA">
        <w:rPr>
          <w:rFonts w:eastAsiaTheme="minorEastAsia"/>
        </w:rPr>
        <w:br w:type="page"/>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21" w:name="_Toc225498244"/>
      <w:bookmarkStart w:id="22" w:name="_Toc352255960"/>
      <w:bookmarkStart w:id="23" w:name="_Toc352256028"/>
      <w:bookmarkStart w:id="24" w:name="_Toc352331206"/>
      <w:bookmarkStart w:id="25" w:name="_Toc390164792"/>
      <w:bookmarkStart w:id="26" w:name="_Toc48663398"/>
      <w:r w:rsidRPr="000C6CCD">
        <w:rPr>
          <w:rFonts w:ascii="宋体" w:hAnsi="宋体"/>
          <w:bCs w:val="0"/>
          <w:color w:val="000000"/>
          <w:sz w:val="21"/>
          <w:szCs w:val="21"/>
        </w:rPr>
        <w:t>2</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基金简介</w:t>
      </w:r>
      <w:bookmarkEnd w:id="21"/>
      <w:bookmarkEnd w:id="22"/>
      <w:bookmarkEnd w:id="23"/>
      <w:bookmarkEnd w:id="24"/>
      <w:bookmarkEnd w:id="25"/>
      <w:bookmarkEnd w:id="26"/>
    </w:p>
    <w:p w:rsidR="008A5A5D" w:rsidRPr="00A317EA" w:rsidRDefault="008A5A5D" w:rsidP="00732F5C">
      <w:pPr>
        <w:pStyle w:val="20"/>
        <w:spacing w:beforeLines="100" w:before="312" w:after="0"/>
        <w:rPr>
          <w:rFonts w:ascii="Times New Roman" w:eastAsiaTheme="minorEastAsia" w:hAnsi="Times New Roman"/>
          <w:kern w:val="0"/>
          <w:sz w:val="21"/>
          <w:szCs w:val="21"/>
        </w:rPr>
      </w:pPr>
      <w:bookmarkStart w:id="27" w:name="_Toc352255961"/>
      <w:bookmarkStart w:id="28" w:name="_Toc352256029"/>
      <w:bookmarkStart w:id="29" w:name="_Toc352331207"/>
      <w:bookmarkStart w:id="30" w:name="_Toc390164793"/>
      <w:bookmarkStart w:id="31" w:name="_Toc48663399"/>
      <w:r w:rsidRPr="0087359D">
        <w:rPr>
          <w:rFonts w:ascii="宋体" w:hAnsi="宋体"/>
          <w:kern w:val="0"/>
          <w:sz w:val="21"/>
          <w:szCs w:val="21"/>
        </w:rPr>
        <w:t>2.1</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基金基本情况</w:t>
      </w:r>
      <w:bookmarkEnd w:id="27"/>
      <w:bookmarkEnd w:id="28"/>
      <w:bookmarkEnd w:id="29"/>
      <w:bookmarkEnd w:id="30"/>
      <w:bookmarkEnd w:id="3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58"/>
        <w:gridCol w:w="2580"/>
        <w:gridCol w:w="2637"/>
      </w:tblGrid>
      <w:tr w:rsidR="008A5A5D" w:rsidRPr="00C24ACA" w:rsidTr="00862636">
        <w:tc>
          <w:tcPr>
            <w:tcW w:w="3258" w:type="dxa"/>
          </w:tcPr>
          <w:p w:rsidR="008A5A5D" w:rsidRPr="00C24ACA" w:rsidRDefault="008A5A5D" w:rsidP="008F4C10">
            <w:pPr>
              <w:rPr>
                <w:rFonts w:eastAsiaTheme="minorEastAsia"/>
                <w:color w:val="000000"/>
                <w:kern w:val="0"/>
                <w:szCs w:val="21"/>
              </w:rPr>
            </w:pPr>
            <w:r w:rsidRPr="00C24ACA">
              <w:rPr>
                <w:rFonts w:eastAsiaTheme="minorEastAsia"/>
                <w:szCs w:val="21"/>
              </w:rPr>
              <w:t>基金名称</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易方达黄金主题证券投资基金（</w:t>
            </w:r>
            <w:r w:rsidRPr="00C24ACA">
              <w:rPr>
                <w:rFonts w:eastAsiaTheme="minorEastAsia"/>
                <w:szCs w:val="21"/>
              </w:rPr>
              <w:t>LOF</w:t>
            </w:r>
            <w:r w:rsidRPr="00C24ACA">
              <w:rPr>
                <w:rFonts w:eastAsiaTheme="minorEastAsia"/>
                <w:szCs w:val="21"/>
              </w:rPr>
              <w:t>）</w:t>
            </w:r>
          </w:p>
        </w:tc>
      </w:tr>
      <w:tr w:rsidR="008A5A5D" w:rsidRPr="00C24ACA" w:rsidTr="00862636">
        <w:tc>
          <w:tcPr>
            <w:tcW w:w="3258" w:type="dxa"/>
          </w:tcPr>
          <w:p w:rsidR="008A5A5D" w:rsidRPr="00C24ACA" w:rsidRDefault="008A5A5D" w:rsidP="008F4C10">
            <w:pPr>
              <w:rPr>
                <w:rFonts w:eastAsiaTheme="minorEastAsia"/>
                <w:color w:val="000000"/>
                <w:kern w:val="0"/>
                <w:szCs w:val="21"/>
              </w:rPr>
            </w:pPr>
            <w:r w:rsidRPr="00C24ACA">
              <w:rPr>
                <w:rFonts w:eastAsiaTheme="minorEastAsia"/>
                <w:szCs w:val="21"/>
              </w:rPr>
              <w:t>基金简称</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易方达黄金主题（</w:t>
            </w:r>
            <w:r w:rsidRPr="00C24ACA">
              <w:rPr>
                <w:rFonts w:eastAsiaTheme="minorEastAsia"/>
                <w:szCs w:val="21"/>
              </w:rPr>
              <w:t>QDII-LOF-FOF</w:t>
            </w:r>
            <w:r w:rsidRPr="00C24ACA">
              <w:rPr>
                <w:rFonts w:eastAsiaTheme="minorEastAsia"/>
                <w:szCs w:val="21"/>
              </w:rPr>
              <w:t>）</w:t>
            </w:r>
          </w:p>
        </w:tc>
      </w:tr>
      <w:tr w:rsidR="009A1CB4" w:rsidRPr="00C24ACA" w:rsidTr="00862636">
        <w:tc>
          <w:tcPr>
            <w:tcW w:w="3258" w:type="dxa"/>
          </w:tcPr>
          <w:p w:rsidR="009A1CB4" w:rsidRPr="00C24ACA" w:rsidRDefault="009A1CB4" w:rsidP="008F4C10">
            <w:pPr>
              <w:rPr>
                <w:rFonts w:eastAsiaTheme="minorEastAsia"/>
                <w:szCs w:val="21"/>
              </w:rPr>
            </w:pPr>
            <w:r w:rsidRPr="00C24ACA">
              <w:rPr>
                <w:rFonts w:eastAsiaTheme="minorEastAsia"/>
                <w:szCs w:val="21"/>
              </w:rPr>
              <w:t>场内简称</w:t>
            </w:r>
          </w:p>
        </w:tc>
        <w:tc>
          <w:tcPr>
            <w:tcW w:w="5217" w:type="dxa"/>
            <w:gridSpan w:val="2"/>
            <w:vAlign w:val="center"/>
          </w:tcPr>
          <w:p w:rsidR="009A1CB4" w:rsidRPr="00C24ACA" w:rsidRDefault="009A1CB4" w:rsidP="008F4C10">
            <w:pPr>
              <w:jc w:val="right"/>
              <w:rPr>
                <w:rFonts w:eastAsiaTheme="minorEastAsia"/>
                <w:szCs w:val="21"/>
              </w:rPr>
            </w:pPr>
            <w:r w:rsidRPr="00C24ACA">
              <w:rPr>
                <w:rFonts w:eastAsiaTheme="minorEastAsia"/>
                <w:szCs w:val="21"/>
              </w:rPr>
              <w:t>易基黄金</w:t>
            </w:r>
          </w:p>
        </w:tc>
      </w:tr>
      <w:tr w:rsidR="008A5A5D" w:rsidRPr="00C24ACA" w:rsidTr="00862636">
        <w:tc>
          <w:tcPr>
            <w:tcW w:w="3258" w:type="dxa"/>
            <w:vAlign w:val="center"/>
          </w:tcPr>
          <w:p w:rsidR="008A5A5D" w:rsidRPr="00C24ACA" w:rsidRDefault="008A5A5D" w:rsidP="008F4C10">
            <w:pPr>
              <w:rPr>
                <w:rFonts w:eastAsiaTheme="minorEastAsia"/>
                <w:color w:val="000000"/>
                <w:kern w:val="0"/>
                <w:szCs w:val="21"/>
              </w:rPr>
            </w:pPr>
            <w:r w:rsidRPr="00C24ACA">
              <w:rPr>
                <w:rFonts w:eastAsiaTheme="minorEastAsia"/>
                <w:szCs w:val="21"/>
              </w:rPr>
              <w:t>基金主代码</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161116</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基金运作方式</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契约型、上市开放式（</w:t>
            </w:r>
            <w:r w:rsidRPr="00C24ACA">
              <w:rPr>
                <w:rFonts w:eastAsiaTheme="minorEastAsia"/>
                <w:szCs w:val="21"/>
              </w:rPr>
              <w:t>LOF</w:t>
            </w:r>
            <w:r w:rsidRPr="00C24ACA">
              <w:rPr>
                <w:rFonts w:eastAsiaTheme="minorEastAsia"/>
                <w:szCs w:val="21"/>
              </w:rPr>
              <w:t>）</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基金合同生效日</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2011</w:t>
            </w:r>
            <w:r w:rsidRPr="00C24ACA">
              <w:rPr>
                <w:rFonts w:eastAsiaTheme="minorEastAsia"/>
                <w:szCs w:val="21"/>
              </w:rPr>
              <w:t>年</w:t>
            </w:r>
            <w:r w:rsidRPr="00C24ACA">
              <w:rPr>
                <w:rFonts w:eastAsiaTheme="minorEastAsia"/>
                <w:szCs w:val="21"/>
              </w:rPr>
              <w:t>5</w:t>
            </w:r>
            <w:r w:rsidRPr="00C24ACA">
              <w:rPr>
                <w:rFonts w:eastAsiaTheme="minorEastAsia"/>
                <w:szCs w:val="21"/>
              </w:rPr>
              <w:t>月</w:t>
            </w:r>
            <w:r w:rsidRPr="00C24ACA">
              <w:rPr>
                <w:rFonts w:eastAsiaTheme="minorEastAsia"/>
                <w:szCs w:val="21"/>
              </w:rPr>
              <w:t>6</w:t>
            </w:r>
            <w:r w:rsidRPr="00C24ACA">
              <w:rPr>
                <w:rFonts w:eastAsiaTheme="minorEastAsia"/>
                <w:szCs w:val="21"/>
              </w:rPr>
              <w:t>日</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基金管理人</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易方达基金管理有限公司</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基金托管人</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中国农业银行股份有限公司</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报告期末基金份额总额</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316,627,490.94</w:t>
            </w:r>
            <w:r w:rsidRPr="00C24ACA">
              <w:rPr>
                <w:rFonts w:eastAsiaTheme="minorEastAsia"/>
                <w:szCs w:val="21"/>
              </w:rPr>
              <w:t>份</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基金合同存续期</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不定期</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基金份额上市的证券交易所</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深圳证券交易所</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上市日期</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2011</w:t>
            </w:r>
            <w:r w:rsidRPr="00C24ACA">
              <w:rPr>
                <w:rFonts w:eastAsiaTheme="minorEastAsia"/>
                <w:szCs w:val="21"/>
              </w:rPr>
              <w:t>年</w:t>
            </w:r>
            <w:r w:rsidRPr="00C24ACA">
              <w:rPr>
                <w:rFonts w:eastAsiaTheme="minorEastAsia"/>
                <w:szCs w:val="21"/>
              </w:rPr>
              <w:t>11</w:t>
            </w:r>
            <w:r w:rsidRPr="00C24ACA">
              <w:rPr>
                <w:rFonts w:eastAsiaTheme="minorEastAsia"/>
                <w:szCs w:val="21"/>
              </w:rPr>
              <w:t>月</w:t>
            </w:r>
            <w:r w:rsidRPr="00C24ACA">
              <w:rPr>
                <w:rFonts w:eastAsiaTheme="minorEastAsia"/>
                <w:szCs w:val="21"/>
              </w:rPr>
              <w:t>8</w:t>
            </w:r>
            <w:r w:rsidRPr="00C24ACA">
              <w:rPr>
                <w:rFonts w:eastAsiaTheme="minorEastAsia"/>
                <w:szCs w:val="21"/>
              </w:rPr>
              <w:t>日</w:t>
            </w:r>
          </w:p>
        </w:tc>
      </w:tr>
      <w:tr w:rsidR="008F4C10" w:rsidRPr="00C24ACA" w:rsidTr="004743F8">
        <w:tc>
          <w:tcPr>
            <w:tcW w:w="3258" w:type="dxa"/>
            <w:vAlign w:val="center"/>
          </w:tcPr>
          <w:p w:rsidR="008F4C10" w:rsidRPr="00C24ACA" w:rsidRDefault="008F4C10" w:rsidP="008F4C10">
            <w:pPr>
              <w:rPr>
                <w:rFonts w:eastAsiaTheme="minorEastAsia"/>
                <w:szCs w:val="21"/>
              </w:rPr>
            </w:pPr>
            <w:r w:rsidRPr="00C24ACA">
              <w:rPr>
                <w:rFonts w:eastAsiaTheme="minorEastAsia"/>
                <w:szCs w:val="21"/>
              </w:rPr>
              <w:t>下属分级基金的基金简称</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易方达黄金主题（</w:t>
            </w:r>
            <w:r w:rsidRPr="00C24ACA">
              <w:rPr>
                <w:rFonts w:eastAsiaTheme="minorEastAsia"/>
                <w:szCs w:val="21"/>
              </w:rPr>
              <w:t>QDII-LOF-FOF</w:t>
            </w:r>
            <w:r w:rsidRPr="00C24ACA">
              <w:rPr>
                <w:rFonts w:eastAsiaTheme="minorEastAsia"/>
                <w:szCs w:val="21"/>
              </w:rPr>
              <w:t>）</w:t>
            </w:r>
            <w:r w:rsidRPr="00C24ACA">
              <w:rPr>
                <w:rFonts w:eastAsiaTheme="minorEastAsia"/>
                <w:szCs w:val="21"/>
              </w:rPr>
              <w:t>A</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易方达黄金主题（</w:t>
            </w:r>
            <w:r w:rsidRPr="00C24ACA">
              <w:rPr>
                <w:rFonts w:eastAsiaTheme="minorEastAsia"/>
                <w:szCs w:val="21"/>
              </w:rPr>
              <w:t>QDII-LOF-FOF</w:t>
            </w:r>
            <w:r w:rsidRPr="00C24ACA">
              <w:rPr>
                <w:rFonts w:eastAsiaTheme="minorEastAsia"/>
                <w:szCs w:val="21"/>
              </w:rPr>
              <w:t>）</w:t>
            </w:r>
            <w:r w:rsidRPr="00C24ACA">
              <w:rPr>
                <w:rFonts w:eastAsiaTheme="minorEastAsia"/>
                <w:szCs w:val="21"/>
              </w:rPr>
              <w:t>C</w:t>
            </w:r>
          </w:p>
        </w:tc>
      </w:tr>
      <w:tr w:rsidR="008F4C10" w:rsidRPr="00C24ACA" w:rsidTr="004743F8">
        <w:tc>
          <w:tcPr>
            <w:tcW w:w="3258" w:type="dxa"/>
            <w:vAlign w:val="center"/>
          </w:tcPr>
          <w:p w:rsidR="008F4C10" w:rsidRPr="00C24ACA" w:rsidRDefault="008F4C10" w:rsidP="008F4C10">
            <w:pPr>
              <w:rPr>
                <w:rFonts w:eastAsiaTheme="minorEastAsia"/>
                <w:szCs w:val="21"/>
              </w:rPr>
            </w:pPr>
            <w:r w:rsidRPr="00C24ACA">
              <w:rPr>
                <w:rFonts w:eastAsiaTheme="minorEastAsia"/>
                <w:szCs w:val="21"/>
              </w:rPr>
              <w:t>下属分级基金的交易代码</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161116</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007976</w:t>
            </w:r>
          </w:p>
        </w:tc>
      </w:tr>
      <w:tr w:rsidR="008F4C10" w:rsidRPr="00C24ACA" w:rsidTr="004743F8">
        <w:tc>
          <w:tcPr>
            <w:tcW w:w="3258" w:type="dxa"/>
            <w:vAlign w:val="center"/>
          </w:tcPr>
          <w:p w:rsidR="008F4C10" w:rsidRPr="00C24ACA" w:rsidRDefault="008F4C10" w:rsidP="008F4C10">
            <w:pPr>
              <w:rPr>
                <w:rFonts w:eastAsiaTheme="minorEastAsia"/>
                <w:szCs w:val="21"/>
              </w:rPr>
            </w:pPr>
            <w:r w:rsidRPr="00C24ACA">
              <w:rPr>
                <w:rFonts w:eastAsiaTheme="minorEastAsia"/>
                <w:szCs w:val="21"/>
              </w:rPr>
              <w:t>报告期末下属分级基金的份额总额</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315,318,972.14</w:t>
            </w:r>
            <w:r w:rsidRPr="00C24ACA">
              <w:rPr>
                <w:rFonts w:eastAsiaTheme="minorEastAsia"/>
                <w:szCs w:val="21"/>
              </w:rPr>
              <w:t>份</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1,308,518.80</w:t>
            </w:r>
            <w:r w:rsidRPr="00C24ACA">
              <w:rPr>
                <w:rFonts w:eastAsiaTheme="minorEastAsia"/>
                <w:szCs w:val="21"/>
              </w:rPr>
              <w:t>份</w:t>
            </w:r>
          </w:p>
        </w:tc>
      </w:tr>
    </w:tbl>
    <w:p w:rsidR="00854133" w:rsidRDefault="00581AA4">
      <w:pPr>
        <w:tabs>
          <w:tab w:val="left" w:pos="426"/>
        </w:tabs>
        <w:spacing w:line="360" w:lineRule="auto"/>
        <w:ind w:firstLineChars="200" w:firstLine="420"/>
        <w:jc w:val="left"/>
        <w:rPr>
          <w:rFonts w:eastAsiaTheme="minorEastAsia"/>
          <w:color w:val="000000"/>
          <w:szCs w:val="21"/>
        </w:rPr>
      </w:pPr>
      <w:r>
        <w:rPr>
          <w:rFonts w:eastAsiaTheme="minorEastAsia"/>
          <w:kern w:val="0"/>
          <w:szCs w:val="21"/>
        </w:rPr>
        <w:t>注：</w:t>
      </w:r>
      <w:r>
        <w:rPr>
          <w:rFonts w:eastAsiaTheme="minorEastAsia"/>
          <w:kern w:val="0"/>
          <w:szCs w:val="21"/>
        </w:rPr>
        <w:t>1.</w:t>
      </w:r>
      <w:r>
        <w:rPr>
          <w:rFonts w:eastAsiaTheme="minorEastAsia"/>
          <w:kern w:val="0"/>
          <w:szCs w:val="21"/>
        </w:rPr>
        <w:t>根据</w:t>
      </w:r>
      <w:r>
        <w:rPr>
          <w:rFonts w:eastAsiaTheme="minorEastAsia"/>
          <w:kern w:val="0"/>
          <w:szCs w:val="21"/>
        </w:rPr>
        <w:t>2019</w:t>
      </w:r>
      <w:r>
        <w:rPr>
          <w:rFonts w:eastAsiaTheme="minorEastAsia"/>
          <w:kern w:val="0"/>
          <w:szCs w:val="21"/>
        </w:rPr>
        <w:t>年</w:t>
      </w:r>
      <w:r>
        <w:rPr>
          <w:rFonts w:eastAsiaTheme="minorEastAsia"/>
          <w:kern w:val="0"/>
          <w:szCs w:val="21"/>
        </w:rPr>
        <w:t>10</w:t>
      </w:r>
      <w:r>
        <w:rPr>
          <w:rFonts w:eastAsiaTheme="minorEastAsia"/>
          <w:kern w:val="0"/>
          <w:szCs w:val="21"/>
        </w:rPr>
        <w:t>月</w:t>
      </w:r>
      <w:r>
        <w:rPr>
          <w:rFonts w:eastAsiaTheme="minorEastAsia"/>
          <w:kern w:val="0"/>
          <w:szCs w:val="21"/>
        </w:rPr>
        <w:t>10</w:t>
      </w:r>
      <w:r>
        <w:rPr>
          <w:rFonts w:eastAsiaTheme="minorEastAsia"/>
          <w:kern w:val="0"/>
          <w:szCs w:val="21"/>
        </w:rPr>
        <w:t>日发布的《易方达基金管理有限公司关于易方达黄金主题证券投资基金（</w:t>
      </w:r>
      <w:r>
        <w:rPr>
          <w:rFonts w:eastAsiaTheme="minorEastAsia"/>
          <w:kern w:val="0"/>
          <w:szCs w:val="21"/>
        </w:rPr>
        <w:t>LOF</w:t>
      </w:r>
      <w:r>
        <w:rPr>
          <w:rFonts w:eastAsiaTheme="minorEastAsia"/>
          <w:kern w:val="0"/>
          <w:szCs w:val="21"/>
        </w:rPr>
        <w:t>）增设基金份额、修改业绩比较基准并修订基金合同、托管协议部分条款的公告》，经与基金托管人协商一致并报中国证监会备案，易方达基金管理有限公司对易方达黄金主题证券投资基金（</w:t>
      </w:r>
      <w:r>
        <w:rPr>
          <w:rFonts w:eastAsiaTheme="minorEastAsia"/>
          <w:kern w:val="0"/>
          <w:szCs w:val="21"/>
        </w:rPr>
        <w:t>LOF</w:t>
      </w:r>
      <w:r>
        <w:rPr>
          <w:rFonts w:eastAsiaTheme="minorEastAsia"/>
          <w:kern w:val="0"/>
          <w:szCs w:val="21"/>
        </w:rPr>
        <w:t>）增设了基金份额，并对基金业绩比较基准进行了修改。易方达黄金主题证券投资基金（</w:t>
      </w:r>
      <w:r>
        <w:rPr>
          <w:rFonts w:eastAsiaTheme="minorEastAsia"/>
          <w:kern w:val="0"/>
          <w:szCs w:val="21"/>
        </w:rPr>
        <w:t>LOF</w:t>
      </w:r>
      <w:r>
        <w:rPr>
          <w:rFonts w:eastAsiaTheme="minorEastAsia"/>
          <w:kern w:val="0"/>
          <w:szCs w:val="21"/>
        </w:rPr>
        <w:t>）增设基金份额，并对基金业绩比较基准进行修改事宜，以及基金合同、托管协议的修订自</w:t>
      </w:r>
      <w:r>
        <w:rPr>
          <w:rFonts w:eastAsiaTheme="minorEastAsia"/>
          <w:kern w:val="0"/>
          <w:szCs w:val="21"/>
        </w:rPr>
        <w:t>2019</w:t>
      </w:r>
      <w:r>
        <w:rPr>
          <w:rFonts w:eastAsiaTheme="minorEastAsia"/>
          <w:kern w:val="0"/>
          <w:szCs w:val="21"/>
        </w:rPr>
        <w:t>年</w:t>
      </w:r>
      <w:r>
        <w:rPr>
          <w:rFonts w:eastAsiaTheme="minorEastAsia"/>
          <w:kern w:val="0"/>
          <w:szCs w:val="21"/>
        </w:rPr>
        <w:t>10</w:t>
      </w:r>
      <w:r>
        <w:rPr>
          <w:rFonts w:eastAsiaTheme="minorEastAsia"/>
          <w:kern w:val="0"/>
          <w:szCs w:val="21"/>
        </w:rPr>
        <w:t>月</w:t>
      </w:r>
      <w:r>
        <w:rPr>
          <w:rFonts w:eastAsiaTheme="minorEastAsia"/>
          <w:kern w:val="0"/>
          <w:szCs w:val="21"/>
        </w:rPr>
        <w:t>11</w:t>
      </w:r>
      <w:r>
        <w:rPr>
          <w:rFonts w:eastAsiaTheme="minorEastAsia"/>
          <w:kern w:val="0"/>
          <w:szCs w:val="21"/>
        </w:rPr>
        <w:t>日起生效，具体详见公告。</w:t>
      </w:r>
    </w:p>
    <w:p w:rsidR="008A5A5D" w:rsidRPr="00C24ACA" w:rsidRDefault="008A5A5D" w:rsidP="001412CA">
      <w:pPr>
        <w:tabs>
          <w:tab w:val="left" w:pos="426"/>
        </w:tabs>
        <w:spacing w:line="360" w:lineRule="auto"/>
        <w:ind w:firstLineChars="200" w:firstLine="420"/>
        <w:jc w:val="left"/>
        <w:rPr>
          <w:rFonts w:eastAsiaTheme="minorEastAsia"/>
          <w:color w:val="000000"/>
          <w:szCs w:val="21"/>
        </w:rPr>
      </w:pPr>
      <w:r w:rsidRPr="00C24ACA">
        <w:rPr>
          <w:rFonts w:eastAsiaTheme="minorEastAsia"/>
          <w:kern w:val="0"/>
          <w:szCs w:val="21"/>
        </w:rPr>
        <w:tab/>
        <w:t>2.</w:t>
      </w:r>
      <w:r w:rsidRPr="00C24ACA">
        <w:rPr>
          <w:rFonts w:eastAsiaTheme="minorEastAsia"/>
          <w:kern w:val="0"/>
          <w:szCs w:val="21"/>
        </w:rPr>
        <w:t>本基金</w:t>
      </w:r>
      <w:r w:rsidRPr="00C24ACA">
        <w:rPr>
          <w:rFonts w:eastAsiaTheme="minorEastAsia"/>
          <w:kern w:val="0"/>
          <w:szCs w:val="21"/>
        </w:rPr>
        <w:t>A</w:t>
      </w:r>
      <w:r w:rsidRPr="00C24ACA">
        <w:rPr>
          <w:rFonts w:eastAsiaTheme="minorEastAsia"/>
          <w:kern w:val="0"/>
          <w:szCs w:val="21"/>
        </w:rPr>
        <w:t>类人民币份额由原易方达黄金主题（</w:t>
      </w:r>
      <w:r w:rsidRPr="00C24ACA">
        <w:rPr>
          <w:rFonts w:eastAsiaTheme="minorEastAsia"/>
          <w:kern w:val="0"/>
          <w:szCs w:val="21"/>
        </w:rPr>
        <w:t>QDII-LOF-FOF</w:t>
      </w:r>
      <w:r w:rsidRPr="00C24ACA">
        <w:rPr>
          <w:rFonts w:eastAsiaTheme="minorEastAsia"/>
          <w:kern w:val="0"/>
          <w:szCs w:val="21"/>
        </w:rPr>
        <w:t>）变更而来，并于</w:t>
      </w:r>
      <w:r w:rsidRPr="00C24ACA">
        <w:rPr>
          <w:rFonts w:eastAsiaTheme="minorEastAsia"/>
          <w:kern w:val="0"/>
          <w:szCs w:val="21"/>
        </w:rPr>
        <w:t>2019</w:t>
      </w:r>
      <w:r w:rsidRPr="00C24ACA">
        <w:rPr>
          <w:rFonts w:eastAsiaTheme="minorEastAsia"/>
          <w:kern w:val="0"/>
          <w:szCs w:val="21"/>
        </w:rPr>
        <w:t>年</w:t>
      </w:r>
      <w:r w:rsidRPr="00C24ACA">
        <w:rPr>
          <w:rFonts w:eastAsiaTheme="minorEastAsia"/>
          <w:kern w:val="0"/>
          <w:szCs w:val="21"/>
        </w:rPr>
        <w:t>10</w:t>
      </w:r>
      <w:r w:rsidRPr="00C24ACA">
        <w:rPr>
          <w:rFonts w:eastAsiaTheme="minorEastAsia"/>
          <w:kern w:val="0"/>
          <w:szCs w:val="21"/>
        </w:rPr>
        <w:t>月</w:t>
      </w:r>
      <w:r w:rsidRPr="00C24ACA">
        <w:rPr>
          <w:rFonts w:eastAsiaTheme="minorEastAsia"/>
          <w:kern w:val="0"/>
          <w:szCs w:val="21"/>
        </w:rPr>
        <w:t>11</w:t>
      </w:r>
      <w:r w:rsidRPr="00C24ACA">
        <w:rPr>
          <w:rFonts w:eastAsiaTheme="minorEastAsia"/>
          <w:kern w:val="0"/>
          <w:szCs w:val="21"/>
        </w:rPr>
        <w:t>日起增设</w:t>
      </w:r>
      <w:r w:rsidRPr="00C24ACA">
        <w:rPr>
          <w:rFonts w:eastAsiaTheme="minorEastAsia"/>
          <w:kern w:val="0"/>
          <w:szCs w:val="21"/>
        </w:rPr>
        <w:t>A</w:t>
      </w:r>
      <w:r w:rsidRPr="00C24ACA">
        <w:rPr>
          <w:rFonts w:eastAsiaTheme="minorEastAsia"/>
          <w:kern w:val="0"/>
          <w:szCs w:val="21"/>
        </w:rPr>
        <w:t>类美元份额、</w:t>
      </w:r>
      <w:r w:rsidRPr="00C24ACA">
        <w:rPr>
          <w:rFonts w:eastAsiaTheme="minorEastAsia"/>
          <w:kern w:val="0"/>
          <w:szCs w:val="21"/>
        </w:rPr>
        <w:t>C</w:t>
      </w:r>
      <w:r w:rsidRPr="00C24ACA">
        <w:rPr>
          <w:rFonts w:eastAsiaTheme="minorEastAsia"/>
          <w:kern w:val="0"/>
          <w:szCs w:val="21"/>
        </w:rPr>
        <w:t>类人民币份额及</w:t>
      </w:r>
      <w:r w:rsidRPr="00C24ACA">
        <w:rPr>
          <w:rFonts w:eastAsiaTheme="minorEastAsia"/>
          <w:kern w:val="0"/>
          <w:szCs w:val="21"/>
        </w:rPr>
        <w:t>C</w:t>
      </w:r>
      <w:r w:rsidRPr="00C24ACA">
        <w:rPr>
          <w:rFonts w:eastAsiaTheme="minorEastAsia"/>
          <w:kern w:val="0"/>
          <w:szCs w:val="21"/>
        </w:rPr>
        <w:t>类美元份额，份额首次确认日为</w:t>
      </w:r>
      <w:r w:rsidRPr="00C24ACA">
        <w:rPr>
          <w:rFonts w:eastAsiaTheme="minorEastAsia"/>
          <w:kern w:val="0"/>
          <w:szCs w:val="21"/>
        </w:rPr>
        <w:t>2019</w:t>
      </w:r>
      <w:r w:rsidRPr="00C24ACA">
        <w:rPr>
          <w:rFonts w:eastAsiaTheme="minorEastAsia"/>
          <w:kern w:val="0"/>
          <w:szCs w:val="21"/>
        </w:rPr>
        <w:t>年</w:t>
      </w:r>
      <w:r w:rsidRPr="00C24ACA">
        <w:rPr>
          <w:rFonts w:eastAsiaTheme="minorEastAsia"/>
          <w:kern w:val="0"/>
          <w:szCs w:val="21"/>
        </w:rPr>
        <w:t>10</w:t>
      </w:r>
      <w:r w:rsidRPr="00C24ACA">
        <w:rPr>
          <w:rFonts w:eastAsiaTheme="minorEastAsia"/>
          <w:kern w:val="0"/>
          <w:szCs w:val="21"/>
        </w:rPr>
        <w:t>月</w:t>
      </w:r>
      <w:r w:rsidRPr="00C24ACA">
        <w:rPr>
          <w:rFonts w:eastAsiaTheme="minorEastAsia"/>
          <w:kern w:val="0"/>
          <w:szCs w:val="21"/>
        </w:rPr>
        <w:t>14</w:t>
      </w:r>
      <w:r w:rsidRPr="00C24ACA">
        <w:rPr>
          <w:rFonts w:eastAsiaTheme="minorEastAsia"/>
          <w:kern w:val="0"/>
          <w:szCs w:val="21"/>
        </w:rPr>
        <w:t>日。易方达黄金主题（</w:t>
      </w:r>
      <w:r w:rsidRPr="00C24ACA">
        <w:rPr>
          <w:rFonts w:eastAsiaTheme="minorEastAsia"/>
          <w:kern w:val="0"/>
          <w:szCs w:val="21"/>
        </w:rPr>
        <w:t>QDII-LOF-FOF</w:t>
      </w:r>
      <w:r w:rsidRPr="00C24ACA">
        <w:rPr>
          <w:rFonts w:eastAsiaTheme="minorEastAsia"/>
          <w:kern w:val="0"/>
          <w:szCs w:val="21"/>
        </w:rPr>
        <w:t>）</w:t>
      </w:r>
      <w:r w:rsidRPr="00C24ACA">
        <w:rPr>
          <w:rFonts w:eastAsiaTheme="minorEastAsia"/>
          <w:kern w:val="0"/>
          <w:szCs w:val="21"/>
        </w:rPr>
        <w:t>A</w:t>
      </w:r>
      <w:r w:rsidRPr="00C24ACA">
        <w:rPr>
          <w:rFonts w:eastAsiaTheme="minorEastAsia"/>
          <w:kern w:val="0"/>
          <w:szCs w:val="21"/>
        </w:rPr>
        <w:t>含</w:t>
      </w:r>
      <w:r w:rsidRPr="00C24ACA">
        <w:rPr>
          <w:rFonts w:eastAsiaTheme="minorEastAsia"/>
          <w:kern w:val="0"/>
          <w:szCs w:val="21"/>
        </w:rPr>
        <w:t>A</w:t>
      </w:r>
      <w:r w:rsidRPr="00C24ACA">
        <w:rPr>
          <w:rFonts w:eastAsiaTheme="minorEastAsia"/>
          <w:kern w:val="0"/>
          <w:szCs w:val="21"/>
        </w:rPr>
        <w:t>类人民币份额（份额代码：</w:t>
      </w:r>
      <w:r w:rsidRPr="00C24ACA">
        <w:rPr>
          <w:rFonts w:eastAsiaTheme="minorEastAsia"/>
          <w:kern w:val="0"/>
          <w:szCs w:val="21"/>
        </w:rPr>
        <w:t>161116</w:t>
      </w:r>
      <w:r w:rsidRPr="00C24ACA">
        <w:rPr>
          <w:rFonts w:eastAsiaTheme="minorEastAsia"/>
          <w:kern w:val="0"/>
          <w:szCs w:val="21"/>
        </w:rPr>
        <w:t>）及</w:t>
      </w:r>
      <w:r w:rsidRPr="00C24ACA">
        <w:rPr>
          <w:rFonts w:eastAsiaTheme="minorEastAsia"/>
          <w:kern w:val="0"/>
          <w:szCs w:val="21"/>
        </w:rPr>
        <w:t>A</w:t>
      </w:r>
      <w:r w:rsidRPr="00C24ACA">
        <w:rPr>
          <w:rFonts w:eastAsiaTheme="minorEastAsia"/>
          <w:kern w:val="0"/>
          <w:szCs w:val="21"/>
        </w:rPr>
        <w:t>类美元现汇份额（份额代码：</w:t>
      </w:r>
      <w:r w:rsidRPr="00C24ACA">
        <w:rPr>
          <w:rFonts w:eastAsiaTheme="minorEastAsia"/>
          <w:kern w:val="0"/>
          <w:szCs w:val="21"/>
        </w:rPr>
        <w:t>007977</w:t>
      </w:r>
      <w:r w:rsidRPr="00C24ACA">
        <w:rPr>
          <w:rFonts w:eastAsiaTheme="minorEastAsia"/>
          <w:kern w:val="0"/>
          <w:szCs w:val="21"/>
        </w:rPr>
        <w:t>），交易代码仅列示</w:t>
      </w:r>
      <w:r w:rsidRPr="00C24ACA">
        <w:rPr>
          <w:rFonts w:eastAsiaTheme="minorEastAsia"/>
          <w:kern w:val="0"/>
          <w:szCs w:val="21"/>
        </w:rPr>
        <w:t>A</w:t>
      </w:r>
      <w:r w:rsidRPr="00C24ACA">
        <w:rPr>
          <w:rFonts w:eastAsiaTheme="minorEastAsia"/>
          <w:kern w:val="0"/>
          <w:szCs w:val="21"/>
        </w:rPr>
        <w:t>类人民币份额代码；易方达黄金主题（</w:t>
      </w:r>
      <w:r w:rsidRPr="00C24ACA">
        <w:rPr>
          <w:rFonts w:eastAsiaTheme="minorEastAsia"/>
          <w:kern w:val="0"/>
          <w:szCs w:val="21"/>
        </w:rPr>
        <w:t>QDII-LOF-FOF</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含</w:t>
      </w:r>
      <w:r w:rsidRPr="00C24ACA">
        <w:rPr>
          <w:rFonts w:eastAsiaTheme="minorEastAsia"/>
          <w:kern w:val="0"/>
          <w:szCs w:val="21"/>
        </w:rPr>
        <w:t>C</w:t>
      </w:r>
      <w:r w:rsidRPr="00C24ACA">
        <w:rPr>
          <w:rFonts w:eastAsiaTheme="minorEastAsia"/>
          <w:kern w:val="0"/>
          <w:szCs w:val="21"/>
        </w:rPr>
        <w:t>类人民币份额（份额代码：</w:t>
      </w:r>
      <w:r w:rsidRPr="00C24ACA">
        <w:rPr>
          <w:rFonts w:eastAsiaTheme="minorEastAsia"/>
          <w:kern w:val="0"/>
          <w:szCs w:val="21"/>
        </w:rPr>
        <w:t>007976</w:t>
      </w:r>
      <w:r w:rsidRPr="00C24ACA">
        <w:rPr>
          <w:rFonts w:eastAsiaTheme="minorEastAsia"/>
          <w:kern w:val="0"/>
          <w:szCs w:val="21"/>
        </w:rPr>
        <w:t>）及</w:t>
      </w:r>
      <w:r w:rsidRPr="00C24ACA">
        <w:rPr>
          <w:rFonts w:eastAsiaTheme="minorEastAsia"/>
          <w:kern w:val="0"/>
          <w:szCs w:val="21"/>
        </w:rPr>
        <w:t>C</w:t>
      </w:r>
      <w:r w:rsidRPr="00C24ACA">
        <w:rPr>
          <w:rFonts w:eastAsiaTheme="minorEastAsia"/>
          <w:kern w:val="0"/>
          <w:szCs w:val="21"/>
        </w:rPr>
        <w:t>类美元现汇份额（份额代码：</w:t>
      </w:r>
      <w:r w:rsidRPr="00C24ACA">
        <w:rPr>
          <w:rFonts w:eastAsiaTheme="minorEastAsia"/>
          <w:kern w:val="0"/>
          <w:szCs w:val="21"/>
        </w:rPr>
        <w:t>007978</w:t>
      </w:r>
      <w:r w:rsidRPr="00C24ACA">
        <w:rPr>
          <w:rFonts w:eastAsiaTheme="minorEastAsia"/>
          <w:kern w:val="0"/>
          <w:szCs w:val="21"/>
        </w:rPr>
        <w:t>），交易代码仅列示</w:t>
      </w:r>
      <w:r w:rsidRPr="00C24ACA">
        <w:rPr>
          <w:rFonts w:eastAsiaTheme="minorEastAsia"/>
          <w:kern w:val="0"/>
          <w:szCs w:val="21"/>
        </w:rPr>
        <w:t>C</w:t>
      </w:r>
      <w:r w:rsidRPr="00C24ACA">
        <w:rPr>
          <w:rFonts w:eastAsiaTheme="minorEastAsia"/>
          <w:kern w:val="0"/>
          <w:szCs w:val="21"/>
        </w:rPr>
        <w:t>类人民币份额代码。</w:t>
      </w:r>
    </w:p>
    <w:p w:rsidR="008A5A5D" w:rsidRPr="00A317EA" w:rsidRDefault="008A5A5D" w:rsidP="00732F5C">
      <w:pPr>
        <w:pStyle w:val="20"/>
        <w:spacing w:beforeLines="100" w:before="312" w:after="0"/>
        <w:rPr>
          <w:rFonts w:ascii="Times New Roman" w:eastAsiaTheme="minorEastAsia" w:hAnsi="Times New Roman"/>
          <w:kern w:val="0"/>
          <w:sz w:val="21"/>
          <w:szCs w:val="21"/>
        </w:rPr>
      </w:pPr>
      <w:bookmarkStart w:id="32" w:name="_Toc352255962"/>
      <w:bookmarkStart w:id="33" w:name="_Toc352256030"/>
      <w:bookmarkStart w:id="34" w:name="_Toc352331208"/>
      <w:bookmarkStart w:id="35" w:name="_Toc390164794"/>
      <w:bookmarkStart w:id="36" w:name="_Toc48663400"/>
      <w:r w:rsidRPr="0087359D">
        <w:rPr>
          <w:rFonts w:ascii="宋体" w:hAnsi="宋体"/>
          <w:kern w:val="0"/>
          <w:sz w:val="21"/>
          <w:szCs w:val="21"/>
        </w:rPr>
        <w:t>2.2</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基金产品说明</w:t>
      </w:r>
      <w:bookmarkEnd w:id="32"/>
      <w:bookmarkEnd w:id="33"/>
      <w:bookmarkEnd w:id="34"/>
      <w:bookmarkEnd w:id="35"/>
      <w:bookmarkEnd w:id="3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投资目标</w:t>
            </w:r>
          </w:p>
        </w:tc>
        <w:tc>
          <w:tcPr>
            <w:tcW w:w="6873" w:type="dxa"/>
            <w:vAlign w:val="bottom"/>
          </w:tcPr>
          <w:p w:rsidR="008A5A5D" w:rsidRPr="00C24ACA" w:rsidRDefault="008A5A5D">
            <w:pPr>
              <w:rPr>
                <w:rFonts w:eastAsiaTheme="minorEastAsia"/>
                <w:szCs w:val="21"/>
              </w:rPr>
            </w:pPr>
            <w:r w:rsidRPr="00C24ACA">
              <w:rPr>
                <w:rFonts w:eastAsiaTheme="minorEastAsia"/>
                <w:szCs w:val="21"/>
              </w:rPr>
              <w:t>本基金追求基金资产的长期稳定增值。</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投资策略</w:t>
            </w:r>
          </w:p>
        </w:tc>
        <w:tc>
          <w:tcPr>
            <w:tcW w:w="6873" w:type="dxa"/>
            <w:vAlign w:val="bottom"/>
          </w:tcPr>
          <w:p w:rsidR="008A5A5D" w:rsidRPr="00C24ACA" w:rsidRDefault="008A5A5D">
            <w:pPr>
              <w:rPr>
                <w:rFonts w:eastAsiaTheme="minorEastAsia"/>
                <w:szCs w:val="21"/>
              </w:rPr>
            </w:pPr>
            <w:r w:rsidRPr="00C24ACA">
              <w:rPr>
                <w:rFonts w:eastAsiaTheme="minorEastAsia"/>
                <w:szCs w:val="21"/>
              </w:rPr>
              <w:t>本基金主要通过对国际黄金价格中长期趋势的判断，深入研究黄金价格趋势、黄金采掘企业盈利和估值水平变化，以及考察其他品种的风险收益特征的基础上，进行黄金</w:t>
            </w:r>
            <w:r w:rsidRPr="00C24ACA">
              <w:rPr>
                <w:rFonts w:eastAsiaTheme="minorEastAsia"/>
                <w:szCs w:val="21"/>
              </w:rPr>
              <w:t>ETF</w:t>
            </w:r>
            <w:r w:rsidRPr="00C24ACA">
              <w:rPr>
                <w:rFonts w:eastAsiaTheme="minorEastAsia"/>
                <w:szCs w:val="21"/>
              </w:rPr>
              <w:t>、黄金股票类资产以及其他资产的比例配置。</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业绩比较基准</w:t>
            </w:r>
          </w:p>
        </w:tc>
        <w:tc>
          <w:tcPr>
            <w:tcW w:w="6873" w:type="dxa"/>
            <w:vAlign w:val="bottom"/>
          </w:tcPr>
          <w:p w:rsidR="008A5A5D" w:rsidRPr="00C24ACA" w:rsidRDefault="008A5A5D">
            <w:pPr>
              <w:rPr>
                <w:rFonts w:eastAsiaTheme="minorEastAsia"/>
                <w:szCs w:val="21"/>
              </w:rPr>
            </w:pPr>
            <w:r w:rsidRPr="00C24ACA">
              <w:rPr>
                <w:rFonts w:eastAsiaTheme="minorEastAsia"/>
                <w:szCs w:val="21"/>
              </w:rPr>
              <w:t>以伦敦黄金市场下午定盘价计价的国际现货黄金（经汇率折算）</w:t>
            </w:r>
            <w:r w:rsidRPr="00C24ACA">
              <w:rPr>
                <w:rFonts w:eastAsiaTheme="minorEastAsia"/>
                <w:szCs w:val="21"/>
              </w:rPr>
              <w:t>×50%+MSCI</w:t>
            </w:r>
            <w:r w:rsidRPr="00C24ACA">
              <w:rPr>
                <w:rFonts w:eastAsiaTheme="minorEastAsia"/>
                <w:szCs w:val="21"/>
              </w:rPr>
              <w:t>全球金矿股指数（</w:t>
            </w:r>
            <w:r w:rsidRPr="00C24ACA">
              <w:rPr>
                <w:rFonts w:eastAsiaTheme="minorEastAsia"/>
                <w:szCs w:val="21"/>
              </w:rPr>
              <w:t>MSCI ACWI SELECT GOLD MINERS IMI INDEX</w:t>
            </w:r>
            <w:r w:rsidRPr="00C24ACA">
              <w:rPr>
                <w:rFonts w:eastAsiaTheme="minorEastAsia"/>
                <w:szCs w:val="21"/>
              </w:rPr>
              <w:t>）</w:t>
            </w:r>
            <w:r w:rsidRPr="00C24ACA">
              <w:rPr>
                <w:rFonts w:eastAsiaTheme="minorEastAsia"/>
                <w:szCs w:val="21"/>
              </w:rPr>
              <w:t>×50%</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风险收益特征</w:t>
            </w:r>
          </w:p>
        </w:tc>
        <w:tc>
          <w:tcPr>
            <w:tcW w:w="6873" w:type="dxa"/>
            <w:vAlign w:val="bottom"/>
          </w:tcPr>
          <w:p w:rsidR="008A5A5D" w:rsidRPr="00C24ACA" w:rsidRDefault="008A5A5D">
            <w:pPr>
              <w:rPr>
                <w:rFonts w:eastAsiaTheme="minorEastAsia"/>
                <w:szCs w:val="21"/>
              </w:rPr>
            </w:pPr>
            <w:r w:rsidRPr="00C24ACA">
              <w:rPr>
                <w:rFonts w:eastAsiaTheme="minorEastAsia"/>
                <w:szCs w:val="21"/>
              </w:rPr>
              <w:t>基金管理人根据对黄金价格走势的判断，在黄金基金、黄金采掘公司股票及其他资产之间进行主动配置。本基金的表现与黄金价格相关性较高，本基金是预期收益与预期风险较高的基金品种。此外，本基金主要投资海外，存在汇率风险。</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注：自</w:t>
      </w:r>
      <w:r w:rsidRPr="00C24ACA">
        <w:rPr>
          <w:rFonts w:eastAsiaTheme="minorEastAsia"/>
          <w:kern w:val="0"/>
          <w:szCs w:val="21"/>
        </w:rPr>
        <w:t>2019</w:t>
      </w:r>
      <w:r w:rsidRPr="00C24ACA">
        <w:rPr>
          <w:rFonts w:eastAsiaTheme="minorEastAsia"/>
          <w:kern w:val="0"/>
          <w:szCs w:val="21"/>
        </w:rPr>
        <w:t>年</w:t>
      </w:r>
      <w:r w:rsidRPr="00C24ACA">
        <w:rPr>
          <w:rFonts w:eastAsiaTheme="minorEastAsia"/>
          <w:kern w:val="0"/>
          <w:szCs w:val="21"/>
        </w:rPr>
        <w:t>10</w:t>
      </w:r>
      <w:r w:rsidRPr="00C24ACA">
        <w:rPr>
          <w:rFonts w:eastAsiaTheme="minorEastAsia"/>
          <w:kern w:val="0"/>
          <w:szCs w:val="21"/>
        </w:rPr>
        <w:t>月</w:t>
      </w:r>
      <w:r w:rsidRPr="00C24ACA">
        <w:rPr>
          <w:rFonts w:eastAsiaTheme="minorEastAsia"/>
          <w:kern w:val="0"/>
          <w:szCs w:val="21"/>
        </w:rPr>
        <w:t>11</w:t>
      </w:r>
      <w:r w:rsidRPr="00C24ACA">
        <w:rPr>
          <w:rFonts w:eastAsiaTheme="minorEastAsia"/>
          <w:kern w:val="0"/>
          <w:szCs w:val="21"/>
        </w:rPr>
        <w:t>日起，本基金业绩比较基准由</w:t>
      </w:r>
      <w:r w:rsidRPr="00C24ACA">
        <w:rPr>
          <w:rFonts w:eastAsiaTheme="minorEastAsia"/>
          <w:kern w:val="0"/>
          <w:szCs w:val="21"/>
        </w:rPr>
        <w:t>“</w:t>
      </w:r>
      <w:r w:rsidRPr="00C24ACA">
        <w:rPr>
          <w:rFonts w:eastAsiaTheme="minorEastAsia"/>
          <w:kern w:val="0"/>
          <w:szCs w:val="21"/>
        </w:rPr>
        <w:t>以伦敦黄金市场下午定盘价计价的国际现货黄金（经汇率折算）</w:t>
      </w:r>
      <w:r w:rsidRPr="00C24ACA">
        <w:rPr>
          <w:rFonts w:eastAsiaTheme="minorEastAsia"/>
          <w:kern w:val="0"/>
          <w:szCs w:val="21"/>
        </w:rPr>
        <w:t>”</w:t>
      </w:r>
      <w:r w:rsidRPr="00C24ACA">
        <w:rPr>
          <w:rFonts w:eastAsiaTheme="minorEastAsia"/>
          <w:kern w:val="0"/>
          <w:szCs w:val="21"/>
        </w:rPr>
        <w:t>调整为</w:t>
      </w:r>
      <w:r w:rsidRPr="00C24ACA">
        <w:rPr>
          <w:rFonts w:eastAsiaTheme="minorEastAsia"/>
          <w:kern w:val="0"/>
          <w:szCs w:val="21"/>
        </w:rPr>
        <w:t>“</w:t>
      </w:r>
      <w:r w:rsidRPr="00C24ACA">
        <w:rPr>
          <w:rFonts w:eastAsiaTheme="minorEastAsia"/>
          <w:kern w:val="0"/>
          <w:szCs w:val="21"/>
        </w:rPr>
        <w:t>以伦敦黄金市场下午定盘价计价的国际现货黄金（经汇率折算）</w:t>
      </w:r>
      <w:r w:rsidRPr="00C24ACA">
        <w:rPr>
          <w:rFonts w:eastAsiaTheme="minorEastAsia"/>
          <w:kern w:val="0"/>
          <w:szCs w:val="21"/>
        </w:rPr>
        <w:t>×50%+MSCI</w:t>
      </w:r>
      <w:r w:rsidRPr="00C24ACA">
        <w:rPr>
          <w:rFonts w:eastAsiaTheme="minorEastAsia"/>
          <w:kern w:val="0"/>
          <w:szCs w:val="21"/>
        </w:rPr>
        <w:t>全球金矿股指数（</w:t>
      </w:r>
      <w:r w:rsidRPr="00C24ACA">
        <w:rPr>
          <w:rFonts w:eastAsiaTheme="minorEastAsia"/>
          <w:kern w:val="0"/>
          <w:szCs w:val="21"/>
        </w:rPr>
        <w:t>MSCI ACWI SELECT GOLD MINERS IMI INDEX</w:t>
      </w:r>
      <w:r w:rsidRPr="00C24ACA">
        <w:rPr>
          <w:rFonts w:eastAsiaTheme="minorEastAsia"/>
          <w:kern w:val="0"/>
          <w:szCs w:val="21"/>
        </w:rPr>
        <w:t>）</w:t>
      </w:r>
      <w:r w:rsidRPr="00C24ACA">
        <w:rPr>
          <w:rFonts w:eastAsiaTheme="minorEastAsia"/>
          <w:kern w:val="0"/>
          <w:szCs w:val="21"/>
        </w:rPr>
        <w:t>×50%”</w:t>
      </w:r>
      <w:r w:rsidRPr="00C24ACA">
        <w:rPr>
          <w:rFonts w:eastAsiaTheme="minorEastAsia"/>
          <w:kern w:val="0"/>
          <w:szCs w:val="21"/>
        </w:rPr>
        <w:t>。</w:t>
      </w:r>
      <w:r w:rsidRPr="00C24ACA">
        <w:rPr>
          <w:rFonts w:eastAsiaTheme="minorEastAsia"/>
          <w:kern w:val="0"/>
          <w:szCs w:val="21"/>
        </w:rPr>
        <w:t>MSCI</w:t>
      </w:r>
      <w:r w:rsidRPr="00C24ACA">
        <w:rPr>
          <w:rFonts w:eastAsiaTheme="minorEastAsia"/>
          <w:kern w:val="0"/>
          <w:szCs w:val="21"/>
        </w:rPr>
        <w:t>全球金矿股指数（</w:t>
      </w:r>
      <w:r w:rsidRPr="00C24ACA">
        <w:rPr>
          <w:rFonts w:eastAsiaTheme="minorEastAsia"/>
          <w:kern w:val="0"/>
          <w:szCs w:val="21"/>
        </w:rPr>
        <w:t>MSCI ACWI SELECT GOLD MINERS IMI INDEX</w:t>
      </w:r>
      <w:r w:rsidRPr="00C24ACA">
        <w:rPr>
          <w:rFonts w:eastAsiaTheme="minorEastAsia"/>
          <w:kern w:val="0"/>
          <w:szCs w:val="21"/>
        </w:rPr>
        <w:t>）由</w:t>
      </w:r>
      <w:r w:rsidRPr="00C24ACA">
        <w:rPr>
          <w:rFonts w:eastAsiaTheme="minorEastAsia"/>
          <w:kern w:val="0"/>
          <w:szCs w:val="21"/>
        </w:rPr>
        <w:t>MSCI</w:t>
      </w:r>
      <w:r w:rsidRPr="00C24ACA">
        <w:rPr>
          <w:rFonts w:eastAsiaTheme="minorEastAsia"/>
          <w:kern w:val="0"/>
          <w:szCs w:val="21"/>
        </w:rPr>
        <w:t>编制，由全球主要黄金采掘企业股票组成。而本基金为黄金主题基金，投资于基金的资产合计不低于本基金基金资产净值的</w:t>
      </w:r>
      <w:r w:rsidRPr="00C24ACA">
        <w:rPr>
          <w:rFonts w:eastAsiaTheme="minorEastAsia"/>
          <w:kern w:val="0"/>
          <w:szCs w:val="21"/>
        </w:rPr>
        <w:t>60%</w:t>
      </w:r>
      <w:r w:rsidRPr="00C24ACA">
        <w:rPr>
          <w:rFonts w:eastAsiaTheme="minorEastAsia"/>
          <w:kern w:val="0"/>
          <w:szCs w:val="21"/>
        </w:rPr>
        <w:t>，投资于基金的资产中不低于</w:t>
      </w:r>
      <w:r w:rsidRPr="00C24ACA">
        <w:rPr>
          <w:rFonts w:eastAsiaTheme="minorEastAsia"/>
          <w:kern w:val="0"/>
          <w:szCs w:val="21"/>
        </w:rPr>
        <w:t>80%</w:t>
      </w:r>
      <w:r w:rsidRPr="00C24ACA">
        <w:rPr>
          <w:rFonts w:eastAsiaTheme="minorEastAsia"/>
          <w:kern w:val="0"/>
          <w:szCs w:val="21"/>
        </w:rPr>
        <w:t>投资于黄金基金，黄金基金指黄金</w:t>
      </w:r>
      <w:r w:rsidRPr="00C24ACA">
        <w:rPr>
          <w:rFonts w:eastAsiaTheme="minorEastAsia"/>
          <w:kern w:val="0"/>
          <w:szCs w:val="21"/>
        </w:rPr>
        <w:t>ETF</w:t>
      </w:r>
      <w:r w:rsidRPr="00C24ACA">
        <w:rPr>
          <w:rFonts w:eastAsiaTheme="minorEastAsia"/>
          <w:kern w:val="0"/>
          <w:szCs w:val="21"/>
        </w:rPr>
        <w:t>（即跟踪黄金价格或黄金价格指数的</w:t>
      </w:r>
      <w:r w:rsidRPr="00C24ACA">
        <w:rPr>
          <w:rFonts w:eastAsiaTheme="minorEastAsia"/>
          <w:kern w:val="0"/>
          <w:szCs w:val="21"/>
        </w:rPr>
        <w:t>ETF</w:t>
      </w:r>
      <w:r w:rsidRPr="00C24ACA">
        <w:rPr>
          <w:rFonts w:eastAsiaTheme="minorEastAsia"/>
          <w:kern w:val="0"/>
          <w:szCs w:val="21"/>
        </w:rPr>
        <w:t>）及黄金股票基金（包括跟踪黄金股票指数的指数基金和</w:t>
      </w:r>
      <w:r w:rsidRPr="00C24ACA">
        <w:rPr>
          <w:rFonts w:eastAsiaTheme="minorEastAsia"/>
          <w:kern w:val="0"/>
          <w:szCs w:val="21"/>
        </w:rPr>
        <w:t>ETF</w:t>
      </w:r>
      <w:r w:rsidRPr="00C24ACA">
        <w:rPr>
          <w:rFonts w:eastAsiaTheme="minorEastAsia"/>
          <w:kern w:val="0"/>
          <w:szCs w:val="21"/>
        </w:rPr>
        <w:t>，以及</w:t>
      </w:r>
      <w:r w:rsidRPr="00C24ACA">
        <w:rPr>
          <w:rFonts w:eastAsiaTheme="minorEastAsia"/>
          <w:kern w:val="0"/>
          <w:szCs w:val="21"/>
        </w:rPr>
        <w:t>80%</w:t>
      </w:r>
      <w:r w:rsidRPr="00C24ACA">
        <w:rPr>
          <w:rFonts w:eastAsiaTheme="minorEastAsia"/>
          <w:kern w:val="0"/>
          <w:szCs w:val="21"/>
        </w:rPr>
        <w:t>以上基金资产投资于黄金采掘公司股票的主动基金）。基金管理人在对黄金基金、黄金采掘公司股票以及与其他资产进行主动配置的过程中，黄金价格和黄金采掘公司股票价格是影响投资判断的关键因素。采用</w:t>
      </w:r>
      <w:r w:rsidRPr="00C24ACA">
        <w:rPr>
          <w:rFonts w:eastAsiaTheme="minorEastAsia"/>
          <w:kern w:val="0"/>
          <w:szCs w:val="21"/>
        </w:rPr>
        <w:t>“</w:t>
      </w:r>
      <w:r w:rsidRPr="00C24ACA">
        <w:rPr>
          <w:rFonts w:eastAsiaTheme="minorEastAsia"/>
          <w:kern w:val="0"/>
          <w:szCs w:val="21"/>
        </w:rPr>
        <w:t>以伦敦黄金市场下午定盘价计价的国际现货黄金（经汇率折算）</w:t>
      </w:r>
      <w:r w:rsidRPr="00C24ACA">
        <w:rPr>
          <w:rFonts w:eastAsiaTheme="minorEastAsia"/>
          <w:kern w:val="0"/>
          <w:szCs w:val="21"/>
        </w:rPr>
        <w:t>×50%+MSCI</w:t>
      </w:r>
      <w:r w:rsidRPr="00C24ACA">
        <w:rPr>
          <w:rFonts w:eastAsiaTheme="minorEastAsia"/>
          <w:kern w:val="0"/>
          <w:szCs w:val="21"/>
        </w:rPr>
        <w:t>全球金矿股指数（</w:t>
      </w:r>
      <w:r w:rsidRPr="00C24ACA">
        <w:rPr>
          <w:rFonts w:eastAsiaTheme="minorEastAsia"/>
          <w:kern w:val="0"/>
          <w:szCs w:val="21"/>
        </w:rPr>
        <w:t>MSCI ACWI SELECT GOLD MINERS IMI INDEX</w:t>
      </w:r>
      <w:r w:rsidRPr="00C24ACA">
        <w:rPr>
          <w:rFonts w:eastAsiaTheme="minorEastAsia"/>
          <w:kern w:val="0"/>
          <w:szCs w:val="21"/>
        </w:rPr>
        <w:t>）</w:t>
      </w:r>
      <w:r w:rsidRPr="00C24ACA">
        <w:rPr>
          <w:rFonts w:eastAsiaTheme="minorEastAsia"/>
          <w:kern w:val="0"/>
          <w:szCs w:val="21"/>
        </w:rPr>
        <w:t>×50%”</w:t>
      </w:r>
      <w:r w:rsidRPr="00C24ACA">
        <w:rPr>
          <w:rFonts w:eastAsiaTheme="minorEastAsia"/>
          <w:kern w:val="0"/>
          <w:szCs w:val="21"/>
        </w:rPr>
        <w:t>作为业绩比较基准，能够相对比较真实、客观地反映本基金的风险收益特征。基金业绩比较基准收益率在变更前后期间分别根据相应的指标计算。</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7" w:name="_Toc225498247"/>
      <w:bookmarkStart w:id="38" w:name="_Toc352255963"/>
      <w:bookmarkStart w:id="39" w:name="_Toc352256031"/>
      <w:bookmarkStart w:id="40" w:name="_Toc352331209"/>
      <w:bookmarkStart w:id="41" w:name="_Toc390164795"/>
      <w:bookmarkStart w:id="42" w:name="_Toc48663401"/>
      <w:r w:rsidRPr="0087359D">
        <w:rPr>
          <w:rFonts w:ascii="宋体" w:hAnsi="宋体"/>
          <w:kern w:val="0"/>
          <w:sz w:val="21"/>
          <w:szCs w:val="21"/>
        </w:rPr>
        <w:t>2.3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w:t>
      </w:r>
      <w:r w:rsidRPr="00A317EA">
        <w:rPr>
          <w:rFonts w:ascii="Times New Roman" w:eastAsiaTheme="minorEastAsia" w:hAnsi="Times New Roman"/>
          <w:kern w:val="0"/>
          <w:sz w:val="21"/>
          <w:szCs w:val="21"/>
        </w:rPr>
        <w:t>管理</w:t>
      </w:r>
      <w:r w:rsidRPr="00C24ACA">
        <w:rPr>
          <w:rFonts w:ascii="Times New Roman" w:eastAsiaTheme="minorEastAsia" w:hAnsi="Times New Roman"/>
          <w:kern w:val="0"/>
          <w:sz w:val="21"/>
          <w:szCs w:val="21"/>
        </w:rPr>
        <w:t>人和基金托管人</w:t>
      </w:r>
      <w:bookmarkEnd w:id="37"/>
      <w:bookmarkEnd w:id="38"/>
      <w:bookmarkEnd w:id="39"/>
      <w:bookmarkEnd w:id="40"/>
      <w:bookmarkEnd w:id="41"/>
      <w:bookmarkEnd w:id="4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8A5A5D" w:rsidRPr="00C24ACA" w:rsidTr="006D141C">
        <w:tc>
          <w:tcPr>
            <w:tcW w:w="2631" w:type="dxa"/>
            <w:gridSpan w:val="2"/>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项目</w:t>
            </w:r>
          </w:p>
        </w:tc>
        <w:tc>
          <w:tcPr>
            <w:tcW w:w="3060" w:type="dxa"/>
            <w:vAlign w:val="center"/>
          </w:tcPr>
          <w:p w:rsidR="008A5A5D" w:rsidRPr="00C24ACA" w:rsidRDefault="008A5A5D" w:rsidP="00EC549A">
            <w:pPr>
              <w:jc w:val="center"/>
              <w:rPr>
                <w:rFonts w:eastAsiaTheme="minorEastAsia"/>
                <w:color w:val="000000"/>
                <w:szCs w:val="21"/>
              </w:rPr>
            </w:pPr>
            <w:r w:rsidRPr="00C24ACA">
              <w:rPr>
                <w:rFonts w:eastAsiaTheme="minorEastAsia"/>
                <w:color w:val="000000"/>
                <w:szCs w:val="21"/>
              </w:rPr>
              <w:t>基金管理人</w:t>
            </w:r>
          </w:p>
        </w:tc>
        <w:tc>
          <w:tcPr>
            <w:tcW w:w="3060" w:type="dxa"/>
            <w:vAlign w:val="center"/>
          </w:tcPr>
          <w:p w:rsidR="008A5A5D" w:rsidRPr="00C24ACA" w:rsidRDefault="008A5A5D" w:rsidP="00EC549A">
            <w:pPr>
              <w:jc w:val="center"/>
              <w:rPr>
                <w:rFonts w:eastAsiaTheme="minorEastAsia"/>
                <w:color w:val="000000"/>
                <w:szCs w:val="21"/>
              </w:rPr>
            </w:pPr>
            <w:r w:rsidRPr="00C24ACA">
              <w:rPr>
                <w:rFonts w:eastAsiaTheme="minorEastAsia"/>
                <w:color w:val="000000"/>
                <w:szCs w:val="21"/>
              </w:rPr>
              <w:t>基金托管人</w:t>
            </w:r>
          </w:p>
        </w:tc>
      </w:tr>
      <w:tr w:rsidR="008A5A5D" w:rsidRPr="00C24ACA" w:rsidTr="006D141C">
        <w:tc>
          <w:tcPr>
            <w:tcW w:w="2631" w:type="dxa"/>
            <w:gridSpan w:val="2"/>
            <w:vAlign w:val="center"/>
          </w:tcPr>
          <w:p w:rsidR="008A5A5D" w:rsidRPr="00C24ACA" w:rsidRDefault="008A5A5D">
            <w:pPr>
              <w:autoSpaceDE w:val="0"/>
              <w:autoSpaceDN w:val="0"/>
              <w:adjustRightInd w:val="0"/>
              <w:spacing w:before="29" w:line="288" w:lineRule="auto"/>
              <w:ind w:left="15"/>
              <w:rPr>
                <w:rFonts w:eastAsiaTheme="minorEastAsia"/>
                <w:color w:val="000000"/>
                <w:kern w:val="0"/>
                <w:szCs w:val="21"/>
              </w:rPr>
            </w:pPr>
            <w:r w:rsidRPr="00C24ACA">
              <w:rPr>
                <w:rFonts w:eastAsiaTheme="minorEastAsia"/>
                <w:color w:val="000000"/>
                <w:kern w:val="0"/>
                <w:szCs w:val="21"/>
              </w:rPr>
              <w:t>名称</w:t>
            </w:r>
          </w:p>
        </w:tc>
        <w:tc>
          <w:tcPr>
            <w:tcW w:w="3060" w:type="dxa"/>
            <w:vAlign w:val="center"/>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易方达基金管理有限公司</w:t>
            </w:r>
          </w:p>
        </w:tc>
        <w:tc>
          <w:tcPr>
            <w:tcW w:w="3060" w:type="dxa"/>
            <w:vAlign w:val="center"/>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中国农业银行股份有限公司</w:t>
            </w:r>
          </w:p>
        </w:tc>
      </w:tr>
      <w:tr w:rsidR="008A5A5D" w:rsidRPr="00C24ACA" w:rsidTr="006D141C">
        <w:tc>
          <w:tcPr>
            <w:tcW w:w="1260" w:type="dxa"/>
            <w:vMerge w:val="restart"/>
            <w:vAlign w:val="center"/>
          </w:tcPr>
          <w:p w:rsidR="008A5A5D" w:rsidRPr="00C24ACA" w:rsidRDefault="008A5A5D">
            <w:pPr>
              <w:autoSpaceDE w:val="0"/>
              <w:autoSpaceDN w:val="0"/>
              <w:adjustRightInd w:val="0"/>
              <w:spacing w:before="29" w:line="360" w:lineRule="auto"/>
              <w:ind w:left="15"/>
              <w:rPr>
                <w:rFonts w:eastAsiaTheme="minorEastAsia"/>
                <w:color w:val="000000"/>
                <w:kern w:val="0"/>
                <w:szCs w:val="21"/>
              </w:rPr>
            </w:pPr>
            <w:r w:rsidRPr="00C24ACA">
              <w:rPr>
                <w:rFonts w:eastAsiaTheme="minorEastAsia"/>
                <w:color w:val="000000"/>
                <w:szCs w:val="21"/>
              </w:rPr>
              <w:t>信息披露负责人</w:t>
            </w:r>
          </w:p>
        </w:tc>
        <w:tc>
          <w:tcPr>
            <w:tcW w:w="1371" w:type="dxa"/>
            <w:vAlign w:val="center"/>
          </w:tcPr>
          <w:p w:rsidR="008A5A5D" w:rsidRPr="00C24ACA" w:rsidRDefault="008A5A5D">
            <w:pPr>
              <w:jc w:val="center"/>
              <w:rPr>
                <w:rFonts w:eastAsiaTheme="minorEastAsia"/>
                <w:color w:val="000000"/>
                <w:szCs w:val="21"/>
              </w:rPr>
            </w:pPr>
            <w:r w:rsidRPr="00C24ACA">
              <w:rPr>
                <w:rFonts w:eastAsiaTheme="minorEastAsia"/>
                <w:color w:val="000000"/>
                <w:szCs w:val="21"/>
              </w:rPr>
              <w:t>姓名</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张南</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贺倩</w:t>
            </w:r>
          </w:p>
        </w:tc>
      </w:tr>
      <w:tr w:rsidR="008A5A5D" w:rsidRPr="00C24ACA" w:rsidTr="006D141C">
        <w:tc>
          <w:tcPr>
            <w:tcW w:w="2631" w:type="dxa"/>
            <w:vMerge/>
            <w:vAlign w:val="center"/>
          </w:tcPr>
          <w:p w:rsidR="008A5A5D" w:rsidRPr="00C24ACA" w:rsidRDefault="008A5A5D">
            <w:pPr>
              <w:widowControl/>
              <w:jc w:val="left"/>
              <w:rPr>
                <w:rFonts w:eastAsiaTheme="minorEastAsia"/>
                <w:color w:val="000000"/>
                <w:kern w:val="0"/>
                <w:szCs w:val="21"/>
              </w:rPr>
            </w:pPr>
          </w:p>
        </w:tc>
        <w:tc>
          <w:tcPr>
            <w:tcW w:w="1371" w:type="dxa"/>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szCs w:val="21"/>
              </w:rPr>
              <w:t>联系电话</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020-85102688</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010-66060069</w:t>
            </w:r>
          </w:p>
        </w:tc>
      </w:tr>
      <w:tr w:rsidR="008A5A5D" w:rsidRPr="00C24ACA" w:rsidTr="006D141C">
        <w:tc>
          <w:tcPr>
            <w:tcW w:w="2631" w:type="dxa"/>
            <w:vMerge/>
            <w:vAlign w:val="center"/>
          </w:tcPr>
          <w:p w:rsidR="008A5A5D" w:rsidRPr="00C24ACA" w:rsidRDefault="008A5A5D">
            <w:pPr>
              <w:widowControl/>
              <w:jc w:val="left"/>
              <w:rPr>
                <w:rFonts w:eastAsiaTheme="minorEastAsia"/>
                <w:color w:val="000000"/>
                <w:kern w:val="0"/>
                <w:szCs w:val="21"/>
              </w:rPr>
            </w:pPr>
          </w:p>
        </w:tc>
        <w:tc>
          <w:tcPr>
            <w:tcW w:w="1371" w:type="dxa"/>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szCs w:val="21"/>
              </w:rPr>
              <w:t>电子邮箱</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service@efunds.com.cn</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tgxxpl@abchina.com</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客户服务电话</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400 881 8088</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95599</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传真</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020-85104666</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010-68121816</w:t>
            </w:r>
          </w:p>
        </w:tc>
      </w:tr>
      <w:tr w:rsidR="008A5A5D" w:rsidRPr="00C24ACA" w:rsidTr="00976F71">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注册地址</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广东省珠海市横琴新区宝华路</w:t>
            </w:r>
            <w:r w:rsidRPr="00C24ACA">
              <w:rPr>
                <w:rFonts w:eastAsiaTheme="minorEastAsia"/>
                <w:color w:val="000000"/>
                <w:kern w:val="0"/>
                <w:szCs w:val="21"/>
              </w:rPr>
              <w:t>6</w:t>
            </w:r>
            <w:r w:rsidRPr="00C24ACA">
              <w:rPr>
                <w:rFonts w:eastAsiaTheme="minorEastAsia"/>
                <w:color w:val="000000"/>
                <w:kern w:val="0"/>
                <w:szCs w:val="21"/>
              </w:rPr>
              <w:t>号</w:t>
            </w:r>
            <w:r w:rsidRPr="00C24ACA">
              <w:rPr>
                <w:rFonts w:eastAsiaTheme="minorEastAsia"/>
                <w:color w:val="000000"/>
                <w:kern w:val="0"/>
                <w:szCs w:val="21"/>
              </w:rPr>
              <w:t>105</w:t>
            </w:r>
            <w:r w:rsidRPr="00C24ACA">
              <w:rPr>
                <w:rFonts w:eastAsiaTheme="minorEastAsia"/>
                <w:color w:val="000000"/>
                <w:kern w:val="0"/>
                <w:szCs w:val="21"/>
              </w:rPr>
              <w:t>室－</w:t>
            </w:r>
            <w:r w:rsidRPr="00C24ACA">
              <w:rPr>
                <w:rFonts w:eastAsiaTheme="minorEastAsia"/>
                <w:color w:val="000000"/>
                <w:kern w:val="0"/>
                <w:szCs w:val="21"/>
              </w:rPr>
              <w:t>42891</w:t>
            </w:r>
            <w:r w:rsidRPr="00C24ACA">
              <w:rPr>
                <w:rFonts w:eastAsiaTheme="minorEastAsia"/>
                <w:color w:val="000000"/>
                <w:kern w:val="0"/>
                <w:szCs w:val="21"/>
              </w:rPr>
              <w:t>（集中办公区）</w:t>
            </w:r>
          </w:p>
        </w:tc>
        <w:tc>
          <w:tcPr>
            <w:tcW w:w="3060" w:type="dxa"/>
          </w:tcPr>
          <w:p w:rsidR="008A5A5D" w:rsidRPr="00C24ACA" w:rsidRDefault="008A5A5D" w:rsidP="00976F71">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北京市东城区建国门内大街</w:t>
            </w:r>
            <w:r w:rsidRPr="00C24ACA">
              <w:rPr>
                <w:rFonts w:eastAsiaTheme="minorEastAsia"/>
                <w:color w:val="000000"/>
                <w:kern w:val="0"/>
                <w:szCs w:val="21"/>
              </w:rPr>
              <w:t>69</w:t>
            </w:r>
            <w:r w:rsidRPr="00C24ACA">
              <w:rPr>
                <w:rFonts w:eastAsiaTheme="minorEastAsia"/>
                <w:color w:val="000000"/>
                <w:kern w:val="0"/>
                <w:szCs w:val="21"/>
              </w:rPr>
              <w:t>号</w:t>
            </w:r>
          </w:p>
        </w:tc>
      </w:tr>
      <w:tr w:rsidR="008A5A5D" w:rsidRPr="00C24ACA" w:rsidTr="00976F71">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办公地址</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广州市天河区珠江新城珠江东路</w:t>
            </w:r>
            <w:r w:rsidRPr="00C24ACA">
              <w:rPr>
                <w:rFonts w:eastAsiaTheme="minorEastAsia"/>
                <w:color w:val="000000"/>
                <w:kern w:val="0"/>
                <w:szCs w:val="21"/>
              </w:rPr>
              <w:t>30</w:t>
            </w:r>
            <w:r w:rsidRPr="00C24ACA">
              <w:rPr>
                <w:rFonts w:eastAsiaTheme="minorEastAsia"/>
                <w:color w:val="000000"/>
                <w:kern w:val="0"/>
                <w:szCs w:val="21"/>
              </w:rPr>
              <w:t>号广州银行大厦</w:t>
            </w:r>
            <w:r w:rsidRPr="00C24ACA">
              <w:rPr>
                <w:rFonts w:eastAsiaTheme="minorEastAsia"/>
                <w:color w:val="000000"/>
                <w:kern w:val="0"/>
                <w:szCs w:val="21"/>
              </w:rPr>
              <w:t>40-43</w:t>
            </w:r>
            <w:r w:rsidRPr="00C24ACA">
              <w:rPr>
                <w:rFonts w:eastAsiaTheme="minorEastAsia"/>
                <w:color w:val="000000"/>
                <w:kern w:val="0"/>
                <w:szCs w:val="21"/>
              </w:rPr>
              <w:t>楼</w:t>
            </w:r>
          </w:p>
        </w:tc>
        <w:tc>
          <w:tcPr>
            <w:tcW w:w="3060" w:type="dxa"/>
          </w:tcPr>
          <w:p w:rsidR="008A5A5D" w:rsidRPr="00C24ACA" w:rsidRDefault="008A5A5D" w:rsidP="00976F71">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北京市西城区复兴门内大街</w:t>
            </w:r>
            <w:r w:rsidRPr="00C24ACA">
              <w:rPr>
                <w:rFonts w:eastAsiaTheme="minorEastAsia"/>
                <w:color w:val="000000"/>
                <w:kern w:val="0"/>
                <w:szCs w:val="21"/>
              </w:rPr>
              <w:t>28</w:t>
            </w:r>
            <w:r w:rsidRPr="00C24ACA">
              <w:rPr>
                <w:rFonts w:eastAsiaTheme="minorEastAsia"/>
                <w:color w:val="000000"/>
                <w:kern w:val="0"/>
                <w:szCs w:val="21"/>
              </w:rPr>
              <w:t>号凯晨世贸中心东座</w:t>
            </w:r>
            <w:r w:rsidRPr="00C24ACA">
              <w:rPr>
                <w:rFonts w:eastAsiaTheme="minorEastAsia"/>
                <w:color w:val="000000"/>
                <w:kern w:val="0"/>
                <w:szCs w:val="21"/>
              </w:rPr>
              <w:t>F9</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邮政编码</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510620</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100031</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法定代表人</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刘晓艳</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周慕冰</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43" w:name="_Toc224618346"/>
      <w:bookmarkStart w:id="44" w:name="_Toc235605676"/>
      <w:bookmarkStart w:id="45" w:name="_Toc286929724"/>
      <w:bookmarkStart w:id="46" w:name="_Toc352255964"/>
      <w:bookmarkStart w:id="47" w:name="_Toc352256032"/>
      <w:bookmarkStart w:id="48" w:name="_Toc352331210"/>
      <w:bookmarkStart w:id="49" w:name="_Toc390164796"/>
      <w:bookmarkStart w:id="50" w:name="_Toc48663402"/>
      <w:r w:rsidRPr="0087359D">
        <w:rPr>
          <w:rFonts w:ascii="宋体" w:hAnsi="宋体"/>
          <w:kern w:val="0"/>
          <w:sz w:val="21"/>
          <w:szCs w:val="21"/>
        </w:rPr>
        <w:t>2.4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境外投资顾问和境外资产托管人</w:t>
      </w:r>
      <w:bookmarkEnd w:id="43"/>
      <w:bookmarkEnd w:id="44"/>
      <w:bookmarkEnd w:id="45"/>
      <w:bookmarkEnd w:id="46"/>
      <w:bookmarkEnd w:id="47"/>
      <w:bookmarkEnd w:id="48"/>
      <w:bookmarkEnd w:id="49"/>
      <w:bookmarkEnd w:id="5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
        <w:gridCol w:w="900"/>
        <w:gridCol w:w="3600"/>
        <w:gridCol w:w="3600"/>
      </w:tblGrid>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项目</w:t>
            </w:r>
          </w:p>
        </w:tc>
        <w:tc>
          <w:tcPr>
            <w:tcW w:w="3600" w:type="dxa"/>
            <w:vAlign w:val="center"/>
          </w:tcPr>
          <w:p w:rsidR="008A5A5D" w:rsidRPr="00C24ACA" w:rsidRDefault="008A5A5D" w:rsidP="004B68EC">
            <w:pPr>
              <w:spacing w:line="360" w:lineRule="auto"/>
              <w:jc w:val="center"/>
              <w:rPr>
                <w:rFonts w:eastAsiaTheme="minorEastAsia"/>
                <w:szCs w:val="21"/>
              </w:rPr>
            </w:pPr>
            <w:r w:rsidRPr="00C24ACA">
              <w:rPr>
                <w:rFonts w:eastAsiaTheme="minorEastAsia"/>
                <w:kern w:val="0"/>
                <w:szCs w:val="21"/>
              </w:rPr>
              <w:t>境外投资顾问</w:t>
            </w:r>
          </w:p>
        </w:tc>
        <w:tc>
          <w:tcPr>
            <w:tcW w:w="3600" w:type="dxa"/>
            <w:vAlign w:val="center"/>
          </w:tcPr>
          <w:p w:rsidR="008A5A5D" w:rsidRPr="00C24ACA" w:rsidRDefault="008A5A5D" w:rsidP="004B68EC">
            <w:pPr>
              <w:spacing w:line="360" w:lineRule="auto"/>
              <w:jc w:val="center"/>
              <w:rPr>
                <w:rFonts w:eastAsiaTheme="minorEastAsia"/>
                <w:szCs w:val="21"/>
              </w:rPr>
            </w:pPr>
            <w:r w:rsidRPr="00C24ACA">
              <w:rPr>
                <w:rFonts w:eastAsiaTheme="minorEastAsia"/>
                <w:kern w:val="0"/>
                <w:szCs w:val="21"/>
              </w:rPr>
              <w:t>境外资产托管人</w:t>
            </w:r>
          </w:p>
        </w:tc>
      </w:tr>
      <w:tr w:rsidR="008A5A5D" w:rsidRPr="00C24ACA" w:rsidTr="004B68EC">
        <w:trPr>
          <w:trHeight w:val="370"/>
        </w:trPr>
        <w:tc>
          <w:tcPr>
            <w:tcW w:w="900" w:type="dxa"/>
            <w:vMerge w:val="restart"/>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名称</w:t>
            </w:r>
          </w:p>
        </w:tc>
        <w:tc>
          <w:tcPr>
            <w:tcW w:w="900" w:type="dxa"/>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英文</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The Hongkong and Shanghai Banking Corporation Limited</w:t>
            </w:r>
          </w:p>
        </w:tc>
      </w:tr>
      <w:tr w:rsidR="008A5A5D" w:rsidRPr="00C24ACA" w:rsidTr="004B68EC">
        <w:trPr>
          <w:trHeight w:val="335"/>
        </w:trPr>
        <w:tc>
          <w:tcPr>
            <w:tcW w:w="900" w:type="dxa"/>
            <w:vMerge/>
            <w:vAlign w:val="center"/>
          </w:tcPr>
          <w:p w:rsidR="008A5A5D" w:rsidRPr="00C24ACA" w:rsidRDefault="008A5A5D" w:rsidP="004B68EC">
            <w:pPr>
              <w:jc w:val="center"/>
              <w:rPr>
                <w:rFonts w:eastAsiaTheme="minorEastAsia"/>
                <w:color w:val="000000"/>
                <w:szCs w:val="21"/>
              </w:rPr>
            </w:pPr>
          </w:p>
        </w:tc>
        <w:tc>
          <w:tcPr>
            <w:tcW w:w="900" w:type="dxa"/>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中文</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香港上海汇丰银行有限公司</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注册地址</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香港皇后大道中一号</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办公地址</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香港九龙深旺道</w:t>
            </w:r>
            <w:r w:rsidRPr="00C24ACA">
              <w:rPr>
                <w:rFonts w:eastAsiaTheme="minorEastAsia"/>
                <w:szCs w:val="21"/>
              </w:rPr>
              <w:t>1</w:t>
            </w:r>
            <w:r w:rsidRPr="00C24ACA">
              <w:rPr>
                <w:rFonts w:eastAsiaTheme="minorEastAsia"/>
                <w:szCs w:val="21"/>
              </w:rPr>
              <w:t>号汇丰中心</w:t>
            </w:r>
            <w:r w:rsidRPr="00C24ACA">
              <w:rPr>
                <w:rFonts w:eastAsiaTheme="minorEastAsia"/>
                <w:szCs w:val="21"/>
              </w:rPr>
              <w:t>1</w:t>
            </w:r>
            <w:r w:rsidRPr="00C24ACA">
              <w:rPr>
                <w:rFonts w:eastAsiaTheme="minorEastAsia"/>
                <w:szCs w:val="21"/>
              </w:rPr>
              <w:t>座</w:t>
            </w:r>
            <w:r w:rsidRPr="00C24ACA">
              <w:rPr>
                <w:rFonts w:eastAsiaTheme="minorEastAsia"/>
                <w:szCs w:val="21"/>
              </w:rPr>
              <w:t>6</w:t>
            </w:r>
            <w:r w:rsidRPr="00C24ACA">
              <w:rPr>
                <w:rFonts w:eastAsiaTheme="minorEastAsia"/>
                <w:szCs w:val="21"/>
              </w:rPr>
              <w:t>楼</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邮政编码</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51" w:name="_Toc225498248"/>
      <w:bookmarkStart w:id="52" w:name="_Toc352255965"/>
      <w:bookmarkStart w:id="53" w:name="_Toc352256033"/>
      <w:bookmarkStart w:id="54" w:name="_Toc352331211"/>
      <w:bookmarkStart w:id="55" w:name="_Toc390164797"/>
      <w:bookmarkStart w:id="56" w:name="_Toc48663403"/>
      <w:r w:rsidRPr="0087359D">
        <w:rPr>
          <w:rFonts w:ascii="宋体" w:hAnsi="宋体"/>
          <w:kern w:val="0"/>
          <w:sz w:val="21"/>
          <w:szCs w:val="21"/>
        </w:rPr>
        <w:t>2.5</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信息披露方式</w:t>
      </w:r>
      <w:bookmarkEnd w:id="51"/>
      <w:bookmarkEnd w:id="52"/>
      <w:bookmarkEnd w:id="53"/>
      <w:bookmarkEnd w:id="54"/>
      <w:bookmarkEnd w:id="55"/>
      <w:bookmarkEnd w:id="5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本基金选定的信息披露报纸名称</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证券时报</w:t>
            </w:r>
          </w:p>
        </w:tc>
      </w:tr>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登载基金</w:t>
            </w:r>
            <w:r w:rsidR="00930E85">
              <w:rPr>
                <w:rFonts w:eastAsiaTheme="minorEastAsia"/>
                <w:color w:val="000000"/>
                <w:szCs w:val="21"/>
              </w:rPr>
              <w:t>中期</w:t>
            </w:r>
            <w:r w:rsidRPr="00C24ACA">
              <w:rPr>
                <w:rFonts w:eastAsiaTheme="minorEastAsia"/>
                <w:color w:val="000000"/>
                <w:szCs w:val="21"/>
              </w:rPr>
              <w:t>报告正文的管理人互联网网址</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http://www.efunds.com.cn</w:t>
            </w:r>
          </w:p>
        </w:tc>
      </w:tr>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基金</w:t>
            </w:r>
            <w:r w:rsidR="00930E85">
              <w:rPr>
                <w:rFonts w:eastAsiaTheme="minorEastAsia"/>
                <w:color w:val="000000"/>
                <w:szCs w:val="21"/>
              </w:rPr>
              <w:t>中期</w:t>
            </w:r>
            <w:r w:rsidRPr="00C24ACA">
              <w:rPr>
                <w:rFonts w:eastAsiaTheme="minorEastAsia"/>
                <w:color w:val="000000"/>
                <w:szCs w:val="21"/>
              </w:rPr>
              <w:t>报告备置地点</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广州市天河区珠江新城珠江东路</w:t>
            </w:r>
            <w:r w:rsidRPr="00C24ACA">
              <w:rPr>
                <w:rFonts w:eastAsiaTheme="minorEastAsia"/>
                <w:color w:val="000000"/>
                <w:szCs w:val="21"/>
              </w:rPr>
              <w:t>30</w:t>
            </w:r>
            <w:r w:rsidRPr="00C24ACA">
              <w:rPr>
                <w:rFonts w:eastAsiaTheme="minorEastAsia"/>
                <w:color w:val="000000"/>
                <w:szCs w:val="21"/>
              </w:rPr>
              <w:t>号广州银行大厦</w:t>
            </w:r>
            <w:r w:rsidRPr="00C24ACA">
              <w:rPr>
                <w:rFonts w:eastAsiaTheme="minorEastAsia"/>
                <w:color w:val="000000"/>
                <w:szCs w:val="21"/>
              </w:rPr>
              <w:t>43</w:t>
            </w:r>
            <w:r w:rsidRPr="00C24ACA">
              <w:rPr>
                <w:rFonts w:eastAsiaTheme="minorEastAsia"/>
                <w:color w:val="000000"/>
                <w:szCs w:val="21"/>
              </w:rPr>
              <w:t>楼</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57" w:name="_Toc225498249"/>
      <w:bookmarkStart w:id="58" w:name="_Toc352255966"/>
      <w:bookmarkStart w:id="59" w:name="_Toc352256034"/>
      <w:bookmarkStart w:id="60" w:name="_Toc352331212"/>
      <w:bookmarkStart w:id="61" w:name="_Toc390164798"/>
      <w:bookmarkStart w:id="62" w:name="_Toc48663404"/>
      <w:r w:rsidRPr="0087359D">
        <w:rPr>
          <w:rFonts w:ascii="宋体" w:hAnsi="宋体"/>
          <w:kern w:val="0"/>
          <w:sz w:val="21"/>
          <w:szCs w:val="21"/>
        </w:rPr>
        <w:t>2.6</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其他相关资料</w:t>
      </w:r>
      <w:bookmarkEnd w:id="57"/>
      <w:bookmarkEnd w:id="58"/>
      <w:bookmarkEnd w:id="59"/>
      <w:bookmarkEnd w:id="60"/>
      <w:bookmarkEnd w:id="61"/>
      <w:bookmarkEnd w:id="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8A5A5D" w:rsidRPr="00C24ACA" w:rsidTr="00862636">
        <w:tc>
          <w:tcPr>
            <w:tcW w:w="1951"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项目</w:t>
            </w:r>
          </w:p>
        </w:tc>
        <w:tc>
          <w:tcPr>
            <w:tcW w:w="3260"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名称</w:t>
            </w:r>
          </w:p>
        </w:tc>
        <w:tc>
          <w:tcPr>
            <w:tcW w:w="4075"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办公地址</w:t>
            </w:r>
          </w:p>
        </w:tc>
      </w:tr>
      <w:tr w:rsidR="008A5A5D" w:rsidRPr="00C24ACA" w:rsidTr="00862636">
        <w:tc>
          <w:tcPr>
            <w:tcW w:w="1951" w:type="dxa"/>
          </w:tcPr>
          <w:p w:rsidR="008A5A5D" w:rsidRPr="00C24ACA" w:rsidRDefault="008A5A5D">
            <w:pPr>
              <w:tabs>
                <w:tab w:val="left" w:pos="1740"/>
              </w:tabs>
              <w:rPr>
                <w:rFonts w:eastAsiaTheme="minorEastAsia"/>
                <w:color w:val="000000"/>
                <w:szCs w:val="21"/>
              </w:rPr>
            </w:pPr>
            <w:r w:rsidRPr="00C24ACA">
              <w:rPr>
                <w:rFonts w:eastAsiaTheme="minorEastAsia"/>
                <w:color w:val="000000"/>
                <w:szCs w:val="21"/>
              </w:rPr>
              <w:t>注册登记机构</w:t>
            </w:r>
          </w:p>
        </w:tc>
        <w:tc>
          <w:tcPr>
            <w:tcW w:w="3260" w:type="dxa"/>
            <w:vAlign w:val="bottom"/>
          </w:tcPr>
          <w:p w:rsidR="008A5A5D" w:rsidRPr="00C24ACA" w:rsidRDefault="008A5A5D" w:rsidP="00EC549A">
            <w:pPr>
              <w:tabs>
                <w:tab w:val="left" w:pos="1740"/>
              </w:tabs>
              <w:jc w:val="left"/>
              <w:rPr>
                <w:rFonts w:eastAsiaTheme="minorEastAsia"/>
                <w:color w:val="000000"/>
                <w:szCs w:val="21"/>
              </w:rPr>
            </w:pPr>
            <w:r w:rsidRPr="00C24ACA">
              <w:rPr>
                <w:rFonts w:eastAsiaTheme="minorEastAsia"/>
                <w:color w:val="000000"/>
                <w:szCs w:val="21"/>
              </w:rPr>
              <w:t>中国证券登记结算有限责任公司</w:t>
            </w:r>
          </w:p>
        </w:tc>
        <w:tc>
          <w:tcPr>
            <w:tcW w:w="4075" w:type="dxa"/>
            <w:vAlign w:val="bottom"/>
          </w:tcPr>
          <w:p w:rsidR="008A5A5D" w:rsidRPr="00C24ACA" w:rsidRDefault="008A5A5D">
            <w:pPr>
              <w:tabs>
                <w:tab w:val="left" w:pos="1740"/>
              </w:tabs>
              <w:rPr>
                <w:rFonts w:eastAsiaTheme="minorEastAsia"/>
                <w:color w:val="000000"/>
                <w:szCs w:val="21"/>
              </w:rPr>
            </w:pPr>
            <w:r w:rsidRPr="00C24ACA">
              <w:rPr>
                <w:rFonts w:eastAsiaTheme="minorEastAsia"/>
                <w:color w:val="000000"/>
                <w:szCs w:val="21"/>
              </w:rPr>
              <w:t>北京市西城区太平桥大街</w:t>
            </w:r>
            <w:r w:rsidRPr="00C24ACA">
              <w:rPr>
                <w:rFonts w:eastAsiaTheme="minorEastAsia"/>
                <w:color w:val="000000"/>
                <w:szCs w:val="21"/>
              </w:rPr>
              <w:t>17</w:t>
            </w:r>
            <w:r w:rsidRPr="00C24ACA">
              <w:rPr>
                <w:rFonts w:eastAsiaTheme="minorEastAsia"/>
                <w:color w:val="000000"/>
                <w:szCs w:val="21"/>
              </w:rPr>
              <w:t>号</w:t>
            </w:r>
          </w:p>
        </w:tc>
      </w:tr>
      <w:tr w:rsidR="00854133">
        <w:tc>
          <w:tcPr>
            <w:tcW w:w="1951" w:type="dxa"/>
            <w:vAlign w:val="center"/>
          </w:tcPr>
          <w:p w:rsidR="00854133" w:rsidRDefault="00581AA4">
            <w:pPr>
              <w:jc w:val="left"/>
            </w:pPr>
            <w:r>
              <w:rPr>
                <w:rFonts w:eastAsiaTheme="minorEastAsia"/>
                <w:color w:val="000000"/>
                <w:szCs w:val="21"/>
              </w:rPr>
              <w:t>注册登记机构</w:t>
            </w:r>
          </w:p>
        </w:tc>
        <w:tc>
          <w:tcPr>
            <w:tcW w:w="3260" w:type="dxa"/>
            <w:vAlign w:val="center"/>
          </w:tcPr>
          <w:p w:rsidR="00854133" w:rsidRDefault="00581AA4">
            <w:pPr>
              <w:jc w:val="left"/>
            </w:pPr>
            <w:r>
              <w:rPr>
                <w:rFonts w:eastAsiaTheme="minorEastAsia"/>
                <w:color w:val="000000"/>
                <w:szCs w:val="21"/>
              </w:rPr>
              <w:t>易方达基金管理有限公司</w:t>
            </w:r>
          </w:p>
        </w:tc>
        <w:tc>
          <w:tcPr>
            <w:tcW w:w="4075" w:type="dxa"/>
            <w:vAlign w:val="center"/>
          </w:tcPr>
          <w:p w:rsidR="00854133" w:rsidRDefault="00581AA4">
            <w:pPr>
              <w:jc w:val="left"/>
            </w:pPr>
            <w:r>
              <w:rPr>
                <w:rFonts w:eastAsiaTheme="minorEastAsia"/>
                <w:color w:val="000000"/>
                <w:szCs w:val="21"/>
              </w:rPr>
              <w:t>广州市天河区珠江新城珠江东路</w:t>
            </w:r>
            <w:r>
              <w:rPr>
                <w:rFonts w:eastAsiaTheme="minorEastAsia"/>
                <w:color w:val="000000"/>
                <w:szCs w:val="21"/>
              </w:rPr>
              <w:t>30</w:t>
            </w:r>
            <w:r>
              <w:rPr>
                <w:rFonts w:eastAsiaTheme="minorEastAsia"/>
                <w:color w:val="000000"/>
                <w:szCs w:val="21"/>
              </w:rPr>
              <w:t>号广州银行大厦</w:t>
            </w:r>
            <w:r>
              <w:rPr>
                <w:rFonts w:eastAsiaTheme="minorEastAsia"/>
                <w:color w:val="000000"/>
                <w:szCs w:val="21"/>
              </w:rPr>
              <w:t>40-43</w:t>
            </w:r>
            <w:r>
              <w:rPr>
                <w:rFonts w:eastAsiaTheme="minorEastAsia"/>
                <w:color w:val="000000"/>
                <w:szCs w:val="21"/>
              </w:rPr>
              <w:t>楼</w:t>
            </w:r>
          </w:p>
        </w:tc>
      </w:tr>
    </w:tbl>
    <w:p w:rsidR="008A5A5D" w:rsidRPr="00C24ACA" w:rsidRDefault="008A5A5D" w:rsidP="00062D12">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注：本基金</w:t>
      </w:r>
      <w:r w:rsidRPr="00C24ACA">
        <w:rPr>
          <w:rFonts w:eastAsiaTheme="minorEastAsia"/>
          <w:kern w:val="0"/>
          <w:szCs w:val="21"/>
        </w:rPr>
        <w:t>A</w:t>
      </w:r>
      <w:r w:rsidRPr="00C24ACA">
        <w:rPr>
          <w:rFonts w:eastAsiaTheme="minorEastAsia"/>
          <w:kern w:val="0"/>
          <w:szCs w:val="21"/>
        </w:rPr>
        <w:t>类人民币份额的登记结算机构为中国证券登记结算有限责任公司，</w:t>
      </w:r>
      <w:r w:rsidRPr="00C24ACA">
        <w:rPr>
          <w:rFonts w:eastAsiaTheme="minorEastAsia"/>
          <w:kern w:val="0"/>
          <w:szCs w:val="21"/>
        </w:rPr>
        <w:t>A</w:t>
      </w:r>
      <w:r w:rsidRPr="00C24ACA">
        <w:rPr>
          <w:rFonts w:eastAsiaTheme="minorEastAsia"/>
          <w:kern w:val="0"/>
          <w:szCs w:val="21"/>
        </w:rPr>
        <w:t>类美元份额、</w:t>
      </w:r>
      <w:r w:rsidRPr="00C24ACA">
        <w:rPr>
          <w:rFonts w:eastAsiaTheme="minorEastAsia"/>
          <w:kern w:val="0"/>
          <w:szCs w:val="21"/>
        </w:rPr>
        <w:t>C</w:t>
      </w:r>
      <w:r w:rsidRPr="00C24ACA">
        <w:rPr>
          <w:rFonts w:eastAsiaTheme="minorEastAsia"/>
          <w:kern w:val="0"/>
          <w:szCs w:val="21"/>
        </w:rPr>
        <w:t>类美元份额、</w:t>
      </w:r>
      <w:r w:rsidRPr="00C24ACA">
        <w:rPr>
          <w:rFonts w:eastAsiaTheme="minorEastAsia"/>
          <w:kern w:val="0"/>
          <w:szCs w:val="21"/>
        </w:rPr>
        <w:t>C</w:t>
      </w:r>
      <w:r w:rsidRPr="00C24ACA">
        <w:rPr>
          <w:rFonts w:eastAsiaTheme="minorEastAsia"/>
          <w:kern w:val="0"/>
          <w:szCs w:val="21"/>
        </w:rPr>
        <w:t>类人民币份额的登记结算机构为易方达基金管理有限公司。</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63" w:name="_Toc352255967"/>
      <w:bookmarkStart w:id="64" w:name="_Toc352256035"/>
      <w:bookmarkStart w:id="65" w:name="_Toc352331213"/>
      <w:bookmarkStart w:id="66" w:name="_Toc390164799"/>
      <w:bookmarkStart w:id="67" w:name="_Toc48663405"/>
      <w:r w:rsidRPr="000C6CCD">
        <w:rPr>
          <w:rFonts w:ascii="宋体" w:hAnsi="宋体"/>
          <w:bCs w:val="0"/>
          <w:color w:val="000000"/>
          <w:sz w:val="21"/>
          <w:szCs w:val="21"/>
        </w:rPr>
        <w:t>3</w:t>
      </w:r>
      <w:r w:rsidR="00643DBD">
        <w:rPr>
          <w:rFonts w:ascii="Times New Roman" w:hAnsi="Times New Roman"/>
          <w:bCs w:val="0"/>
          <w:color w:val="000000"/>
          <w:sz w:val="21"/>
          <w:szCs w:val="21"/>
        </w:rPr>
        <w:t xml:space="preserve">     </w:t>
      </w:r>
      <w:r w:rsidR="004C753B" w:rsidRPr="00A432E9">
        <w:rPr>
          <w:rFonts w:ascii="Times New Roman" w:hAnsi="Times New Roman"/>
          <w:bCs w:val="0"/>
          <w:color w:val="000000"/>
          <w:sz w:val="21"/>
          <w:szCs w:val="21"/>
        </w:rPr>
        <w:t>主要财务指标和</w:t>
      </w:r>
      <w:r w:rsidRPr="00A432E9">
        <w:rPr>
          <w:rFonts w:ascii="Times New Roman" w:hAnsi="Times New Roman"/>
          <w:bCs w:val="0"/>
          <w:color w:val="000000"/>
          <w:sz w:val="21"/>
          <w:szCs w:val="21"/>
        </w:rPr>
        <w:t>基金净值表现</w:t>
      </w:r>
      <w:bookmarkEnd w:id="63"/>
      <w:bookmarkEnd w:id="64"/>
      <w:bookmarkEnd w:id="65"/>
      <w:bookmarkEnd w:id="66"/>
      <w:bookmarkEnd w:id="67"/>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68" w:name="_Toc286996129"/>
      <w:bookmarkStart w:id="69" w:name="_Toc352255968"/>
      <w:bookmarkStart w:id="70" w:name="_Toc352256036"/>
      <w:bookmarkStart w:id="71" w:name="_Toc352331214"/>
      <w:bookmarkStart w:id="72" w:name="_Toc390164800"/>
      <w:bookmarkStart w:id="73" w:name="_Toc48663406"/>
      <w:r w:rsidRPr="0087359D">
        <w:rPr>
          <w:rFonts w:ascii="宋体" w:hAnsi="宋体"/>
          <w:kern w:val="0"/>
          <w:sz w:val="21"/>
          <w:szCs w:val="21"/>
        </w:rPr>
        <w:t>3.1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主要会计数据和财务指标</w:t>
      </w:r>
      <w:bookmarkEnd w:id="68"/>
      <w:bookmarkEnd w:id="69"/>
      <w:bookmarkEnd w:id="70"/>
      <w:bookmarkEnd w:id="71"/>
      <w:bookmarkEnd w:id="72"/>
      <w:bookmarkEnd w:id="73"/>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金额单位：人民币元</w:t>
      </w:r>
    </w:p>
    <w:tbl>
      <w:tblPr>
        <w:tblW w:w="93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D2230" w:rsidRPr="00C24ACA" w:rsidTr="005C3575">
        <w:trPr>
          <w:trHeight w:val="487"/>
        </w:trPr>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3.1.1</w:t>
            </w:r>
            <w:r w:rsidRPr="00C24ACA">
              <w:rPr>
                <w:rFonts w:eastAsiaTheme="minorEastAsia"/>
                <w:b/>
                <w:color w:val="000000"/>
                <w:szCs w:val="21"/>
              </w:rPr>
              <w:t>期间数据和指标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w:t>
            </w:r>
            <w:r w:rsidRPr="00C24ACA">
              <w:rPr>
                <w:rFonts w:eastAsiaTheme="minorEastAsia"/>
                <w:b/>
                <w:szCs w:val="21"/>
              </w:rPr>
              <w:t>2020</w:t>
            </w:r>
            <w:r w:rsidRPr="00C24ACA">
              <w:rPr>
                <w:rFonts w:eastAsiaTheme="minorEastAsia"/>
                <w:b/>
                <w:szCs w:val="21"/>
              </w:rPr>
              <w:t>年</w:t>
            </w:r>
            <w:r w:rsidRPr="00C24ACA">
              <w:rPr>
                <w:rFonts w:eastAsiaTheme="minorEastAsia"/>
                <w:b/>
                <w:szCs w:val="21"/>
              </w:rPr>
              <w:t>1</w:t>
            </w:r>
            <w:r w:rsidRPr="00C24ACA">
              <w:rPr>
                <w:rFonts w:eastAsiaTheme="minorEastAsia"/>
                <w:b/>
                <w:szCs w:val="21"/>
              </w:rPr>
              <w:t>月</w:t>
            </w:r>
            <w:r w:rsidRPr="00C24ACA">
              <w:rPr>
                <w:rFonts w:eastAsiaTheme="minorEastAsia"/>
                <w:b/>
                <w:szCs w:val="21"/>
              </w:rPr>
              <w:t>1</w:t>
            </w:r>
            <w:r w:rsidRPr="00C24ACA">
              <w:rPr>
                <w:rFonts w:eastAsiaTheme="minorEastAsia"/>
                <w:b/>
                <w:szCs w:val="21"/>
              </w:rPr>
              <w:t>日至</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p>
        </w:tc>
      </w:tr>
      <w:tr w:rsidR="001D2230" w:rsidRPr="00C24ACA" w:rsidTr="005C3575">
        <w:trPr>
          <w:trHeight w:val="487"/>
        </w:trPr>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易方达黄金主题（</w:t>
            </w:r>
            <w:r w:rsidRPr="00C24ACA">
              <w:rPr>
                <w:rFonts w:eastAsiaTheme="minorEastAsia"/>
                <w:szCs w:val="21"/>
              </w:rPr>
              <w:t>QDII-LOF-FOF</w:t>
            </w:r>
            <w:r w:rsidRPr="00C24ACA">
              <w:rPr>
                <w:rFonts w:eastAsiaTheme="minorEastAsia"/>
                <w:szCs w:val="21"/>
              </w:rPr>
              <w:t>）</w:t>
            </w:r>
            <w:r w:rsidRPr="00C24ACA">
              <w:rPr>
                <w:rFonts w:eastAsiaTheme="minorEastAsia"/>
                <w:szCs w:val="21"/>
              </w:rPr>
              <w:t>A</w:t>
            </w:r>
          </w:p>
        </w:tc>
        <w:tc>
          <w:tcPr>
            <w:tcW w:w="2558"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易方达黄金主题（</w:t>
            </w:r>
            <w:r w:rsidRPr="00C24ACA">
              <w:rPr>
                <w:rFonts w:eastAsiaTheme="minorEastAsia"/>
                <w:szCs w:val="21"/>
              </w:rPr>
              <w:t>QDII-LOF-FOF</w:t>
            </w:r>
            <w:r w:rsidRPr="00C24ACA">
              <w:rPr>
                <w:rFonts w:eastAsiaTheme="minorEastAsia"/>
                <w:szCs w:val="21"/>
              </w:rPr>
              <w:t>）</w:t>
            </w:r>
            <w:r w:rsidRPr="00C24ACA">
              <w:rPr>
                <w:rFonts w:eastAsiaTheme="minorEastAsia"/>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本期已实现收益</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15,126,359.08</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-7,943.11</w:t>
            </w:r>
          </w:p>
        </w:tc>
      </w:tr>
      <w:tr w:rsidR="001D2230" w:rsidRPr="00C24ACA" w:rsidTr="005C3575">
        <w:trPr>
          <w:trHeight w:val="754"/>
        </w:trPr>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30,406,715.03</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47,341.93</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加权平均基金份额本期利润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0.0809</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0.0295</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本期加权平均净值利润率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9.38%</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3.42%</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本期基金份额净值增长率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10.76%</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10.76%</w:t>
            </w:r>
          </w:p>
        </w:tc>
      </w:tr>
      <w:tr w:rsidR="001D2230" w:rsidRPr="00C24ACA" w:rsidTr="005C3575">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3.1.2</w:t>
            </w:r>
            <w:r w:rsidRPr="00C24ACA">
              <w:rPr>
                <w:rFonts w:eastAsiaTheme="minorEastAsia"/>
                <w:b/>
                <w:color w:val="000000"/>
                <w:szCs w:val="21"/>
              </w:rPr>
              <w:t>期末数据和指标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报告期末</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r w:rsidRPr="00C24ACA">
              <w:rPr>
                <w:rFonts w:eastAsiaTheme="minorEastAsia"/>
                <w:b/>
                <w:szCs w:val="21"/>
              </w:rPr>
              <w:t>)</w:t>
            </w:r>
          </w:p>
        </w:tc>
      </w:tr>
      <w:tr w:rsidR="001D2230" w:rsidRPr="00C24ACA" w:rsidTr="005C3575">
        <w:trPr>
          <w:trHeight w:val="373"/>
        </w:trPr>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ind w:leftChars="-51" w:left="-107" w:rightChars="-51" w:right="-107"/>
              <w:jc w:val="center"/>
              <w:rPr>
                <w:rFonts w:eastAsiaTheme="minorEastAsia"/>
                <w:color w:val="000000"/>
                <w:szCs w:val="21"/>
              </w:rPr>
            </w:pPr>
            <w:r w:rsidRPr="00C24ACA">
              <w:rPr>
                <w:rFonts w:eastAsiaTheme="minorEastAsia"/>
                <w:color w:val="000000"/>
                <w:szCs w:val="21"/>
              </w:rPr>
              <w:t>易方达黄金主题（</w:t>
            </w:r>
            <w:r w:rsidRPr="00C24ACA">
              <w:rPr>
                <w:rFonts w:eastAsiaTheme="minorEastAsia"/>
                <w:color w:val="000000"/>
                <w:szCs w:val="21"/>
              </w:rPr>
              <w:t>QDII-LOF-FOF</w:t>
            </w:r>
            <w:r w:rsidRPr="00C24ACA">
              <w:rPr>
                <w:rFonts w:eastAsiaTheme="minorEastAsia"/>
                <w:color w:val="000000"/>
                <w:szCs w:val="21"/>
              </w:rPr>
              <w:t>）</w:t>
            </w:r>
            <w:r w:rsidRPr="00C24ACA">
              <w:rPr>
                <w:rFonts w:eastAsiaTheme="minorEastAsia"/>
                <w:color w:val="000000"/>
                <w:szCs w:val="21"/>
              </w:rPr>
              <w:t>A</w:t>
            </w:r>
          </w:p>
        </w:tc>
        <w:tc>
          <w:tcPr>
            <w:tcW w:w="2558" w:type="dxa"/>
            <w:vAlign w:val="center"/>
          </w:tcPr>
          <w:p w:rsidR="001D2230" w:rsidRPr="00C24ACA" w:rsidRDefault="001D2230" w:rsidP="001D2230">
            <w:pPr>
              <w:ind w:leftChars="-51" w:left="-107" w:rightChars="-51" w:right="-107"/>
              <w:jc w:val="center"/>
              <w:rPr>
                <w:rFonts w:eastAsiaTheme="minorEastAsia"/>
                <w:color w:val="000000"/>
                <w:szCs w:val="21"/>
              </w:rPr>
            </w:pPr>
            <w:r w:rsidRPr="00C24ACA">
              <w:rPr>
                <w:rFonts w:eastAsiaTheme="minorEastAsia"/>
                <w:color w:val="000000"/>
                <w:szCs w:val="21"/>
              </w:rPr>
              <w:t>易方达黄金主题（</w:t>
            </w:r>
            <w:r w:rsidRPr="00C24ACA">
              <w:rPr>
                <w:rFonts w:eastAsiaTheme="minorEastAsia"/>
                <w:color w:val="000000"/>
                <w:szCs w:val="21"/>
              </w:rPr>
              <w:t>QDII-LOF-FOF</w:t>
            </w:r>
            <w:r w:rsidRPr="00C24ACA">
              <w:rPr>
                <w:rFonts w:eastAsiaTheme="minorEastAsia"/>
                <w:color w:val="000000"/>
                <w:szCs w:val="21"/>
              </w:rPr>
              <w:t>）</w:t>
            </w:r>
            <w:r w:rsidRPr="00C24ACA">
              <w:rPr>
                <w:rFonts w:eastAsiaTheme="minorEastAsia"/>
                <w:color w:val="000000"/>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期末可供分配利润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-62,485,871.31</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-178,792.16</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期末可供分配基金份额利润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-0.1982</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-0.1366</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期末基金资产净值</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298,566,781.84</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1,238,869.06</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期末基金份额净值</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0.947</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0.947</w:t>
            </w:r>
          </w:p>
        </w:tc>
      </w:tr>
      <w:tr w:rsidR="001D2230" w:rsidRPr="00C24ACA" w:rsidTr="005C3575">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3.1.3</w:t>
            </w:r>
            <w:r w:rsidRPr="00C24ACA">
              <w:rPr>
                <w:rFonts w:eastAsiaTheme="minorEastAsia"/>
                <w:b/>
                <w:color w:val="000000"/>
                <w:szCs w:val="21"/>
              </w:rPr>
              <w:t>累计期末指标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报告期末</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r w:rsidRPr="00C24ACA">
              <w:rPr>
                <w:rFonts w:eastAsiaTheme="minorEastAsia"/>
                <w:b/>
                <w:szCs w:val="21"/>
              </w:rPr>
              <w:t>)</w:t>
            </w:r>
          </w:p>
        </w:tc>
      </w:tr>
      <w:tr w:rsidR="001D2230" w:rsidRPr="00C24ACA" w:rsidTr="005C3575">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易方达黄金主题（</w:t>
            </w:r>
            <w:r w:rsidRPr="00C24ACA">
              <w:rPr>
                <w:rFonts w:eastAsiaTheme="minorEastAsia"/>
                <w:szCs w:val="21"/>
              </w:rPr>
              <w:t>QDII-LOF-FOF</w:t>
            </w:r>
            <w:r w:rsidRPr="00C24ACA">
              <w:rPr>
                <w:rFonts w:eastAsiaTheme="minorEastAsia"/>
                <w:szCs w:val="21"/>
              </w:rPr>
              <w:t>）</w:t>
            </w:r>
            <w:r w:rsidRPr="00C24ACA">
              <w:rPr>
                <w:rFonts w:eastAsiaTheme="minorEastAsia"/>
                <w:szCs w:val="21"/>
              </w:rPr>
              <w:t>A</w:t>
            </w:r>
          </w:p>
        </w:tc>
        <w:tc>
          <w:tcPr>
            <w:tcW w:w="2558"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易方达黄金主题（</w:t>
            </w:r>
            <w:r w:rsidRPr="00C24ACA">
              <w:rPr>
                <w:rFonts w:eastAsiaTheme="minorEastAsia"/>
                <w:szCs w:val="21"/>
              </w:rPr>
              <w:t>QDII-LOF-FOF</w:t>
            </w:r>
            <w:r w:rsidRPr="00C24ACA">
              <w:rPr>
                <w:rFonts w:eastAsiaTheme="minorEastAsia"/>
                <w:szCs w:val="21"/>
              </w:rPr>
              <w:t>）</w:t>
            </w:r>
            <w:r w:rsidRPr="00C24ACA">
              <w:rPr>
                <w:rFonts w:eastAsiaTheme="minorEastAsia"/>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基金份额累计净值增长率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-5.30%</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17.64%</w:t>
            </w:r>
          </w:p>
        </w:tc>
      </w:tr>
    </w:tbl>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所述基金业绩指标不包括持有人认购或交易基金的各项费用，计入费用后实际收益水平要低于所列数字。</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2.</w:t>
      </w:r>
      <w:r>
        <w:rPr>
          <w:rFonts w:eastAsiaTheme="minorEastAsia"/>
          <w:kern w:val="0"/>
          <w:szCs w:val="21"/>
        </w:rPr>
        <w:t>本期已实现收益指基金本期利息收入、投资收益、其他收入（不含公允价值变动收益）扣除相关费用后的余额，本期利润为本期已实现收益加上本期公允价值变动收益。</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3.</w:t>
      </w:r>
      <w:r w:rsidRPr="00C24ACA">
        <w:rPr>
          <w:rFonts w:eastAsiaTheme="minorEastAsia"/>
          <w:kern w:val="0"/>
          <w:szCs w:val="21"/>
        </w:rPr>
        <w:t>期末可供分配利润，为期末资产负债表中未分配利润与未分配利润中已实现部分的孰低数。</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74" w:name="_Toc225498252"/>
      <w:bookmarkStart w:id="75" w:name="_Toc352255969"/>
      <w:bookmarkStart w:id="76" w:name="_Toc352256037"/>
      <w:bookmarkStart w:id="77" w:name="_Toc352331215"/>
      <w:bookmarkStart w:id="78" w:name="_Toc390164801"/>
      <w:bookmarkStart w:id="79" w:name="_Toc48663407"/>
      <w:r w:rsidRPr="0087359D">
        <w:rPr>
          <w:rFonts w:ascii="宋体" w:hAnsi="宋体"/>
          <w:kern w:val="0"/>
          <w:sz w:val="21"/>
          <w:szCs w:val="21"/>
        </w:rPr>
        <w:t>3.2</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基金净值表现</w:t>
      </w:r>
      <w:bookmarkEnd w:id="74"/>
      <w:bookmarkEnd w:id="75"/>
      <w:bookmarkEnd w:id="76"/>
      <w:bookmarkEnd w:id="77"/>
      <w:bookmarkEnd w:id="78"/>
      <w:bookmarkEnd w:id="79"/>
    </w:p>
    <w:p w:rsidR="008A5A5D" w:rsidRPr="00C24ACA" w:rsidRDefault="008A5A5D" w:rsidP="00635EA5">
      <w:pPr>
        <w:autoSpaceDE w:val="0"/>
        <w:autoSpaceDN w:val="0"/>
        <w:adjustRightInd w:val="0"/>
        <w:spacing w:line="360" w:lineRule="auto"/>
        <w:jc w:val="left"/>
        <w:rPr>
          <w:rFonts w:eastAsiaTheme="minorEastAsia"/>
          <w:b/>
          <w:color w:val="000000"/>
          <w:kern w:val="0"/>
          <w:szCs w:val="21"/>
        </w:rPr>
      </w:pPr>
      <w:r w:rsidRPr="00C24ACA">
        <w:rPr>
          <w:rFonts w:eastAsiaTheme="minorEastAsia"/>
          <w:b/>
          <w:color w:val="000000"/>
          <w:kern w:val="0"/>
          <w:szCs w:val="21"/>
        </w:rPr>
        <w:t xml:space="preserve">3.2.1 </w:t>
      </w:r>
      <w:r w:rsidRPr="00C24ACA">
        <w:rPr>
          <w:rFonts w:eastAsiaTheme="minorEastAsia"/>
          <w:b/>
          <w:color w:val="000000"/>
          <w:kern w:val="0"/>
          <w:szCs w:val="21"/>
        </w:rPr>
        <w:t>基金份额净值增长率及其与同期业绩比较基准收益率的比较</w:t>
      </w:r>
    </w:p>
    <w:p w:rsidR="00FC6E91" w:rsidRPr="00C24ACA" w:rsidRDefault="00FC6E91" w:rsidP="00FC6E91">
      <w:pPr>
        <w:pStyle w:val="21"/>
        <w:spacing w:line="360" w:lineRule="auto"/>
        <w:ind w:firstLineChars="0" w:firstLine="0"/>
        <w:rPr>
          <w:rFonts w:ascii="Times New Roman" w:eastAsiaTheme="minorEastAsia" w:hAnsi="Times New Roman"/>
          <w:color w:val="auto"/>
          <w:sz w:val="21"/>
          <w:szCs w:val="21"/>
        </w:rPr>
      </w:pPr>
      <w:r w:rsidRPr="00C24ACA">
        <w:rPr>
          <w:rFonts w:ascii="Times New Roman" w:eastAsiaTheme="minorEastAsia" w:hAnsi="Times New Roman"/>
          <w:color w:val="auto"/>
          <w:sz w:val="21"/>
          <w:szCs w:val="21"/>
        </w:rPr>
        <w:t>易方达黄金主题（</w:t>
      </w:r>
      <w:r w:rsidRPr="00C24ACA">
        <w:rPr>
          <w:rFonts w:ascii="Times New Roman" w:eastAsiaTheme="minorEastAsia" w:hAnsi="Times New Roman"/>
          <w:color w:val="auto"/>
          <w:sz w:val="21"/>
          <w:szCs w:val="21"/>
        </w:rPr>
        <w:t>QDII-LOF-FOF</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FC6E91" w:rsidRPr="00C24ACA" w:rsidTr="005C3575">
        <w:tc>
          <w:tcPr>
            <w:tcW w:w="162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阶段</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w:t>
            </w:r>
            <w:r w:rsidRPr="00C24ACA">
              <w:rPr>
                <w:rFonts w:ascii="宋体" w:hAnsi="宋体" w:cs="宋体" w:hint="eastAsia"/>
                <w:color w:val="000000"/>
                <w:szCs w:val="21"/>
              </w:rPr>
              <w:t>①</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份额净值增长率标准差</w:t>
            </w:r>
            <w:r w:rsidRPr="00C24ACA">
              <w:rPr>
                <w:rFonts w:ascii="宋体" w:hAnsi="宋体" w:cs="宋体" w:hint="eastAsia"/>
                <w:color w:val="000000"/>
                <w:szCs w:val="21"/>
              </w:rPr>
              <w:t>②</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业绩比较基准收益率标准差</w:t>
            </w:r>
            <w:r w:rsidRPr="00C24ACA">
              <w:rPr>
                <w:rFonts w:ascii="宋体" w:hAnsi="宋体" w:cs="宋体" w:hint="eastAsia"/>
                <w:color w:val="000000"/>
                <w:szCs w:val="21"/>
              </w:rPr>
              <w:t>④</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①</w:t>
            </w:r>
            <w:r w:rsidRPr="00C24ACA">
              <w:rPr>
                <w:rFonts w:eastAsiaTheme="minorEastAsia"/>
                <w:color w:val="000000"/>
                <w:szCs w:val="21"/>
              </w:rPr>
              <w:t>－</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②</w:t>
            </w:r>
            <w:r w:rsidRPr="00C24ACA">
              <w:rPr>
                <w:rFonts w:eastAsiaTheme="minorEastAsia"/>
                <w:color w:val="000000"/>
                <w:szCs w:val="21"/>
              </w:rPr>
              <w:t>－</w:t>
            </w:r>
            <w:r w:rsidRPr="00C24ACA">
              <w:rPr>
                <w:rFonts w:ascii="宋体" w:hAnsi="宋体" w:cs="宋体" w:hint="eastAsia"/>
                <w:color w:val="000000"/>
                <w:szCs w:val="21"/>
              </w:rPr>
              <w:t>④</w:t>
            </w:r>
          </w:p>
        </w:tc>
      </w:tr>
      <w:tr w:rsidR="00854133">
        <w:tc>
          <w:tcPr>
            <w:tcW w:w="1620" w:type="dxa"/>
            <w:vAlign w:val="center"/>
          </w:tcPr>
          <w:p w:rsidR="00854133" w:rsidRDefault="00581AA4">
            <w:pPr>
              <w:jc w:val="left"/>
            </w:pPr>
            <w:r>
              <w:rPr>
                <w:rFonts w:eastAsiaTheme="minorEastAsia"/>
                <w:color w:val="000000"/>
                <w:szCs w:val="21"/>
              </w:rPr>
              <w:t>过去一个月</w:t>
            </w:r>
          </w:p>
        </w:tc>
        <w:tc>
          <w:tcPr>
            <w:tcW w:w="1350" w:type="dxa"/>
            <w:vAlign w:val="center"/>
          </w:tcPr>
          <w:p w:rsidR="00854133" w:rsidRDefault="00581AA4">
            <w:pPr>
              <w:jc w:val="center"/>
            </w:pPr>
            <w:r>
              <w:rPr>
                <w:rFonts w:eastAsiaTheme="minorEastAsia"/>
                <w:color w:val="000000"/>
                <w:szCs w:val="21"/>
              </w:rPr>
              <w:t>3.27%</w:t>
            </w:r>
          </w:p>
        </w:tc>
        <w:tc>
          <w:tcPr>
            <w:tcW w:w="1350" w:type="dxa"/>
            <w:vAlign w:val="center"/>
          </w:tcPr>
          <w:p w:rsidR="00854133" w:rsidRDefault="00581AA4">
            <w:pPr>
              <w:jc w:val="center"/>
            </w:pPr>
            <w:r>
              <w:rPr>
                <w:rFonts w:eastAsiaTheme="minorEastAsia"/>
                <w:color w:val="000000"/>
                <w:szCs w:val="21"/>
              </w:rPr>
              <w:t>1.20%</w:t>
            </w:r>
          </w:p>
        </w:tc>
        <w:tc>
          <w:tcPr>
            <w:tcW w:w="1350" w:type="dxa"/>
            <w:vAlign w:val="center"/>
          </w:tcPr>
          <w:p w:rsidR="00854133" w:rsidRDefault="00581AA4">
            <w:pPr>
              <w:jc w:val="center"/>
            </w:pPr>
            <w:r>
              <w:rPr>
                <w:rFonts w:eastAsiaTheme="minorEastAsia"/>
                <w:color w:val="000000"/>
                <w:szCs w:val="21"/>
              </w:rPr>
              <w:t>4.94%</w:t>
            </w:r>
          </w:p>
        </w:tc>
        <w:tc>
          <w:tcPr>
            <w:tcW w:w="1350" w:type="dxa"/>
            <w:vAlign w:val="center"/>
          </w:tcPr>
          <w:p w:rsidR="00854133" w:rsidRDefault="00581AA4">
            <w:pPr>
              <w:jc w:val="center"/>
            </w:pPr>
            <w:r>
              <w:rPr>
                <w:rFonts w:eastAsiaTheme="minorEastAsia"/>
                <w:color w:val="000000"/>
                <w:szCs w:val="21"/>
              </w:rPr>
              <w:t>1.38%</w:t>
            </w:r>
          </w:p>
        </w:tc>
        <w:tc>
          <w:tcPr>
            <w:tcW w:w="1350" w:type="dxa"/>
            <w:vAlign w:val="center"/>
          </w:tcPr>
          <w:p w:rsidR="00854133" w:rsidRDefault="00581AA4">
            <w:pPr>
              <w:jc w:val="center"/>
            </w:pPr>
            <w:r>
              <w:rPr>
                <w:rFonts w:eastAsiaTheme="minorEastAsia"/>
                <w:color w:val="000000"/>
                <w:szCs w:val="21"/>
              </w:rPr>
              <w:t>-1.67%</w:t>
            </w:r>
          </w:p>
        </w:tc>
        <w:tc>
          <w:tcPr>
            <w:tcW w:w="1350" w:type="dxa"/>
            <w:vAlign w:val="center"/>
          </w:tcPr>
          <w:p w:rsidR="00854133" w:rsidRDefault="00581AA4">
            <w:pPr>
              <w:jc w:val="center"/>
            </w:pPr>
            <w:r>
              <w:rPr>
                <w:rFonts w:eastAsiaTheme="minorEastAsia"/>
                <w:color w:val="000000"/>
                <w:szCs w:val="21"/>
              </w:rPr>
              <w:t>-0.18%</w:t>
            </w:r>
          </w:p>
        </w:tc>
      </w:tr>
      <w:tr w:rsidR="00854133">
        <w:tc>
          <w:tcPr>
            <w:tcW w:w="1620" w:type="dxa"/>
            <w:vAlign w:val="center"/>
          </w:tcPr>
          <w:p w:rsidR="00854133" w:rsidRDefault="00581AA4">
            <w:pPr>
              <w:jc w:val="left"/>
            </w:pPr>
            <w:r>
              <w:rPr>
                <w:rFonts w:eastAsiaTheme="minorEastAsia"/>
                <w:color w:val="000000"/>
                <w:szCs w:val="21"/>
              </w:rPr>
              <w:t>过去三个月</w:t>
            </w:r>
          </w:p>
        </w:tc>
        <w:tc>
          <w:tcPr>
            <w:tcW w:w="1350" w:type="dxa"/>
            <w:vAlign w:val="center"/>
          </w:tcPr>
          <w:p w:rsidR="00854133" w:rsidRDefault="00581AA4">
            <w:pPr>
              <w:jc w:val="center"/>
            </w:pPr>
            <w:r>
              <w:rPr>
                <w:rFonts w:eastAsiaTheme="minorEastAsia"/>
                <w:color w:val="000000"/>
                <w:szCs w:val="21"/>
              </w:rPr>
              <w:t>25.93%</w:t>
            </w:r>
          </w:p>
        </w:tc>
        <w:tc>
          <w:tcPr>
            <w:tcW w:w="1350" w:type="dxa"/>
            <w:vAlign w:val="center"/>
          </w:tcPr>
          <w:p w:rsidR="00854133" w:rsidRDefault="00581AA4">
            <w:pPr>
              <w:jc w:val="center"/>
            </w:pPr>
            <w:r>
              <w:rPr>
                <w:rFonts w:eastAsiaTheme="minorEastAsia"/>
                <w:color w:val="000000"/>
                <w:szCs w:val="21"/>
              </w:rPr>
              <w:t>1.46%</w:t>
            </w:r>
          </w:p>
        </w:tc>
        <w:tc>
          <w:tcPr>
            <w:tcW w:w="1350" w:type="dxa"/>
            <w:vAlign w:val="center"/>
          </w:tcPr>
          <w:p w:rsidR="00854133" w:rsidRDefault="00581AA4">
            <w:pPr>
              <w:jc w:val="center"/>
            </w:pPr>
            <w:r>
              <w:rPr>
                <w:rFonts w:eastAsiaTheme="minorEastAsia"/>
                <w:color w:val="000000"/>
                <w:szCs w:val="21"/>
              </w:rPr>
              <w:t>30.55%</w:t>
            </w:r>
          </w:p>
        </w:tc>
        <w:tc>
          <w:tcPr>
            <w:tcW w:w="1350" w:type="dxa"/>
            <w:vAlign w:val="center"/>
          </w:tcPr>
          <w:p w:rsidR="00854133" w:rsidRDefault="00581AA4">
            <w:pPr>
              <w:jc w:val="center"/>
            </w:pPr>
            <w:r>
              <w:rPr>
                <w:rFonts w:eastAsiaTheme="minorEastAsia"/>
                <w:color w:val="000000"/>
                <w:szCs w:val="21"/>
              </w:rPr>
              <w:t>1.71%</w:t>
            </w:r>
          </w:p>
        </w:tc>
        <w:tc>
          <w:tcPr>
            <w:tcW w:w="1350" w:type="dxa"/>
            <w:vAlign w:val="center"/>
          </w:tcPr>
          <w:p w:rsidR="00854133" w:rsidRDefault="00581AA4">
            <w:pPr>
              <w:jc w:val="center"/>
            </w:pPr>
            <w:r>
              <w:rPr>
                <w:rFonts w:eastAsiaTheme="minorEastAsia"/>
                <w:color w:val="000000"/>
                <w:szCs w:val="21"/>
              </w:rPr>
              <w:t>-4.62%</w:t>
            </w:r>
          </w:p>
        </w:tc>
        <w:tc>
          <w:tcPr>
            <w:tcW w:w="1350" w:type="dxa"/>
            <w:vAlign w:val="center"/>
          </w:tcPr>
          <w:p w:rsidR="00854133" w:rsidRDefault="00581AA4">
            <w:pPr>
              <w:jc w:val="center"/>
            </w:pPr>
            <w:r>
              <w:rPr>
                <w:rFonts w:eastAsiaTheme="minorEastAsia"/>
                <w:color w:val="000000"/>
                <w:szCs w:val="21"/>
              </w:rPr>
              <w:t>-0.25%</w:t>
            </w:r>
          </w:p>
        </w:tc>
      </w:tr>
      <w:tr w:rsidR="00854133">
        <w:tc>
          <w:tcPr>
            <w:tcW w:w="1620" w:type="dxa"/>
            <w:vAlign w:val="center"/>
          </w:tcPr>
          <w:p w:rsidR="00854133" w:rsidRDefault="00581AA4">
            <w:pPr>
              <w:jc w:val="left"/>
            </w:pPr>
            <w:r>
              <w:rPr>
                <w:rFonts w:eastAsiaTheme="minorEastAsia"/>
                <w:color w:val="000000"/>
                <w:szCs w:val="21"/>
              </w:rPr>
              <w:t>过去六个月</w:t>
            </w:r>
          </w:p>
        </w:tc>
        <w:tc>
          <w:tcPr>
            <w:tcW w:w="1350" w:type="dxa"/>
            <w:vAlign w:val="center"/>
          </w:tcPr>
          <w:p w:rsidR="00854133" w:rsidRDefault="00581AA4">
            <w:pPr>
              <w:jc w:val="center"/>
            </w:pPr>
            <w:r>
              <w:rPr>
                <w:rFonts w:eastAsiaTheme="minorEastAsia"/>
                <w:color w:val="000000"/>
                <w:szCs w:val="21"/>
              </w:rPr>
              <w:t>10.76%</w:t>
            </w:r>
          </w:p>
        </w:tc>
        <w:tc>
          <w:tcPr>
            <w:tcW w:w="1350" w:type="dxa"/>
            <w:vAlign w:val="center"/>
          </w:tcPr>
          <w:p w:rsidR="00854133" w:rsidRDefault="00581AA4">
            <w:pPr>
              <w:jc w:val="center"/>
            </w:pPr>
            <w:r>
              <w:rPr>
                <w:rFonts w:eastAsiaTheme="minorEastAsia"/>
                <w:color w:val="000000"/>
                <w:szCs w:val="21"/>
              </w:rPr>
              <w:t>2.27%</w:t>
            </w:r>
          </w:p>
        </w:tc>
        <w:tc>
          <w:tcPr>
            <w:tcW w:w="1350" w:type="dxa"/>
            <w:vAlign w:val="center"/>
          </w:tcPr>
          <w:p w:rsidR="00854133" w:rsidRDefault="00581AA4">
            <w:pPr>
              <w:jc w:val="center"/>
            </w:pPr>
            <w:r>
              <w:rPr>
                <w:rFonts w:eastAsiaTheme="minorEastAsia"/>
                <w:color w:val="000000"/>
                <w:szCs w:val="21"/>
              </w:rPr>
              <w:t>22.72%</w:t>
            </w:r>
          </w:p>
        </w:tc>
        <w:tc>
          <w:tcPr>
            <w:tcW w:w="1350" w:type="dxa"/>
            <w:vAlign w:val="center"/>
          </w:tcPr>
          <w:p w:rsidR="00854133" w:rsidRDefault="00581AA4">
            <w:pPr>
              <w:jc w:val="center"/>
            </w:pPr>
            <w:r>
              <w:rPr>
                <w:rFonts w:eastAsiaTheme="minorEastAsia"/>
                <w:color w:val="000000"/>
                <w:szCs w:val="21"/>
              </w:rPr>
              <w:t>2.25%</w:t>
            </w:r>
          </w:p>
        </w:tc>
        <w:tc>
          <w:tcPr>
            <w:tcW w:w="1350" w:type="dxa"/>
            <w:vAlign w:val="center"/>
          </w:tcPr>
          <w:p w:rsidR="00854133" w:rsidRDefault="00581AA4">
            <w:pPr>
              <w:jc w:val="center"/>
            </w:pPr>
            <w:r>
              <w:rPr>
                <w:rFonts w:eastAsiaTheme="minorEastAsia"/>
                <w:color w:val="000000"/>
                <w:szCs w:val="21"/>
              </w:rPr>
              <w:t>-11.96%</w:t>
            </w:r>
          </w:p>
        </w:tc>
        <w:tc>
          <w:tcPr>
            <w:tcW w:w="1350" w:type="dxa"/>
            <w:vAlign w:val="center"/>
          </w:tcPr>
          <w:p w:rsidR="00854133" w:rsidRDefault="00581AA4">
            <w:pPr>
              <w:jc w:val="center"/>
            </w:pPr>
            <w:r>
              <w:rPr>
                <w:rFonts w:eastAsiaTheme="minorEastAsia"/>
                <w:color w:val="000000"/>
                <w:szCs w:val="21"/>
              </w:rPr>
              <w:t>0.02%</w:t>
            </w:r>
          </w:p>
        </w:tc>
      </w:tr>
      <w:tr w:rsidR="00854133">
        <w:tc>
          <w:tcPr>
            <w:tcW w:w="1620" w:type="dxa"/>
            <w:vAlign w:val="center"/>
          </w:tcPr>
          <w:p w:rsidR="00854133" w:rsidRDefault="00581AA4">
            <w:pPr>
              <w:jc w:val="left"/>
            </w:pPr>
            <w:r>
              <w:rPr>
                <w:rFonts w:eastAsiaTheme="minorEastAsia"/>
                <w:color w:val="000000"/>
                <w:szCs w:val="21"/>
              </w:rPr>
              <w:t>过去一年</w:t>
            </w:r>
          </w:p>
        </w:tc>
        <w:tc>
          <w:tcPr>
            <w:tcW w:w="1350" w:type="dxa"/>
            <w:vAlign w:val="center"/>
          </w:tcPr>
          <w:p w:rsidR="00854133" w:rsidRDefault="00581AA4">
            <w:pPr>
              <w:jc w:val="center"/>
            </w:pPr>
            <w:r>
              <w:rPr>
                <w:rFonts w:eastAsiaTheme="minorEastAsia"/>
                <w:color w:val="000000"/>
                <w:szCs w:val="21"/>
              </w:rPr>
              <w:t>24.61%</w:t>
            </w:r>
          </w:p>
        </w:tc>
        <w:tc>
          <w:tcPr>
            <w:tcW w:w="1350" w:type="dxa"/>
            <w:vAlign w:val="center"/>
          </w:tcPr>
          <w:p w:rsidR="00854133" w:rsidRDefault="00581AA4">
            <w:pPr>
              <w:jc w:val="center"/>
            </w:pPr>
            <w:r>
              <w:rPr>
                <w:rFonts w:eastAsiaTheme="minorEastAsia"/>
                <w:color w:val="000000"/>
                <w:szCs w:val="21"/>
              </w:rPr>
              <w:t>1.87%</w:t>
            </w:r>
          </w:p>
        </w:tc>
        <w:tc>
          <w:tcPr>
            <w:tcW w:w="1350" w:type="dxa"/>
            <w:vAlign w:val="center"/>
          </w:tcPr>
          <w:p w:rsidR="00854133" w:rsidRDefault="00581AA4">
            <w:pPr>
              <w:jc w:val="center"/>
            </w:pPr>
            <w:r>
              <w:rPr>
                <w:rFonts w:eastAsiaTheme="minorEastAsia"/>
                <w:color w:val="000000"/>
                <w:szCs w:val="21"/>
              </w:rPr>
              <w:t>39.34%</w:t>
            </w:r>
          </w:p>
        </w:tc>
        <w:tc>
          <w:tcPr>
            <w:tcW w:w="1350" w:type="dxa"/>
            <w:vAlign w:val="center"/>
          </w:tcPr>
          <w:p w:rsidR="00854133" w:rsidRDefault="00581AA4">
            <w:pPr>
              <w:jc w:val="center"/>
            </w:pPr>
            <w:r>
              <w:rPr>
                <w:rFonts w:eastAsiaTheme="minorEastAsia"/>
                <w:color w:val="000000"/>
                <w:szCs w:val="21"/>
              </w:rPr>
              <w:t>1.72%</w:t>
            </w:r>
          </w:p>
        </w:tc>
        <w:tc>
          <w:tcPr>
            <w:tcW w:w="1350" w:type="dxa"/>
            <w:vAlign w:val="center"/>
          </w:tcPr>
          <w:p w:rsidR="00854133" w:rsidRDefault="00581AA4">
            <w:pPr>
              <w:jc w:val="center"/>
            </w:pPr>
            <w:r>
              <w:rPr>
                <w:rFonts w:eastAsiaTheme="minorEastAsia"/>
                <w:color w:val="000000"/>
                <w:szCs w:val="21"/>
              </w:rPr>
              <w:t>-14.73%</w:t>
            </w:r>
          </w:p>
        </w:tc>
        <w:tc>
          <w:tcPr>
            <w:tcW w:w="1350" w:type="dxa"/>
            <w:vAlign w:val="center"/>
          </w:tcPr>
          <w:p w:rsidR="00854133" w:rsidRDefault="00581AA4">
            <w:pPr>
              <w:jc w:val="center"/>
            </w:pPr>
            <w:r>
              <w:rPr>
                <w:rFonts w:eastAsiaTheme="minorEastAsia"/>
                <w:color w:val="000000"/>
                <w:szCs w:val="21"/>
              </w:rPr>
              <w:t>0.15%</w:t>
            </w:r>
          </w:p>
        </w:tc>
      </w:tr>
      <w:tr w:rsidR="00854133">
        <w:tc>
          <w:tcPr>
            <w:tcW w:w="1620" w:type="dxa"/>
            <w:vAlign w:val="center"/>
          </w:tcPr>
          <w:p w:rsidR="00854133" w:rsidRDefault="00581AA4">
            <w:pPr>
              <w:jc w:val="left"/>
            </w:pPr>
            <w:r>
              <w:rPr>
                <w:rFonts w:eastAsiaTheme="minorEastAsia"/>
                <w:color w:val="000000"/>
                <w:szCs w:val="21"/>
              </w:rPr>
              <w:t>过去三年</w:t>
            </w:r>
          </w:p>
        </w:tc>
        <w:tc>
          <w:tcPr>
            <w:tcW w:w="1350" w:type="dxa"/>
            <w:vAlign w:val="center"/>
          </w:tcPr>
          <w:p w:rsidR="00854133" w:rsidRDefault="00581AA4">
            <w:pPr>
              <w:jc w:val="center"/>
            </w:pPr>
            <w:r>
              <w:rPr>
                <w:rFonts w:eastAsiaTheme="minorEastAsia"/>
                <w:color w:val="000000"/>
                <w:szCs w:val="21"/>
              </w:rPr>
              <w:t>31.53%</w:t>
            </w:r>
          </w:p>
        </w:tc>
        <w:tc>
          <w:tcPr>
            <w:tcW w:w="1350" w:type="dxa"/>
            <w:vAlign w:val="center"/>
          </w:tcPr>
          <w:p w:rsidR="00854133" w:rsidRDefault="00581AA4">
            <w:pPr>
              <w:jc w:val="center"/>
            </w:pPr>
            <w:r>
              <w:rPr>
                <w:rFonts w:eastAsiaTheme="minorEastAsia"/>
                <w:color w:val="000000"/>
                <w:szCs w:val="21"/>
              </w:rPr>
              <w:t>1.19%</w:t>
            </w:r>
          </w:p>
        </w:tc>
        <w:tc>
          <w:tcPr>
            <w:tcW w:w="1350" w:type="dxa"/>
            <w:vAlign w:val="center"/>
          </w:tcPr>
          <w:p w:rsidR="00854133" w:rsidRDefault="00581AA4">
            <w:pPr>
              <w:jc w:val="center"/>
            </w:pPr>
            <w:r>
              <w:rPr>
                <w:rFonts w:eastAsiaTheme="minorEastAsia"/>
                <w:color w:val="000000"/>
                <w:szCs w:val="21"/>
              </w:rPr>
              <w:t>60.42%</w:t>
            </w:r>
          </w:p>
        </w:tc>
        <w:tc>
          <w:tcPr>
            <w:tcW w:w="1350" w:type="dxa"/>
            <w:vAlign w:val="center"/>
          </w:tcPr>
          <w:p w:rsidR="00854133" w:rsidRDefault="00581AA4">
            <w:pPr>
              <w:jc w:val="center"/>
            </w:pPr>
            <w:r>
              <w:rPr>
                <w:rFonts w:eastAsiaTheme="minorEastAsia"/>
                <w:color w:val="000000"/>
                <w:szCs w:val="21"/>
              </w:rPr>
              <w:t>1.09%</w:t>
            </w:r>
          </w:p>
        </w:tc>
        <w:tc>
          <w:tcPr>
            <w:tcW w:w="1350" w:type="dxa"/>
            <w:vAlign w:val="center"/>
          </w:tcPr>
          <w:p w:rsidR="00854133" w:rsidRDefault="00581AA4">
            <w:pPr>
              <w:jc w:val="center"/>
            </w:pPr>
            <w:r>
              <w:rPr>
                <w:rFonts w:eastAsiaTheme="minorEastAsia"/>
                <w:color w:val="000000"/>
                <w:szCs w:val="21"/>
              </w:rPr>
              <w:t>-28.89%</w:t>
            </w:r>
          </w:p>
        </w:tc>
        <w:tc>
          <w:tcPr>
            <w:tcW w:w="1350" w:type="dxa"/>
            <w:vAlign w:val="center"/>
          </w:tcPr>
          <w:p w:rsidR="00854133" w:rsidRDefault="00581AA4">
            <w:pPr>
              <w:jc w:val="center"/>
            </w:pPr>
            <w:r>
              <w:rPr>
                <w:rFonts w:eastAsiaTheme="minorEastAsia"/>
                <w:color w:val="000000"/>
                <w:szCs w:val="21"/>
              </w:rPr>
              <w:t>0.10%</w:t>
            </w:r>
          </w:p>
        </w:tc>
      </w:tr>
      <w:tr w:rsidR="00854133">
        <w:tc>
          <w:tcPr>
            <w:tcW w:w="1620" w:type="dxa"/>
            <w:vAlign w:val="center"/>
          </w:tcPr>
          <w:p w:rsidR="00854133" w:rsidRDefault="00581AA4">
            <w:pPr>
              <w:jc w:val="left"/>
            </w:pPr>
            <w:r>
              <w:rPr>
                <w:rFonts w:eastAsiaTheme="minorEastAsia"/>
                <w:color w:val="000000"/>
                <w:szCs w:val="21"/>
              </w:rPr>
              <w:t>自基金合同生效起至今</w:t>
            </w:r>
          </w:p>
        </w:tc>
        <w:tc>
          <w:tcPr>
            <w:tcW w:w="1350" w:type="dxa"/>
            <w:vAlign w:val="center"/>
          </w:tcPr>
          <w:p w:rsidR="00854133" w:rsidRDefault="00581AA4">
            <w:pPr>
              <w:jc w:val="center"/>
            </w:pPr>
            <w:r>
              <w:rPr>
                <w:rFonts w:eastAsiaTheme="minorEastAsia"/>
                <w:color w:val="000000"/>
                <w:szCs w:val="21"/>
              </w:rPr>
              <w:t>-5.30%</w:t>
            </w:r>
          </w:p>
        </w:tc>
        <w:tc>
          <w:tcPr>
            <w:tcW w:w="1350" w:type="dxa"/>
            <w:vAlign w:val="center"/>
          </w:tcPr>
          <w:p w:rsidR="00854133" w:rsidRDefault="00581AA4">
            <w:pPr>
              <w:jc w:val="center"/>
            </w:pPr>
            <w:r>
              <w:rPr>
                <w:rFonts w:eastAsiaTheme="minorEastAsia"/>
                <w:color w:val="000000"/>
                <w:szCs w:val="21"/>
              </w:rPr>
              <w:t>1.00%</w:t>
            </w:r>
          </w:p>
        </w:tc>
        <w:tc>
          <w:tcPr>
            <w:tcW w:w="1350" w:type="dxa"/>
            <w:vAlign w:val="center"/>
          </w:tcPr>
          <w:p w:rsidR="00854133" w:rsidRDefault="00581AA4">
            <w:pPr>
              <w:jc w:val="center"/>
            </w:pPr>
            <w:r>
              <w:rPr>
                <w:rFonts w:eastAsiaTheme="minorEastAsia"/>
                <w:color w:val="000000"/>
                <w:szCs w:val="21"/>
              </w:rPr>
              <w:t>37.42%</w:t>
            </w:r>
          </w:p>
        </w:tc>
        <w:tc>
          <w:tcPr>
            <w:tcW w:w="1350" w:type="dxa"/>
            <w:vAlign w:val="center"/>
          </w:tcPr>
          <w:p w:rsidR="00854133" w:rsidRDefault="00581AA4">
            <w:pPr>
              <w:jc w:val="center"/>
            </w:pPr>
            <w:r>
              <w:rPr>
                <w:rFonts w:eastAsiaTheme="minorEastAsia"/>
                <w:color w:val="000000"/>
                <w:szCs w:val="21"/>
              </w:rPr>
              <w:t>1.10%</w:t>
            </w:r>
          </w:p>
        </w:tc>
        <w:tc>
          <w:tcPr>
            <w:tcW w:w="1350" w:type="dxa"/>
            <w:vAlign w:val="center"/>
          </w:tcPr>
          <w:p w:rsidR="00854133" w:rsidRDefault="00581AA4">
            <w:pPr>
              <w:jc w:val="center"/>
            </w:pPr>
            <w:r>
              <w:rPr>
                <w:rFonts w:eastAsiaTheme="minorEastAsia"/>
                <w:color w:val="000000"/>
                <w:szCs w:val="21"/>
              </w:rPr>
              <w:t>-42.72%</w:t>
            </w:r>
          </w:p>
        </w:tc>
        <w:tc>
          <w:tcPr>
            <w:tcW w:w="1350" w:type="dxa"/>
            <w:vAlign w:val="center"/>
          </w:tcPr>
          <w:p w:rsidR="00854133" w:rsidRDefault="00581AA4">
            <w:pPr>
              <w:jc w:val="center"/>
            </w:pPr>
            <w:r>
              <w:rPr>
                <w:rFonts w:eastAsiaTheme="minorEastAsia"/>
                <w:color w:val="000000"/>
                <w:szCs w:val="21"/>
              </w:rPr>
              <w:t>-0.10%</w:t>
            </w:r>
          </w:p>
        </w:tc>
      </w:tr>
    </w:tbl>
    <w:p w:rsidR="00FC6E91" w:rsidRPr="00C24ACA" w:rsidRDefault="00FC6E91" w:rsidP="00FC6E91">
      <w:pPr>
        <w:pStyle w:val="21"/>
        <w:spacing w:line="288" w:lineRule="auto"/>
        <w:ind w:firstLineChars="0" w:firstLine="0"/>
        <w:rPr>
          <w:rFonts w:ascii="Times New Roman" w:eastAsiaTheme="minorEastAsia" w:hAnsi="Times New Roman"/>
          <w:color w:val="auto"/>
          <w:sz w:val="21"/>
          <w:szCs w:val="21"/>
        </w:rPr>
      </w:pPr>
      <w:r w:rsidRPr="00C24ACA">
        <w:rPr>
          <w:rFonts w:ascii="Times New Roman" w:eastAsiaTheme="minorEastAsia" w:hAnsi="Times New Roman"/>
          <w:color w:val="auto"/>
          <w:sz w:val="21"/>
          <w:szCs w:val="21"/>
        </w:rPr>
        <w:t>易方达黄金主题（</w:t>
      </w:r>
      <w:r w:rsidRPr="00C24ACA">
        <w:rPr>
          <w:rFonts w:ascii="Times New Roman" w:eastAsiaTheme="minorEastAsia" w:hAnsi="Times New Roman"/>
          <w:color w:val="auto"/>
          <w:sz w:val="21"/>
          <w:szCs w:val="21"/>
        </w:rPr>
        <w:t>QDII-LOF-FOF</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C</w:t>
      </w:r>
    </w:p>
    <w:tbl>
      <w:tblPr>
        <w:tblW w:w="97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FC6E91" w:rsidRPr="00C24ACA" w:rsidTr="005C3575">
        <w:tc>
          <w:tcPr>
            <w:tcW w:w="162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阶段</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w:t>
            </w:r>
            <w:r w:rsidRPr="00C24ACA">
              <w:rPr>
                <w:rFonts w:ascii="宋体" w:hAnsi="宋体" w:cs="宋体" w:hint="eastAsia"/>
                <w:color w:val="000000"/>
                <w:szCs w:val="21"/>
              </w:rPr>
              <w:t>①</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份额净值增长率标准差</w:t>
            </w:r>
            <w:r w:rsidRPr="00C24ACA">
              <w:rPr>
                <w:rFonts w:ascii="宋体" w:hAnsi="宋体" w:cs="宋体" w:hint="eastAsia"/>
                <w:color w:val="000000"/>
                <w:szCs w:val="21"/>
              </w:rPr>
              <w:t>②</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业绩比较基准收益率标准差</w:t>
            </w:r>
            <w:r w:rsidRPr="00C24ACA">
              <w:rPr>
                <w:rFonts w:ascii="宋体" w:hAnsi="宋体" w:cs="宋体" w:hint="eastAsia"/>
                <w:color w:val="000000"/>
                <w:szCs w:val="21"/>
              </w:rPr>
              <w:t>④</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①</w:t>
            </w:r>
            <w:r w:rsidRPr="00C24ACA">
              <w:rPr>
                <w:rFonts w:eastAsiaTheme="minorEastAsia"/>
                <w:color w:val="000000"/>
                <w:szCs w:val="21"/>
              </w:rPr>
              <w:t>－</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②</w:t>
            </w:r>
            <w:r w:rsidRPr="00C24ACA">
              <w:rPr>
                <w:rFonts w:eastAsiaTheme="minorEastAsia"/>
                <w:color w:val="000000"/>
                <w:szCs w:val="21"/>
              </w:rPr>
              <w:t>－</w:t>
            </w:r>
            <w:r w:rsidRPr="00C24ACA">
              <w:rPr>
                <w:rFonts w:ascii="宋体" w:hAnsi="宋体" w:cs="宋体" w:hint="eastAsia"/>
                <w:color w:val="000000"/>
                <w:szCs w:val="21"/>
              </w:rPr>
              <w:t>④</w:t>
            </w:r>
          </w:p>
        </w:tc>
      </w:tr>
      <w:tr w:rsidR="00854133">
        <w:tc>
          <w:tcPr>
            <w:tcW w:w="1620" w:type="dxa"/>
            <w:vAlign w:val="center"/>
          </w:tcPr>
          <w:p w:rsidR="00854133" w:rsidRDefault="00581AA4">
            <w:pPr>
              <w:jc w:val="left"/>
            </w:pPr>
            <w:r>
              <w:rPr>
                <w:rFonts w:eastAsiaTheme="minorEastAsia"/>
                <w:color w:val="000000"/>
                <w:szCs w:val="21"/>
              </w:rPr>
              <w:t>过去一个月</w:t>
            </w:r>
          </w:p>
        </w:tc>
        <w:tc>
          <w:tcPr>
            <w:tcW w:w="1350" w:type="dxa"/>
            <w:vAlign w:val="center"/>
          </w:tcPr>
          <w:p w:rsidR="00854133" w:rsidRDefault="00581AA4">
            <w:pPr>
              <w:jc w:val="center"/>
            </w:pPr>
            <w:r>
              <w:rPr>
                <w:rFonts w:eastAsiaTheme="minorEastAsia"/>
                <w:color w:val="000000"/>
                <w:szCs w:val="21"/>
              </w:rPr>
              <w:t>3.27%</w:t>
            </w:r>
          </w:p>
        </w:tc>
        <w:tc>
          <w:tcPr>
            <w:tcW w:w="1350" w:type="dxa"/>
            <w:vAlign w:val="center"/>
          </w:tcPr>
          <w:p w:rsidR="00854133" w:rsidRDefault="00581AA4">
            <w:pPr>
              <w:jc w:val="center"/>
            </w:pPr>
            <w:r>
              <w:rPr>
                <w:rFonts w:eastAsiaTheme="minorEastAsia"/>
                <w:color w:val="000000"/>
                <w:szCs w:val="21"/>
              </w:rPr>
              <w:t>1.22%</w:t>
            </w:r>
          </w:p>
        </w:tc>
        <w:tc>
          <w:tcPr>
            <w:tcW w:w="1350" w:type="dxa"/>
            <w:vAlign w:val="center"/>
          </w:tcPr>
          <w:p w:rsidR="00854133" w:rsidRDefault="00581AA4">
            <w:pPr>
              <w:jc w:val="center"/>
            </w:pPr>
            <w:r>
              <w:rPr>
                <w:rFonts w:eastAsiaTheme="minorEastAsia"/>
                <w:color w:val="000000"/>
                <w:szCs w:val="21"/>
              </w:rPr>
              <w:t>4.94%</w:t>
            </w:r>
          </w:p>
        </w:tc>
        <w:tc>
          <w:tcPr>
            <w:tcW w:w="1350" w:type="dxa"/>
            <w:vAlign w:val="center"/>
          </w:tcPr>
          <w:p w:rsidR="00854133" w:rsidRDefault="00581AA4">
            <w:pPr>
              <w:jc w:val="center"/>
            </w:pPr>
            <w:r>
              <w:rPr>
                <w:rFonts w:eastAsiaTheme="minorEastAsia"/>
                <w:color w:val="000000"/>
                <w:szCs w:val="21"/>
              </w:rPr>
              <w:t>1.38%</w:t>
            </w:r>
          </w:p>
        </w:tc>
        <w:tc>
          <w:tcPr>
            <w:tcW w:w="1350" w:type="dxa"/>
            <w:vAlign w:val="center"/>
          </w:tcPr>
          <w:p w:rsidR="00854133" w:rsidRDefault="00581AA4">
            <w:pPr>
              <w:jc w:val="center"/>
            </w:pPr>
            <w:r>
              <w:rPr>
                <w:rFonts w:eastAsiaTheme="minorEastAsia"/>
                <w:color w:val="000000"/>
                <w:szCs w:val="21"/>
              </w:rPr>
              <w:t>-1.67%</w:t>
            </w:r>
          </w:p>
        </w:tc>
        <w:tc>
          <w:tcPr>
            <w:tcW w:w="1350" w:type="dxa"/>
            <w:vAlign w:val="center"/>
          </w:tcPr>
          <w:p w:rsidR="00854133" w:rsidRDefault="00581AA4">
            <w:pPr>
              <w:jc w:val="center"/>
            </w:pPr>
            <w:r>
              <w:rPr>
                <w:rFonts w:eastAsiaTheme="minorEastAsia"/>
                <w:color w:val="000000"/>
                <w:szCs w:val="21"/>
              </w:rPr>
              <w:t>-0.16%</w:t>
            </w:r>
          </w:p>
        </w:tc>
      </w:tr>
      <w:tr w:rsidR="00854133">
        <w:tc>
          <w:tcPr>
            <w:tcW w:w="1620" w:type="dxa"/>
            <w:vAlign w:val="center"/>
          </w:tcPr>
          <w:p w:rsidR="00854133" w:rsidRDefault="00581AA4">
            <w:pPr>
              <w:jc w:val="left"/>
            </w:pPr>
            <w:r>
              <w:rPr>
                <w:rFonts w:eastAsiaTheme="minorEastAsia"/>
                <w:color w:val="000000"/>
                <w:szCs w:val="21"/>
              </w:rPr>
              <w:t>过去三个月</w:t>
            </w:r>
          </w:p>
        </w:tc>
        <w:tc>
          <w:tcPr>
            <w:tcW w:w="1350" w:type="dxa"/>
            <w:vAlign w:val="center"/>
          </w:tcPr>
          <w:p w:rsidR="00854133" w:rsidRDefault="00581AA4">
            <w:pPr>
              <w:jc w:val="center"/>
            </w:pPr>
            <w:r>
              <w:rPr>
                <w:rFonts w:eastAsiaTheme="minorEastAsia"/>
                <w:color w:val="000000"/>
                <w:szCs w:val="21"/>
              </w:rPr>
              <w:t>25.76%</w:t>
            </w:r>
          </w:p>
        </w:tc>
        <w:tc>
          <w:tcPr>
            <w:tcW w:w="1350" w:type="dxa"/>
            <w:vAlign w:val="center"/>
          </w:tcPr>
          <w:p w:rsidR="00854133" w:rsidRDefault="00581AA4">
            <w:pPr>
              <w:jc w:val="center"/>
            </w:pPr>
            <w:r>
              <w:rPr>
                <w:rFonts w:eastAsiaTheme="minorEastAsia"/>
                <w:color w:val="000000"/>
                <w:szCs w:val="21"/>
              </w:rPr>
              <w:t>1.46%</w:t>
            </w:r>
          </w:p>
        </w:tc>
        <w:tc>
          <w:tcPr>
            <w:tcW w:w="1350" w:type="dxa"/>
            <w:vAlign w:val="center"/>
          </w:tcPr>
          <w:p w:rsidR="00854133" w:rsidRDefault="00581AA4">
            <w:pPr>
              <w:jc w:val="center"/>
            </w:pPr>
            <w:r>
              <w:rPr>
                <w:rFonts w:eastAsiaTheme="minorEastAsia"/>
                <w:color w:val="000000"/>
                <w:szCs w:val="21"/>
              </w:rPr>
              <w:t>30.55%</w:t>
            </w:r>
          </w:p>
        </w:tc>
        <w:tc>
          <w:tcPr>
            <w:tcW w:w="1350" w:type="dxa"/>
            <w:vAlign w:val="center"/>
          </w:tcPr>
          <w:p w:rsidR="00854133" w:rsidRDefault="00581AA4">
            <w:pPr>
              <w:jc w:val="center"/>
            </w:pPr>
            <w:r>
              <w:rPr>
                <w:rFonts w:eastAsiaTheme="minorEastAsia"/>
                <w:color w:val="000000"/>
                <w:szCs w:val="21"/>
              </w:rPr>
              <w:t>1.71%</w:t>
            </w:r>
          </w:p>
        </w:tc>
        <w:tc>
          <w:tcPr>
            <w:tcW w:w="1350" w:type="dxa"/>
            <w:vAlign w:val="center"/>
          </w:tcPr>
          <w:p w:rsidR="00854133" w:rsidRDefault="00581AA4">
            <w:pPr>
              <w:jc w:val="center"/>
            </w:pPr>
            <w:r>
              <w:rPr>
                <w:rFonts w:eastAsiaTheme="minorEastAsia"/>
                <w:color w:val="000000"/>
                <w:szCs w:val="21"/>
              </w:rPr>
              <w:t>-4.79%</w:t>
            </w:r>
          </w:p>
        </w:tc>
        <w:tc>
          <w:tcPr>
            <w:tcW w:w="1350" w:type="dxa"/>
            <w:vAlign w:val="center"/>
          </w:tcPr>
          <w:p w:rsidR="00854133" w:rsidRDefault="00581AA4">
            <w:pPr>
              <w:jc w:val="center"/>
            </w:pPr>
            <w:r>
              <w:rPr>
                <w:rFonts w:eastAsiaTheme="minorEastAsia"/>
                <w:color w:val="000000"/>
                <w:szCs w:val="21"/>
              </w:rPr>
              <w:t>-0.25%</w:t>
            </w:r>
          </w:p>
        </w:tc>
      </w:tr>
      <w:tr w:rsidR="00854133">
        <w:tc>
          <w:tcPr>
            <w:tcW w:w="1620" w:type="dxa"/>
            <w:vAlign w:val="center"/>
          </w:tcPr>
          <w:p w:rsidR="00854133" w:rsidRDefault="00581AA4">
            <w:pPr>
              <w:jc w:val="left"/>
            </w:pPr>
            <w:r>
              <w:rPr>
                <w:rFonts w:eastAsiaTheme="minorEastAsia"/>
                <w:color w:val="000000"/>
                <w:szCs w:val="21"/>
              </w:rPr>
              <w:t>过去六个月</w:t>
            </w:r>
          </w:p>
        </w:tc>
        <w:tc>
          <w:tcPr>
            <w:tcW w:w="1350" w:type="dxa"/>
            <w:vAlign w:val="center"/>
          </w:tcPr>
          <w:p w:rsidR="00854133" w:rsidRDefault="00581AA4">
            <w:pPr>
              <w:jc w:val="center"/>
            </w:pPr>
            <w:r>
              <w:rPr>
                <w:rFonts w:eastAsiaTheme="minorEastAsia"/>
                <w:color w:val="000000"/>
                <w:szCs w:val="21"/>
              </w:rPr>
              <w:t>10.76%</w:t>
            </w:r>
          </w:p>
        </w:tc>
        <w:tc>
          <w:tcPr>
            <w:tcW w:w="1350" w:type="dxa"/>
            <w:vAlign w:val="center"/>
          </w:tcPr>
          <w:p w:rsidR="00854133" w:rsidRDefault="00581AA4">
            <w:pPr>
              <w:jc w:val="center"/>
            </w:pPr>
            <w:r>
              <w:rPr>
                <w:rFonts w:eastAsiaTheme="minorEastAsia"/>
                <w:color w:val="000000"/>
                <w:szCs w:val="21"/>
              </w:rPr>
              <w:t>2.27%</w:t>
            </w:r>
          </w:p>
        </w:tc>
        <w:tc>
          <w:tcPr>
            <w:tcW w:w="1350" w:type="dxa"/>
            <w:vAlign w:val="center"/>
          </w:tcPr>
          <w:p w:rsidR="00854133" w:rsidRDefault="00581AA4">
            <w:pPr>
              <w:jc w:val="center"/>
            </w:pPr>
            <w:r>
              <w:rPr>
                <w:rFonts w:eastAsiaTheme="minorEastAsia"/>
                <w:color w:val="000000"/>
                <w:szCs w:val="21"/>
              </w:rPr>
              <w:t>22.72%</w:t>
            </w:r>
          </w:p>
        </w:tc>
        <w:tc>
          <w:tcPr>
            <w:tcW w:w="1350" w:type="dxa"/>
            <w:vAlign w:val="center"/>
          </w:tcPr>
          <w:p w:rsidR="00854133" w:rsidRDefault="00581AA4">
            <w:pPr>
              <w:jc w:val="center"/>
            </w:pPr>
            <w:r>
              <w:rPr>
                <w:rFonts w:eastAsiaTheme="minorEastAsia"/>
                <w:color w:val="000000"/>
                <w:szCs w:val="21"/>
              </w:rPr>
              <w:t>2.25%</w:t>
            </w:r>
          </w:p>
        </w:tc>
        <w:tc>
          <w:tcPr>
            <w:tcW w:w="1350" w:type="dxa"/>
            <w:vAlign w:val="center"/>
          </w:tcPr>
          <w:p w:rsidR="00854133" w:rsidRDefault="00581AA4">
            <w:pPr>
              <w:jc w:val="center"/>
            </w:pPr>
            <w:r>
              <w:rPr>
                <w:rFonts w:eastAsiaTheme="minorEastAsia"/>
                <w:color w:val="000000"/>
                <w:szCs w:val="21"/>
              </w:rPr>
              <w:t>-11.96%</w:t>
            </w:r>
          </w:p>
        </w:tc>
        <w:tc>
          <w:tcPr>
            <w:tcW w:w="1350" w:type="dxa"/>
            <w:vAlign w:val="center"/>
          </w:tcPr>
          <w:p w:rsidR="00854133" w:rsidRDefault="00581AA4">
            <w:pPr>
              <w:jc w:val="center"/>
            </w:pPr>
            <w:r>
              <w:rPr>
                <w:rFonts w:eastAsiaTheme="minorEastAsia"/>
                <w:color w:val="000000"/>
                <w:szCs w:val="21"/>
              </w:rPr>
              <w:t>0.02%</w:t>
            </w:r>
          </w:p>
        </w:tc>
      </w:tr>
      <w:tr w:rsidR="00854133">
        <w:tc>
          <w:tcPr>
            <w:tcW w:w="1620" w:type="dxa"/>
            <w:vAlign w:val="center"/>
          </w:tcPr>
          <w:p w:rsidR="00854133" w:rsidRDefault="00581AA4">
            <w:pPr>
              <w:jc w:val="left"/>
            </w:pPr>
            <w:r>
              <w:rPr>
                <w:rFonts w:eastAsiaTheme="minorEastAsia"/>
                <w:color w:val="000000"/>
                <w:szCs w:val="21"/>
              </w:rPr>
              <w:t>过去一年</w:t>
            </w:r>
          </w:p>
        </w:tc>
        <w:tc>
          <w:tcPr>
            <w:tcW w:w="1350" w:type="dxa"/>
            <w:vAlign w:val="center"/>
          </w:tcPr>
          <w:p w:rsidR="00854133" w:rsidRDefault="00581AA4">
            <w:pPr>
              <w:jc w:val="center"/>
            </w:pPr>
            <w:r>
              <w:rPr>
                <w:rFonts w:eastAsiaTheme="minorEastAsia"/>
                <w:color w:val="000000"/>
                <w:szCs w:val="21"/>
              </w:rPr>
              <w:t>-</w:t>
            </w:r>
          </w:p>
        </w:tc>
        <w:tc>
          <w:tcPr>
            <w:tcW w:w="1350" w:type="dxa"/>
            <w:vAlign w:val="center"/>
          </w:tcPr>
          <w:p w:rsidR="00854133" w:rsidRDefault="00581AA4">
            <w:pPr>
              <w:jc w:val="center"/>
            </w:pPr>
            <w:r>
              <w:rPr>
                <w:rFonts w:eastAsiaTheme="minorEastAsia"/>
                <w:color w:val="000000"/>
                <w:szCs w:val="21"/>
              </w:rPr>
              <w:t>-</w:t>
            </w:r>
          </w:p>
        </w:tc>
        <w:tc>
          <w:tcPr>
            <w:tcW w:w="1350" w:type="dxa"/>
            <w:vAlign w:val="center"/>
          </w:tcPr>
          <w:p w:rsidR="00854133" w:rsidRDefault="00581AA4">
            <w:pPr>
              <w:jc w:val="center"/>
            </w:pPr>
            <w:r>
              <w:rPr>
                <w:rFonts w:eastAsiaTheme="minorEastAsia"/>
                <w:color w:val="000000"/>
                <w:szCs w:val="21"/>
              </w:rPr>
              <w:t>-</w:t>
            </w:r>
          </w:p>
        </w:tc>
        <w:tc>
          <w:tcPr>
            <w:tcW w:w="1350" w:type="dxa"/>
            <w:vAlign w:val="center"/>
          </w:tcPr>
          <w:p w:rsidR="00854133" w:rsidRDefault="00581AA4">
            <w:pPr>
              <w:jc w:val="center"/>
            </w:pPr>
            <w:r>
              <w:rPr>
                <w:rFonts w:eastAsiaTheme="minorEastAsia"/>
                <w:color w:val="000000"/>
                <w:szCs w:val="21"/>
              </w:rPr>
              <w:t>-</w:t>
            </w:r>
          </w:p>
        </w:tc>
        <w:tc>
          <w:tcPr>
            <w:tcW w:w="1350" w:type="dxa"/>
            <w:vAlign w:val="center"/>
          </w:tcPr>
          <w:p w:rsidR="00854133" w:rsidRDefault="00581AA4">
            <w:pPr>
              <w:jc w:val="center"/>
            </w:pPr>
            <w:r>
              <w:rPr>
                <w:rFonts w:eastAsiaTheme="minorEastAsia"/>
                <w:color w:val="000000"/>
                <w:szCs w:val="21"/>
              </w:rPr>
              <w:t>-</w:t>
            </w:r>
          </w:p>
        </w:tc>
        <w:tc>
          <w:tcPr>
            <w:tcW w:w="1350" w:type="dxa"/>
            <w:vAlign w:val="center"/>
          </w:tcPr>
          <w:p w:rsidR="00854133" w:rsidRDefault="00581AA4">
            <w:pPr>
              <w:jc w:val="center"/>
            </w:pPr>
            <w:r>
              <w:rPr>
                <w:rFonts w:eastAsiaTheme="minorEastAsia"/>
                <w:color w:val="000000"/>
                <w:szCs w:val="21"/>
              </w:rPr>
              <w:t>-</w:t>
            </w:r>
          </w:p>
        </w:tc>
      </w:tr>
      <w:tr w:rsidR="00854133">
        <w:tc>
          <w:tcPr>
            <w:tcW w:w="1620" w:type="dxa"/>
            <w:vAlign w:val="center"/>
          </w:tcPr>
          <w:p w:rsidR="00854133" w:rsidRDefault="00581AA4">
            <w:pPr>
              <w:jc w:val="left"/>
            </w:pPr>
            <w:r>
              <w:rPr>
                <w:rFonts w:eastAsiaTheme="minorEastAsia"/>
                <w:color w:val="000000"/>
                <w:szCs w:val="21"/>
              </w:rPr>
              <w:t>过去三年</w:t>
            </w:r>
          </w:p>
        </w:tc>
        <w:tc>
          <w:tcPr>
            <w:tcW w:w="1350" w:type="dxa"/>
            <w:vAlign w:val="center"/>
          </w:tcPr>
          <w:p w:rsidR="00854133" w:rsidRDefault="00581AA4">
            <w:pPr>
              <w:jc w:val="center"/>
            </w:pPr>
            <w:r>
              <w:rPr>
                <w:rFonts w:eastAsiaTheme="minorEastAsia"/>
                <w:color w:val="000000"/>
                <w:szCs w:val="21"/>
              </w:rPr>
              <w:t>-</w:t>
            </w:r>
          </w:p>
        </w:tc>
        <w:tc>
          <w:tcPr>
            <w:tcW w:w="1350" w:type="dxa"/>
            <w:vAlign w:val="center"/>
          </w:tcPr>
          <w:p w:rsidR="00854133" w:rsidRDefault="00581AA4">
            <w:pPr>
              <w:jc w:val="center"/>
            </w:pPr>
            <w:r>
              <w:rPr>
                <w:rFonts w:eastAsiaTheme="minorEastAsia"/>
                <w:color w:val="000000"/>
                <w:szCs w:val="21"/>
              </w:rPr>
              <w:t>-</w:t>
            </w:r>
          </w:p>
        </w:tc>
        <w:tc>
          <w:tcPr>
            <w:tcW w:w="1350" w:type="dxa"/>
            <w:vAlign w:val="center"/>
          </w:tcPr>
          <w:p w:rsidR="00854133" w:rsidRDefault="00581AA4">
            <w:pPr>
              <w:jc w:val="center"/>
            </w:pPr>
            <w:r>
              <w:rPr>
                <w:rFonts w:eastAsiaTheme="minorEastAsia"/>
                <w:color w:val="000000"/>
                <w:szCs w:val="21"/>
              </w:rPr>
              <w:t>-</w:t>
            </w:r>
          </w:p>
        </w:tc>
        <w:tc>
          <w:tcPr>
            <w:tcW w:w="1350" w:type="dxa"/>
            <w:vAlign w:val="center"/>
          </w:tcPr>
          <w:p w:rsidR="00854133" w:rsidRDefault="00581AA4">
            <w:pPr>
              <w:jc w:val="center"/>
            </w:pPr>
            <w:r>
              <w:rPr>
                <w:rFonts w:eastAsiaTheme="minorEastAsia"/>
                <w:color w:val="000000"/>
                <w:szCs w:val="21"/>
              </w:rPr>
              <w:t>-</w:t>
            </w:r>
          </w:p>
        </w:tc>
        <w:tc>
          <w:tcPr>
            <w:tcW w:w="1350" w:type="dxa"/>
            <w:vAlign w:val="center"/>
          </w:tcPr>
          <w:p w:rsidR="00854133" w:rsidRDefault="00581AA4">
            <w:pPr>
              <w:jc w:val="center"/>
            </w:pPr>
            <w:r>
              <w:rPr>
                <w:rFonts w:eastAsiaTheme="minorEastAsia"/>
                <w:color w:val="000000"/>
                <w:szCs w:val="21"/>
              </w:rPr>
              <w:t>-</w:t>
            </w:r>
          </w:p>
        </w:tc>
        <w:tc>
          <w:tcPr>
            <w:tcW w:w="1350" w:type="dxa"/>
            <w:vAlign w:val="center"/>
          </w:tcPr>
          <w:p w:rsidR="00854133" w:rsidRDefault="00581AA4">
            <w:pPr>
              <w:jc w:val="center"/>
            </w:pPr>
            <w:r>
              <w:rPr>
                <w:rFonts w:eastAsiaTheme="minorEastAsia"/>
                <w:color w:val="000000"/>
                <w:szCs w:val="21"/>
              </w:rPr>
              <w:t>-</w:t>
            </w:r>
          </w:p>
        </w:tc>
      </w:tr>
      <w:tr w:rsidR="00854133">
        <w:tc>
          <w:tcPr>
            <w:tcW w:w="1620" w:type="dxa"/>
            <w:vAlign w:val="center"/>
          </w:tcPr>
          <w:p w:rsidR="00854133" w:rsidRDefault="00581AA4">
            <w:pPr>
              <w:jc w:val="left"/>
            </w:pPr>
            <w:r>
              <w:rPr>
                <w:rFonts w:eastAsiaTheme="minorEastAsia"/>
                <w:color w:val="000000"/>
                <w:szCs w:val="21"/>
              </w:rPr>
              <w:t>自基金合同生效起至今</w:t>
            </w:r>
          </w:p>
        </w:tc>
        <w:tc>
          <w:tcPr>
            <w:tcW w:w="1350" w:type="dxa"/>
            <w:vAlign w:val="center"/>
          </w:tcPr>
          <w:p w:rsidR="00854133" w:rsidRDefault="00581AA4">
            <w:pPr>
              <w:jc w:val="center"/>
            </w:pPr>
            <w:r>
              <w:rPr>
                <w:rFonts w:eastAsiaTheme="minorEastAsia"/>
                <w:color w:val="000000"/>
                <w:szCs w:val="21"/>
              </w:rPr>
              <w:t>17.64%</w:t>
            </w:r>
          </w:p>
        </w:tc>
        <w:tc>
          <w:tcPr>
            <w:tcW w:w="1350" w:type="dxa"/>
            <w:vAlign w:val="center"/>
          </w:tcPr>
          <w:p w:rsidR="00854133" w:rsidRDefault="00581AA4">
            <w:pPr>
              <w:jc w:val="center"/>
            </w:pPr>
            <w:r>
              <w:rPr>
                <w:rFonts w:eastAsiaTheme="minorEastAsia"/>
                <w:color w:val="000000"/>
                <w:szCs w:val="21"/>
              </w:rPr>
              <w:t>2.02%</w:t>
            </w:r>
          </w:p>
        </w:tc>
        <w:tc>
          <w:tcPr>
            <w:tcW w:w="1350" w:type="dxa"/>
            <w:vAlign w:val="center"/>
          </w:tcPr>
          <w:p w:rsidR="00854133" w:rsidRDefault="00581AA4">
            <w:pPr>
              <w:jc w:val="center"/>
            </w:pPr>
            <w:r>
              <w:rPr>
                <w:rFonts w:eastAsiaTheme="minorEastAsia"/>
                <w:color w:val="000000"/>
                <w:szCs w:val="21"/>
              </w:rPr>
              <w:t>29.91%</w:t>
            </w:r>
          </w:p>
        </w:tc>
        <w:tc>
          <w:tcPr>
            <w:tcW w:w="1350" w:type="dxa"/>
            <w:vAlign w:val="center"/>
          </w:tcPr>
          <w:p w:rsidR="00854133" w:rsidRDefault="00581AA4">
            <w:pPr>
              <w:jc w:val="center"/>
            </w:pPr>
            <w:r>
              <w:rPr>
                <w:rFonts w:eastAsiaTheme="minorEastAsia"/>
                <w:color w:val="000000"/>
                <w:szCs w:val="21"/>
              </w:rPr>
              <w:t>1.91%</w:t>
            </w:r>
          </w:p>
        </w:tc>
        <w:tc>
          <w:tcPr>
            <w:tcW w:w="1350" w:type="dxa"/>
            <w:vAlign w:val="center"/>
          </w:tcPr>
          <w:p w:rsidR="00854133" w:rsidRDefault="00581AA4">
            <w:pPr>
              <w:jc w:val="center"/>
            </w:pPr>
            <w:r>
              <w:rPr>
                <w:rFonts w:eastAsiaTheme="minorEastAsia"/>
                <w:color w:val="000000"/>
                <w:szCs w:val="21"/>
              </w:rPr>
              <w:t>-12.27%</w:t>
            </w:r>
          </w:p>
        </w:tc>
        <w:tc>
          <w:tcPr>
            <w:tcW w:w="1350" w:type="dxa"/>
            <w:vAlign w:val="center"/>
          </w:tcPr>
          <w:p w:rsidR="00854133" w:rsidRDefault="00581AA4">
            <w:pPr>
              <w:jc w:val="center"/>
            </w:pPr>
            <w:r>
              <w:rPr>
                <w:rFonts w:eastAsiaTheme="minorEastAsia"/>
                <w:color w:val="000000"/>
                <w:szCs w:val="21"/>
              </w:rPr>
              <w:t>0.11%</w:t>
            </w:r>
          </w:p>
        </w:tc>
      </w:tr>
    </w:tbl>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自</w:t>
      </w:r>
      <w:r>
        <w:rPr>
          <w:rFonts w:eastAsiaTheme="minorEastAsia"/>
          <w:kern w:val="0"/>
          <w:szCs w:val="21"/>
        </w:rPr>
        <w:t>2019</w:t>
      </w:r>
      <w:r>
        <w:rPr>
          <w:rFonts w:eastAsiaTheme="minorEastAsia"/>
          <w:kern w:val="0"/>
          <w:szCs w:val="21"/>
        </w:rPr>
        <w:t>年</w:t>
      </w:r>
      <w:r>
        <w:rPr>
          <w:rFonts w:eastAsiaTheme="minorEastAsia"/>
          <w:kern w:val="0"/>
          <w:szCs w:val="21"/>
        </w:rPr>
        <w:t>10</w:t>
      </w:r>
      <w:r>
        <w:rPr>
          <w:rFonts w:eastAsiaTheme="minorEastAsia"/>
          <w:kern w:val="0"/>
          <w:szCs w:val="21"/>
        </w:rPr>
        <w:t>月</w:t>
      </w:r>
      <w:r>
        <w:rPr>
          <w:rFonts w:eastAsiaTheme="minorEastAsia"/>
          <w:kern w:val="0"/>
          <w:szCs w:val="21"/>
        </w:rPr>
        <w:t>11</w:t>
      </w:r>
      <w:r>
        <w:rPr>
          <w:rFonts w:eastAsiaTheme="minorEastAsia"/>
          <w:kern w:val="0"/>
          <w:szCs w:val="21"/>
        </w:rPr>
        <w:t>日起，本基金增设</w:t>
      </w:r>
      <w:r>
        <w:rPr>
          <w:rFonts w:eastAsiaTheme="minorEastAsia"/>
          <w:kern w:val="0"/>
          <w:szCs w:val="21"/>
        </w:rPr>
        <w:t>C</w:t>
      </w:r>
      <w:r>
        <w:rPr>
          <w:rFonts w:eastAsiaTheme="minorEastAsia"/>
          <w:kern w:val="0"/>
          <w:szCs w:val="21"/>
        </w:rPr>
        <w:t>类份额类别，份额首次确认日为</w:t>
      </w:r>
      <w:r>
        <w:rPr>
          <w:rFonts w:eastAsiaTheme="minorEastAsia"/>
          <w:kern w:val="0"/>
          <w:szCs w:val="21"/>
        </w:rPr>
        <w:t>2019</w:t>
      </w:r>
      <w:r>
        <w:rPr>
          <w:rFonts w:eastAsiaTheme="minorEastAsia"/>
          <w:kern w:val="0"/>
          <w:szCs w:val="21"/>
        </w:rPr>
        <w:t>年</w:t>
      </w:r>
      <w:r>
        <w:rPr>
          <w:rFonts w:eastAsiaTheme="minorEastAsia"/>
          <w:kern w:val="0"/>
          <w:szCs w:val="21"/>
        </w:rPr>
        <w:t>10</w:t>
      </w:r>
      <w:r>
        <w:rPr>
          <w:rFonts w:eastAsiaTheme="minorEastAsia"/>
          <w:kern w:val="0"/>
          <w:szCs w:val="21"/>
        </w:rPr>
        <w:t>月</w:t>
      </w:r>
      <w:r>
        <w:rPr>
          <w:rFonts w:eastAsiaTheme="minorEastAsia"/>
          <w:kern w:val="0"/>
          <w:szCs w:val="21"/>
        </w:rPr>
        <w:t>14</w:t>
      </w:r>
      <w:r>
        <w:rPr>
          <w:rFonts w:eastAsiaTheme="minorEastAsia"/>
          <w:kern w:val="0"/>
          <w:szCs w:val="21"/>
        </w:rPr>
        <w:t>日，增设当期的相关数据和指标按实际存续期计算。</w:t>
      </w:r>
    </w:p>
    <w:p w:rsidR="00FC6E91" w:rsidRPr="00C24ACA" w:rsidRDefault="00FC6E91"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2.</w:t>
      </w:r>
      <w:r w:rsidRPr="00C24ACA">
        <w:rPr>
          <w:rFonts w:eastAsiaTheme="minorEastAsia"/>
          <w:kern w:val="0"/>
          <w:szCs w:val="21"/>
        </w:rPr>
        <w:t>自</w:t>
      </w:r>
      <w:r w:rsidRPr="00C24ACA">
        <w:rPr>
          <w:rFonts w:eastAsiaTheme="minorEastAsia"/>
          <w:kern w:val="0"/>
          <w:szCs w:val="21"/>
        </w:rPr>
        <w:t>2019</w:t>
      </w:r>
      <w:r w:rsidRPr="00C24ACA">
        <w:rPr>
          <w:rFonts w:eastAsiaTheme="minorEastAsia"/>
          <w:kern w:val="0"/>
          <w:szCs w:val="21"/>
        </w:rPr>
        <w:t>年</w:t>
      </w:r>
      <w:r w:rsidRPr="00C24ACA">
        <w:rPr>
          <w:rFonts w:eastAsiaTheme="minorEastAsia"/>
          <w:kern w:val="0"/>
          <w:szCs w:val="21"/>
        </w:rPr>
        <w:t>10</w:t>
      </w:r>
      <w:r w:rsidRPr="00C24ACA">
        <w:rPr>
          <w:rFonts w:eastAsiaTheme="minorEastAsia"/>
          <w:kern w:val="0"/>
          <w:szCs w:val="21"/>
        </w:rPr>
        <w:t>月</w:t>
      </w:r>
      <w:r w:rsidRPr="00C24ACA">
        <w:rPr>
          <w:rFonts w:eastAsiaTheme="minorEastAsia"/>
          <w:kern w:val="0"/>
          <w:szCs w:val="21"/>
        </w:rPr>
        <w:t>11</w:t>
      </w:r>
      <w:r w:rsidRPr="00C24ACA">
        <w:rPr>
          <w:rFonts w:eastAsiaTheme="minorEastAsia"/>
          <w:kern w:val="0"/>
          <w:szCs w:val="21"/>
        </w:rPr>
        <w:t>日起，本基金业绩比较基准由</w:t>
      </w:r>
      <w:r w:rsidRPr="00C24ACA">
        <w:rPr>
          <w:rFonts w:eastAsiaTheme="minorEastAsia"/>
          <w:kern w:val="0"/>
          <w:szCs w:val="21"/>
        </w:rPr>
        <w:t>“</w:t>
      </w:r>
      <w:r w:rsidRPr="00C24ACA">
        <w:rPr>
          <w:rFonts w:eastAsiaTheme="minorEastAsia"/>
          <w:kern w:val="0"/>
          <w:szCs w:val="21"/>
        </w:rPr>
        <w:t>以伦敦黄金市场下午定盘价计价的国际现货黄金（经汇率折算）</w:t>
      </w:r>
      <w:r w:rsidRPr="00C24ACA">
        <w:rPr>
          <w:rFonts w:eastAsiaTheme="minorEastAsia"/>
          <w:kern w:val="0"/>
          <w:szCs w:val="21"/>
        </w:rPr>
        <w:t>”</w:t>
      </w:r>
      <w:r w:rsidRPr="00C24ACA">
        <w:rPr>
          <w:rFonts w:eastAsiaTheme="minorEastAsia"/>
          <w:kern w:val="0"/>
          <w:szCs w:val="21"/>
        </w:rPr>
        <w:t>调整为</w:t>
      </w:r>
      <w:r w:rsidRPr="00C24ACA">
        <w:rPr>
          <w:rFonts w:eastAsiaTheme="minorEastAsia"/>
          <w:kern w:val="0"/>
          <w:szCs w:val="21"/>
        </w:rPr>
        <w:t>“</w:t>
      </w:r>
      <w:r w:rsidRPr="00C24ACA">
        <w:rPr>
          <w:rFonts w:eastAsiaTheme="minorEastAsia"/>
          <w:kern w:val="0"/>
          <w:szCs w:val="21"/>
        </w:rPr>
        <w:t>以伦敦黄金市场下午定盘价计价的国际现货黄金（经汇率折算）</w:t>
      </w:r>
      <w:r w:rsidRPr="00C24ACA">
        <w:rPr>
          <w:rFonts w:eastAsiaTheme="minorEastAsia"/>
          <w:kern w:val="0"/>
          <w:szCs w:val="21"/>
        </w:rPr>
        <w:t>×50%+MSCI</w:t>
      </w:r>
      <w:r w:rsidRPr="00C24ACA">
        <w:rPr>
          <w:rFonts w:eastAsiaTheme="minorEastAsia"/>
          <w:kern w:val="0"/>
          <w:szCs w:val="21"/>
        </w:rPr>
        <w:t>全球金矿股指数（</w:t>
      </w:r>
      <w:r w:rsidRPr="00C24ACA">
        <w:rPr>
          <w:rFonts w:eastAsiaTheme="minorEastAsia"/>
          <w:kern w:val="0"/>
          <w:szCs w:val="21"/>
        </w:rPr>
        <w:t>MSCI ACWI SELECT GOLD MINERS IMI INDEX</w:t>
      </w:r>
      <w:r w:rsidRPr="00C24ACA">
        <w:rPr>
          <w:rFonts w:eastAsiaTheme="minorEastAsia"/>
          <w:kern w:val="0"/>
          <w:szCs w:val="21"/>
        </w:rPr>
        <w:t>）</w:t>
      </w:r>
      <w:r w:rsidRPr="00C24ACA">
        <w:rPr>
          <w:rFonts w:eastAsiaTheme="minorEastAsia"/>
          <w:kern w:val="0"/>
          <w:szCs w:val="21"/>
        </w:rPr>
        <w:t>×50%”</w:t>
      </w:r>
      <w:r w:rsidRPr="00C24ACA">
        <w:rPr>
          <w:rFonts w:eastAsiaTheme="minorEastAsia"/>
          <w:kern w:val="0"/>
          <w:szCs w:val="21"/>
        </w:rPr>
        <w:t>。</w:t>
      </w:r>
      <w:r w:rsidRPr="00C24ACA">
        <w:rPr>
          <w:rFonts w:eastAsiaTheme="minorEastAsia"/>
          <w:kern w:val="0"/>
          <w:szCs w:val="21"/>
        </w:rPr>
        <w:t>MSCI</w:t>
      </w:r>
      <w:r w:rsidRPr="00C24ACA">
        <w:rPr>
          <w:rFonts w:eastAsiaTheme="minorEastAsia"/>
          <w:kern w:val="0"/>
          <w:szCs w:val="21"/>
        </w:rPr>
        <w:t>全球金矿股指数（</w:t>
      </w:r>
      <w:r w:rsidRPr="00C24ACA">
        <w:rPr>
          <w:rFonts w:eastAsiaTheme="minorEastAsia"/>
          <w:kern w:val="0"/>
          <w:szCs w:val="21"/>
        </w:rPr>
        <w:t>MSCI ACWI SELECT GOLD MINERS IMI INDEX</w:t>
      </w:r>
      <w:r w:rsidRPr="00C24ACA">
        <w:rPr>
          <w:rFonts w:eastAsiaTheme="minorEastAsia"/>
          <w:kern w:val="0"/>
          <w:szCs w:val="21"/>
        </w:rPr>
        <w:t>）由</w:t>
      </w:r>
      <w:r w:rsidRPr="00C24ACA">
        <w:rPr>
          <w:rFonts w:eastAsiaTheme="minorEastAsia"/>
          <w:kern w:val="0"/>
          <w:szCs w:val="21"/>
        </w:rPr>
        <w:t>MSCI</w:t>
      </w:r>
      <w:r w:rsidRPr="00C24ACA">
        <w:rPr>
          <w:rFonts w:eastAsiaTheme="minorEastAsia"/>
          <w:kern w:val="0"/>
          <w:szCs w:val="21"/>
        </w:rPr>
        <w:t>编制，由全球主要黄金采掘企业股票组成。而本基金为黄金主题基金，投资于基金的资产合计不低于本基金基金资产净值的</w:t>
      </w:r>
      <w:r w:rsidRPr="00C24ACA">
        <w:rPr>
          <w:rFonts w:eastAsiaTheme="minorEastAsia"/>
          <w:kern w:val="0"/>
          <w:szCs w:val="21"/>
        </w:rPr>
        <w:t>60%</w:t>
      </w:r>
      <w:r w:rsidRPr="00C24ACA">
        <w:rPr>
          <w:rFonts w:eastAsiaTheme="minorEastAsia"/>
          <w:kern w:val="0"/>
          <w:szCs w:val="21"/>
        </w:rPr>
        <w:t>，投资于基金的资产中不低于</w:t>
      </w:r>
      <w:r w:rsidRPr="00C24ACA">
        <w:rPr>
          <w:rFonts w:eastAsiaTheme="minorEastAsia"/>
          <w:kern w:val="0"/>
          <w:szCs w:val="21"/>
        </w:rPr>
        <w:t>80%</w:t>
      </w:r>
      <w:r w:rsidRPr="00C24ACA">
        <w:rPr>
          <w:rFonts w:eastAsiaTheme="minorEastAsia"/>
          <w:kern w:val="0"/>
          <w:szCs w:val="21"/>
        </w:rPr>
        <w:t>投资于黄金基金，黄金基金指黄金</w:t>
      </w:r>
      <w:r w:rsidRPr="00C24ACA">
        <w:rPr>
          <w:rFonts w:eastAsiaTheme="minorEastAsia"/>
          <w:kern w:val="0"/>
          <w:szCs w:val="21"/>
        </w:rPr>
        <w:t>ETF</w:t>
      </w:r>
      <w:r w:rsidRPr="00C24ACA">
        <w:rPr>
          <w:rFonts w:eastAsiaTheme="minorEastAsia"/>
          <w:kern w:val="0"/>
          <w:szCs w:val="21"/>
        </w:rPr>
        <w:t>（即跟踪黄金价格或黄金价格指数的</w:t>
      </w:r>
      <w:r w:rsidRPr="00C24ACA">
        <w:rPr>
          <w:rFonts w:eastAsiaTheme="minorEastAsia"/>
          <w:kern w:val="0"/>
          <w:szCs w:val="21"/>
        </w:rPr>
        <w:t>ETF</w:t>
      </w:r>
      <w:r w:rsidRPr="00C24ACA">
        <w:rPr>
          <w:rFonts w:eastAsiaTheme="minorEastAsia"/>
          <w:kern w:val="0"/>
          <w:szCs w:val="21"/>
        </w:rPr>
        <w:t>）及黄金股票基金（包括跟踪黄金股票指数的指数基金和</w:t>
      </w:r>
      <w:r w:rsidRPr="00C24ACA">
        <w:rPr>
          <w:rFonts w:eastAsiaTheme="minorEastAsia"/>
          <w:kern w:val="0"/>
          <w:szCs w:val="21"/>
        </w:rPr>
        <w:t>ETF</w:t>
      </w:r>
      <w:r w:rsidRPr="00C24ACA">
        <w:rPr>
          <w:rFonts w:eastAsiaTheme="minorEastAsia"/>
          <w:kern w:val="0"/>
          <w:szCs w:val="21"/>
        </w:rPr>
        <w:t>，以及</w:t>
      </w:r>
      <w:r w:rsidRPr="00C24ACA">
        <w:rPr>
          <w:rFonts w:eastAsiaTheme="minorEastAsia"/>
          <w:kern w:val="0"/>
          <w:szCs w:val="21"/>
        </w:rPr>
        <w:t>80%</w:t>
      </w:r>
      <w:r w:rsidRPr="00C24ACA">
        <w:rPr>
          <w:rFonts w:eastAsiaTheme="minorEastAsia"/>
          <w:kern w:val="0"/>
          <w:szCs w:val="21"/>
        </w:rPr>
        <w:t>以上基金资产投资于黄金采掘公司股票的主动基金）。基金管理人在对黄金基金、黄金采掘公司股票以及与其他资产进行主动配置的过程中，黄金价格和黄金采掘公司股票价格是影响投资判断的关键因素。采用</w:t>
      </w:r>
      <w:r w:rsidRPr="00C24ACA">
        <w:rPr>
          <w:rFonts w:eastAsiaTheme="minorEastAsia"/>
          <w:kern w:val="0"/>
          <w:szCs w:val="21"/>
        </w:rPr>
        <w:t>“</w:t>
      </w:r>
      <w:r w:rsidRPr="00C24ACA">
        <w:rPr>
          <w:rFonts w:eastAsiaTheme="minorEastAsia"/>
          <w:kern w:val="0"/>
          <w:szCs w:val="21"/>
        </w:rPr>
        <w:t>以伦敦黄金市场下午定盘价计价的国际现货黄金（经汇率折算）</w:t>
      </w:r>
      <w:r w:rsidRPr="00C24ACA">
        <w:rPr>
          <w:rFonts w:eastAsiaTheme="minorEastAsia"/>
          <w:kern w:val="0"/>
          <w:szCs w:val="21"/>
        </w:rPr>
        <w:t>×50%+MSCI</w:t>
      </w:r>
      <w:r w:rsidRPr="00C24ACA">
        <w:rPr>
          <w:rFonts w:eastAsiaTheme="minorEastAsia"/>
          <w:kern w:val="0"/>
          <w:szCs w:val="21"/>
        </w:rPr>
        <w:t>全球金矿股指数（</w:t>
      </w:r>
      <w:r w:rsidRPr="00C24ACA">
        <w:rPr>
          <w:rFonts w:eastAsiaTheme="minorEastAsia"/>
          <w:kern w:val="0"/>
          <w:szCs w:val="21"/>
        </w:rPr>
        <w:t>MSCI ACWI SELECT GOLD MINERS IMI INDEX</w:t>
      </w:r>
      <w:r w:rsidRPr="00C24ACA">
        <w:rPr>
          <w:rFonts w:eastAsiaTheme="minorEastAsia"/>
          <w:kern w:val="0"/>
          <w:szCs w:val="21"/>
        </w:rPr>
        <w:t>）</w:t>
      </w:r>
      <w:r w:rsidRPr="00C24ACA">
        <w:rPr>
          <w:rFonts w:eastAsiaTheme="minorEastAsia"/>
          <w:kern w:val="0"/>
          <w:szCs w:val="21"/>
        </w:rPr>
        <w:t>×50%”</w:t>
      </w:r>
      <w:r w:rsidRPr="00C24ACA">
        <w:rPr>
          <w:rFonts w:eastAsiaTheme="minorEastAsia"/>
          <w:kern w:val="0"/>
          <w:szCs w:val="21"/>
        </w:rPr>
        <w:t>作为业绩比较基准，能够相对比较真实、客观地反映本基金的风险收益特征。基金业绩比较基准收益率在变更前后期间分别根据相应的指标计算。</w:t>
      </w:r>
    </w:p>
    <w:p w:rsidR="00FC6E91" w:rsidRPr="00C24ACA" w:rsidRDefault="00FC6E91" w:rsidP="00732F5C">
      <w:pPr>
        <w:spacing w:beforeLines="100" w:before="312" w:line="360" w:lineRule="auto"/>
        <w:rPr>
          <w:rFonts w:eastAsiaTheme="minorEastAsia"/>
          <w:b/>
          <w:kern w:val="0"/>
          <w:szCs w:val="21"/>
        </w:rPr>
      </w:pPr>
      <w:r w:rsidRPr="00C24ACA">
        <w:rPr>
          <w:rFonts w:eastAsiaTheme="minorEastAsia"/>
          <w:b/>
          <w:kern w:val="0"/>
          <w:szCs w:val="21"/>
        </w:rPr>
        <w:t>3.2.2</w:t>
      </w:r>
      <w:r w:rsidRPr="00C24ACA">
        <w:rPr>
          <w:rStyle w:val="af8"/>
          <w:rFonts w:eastAsiaTheme="minorEastAsia"/>
          <w:color w:val="000000"/>
          <w:szCs w:val="21"/>
          <w:shd w:val="clear" w:color="auto" w:fill="FFFFFF"/>
        </w:rPr>
        <w:t>自基金合同生效以来</w:t>
      </w:r>
      <w:r w:rsidRPr="00C24ACA">
        <w:rPr>
          <w:rFonts w:eastAsiaTheme="minorEastAsia"/>
          <w:b/>
          <w:kern w:val="0"/>
          <w:szCs w:val="21"/>
        </w:rPr>
        <w:t>基金份额累计净值增长率变动及其与同期业绩比较基准收益率变动的比较</w:t>
      </w:r>
    </w:p>
    <w:p w:rsidR="001A19C2" w:rsidRDefault="001A19C2" w:rsidP="00E039F9">
      <w:pPr>
        <w:spacing w:line="360" w:lineRule="auto"/>
        <w:ind w:firstLine="420"/>
        <w:jc w:val="center"/>
        <w:rPr>
          <w:rFonts w:eastAsiaTheme="minorEastAsia"/>
          <w:color w:val="000000"/>
          <w:kern w:val="0"/>
          <w:szCs w:val="21"/>
        </w:rPr>
      </w:pPr>
      <w:r w:rsidRPr="00D749D4">
        <w:rPr>
          <w:color w:val="000000"/>
          <w:szCs w:val="21"/>
        </w:rPr>
        <w:t>易方达黄金主题证券投资基金（</w:t>
      </w:r>
      <w:r w:rsidRPr="00D749D4">
        <w:rPr>
          <w:color w:val="000000"/>
          <w:szCs w:val="21"/>
        </w:rPr>
        <w:t>LOF</w:t>
      </w:r>
      <w:r w:rsidRPr="00D749D4">
        <w:rPr>
          <w:color w:val="000000"/>
          <w:szCs w:val="21"/>
        </w:rPr>
        <w:t>）</w:t>
      </w:r>
    </w:p>
    <w:p w:rsidR="00301185" w:rsidRDefault="001A19C2" w:rsidP="00301185">
      <w:pPr>
        <w:pStyle w:val="a6"/>
        <w:snapToGrid w:val="0"/>
        <w:spacing w:line="360" w:lineRule="auto"/>
        <w:jc w:val="center"/>
        <w:rPr>
          <w:rFonts w:ascii="Times New Roman" w:eastAsiaTheme="minorEastAsia" w:hAnsi="Times New Roman"/>
          <w:color w:val="000000" w:themeColor="text1"/>
          <w:sz w:val="24"/>
          <w:szCs w:val="24"/>
        </w:rPr>
      </w:pPr>
      <w:r w:rsidRPr="00D749D4">
        <w:rPr>
          <w:rFonts w:hint="eastAsia"/>
          <w:color w:val="000000"/>
        </w:rPr>
        <w:t>份额累计净值增长率与业绩比较基准收益率历史走势对比图</w:t>
      </w:r>
    </w:p>
    <w:p w:rsidR="00301185" w:rsidRDefault="00A34426" w:rsidP="00301185">
      <w:pPr>
        <w:pStyle w:val="21"/>
        <w:spacing w:line="288" w:lineRule="auto"/>
        <w:ind w:firstLineChars="0" w:firstLine="0"/>
        <w:jc w:val="left"/>
        <w:rPr>
          <w:rFonts w:ascii="Times New Roman" w:hAnsi="Times New Roman"/>
          <w:color w:val="000000"/>
        </w:rPr>
      </w:pPr>
      <w:r w:rsidRPr="00C24ACA">
        <w:rPr>
          <w:rFonts w:ascii="Times New Roman" w:eastAsiaTheme="minorEastAsia" w:hAnsi="Times New Roman"/>
          <w:color w:val="auto"/>
          <w:sz w:val="21"/>
          <w:szCs w:val="21"/>
        </w:rPr>
        <w:t>易方达黄金主题（</w:t>
      </w:r>
      <w:r w:rsidRPr="00C24ACA">
        <w:rPr>
          <w:rFonts w:ascii="Times New Roman" w:eastAsiaTheme="minorEastAsia" w:hAnsi="Times New Roman"/>
          <w:color w:val="auto"/>
          <w:sz w:val="21"/>
          <w:szCs w:val="21"/>
        </w:rPr>
        <w:t>QDII-LOF-FOF</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A</w:t>
      </w:r>
    </w:p>
    <w:p w:rsidR="00301185" w:rsidRPr="00576423" w:rsidRDefault="00301185" w:rsidP="00301185">
      <w:pPr>
        <w:spacing w:line="360" w:lineRule="auto"/>
        <w:jc w:val="center"/>
        <w:rPr>
          <w:szCs w:val="21"/>
        </w:rPr>
      </w:pPr>
      <w:r w:rsidRPr="00576423">
        <w:rPr>
          <w:szCs w:val="21"/>
        </w:rPr>
        <w:t>（</w:t>
      </w:r>
      <w:r w:rsidRPr="00576423">
        <w:rPr>
          <w:szCs w:val="21"/>
        </w:rPr>
        <w:t>2011</w:t>
      </w:r>
      <w:r w:rsidRPr="00576423">
        <w:rPr>
          <w:szCs w:val="21"/>
        </w:rPr>
        <w:t>年</w:t>
      </w:r>
      <w:r w:rsidRPr="00576423">
        <w:rPr>
          <w:szCs w:val="21"/>
        </w:rPr>
        <w:t>5</w:t>
      </w:r>
      <w:r w:rsidRPr="00576423">
        <w:rPr>
          <w:szCs w:val="21"/>
        </w:rPr>
        <w:t>月</w:t>
      </w:r>
      <w:r w:rsidRPr="00576423">
        <w:rPr>
          <w:szCs w:val="21"/>
        </w:rPr>
        <w:t>6</w:t>
      </w:r>
      <w:r w:rsidRPr="00576423">
        <w:rPr>
          <w:szCs w:val="21"/>
        </w:rPr>
        <w:t>日至</w:t>
      </w:r>
      <w:r w:rsidRPr="00576423">
        <w:rPr>
          <w:szCs w:val="21"/>
        </w:rPr>
        <w:t>2020</w:t>
      </w:r>
      <w:r w:rsidRPr="00576423">
        <w:rPr>
          <w:szCs w:val="21"/>
        </w:rPr>
        <w:t>年</w:t>
      </w:r>
      <w:r w:rsidRPr="00576423">
        <w:rPr>
          <w:szCs w:val="21"/>
        </w:rPr>
        <w:t>6</w:t>
      </w:r>
      <w:r w:rsidRPr="00576423">
        <w:rPr>
          <w:szCs w:val="21"/>
        </w:rPr>
        <w:t>月</w:t>
      </w:r>
      <w:r w:rsidRPr="00576423">
        <w:rPr>
          <w:szCs w:val="21"/>
        </w:rPr>
        <w:t>30</w:t>
      </w:r>
      <w:r w:rsidRPr="00576423">
        <w:rPr>
          <w:szCs w:val="21"/>
        </w:rPr>
        <w:t>日）</w:t>
      </w:r>
    </w:p>
    <w:p w:rsidR="00A34426" w:rsidRPr="00C24ACA" w:rsidRDefault="00A34426" w:rsidP="00E039F9">
      <w:pPr>
        <w:pStyle w:val="a6"/>
        <w:snapToGrid w:val="0"/>
        <w:spacing w:line="360" w:lineRule="auto"/>
        <w:ind w:firstLine="480"/>
        <w:jc w:val="center"/>
        <w:rPr>
          <w:rFonts w:ascii="Times New Roman" w:eastAsiaTheme="minorEastAsia" w:hAnsi="Times New Roman"/>
          <w:color w:val="000000"/>
        </w:rPr>
      </w:pPr>
      <w:r w:rsidRPr="00C24ACA">
        <w:rPr>
          <w:rFonts w:eastAsiaTheme="minorEastAsia"/>
          <w:noProof/>
          <w:color w:val="000000"/>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301185" w:rsidRDefault="000902FA" w:rsidP="00301185">
      <w:pPr>
        <w:pStyle w:val="21"/>
        <w:spacing w:line="288" w:lineRule="auto"/>
        <w:ind w:firstLineChars="0" w:firstLine="0"/>
        <w:jc w:val="left"/>
        <w:rPr>
          <w:rFonts w:ascii="Times New Roman" w:hAnsi="Times New Roman"/>
          <w:color w:val="000000"/>
        </w:rPr>
      </w:pPr>
      <w:r w:rsidRPr="00C24ACA">
        <w:rPr>
          <w:rFonts w:ascii="Times New Roman" w:eastAsiaTheme="minorEastAsia" w:hAnsi="Times New Roman"/>
          <w:color w:val="auto"/>
          <w:sz w:val="21"/>
          <w:szCs w:val="21"/>
        </w:rPr>
        <w:t>易方达黄金主题（</w:t>
      </w:r>
      <w:r w:rsidRPr="00C24ACA">
        <w:rPr>
          <w:rFonts w:ascii="Times New Roman" w:eastAsiaTheme="minorEastAsia" w:hAnsi="Times New Roman"/>
          <w:color w:val="auto"/>
          <w:sz w:val="21"/>
          <w:szCs w:val="21"/>
        </w:rPr>
        <w:t>QDII-LOF-FOF</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C</w:t>
      </w:r>
    </w:p>
    <w:p w:rsidR="00301185" w:rsidRDefault="00301185" w:rsidP="00301185">
      <w:pPr>
        <w:spacing w:line="360" w:lineRule="auto"/>
        <w:jc w:val="center"/>
        <w:rPr>
          <w:szCs w:val="21"/>
        </w:rPr>
      </w:pPr>
      <w:r w:rsidRPr="00576423">
        <w:rPr>
          <w:szCs w:val="21"/>
        </w:rPr>
        <w:t>（</w:t>
      </w:r>
      <w:r w:rsidRPr="00576423">
        <w:rPr>
          <w:szCs w:val="21"/>
        </w:rPr>
        <w:t>2019</w:t>
      </w:r>
      <w:r w:rsidRPr="00576423">
        <w:rPr>
          <w:szCs w:val="21"/>
        </w:rPr>
        <w:t>年</w:t>
      </w:r>
      <w:r w:rsidRPr="00576423">
        <w:rPr>
          <w:szCs w:val="21"/>
        </w:rPr>
        <w:t>10</w:t>
      </w:r>
      <w:r w:rsidRPr="00576423">
        <w:rPr>
          <w:szCs w:val="21"/>
        </w:rPr>
        <w:t>月</w:t>
      </w:r>
      <w:r w:rsidRPr="00576423">
        <w:rPr>
          <w:szCs w:val="21"/>
        </w:rPr>
        <w:t>14</w:t>
      </w:r>
      <w:r w:rsidRPr="00576423">
        <w:rPr>
          <w:szCs w:val="21"/>
        </w:rPr>
        <w:t>日至</w:t>
      </w:r>
      <w:r w:rsidRPr="00576423">
        <w:rPr>
          <w:szCs w:val="21"/>
        </w:rPr>
        <w:t>2020</w:t>
      </w:r>
      <w:r w:rsidRPr="00576423">
        <w:rPr>
          <w:szCs w:val="21"/>
        </w:rPr>
        <w:t>年</w:t>
      </w:r>
      <w:r w:rsidRPr="00576423">
        <w:rPr>
          <w:szCs w:val="21"/>
        </w:rPr>
        <w:t>6</w:t>
      </w:r>
      <w:r w:rsidRPr="00576423">
        <w:rPr>
          <w:szCs w:val="21"/>
        </w:rPr>
        <w:t>月</w:t>
      </w:r>
      <w:r w:rsidRPr="00576423">
        <w:rPr>
          <w:szCs w:val="21"/>
        </w:rPr>
        <w:t>30</w:t>
      </w:r>
      <w:r w:rsidRPr="00576423">
        <w:rPr>
          <w:szCs w:val="21"/>
        </w:rPr>
        <w:t>日）</w:t>
      </w:r>
    </w:p>
    <w:p w:rsidR="000902FA" w:rsidRPr="00C24ACA" w:rsidRDefault="000902FA" w:rsidP="001F489E">
      <w:pPr>
        <w:pStyle w:val="a6"/>
        <w:snapToGrid w:val="0"/>
        <w:spacing w:line="360" w:lineRule="auto"/>
        <w:ind w:firstLine="480"/>
        <w:jc w:val="center"/>
        <w:rPr>
          <w:rFonts w:ascii="Times New Roman" w:eastAsiaTheme="minorEastAsia" w:hAnsi="Times New Roman"/>
          <w:color w:val="000000"/>
        </w:rPr>
      </w:pPr>
      <w:r w:rsidRPr="00C24ACA">
        <w:rPr>
          <w:rFonts w:eastAsiaTheme="minorEastAsia"/>
          <w:noProof/>
          <w:color w:val="000000"/>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自</w:t>
      </w:r>
      <w:r>
        <w:rPr>
          <w:rFonts w:eastAsiaTheme="minorEastAsia"/>
          <w:kern w:val="0"/>
          <w:szCs w:val="21"/>
        </w:rPr>
        <w:t>2019</w:t>
      </w:r>
      <w:r>
        <w:rPr>
          <w:rFonts w:eastAsiaTheme="minorEastAsia"/>
          <w:kern w:val="0"/>
          <w:szCs w:val="21"/>
        </w:rPr>
        <w:t>年</w:t>
      </w:r>
      <w:r>
        <w:rPr>
          <w:rFonts w:eastAsiaTheme="minorEastAsia"/>
          <w:kern w:val="0"/>
          <w:szCs w:val="21"/>
        </w:rPr>
        <w:t>10</w:t>
      </w:r>
      <w:r>
        <w:rPr>
          <w:rFonts w:eastAsiaTheme="minorEastAsia"/>
          <w:kern w:val="0"/>
          <w:szCs w:val="21"/>
        </w:rPr>
        <w:t>月</w:t>
      </w:r>
      <w:r>
        <w:rPr>
          <w:rFonts w:eastAsiaTheme="minorEastAsia"/>
          <w:kern w:val="0"/>
          <w:szCs w:val="21"/>
        </w:rPr>
        <w:t>11</w:t>
      </w:r>
      <w:r>
        <w:rPr>
          <w:rFonts w:eastAsiaTheme="minorEastAsia"/>
          <w:kern w:val="0"/>
          <w:szCs w:val="21"/>
        </w:rPr>
        <w:t>日起，本基金增设</w:t>
      </w:r>
      <w:r>
        <w:rPr>
          <w:rFonts w:eastAsiaTheme="minorEastAsia"/>
          <w:kern w:val="0"/>
          <w:szCs w:val="21"/>
        </w:rPr>
        <w:t>C</w:t>
      </w:r>
      <w:r>
        <w:rPr>
          <w:rFonts w:eastAsiaTheme="minorEastAsia"/>
          <w:kern w:val="0"/>
          <w:szCs w:val="21"/>
        </w:rPr>
        <w:t>类份额类别，份额首次确认日为</w:t>
      </w:r>
      <w:r>
        <w:rPr>
          <w:rFonts w:eastAsiaTheme="minorEastAsia"/>
          <w:kern w:val="0"/>
          <w:szCs w:val="21"/>
        </w:rPr>
        <w:t>2019</w:t>
      </w:r>
      <w:r>
        <w:rPr>
          <w:rFonts w:eastAsiaTheme="minorEastAsia"/>
          <w:kern w:val="0"/>
          <w:szCs w:val="21"/>
        </w:rPr>
        <w:t>年</w:t>
      </w:r>
      <w:r>
        <w:rPr>
          <w:rFonts w:eastAsiaTheme="minorEastAsia"/>
          <w:kern w:val="0"/>
          <w:szCs w:val="21"/>
        </w:rPr>
        <w:t>10</w:t>
      </w:r>
      <w:r>
        <w:rPr>
          <w:rFonts w:eastAsiaTheme="minorEastAsia"/>
          <w:kern w:val="0"/>
          <w:szCs w:val="21"/>
        </w:rPr>
        <w:t>月</w:t>
      </w:r>
      <w:r>
        <w:rPr>
          <w:rFonts w:eastAsiaTheme="minorEastAsia"/>
          <w:kern w:val="0"/>
          <w:szCs w:val="21"/>
        </w:rPr>
        <w:t>14</w:t>
      </w:r>
      <w:r>
        <w:rPr>
          <w:rFonts w:eastAsiaTheme="minorEastAsia"/>
          <w:kern w:val="0"/>
          <w:szCs w:val="21"/>
        </w:rPr>
        <w:t>日，增设当期的相关数据和指标按实际存续期计算。</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2.</w:t>
      </w:r>
      <w:r>
        <w:rPr>
          <w:rFonts w:eastAsiaTheme="minorEastAsia"/>
          <w:kern w:val="0"/>
          <w:szCs w:val="21"/>
        </w:rPr>
        <w:t>自</w:t>
      </w:r>
      <w:r>
        <w:rPr>
          <w:rFonts w:eastAsiaTheme="minorEastAsia"/>
          <w:kern w:val="0"/>
          <w:szCs w:val="21"/>
        </w:rPr>
        <w:t>2019</w:t>
      </w:r>
      <w:r>
        <w:rPr>
          <w:rFonts w:eastAsiaTheme="minorEastAsia"/>
          <w:kern w:val="0"/>
          <w:szCs w:val="21"/>
        </w:rPr>
        <w:t>年</w:t>
      </w:r>
      <w:r>
        <w:rPr>
          <w:rFonts w:eastAsiaTheme="minorEastAsia"/>
          <w:kern w:val="0"/>
          <w:szCs w:val="21"/>
        </w:rPr>
        <w:t>10</w:t>
      </w:r>
      <w:r>
        <w:rPr>
          <w:rFonts w:eastAsiaTheme="minorEastAsia"/>
          <w:kern w:val="0"/>
          <w:szCs w:val="21"/>
        </w:rPr>
        <w:t>月</w:t>
      </w:r>
      <w:r>
        <w:rPr>
          <w:rFonts w:eastAsiaTheme="minorEastAsia"/>
          <w:kern w:val="0"/>
          <w:szCs w:val="21"/>
        </w:rPr>
        <w:t>11</w:t>
      </w:r>
      <w:r>
        <w:rPr>
          <w:rFonts w:eastAsiaTheme="minorEastAsia"/>
          <w:kern w:val="0"/>
          <w:szCs w:val="21"/>
        </w:rPr>
        <w:t>日起，本基金业绩比较基准由</w:t>
      </w:r>
      <w:r>
        <w:rPr>
          <w:rFonts w:eastAsiaTheme="minorEastAsia"/>
          <w:kern w:val="0"/>
          <w:szCs w:val="21"/>
        </w:rPr>
        <w:t>“</w:t>
      </w:r>
      <w:r>
        <w:rPr>
          <w:rFonts w:eastAsiaTheme="minorEastAsia"/>
          <w:kern w:val="0"/>
          <w:szCs w:val="21"/>
        </w:rPr>
        <w:t>以伦敦黄金市场下午定盘价计价的国际现货黄金（经汇率折算）</w:t>
      </w:r>
      <w:r>
        <w:rPr>
          <w:rFonts w:eastAsiaTheme="minorEastAsia"/>
          <w:kern w:val="0"/>
          <w:szCs w:val="21"/>
        </w:rPr>
        <w:t>”</w:t>
      </w:r>
      <w:r>
        <w:rPr>
          <w:rFonts w:eastAsiaTheme="minorEastAsia"/>
          <w:kern w:val="0"/>
          <w:szCs w:val="21"/>
        </w:rPr>
        <w:t>调整为</w:t>
      </w:r>
      <w:r>
        <w:rPr>
          <w:rFonts w:eastAsiaTheme="minorEastAsia"/>
          <w:kern w:val="0"/>
          <w:szCs w:val="21"/>
        </w:rPr>
        <w:t>“</w:t>
      </w:r>
      <w:r>
        <w:rPr>
          <w:rFonts w:eastAsiaTheme="minorEastAsia"/>
          <w:kern w:val="0"/>
          <w:szCs w:val="21"/>
        </w:rPr>
        <w:t>以伦敦黄金市场下午定盘价计价的国际现货黄金（经汇率折算）</w:t>
      </w:r>
      <w:r>
        <w:rPr>
          <w:rFonts w:eastAsiaTheme="minorEastAsia"/>
          <w:kern w:val="0"/>
          <w:szCs w:val="21"/>
        </w:rPr>
        <w:t>×50%+MSCI</w:t>
      </w:r>
      <w:r>
        <w:rPr>
          <w:rFonts w:eastAsiaTheme="minorEastAsia"/>
          <w:kern w:val="0"/>
          <w:szCs w:val="21"/>
        </w:rPr>
        <w:t>全球金矿股指数（</w:t>
      </w:r>
      <w:r>
        <w:rPr>
          <w:rFonts w:eastAsiaTheme="minorEastAsia"/>
          <w:kern w:val="0"/>
          <w:szCs w:val="21"/>
        </w:rPr>
        <w:t>MSCI ACWI SELECT GOLD MINERS IMI INDEX</w:t>
      </w:r>
      <w:r>
        <w:rPr>
          <w:rFonts w:eastAsiaTheme="minorEastAsia"/>
          <w:kern w:val="0"/>
          <w:szCs w:val="21"/>
        </w:rPr>
        <w:t>）</w:t>
      </w:r>
      <w:r>
        <w:rPr>
          <w:rFonts w:eastAsiaTheme="minorEastAsia"/>
          <w:kern w:val="0"/>
          <w:szCs w:val="21"/>
        </w:rPr>
        <w:t>×50%”</w:t>
      </w:r>
      <w:r>
        <w:rPr>
          <w:rFonts w:eastAsiaTheme="minorEastAsia"/>
          <w:kern w:val="0"/>
          <w:szCs w:val="21"/>
        </w:rPr>
        <w:t>。</w:t>
      </w:r>
      <w:r>
        <w:rPr>
          <w:rFonts w:eastAsiaTheme="minorEastAsia"/>
          <w:kern w:val="0"/>
          <w:szCs w:val="21"/>
        </w:rPr>
        <w:t>MSCI</w:t>
      </w:r>
      <w:r>
        <w:rPr>
          <w:rFonts w:eastAsiaTheme="minorEastAsia"/>
          <w:kern w:val="0"/>
          <w:szCs w:val="21"/>
        </w:rPr>
        <w:t>全球金矿股指数（</w:t>
      </w:r>
      <w:r>
        <w:rPr>
          <w:rFonts w:eastAsiaTheme="minorEastAsia"/>
          <w:kern w:val="0"/>
          <w:szCs w:val="21"/>
        </w:rPr>
        <w:t>MSCI ACWI SELECT GOLD MINERS IMI INDEX</w:t>
      </w:r>
      <w:r>
        <w:rPr>
          <w:rFonts w:eastAsiaTheme="minorEastAsia"/>
          <w:kern w:val="0"/>
          <w:szCs w:val="21"/>
        </w:rPr>
        <w:t>）由</w:t>
      </w:r>
      <w:r>
        <w:rPr>
          <w:rFonts w:eastAsiaTheme="minorEastAsia"/>
          <w:kern w:val="0"/>
          <w:szCs w:val="21"/>
        </w:rPr>
        <w:t>MSCI</w:t>
      </w:r>
      <w:r>
        <w:rPr>
          <w:rFonts w:eastAsiaTheme="minorEastAsia"/>
          <w:kern w:val="0"/>
          <w:szCs w:val="21"/>
        </w:rPr>
        <w:t>编制，由全球主要黄金采掘企业股票组成。而本基金为黄金主题基金，投资于基金的资产合计不低于本基金基金资产净值的</w:t>
      </w:r>
      <w:r>
        <w:rPr>
          <w:rFonts w:eastAsiaTheme="minorEastAsia"/>
          <w:kern w:val="0"/>
          <w:szCs w:val="21"/>
        </w:rPr>
        <w:t>60%</w:t>
      </w:r>
      <w:r>
        <w:rPr>
          <w:rFonts w:eastAsiaTheme="minorEastAsia"/>
          <w:kern w:val="0"/>
          <w:szCs w:val="21"/>
        </w:rPr>
        <w:t>，投资于基金的资产中不低于</w:t>
      </w:r>
      <w:r>
        <w:rPr>
          <w:rFonts w:eastAsiaTheme="minorEastAsia"/>
          <w:kern w:val="0"/>
          <w:szCs w:val="21"/>
        </w:rPr>
        <w:t>80%</w:t>
      </w:r>
      <w:r>
        <w:rPr>
          <w:rFonts w:eastAsiaTheme="minorEastAsia"/>
          <w:kern w:val="0"/>
          <w:szCs w:val="21"/>
        </w:rPr>
        <w:t>投资于黄金基金，黄金基金指黄金</w:t>
      </w:r>
      <w:r>
        <w:rPr>
          <w:rFonts w:eastAsiaTheme="minorEastAsia"/>
          <w:kern w:val="0"/>
          <w:szCs w:val="21"/>
        </w:rPr>
        <w:t>ETF</w:t>
      </w:r>
      <w:r>
        <w:rPr>
          <w:rFonts w:eastAsiaTheme="minorEastAsia"/>
          <w:kern w:val="0"/>
          <w:szCs w:val="21"/>
        </w:rPr>
        <w:t>（即跟踪黄金价格或黄金价格指数的</w:t>
      </w:r>
      <w:r>
        <w:rPr>
          <w:rFonts w:eastAsiaTheme="minorEastAsia"/>
          <w:kern w:val="0"/>
          <w:szCs w:val="21"/>
        </w:rPr>
        <w:t>ETF</w:t>
      </w:r>
      <w:r>
        <w:rPr>
          <w:rFonts w:eastAsiaTheme="minorEastAsia"/>
          <w:kern w:val="0"/>
          <w:szCs w:val="21"/>
        </w:rPr>
        <w:t>）及黄金股票基金（包括跟踪黄金股票指数的指数基金和</w:t>
      </w:r>
      <w:r>
        <w:rPr>
          <w:rFonts w:eastAsiaTheme="minorEastAsia"/>
          <w:kern w:val="0"/>
          <w:szCs w:val="21"/>
        </w:rPr>
        <w:t>ETF</w:t>
      </w:r>
      <w:r>
        <w:rPr>
          <w:rFonts w:eastAsiaTheme="minorEastAsia"/>
          <w:kern w:val="0"/>
          <w:szCs w:val="21"/>
        </w:rPr>
        <w:t>，以及</w:t>
      </w:r>
      <w:r>
        <w:rPr>
          <w:rFonts w:eastAsiaTheme="minorEastAsia"/>
          <w:kern w:val="0"/>
          <w:szCs w:val="21"/>
        </w:rPr>
        <w:t>80%</w:t>
      </w:r>
      <w:r>
        <w:rPr>
          <w:rFonts w:eastAsiaTheme="minorEastAsia"/>
          <w:kern w:val="0"/>
          <w:szCs w:val="21"/>
        </w:rPr>
        <w:t>以上基金资产投资于黄金采掘公司股票的主动基金）。基金管理人在对黄金基金、黄金采掘公司股票以及与其他资产进行主动配置的过程中，黄金价格和黄金采掘公司股票价格是影响投资判断的关键因素。采用</w:t>
      </w:r>
      <w:r>
        <w:rPr>
          <w:rFonts w:eastAsiaTheme="minorEastAsia"/>
          <w:kern w:val="0"/>
          <w:szCs w:val="21"/>
        </w:rPr>
        <w:t>“</w:t>
      </w:r>
      <w:r>
        <w:rPr>
          <w:rFonts w:eastAsiaTheme="minorEastAsia"/>
          <w:kern w:val="0"/>
          <w:szCs w:val="21"/>
        </w:rPr>
        <w:t>以伦敦黄金市场下午定盘价计价的国际现货黄金（经汇率折算）</w:t>
      </w:r>
      <w:r>
        <w:rPr>
          <w:rFonts w:eastAsiaTheme="minorEastAsia"/>
          <w:kern w:val="0"/>
          <w:szCs w:val="21"/>
        </w:rPr>
        <w:t>×50%+MSCI</w:t>
      </w:r>
      <w:r>
        <w:rPr>
          <w:rFonts w:eastAsiaTheme="minorEastAsia"/>
          <w:kern w:val="0"/>
          <w:szCs w:val="21"/>
        </w:rPr>
        <w:t>全球金矿股指数（</w:t>
      </w:r>
      <w:r>
        <w:rPr>
          <w:rFonts w:eastAsiaTheme="minorEastAsia"/>
          <w:kern w:val="0"/>
          <w:szCs w:val="21"/>
        </w:rPr>
        <w:t>MSCI ACWI SELECT GOLD MINERS IMI INDEX</w:t>
      </w:r>
      <w:r>
        <w:rPr>
          <w:rFonts w:eastAsiaTheme="minorEastAsia"/>
          <w:kern w:val="0"/>
          <w:szCs w:val="21"/>
        </w:rPr>
        <w:t>）</w:t>
      </w:r>
      <w:r>
        <w:rPr>
          <w:rFonts w:eastAsiaTheme="minorEastAsia"/>
          <w:kern w:val="0"/>
          <w:szCs w:val="21"/>
        </w:rPr>
        <w:t>×50%”</w:t>
      </w:r>
      <w:r>
        <w:rPr>
          <w:rFonts w:eastAsiaTheme="minorEastAsia"/>
          <w:kern w:val="0"/>
          <w:szCs w:val="21"/>
        </w:rPr>
        <w:t>作为业绩比较基准，能够相对比较真实、客观地反映本基金的风险收益特征。基金业绩比较基准收益率在变更前后期间分别根据相应的指标计算。</w:t>
      </w:r>
    </w:p>
    <w:p w:rsidR="00FC6E91" w:rsidRPr="00C24ACA" w:rsidRDefault="00FC6E91"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3.</w:t>
      </w:r>
      <w:r w:rsidRPr="00C24ACA">
        <w:rPr>
          <w:rFonts w:eastAsiaTheme="minorEastAsia"/>
          <w:kern w:val="0"/>
          <w:szCs w:val="21"/>
        </w:rPr>
        <w:t>自基金合同生效至报告期末，</w:t>
      </w:r>
      <w:r w:rsidRPr="00C24ACA">
        <w:rPr>
          <w:rFonts w:eastAsiaTheme="minorEastAsia"/>
          <w:kern w:val="0"/>
          <w:szCs w:val="21"/>
        </w:rPr>
        <w:t>A</w:t>
      </w:r>
      <w:r w:rsidRPr="00C24ACA">
        <w:rPr>
          <w:rFonts w:eastAsiaTheme="minorEastAsia"/>
          <w:kern w:val="0"/>
          <w:szCs w:val="21"/>
        </w:rPr>
        <w:t>类基金份额净值增长率为</w:t>
      </w:r>
      <w:r w:rsidRPr="00C24ACA">
        <w:rPr>
          <w:rFonts w:eastAsiaTheme="minorEastAsia"/>
          <w:kern w:val="0"/>
          <w:szCs w:val="21"/>
        </w:rPr>
        <w:t>-5.30%</w:t>
      </w:r>
      <w:r w:rsidRPr="00C24ACA">
        <w:rPr>
          <w:rFonts w:eastAsiaTheme="minorEastAsia"/>
          <w:kern w:val="0"/>
          <w:szCs w:val="21"/>
        </w:rPr>
        <w:t>，同期业绩比较基准收益率为</w:t>
      </w:r>
      <w:r w:rsidRPr="00C24ACA">
        <w:rPr>
          <w:rFonts w:eastAsiaTheme="minorEastAsia"/>
          <w:kern w:val="0"/>
          <w:szCs w:val="21"/>
        </w:rPr>
        <w:t>37.42%</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类基金份额净值增长率为</w:t>
      </w:r>
      <w:r w:rsidRPr="00C24ACA">
        <w:rPr>
          <w:rFonts w:eastAsiaTheme="minorEastAsia"/>
          <w:kern w:val="0"/>
          <w:szCs w:val="21"/>
        </w:rPr>
        <w:t>17.64%</w:t>
      </w:r>
      <w:r w:rsidRPr="00C24ACA">
        <w:rPr>
          <w:rFonts w:eastAsiaTheme="minorEastAsia"/>
          <w:kern w:val="0"/>
          <w:szCs w:val="21"/>
        </w:rPr>
        <w:t>，同期业绩比较基准收益率为</w:t>
      </w:r>
      <w:r w:rsidRPr="00C24ACA">
        <w:rPr>
          <w:rFonts w:eastAsiaTheme="minorEastAsia"/>
          <w:kern w:val="0"/>
          <w:szCs w:val="21"/>
        </w:rPr>
        <w:t>29.91%</w:t>
      </w:r>
      <w:r w:rsidRPr="00C24ACA">
        <w:rPr>
          <w:rFonts w:eastAsiaTheme="minorEastAsia"/>
          <w:kern w:val="0"/>
          <w:szCs w:val="21"/>
        </w:rPr>
        <w:t>。</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80" w:name="_Toc225498254"/>
      <w:bookmarkStart w:id="81" w:name="_Toc352255971"/>
      <w:bookmarkStart w:id="82" w:name="_Toc352256039"/>
      <w:bookmarkStart w:id="83" w:name="_Toc352331217"/>
      <w:bookmarkStart w:id="84" w:name="_Toc390164802"/>
      <w:bookmarkStart w:id="85" w:name="_Toc48663408"/>
      <w:r w:rsidRPr="000C6CCD">
        <w:rPr>
          <w:rFonts w:ascii="宋体" w:hAnsi="宋体"/>
          <w:bCs w:val="0"/>
          <w:color w:val="000000"/>
          <w:sz w:val="21"/>
          <w:szCs w:val="21"/>
        </w:rPr>
        <w:t>4</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管理人报告</w:t>
      </w:r>
      <w:bookmarkEnd w:id="80"/>
      <w:bookmarkEnd w:id="81"/>
      <w:bookmarkEnd w:id="82"/>
      <w:bookmarkEnd w:id="83"/>
      <w:bookmarkEnd w:id="84"/>
      <w:bookmarkEnd w:id="85"/>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86" w:name="_Toc352255972"/>
      <w:bookmarkStart w:id="87" w:name="_Toc352256040"/>
      <w:bookmarkStart w:id="88" w:name="_Toc352331218"/>
      <w:bookmarkStart w:id="89" w:name="_Toc362423996"/>
      <w:bookmarkStart w:id="90" w:name="_Toc374459258"/>
      <w:bookmarkStart w:id="91" w:name="_Toc48663409"/>
      <w:r w:rsidRPr="0087359D">
        <w:rPr>
          <w:rFonts w:ascii="宋体" w:hAnsi="宋体"/>
          <w:kern w:val="0"/>
          <w:sz w:val="21"/>
          <w:szCs w:val="21"/>
        </w:rPr>
        <w:t>4.1</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基金管理人及基金经理情况</w:t>
      </w:r>
      <w:bookmarkEnd w:id="86"/>
      <w:bookmarkEnd w:id="87"/>
      <w:bookmarkEnd w:id="88"/>
      <w:bookmarkEnd w:id="89"/>
      <w:bookmarkEnd w:id="90"/>
      <w:bookmarkEnd w:id="91"/>
    </w:p>
    <w:p w:rsidR="00FC5407" w:rsidRPr="00C24ACA" w:rsidRDefault="00FC5407" w:rsidP="00FC5407">
      <w:pPr>
        <w:autoSpaceDE w:val="0"/>
        <w:autoSpaceDN w:val="0"/>
        <w:adjustRightInd w:val="0"/>
        <w:spacing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4.1.1 </w:t>
      </w:r>
      <w:r w:rsidRPr="00C24ACA">
        <w:rPr>
          <w:rFonts w:eastAsiaTheme="minorEastAsia"/>
          <w:b/>
          <w:color w:val="000000" w:themeColor="text1"/>
          <w:kern w:val="0"/>
          <w:szCs w:val="21"/>
        </w:rPr>
        <w:t>基金管理人及其管理基金的经验</w:t>
      </w:r>
    </w:p>
    <w:p w:rsidR="00FC5407" w:rsidRPr="00C24ACA" w:rsidRDefault="00FC5407" w:rsidP="008134C7">
      <w:pPr>
        <w:spacing w:line="360" w:lineRule="auto"/>
        <w:ind w:firstLineChars="200" w:firstLine="420"/>
        <w:rPr>
          <w:rFonts w:eastAsiaTheme="minorEastAsia"/>
          <w:color w:val="000000" w:themeColor="text1"/>
          <w:szCs w:val="21"/>
        </w:rPr>
      </w:pPr>
      <w:r w:rsidRPr="00C24ACA">
        <w:rPr>
          <w:rFonts w:eastAsiaTheme="minorEastAsia"/>
          <w:color w:val="000000" w:themeColor="text1"/>
          <w:szCs w:val="21"/>
        </w:rPr>
        <w:t>经中国证监会证监基金字</w:t>
      </w:r>
      <w:r w:rsidRPr="00C24ACA">
        <w:rPr>
          <w:rFonts w:eastAsiaTheme="minorEastAsia"/>
          <w:color w:val="000000" w:themeColor="text1"/>
          <w:szCs w:val="21"/>
        </w:rPr>
        <w:t>[2001]4</w:t>
      </w:r>
      <w:r w:rsidRPr="00C24ACA">
        <w:rPr>
          <w:rFonts w:eastAsiaTheme="minorEastAsia"/>
          <w:color w:val="000000" w:themeColor="text1"/>
          <w:szCs w:val="21"/>
        </w:rPr>
        <w:t>号文批准，本基金管理人成立于</w:t>
      </w:r>
      <w:r w:rsidRPr="00C24ACA">
        <w:rPr>
          <w:rFonts w:eastAsiaTheme="minorEastAsia"/>
          <w:color w:val="000000" w:themeColor="text1"/>
          <w:szCs w:val="21"/>
        </w:rPr>
        <w:t>2001</w:t>
      </w:r>
      <w:r w:rsidRPr="00C24ACA">
        <w:rPr>
          <w:rFonts w:eastAsiaTheme="minorEastAsia"/>
          <w:color w:val="000000" w:themeColor="text1"/>
          <w:szCs w:val="21"/>
        </w:rPr>
        <w:t>年</w:t>
      </w:r>
      <w:r w:rsidRPr="00C24ACA">
        <w:rPr>
          <w:rFonts w:eastAsiaTheme="minorEastAsia"/>
          <w:color w:val="000000" w:themeColor="text1"/>
          <w:szCs w:val="21"/>
        </w:rPr>
        <w:t>4</w:t>
      </w:r>
      <w:r w:rsidRPr="00C24ACA">
        <w:rPr>
          <w:rFonts w:eastAsiaTheme="minorEastAsia"/>
          <w:color w:val="000000" w:themeColor="text1"/>
          <w:szCs w:val="21"/>
        </w:rPr>
        <w:t>月</w:t>
      </w:r>
      <w:r w:rsidRPr="00C24ACA">
        <w:rPr>
          <w:rFonts w:eastAsiaTheme="minorEastAsia"/>
          <w:color w:val="000000" w:themeColor="text1"/>
          <w:szCs w:val="21"/>
        </w:rPr>
        <w:t>17</w:t>
      </w:r>
      <w:r w:rsidRPr="00C24ACA">
        <w:rPr>
          <w:rFonts w:eastAsiaTheme="minorEastAsia"/>
          <w:color w:val="000000" w:themeColor="text1"/>
          <w:szCs w:val="21"/>
        </w:rPr>
        <w:t>日，总部设在广州，在北京、上海、香港等地设有分公司或子公司。本基金管理人拥有公募、社保、年金、特定客户资产管理、</w:t>
      </w:r>
      <w:r w:rsidRPr="00C24ACA">
        <w:rPr>
          <w:rFonts w:eastAsiaTheme="minorEastAsia"/>
          <w:color w:val="000000" w:themeColor="text1"/>
          <w:szCs w:val="21"/>
        </w:rPr>
        <w:t>QDII</w:t>
      </w:r>
      <w:r w:rsidRPr="00C24ACA">
        <w:rPr>
          <w:rFonts w:eastAsiaTheme="minorEastAsia"/>
          <w:color w:val="000000" w:themeColor="text1"/>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FC5407" w:rsidRPr="00C24ACA" w:rsidRDefault="00FC5407" w:rsidP="00732F5C">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4.1.2 </w:t>
      </w:r>
      <w:r w:rsidRPr="00C24ACA">
        <w:rPr>
          <w:rFonts w:eastAsiaTheme="minorEastAsia"/>
          <w:b/>
          <w:color w:val="000000" w:themeColor="text1"/>
          <w:kern w:val="0"/>
          <w:szCs w:val="21"/>
        </w:rPr>
        <w:t>基金经理（或基金经理小组）及基金经理助理的简介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99"/>
        <w:gridCol w:w="1568"/>
        <w:gridCol w:w="1292"/>
        <w:gridCol w:w="1294"/>
        <w:gridCol w:w="1200"/>
        <w:gridCol w:w="2625"/>
      </w:tblGrid>
      <w:tr w:rsidR="00FC5407" w:rsidRPr="00C24ACA" w:rsidTr="008F4C10">
        <w:tc>
          <w:tcPr>
            <w:tcW w:w="653"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姓名</w:t>
            </w:r>
          </w:p>
        </w:tc>
        <w:tc>
          <w:tcPr>
            <w:tcW w:w="854"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职务</w:t>
            </w:r>
          </w:p>
        </w:tc>
        <w:tc>
          <w:tcPr>
            <w:tcW w:w="1409" w:type="pct"/>
            <w:gridSpan w:val="2"/>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任本基金的基金经理（助理）期限</w:t>
            </w:r>
          </w:p>
        </w:tc>
        <w:tc>
          <w:tcPr>
            <w:tcW w:w="654"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证券从业年限</w:t>
            </w:r>
          </w:p>
        </w:tc>
        <w:tc>
          <w:tcPr>
            <w:tcW w:w="1431"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说明</w:t>
            </w:r>
          </w:p>
        </w:tc>
      </w:tr>
      <w:tr w:rsidR="00FC5407" w:rsidRPr="00C24ACA" w:rsidTr="008F4C10">
        <w:tc>
          <w:tcPr>
            <w:tcW w:w="653"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854"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704" w:type="pc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任职日期</w:t>
            </w:r>
          </w:p>
        </w:tc>
        <w:tc>
          <w:tcPr>
            <w:tcW w:w="704" w:type="pc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离任日期</w:t>
            </w:r>
          </w:p>
        </w:tc>
        <w:tc>
          <w:tcPr>
            <w:tcW w:w="654"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1431"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r>
      <w:tr w:rsidR="00854133">
        <w:tc>
          <w:tcPr>
            <w:tcW w:w="0" w:type="auto"/>
            <w:vAlign w:val="center"/>
          </w:tcPr>
          <w:p w:rsidR="00854133" w:rsidRDefault="00581AA4">
            <w:pPr>
              <w:jc w:val="center"/>
            </w:pPr>
            <w:r>
              <w:rPr>
                <w:rFonts w:eastAsiaTheme="minorEastAsia"/>
                <w:color w:val="000000" w:themeColor="text1"/>
                <w:szCs w:val="21"/>
              </w:rPr>
              <w:t>周宇</w:t>
            </w:r>
          </w:p>
        </w:tc>
        <w:tc>
          <w:tcPr>
            <w:tcW w:w="0" w:type="auto"/>
            <w:vAlign w:val="center"/>
          </w:tcPr>
          <w:p w:rsidR="00854133" w:rsidRDefault="00581AA4">
            <w:pPr>
              <w:jc w:val="left"/>
            </w:pPr>
            <w:r>
              <w:rPr>
                <w:rFonts w:eastAsiaTheme="minorEastAsia"/>
                <w:color w:val="000000" w:themeColor="text1"/>
                <w:szCs w:val="21"/>
              </w:rPr>
              <w:t>本基金的基金经理、境外投资决策委员会委员</w:t>
            </w:r>
          </w:p>
        </w:tc>
        <w:tc>
          <w:tcPr>
            <w:tcW w:w="0" w:type="auto"/>
            <w:vAlign w:val="center"/>
          </w:tcPr>
          <w:p w:rsidR="00854133" w:rsidRDefault="00581AA4">
            <w:pPr>
              <w:jc w:val="center"/>
            </w:pPr>
            <w:r>
              <w:rPr>
                <w:rFonts w:eastAsiaTheme="minorEastAsia"/>
                <w:color w:val="000000" w:themeColor="text1"/>
                <w:szCs w:val="21"/>
              </w:rPr>
              <w:t>2017-04-21</w:t>
            </w:r>
          </w:p>
        </w:tc>
        <w:tc>
          <w:tcPr>
            <w:tcW w:w="0" w:type="auto"/>
            <w:vAlign w:val="center"/>
          </w:tcPr>
          <w:p w:rsidR="00854133" w:rsidRDefault="00581AA4">
            <w:pPr>
              <w:jc w:val="center"/>
            </w:pPr>
            <w:r>
              <w:rPr>
                <w:rFonts w:eastAsiaTheme="minorEastAsia"/>
                <w:color w:val="000000" w:themeColor="text1"/>
                <w:szCs w:val="21"/>
              </w:rPr>
              <w:t>-</w:t>
            </w:r>
          </w:p>
        </w:tc>
        <w:tc>
          <w:tcPr>
            <w:tcW w:w="0" w:type="auto"/>
            <w:vAlign w:val="center"/>
          </w:tcPr>
          <w:p w:rsidR="00854133" w:rsidRDefault="00581AA4">
            <w:pPr>
              <w:jc w:val="center"/>
            </w:pPr>
            <w:r>
              <w:rPr>
                <w:rFonts w:eastAsiaTheme="minorEastAsia"/>
                <w:color w:val="000000" w:themeColor="text1"/>
                <w:szCs w:val="21"/>
              </w:rPr>
              <w:t>9</w:t>
            </w:r>
            <w:r>
              <w:rPr>
                <w:rFonts w:eastAsiaTheme="minorEastAsia"/>
                <w:color w:val="000000" w:themeColor="text1"/>
                <w:szCs w:val="21"/>
              </w:rPr>
              <w:t>年</w:t>
            </w:r>
          </w:p>
        </w:tc>
        <w:tc>
          <w:tcPr>
            <w:tcW w:w="0" w:type="auto"/>
            <w:vAlign w:val="center"/>
          </w:tcPr>
          <w:p w:rsidR="00854133" w:rsidRDefault="00581AA4">
            <w:pPr>
              <w:jc w:val="left"/>
            </w:pPr>
            <w:r>
              <w:rPr>
                <w:rFonts w:eastAsiaTheme="minorEastAsia"/>
                <w:color w:val="000000" w:themeColor="text1"/>
                <w:szCs w:val="21"/>
              </w:rPr>
              <w:t>硕士研究生，具有基金从业资格。曾任古根海姆投资管理公司全球宏观策略师，中国平安人寿保险总部投资管理中心策略经理，上海国泰君安证券资产管理有限公司研究发展部大类资产配置高级研究员。</w:t>
            </w:r>
          </w:p>
        </w:tc>
      </w:tr>
    </w:tbl>
    <w:p w:rsidR="00854133" w:rsidRDefault="00581AA4">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E519A7" w:rsidRDefault="00FC5407" w:rsidP="00E519A7">
      <w:pPr>
        <w:tabs>
          <w:tab w:val="left" w:pos="426"/>
        </w:tabs>
        <w:spacing w:line="360" w:lineRule="auto"/>
        <w:ind w:firstLineChars="200" w:firstLine="420"/>
        <w:rPr>
          <w:kern w:val="0"/>
          <w:szCs w:val="21"/>
        </w:rPr>
      </w:pPr>
      <w:r w:rsidRPr="001412CA">
        <w:rPr>
          <w:rFonts w:eastAsiaTheme="minorEastAsia"/>
          <w:kern w:val="0"/>
          <w:szCs w:val="21"/>
        </w:rPr>
        <w:t>2.</w:t>
      </w:r>
      <w:r w:rsidRPr="001412CA">
        <w:rPr>
          <w:rFonts w:eastAsiaTheme="minorEastAsia"/>
          <w:kern w:val="0"/>
          <w:szCs w:val="21"/>
        </w:rPr>
        <w:t>证券从业的含义遵从《证券业从业人员资格管理办法》的相关规定。</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92" w:name="_Toc224618356"/>
      <w:bookmarkStart w:id="93" w:name="_Toc235605685"/>
      <w:bookmarkStart w:id="94" w:name="_Toc286929733"/>
      <w:bookmarkStart w:id="95" w:name="_Toc352255973"/>
      <w:bookmarkStart w:id="96" w:name="_Toc352256041"/>
      <w:bookmarkStart w:id="97" w:name="_Toc352331219"/>
      <w:bookmarkStart w:id="98" w:name="_Toc362423997"/>
      <w:bookmarkStart w:id="99" w:name="_Toc374459259"/>
      <w:bookmarkStart w:id="100" w:name="_Toc48663410"/>
      <w:r w:rsidRPr="0087359D">
        <w:rPr>
          <w:rFonts w:ascii="宋体" w:hAnsi="宋体"/>
          <w:kern w:val="0"/>
          <w:sz w:val="21"/>
          <w:szCs w:val="21"/>
        </w:rPr>
        <w:t>4.2</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境外投资顾问为本基金提供投资建议的主要成员简介</w:t>
      </w:r>
      <w:bookmarkEnd w:id="92"/>
      <w:bookmarkEnd w:id="93"/>
      <w:bookmarkEnd w:id="94"/>
      <w:bookmarkEnd w:id="95"/>
      <w:bookmarkEnd w:id="96"/>
      <w:bookmarkEnd w:id="97"/>
      <w:bookmarkEnd w:id="98"/>
      <w:bookmarkEnd w:id="99"/>
      <w:bookmarkEnd w:id="100"/>
    </w:p>
    <w:p w:rsidR="00FC5407" w:rsidRPr="001412CA" w:rsidRDefault="00FC5407" w:rsidP="008134C7">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本基金未聘请境外投资顾问。</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01" w:name="_Toc225498256"/>
      <w:bookmarkStart w:id="102" w:name="_Toc352255974"/>
      <w:bookmarkStart w:id="103" w:name="_Toc352256042"/>
      <w:bookmarkStart w:id="104" w:name="_Toc352331220"/>
      <w:bookmarkStart w:id="105" w:name="_Toc362423998"/>
      <w:bookmarkStart w:id="106" w:name="_Toc374459260"/>
      <w:bookmarkStart w:id="107" w:name="_Toc48663411"/>
      <w:r w:rsidRPr="0087359D">
        <w:rPr>
          <w:rFonts w:ascii="宋体" w:hAnsi="宋体"/>
          <w:kern w:val="0"/>
          <w:sz w:val="21"/>
          <w:szCs w:val="21"/>
        </w:rPr>
        <w:t>4.3</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管理人对报告期内本基金运作遵规守信情况的说明</w:t>
      </w:r>
      <w:bookmarkEnd w:id="101"/>
      <w:bookmarkEnd w:id="102"/>
      <w:bookmarkEnd w:id="103"/>
      <w:bookmarkEnd w:id="104"/>
      <w:bookmarkEnd w:id="105"/>
      <w:bookmarkEnd w:id="106"/>
      <w:bookmarkEnd w:id="107"/>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08" w:name="_Toc225498257"/>
      <w:bookmarkStart w:id="109" w:name="_Toc352255975"/>
      <w:bookmarkStart w:id="110" w:name="_Toc352256043"/>
      <w:bookmarkStart w:id="111" w:name="_Toc352331221"/>
      <w:bookmarkStart w:id="112" w:name="_Toc362423999"/>
      <w:bookmarkStart w:id="113" w:name="_Toc374459261"/>
      <w:bookmarkStart w:id="114" w:name="_Toc48663412"/>
      <w:r w:rsidRPr="0087359D">
        <w:rPr>
          <w:rFonts w:ascii="宋体" w:hAnsi="宋体"/>
          <w:kern w:val="0"/>
          <w:sz w:val="21"/>
          <w:szCs w:val="21"/>
        </w:rPr>
        <w:t>4.4</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管理人对报告期内公平交易情况的专项说明</w:t>
      </w:r>
      <w:bookmarkEnd w:id="108"/>
      <w:bookmarkEnd w:id="109"/>
      <w:bookmarkEnd w:id="110"/>
      <w:bookmarkEnd w:id="111"/>
      <w:bookmarkEnd w:id="112"/>
      <w:bookmarkEnd w:id="113"/>
      <w:bookmarkEnd w:id="114"/>
    </w:p>
    <w:p w:rsidR="00FC5407" w:rsidRPr="00C24ACA" w:rsidRDefault="00FC5407" w:rsidP="00732F5C">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4.4.1 </w:t>
      </w:r>
      <w:r w:rsidRPr="00C24ACA">
        <w:rPr>
          <w:rFonts w:eastAsiaTheme="minorEastAsia"/>
          <w:b/>
          <w:color w:val="000000" w:themeColor="text1"/>
          <w:kern w:val="0"/>
          <w:szCs w:val="21"/>
        </w:rPr>
        <w:t>公平交易制度的执行情况</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R="00FC5407" w:rsidRPr="00C24ACA" w:rsidRDefault="00FC5407" w:rsidP="00732F5C">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4.4.2 </w:t>
      </w:r>
      <w:r w:rsidRPr="00C24ACA">
        <w:rPr>
          <w:rFonts w:eastAsiaTheme="minorEastAsia"/>
          <w:b/>
          <w:color w:val="000000" w:themeColor="text1"/>
          <w:kern w:val="0"/>
          <w:szCs w:val="21"/>
        </w:rPr>
        <w:t>异常交易行为的专项说明</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本报告期内，公司旗下所有投资组合参与的交易所公开竞价交易中，同日反向交易成交较少的单边交易量超过该证券当日成交量的</w:t>
      </w:r>
      <w:r>
        <w:rPr>
          <w:rFonts w:eastAsiaTheme="minorEastAsia"/>
          <w:kern w:val="0"/>
          <w:szCs w:val="21"/>
        </w:rPr>
        <w:t>5%</w:t>
      </w:r>
      <w:r>
        <w:rPr>
          <w:rFonts w:eastAsiaTheme="minorEastAsia"/>
          <w:kern w:val="0"/>
          <w:szCs w:val="21"/>
        </w:rPr>
        <w:t>的交易共</w:t>
      </w:r>
      <w:r>
        <w:rPr>
          <w:rFonts w:eastAsiaTheme="minorEastAsia"/>
          <w:kern w:val="0"/>
          <w:szCs w:val="21"/>
        </w:rPr>
        <w:t>59</w:t>
      </w:r>
      <w:r>
        <w:rPr>
          <w:rFonts w:eastAsiaTheme="minorEastAsia"/>
          <w:kern w:val="0"/>
          <w:szCs w:val="21"/>
        </w:rPr>
        <w:t>次，均为指数量化投资组合因投资策略需要和其他组合发生的反向交易。</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本报告期内，未发现本基金有可能导致不公平交易和利益输送的异常交易。</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15" w:name="_Toc225498258"/>
      <w:bookmarkStart w:id="116" w:name="_Toc352255976"/>
      <w:bookmarkStart w:id="117" w:name="_Toc352256044"/>
      <w:bookmarkStart w:id="118" w:name="_Toc352331222"/>
      <w:bookmarkStart w:id="119" w:name="_Toc362424000"/>
      <w:bookmarkStart w:id="120" w:name="_Toc374459262"/>
      <w:bookmarkStart w:id="121" w:name="_Toc48663413"/>
      <w:r w:rsidRPr="0087359D">
        <w:rPr>
          <w:rFonts w:ascii="宋体" w:hAnsi="宋体"/>
          <w:kern w:val="0"/>
          <w:sz w:val="21"/>
          <w:szCs w:val="21"/>
        </w:rPr>
        <w:t>4.5</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管理人对报告期内基金的投资策略和业绩表现的说明</w:t>
      </w:r>
      <w:bookmarkEnd w:id="115"/>
      <w:bookmarkEnd w:id="116"/>
      <w:bookmarkEnd w:id="117"/>
      <w:bookmarkEnd w:id="118"/>
      <w:bookmarkEnd w:id="119"/>
      <w:bookmarkEnd w:id="120"/>
      <w:bookmarkEnd w:id="121"/>
    </w:p>
    <w:p w:rsidR="00FC5407" w:rsidRPr="00C24ACA" w:rsidRDefault="00FC5407" w:rsidP="00FC5407">
      <w:pPr>
        <w:spacing w:line="360" w:lineRule="auto"/>
        <w:rPr>
          <w:rFonts w:eastAsiaTheme="minorEastAsia"/>
          <w:b/>
          <w:color w:val="000000" w:themeColor="text1"/>
          <w:szCs w:val="21"/>
        </w:rPr>
      </w:pPr>
      <w:r w:rsidRPr="00C24ACA">
        <w:rPr>
          <w:rFonts w:eastAsiaTheme="minorEastAsia"/>
          <w:b/>
          <w:color w:val="000000" w:themeColor="text1"/>
          <w:szCs w:val="21"/>
        </w:rPr>
        <w:t>4.5.1</w:t>
      </w:r>
      <w:r w:rsidRPr="00C24ACA">
        <w:rPr>
          <w:rFonts w:eastAsiaTheme="minorEastAsia"/>
          <w:b/>
          <w:color w:val="000000" w:themeColor="text1"/>
          <w:szCs w:val="21"/>
        </w:rPr>
        <w:t>报告期内基金投资策略和运作分析</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今年上半年，在前所未有的新冠疫情的冲击下，全球金融市场出现了剧烈的震荡。国际金价亦呈现波动上涨的态势。虽然宽松的货币政策和避险情绪最终推动贵金属资产的优异表现，但在</w:t>
      </w:r>
      <w:r w:rsidRPr="001412CA">
        <w:rPr>
          <w:rFonts w:eastAsiaTheme="minorEastAsia"/>
          <w:kern w:val="0"/>
          <w:szCs w:val="21"/>
        </w:rPr>
        <w:t>3</w:t>
      </w:r>
      <w:r w:rsidRPr="001412CA">
        <w:rPr>
          <w:rFonts w:eastAsiaTheme="minorEastAsia"/>
          <w:kern w:val="0"/>
          <w:szCs w:val="21"/>
        </w:rPr>
        <w:t>月份市场由于流动性恐慌而剧烈下挫，使贵金属资产、尤其金矿股遭受较大跌幅。本基金在市场剧烈波动的时候，由于担心疫情对生产经营活动的影响，过早的降低了前期跌幅较大的金矿股资产的持仓，导致业绩在上半年落后于基准。</w:t>
      </w:r>
    </w:p>
    <w:p w:rsidR="00FC5407" w:rsidRPr="00C24ACA" w:rsidRDefault="00FC5407" w:rsidP="00732F5C">
      <w:pPr>
        <w:autoSpaceDE w:val="0"/>
        <w:autoSpaceDN w:val="0"/>
        <w:adjustRightInd w:val="0"/>
        <w:spacing w:beforeLines="100" w:before="312" w:line="360" w:lineRule="auto"/>
        <w:jc w:val="left"/>
        <w:rPr>
          <w:rFonts w:eastAsiaTheme="minorEastAsia"/>
          <w:b/>
          <w:color w:val="000000" w:themeColor="text1"/>
          <w:szCs w:val="21"/>
        </w:rPr>
      </w:pPr>
      <w:r w:rsidRPr="00C24ACA">
        <w:rPr>
          <w:rFonts w:eastAsiaTheme="minorEastAsia"/>
          <w:b/>
          <w:color w:val="000000" w:themeColor="text1"/>
          <w:szCs w:val="21"/>
        </w:rPr>
        <w:t xml:space="preserve">4.5.2 </w:t>
      </w:r>
      <w:r w:rsidRPr="00C24ACA">
        <w:rPr>
          <w:rFonts w:eastAsiaTheme="minorEastAsia"/>
          <w:b/>
          <w:color w:val="000000" w:themeColor="text1"/>
          <w:szCs w:val="21"/>
        </w:rPr>
        <w:t>报告期内基金的业绩表现</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截至报告期末，本基金</w:t>
      </w:r>
      <w:r w:rsidRPr="001412CA">
        <w:rPr>
          <w:rFonts w:eastAsiaTheme="minorEastAsia"/>
          <w:kern w:val="0"/>
          <w:szCs w:val="21"/>
        </w:rPr>
        <w:t>A</w:t>
      </w:r>
      <w:r w:rsidRPr="001412CA">
        <w:rPr>
          <w:rFonts w:eastAsiaTheme="minorEastAsia"/>
          <w:kern w:val="0"/>
          <w:szCs w:val="21"/>
        </w:rPr>
        <w:t>类基金份额净值为</w:t>
      </w:r>
      <w:r w:rsidRPr="001412CA">
        <w:rPr>
          <w:rFonts w:eastAsiaTheme="minorEastAsia"/>
          <w:kern w:val="0"/>
          <w:szCs w:val="21"/>
        </w:rPr>
        <w:t>0.947</w:t>
      </w:r>
      <w:r w:rsidRPr="001412CA">
        <w:rPr>
          <w:rFonts w:eastAsiaTheme="minorEastAsia"/>
          <w:kern w:val="0"/>
          <w:szCs w:val="21"/>
        </w:rPr>
        <w:t>元，本报告期份额净值增长率为</w:t>
      </w:r>
      <w:r w:rsidRPr="001412CA">
        <w:rPr>
          <w:rFonts w:eastAsiaTheme="minorEastAsia"/>
          <w:kern w:val="0"/>
          <w:szCs w:val="21"/>
        </w:rPr>
        <w:t>10.76%</w:t>
      </w:r>
      <w:r w:rsidRPr="001412CA">
        <w:rPr>
          <w:rFonts w:eastAsiaTheme="minorEastAsia"/>
          <w:kern w:val="0"/>
          <w:szCs w:val="21"/>
        </w:rPr>
        <w:t>，同期业绩比较基准收益率为</w:t>
      </w:r>
      <w:r w:rsidRPr="001412CA">
        <w:rPr>
          <w:rFonts w:eastAsiaTheme="minorEastAsia"/>
          <w:kern w:val="0"/>
          <w:szCs w:val="21"/>
        </w:rPr>
        <w:t>22.72%</w:t>
      </w:r>
      <w:r w:rsidRPr="001412CA">
        <w:rPr>
          <w:rFonts w:eastAsiaTheme="minorEastAsia"/>
          <w:kern w:val="0"/>
          <w:szCs w:val="21"/>
        </w:rPr>
        <w:t>；</w:t>
      </w:r>
      <w:r w:rsidRPr="001412CA">
        <w:rPr>
          <w:rFonts w:eastAsiaTheme="minorEastAsia"/>
          <w:kern w:val="0"/>
          <w:szCs w:val="21"/>
        </w:rPr>
        <w:t>C</w:t>
      </w:r>
      <w:r w:rsidRPr="001412CA">
        <w:rPr>
          <w:rFonts w:eastAsiaTheme="minorEastAsia"/>
          <w:kern w:val="0"/>
          <w:szCs w:val="21"/>
        </w:rPr>
        <w:t>类基金份额净值为</w:t>
      </w:r>
      <w:r w:rsidRPr="001412CA">
        <w:rPr>
          <w:rFonts w:eastAsiaTheme="minorEastAsia"/>
          <w:kern w:val="0"/>
          <w:szCs w:val="21"/>
        </w:rPr>
        <w:t>0.947</w:t>
      </w:r>
      <w:r w:rsidRPr="001412CA">
        <w:rPr>
          <w:rFonts w:eastAsiaTheme="minorEastAsia"/>
          <w:kern w:val="0"/>
          <w:szCs w:val="21"/>
        </w:rPr>
        <w:t>元，本报告期份额净值增长率为</w:t>
      </w:r>
      <w:r w:rsidRPr="001412CA">
        <w:rPr>
          <w:rFonts w:eastAsiaTheme="minorEastAsia"/>
          <w:kern w:val="0"/>
          <w:szCs w:val="21"/>
        </w:rPr>
        <w:t>10.76%</w:t>
      </w:r>
      <w:r w:rsidRPr="001412CA">
        <w:rPr>
          <w:rFonts w:eastAsiaTheme="minorEastAsia"/>
          <w:kern w:val="0"/>
          <w:szCs w:val="21"/>
        </w:rPr>
        <w:t>，同期业绩比较基准收益率为</w:t>
      </w:r>
      <w:r w:rsidRPr="001412CA">
        <w:rPr>
          <w:rFonts w:eastAsiaTheme="minorEastAsia"/>
          <w:kern w:val="0"/>
          <w:szCs w:val="21"/>
        </w:rPr>
        <w:t>22.72%</w:t>
      </w:r>
      <w:r w:rsidRPr="001412CA">
        <w:rPr>
          <w:rFonts w:eastAsiaTheme="minorEastAsia"/>
          <w:kern w:val="0"/>
          <w:szCs w:val="21"/>
        </w:rPr>
        <w:t>。</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22" w:name="_Toc225498259"/>
      <w:bookmarkStart w:id="123" w:name="_Toc352255977"/>
      <w:bookmarkStart w:id="124" w:name="_Toc352256045"/>
      <w:bookmarkStart w:id="125" w:name="_Toc352331223"/>
      <w:bookmarkStart w:id="126" w:name="_Toc362424001"/>
      <w:bookmarkStart w:id="127" w:name="_Toc374459263"/>
      <w:bookmarkStart w:id="128" w:name="_Toc48663414"/>
      <w:r w:rsidRPr="0087359D">
        <w:rPr>
          <w:rFonts w:ascii="宋体" w:hAnsi="宋体"/>
          <w:kern w:val="0"/>
          <w:sz w:val="21"/>
          <w:szCs w:val="21"/>
        </w:rPr>
        <w:t>4.6</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管理人对宏观经济、证券市场及行业走势的简要展望</w:t>
      </w:r>
      <w:bookmarkEnd w:id="122"/>
      <w:bookmarkEnd w:id="123"/>
      <w:bookmarkEnd w:id="124"/>
      <w:bookmarkEnd w:id="125"/>
      <w:bookmarkEnd w:id="126"/>
      <w:bookmarkEnd w:id="127"/>
      <w:bookmarkEnd w:id="128"/>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展望下半年，疫情的发展仍是决定全球经济和金融市场的最重要基本面之一。在最初的恐慌过去后，金融资产依赖于各国央行和政府的无节制的刺激政策而上涨，本质上呈现出一种现金贬值预期。在此预期下，贵金属依然受益于其中。而随着美国大选日益临近，避险情绪亦将继续支撑贵金属资产的价格。而需要关注的是疫苗的进展可能届时将改变全球资产价格运行的态势。从中长期来看，我们一直以来强调的支撑贵金属上涨的核心逻辑没有任何变化。鉴于愈发上升的债务水平，实际利率的下行仍未结束，而美元亦大概率开启走弱周期。地缘政治的风险和对纸币体系的信用担忧亦在推动资金寻找保值的避风港，这些都未见到终结的迹象。而金矿股资产基本面良好的趋势，亦得到越来越多的关注。本基金将继续以金矿股资产为主打，力争在黄金上涨的过程中获得超额收益。</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29" w:name="_Toc247959457"/>
      <w:bookmarkStart w:id="130" w:name="_Toc225570083"/>
      <w:bookmarkStart w:id="131" w:name="_Toc352255979"/>
      <w:bookmarkStart w:id="132" w:name="_Toc352256047"/>
      <w:bookmarkStart w:id="133" w:name="_Toc352331225"/>
      <w:bookmarkStart w:id="134" w:name="_Toc362424003"/>
      <w:bookmarkStart w:id="135" w:name="_Toc374459265"/>
      <w:bookmarkStart w:id="136" w:name="_Toc48663415"/>
      <w:r w:rsidRPr="0087359D">
        <w:rPr>
          <w:rFonts w:ascii="宋体" w:hAnsi="宋体"/>
          <w:kern w:val="0"/>
          <w:sz w:val="21"/>
          <w:szCs w:val="21"/>
        </w:rPr>
        <w:t>4.7</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管理人对报告期内基金估值程序等事项的说明</w:t>
      </w:r>
      <w:bookmarkEnd w:id="129"/>
      <w:bookmarkEnd w:id="130"/>
      <w:bookmarkEnd w:id="131"/>
      <w:bookmarkEnd w:id="132"/>
      <w:bookmarkEnd w:id="133"/>
      <w:bookmarkEnd w:id="134"/>
      <w:bookmarkEnd w:id="135"/>
      <w:bookmarkEnd w:id="136"/>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rFonts w:eastAsiaTheme="minorEastAsia"/>
          <w:kern w:val="0"/>
          <w:szCs w:val="21"/>
        </w:rPr>
        <w:t xml:space="preserve"> </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rFonts w:eastAsiaTheme="minorEastAsia"/>
          <w:kern w:val="0"/>
          <w:szCs w:val="21"/>
        </w:rPr>
        <w:t xml:space="preserve"> </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本报告期内，参与估值流程各方之间不存在任何重大利益冲突。</w:t>
      </w:r>
      <w:r>
        <w:rPr>
          <w:rFonts w:eastAsiaTheme="minorEastAsia"/>
          <w:kern w:val="0"/>
          <w:szCs w:val="21"/>
        </w:rPr>
        <w:t xml:space="preserve"> </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37" w:name="_Toc247959458"/>
      <w:bookmarkStart w:id="138" w:name="_Toc225570084"/>
      <w:bookmarkStart w:id="139" w:name="_Toc352255980"/>
      <w:bookmarkStart w:id="140" w:name="_Toc352256048"/>
      <w:bookmarkStart w:id="141" w:name="_Toc352331226"/>
      <w:bookmarkStart w:id="142" w:name="_Toc362424004"/>
      <w:bookmarkStart w:id="143" w:name="_Toc374459266"/>
      <w:bookmarkStart w:id="144" w:name="_Toc48663416"/>
      <w:r w:rsidRPr="0087359D">
        <w:rPr>
          <w:rFonts w:ascii="宋体" w:hAnsi="宋体"/>
          <w:kern w:val="0"/>
          <w:sz w:val="21"/>
          <w:szCs w:val="21"/>
        </w:rPr>
        <w:t>4.8</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管理人对报告期内基金利润分配情况的说明</w:t>
      </w:r>
      <w:bookmarkEnd w:id="137"/>
      <w:bookmarkEnd w:id="138"/>
      <w:bookmarkEnd w:id="139"/>
      <w:bookmarkEnd w:id="140"/>
      <w:bookmarkEnd w:id="141"/>
      <w:bookmarkEnd w:id="142"/>
      <w:bookmarkEnd w:id="143"/>
      <w:bookmarkEnd w:id="144"/>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易方达黄金主题（</w:t>
      </w:r>
      <w:r>
        <w:rPr>
          <w:rFonts w:eastAsiaTheme="minorEastAsia"/>
          <w:kern w:val="0"/>
          <w:szCs w:val="21"/>
        </w:rPr>
        <w:t>QDII-LOF-FOF</w:t>
      </w:r>
      <w:r>
        <w:rPr>
          <w:rFonts w:eastAsiaTheme="minorEastAsia"/>
          <w:kern w:val="0"/>
          <w:szCs w:val="21"/>
        </w:rPr>
        <w:t>）</w:t>
      </w:r>
      <w:r>
        <w:rPr>
          <w:rFonts w:eastAsiaTheme="minorEastAsia"/>
          <w:kern w:val="0"/>
          <w:szCs w:val="21"/>
        </w:rPr>
        <w:t>A:</w:t>
      </w:r>
      <w:r>
        <w:rPr>
          <w:rFonts w:eastAsiaTheme="minorEastAsia"/>
          <w:kern w:val="0"/>
          <w:szCs w:val="21"/>
        </w:rPr>
        <w:t>本报告期内未实施利润分配。</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易方达黄金主题（</w:t>
      </w:r>
      <w:r w:rsidRPr="001412CA">
        <w:rPr>
          <w:rFonts w:eastAsiaTheme="minorEastAsia"/>
          <w:kern w:val="0"/>
          <w:szCs w:val="21"/>
        </w:rPr>
        <w:t>QDII-LOF-FOF</w:t>
      </w:r>
      <w:r w:rsidRPr="001412CA">
        <w:rPr>
          <w:rFonts w:eastAsiaTheme="minorEastAsia"/>
          <w:kern w:val="0"/>
          <w:szCs w:val="21"/>
        </w:rPr>
        <w:t>）</w:t>
      </w:r>
      <w:r w:rsidRPr="001412CA">
        <w:rPr>
          <w:rFonts w:eastAsiaTheme="minorEastAsia"/>
          <w:kern w:val="0"/>
          <w:szCs w:val="21"/>
        </w:rPr>
        <w:t>C:</w:t>
      </w:r>
      <w:r w:rsidRPr="001412CA">
        <w:rPr>
          <w:rFonts w:eastAsiaTheme="minorEastAsia"/>
          <w:kern w:val="0"/>
          <w:szCs w:val="21"/>
        </w:rPr>
        <w:t>本报告期内未实施利润分配。</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45" w:name="_Toc225498263"/>
      <w:bookmarkStart w:id="146" w:name="_Toc352255982"/>
      <w:bookmarkStart w:id="147" w:name="_Toc352256050"/>
      <w:bookmarkStart w:id="148" w:name="_Toc352331228"/>
      <w:bookmarkStart w:id="149" w:name="_Toc390164811"/>
      <w:bookmarkStart w:id="150" w:name="_Toc48663417"/>
      <w:r w:rsidRPr="000C6CCD">
        <w:rPr>
          <w:rFonts w:ascii="宋体" w:hAnsi="宋体"/>
          <w:bCs w:val="0"/>
          <w:color w:val="000000"/>
          <w:sz w:val="21"/>
          <w:szCs w:val="21"/>
        </w:rPr>
        <w:t>5</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托管人报告</w:t>
      </w:r>
      <w:bookmarkEnd w:id="145"/>
      <w:bookmarkEnd w:id="146"/>
      <w:bookmarkEnd w:id="147"/>
      <w:bookmarkEnd w:id="148"/>
      <w:bookmarkEnd w:id="149"/>
      <w:bookmarkEnd w:id="150"/>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51" w:name="_Toc225498264"/>
      <w:bookmarkStart w:id="152" w:name="_Toc352255983"/>
      <w:bookmarkStart w:id="153" w:name="_Toc352256051"/>
      <w:bookmarkStart w:id="154" w:name="_Toc352331229"/>
      <w:bookmarkStart w:id="155" w:name="_Toc390164812"/>
      <w:bookmarkStart w:id="156" w:name="_Toc48663418"/>
      <w:r w:rsidRPr="0087359D">
        <w:rPr>
          <w:rFonts w:ascii="宋体" w:hAnsi="宋体"/>
          <w:kern w:val="0"/>
          <w:sz w:val="21"/>
          <w:szCs w:val="21"/>
        </w:rPr>
        <w:t>5.1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报告期内本基金托管人遵规守信情况声明</w:t>
      </w:r>
      <w:bookmarkEnd w:id="151"/>
      <w:bookmarkEnd w:id="152"/>
      <w:bookmarkEnd w:id="153"/>
      <w:bookmarkEnd w:id="154"/>
      <w:bookmarkEnd w:id="155"/>
      <w:bookmarkEnd w:id="156"/>
    </w:p>
    <w:p w:rsidR="002716B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在托管本基金的过程中，本基金托管人中国农业银行股份有限公司严格遵守《证券投资基金法》相关法律法规的规定以及基金合同、托管协议的约定，对本基金基金管理人</w:t>
      </w:r>
      <w:r w:rsidRPr="00C24ACA">
        <w:rPr>
          <w:rFonts w:eastAsiaTheme="minorEastAsia"/>
          <w:kern w:val="0"/>
          <w:szCs w:val="21"/>
        </w:rPr>
        <w:t>—</w:t>
      </w:r>
      <w:r w:rsidRPr="00C24ACA">
        <w:rPr>
          <w:rFonts w:eastAsiaTheme="minorEastAsia"/>
          <w:kern w:val="0"/>
          <w:szCs w:val="21"/>
        </w:rPr>
        <w:t>易方达基金管理有限公司</w:t>
      </w:r>
      <w:r w:rsidRPr="00C24ACA">
        <w:rPr>
          <w:rFonts w:eastAsiaTheme="minorEastAsia"/>
          <w:kern w:val="0"/>
          <w:szCs w:val="21"/>
        </w:rPr>
        <w:t xml:space="preserve"> 2020 </w:t>
      </w:r>
      <w:r w:rsidRPr="00C24ACA">
        <w:rPr>
          <w:rFonts w:eastAsiaTheme="minorEastAsia"/>
          <w:kern w:val="0"/>
          <w:szCs w:val="21"/>
        </w:rPr>
        <w:t>年</w:t>
      </w:r>
      <w:r w:rsidRPr="00C24ACA">
        <w:rPr>
          <w:rFonts w:eastAsiaTheme="minorEastAsia"/>
          <w:kern w:val="0"/>
          <w:szCs w:val="21"/>
        </w:rPr>
        <w:t xml:space="preserve"> 1 </w:t>
      </w:r>
      <w:r w:rsidRPr="00C24ACA">
        <w:rPr>
          <w:rFonts w:eastAsiaTheme="minorEastAsia"/>
          <w:kern w:val="0"/>
          <w:szCs w:val="21"/>
        </w:rPr>
        <w:t>月</w:t>
      </w:r>
      <w:r w:rsidRPr="00C24ACA">
        <w:rPr>
          <w:rFonts w:eastAsiaTheme="minorEastAsia"/>
          <w:kern w:val="0"/>
          <w:szCs w:val="21"/>
        </w:rPr>
        <w:t xml:space="preserve"> 1 </w:t>
      </w:r>
      <w:r w:rsidRPr="00C24ACA">
        <w:rPr>
          <w:rFonts w:eastAsiaTheme="minorEastAsia"/>
          <w:kern w:val="0"/>
          <w:szCs w:val="21"/>
        </w:rPr>
        <w:t>日至</w:t>
      </w:r>
      <w:r w:rsidRPr="00C24ACA">
        <w:rPr>
          <w:rFonts w:eastAsiaTheme="minorEastAsia"/>
          <w:kern w:val="0"/>
          <w:szCs w:val="21"/>
        </w:rPr>
        <w:t xml:space="preserve"> 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日基金的投资运作，进行了认真、独立的会计核算和必要的投资监督，认真履行了托管人的义务，没有从事任何损害基金份额持有人利益的行为。</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57" w:name="_Toc225498265"/>
      <w:bookmarkStart w:id="158" w:name="_Toc352255984"/>
      <w:bookmarkStart w:id="159" w:name="_Toc352256052"/>
      <w:bookmarkStart w:id="160" w:name="_Toc352331230"/>
      <w:bookmarkStart w:id="161" w:name="_Toc390164813"/>
      <w:bookmarkStart w:id="162" w:name="_Toc48663419"/>
      <w:r w:rsidRPr="0087359D">
        <w:rPr>
          <w:rFonts w:ascii="宋体" w:hAnsi="宋体"/>
          <w:kern w:val="0"/>
          <w:sz w:val="21"/>
          <w:szCs w:val="21"/>
        </w:rPr>
        <w:t>5.2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托管人对报告期内本基金投资运作遵规守信、净值计算、利润分配等情况的</w:t>
      </w:r>
      <w:bookmarkEnd w:id="157"/>
      <w:r w:rsidRPr="00C24ACA">
        <w:rPr>
          <w:rFonts w:ascii="Times New Roman" w:eastAsiaTheme="minorEastAsia" w:hAnsi="Times New Roman"/>
          <w:kern w:val="0"/>
          <w:sz w:val="21"/>
          <w:szCs w:val="21"/>
        </w:rPr>
        <w:t>说明</w:t>
      </w:r>
      <w:bookmarkEnd w:id="158"/>
      <w:bookmarkEnd w:id="159"/>
      <w:bookmarkEnd w:id="160"/>
      <w:bookmarkEnd w:id="161"/>
      <w:bookmarkEnd w:id="162"/>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本托管人认为</w:t>
      </w:r>
      <w:r w:rsidRPr="00C24ACA">
        <w:rPr>
          <w:rFonts w:eastAsiaTheme="minorEastAsia"/>
          <w:kern w:val="0"/>
          <w:szCs w:val="21"/>
        </w:rPr>
        <w:t xml:space="preserve">, </w:t>
      </w:r>
      <w:r w:rsidRPr="00C24ACA">
        <w:rPr>
          <w:rFonts w:eastAsiaTheme="minorEastAsia"/>
          <w:kern w:val="0"/>
          <w:szCs w:val="21"/>
        </w:rPr>
        <w:t>易方达基金管理有限公司在本基金的投资运作、基金资产净值的计算、基金份额申购赎回价格的计算、基金费用开支及利润分配等问题上，不存在损害基金份额持有人利益的行为；在报告期内，严格遵守了《证券投资基金法》等有关法律法规，在各重要方面的运作严格按照基金合同的规定进行。</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63" w:name="_Toc225498266"/>
      <w:bookmarkStart w:id="164" w:name="_Toc352255985"/>
      <w:bookmarkStart w:id="165" w:name="_Toc352256053"/>
      <w:bookmarkStart w:id="166" w:name="_Toc352331231"/>
      <w:bookmarkStart w:id="167" w:name="_Toc390164814"/>
      <w:bookmarkStart w:id="168" w:name="_Toc48663420"/>
      <w:r w:rsidRPr="0087359D">
        <w:rPr>
          <w:rFonts w:ascii="宋体" w:hAnsi="宋体"/>
          <w:kern w:val="0"/>
          <w:sz w:val="21"/>
          <w:szCs w:val="21"/>
        </w:rPr>
        <w:t>5.3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托管人对本</w:t>
      </w:r>
      <w:r w:rsidR="00930E85">
        <w:rPr>
          <w:rFonts w:ascii="Times New Roman" w:eastAsiaTheme="minorEastAsia" w:hAnsi="Times New Roman"/>
          <w:kern w:val="0"/>
          <w:sz w:val="21"/>
          <w:szCs w:val="21"/>
        </w:rPr>
        <w:t>中期</w:t>
      </w:r>
      <w:r w:rsidRPr="00C24ACA">
        <w:rPr>
          <w:rFonts w:ascii="Times New Roman" w:eastAsiaTheme="minorEastAsia" w:hAnsi="Times New Roman"/>
          <w:kern w:val="0"/>
          <w:sz w:val="21"/>
          <w:szCs w:val="21"/>
        </w:rPr>
        <w:t>报告中财务信息等内容的真实、准确和完整发表意见</w:t>
      </w:r>
      <w:bookmarkEnd w:id="163"/>
      <w:bookmarkEnd w:id="164"/>
      <w:bookmarkEnd w:id="165"/>
      <w:bookmarkEnd w:id="166"/>
      <w:bookmarkEnd w:id="167"/>
      <w:bookmarkEnd w:id="168"/>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托管人认为，易方达基金管理有限公司的信息披露事务符合《公开募集证券投资基金信息披露管理办法》及其他相关法律法规的规定，基金管理人所编制和披露的本基金中期报告中的财务指标、净值表现、收益分配情况、财务会计报告、投资组合报告等信息真实、准确、完整，未发现有损害基金持有人利益的行为。</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69" w:name="_Toc331410096"/>
      <w:bookmarkStart w:id="170" w:name="_Toc390164815"/>
      <w:bookmarkStart w:id="171" w:name="_Toc48663421"/>
      <w:r w:rsidRPr="000C6CCD">
        <w:rPr>
          <w:rFonts w:ascii="宋体" w:hAnsi="宋体"/>
          <w:bCs w:val="0"/>
          <w:color w:val="000000"/>
          <w:sz w:val="21"/>
          <w:szCs w:val="21"/>
        </w:rPr>
        <w:t>6</w:t>
      </w:r>
      <w:bookmarkEnd w:id="169"/>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半年度财务会计报告（未经审计）</w:t>
      </w:r>
      <w:bookmarkEnd w:id="170"/>
      <w:bookmarkEnd w:id="171"/>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72" w:name="_Toc225498268"/>
      <w:bookmarkStart w:id="173" w:name="_Toc352255991"/>
      <w:bookmarkStart w:id="174" w:name="_Toc352256059"/>
      <w:bookmarkStart w:id="175" w:name="_Toc352331237"/>
      <w:bookmarkStart w:id="176" w:name="_Toc390164816"/>
      <w:bookmarkStart w:id="177" w:name="_Toc48663422"/>
      <w:r w:rsidRPr="0087359D">
        <w:rPr>
          <w:rFonts w:ascii="宋体" w:hAnsi="宋体"/>
          <w:kern w:val="0"/>
          <w:sz w:val="21"/>
          <w:szCs w:val="21"/>
        </w:rPr>
        <w:t>6.1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资产负债表</w:t>
      </w:r>
      <w:bookmarkEnd w:id="172"/>
      <w:bookmarkEnd w:id="173"/>
      <w:bookmarkEnd w:id="174"/>
      <w:bookmarkEnd w:id="175"/>
      <w:bookmarkEnd w:id="176"/>
      <w:bookmarkEnd w:id="177"/>
    </w:p>
    <w:p w:rsidR="008A5A5D" w:rsidRPr="00C24ACA" w:rsidRDefault="008A5A5D" w:rsidP="00316012">
      <w:pPr>
        <w:spacing w:line="360" w:lineRule="auto"/>
        <w:rPr>
          <w:rFonts w:eastAsiaTheme="minorEastAsia"/>
          <w:color w:val="000000"/>
          <w:szCs w:val="21"/>
        </w:rPr>
      </w:pPr>
      <w:r w:rsidRPr="00C24ACA">
        <w:rPr>
          <w:rFonts w:eastAsiaTheme="minorEastAsia"/>
          <w:color w:val="000000"/>
          <w:szCs w:val="21"/>
        </w:rPr>
        <w:t>会计主体：易方达黄金主题证券投资基金（</w:t>
      </w:r>
      <w:r w:rsidRPr="00C24ACA">
        <w:rPr>
          <w:rFonts w:eastAsiaTheme="minorEastAsia"/>
          <w:color w:val="000000"/>
          <w:szCs w:val="21"/>
        </w:rPr>
        <w:t>LOF</w:t>
      </w:r>
      <w:r w:rsidRPr="00C24ACA">
        <w:rPr>
          <w:rFonts w:eastAsiaTheme="minorEastAsia"/>
          <w:color w:val="000000"/>
          <w:szCs w:val="21"/>
        </w:rPr>
        <w:t>）</w:t>
      </w:r>
    </w:p>
    <w:p w:rsidR="008A5A5D" w:rsidRPr="00C24ACA" w:rsidRDefault="008A5A5D" w:rsidP="00316012">
      <w:pPr>
        <w:spacing w:line="360" w:lineRule="auto"/>
        <w:rPr>
          <w:rFonts w:eastAsiaTheme="minorEastAsia"/>
          <w:color w:val="000000"/>
          <w:szCs w:val="21"/>
        </w:rPr>
      </w:pPr>
      <w:r w:rsidRPr="00C24ACA">
        <w:rPr>
          <w:rFonts w:eastAsiaTheme="minorEastAsia"/>
          <w:color w:val="000000"/>
          <w:szCs w:val="21"/>
        </w:rPr>
        <w:t>报告截止日：</w:t>
      </w:r>
      <w:r w:rsidR="00AC4A34" w:rsidRPr="00C24ACA">
        <w:rPr>
          <w:rFonts w:eastAsiaTheme="minorEastAsia"/>
          <w:color w:val="000000"/>
          <w:szCs w:val="21"/>
        </w:rPr>
        <w:t>2020</w:t>
      </w:r>
      <w:r w:rsidR="00AC4A34" w:rsidRPr="00C24ACA">
        <w:rPr>
          <w:rFonts w:eastAsiaTheme="minorEastAsia"/>
          <w:color w:val="000000"/>
          <w:szCs w:val="21"/>
        </w:rPr>
        <w:t>年</w:t>
      </w:r>
      <w:r w:rsidR="00AC4A34" w:rsidRPr="00C24ACA">
        <w:rPr>
          <w:rFonts w:eastAsiaTheme="minorEastAsia"/>
          <w:color w:val="000000"/>
          <w:szCs w:val="21"/>
        </w:rPr>
        <w:t>6</w:t>
      </w:r>
      <w:r w:rsidR="00AC4A34" w:rsidRPr="00C24ACA">
        <w:rPr>
          <w:rFonts w:eastAsiaTheme="minorEastAsia"/>
          <w:color w:val="000000"/>
          <w:szCs w:val="21"/>
        </w:rPr>
        <w:t>月</w:t>
      </w:r>
      <w:r w:rsidR="00AC4A34" w:rsidRPr="00C24ACA">
        <w:rPr>
          <w:rFonts w:eastAsiaTheme="minorEastAsia"/>
          <w:color w:val="000000"/>
          <w:szCs w:val="21"/>
        </w:rPr>
        <w:t>30</w:t>
      </w:r>
      <w:r w:rsidR="00AC4A34" w:rsidRPr="00C24ACA">
        <w:rPr>
          <w:rFonts w:eastAsiaTheme="minorEastAsia"/>
          <w:color w:val="00000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8A5A5D" w:rsidRPr="00C24ACA" w:rsidTr="006D141C">
        <w:tc>
          <w:tcPr>
            <w:tcW w:w="2880" w:type="dxa"/>
            <w:vAlign w:val="center"/>
          </w:tcPr>
          <w:p w:rsidR="008A5A5D" w:rsidRPr="00C24ACA" w:rsidRDefault="008A5A5D" w:rsidP="00D321AF">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资产</w:t>
            </w:r>
          </w:p>
        </w:tc>
        <w:tc>
          <w:tcPr>
            <w:tcW w:w="10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本期末</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kern w:val="2"/>
                <w:sz w:val="21"/>
                <w:szCs w:val="21"/>
              </w:rPr>
              <w:t>2020</w:t>
            </w:r>
            <w:r w:rsidRPr="00C24ACA">
              <w:rPr>
                <w:rFonts w:ascii="Times New Roman" w:eastAsiaTheme="minorEastAsia" w:hAnsi="Times New Roman"/>
                <w:b/>
                <w:color w:val="000000"/>
                <w:kern w:val="2"/>
                <w:sz w:val="21"/>
                <w:szCs w:val="21"/>
              </w:rPr>
              <w:t>年</w:t>
            </w:r>
            <w:r w:rsidRPr="00C24ACA">
              <w:rPr>
                <w:rFonts w:ascii="Times New Roman" w:eastAsiaTheme="minorEastAsia" w:hAnsi="Times New Roman"/>
                <w:b/>
                <w:color w:val="000000"/>
                <w:kern w:val="2"/>
                <w:sz w:val="21"/>
                <w:szCs w:val="21"/>
              </w:rPr>
              <w:t>6</w:t>
            </w:r>
            <w:r w:rsidRPr="00C24ACA">
              <w:rPr>
                <w:rFonts w:ascii="Times New Roman" w:eastAsiaTheme="minorEastAsia" w:hAnsi="Times New Roman"/>
                <w:b/>
                <w:color w:val="000000"/>
                <w:kern w:val="2"/>
                <w:sz w:val="21"/>
                <w:szCs w:val="21"/>
              </w:rPr>
              <w:t>月</w:t>
            </w:r>
            <w:r w:rsidRPr="00C24ACA">
              <w:rPr>
                <w:rFonts w:ascii="Times New Roman" w:eastAsiaTheme="minorEastAsia" w:hAnsi="Times New Roman"/>
                <w:b/>
                <w:color w:val="000000"/>
                <w:kern w:val="2"/>
                <w:sz w:val="21"/>
                <w:szCs w:val="21"/>
              </w:rPr>
              <w:t>30</w:t>
            </w:r>
            <w:r w:rsidRPr="00C24ACA">
              <w:rPr>
                <w:rFonts w:ascii="Times New Roman" w:eastAsiaTheme="minorEastAsia" w:hAnsi="Times New Roman"/>
                <w:b/>
                <w:color w:val="000000"/>
                <w:kern w:val="2"/>
                <w:sz w:val="21"/>
                <w:szCs w:val="21"/>
              </w:rPr>
              <w:t>日</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上年度末</w:t>
            </w:r>
          </w:p>
          <w:p w:rsidR="008A5A5D" w:rsidRPr="00C24ACA" w:rsidRDefault="00D561C5">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12</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31</w:t>
            </w:r>
            <w:r w:rsidRPr="00C24ACA">
              <w:rPr>
                <w:rFonts w:ascii="Times New Roman" w:eastAsiaTheme="minorEastAsia" w:hAnsi="Times New Roman"/>
                <w:b/>
                <w:color w:val="000000"/>
                <w:sz w:val="21"/>
                <w:szCs w:val="21"/>
              </w:rPr>
              <w:t>日</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资产：</w:t>
            </w:r>
          </w:p>
        </w:tc>
        <w:tc>
          <w:tcPr>
            <w:tcW w:w="1080" w:type="dxa"/>
            <w:vAlign w:val="center"/>
          </w:tcPr>
          <w:p w:rsidR="00AE103C" w:rsidRPr="00C24ACA" w:rsidRDefault="00AE103C" w:rsidP="00A97A4E">
            <w:pPr>
              <w:widowControl/>
              <w:autoSpaceDE w:val="0"/>
              <w:autoSpaceDN w:val="0"/>
              <w:ind w:right="-15"/>
              <w:jc w:val="center"/>
              <w:textAlignment w:val="bottom"/>
              <w:rPr>
                <w:rFonts w:eastAsiaTheme="minorEastAsia"/>
                <w:color w:val="000000"/>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银行存款</w:t>
            </w:r>
          </w:p>
        </w:tc>
        <w:tc>
          <w:tcPr>
            <w:tcW w:w="1080" w:type="dxa"/>
            <w:vAlign w:val="center"/>
          </w:tcPr>
          <w:p w:rsidR="00AE103C" w:rsidRPr="00C24ACA" w:rsidRDefault="00AE103C" w:rsidP="00A97A4E">
            <w:pPr>
              <w:widowControl/>
              <w:autoSpaceDE w:val="0"/>
              <w:autoSpaceDN w:val="0"/>
              <w:ind w:right="-15"/>
              <w:jc w:val="center"/>
              <w:textAlignment w:val="bottom"/>
              <w:rPr>
                <w:rFonts w:eastAsiaTheme="minorEastAsia"/>
                <w:color w:val="000000"/>
                <w:szCs w:val="21"/>
              </w:rPr>
            </w:pPr>
            <w:r w:rsidRPr="00C24ACA">
              <w:rPr>
                <w:rFonts w:eastAsiaTheme="minorEastAsia"/>
                <w:color w:val="000000"/>
                <w:szCs w:val="21"/>
              </w:rPr>
              <w:t>6.4.7.1</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46,280,272.27</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41,451,777.35</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结算备付金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存出保证金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交易性金融资产</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6.4.7.2</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262,692,127.40</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344,380,599.43</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其中：股票投资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24,086,465.18</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vAlign w:val="center"/>
          </w:tcPr>
          <w:p w:rsidR="00AE103C" w:rsidRPr="00C24ACA" w:rsidRDefault="00AE103C" w:rsidP="008134C7">
            <w:pPr>
              <w:pStyle w:val="af6"/>
              <w:ind w:firstLineChars="300" w:firstLine="630"/>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基金投资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218,392,662.22</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344,380,599.43</w:t>
            </w:r>
          </w:p>
        </w:tc>
      </w:tr>
      <w:tr w:rsidR="00AE103C" w:rsidRPr="00C24ACA" w:rsidTr="006D141C">
        <w:tc>
          <w:tcPr>
            <w:tcW w:w="288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20,213,000.00</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76511D" w:rsidRPr="00C24ACA" w:rsidTr="00742218">
        <w:tc>
          <w:tcPr>
            <w:tcW w:w="2880" w:type="dxa"/>
            <w:vAlign w:val="center"/>
          </w:tcPr>
          <w:p w:rsidR="0076511D" w:rsidRPr="00390233" w:rsidRDefault="0076511D" w:rsidP="00742218">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6511D" w:rsidRPr="00390233" w:rsidRDefault="0076511D" w:rsidP="00742218">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6511D" w:rsidRPr="00390233" w:rsidRDefault="0076511D" w:rsidP="00742218">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6511D" w:rsidRPr="00390233" w:rsidRDefault="0076511D" w:rsidP="00742218">
            <w:pPr>
              <w:spacing w:line="360" w:lineRule="auto"/>
              <w:jc w:val="right"/>
              <w:rPr>
                <w:rFonts w:eastAsiaTheme="majorEastAsia"/>
                <w:color w:val="000000"/>
                <w:szCs w:val="21"/>
              </w:rPr>
            </w:pPr>
            <w:r w:rsidRPr="00390233">
              <w:rPr>
                <w:rFonts w:eastAsiaTheme="maj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衍生金融资产</w:t>
            </w:r>
          </w:p>
        </w:tc>
        <w:tc>
          <w:tcPr>
            <w:tcW w:w="1080" w:type="dxa"/>
            <w:vAlign w:val="center"/>
          </w:tcPr>
          <w:p w:rsidR="0076511D" w:rsidRPr="00C24ACA" w:rsidRDefault="0076511D" w:rsidP="00A97A4E">
            <w:pPr>
              <w:pStyle w:val="af6"/>
              <w:spacing w:line="360" w:lineRule="auto"/>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6.4.7.3</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买入返售金融资产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6.4.7.4</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应收证券清算款</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应收利息</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6.4.7.5</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254,355.99</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6,939.82</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应收股利</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应收申购款</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376,752.40</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2,246,312.89</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递延所得税资产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其他资产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6.4.7.6</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b/>
                <w:color w:val="000000"/>
                <w:szCs w:val="21"/>
              </w:rPr>
            </w:pPr>
            <w:r w:rsidRPr="00C24ACA">
              <w:rPr>
                <w:rFonts w:eastAsiaTheme="minorEastAsia"/>
                <w:b/>
                <w:color w:val="000000"/>
                <w:szCs w:val="21"/>
              </w:rPr>
              <w:t>资产总计</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309,603,508.06</w:t>
            </w:r>
          </w:p>
        </w:tc>
        <w:tc>
          <w:tcPr>
            <w:tcW w:w="252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388,085,629.49</w:t>
            </w:r>
          </w:p>
        </w:tc>
      </w:tr>
      <w:tr w:rsidR="008A5A5D" w:rsidRPr="00C24ACA" w:rsidTr="006D141C">
        <w:tc>
          <w:tcPr>
            <w:tcW w:w="28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负债和所有者权益</w:t>
            </w:r>
          </w:p>
        </w:tc>
        <w:tc>
          <w:tcPr>
            <w:tcW w:w="10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本期末</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kern w:val="2"/>
                <w:sz w:val="21"/>
                <w:szCs w:val="21"/>
              </w:rPr>
              <w:t>2020</w:t>
            </w:r>
            <w:r w:rsidRPr="00C24ACA">
              <w:rPr>
                <w:rFonts w:ascii="Times New Roman" w:eastAsiaTheme="minorEastAsia" w:hAnsi="Times New Roman"/>
                <w:b/>
                <w:color w:val="000000"/>
                <w:kern w:val="2"/>
                <w:sz w:val="21"/>
                <w:szCs w:val="21"/>
              </w:rPr>
              <w:t>年</w:t>
            </w:r>
            <w:r w:rsidRPr="00C24ACA">
              <w:rPr>
                <w:rFonts w:ascii="Times New Roman" w:eastAsiaTheme="minorEastAsia" w:hAnsi="Times New Roman"/>
                <w:b/>
                <w:color w:val="000000"/>
                <w:kern w:val="2"/>
                <w:sz w:val="21"/>
                <w:szCs w:val="21"/>
              </w:rPr>
              <w:t>6</w:t>
            </w:r>
            <w:r w:rsidRPr="00C24ACA">
              <w:rPr>
                <w:rFonts w:ascii="Times New Roman" w:eastAsiaTheme="minorEastAsia" w:hAnsi="Times New Roman"/>
                <w:b/>
                <w:color w:val="000000"/>
                <w:kern w:val="2"/>
                <w:sz w:val="21"/>
                <w:szCs w:val="21"/>
              </w:rPr>
              <w:t>月</w:t>
            </w:r>
            <w:r w:rsidRPr="00C24ACA">
              <w:rPr>
                <w:rFonts w:ascii="Times New Roman" w:eastAsiaTheme="minorEastAsia" w:hAnsi="Times New Roman"/>
                <w:b/>
                <w:color w:val="000000"/>
                <w:kern w:val="2"/>
                <w:sz w:val="21"/>
                <w:szCs w:val="21"/>
              </w:rPr>
              <w:t>30</w:t>
            </w:r>
            <w:r w:rsidRPr="00C24ACA">
              <w:rPr>
                <w:rFonts w:ascii="Times New Roman" w:eastAsiaTheme="minorEastAsia" w:hAnsi="Times New Roman"/>
                <w:b/>
                <w:color w:val="000000"/>
                <w:kern w:val="2"/>
                <w:sz w:val="21"/>
                <w:szCs w:val="21"/>
              </w:rPr>
              <w:t>日</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上年度末</w:t>
            </w:r>
          </w:p>
          <w:p w:rsidR="008A5A5D" w:rsidRPr="00C24ACA" w:rsidRDefault="00D561C5">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12</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31</w:t>
            </w:r>
            <w:r w:rsidRPr="00C24ACA">
              <w:rPr>
                <w:rFonts w:ascii="Times New Roman" w:eastAsiaTheme="minorEastAsia" w:hAnsi="Times New Roman"/>
                <w:b/>
                <w:color w:val="000000"/>
                <w:sz w:val="21"/>
                <w:szCs w:val="21"/>
              </w:rPr>
              <w:t>日</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短期借款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交易性金融负债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衍生金融负债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6.4.7.3</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卖出回购金融资产款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应付证券清算款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372,999.69</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应付赎回款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9,105,431.24</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19,894,263.63</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应付管理人报酬</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289,884.67</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371,761.99</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应付托管费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48,314.14</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61,960.32</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应付销售服务费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114.71</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28.11</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应付交易费用</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6.4.7.7</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350.00</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应交税费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227,206.18</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应付利息</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应付利润</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递延所得税负债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其他负债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6.4.7.8</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353,762.40</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317,995.34</w:t>
            </w:r>
          </w:p>
        </w:tc>
      </w:tr>
      <w:tr w:rsidR="00AE103C" w:rsidRPr="00C24ACA" w:rsidTr="006D141C">
        <w:tc>
          <w:tcPr>
            <w:tcW w:w="2880" w:type="dxa"/>
            <w:vAlign w:val="center"/>
          </w:tcPr>
          <w:p w:rsidR="00AE103C" w:rsidRPr="00C24ACA" w:rsidRDefault="00AE103C">
            <w:pPr>
              <w:pStyle w:val="af6"/>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负债合计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9,797,857.16</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21,246,215.26</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所有者权益：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实收基金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6.4.7.9</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316,627,490.94</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429,157,206.13</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未分配利润</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6.4.7.10</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-16,821,840.04</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-62,317,791.90</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所有者权益合计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299,805,650.90</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366,839,414.23</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负债和所有者权益总计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309,603,508.06</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388,085,629.49</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注：报告截止日</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w:t>
      </w:r>
      <w:r w:rsidRPr="00C24ACA">
        <w:rPr>
          <w:rFonts w:eastAsiaTheme="minorEastAsia"/>
          <w:kern w:val="0"/>
          <w:szCs w:val="21"/>
        </w:rPr>
        <w:t>A</w:t>
      </w:r>
      <w:r w:rsidRPr="00C24ACA">
        <w:rPr>
          <w:rFonts w:eastAsiaTheme="minorEastAsia"/>
          <w:kern w:val="0"/>
          <w:szCs w:val="21"/>
        </w:rPr>
        <w:t>类基金份额净值</w:t>
      </w:r>
      <w:r w:rsidRPr="00C24ACA">
        <w:rPr>
          <w:rFonts w:eastAsiaTheme="minorEastAsia"/>
          <w:kern w:val="0"/>
          <w:szCs w:val="21"/>
        </w:rPr>
        <w:t>0.947</w:t>
      </w:r>
      <w:r w:rsidRPr="00C24ACA">
        <w:rPr>
          <w:rFonts w:eastAsiaTheme="minorEastAsia"/>
          <w:kern w:val="0"/>
          <w:szCs w:val="21"/>
        </w:rPr>
        <w:t>元，</w:t>
      </w:r>
      <w:r w:rsidRPr="00C24ACA">
        <w:rPr>
          <w:rFonts w:eastAsiaTheme="minorEastAsia"/>
          <w:kern w:val="0"/>
          <w:szCs w:val="21"/>
        </w:rPr>
        <w:t>C</w:t>
      </w:r>
      <w:r w:rsidRPr="00C24ACA">
        <w:rPr>
          <w:rFonts w:eastAsiaTheme="minorEastAsia"/>
          <w:kern w:val="0"/>
          <w:szCs w:val="21"/>
        </w:rPr>
        <w:t>类基金份额净值</w:t>
      </w:r>
      <w:r w:rsidRPr="00C24ACA">
        <w:rPr>
          <w:rFonts w:eastAsiaTheme="minorEastAsia"/>
          <w:kern w:val="0"/>
          <w:szCs w:val="21"/>
        </w:rPr>
        <w:t>0.947</w:t>
      </w:r>
      <w:r w:rsidRPr="00C24ACA">
        <w:rPr>
          <w:rFonts w:eastAsiaTheme="minorEastAsia"/>
          <w:kern w:val="0"/>
          <w:szCs w:val="21"/>
        </w:rPr>
        <w:t>元；基金份额总额</w:t>
      </w:r>
      <w:r w:rsidRPr="00C24ACA">
        <w:rPr>
          <w:rFonts w:eastAsiaTheme="minorEastAsia"/>
          <w:kern w:val="0"/>
          <w:szCs w:val="21"/>
        </w:rPr>
        <w:t>316,627,490.94</w:t>
      </w:r>
      <w:r w:rsidRPr="00C24ACA">
        <w:rPr>
          <w:rFonts w:eastAsiaTheme="minorEastAsia"/>
          <w:kern w:val="0"/>
          <w:szCs w:val="21"/>
        </w:rPr>
        <w:t>份，下属分级基金的份额总额分别为：</w:t>
      </w:r>
      <w:r w:rsidRPr="00C24ACA">
        <w:rPr>
          <w:rFonts w:eastAsiaTheme="minorEastAsia"/>
          <w:kern w:val="0"/>
          <w:szCs w:val="21"/>
        </w:rPr>
        <w:t>A</w:t>
      </w:r>
      <w:r w:rsidRPr="00C24ACA">
        <w:rPr>
          <w:rFonts w:eastAsiaTheme="minorEastAsia"/>
          <w:kern w:val="0"/>
          <w:szCs w:val="21"/>
        </w:rPr>
        <w:t>类基金份额总额</w:t>
      </w:r>
      <w:r w:rsidRPr="00C24ACA">
        <w:rPr>
          <w:rFonts w:eastAsiaTheme="minorEastAsia"/>
          <w:kern w:val="0"/>
          <w:szCs w:val="21"/>
        </w:rPr>
        <w:t>315,318,972.14</w:t>
      </w:r>
      <w:r w:rsidRPr="00C24ACA">
        <w:rPr>
          <w:rFonts w:eastAsiaTheme="minorEastAsia"/>
          <w:kern w:val="0"/>
          <w:szCs w:val="21"/>
        </w:rPr>
        <w:t>份，</w:t>
      </w:r>
      <w:r w:rsidRPr="00C24ACA">
        <w:rPr>
          <w:rFonts w:eastAsiaTheme="minorEastAsia"/>
          <w:kern w:val="0"/>
          <w:szCs w:val="21"/>
        </w:rPr>
        <w:t>C</w:t>
      </w:r>
      <w:r w:rsidRPr="00C24ACA">
        <w:rPr>
          <w:rFonts w:eastAsiaTheme="minorEastAsia"/>
          <w:kern w:val="0"/>
          <w:szCs w:val="21"/>
        </w:rPr>
        <w:t>类基金份额总额</w:t>
      </w:r>
      <w:r w:rsidRPr="00C24ACA">
        <w:rPr>
          <w:rFonts w:eastAsiaTheme="minorEastAsia"/>
          <w:kern w:val="0"/>
          <w:szCs w:val="21"/>
        </w:rPr>
        <w:t>1,308,518.80</w:t>
      </w:r>
      <w:r w:rsidRPr="00C24ACA">
        <w:rPr>
          <w:rFonts w:eastAsiaTheme="minorEastAsia"/>
          <w:kern w:val="0"/>
          <w:szCs w:val="21"/>
        </w:rPr>
        <w:t>份。</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78" w:name="_Toc225498269"/>
      <w:bookmarkStart w:id="179" w:name="_Toc352255992"/>
      <w:bookmarkStart w:id="180" w:name="_Toc352256060"/>
      <w:bookmarkStart w:id="181" w:name="_Toc352331238"/>
      <w:bookmarkStart w:id="182" w:name="_Toc390164817"/>
      <w:bookmarkStart w:id="183" w:name="_Toc48663423"/>
      <w:r w:rsidRPr="0087359D">
        <w:rPr>
          <w:rFonts w:ascii="宋体" w:hAnsi="宋体"/>
          <w:kern w:val="0"/>
          <w:sz w:val="21"/>
          <w:szCs w:val="21"/>
        </w:rPr>
        <w:t>6.2</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利润表</w:t>
      </w:r>
      <w:bookmarkEnd w:id="178"/>
      <w:bookmarkEnd w:id="179"/>
      <w:bookmarkEnd w:id="180"/>
      <w:bookmarkEnd w:id="181"/>
      <w:bookmarkEnd w:id="182"/>
      <w:bookmarkEnd w:id="183"/>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会计主体：</w:t>
      </w:r>
      <w:r w:rsidRPr="00C24ACA">
        <w:rPr>
          <w:rFonts w:eastAsiaTheme="minorEastAsia"/>
          <w:kern w:val="0"/>
          <w:szCs w:val="21"/>
        </w:rPr>
        <w:t>易方达黄金主题证券投资基金（</w:t>
      </w:r>
      <w:r w:rsidRPr="00C24ACA">
        <w:rPr>
          <w:rFonts w:eastAsiaTheme="minorEastAsia"/>
          <w:kern w:val="0"/>
          <w:szCs w:val="21"/>
        </w:rPr>
        <w:t>LOF</w:t>
      </w:r>
      <w:r w:rsidRPr="00C24ACA">
        <w:rPr>
          <w:rFonts w:eastAsiaTheme="minorEastAsia"/>
          <w:kern w:val="0"/>
          <w:szCs w:val="21"/>
        </w:rPr>
        <w:t>）</w:t>
      </w:r>
    </w:p>
    <w:p w:rsidR="008A5A5D" w:rsidRPr="00C24ACA" w:rsidRDefault="008A5A5D" w:rsidP="00316012">
      <w:pPr>
        <w:spacing w:line="360" w:lineRule="auto"/>
        <w:rPr>
          <w:rFonts w:eastAsiaTheme="minorEastAsia"/>
          <w:color w:val="000000"/>
          <w:kern w:val="0"/>
          <w:szCs w:val="21"/>
        </w:rPr>
      </w:pPr>
      <w:r w:rsidRPr="00C24ACA">
        <w:rPr>
          <w:rFonts w:eastAsiaTheme="minorEastAsia"/>
          <w:color w:val="000000"/>
          <w:szCs w:val="21"/>
        </w:rPr>
        <w:t>本报告期：</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1</w:t>
      </w:r>
      <w:r w:rsidR="00AC4A34" w:rsidRPr="00C24ACA">
        <w:rPr>
          <w:rFonts w:eastAsiaTheme="minorEastAsia"/>
          <w:kern w:val="0"/>
          <w:szCs w:val="21"/>
        </w:rPr>
        <w:t>月</w:t>
      </w:r>
      <w:r w:rsidR="00AC4A34" w:rsidRPr="00C24ACA">
        <w:rPr>
          <w:rFonts w:eastAsiaTheme="minorEastAsia"/>
          <w:kern w:val="0"/>
          <w:szCs w:val="21"/>
        </w:rPr>
        <w:t>1</w:t>
      </w:r>
      <w:r w:rsidR="00AC4A34" w:rsidRPr="00C24ACA">
        <w:rPr>
          <w:rFonts w:eastAsiaTheme="minorEastAsia"/>
          <w:kern w:val="0"/>
          <w:szCs w:val="21"/>
        </w:rPr>
        <w:t>日</w:t>
      </w:r>
      <w:r w:rsidRPr="00C24ACA">
        <w:rPr>
          <w:rFonts w:eastAsiaTheme="minorEastAsia"/>
          <w:kern w:val="0"/>
          <w:szCs w:val="21"/>
        </w:rPr>
        <w:t>至</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6</w:t>
      </w:r>
      <w:r w:rsidR="00AC4A34" w:rsidRPr="00C24ACA">
        <w:rPr>
          <w:rFonts w:eastAsiaTheme="minorEastAsia"/>
          <w:kern w:val="0"/>
          <w:szCs w:val="21"/>
        </w:rPr>
        <w:t>月</w:t>
      </w:r>
      <w:r w:rsidR="00AC4A34" w:rsidRPr="00C24ACA">
        <w:rPr>
          <w:rFonts w:eastAsiaTheme="minorEastAsia"/>
          <w:kern w:val="0"/>
          <w:szCs w:val="21"/>
        </w:rPr>
        <w:t>30</w:t>
      </w:r>
      <w:r w:rsidR="00AC4A34" w:rsidRPr="00C24ACA">
        <w:rPr>
          <w:rFonts w:eastAsiaTheme="minorEastAsia"/>
          <w:kern w:val="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单位：人民币元</w:t>
      </w:r>
    </w:p>
    <w:tbl>
      <w:tblPr>
        <w:tblW w:w="89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49"/>
        <w:gridCol w:w="2249"/>
      </w:tblGrid>
      <w:tr w:rsidR="008A5A5D" w:rsidRPr="00C24ACA" w:rsidTr="0014666D">
        <w:tc>
          <w:tcPr>
            <w:tcW w:w="3420" w:type="dxa"/>
            <w:vAlign w:val="center"/>
          </w:tcPr>
          <w:p w:rsidR="008A5A5D" w:rsidRPr="00C24ACA" w:rsidRDefault="008A5A5D" w:rsidP="00D321AF">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项目</w:t>
            </w:r>
          </w:p>
        </w:tc>
        <w:tc>
          <w:tcPr>
            <w:tcW w:w="1080" w:type="dxa"/>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2250" w:type="dxa"/>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w:t>
            </w:r>
          </w:p>
          <w:p w:rsidR="008A5A5D" w:rsidRPr="00C24ACA" w:rsidRDefault="00AC4A34"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日</w:t>
            </w:r>
            <w:r w:rsidR="008A5A5D" w:rsidRPr="00C24ACA">
              <w:rPr>
                <w:rFonts w:ascii="Times New Roman" w:eastAsiaTheme="minorEastAsia" w:hAnsi="Times New Roman"/>
                <w:b/>
                <w:sz w:val="21"/>
                <w:szCs w:val="21"/>
              </w:rPr>
              <w:t>至</w:t>
            </w: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6</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30</w:t>
            </w:r>
            <w:r w:rsidRPr="00C24ACA">
              <w:rPr>
                <w:rFonts w:ascii="Times New Roman" w:eastAsiaTheme="minorEastAsia" w:hAnsi="Times New Roman"/>
                <w:b/>
                <w:sz w:val="21"/>
                <w:szCs w:val="21"/>
              </w:rPr>
              <w:t>日</w:t>
            </w:r>
          </w:p>
        </w:tc>
        <w:tc>
          <w:tcPr>
            <w:tcW w:w="2250" w:type="dxa"/>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上年度可比期间</w:t>
            </w:r>
          </w:p>
          <w:p w:rsidR="008A5A5D" w:rsidRPr="00C24ACA" w:rsidRDefault="00BD0707"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1</w:t>
            </w:r>
            <w:r w:rsidRPr="00C24ACA">
              <w:rPr>
                <w:rFonts w:ascii="Times New Roman" w:eastAsiaTheme="minorEastAsia" w:hAnsi="Times New Roman"/>
                <w:b/>
                <w:color w:val="000000"/>
                <w:sz w:val="21"/>
                <w:szCs w:val="21"/>
              </w:rPr>
              <w:t>日至</w:t>
            </w: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6</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30</w:t>
            </w:r>
            <w:r w:rsidRPr="00C24ACA">
              <w:rPr>
                <w:rFonts w:ascii="Times New Roman" w:eastAsiaTheme="minorEastAsia" w:hAnsi="Times New Roman"/>
                <w:b/>
                <w:color w:val="000000"/>
                <w:sz w:val="21"/>
                <w:szCs w:val="21"/>
              </w:rPr>
              <w:t>日</w:t>
            </w:r>
          </w:p>
        </w:tc>
      </w:tr>
      <w:tr w:rsidR="00AE103C" w:rsidRPr="00C24ACA" w:rsidTr="0014666D">
        <w:tc>
          <w:tcPr>
            <w:tcW w:w="3420" w:type="dxa"/>
          </w:tcPr>
          <w:p w:rsidR="00AE103C" w:rsidRPr="00C24ACA" w:rsidRDefault="00AE103C">
            <w:pPr>
              <w:rPr>
                <w:rFonts w:eastAsiaTheme="minorEastAsia"/>
                <w:b/>
                <w:color w:val="000000"/>
                <w:szCs w:val="21"/>
              </w:rPr>
            </w:pPr>
            <w:r w:rsidRPr="00C24ACA">
              <w:rPr>
                <w:rFonts w:eastAsiaTheme="minorEastAsia"/>
                <w:b/>
                <w:color w:val="000000"/>
                <w:szCs w:val="21"/>
              </w:rPr>
              <w:t>一、收入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33,383,249.24</w:t>
            </w:r>
          </w:p>
        </w:tc>
        <w:tc>
          <w:tcPr>
            <w:tcW w:w="225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23,858,290.38</w:t>
            </w:r>
          </w:p>
        </w:tc>
      </w:tr>
      <w:tr w:rsidR="00AE103C" w:rsidRPr="00C24ACA" w:rsidTr="0014666D">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215,973.74</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120,463.26</w:t>
            </w:r>
          </w:p>
        </w:tc>
      </w:tr>
      <w:tr w:rsidR="00AE103C" w:rsidRPr="00C24ACA" w:rsidTr="0014666D">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其中：存款利息收入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6.4.7.11</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90,592.35</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120,463.26</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125,381.39</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买入返售金融资产收入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其他利息收入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投资收益（损失以</w:t>
            </w:r>
            <w:r w:rsidRPr="00C24ACA">
              <w:rPr>
                <w:rFonts w:eastAsiaTheme="minorEastAsia"/>
                <w:color w:val="000000"/>
                <w:szCs w:val="21"/>
              </w:rPr>
              <w:t>“-”</w:t>
            </w:r>
            <w:r w:rsidRPr="00C24ACA">
              <w:rPr>
                <w:rFonts w:eastAsiaTheme="minorEastAsia"/>
                <w:color w:val="000000"/>
                <w:szCs w:val="21"/>
              </w:rPr>
              <w:t>填列）</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16,324,918.12</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-3,469,131.34</w:t>
            </w:r>
          </w:p>
        </w:tc>
      </w:tr>
      <w:tr w:rsidR="00AE103C" w:rsidRPr="00C24ACA" w:rsidTr="0014666D">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其中：股票投资收益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6.4.7.12</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1,845,736.65</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-3,434,353.47</w:t>
            </w:r>
          </w:p>
        </w:tc>
      </w:tr>
      <w:tr w:rsidR="00AE103C" w:rsidRPr="00C24ACA" w:rsidTr="0014666D">
        <w:tc>
          <w:tcPr>
            <w:tcW w:w="3420" w:type="dxa"/>
            <w:vAlign w:val="center"/>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基金投资收益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6.4.7.13</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14,245,484.05</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-757,799.20</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6.4.7.14</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76511D" w:rsidRPr="00C24ACA" w:rsidTr="0014666D">
        <w:tc>
          <w:tcPr>
            <w:tcW w:w="3420" w:type="dxa"/>
          </w:tcPr>
          <w:p w:rsidR="0076511D" w:rsidRPr="00C24ACA" w:rsidRDefault="0076511D" w:rsidP="008134C7">
            <w:pPr>
              <w:ind w:firstLineChars="300" w:firstLine="630"/>
              <w:rPr>
                <w:rFonts w:eastAsiaTheme="minorEastAsia"/>
                <w:color w:val="000000"/>
                <w:szCs w:val="21"/>
              </w:rPr>
            </w:pPr>
            <w:r w:rsidRPr="00224952">
              <w:rPr>
                <w:rFonts w:hint="eastAsia"/>
              </w:rPr>
              <w:t>贵金属投资收益</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center"/>
          </w:tcPr>
          <w:p w:rsidR="0076511D" w:rsidRPr="00224952" w:rsidRDefault="0076511D" w:rsidP="00742218">
            <w:pPr>
              <w:spacing w:line="360" w:lineRule="auto"/>
              <w:jc w:val="right"/>
              <w:rPr>
                <w:color w:val="000000"/>
                <w:szCs w:val="21"/>
              </w:rPr>
            </w:pPr>
            <w:r w:rsidRPr="00224952">
              <w:rPr>
                <w:color w:val="000000"/>
                <w:szCs w:val="21"/>
              </w:rPr>
              <w:t>-</w:t>
            </w:r>
          </w:p>
        </w:tc>
        <w:tc>
          <w:tcPr>
            <w:tcW w:w="2250" w:type="dxa"/>
            <w:vAlign w:val="center"/>
          </w:tcPr>
          <w:p w:rsidR="0076511D" w:rsidRPr="00224952" w:rsidRDefault="0076511D" w:rsidP="00742218">
            <w:pPr>
              <w:spacing w:line="360" w:lineRule="auto"/>
              <w:jc w:val="right"/>
              <w:rPr>
                <w:color w:val="000000"/>
                <w:szCs w:val="21"/>
              </w:rPr>
            </w:pPr>
            <w:r w:rsidRPr="00224952">
              <w:rPr>
                <w:color w:val="000000"/>
                <w:szCs w:val="21"/>
              </w:rPr>
              <w:t>-</w:t>
            </w:r>
          </w:p>
        </w:tc>
      </w:tr>
      <w:tr w:rsidR="0076511D" w:rsidRPr="00C24ACA" w:rsidTr="0014666D">
        <w:tc>
          <w:tcPr>
            <w:tcW w:w="3420" w:type="dxa"/>
          </w:tcPr>
          <w:p w:rsidR="0076511D" w:rsidRPr="00C24ACA" w:rsidRDefault="0076511D" w:rsidP="008134C7">
            <w:pPr>
              <w:ind w:firstLineChars="300" w:firstLine="630"/>
              <w:rPr>
                <w:rFonts w:eastAsiaTheme="minorEastAsia"/>
                <w:color w:val="000000"/>
                <w:szCs w:val="21"/>
              </w:rPr>
            </w:pPr>
            <w:r w:rsidRPr="00C24ACA">
              <w:rPr>
                <w:rFonts w:eastAsiaTheme="minorEastAsia"/>
                <w:color w:val="000000"/>
                <w:szCs w:val="21"/>
              </w:rPr>
              <w:t>衍生工具收益</w:t>
            </w:r>
          </w:p>
        </w:tc>
        <w:tc>
          <w:tcPr>
            <w:tcW w:w="1080" w:type="dxa"/>
            <w:vAlign w:val="center"/>
          </w:tcPr>
          <w:p w:rsidR="0076511D" w:rsidRPr="00C24ACA" w:rsidRDefault="0076511D" w:rsidP="00A97A4E">
            <w:pPr>
              <w:pStyle w:val="af6"/>
              <w:spacing w:line="360" w:lineRule="auto"/>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6.4.7.15</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14666D">
        <w:tc>
          <w:tcPr>
            <w:tcW w:w="3420" w:type="dxa"/>
          </w:tcPr>
          <w:p w:rsidR="0076511D" w:rsidRPr="00C24ACA" w:rsidRDefault="0076511D" w:rsidP="008134C7">
            <w:pPr>
              <w:ind w:firstLineChars="300" w:firstLine="630"/>
              <w:rPr>
                <w:rFonts w:eastAsiaTheme="minorEastAsia"/>
                <w:color w:val="000000"/>
                <w:szCs w:val="21"/>
              </w:rPr>
            </w:pPr>
            <w:r w:rsidRPr="00C24ACA">
              <w:rPr>
                <w:rFonts w:eastAsiaTheme="minorEastAsia"/>
                <w:color w:val="000000"/>
                <w:szCs w:val="21"/>
              </w:rPr>
              <w:t>股利收益</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6.4.7.16</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233,697.42</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723,021.33</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3.</w:t>
            </w:r>
            <w:r w:rsidRPr="00C24ACA">
              <w:rPr>
                <w:rFonts w:eastAsiaTheme="minorEastAsia"/>
                <w:color w:val="000000"/>
                <w:szCs w:val="21"/>
              </w:rPr>
              <w:t>公允价值变动收益（损失以</w:t>
            </w:r>
            <w:r w:rsidRPr="00C24ACA">
              <w:rPr>
                <w:rFonts w:eastAsiaTheme="minorEastAsia"/>
                <w:color w:val="000000"/>
                <w:szCs w:val="21"/>
              </w:rPr>
              <w:t>“-”</w:t>
            </w:r>
            <w:r w:rsidRPr="00C24ACA">
              <w:rPr>
                <w:rFonts w:eastAsiaTheme="minorEastAsia"/>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6.4.7.17</w:t>
            </w:r>
          </w:p>
        </w:tc>
        <w:tc>
          <w:tcPr>
            <w:tcW w:w="2250" w:type="dxa"/>
            <w:vAlign w:val="center"/>
          </w:tcPr>
          <w:p w:rsidR="0076511D" w:rsidRPr="00C24ACA" w:rsidRDefault="0076511D" w:rsidP="00C903E7">
            <w:pPr>
              <w:jc w:val="right"/>
              <w:rPr>
                <w:rFonts w:eastAsiaTheme="minorEastAsia"/>
                <w:color w:val="000000"/>
                <w:szCs w:val="21"/>
              </w:rPr>
            </w:pPr>
            <w:r w:rsidRPr="00C24ACA">
              <w:rPr>
                <w:rFonts w:eastAsiaTheme="minorEastAsia"/>
                <w:color w:val="000000"/>
                <w:szCs w:val="21"/>
              </w:rPr>
              <w:t>15,335,640.99</w:t>
            </w:r>
          </w:p>
        </w:tc>
        <w:tc>
          <w:tcPr>
            <w:tcW w:w="2250" w:type="dxa"/>
            <w:vAlign w:val="center"/>
          </w:tcPr>
          <w:p w:rsidR="0076511D" w:rsidRPr="00C24ACA" w:rsidRDefault="0076511D" w:rsidP="00C903E7">
            <w:pPr>
              <w:jc w:val="right"/>
              <w:rPr>
                <w:rFonts w:eastAsiaTheme="minorEastAsia"/>
                <w:color w:val="000000"/>
                <w:szCs w:val="21"/>
              </w:rPr>
            </w:pPr>
            <w:r w:rsidRPr="00C24ACA">
              <w:rPr>
                <w:rFonts w:eastAsiaTheme="minorEastAsia"/>
                <w:color w:val="000000"/>
                <w:szCs w:val="21"/>
              </w:rPr>
              <w:t>26,855,264.68</w:t>
            </w:r>
          </w:p>
        </w:tc>
      </w:tr>
      <w:tr w:rsidR="0076511D" w:rsidRPr="00C24ACA" w:rsidTr="0014666D">
        <w:tc>
          <w:tcPr>
            <w:tcW w:w="3420" w:type="dxa"/>
            <w:vAlign w:val="center"/>
          </w:tcPr>
          <w:p w:rsidR="0076511D" w:rsidRPr="00C24ACA" w:rsidRDefault="0076511D">
            <w:pPr>
              <w:pStyle w:val="af6"/>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4.</w:t>
            </w:r>
            <w:r w:rsidRPr="00C24ACA">
              <w:rPr>
                <w:rFonts w:ascii="Times New Roman" w:eastAsiaTheme="minorEastAsia" w:hAnsi="Times New Roman"/>
                <w:color w:val="000000"/>
                <w:sz w:val="21"/>
                <w:szCs w:val="21"/>
              </w:rPr>
              <w:t>汇兑收益（损失以</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1,389,500.20</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148,107.60</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其他收入（损失以</w:t>
            </w:r>
            <w:r w:rsidRPr="00C24ACA">
              <w:rPr>
                <w:rFonts w:eastAsiaTheme="minorEastAsia"/>
                <w:color w:val="000000"/>
                <w:szCs w:val="21"/>
              </w:rPr>
              <w:t>“-”</w:t>
            </w:r>
            <w:r w:rsidRPr="00C24ACA">
              <w:rPr>
                <w:rFonts w:eastAsiaTheme="minorEastAsia"/>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6.4.7.18</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117,216.19</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203,586.18</w:t>
            </w:r>
          </w:p>
        </w:tc>
      </w:tr>
      <w:tr w:rsidR="0076511D" w:rsidRPr="00C24ACA" w:rsidTr="0014666D">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减：二、费用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2,929,192.28</w:t>
            </w: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3,082,700.59</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．管理人报酬</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1,944,272.21</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1,960,275.43</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．托管费</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324,045.40</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392,055.10</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3</w:t>
            </w:r>
            <w:r w:rsidRPr="00C24ACA">
              <w:rPr>
                <w:rFonts w:eastAsiaTheme="minorEastAsia"/>
                <w:color w:val="000000"/>
                <w:szCs w:val="21"/>
              </w:rPr>
              <w:t>．销售服务费</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673.38</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4</w:t>
            </w:r>
            <w:r w:rsidRPr="00C24ACA">
              <w:rPr>
                <w:rFonts w:eastAsiaTheme="minorEastAsia"/>
                <w:color w:val="000000"/>
                <w:szCs w:val="21"/>
              </w:rPr>
              <w:t>．交易费用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6.4.7.19</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460,299.48</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594,327.78</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．利息支出</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其中：卖出回购金融资产支出</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FB3D98" w:rsidRPr="00C24ACA" w:rsidTr="0014666D">
        <w:tc>
          <w:tcPr>
            <w:tcW w:w="3420" w:type="dxa"/>
          </w:tcPr>
          <w:p w:rsidR="00FB3D98" w:rsidRDefault="00FB3D98">
            <w:pPr>
              <w:rPr>
                <w:rFonts w:eastAsiaTheme="minorEastAsia"/>
                <w:color w:val="000000"/>
                <w:szCs w:val="21"/>
              </w:rPr>
            </w:pPr>
            <w:r>
              <w:rPr>
                <w:rFonts w:eastAsiaTheme="minorEastAsia"/>
                <w:color w:val="000000"/>
                <w:szCs w:val="21"/>
              </w:rPr>
              <w:t>6</w:t>
            </w:r>
            <w:r>
              <w:rPr>
                <w:rFonts w:eastAsiaTheme="minorEastAsia" w:hint="eastAsia"/>
                <w:color w:val="000000"/>
                <w:szCs w:val="21"/>
              </w:rPr>
              <w:t>．税金及附加</w:t>
            </w:r>
          </w:p>
        </w:tc>
        <w:tc>
          <w:tcPr>
            <w:tcW w:w="1080" w:type="dxa"/>
            <w:vAlign w:val="center"/>
          </w:tcPr>
          <w:p w:rsidR="00FB3D98" w:rsidRDefault="00FB3D98">
            <w:pPr>
              <w:pStyle w:val="af6"/>
              <w:jc w:val="center"/>
              <w:rPr>
                <w:rFonts w:ascii="Times New Roman" w:eastAsiaTheme="minorEastAsia" w:hAnsi="Times New Roman"/>
                <w:color w:val="000000"/>
                <w:sz w:val="21"/>
                <w:szCs w:val="21"/>
              </w:rPr>
            </w:pPr>
          </w:p>
        </w:tc>
        <w:tc>
          <w:tcPr>
            <w:tcW w:w="2250" w:type="dxa"/>
            <w:vAlign w:val="bottom"/>
          </w:tcPr>
          <w:p w:rsidR="00FB3D98" w:rsidRDefault="00FB3D98">
            <w:pPr>
              <w:jc w:val="right"/>
              <w:rPr>
                <w:rFonts w:eastAsiaTheme="minorEastAsia"/>
                <w:color w:val="000000"/>
                <w:szCs w:val="21"/>
              </w:rPr>
            </w:pPr>
            <w:r>
              <w:rPr>
                <w:rFonts w:eastAsiaTheme="minorEastAsia"/>
                <w:color w:val="000000"/>
                <w:szCs w:val="21"/>
              </w:rPr>
              <w:t>64,831.17</w:t>
            </w:r>
          </w:p>
        </w:tc>
        <w:tc>
          <w:tcPr>
            <w:tcW w:w="2250" w:type="dxa"/>
            <w:vAlign w:val="bottom"/>
          </w:tcPr>
          <w:p w:rsidR="00FB3D98" w:rsidRDefault="00FB3D98">
            <w:pPr>
              <w:jc w:val="right"/>
              <w:rPr>
                <w:rFonts w:eastAsiaTheme="minorEastAsia"/>
                <w:color w:val="000000"/>
                <w:szCs w:val="21"/>
              </w:rPr>
            </w:pPr>
            <w:r>
              <w:rPr>
                <w:rFonts w:eastAsiaTheme="minorEastAsia"/>
                <w:color w:val="000000"/>
                <w:szCs w:val="21"/>
              </w:rPr>
              <w:t>2,423.07</w:t>
            </w:r>
          </w:p>
        </w:tc>
      </w:tr>
      <w:tr w:rsidR="00FB3D98" w:rsidRPr="00C24ACA" w:rsidTr="0014666D">
        <w:tc>
          <w:tcPr>
            <w:tcW w:w="3420" w:type="dxa"/>
          </w:tcPr>
          <w:p w:rsidR="00FB3D98" w:rsidRDefault="00FB3D98">
            <w:pPr>
              <w:rPr>
                <w:rFonts w:eastAsiaTheme="minorEastAsia"/>
                <w:color w:val="000000"/>
                <w:szCs w:val="21"/>
              </w:rPr>
            </w:pPr>
            <w:r>
              <w:rPr>
                <w:rFonts w:eastAsiaTheme="minorEastAsia"/>
                <w:color w:val="000000"/>
                <w:szCs w:val="21"/>
              </w:rPr>
              <w:t>7</w:t>
            </w:r>
            <w:r>
              <w:rPr>
                <w:rFonts w:eastAsiaTheme="minorEastAsia" w:hint="eastAsia"/>
                <w:color w:val="000000"/>
                <w:szCs w:val="21"/>
              </w:rPr>
              <w:t>．其他费用</w:t>
            </w:r>
          </w:p>
        </w:tc>
        <w:tc>
          <w:tcPr>
            <w:tcW w:w="1080" w:type="dxa"/>
            <w:vAlign w:val="center"/>
          </w:tcPr>
          <w:p w:rsidR="00FB3D98" w:rsidRDefault="00FB3D98">
            <w:pPr>
              <w:pStyle w:val="af6"/>
              <w:jc w:val="center"/>
              <w:rPr>
                <w:rFonts w:ascii="Times New Roman" w:eastAsiaTheme="minorEastAsia" w:hAnsi="Times New Roman"/>
                <w:color w:val="000000"/>
                <w:sz w:val="21"/>
                <w:szCs w:val="21"/>
              </w:rPr>
            </w:pPr>
            <w:r>
              <w:rPr>
                <w:rFonts w:ascii="Times New Roman" w:eastAsiaTheme="minorEastAsia" w:hAnsi="Times New Roman"/>
                <w:color w:val="000000"/>
                <w:sz w:val="21"/>
                <w:szCs w:val="21"/>
              </w:rPr>
              <w:t>6.4.7.20</w:t>
            </w:r>
          </w:p>
        </w:tc>
        <w:tc>
          <w:tcPr>
            <w:tcW w:w="2250" w:type="dxa"/>
            <w:vAlign w:val="bottom"/>
          </w:tcPr>
          <w:p w:rsidR="00FB3D98" w:rsidRDefault="00FB3D98">
            <w:pPr>
              <w:jc w:val="right"/>
              <w:rPr>
                <w:rFonts w:eastAsiaTheme="minorEastAsia"/>
                <w:color w:val="000000"/>
                <w:szCs w:val="21"/>
              </w:rPr>
            </w:pPr>
            <w:r>
              <w:rPr>
                <w:rFonts w:eastAsiaTheme="minorEastAsia"/>
                <w:color w:val="000000"/>
                <w:szCs w:val="21"/>
              </w:rPr>
              <w:t>135,070.64</w:t>
            </w:r>
          </w:p>
        </w:tc>
        <w:tc>
          <w:tcPr>
            <w:tcW w:w="2250" w:type="dxa"/>
            <w:vAlign w:val="bottom"/>
          </w:tcPr>
          <w:p w:rsidR="00FB3D98" w:rsidRDefault="00FB3D98">
            <w:pPr>
              <w:jc w:val="right"/>
              <w:rPr>
                <w:rFonts w:eastAsiaTheme="minorEastAsia"/>
                <w:color w:val="000000"/>
                <w:szCs w:val="21"/>
              </w:rPr>
            </w:pPr>
            <w:r>
              <w:rPr>
                <w:rFonts w:eastAsiaTheme="minorEastAsia"/>
                <w:color w:val="000000"/>
                <w:szCs w:val="21"/>
              </w:rPr>
              <w:t>133,619.21</w:t>
            </w:r>
          </w:p>
        </w:tc>
      </w:tr>
      <w:tr w:rsidR="0076511D" w:rsidRPr="00C24ACA" w:rsidTr="0014666D">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三、利润总额（亏损总额以</w:t>
            </w:r>
            <w:r w:rsidRPr="00C24ACA">
              <w:rPr>
                <w:rFonts w:eastAsiaTheme="minorEastAsia"/>
                <w:b/>
                <w:color w:val="000000"/>
                <w:szCs w:val="21"/>
              </w:rPr>
              <w:t>“-”</w:t>
            </w:r>
            <w:r w:rsidRPr="00C24ACA">
              <w:rPr>
                <w:rFonts w:eastAsiaTheme="minorEastAsia"/>
                <w:b/>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center"/>
          </w:tcPr>
          <w:p w:rsidR="0076511D" w:rsidRPr="00C24ACA" w:rsidRDefault="0076511D" w:rsidP="00C903E7">
            <w:pPr>
              <w:jc w:val="right"/>
              <w:rPr>
                <w:rFonts w:eastAsiaTheme="minorEastAsia"/>
                <w:b/>
                <w:color w:val="000000"/>
                <w:szCs w:val="21"/>
              </w:rPr>
            </w:pPr>
            <w:r w:rsidRPr="00C24ACA">
              <w:rPr>
                <w:rFonts w:eastAsiaTheme="minorEastAsia"/>
                <w:b/>
                <w:color w:val="000000"/>
                <w:szCs w:val="21"/>
              </w:rPr>
              <w:t>30,454,056.96</w:t>
            </w:r>
          </w:p>
        </w:tc>
        <w:tc>
          <w:tcPr>
            <w:tcW w:w="2250" w:type="dxa"/>
            <w:vAlign w:val="center"/>
          </w:tcPr>
          <w:p w:rsidR="0076511D" w:rsidRPr="00C24ACA" w:rsidRDefault="0076511D" w:rsidP="00C903E7">
            <w:pPr>
              <w:jc w:val="right"/>
              <w:rPr>
                <w:rFonts w:eastAsiaTheme="minorEastAsia"/>
                <w:b/>
                <w:color w:val="000000"/>
                <w:szCs w:val="21"/>
              </w:rPr>
            </w:pPr>
            <w:r w:rsidRPr="00C24ACA">
              <w:rPr>
                <w:rFonts w:eastAsiaTheme="minorEastAsia"/>
                <w:b/>
                <w:color w:val="000000"/>
                <w:szCs w:val="21"/>
              </w:rPr>
              <w:t>20,775,589.79</w:t>
            </w:r>
          </w:p>
        </w:tc>
      </w:tr>
      <w:tr w:rsidR="0076511D" w:rsidRPr="00C24ACA" w:rsidTr="0014666D">
        <w:tc>
          <w:tcPr>
            <w:tcW w:w="3420" w:type="dxa"/>
          </w:tcPr>
          <w:p w:rsidR="0076511D" w:rsidRPr="00C24ACA" w:rsidRDefault="0076511D">
            <w:pPr>
              <w:rPr>
                <w:rFonts w:eastAsiaTheme="minorEastAsia"/>
                <w:b/>
                <w:color w:val="000000"/>
                <w:szCs w:val="21"/>
              </w:rPr>
            </w:pPr>
            <w:r w:rsidRPr="00C24ACA">
              <w:rPr>
                <w:rFonts w:eastAsiaTheme="minorEastAsia"/>
                <w:szCs w:val="21"/>
              </w:rPr>
              <w:t>减：所得税费用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14666D">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四、净利润（净亏损以</w:t>
            </w:r>
            <w:r w:rsidRPr="00C24ACA">
              <w:rPr>
                <w:rFonts w:eastAsiaTheme="minorEastAsia"/>
                <w:b/>
                <w:color w:val="000000"/>
                <w:szCs w:val="21"/>
              </w:rPr>
              <w:t>“-”</w:t>
            </w:r>
            <w:r w:rsidRPr="00C24ACA">
              <w:rPr>
                <w:rFonts w:eastAsiaTheme="minorEastAsia"/>
                <w:b/>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30,454,056.96</w:t>
            </w: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20,775,589.79</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84" w:name="_Toc225498270"/>
      <w:bookmarkStart w:id="185" w:name="_Toc352255993"/>
      <w:bookmarkStart w:id="186" w:name="_Toc352256061"/>
      <w:bookmarkStart w:id="187" w:name="_Toc352331239"/>
      <w:bookmarkStart w:id="188" w:name="_Toc390164818"/>
      <w:bookmarkStart w:id="189" w:name="_Toc48663424"/>
      <w:r w:rsidRPr="0087359D">
        <w:rPr>
          <w:rFonts w:ascii="宋体" w:hAnsi="宋体"/>
          <w:kern w:val="0"/>
          <w:sz w:val="21"/>
          <w:szCs w:val="21"/>
        </w:rPr>
        <w:t>6.3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所有者权益（基金净值）变动表</w:t>
      </w:r>
      <w:bookmarkEnd w:id="184"/>
      <w:bookmarkEnd w:id="185"/>
      <w:bookmarkEnd w:id="186"/>
      <w:bookmarkEnd w:id="187"/>
      <w:bookmarkEnd w:id="188"/>
      <w:bookmarkEnd w:id="189"/>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会计主体：</w:t>
      </w:r>
      <w:r w:rsidRPr="00C24ACA">
        <w:rPr>
          <w:rFonts w:eastAsiaTheme="minorEastAsia"/>
          <w:kern w:val="0"/>
          <w:szCs w:val="21"/>
        </w:rPr>
        <w:t>易方达黄金主题证券投资基金（</w:t>
      </w:r>
      <w:r w:rsidRPr="00C24ACA">
        <w:rPr>
          <w:rFonts w:eastAsiaTheme="minorEastAsia"/>
          <w:kern w:val="0"/>
          <w:szCs w:val="21"/>
        </w:rPr>
        <w:t>LOF</w:t>
      </w:r>
      <w:r w:rsidRPr="00C24ACA">
        <w:rPr>
          <w:rFonts w:eastAsiaTheme="minorEastAsia"/>
          <w:kern w:val="0"/>
          <w:szCs w:val="21"/>
        </w:rPr>
        <w:t>）</w:t>
      </w:r>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本报告期：</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1</w:t>
      </w:r>
      <w:r w:rsidR="00AC4A34" w:rsidRPr="00C24ACA">
        <w:rPr>
          <w:rFonts w:eastAsiaTheme="minorEastAsia"/>
          <w:kern w:val="0"/>
          <w:szCs w:val="21"/>
        </w:rPr>
        <w:t>月</w:t>
      </w:r>
      <w:r w:rsidR="00AC4A34" w:rsidRPr="00C24ACA">
        <w:rPr>
          <w:rFonts w:eastAsiaTheme="minorEastAsia"/>
          <w:kern w:val="0"/>
          <w:szCs w:val="21"/>
        </w:rPr>
        <w:t>1</w:t>
      </w:r>
      <w:r w:rsidR="00AC4A34" w:rsidRPr="00C24ACA">
        <w:rPr>
          <w:rFonts w:eastAsiaTheme="minorEastAsia"/>
          <w:kern w:val="0"/>
          <w:szCs w:val="21"/>
        </w:rPr>
        <w:t>日</w:t>
      </w:r>
      <w:r w:rsidRPr="00C24ACA">
        <w:rPr>
          <w:rFonts w:eastAsiaTheme="minorEastAsia"/>
          <w:kern w:val="0"/>
          <w:szCs w:val="21"/>
        </w:rPr>
        <w:t>至</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6</w:t>
      </w:r>
      <w:r w:rsidR="00AC4A34" w:rsidRPr="00C24ACA">
        <w:rPr>
          <w:rFonts w:eastAsiaTheme="minorEastAsia"/>
          <w:kern w:val="0"/>
          <w:szCs w:val="21"/>
        </w:rPr>
        <w:t>月</w:t>
      </w:r>
      <w:r w:rsidR="00AC4A34" w:rsidRPr="00C24ACA">
        <w:rPr>
          <w:rFonts w:eastAsiaTheme="minorEastAsia"/>
          <w:kern w:val="0"/>
          <w:szCs w:val="21"/>
        </w:rPr>
        <w:t>30</w:t>
      </w:r>
      <w:r w:rsidR="00AC4A34" w:rsidRPr="00C24ACA">
        <w:rPr>
          <w:rFonts w:eastAsiaTheme="minorEastAsia"/>
          <w:kern w:val="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2127"/>
        <w:gridCol w:w="1984"/>
        <w:gridCol w:w="2054"/>
      </w:tblGrid>
      <w:tr w:rsidR="008A5A5D" w:rsidRPr="00C24ACA" w:rsidTr="006D141C">
        <w:tc>
          <w:tcPr>
            <w:tcW w:w="2835" w:type="dxa"/>
            <w:vMerge w:val="restart"/>
            <w:vAlign w:val="center"/>
          </w:tcPr>
          <w:p w:rsidR="008A5A5D" w:rsidRPr="00C24ACA" w:rsidRDefault="008A5A5D" w:rsidP="00C96D24">
            <w:pPr>
              <w:jc w:val="center"/>
              <w:rPr>
                <w:rFonts w:eastAsiaTheme="minorEastAsia"/>
                <w:b/>
                <w:color w:val="000000"/>
                <w:szCs w:val="21"/>
              </w:rPr>
            </w:pPr>
            <w:r w:rsidRPr="00C24ACA">
              <w:rPr>
                <w:rFonts w:eastAsiaTheme="minorEastAsia"/>
                <w:b/>
                <w:color w:val="000000"/>
                <w:szCs w:val="21"/>
              </w:rPr>
              <w:t>项目</w:t>
            </w:r>
          </w:p>
        </w:tc>
        <w:tc>
          <w:tcPr>
            <w:tcW w:w="6165" w:type="dxa"/>
            <w:gridSpan w:val="3"/>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本期</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日</w:t>
            </w:r>
            <w:r w:rsidR="008A5A5D" w:rsidRPr="00C24ACA">
              <w:rPr>
                <w:rFonts w:ascii="Times New Roman" w:eastAsiaTheme="minorEastAsia" w:hAnsi="Times New Roman"/>
                <w:b/>
                <w:sz w:val="21"/>
                <w:szCs w:val="21"/>
              </w:rPr>
              <w:t>至</w:t>
            </w: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6</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30</w:t>
            </w:r>
            <w:r w:rsidRPr="00C24ACA">
              <w:rPr>
                <w:rFonts w:ascii="Times New Roman" w:eastAsiaTheme="minorEastAsia" w:hAnsi="Times New Roman"/>
                <w:b/>
                <w:sz w:val="21"/>
                <w:szCs w:val="21"/>
              </w:rPr>
              <w:t>日</w:t>
            </w:r>
          </w:p>
        </w:tc>
      </w:tr>
      <w:tr w:rsidR="008A5A5D" w:rsidRPr="00C24ACA" w:rsidTr="006D141C">
        <w:tc>
          <w:tcPr>
            <w:tcW w:w="2835" w:type="dxa"/>
            <w:vMerge/>
            <w:vAlign w:val="center"/>
          </w:tcPr>
          <w:p w:rsidR="008A5A5D" w:rsidRPr="00C24ACA" w:rsidRDefault="008A5A5D">
            <w:pPr>
              <w:widowControl/>
              <w:jc w:val="left"/>
              <w:rPr>
                <w:rFonts w:eastAsiaTheme="minorEastAsia"/>
                <w:b/>
                <w:color w:val="000000"/>
                <w:szCs w:val="21"/>
              </w:rPr>
            </w:pPr>
          </w:p>
        </w:tc>
        <w:tc>
          <w:tcPr>
            <w:tcW w:w="2127" w:type="dxa"/>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实收基金</w:t>
            </w:r>
          </w:p>
        </w:tc>
        <w:tc>
          <w:tcPr>
            <w:tcW w:w="1984" w:type="dxa"/>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未分配利润</w:t>
            </w:r>
          </w:p>
        </w:tc>
        <w:tc>
          <w:tcPr>
            <w:tcW w:w="2054" w:type="dxa"/>
            <w:vAlign w:val="center"/>
          </w:tcPr>
          <w:p w:rsidR="008A5A5D" w:rsidRPr="00C24ACA" w:rsidRDefault="008A5A5D">
            <w:pPr>
              <w:jc w:val="center"/>
              <w:rPr>
                <w:rFonts w:eastAsiaTheme="minorEastAsia"/>
                <w:color w:val="000000"/>
                <w:szCs w:val="21"/>
              </w:rPr>
            </w:pPr>
            <w:r w:rsidRPr="00C24ACA">
              <w:rPr>
                <w:rFonts w:eastAsiaTheme="minorEastAsia"/>
                <w:b/>
                <w:color w:val="000000"/>
                <w:szCs w:val="21"/>
              </w:rPr>
              <w:t>所有者权益合计</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一、期初所有者权益（基金净值）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429,157,206.13</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-62,317,791.90</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366,839,414.23</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二、本期经营活动产生的基金净值变动数（本期利润）</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30,454,056.96</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30,454,056.96</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三、本期基金份额交易产生的基金净值变动数（净值减少以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-112,529,715.19</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15,041,894.90</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-97,487,820.29</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其中：</w:t>
            </w:r>
            <w:r w:rsidRPr="00C24ACA">
              <w:rPr>
                <w:rFonts w:eastAsiaTheme="minorEastAsia"/>
                <w:color w:val="000000"/>
                <w:szCs w:val="21"/>
              </w:rPr>
              <w:t>1.</w:t>
            </w:r>
            <w:r w:rsidRPr="00C24ACA">
              <w:rPr>
                <w:rFonts w:eastAsiaTheme="minorEastAsia"/>
                <w:color w:val="000000"/>
                <w:szCs w:val="21"/>
              </w:rPr>
              <w:t>基金申购款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118,983,019.18</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-15,243,639.17</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103,739,380.01</w:t>
            </w:r>
          </w:p>
        </w:tc>
      </w:tr>
      <w:tr w:rsidR="008A5A5D" w:rsidRPr="00C24ACA" w:rsidTr="00C903E7">
        <w:tc>
          <w:tcPr>
            <w:tcW w:w="2835" w:type="dxa"/>
          </w:tcPr>
          <w:p w:rsidR="008A5A5D" w:rsidRPr="00C24ACA" w:rsidRDefault="008A5A5D" w:rsidP="008134C7">
            <w:pPr>
              <w:ind w:firstLineChars="300" w:firstLine="630"/>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基金赎回款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-231,512,734.37</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30,285,534.07</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-201,227,200.30</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四、本期向基金份额持有人分配利润产生的基金净值变动（净值减少以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五、期末所有者权益（基金净值）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316,627,490.94</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-16,821,840.04</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299,805,650.90</w:t>
            </w:r>
          </w:p>
        </w:tc>
      </w:tr>
      <w:tr w:rsidR="008A5A5D" w:rsidRPr="00C24ACA" w:rsidTr="006D141C">
        <w:tc>
          <w:tcPr>
            <w:tcW w:w="2835" w:type="dxa"/>
            <w:vMerge w:val="restart"/>
            <w:vAlign w:val="center"/>
          </w:tcPr>
          <w:p w:rsidR="008A5A5D" w:rsidRPr="00C24ACA" w:rsidRDefault="008A5A5D">
            <w:pPr>
              <w:jc w:val="center"/>
              <w:rPr>
                <w:rFonts w:eastAsiaTheme="minorEastAsia"/>
                <w:color w:val="000000"/>
                <w:szCs w:val="21"/>
              </w:rPr>
            </w:pPr>
            <w:r w:rsidRPr="00C24ACA">
              <w:rPr>
                <w:rFonts w:eastAsiaTheme="minorEastAsia"/>
                <w:b/>
                <w:color w:val="000000"/>
                <w:szCs w:val="21"/>
              </w:rPr>
              <w:t>项目</w:t>
            </w:r>
          </w:p>
        </w:tc>
        <w:tc>
          <w:tcPr>
            <w:tcW w:w="6165" w:type="dxa"/>
            <w:gridSpan w:val="3"/>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上年度可比期间</w:t>
            </w:r>
          </w:p>
          <w:p w:rsidR="008A5A5D" w:rsidRPr="00C24ACA" w:rsidRDefault="00BD0707">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1</w:t>
            </w:r>
            <w:r w:rsidRPr="00C24ACA">
              <w:rPr>
                <w:rFonts w:ascii="Times New Roman" w:eastAsiaTheme="minorEastAsia" w:hAnsi="Times New Roman"/>
                <w:b/>
                <w:color w:val="000000"/>
                <w:sz w:val="21"/>
                <w:szCs w:val="21"/>
              </w:rPr>
              <w:t>日至</w:t>
            </w: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6</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30</w:t>
            </w:r>
            <w:r w:rsidRPr="00C24ACA">
              <w:rPr>
                <w:rFonts w:ascii="Times New Roman" w:eastAsiaTheme="minorEastAsia" w:hAnsi="Times New Roman"/>
                <w:b/>
                <w:color w:val="000000"/>
                <w:sz w:val="21"/>
                <w:szCs w:val="21"/>
              </w:rPr>
              <w:t>日</w:t>
            </w:r>
          </w:p>
        </w:tc>
      </w:tr>
      <w:tr w:rsidR="008A5A5D" w:rsidRPr="00C24ACA" w:rsidTr="008964A8">
        <w:tc>
          <w:tcPr>
            <w:tcW w:w="2835" w:type="dxa"/>
            <w:vMerge/>
            <w:vAlign w:val="center"/>
          </w:tcPr>
          <w:p w:rsidR="008A5A5D" w:rsidRPr="00C24ACA" w:rsidRDefault="008A5A5D">
            <w:pPr>
              <w:widowControl/>
              <w:jc w:val="left"/>
              <w:rPr>
                <w:rFonts w:eastAsiaTheme="minorEastAsia"/>
                <w:color w:val="000000"/>
                <w:szCs w:val="21"/>
              </w:rPr>
            </w:pPr>
          </w:p>
        </w:tc>
        <w:tc>
          <w:tcPr>
            <w:tcW w:w="2127" w:type="dxa"/>
            <w:vAlign w:val="center"/>
          </w:tcPr>
          <w:p w:rsidR="008A5A5D" w:rsidRPr="00C24ACA" w:rsidRDefault="008A5A5D" w:rsidP="00E069E3">
            <w:pPr>
              <w:jc w:val="center"/>
              <w:rPr>
                <w:rFonts w:eastAsiaTheme="minorEastAsia"/>
                <w:color w:val="000000"/>
                <w:szCs w:val="21"/>
              </w:rPr>
            </w:pPr>
            <w:r w:rsidRPr="00C24ACA">
              <w:rPr>
                <w:rFonts w:eastAsiaTheme="minorEastAsia"/>
                <w:b/>
                <w:color w:val="000000"/>
                <w:szCs w:val="21"/>
              </w:rPr>
              <w:t>实收基金</w:t>
            </w:r>
          </w:p>
        </w:tc>
        <w:tc>
          <w:tcPr>
            <w:tcW w:w="1984" w:type="dxa"/>
            <w:vAlign w:val="center"/>
          </w:tcPr>
          <w:p w:rsidR="008A5A5D" w:rsidRPr="00C24ACA" w:rsidRDefault="008A5A5D" w:rsidP="008964A8">
            <w:pPr>
              <w:jc w:val="center"/>
              <w:rPr>
                <w:rFonts w:eastAsiaTheme="minorEastAsia"/>
                <w:color w:val="000000"/>
                <w:szCs w:val="21"/>
              </w:rPr>
            </w:pPr>
            <w:r w:rsidRPr="00C24ACA">
              <w:rPr>
                <w:rFonts w:eastAsiaTheme="minorEastAsia"/>
                <w:b/>
                <w:color w:val="000000"/>
                <w:szCs w:val="21"/>
              </w:rPr>
              <w:t>未分配利润</w:t>
            </w:r>
          </w:p>
        </w:tc>
        <w:tc>
          <w:tcPr>
            <w:tcW w:w="2054" w:type="dxa"/>
            <w:vAlign w:val="center"/>
          </w:tcPr>
          <w:p w:rsidR="008A5A5D" w:rsidRPr="00C24ACA" w:rsidRDefault="008A5A5D" w:rsidP="008964A8">
            <w:pPr>
              <w:jc w:val="center"/>
              <w:rPr>
                <w:rFonts w:eastAsiaTheme="minorEastAsia"/>
                <w:b/>
                <w:color w:val="000000"/>
                <w:szCs w:val="21"/>
              </w:rPr>
            </w:pPr>
            <w:r w:rsidRPr="00C24ACA">
              <w:rPr>
                <w:rFonts w:eastAsiaTheme="minorEastAsia"/>
                <w:b/>
                <w:color w:val="000000"/>
                <w:szCs w:val="21"/>
              </w:rPr>
              <w:t>所有者权益合计</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一、期初所有者权益（基金净值）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375,538,714.53</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-108,330,932.98</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267,207,781.55</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二、本期经营活动产生的基金净值变动数（本期利润）</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20,775,589.79</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20,775,589.79</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三、本期基金份额交易产生的基金净值变动数（净值减少以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131,829,569.30</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-34,322,947.03</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97,506,622.27</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其中：</w:t>
            </w:r>
            <w:r w:rsidRPr="00C24ACA">
              <w:rPr>
                <w:rFonts w:eastAsiaTheme="minorEastAsia"/>
                <w:color w:val="000000"/>
                <w:szCs w:val="21"/>
              </w:rPr>
              <w:t>1.</w:t>
            </w:r>
            <w:r w:rsidRPr="00C24ACA">
              <w:rPr>
                <w:rFonts w:eastAsiaTheme="minorEastAsia"/>
                <w:color w:val="000000"/>
                <w:szCs w:val="21"/>
              </w:rPr>
              <w:t>基金申购款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253,350,492.55</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-66,559,974.70</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186,790,517.85</w:t>
            </w:r>
          </w:p>
        </w:tc>
      </w:tr>
      <w:tr w:rsidR="008A5A5D" w:rsidRPr="00C24ACA" w:rsidTr="00C903E7">
        <w:tc>
          <w:tcPr>
            <w:tcW w:w="2835" w:type="dxa"/>
          </w:tcPr>
          <w:p w:rsidR="008A5A5D" w:rsidRPr="00C24ACA" w:rsidRDefault="008A5A5D" w:rsidP="008134C7">
            <w:pPr>
              <w:ind w:firstLineChars="300" w:firstLine="630"/>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基金赎回款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-121,520,923.25</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32,237,027.67</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-89,283,895.58</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四、本期向基金份额持有人分配利润产生的基金净值变动（净值减少以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五、期末所有者权益（基金净值）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507,368,283.83</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-121,878,290.22</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385,489,993.61</w:t>
            </w:r>
          </w:p>
        </w:tc>
      </w:tr>
    </w:tbl>
    <w:p w:rsidR="0035753E" w:rsidRPr="00C24ACA" w:rsidRDefault="0035753E" w:rsidP="00732F5C">
      <w:pPr>
        <w:spacing w:beforeLines="100" w:before="312" w:line="360" w:lineRule="auto"/>
        <w:rPr>
          <w:rFonts w:eastAsiaTheme="minorEastAsia"/>
          <w:szCs w:val="21"/>
        </w:rPr>
      </w:pPr>
      <w:r w:rsidRPr="00C24ACA">
        <w:rPr>
          <w:rFonts w:eastAsiaTheme="minorEastAsia"/>
          <w:szCs w:val="21"/>
        </w:rPr>
        <w:t>报表附注为财务报表的组成部分。</w:t>
      </w:r>
    </w:p>
    <w:p w:rsidR="0035753E" w:rsidRPr="00C24ACA" w:rsidRDefault="0035753E" w:rsidP="00316012">
      <w:pPr>
        <w:spacing w:line="360" w:lineRule="auto"/>
        <w:rPr>
          <w:rFonts w:eastAsiaTheme="minorEastAsia"/>
          <w:szCs w:val="21"/>
        </w:rPr>
      </w:pPr>
      <w:r w:rsidRPr="00C24ACA">
        <w:rPr>
          <w:rFonts w:eastAsiaTheme="minorEastAsia"/>
          <w:szCs w:val="21"/>
        </w:rPr>
        <w:t>本报告</w:t>
      </w:r>
      <w:r w:rsidRPr="00C24ACA">
        <w:rPr>
          <w:rFonts w:eastAsiaTheme="minorEastAsia"/>
          <w:szCs w:val="21"/>
        </w:rPr>
        <w:t>6.1</w:t>
      </w:r>
      <w:r w:rsidRPr="00C24ACA">
        <w:rPr>
          <w:rFonts w:eastAsiaTheme="minorEastAsia"/>
          <w:szCs w:val="21"/>
        </w:rPr>
        <w:t>至</w:t>
      </w:r>
      <w:r w:rsidRPr="00C24ACA">
        <w:rPr>
          <w:rFonts w:eastAsiaTheme="minorEastAsia"/>
          <w:szCs w:val="21"/>
        </w:rPr>
        <w:t>6.4</w:t>
      </w:r>
      <w:r w:rsidRPr="00C24ACA">
        <w:rPr>
          <w:rFonts w:eastAsiaTheme="minorEastAsia"/>
          <w:szCs w:val="21"/>
        </w:rPr>
        <w:t>，财务报表由下列负责人签署：</w:t>
      </w:r>
    </w:p>
    <w:p w:rsidR="008A5A5D" w:rsidRPr="00C24ACA" w:rsidRDefault="00787FF8" w:rsidP="00862636">
      <w:pPr>
        <w:spacing w:line="360" w:lineRule="auto"/>
        <w:rPr>
          <w:rFonts w:eastAsiaTheme="minorEastAsia"/>
          <w:szCs w:val="21"/>
        </w:rPr>
      </w:pPr>
      <w:r w:rsidRPr="00C24ACA">
        <w:rPr>
          <w:rFonts w:eastAsiaTheme="minorEastAsia"/>
          <w:szCs w:val="21"/>
        </w:rPr>
        <w:t>基金管理人</w:t>
      </w:r>
      <w:r w:rsidR="0035753E" w:rsidRPr="00C24ACA">
        <w:rPr>
          <w:rFonts w:eastAsiaTheme="minorEastAsia"/>
          <w:szCs w:val="21"/>
        </w:rPr>
        <w:t>负责人：刘晓艳，主管会计工作负责人：陈荣，会计机构负责人：邱毅华</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90" w:name="_Toc225498271"/>
      <w:bookmarkStart w:id="191" w:name="_Toc352255994"/>
      <w:bookmarkStart w:id="192" w:name="_Toc352256062"/>
      <w:bookmarkStart w:id="193" w:name="_Toc352331240"/>
      <w:bookmarkStart w:id="194" w:name="_Toc390164819"/>
      <w:bookmarkStart w:id="195" w:name="_Toc48663425"/>
      <w:r w:rsidRPr="0087359D">
        <w:rPr>
          <w:rFonts w:ascii="宋体" w:hAnsi="宋体"/>
          <w:kern w:val="0"/>
          <w:sz w:val="21"/>
          <w:szCs w:val="21"/>
        </w:rPr>
        <w:t>6.4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报表附注</w:t>
      </w:r>
      <w:bookmarkEnd w:id="190"/>
      <w:bookmarkEnd w:id="191"/>
      <w:bookmarkEnd w:id="192"/>
      <w:bookmarkEnd w:id="193"/>
      <w:bookmarkEnd w:id="194"/>
      <w:bookmarkEnd w:id="195"/>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w:t>
      </w:r>
      <w:r w:rsidR="004F3E31" w:rsidRPr="00C24ACA">
        <w:rPr>
          <w:rFonts w:eastAsiaTheme="minorEastAsia"/>
          <w:b/>
          <w:bCs/>
          <w:color w:val="000000"/>
          <w:kern w:val="0"/>
          <w:szCs w:val="21"/>
        </w:rPr>
        <w:t xml:space="preserve"> </w:t>
      </w:r>
      <w:r w:rsidRPr="00C24ACA">
        <w:rPr>
          <w:rFonts w:eastAsiaTheme="minorEastAsia"/>
          <w:b/>
          <w:color w:val="000000"/>
          <w:kern w:val="0"/>
          <w:szCs w:val="21"/>
        </w:rPr>
        <w:t>基金基本情况</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易方达黄金主题证券投资基金（</w:t>
      </w:r>
      <w:r>
        <w:rPr>
          <w:rFonts w:eastAsiaTheme="minorEastAsia"/>
          <w:kern w:val="0"/>
          <w:szCs w:val="21"/>
        </w:rPr>
        <w:t>LOF</w:t>
      </w:r>
      <w:r>
        <w:rPr>
          <w:rFonts w:eastAsiaTheme="minorEastAsia"/>
          <w:kern w:val="0"/>
          <w:szCs w:val="21"/>
        </w:rPr>
        <w:t>）</w:t>
      </w:r>
      <w:r>
        <w:rPr>
          <w:rFonts w:eastAsiaTheme="minorEastAsia"/>
          <w:kern w:val="0"/>
          <w:szCs w:val="21"/>
        </w:rPr>
        <w:t>(</w:t>
      </w:r>
      <w:r>
        <w:rPr>
          <w:rFonts w:eastAsiaTheme="minorEastAsia"/>
          <w:kern w:val="0"/>
          <w:szCs w:val="21"/>
        </w:rPr>
        <w:t>简称</w:t>
      </w:r>
      <w:r>
        <w:rPr>
          <w:rFonts w:eastAsiaTheme="minorEastAsia"/>
          <w:kern w:val="0"/>
          <w:szCs w:val="21"/>
        </w:rPr>
        <w:t>“</w:t>
      </w:r>
      <w:r>
        <w:rPr>
          <w:rFonts w:eastAsiaTheme="minorEastAsia"/>
          <w:kern w:val="0"/>
          <w:szCs w:val="21"/>
        </w:rPr>
        <w:t>本基金</w:t>
      </w:r>
      <w:r>
        <w:rPr>
          <w:rFonts w:eastAsiaTheme="minorEastAsia"/>
          <w:kern w:val="0"/>
          <w:szCs w:val="21"/>
        </w:rPr>
        <w:t>”)</w:t>
      </w:r>
      <w:r>
        <w:rPr>
          <w:rFonts w:eastAsiaTheme="minorEastAsia"/>
          <w:kern w:val="0"/>
          <w:szCs w:val="21"/>
        </w:rPr>
        <w:t>经中国证券监督管理委员会</w:t>
      </w:r>
      <w:r>
        <w:rPr>
          <w:rFonts w:eastAsiaTheme="minorEastAsia"/>
          <w:kern w:val="0"/>
          <w:szCs w:val="21"/>
        </w:rPr>
        <w:t xml:space="preserve"> (</w:t>
      </w:r>
      <w:r>
        <w:rPr>
          <w:rFonts w:eastAsiaTheme="minorEastAsia"/>
          <w:kern w:val="0"/>
          <w:szCs w:val="21"/>
        </w:rPr>
        <w:t>以下简称</w:t>
      </w:r>
      <w:r>
        <w:rPr>
          <w:rFonts w:eastAsiaTheme="minorEastAsia"/>
          <w:kern w:val="0"/>
          <w:szCs w:val="21"/>
        </w:rPr>
        <w:t>“</w:t>
      </w:r>
      <w:r>
        <w:rPr>
          <w:rFonts w:eastAsiaTheme="minorEastAsia"/>
          <w:kern w:val="0"/>
          <w:szCs w:val="21"/>
        </w:rPr>
        <w:t>中国证监会</w:t>
      </w:r>
      <w:r>
        <w:rPr>
          <w:rFonts w:eastAsiaTheme="minorEastAsia"/>
          <w:kern w:val="0"/>
          <w:szCs w:val="21"/>
        </w:rPr>
        <w:t>”)</w:t>
      </w:r>
      <w:r>
        <w:rPr>
          <w:rFonts w:eastAsiaTheme="minorEastAsia"/>
          <w:kern w:val="0"/>
          <w:szCs w:val="21"/>
        </w:rPr>
        <w:t>证监许可</w:t>
      </w:r>
      <w:r>
        <w:rPr>
          <w:rFonts w:eastAsiaTheme="minorEastAsia"/>
          <w:kern w:val="0"/>
          <w:szCs w:val="21"/>
        </w:rPr>
        <w:t xml:space="preserve">[2011]181 </w:t>
      </w:r>
      <w:r>
        <w:rPr>
          <w:rFonts w:eastAsiaTheme="minorEastAsia"/>
          <w:kern w:val="0"/>
          <w:szCs w:val="21"/>
        </w:rPr>
        <w:t>号《关于核准易方达黄金主题证券投资基金（</w:t>
      </w:r>
      <w:r>
        <w:rPr>
          <w:rFonts w:eastAsiaTheme="minorEastAsia"/>
          <w:kern w:val="0"/>
          <w:szCs w:val="21"/>
        </w:rPr>
        <w:t>LOF</w:t>
      </w:r>
      <w:r>
        <w:rPr>
          <w:rFonts w:eastAsiaTheme="minorEastAsia"/>
          <w:kern w:val="0"/>
          <w:szCs w:val="21"/>
        </w:rPr>
        <w:t>）募集的批复》核准，由易方达基金管理有限公司依照《中华人民共和国证券投资基金法》和《易方达黄金主题证券投资基金（</w:t>
      </w:r>
      <w:r>
        <w:rPr>
          <w:rFonts w:eastAsiaTheme="minorEastAsia"/>
          <w:kern w:val="0"/>
          <w:szCs w:val="21"/>
        </w:rPr>
        <w:t>LOF</w:t>
      </w:r>
      <w:r>
        <w:rPr>
          <w:rFonts w:eastAsiaTheme="minorEastAsia"/>
          <w:kern w:val="0"/>
          <w:szCs w:val="21"/>
        </w:rPr>
        <w:t>）基金合同》公开募集。经向中国证监会备案，本基金基金合同于</w:t>
      </w:r>
      <w:r>
        <w:rPr>
          <w:rFonts w:eastAsiaTheme="minorEastAsia"/>
          <w:kern w:val="0"/>
          <w:szCs w:val="21"/>
        </w:rPr>
        <w:t>2011</w:t>
      </w:r>
      <w:r>
        <w:rPr>
          <w:rFonts w:eastAsiaTheme="minorEastAsia"/>
          <w:kern w:val="0"/>
          <w:szCs w:val="21"/>
        </w:rPr>
        <w:t>年</w:t>
      </w:r>
      <w:r>
        <w:rPr>
          <w:rFonts w:eastAsiaTheme="minorEastAsia"/>
          <w:kern w:val="0"/>
          <w:szCs w:val="21"/>
        </w:rPr>
        <w:t>5</w:t>
      </w:r>
      <w:r>
        <w:rPr>
          <w:rFonts w:eastAsiaTheme="minorEastAsia"/>
          <w:kern w:val="0"/>
          <w:szCs w:val="21"/>
        </w:rPr>
        <w:t>月</w:t>
      </w:r>
      <w:r>
        <w:rPr>
          <w:rFonts w:eastAsiaTheme="minorEastAsia"/>
          <w:kern w:val="0"/>
          <w:szCs w:val="21"/>
        </w:rPr>
        <w:t>6</w:t>
      </w:r>
      <w:r>
        <w:rPr>
          <w:rFonts w:eastAsiaTheme="minorEastAsia"/>
          <w:kern w:val="0"/>
          <w:szCs w:val="21"/>
        </w:rPr>
        <w:t>日正式生效，基金合同生效日的基金份额总额为</w:t>
      </w:r>
      <w:r>
        <w:rPr>
          <w:rFonts w:eastAsiaTheme="minorEastAsia"/>
          <w:kern w:val="0"/>
          <w:szCs w:val="21"/>
        </w:rPr>
        <w:t>2,657,035,909.18</w:t>
      </w:r>
      <w:r>
        <w:rPr>
          <w:rFonts w:eastAsiaTheme="minorEastAsia"/>
          <w:kern w:val="0"/>
          <w:szCs w:val="21"/>
        </w:rPr>
        <w:t>份基金份额，其中认购资金利息折合</w:t>
      </w:r>
      <w:r>
        <w:rPr>
          <w:rFonts w:eastAsiaTheme="minorEastAsia"/>
          <w:kern w:val="0"/>
          <w:szCs w:val="21"/>
        </w:rPr>
        <w:t>1,549,690.94</w:t>
      </w:r>
      <w:r>
        <w:rPr>
          <w:rFonts w:eastAsiaTheme="minorEastAsia"/>
          <w:kern w:val="0"/>
          <w:szCs w:val="21"/>
        </w:rPr>
        <w:t>份基金份额。本基金为契约型、上市开放式基金，存续期限不定。本基金的基金管理人为易方达基金管理有限公司，注册登记机构为中国证券登记结算有限责任公司，基金托管人为中国农业银行股份有限公司，境外资产托管人为香港上海汇丰银行有限公司。</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自</w:t>
      </w:r>
      <w:r w:rsidRPr="00C24ACA">
        <w:rPr>
          <w:rFonts w:eastAsiaTheme="minorEastAsia"/>
          <w:kern w:val="0"/>
          <w:szCs w:val="21"/>
        </w:rPr>
        <w:t>2019</w:t>
      </w:r>
      <w:r w:rsidRPr="00C24ACA">
        <w:rPr>
          <w:rFonts w:eastAsiaTheme="minorEastAsia"/>
          <w:kern w:val="0"/>
          <w:szCs w:val="21"/>
        </w:rPr>
        <w:t>年</w:t>
      </w:r>
      <w:r w:rsidRPr="00C24ACA">
        <w:rPr>
          <w:rFonts w:eastAsiaTheme="minorEastAsia"/>
          <w:kern w:val="0"/>
          <w:szCs w:val="21"/>
        </w:rPr>
        <w:t>10</w:t>
      </w:r>
      <w:r w:rsidRPr="00C24ACA">
        <w:rPr>
          <w:rFonts w:eastAsiaTheme="minorEastAsia"/>
          <w:kern w:val="0"/>
          <w:szCs w:val="21"/>
        </w:rPr>
        <w:t>月</w:t>
      </w:r>
      <w:r w:rsidRPr="00C24ACA">
        <w:rPr>
          <w:rFonts w:eastAsiaTheme="minorEastAsia"/>
          <w:kern w:val="0"/>
          <w:szCs w:val="21"/>
        </w:rPr>
        <w:t>11</w:t>
      </w:r>
      <w:r w:rsidRPr="00C24ACA">
        <w:rPr>
          <w:rFonts w:eastAsiaTheme="minorEastAsia"/>
          <w:kern w:val="0"/>
          <w:szCs w:val="21"/>
        </w:rPr>
        <w:t>日起，本基金增设</w:t>
      </w:r>
      <w:r w:rsidRPr="00C24ACA">
        <w:rPr>
          <w:rFonts w:eastAsiaTheme="minorEastAsia"/>
          <w:kern w:val="0"/>
          <w:szCs w:val="21"/>
        </w:rPr>
        <w:t>C</w:t>
      </w:r>
      <w:r w:rsidRPr="00C24ACA">
        <w:rPr>
          <w:rFonts w:eastAsiaTheme="minorEastAsia"/>
          <w:kern w:val="0"/>
          <w:szCs w:val="21"/>
        </w:rPr>
        <w:t>类份额类别，份额首次确认日为</w:t>
      </w:r>
      <w:r w:rsidRPr="00C24ACA">
        <w:rPr>
          <w:rFonts w:eastAsiaTheme="minorEastAsia"/>
          <w:kern w:val="0"/>
          <w:szCs w:val="21"/>
        </w:rPr>
        <w:t>2019</w:t>
      </w:r>
      <w:r w:rsidRPr="00C24ACA">
        <w:rPr>
          <w:rFonts w:eastAsiaTheme="minorEastAsia"/>
          <w:kern w:val="0"/>
          <w:szCs w:val="21"/>
        </w:rPr>
        <w:t>年</w:t>
      </w:r>
      <w:r w:rsidRPr="00C24ACA">
        <w:rPr>
          <w:rFonts w:eastAsiaTheme="minorEastAsia"/>
          <w:kern w:val="0"/>
          <w:szCs w:val="21"/>
        </w:rPr>
        <w:t>10</w:t>
      </w:r>
      <w:r w:rsidRPr="00C24ACA">
        <w:rPr>
          <w:rFonts w:eastAsiaTheme="minorEastAsia"/>
          <w:kern w:val="0"/>
          <w:szCs w:val="21"/>
        </w:rPr>
        <w:t>月</w:t>
      </w:r>
      <w:r w:rsidRPr="00C24ACA">
        <w:rPr>
          <w:rFonts w:eastAsiaTheme="minorEastAsia"/>
          <w:kern w:val="0"/>
          <w:szCs w:val="21"/>
        </w:rPr>
        <w:t>14</w:t>
      </w:r>
      <w:r w:rsidRPr="00C24ACA">
        <w:rPr>
          <w:rFonts w:eastAsiaTheme="minorEastAsia"/>
          <w:kern w:val="0"/>
          <w:szCs w:val="21"/>
        </w:rPr>
        <w:t>日。</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6.4.2</w:t>
      </w:r>
      <w:r w:rsidR="004F3E31" w:rsidRPr="00C24ACA">
        <w:rPr>
          <w:rFonts w:eastAsiaTheme="minorEastAsia"/>
          <w:b/>
          <w:bCs/>
          <w:color w:val="000000"/>
          <w:kern w:val="0"/>
          <w:szCs w:val="21"/>
        </w:rPr>
        <w:t xml:space="preserve"> </w:t>
      </w:r>
      <w:r w:rsidRPr="00C24ACA">
        <w:rPr>
          <w:rFonts w:eastAsiaTheme="minorEastAsia"/>
          <w:b/>
          <w:color w:val="000000"/>
          <w:kern w:val="0"/>
          <w:szCs w:val="21"/>
        </w:rPr>
        <w:t>会计报表的编制基础</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本基金的财务报表按照财政部于</w:t>
      </w:r>
      <w:r>
        <w:rPr>
          <w:rFonts w:eastAsiaTheme="minorEastAsia"/>
          <w:kern w:val="0"/>
          <w:szCs w:val="21"/>
        </w:rPr>
        <w:t>2006</w:t>
      </w:r>
      <w:r>
        <w:rPr>
          <w:rFonts w:eastAsiaTheme="minorEastAsia"/>
          <w:kern w:val="0"/>
          <w:szCs w:val="21"/>
        </w:rPr>
        <w:t>年</w:t>
      </w:r>
      <w:r>
        <w:rPr>
          <w:rFonts w:eastAsiaTheme="minorEastAsia"/>
          <w:kern w:val="0"/>
          <w:szCs w:val="21"/>
        </w:rPr>
        <w:t>2</w:t>
      </w:r>
      <w:r>
        <w:rPr>
          <w:rFonts w:eastAsiaTheme="minorEastAsia"/>
          <w:kern w:val="0"/>
          <w:szCs w:val="21"/>
        </w:rPr>
        <w:t>月</w:t>
      </w:r>
      <w:r>
        <w:rPr>
          <w:rFonts w:eastAsiaTheme="minorEastAsia"/>
          <w:kern w:val="0"/>
          <w:szCs w:val="21"/>
        </w:rPr>
        <w:t>15</w:t>
      </w:r>
      <w:r>
        <w:rPr>
          <w:rFonts w:eastAsiaTheme="minorEastAsia"/>
          <w:kern w:val="0"/>
          <w:szCs w:val="21"/>
        </w:rPr>
        <w:t>日及以后期间颁布的《企业会计准则</w:t>
      </w:r>
      <w:r>
        <w:rPr>
          <w:rFonts w:eastAsiaTheme="minorEastAsia"/>
          <w:kern w:val="0"/>
          <w:szCs w:val="21"/>
        </w:rPr>
        <w:t>-</w:t>
      </w:r>
      <w:r>
        <w:rPr>
          <w:rFonts w:eastAsiaTheme="minorEastAsia"/>
          <w:kern w:val="0"/>
          <w:szCs w:val="21"/>
        </w:rPr>
        <w:t>基本准则》、各项具体会计准则及相关规定</w:t>
      </w:r>
      <w:r>
        <w:rPr>
          <w:rFonts w:eastAsiaTheme="minorEastAsia"/>
          <w:kern w:val="0"/>
          <w:szCs w:val="21"/>
        </w:rPr>
        <w:t>(</w:t>
      </w:r>
      <w:r>
        <w:rPr>
          <w:rFonts w:eastAsiaTheme="minorEastAsia"/>
          <w:kern w:val="0"/>
          <w:szCs w:val="21"/>
        </w:rPr>
        <w:t>以下合称</w:t>
      </w:r>
      <w:r>
        <w:rPr>
          <w:rFonts w:eastAsiaTheme="minorEastAsia"/>
          <w:kern w:val="0"/>
          <w:szCs w:val="21"/>
        </w:rPr>
        <w:t>“</w:t>
      </w:r>
      <w:r>
        <w:rPr>
          <w:rFonts w:eastAsiaTheme="minorEastAsia"/>
          <w:kern w:val="0"/>
          <w:szCs w:val="21"/>
        </w:rPr>
        <w:t>企业会计准则</w:t>
      </w:r>
      <w:r>
        <w:rPr>
          <w:rFonts w:eastAsiaTheme="minorEastAsia"/>
          <w:kern w:val="0"/>
          <w:szCs w:val="21"/>
        </w:rPr>
        <w:t>”)</w:t>
      </w:r>
      <w:r>
        <w:rPr>
          <w:rFonts w:eastAsiaTheme="minorEastAsia"/>
          <w:kern w:val="0"/>
          <w:szCs w:val="21"/>
        </w:rPr>
        <w:t>、中国证监会颁布的《证券投资基金信息披露</w:t>
      </w:r>
      <w:r>
        <w:rPr>
          <w:rFonts w:eastAsiaTheme="minorEastAsia"/>
          <w:kern w:val="0"/>
          <w:szCs w:val="21"/>
        </w:rPr>
        <w:t>XBRL</w:t>
      </w:r>
      <w:r>
        <w:rPr>
          <w:rFonts w:eastAsiaTheme="minorEastAsia"/>
          <w:kern w:val="0"/>
          <w:szCs w:val="21"/>
        </w:rPr>
        <w:t>模板第</w:t>
      </w:r>
      <w:r>
        <w:rPr>
          <w:rFonts w:eastAsiaTheme="minorEastAsia"/>
          <w:kern w:val="0"/>
          <w:szCs w:val="21"/>
        </w:rPr>
        <w:t>3</w:t>
      </w:r>
      <w:r>
        <w:rPr>
          <w:rFonts w:eastAsiaTheme="minorEastAsia"/>
          <w:kern w:val="0"/>
          <w:szCs w:val="21"/>
        </w:rPr>
        <w:t>号</w:t>
      </w:r>
      <w:r>
        <w:rPr>
          <w:rFonts w:eastAsiaTheme="minorEastAsia"/>
          <w:kern w:val="0"/>
          <w:szCs w:val="21"/>
        </w:rPr>
        <w:t>&lt;</w:t>
      </w:r>
      <w:r>
        <w:rPr>
          <w:rFonts w:eastAsiaTheme="minorEastAsia"/>
          <w:kern w:val="0"/>
          <w:szCs w:val="21"/>
        </w:rPr>
        <w:t>年度报告和中期报告</w:t>
      </w:r>
      <w:r>
        <w:rPr>
          <w:rFonts w:eastAsiaTheme="minorEastAsia"/>
          <w:kern w:val="0"/>
          <w:szCs w:val="21"/>
        </w:rPr>
        <w:t>&gt;</w:t>
      </w:r>
      <w:r>
        <w:rPr>
          <w:rFonts w:eastAsiaTheme="minorEastAsia"/>
          <w:kern w:val="0"/>
          <w:szCs w:val="21"/>
        </w:rPr>
        <w:t>》、中国证券投资基金业协会</w:t>
      </w:r>
      <w:r>
        <w:rPr>
          <w:rFonts w:eastAsiaTheme="minorEastAsia"/>
          <w:kern w:val="0"/>
          <w:szCs w:val="21"/>
        </w:rPr>
        <w:t>(</w:t>
      </w:r>
      <w:r>
        <w:rPr>
          <w:rFonts w:eastAsiaTheme="minorEastAsia"/>
          <w:kern w:val="0"/>
          <w:szCs w:val="21"/>
        </w:rPr>
        <w:t>以下简称</w:t>
      </w:r>
      <w:r>
        <w:rPr>
          <w:rFonts w:eastAsiaTheme="minorEastAsia"/>
          <w:kern w:val="0"/>
          <w:szCs w:val="21"/>
        </w:rPr>
        <w:t>“</w:t>
      </w:r>
      <w:r>
        <w:rPr>
          <w:rFonts w:eastAsiaTheme="minorEastAsia"/>
          <w:kern w:val="0"/>
          <w:szCs w:val="21"/>
        </w:rPr>
        <w:t>中国基金业协会</w:t>
      </w:r>
      <w:r>
        <w:rPr>
          <w:rFonts w:eastAsiaTheme="minorEastAsia"/>
          <w:kern w:val="0"/>
          <w:szCs w:val="21"/>
        </w:rPr>
        <w:t>”)</w:t>
      </w:r>
      <w:r>
        <w:rPr>
          <w:rFonts w:eastAsiaTheme="minorEastAsia"/>
          <w:kern w:val="0"/>
          <w:szCs w:val="21"/>
        </w:rPr>
        <w:t>颁布的《证券投资基金会计核算业务指引》、《易方达黄金主题证券投资基金</w:t>
      </w:r>
      <w:r>
        <w:rPr>
          <w:rFonts w:eastAsiaTheme="minorEastAsia"/>
          <w:kern w:val="0"/>
          <w:szCs w:val="21"/>
        </w:rPr>
        <w:t>(LOF)</w:t>
      </w:r>
      <w:r>
        <w:rPr>
          <w:rFonts w:eastAsiaTheme="minorEastAsia"/>
          <w:kern w:val="0"/>
          <w:szCs w:val="21"/>
        </w:rPr>
        <w:t>基金合同》和财务报表附注所列示的中国证监会、中国基金业协会发布的有关规定及允许的基金行业实务操作编制。</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本财务报表以持续经营为基础编制。</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6.4.3</w:t>
      </w:r>
      <w:r w:rsidR="004F3E31" w:rsidRPr="00C24ACA">
        <w:rPr>
          <w:rFonts w:eastAsiaTheme="minorEastAsia"/>
          <w:b/>
          <w:bCs/>
          <w:color w:val="000000"/>
          <w:kern w:val="0"/>
          <w:szCs w:val="21"/>
        </w:rPr>
        <w:t xml:space="preserve"> </w:t>
      </w:r>
      <w:r w:rsidRPr="00C24ACA">
        <w:rPr>
          <w:rFonts w:eastAsiaTheme="minorEastAsia"/>
          <w:b/>
          <w:color w:val="000000"/>
          <w:kern w:val="0"/>
          <w:szCs w:val="21"/>
        </w:rPr>
        <w:t>遵循企业会计准则及其他有关规定的声明</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本财务报表符合企业会计准则的要求，真实、完整地反映了本基金本报告期末的财务状况以及本报告期间的经营成果和基金净值变动情况等有关信息。</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6.4.4</w:t>
      </w:r>
      <w:r w:rsidR="004F3E31" w:rsidRPr="00C24ACA">
        <w:rPr>
          <w:rFonts w:eastAsiaTheme="minorEastAsia"/>
          <w:b/>
          <w:bCs/>
          <w:color w:val="000000"/>
          <w:kern w:val="0"/>
          <w:szCs w:val="21"/>
        </w:rPr>
        <w:t xml:space="preserve"> </w:t>
      </w:r>
      <w:r w:rsidR="004F3E31" w:rsidRPr="00C24ACA">
        <w:rPr>
          <w:rFonts w:eastAsiaTheme="minorEastAsia"/>
          <w:b/>
          <w:kern w:val="0"/>
          <w:szCs w:val="21"/>
        </w:rPr>
        <w:t>本报告期所采用的会计政策、会计估计与最近一期年度报告相一致的说明</w:t>
      </w:r>
    </w:p>
    <w:p w:rsidR="006E59EA"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本报告期所采用的会计政策、会计估计与最近一期年度报告相一致。</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6.4.5</w:t>
      </w:r>
      <w:r w:rsidRPr="00C24ACA">
        <w:rPr>
          <w:rFonts w:eastAsiaTheme="minorEastAsia"/>
          <w:b/>
          <w:color w:val="000000"/>
          <w:kern w:val="0"/>
          <w:szCs w:val="21"/>
        </w:rPr>
        <w:t xml:space="preserve"> </w:t>
      </w:r>
      <w:r w:rsidRPr="00C24ACA">
        <w:rPr>
          <w:rFonts w:eastAsiaTheme="minorEastAsia"/>
          <w:b/>
          <w:color w:val="000000"/>
          <w:kern w:val="0"/>
          <w:szCs w:val="21"/>
        </w:rPr>
        <w:t>差错更正的说明</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本基金本报告期无会计差错更正。</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6.4.6</w:t>
      </w:r>
      <w:r w:rsidRPr="00C24ACA">
        <w:rPr>
          <w:rFonts w:eastAsiaTheme="minorEastAsia"/>
          <w:b/>
          <w:color w:val="000000"/>
          <w:kern w:val="0"/>
          <w:szCs w:val="21"/>
        </w:rPr>
        <w:t>税项</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根据财政部、国家税务总局财税</w:t>
      </w:r>
      <w:r>
        <w:rPr>
          <w:rFonts w:eastAsiaTheme="minorEastAsia"/>
          <w:kern w:val="0"/>
          <w:szCs w:val="21"/>
        </w:rPr>
        <w:t>[2002]128</w:t>
      </w:r>
      <w:r>
        <w:rPr>
          <w:rFonts w:eastAsiaTheme="minorEastAsia"/>
          <w:kern w:val="0"/>
          <w:szCs w:val="21"/>
        </w:rPr>
        <w:t>号《关于开放式证券投资基金有关税收问题的通知》、财税</w:t>
      </w:r>
      <w:r>
        <w:rPr>
          <w:rFonts w:eastAsiaTheme="minorEastAsia"/>
          <w:kern w:val="0"/>
          <w:szCs w:val="21"/>
        </w:rPr>
        <w:t>[2008]1</w:t>
      </w:r>
      <w:r>
        <w:rPr>
          <w:rFonts w:eastAsiaTheme="minorEastAsia"/>
          <w:kern w:val="0"/>
          <w:szCs w:val="21"/>
        </w:rPr>
        <w:t>号《关于企业所得税若干优惠政策的通知》、财税</w:t>
      </w:r>
      <w:r>
        <w:rPr>
          <w:rFonts w:eastAsiaTheme="minorEastAsia"/>
          <w:kern w:val="0"/>
          <w:szCs w:val="21"/>
        </w:rPr>
        <w:t>[2014]81</w:t>
      </w:r>
      <w:r>
        <w:rPr>
          <w:rFonts w:eastAsiaTheme="minorEastAsia"/>
          <w:kern w:val="0"/>
          <w:szCs w:val="21"/>
        </w:rPr>
        <w:t>号《财政部国家税务总局证监会关于沪港股票市场交易互联互通机制试点有关税收政策的通知》、财税</w:t>
      </w:r>
      <w:r>
        <w:rPr>
          <w:rFonts w:eastAsiaTheme="minorEastAsia"/>
          <w:kern w:val="0"/>
          <w:szCs w:val="21"/>
        </w:rPr>
        <w:t>[2016]36</w:t>
      </w:r>
      <w:r>
        <w:rPr>
          <w:rFonts w:eastAsiaTheme="minorEastAsia"/>
          <w:kern w:val="0"/>
          <w:szCs w:val="21"/>
        </w:rPr>
        <w:t>号《关于全面推开营业税改征增值税试点的通知》、财税</w:t>
      </w:r>
      <w:r>
        <w:rPr>
          <w:rFonts w:eastAsiaTheme="minorEastAsia"/>
          <w:kern w:val="0"/>
          <w:szCs w:val="21"/>
        </w:rPr>
        <w:t>[2016]46</w:t>
      </w:r>
      <w:r>
        <w:rPr>
          <w:rFonts w:eastAsiaTheme="minorEastAsia"/>
          <w:kern w:val="0"/>
          <w:szCs w:val="21"/>
        </w:rPr>
        <w:t>号《关于进一步明确全面推开营改增试点金融业有关政策的通知》、财税</w:t>
      </w:r>
      <w:r>
        <w:rPr>
          <w:rFonts w:eastAsiaTheme="minorEastAsia"/>
          <w:kern w:val="0"/>
          <w:szCs w:val="21"/>
        </w:rPr>
        <w:t>[2016]70</w:t>
      </w:r>
      <w:r>
        <w:rPr>
          <w:rFonts w:eastAsiaTheme="minorEastAsia"/>
          <w:kern w:val="0"/>
          <w:szCs w:val="21"/>
        </w:rPr>
        <w:t>号《关于金融机构同业往来等增值税政策的补充通知》、财税</w:t>
      </w:r>
      <w:r>
        <w:rPr>
          <w:rFonts w:eastAsiaTheme="minorEastAsia"/>
          <w:kern w:val="0"/>
          <w:szCs w:val="21"/>
        </w:rPr>
        <w:t>[2016]127</w:t>
      </w:r>
      <w:r>
        <w:rPr>
          <w:rFonts w:eastAsiaTheme="minorEastAsia"/>
          <w:kern w:val="0"/>
          <w:szCs w:val="21"/>
        </w:rPr>
        <w:t>号《财政部国家税务总局证监会关于深港股票市场交易互联互通机制试点有关税收政策的通知》、财税</w:t>
      </w:r>
      <w:r>
        <w:rPr>
          <w:rFonts w:eastAsiaTheme="minorEastAsia"/>
          <w:kern w:val="0"/>
          <w:szCs w:val="21"/>
        </w:rPr>
        <w:t>[2016]140</w:t>
      </w:r>
      <w:r>
        <w:rPr>
          <w:rFonts w:eastAsiaTheme="minorEastAsia"/>
          <w:kern w:val="0"/>
          <w:szCs w:val="21"/>
        </w:rPr>
        <w:t>号《关于明确金融房地产开发教育辅助服务等增值税政策的通知》、财税</w:t>
      </w:r>
      <w:r>
        <w:rPr>
          <w:rFonts w:eastAsiaTheme="minorEastAsia"/>
          <w:kern w:val="0"/>
          <w:szCs w:val="21"/>
        </w:rPr>
        <w:t>[2017]2</w:t>
      </w:r>
      <w:r>
        <w:rPr>
          <w:rFonts w:eastAsiaTheme="minorEastAsia"/>
          <w:kern w:val="0"/>
          <w:szCs w:val="21"/>
        </w:rPr>
        <w:t>号《关于资管产品增值税政策有关问题的补充通知》、财税</w:t>
      </w:r>
      <w:r>
        <w:rPr>
          <w:rFonts w:eastAsiaTheme="minorEastAsia"/>
          <w:kern w:val="0"/>
          <w:szCs w:val="21"/>
        </w:rPr>
        <w:t>[2017]56</w:t>
      </w:r>
      <w:r>
        <w:rPr>
          <w:rFonts w:eastAsiaTheme="minorEastAsia"/>
          <w:kern w:val="0"/>
          <w:szCs w:val="21"/>
        </w:rPr>
        <w:t>号《关于资管产品增值税有关问题的通知》、财税</w:t>
      </w:r>
      <w:r>
        <w:rPr>
          <w:rFonts w:eastAsiaTheme="minorEastAsia"/>
          <w:kern w:val="0"/>
          <w:szCs w:val="21"/>
        </w:rPr>
        <w:t>[2017]90</w:t>
      </w:r>
      <w:r>
        <w:rPr>
          <w:rFonts w:eastAsiaTheme="minorEastAsia"/>
          <w:kern w:val="0"/>
          <w:szCs w:val="21"/>
        </w:rPr>
        <w:t>号《关于租入固定资产进项税额抵扣等增值税政策的通知》及其他相关境内外财税法规和实务操作，主要税项列示如下：</w:t>
      </w:r>
      <w:r>
        <w:rPr>
          <w:rFonts w:eastAsiaTheme="minorEastAsia"/>
          <w:kern w:val="0"/>
          <w:szCs w:val="21"/>
        </w:rPr>
        <w:t xml:space="preserve"> </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(1)</w:t>
      </w:r>
      <w:r>
        <w:rPr>
          <w:rFonts w:eastAsiaTheme="minorEastAsia"/>
          <w:kern w:val="0"/>
          <w:szCs w:val="21"/>
        </w:rPr>
        <w:t>资管产品运营过程中发生的增值税应税行为，以资管产品管理人为增值税纳税人。资管产品管理人运营资管产品过程中发生的增值税应税行为，暂适用简易计税方法，按照</w:t>
      </w:r>
      <w:r>
        <w:rPr>
          <w:rFonts w:eastAsiaTheme="minorEastAsia"/>
          <w:kern w:val="0"/>
          <w:szCs w:val="21"/>
        </w:rPr>
        <w:t>3%</w:t>
      </w:r>
      <w:r>
        <w:rPr>
          <w:rFonts w:eastAsiaTheme="minorEastAsia"/>
          <w:kern w:val="0"/>
          <w:szCs w:val="21"/>
        </w:rPr>
        <w:t>的征收率缴纳增值税。对资管产品在</w:t>
      </w:r>
      <w:r>
        <w:rPr>
          <w:rFonts w:eastAsiaTheme="minorEastAsia"/>
          <w:kern w:val="0"/>
          <w:szCs w:val="21"/>
        </w:rPr>
        <w:t>2018</w:t>
      </w:r>
      <w:r>
        <w:rPr>
          <w:rFonts w:eastAsiaTheme="minorEastAsia"/>
          <w:kern w:val="0"/>
          <w:szCs w:val="21"/>
        </w:rPr>
        <w:t>年</w:t>
      </w:r>
      <w:r>
        <w:rPr>
          <w:rFonts w:eastAsiaTheme="minorEastAsia"/>
          <w:kern w:val="0"/>
          <w:szCs w:val="21"/>
        </w:rPr>
        <w:t>1</w:t>
      </w:r>
      <w:r>
        <w:rPr>
          <w:rFonts w:eastAsiaTheme="minorEastAsia"/>
          <w:kern w:val="0"/>
          <w:szCs w:val="21"/>
        </w:rPr>
        <w:t>月</w:t>
      </w:r>
      <w:r>
        <w:rPr>
          <w:rFonts w:eastAsiaTheme="minorEastAsia"/>
          <w:kern w:val="0"/>
          <w:szCs w:val="21"/>
        </w:rPr>
        <w:t>1</w:t>
      </w:r>
      <w:r>
        <w:rPr>
          <w:rFonts w:eastAsiaTheme="minorEastAsia"/>
          <w:kern w:val="0"/>
          <w:szCs w:val="21"/>
        </w:rPr>
        <w:t>日前运营过程中发生的增值税应税行为，未缴纳增值税的，不再缴纳；已缴纳增值税的，已纳税额从资管产品管理人以后月份的增值税应纳税额中抵减。</w:t>
      </w:r>
      <w:r>
        <w:rPr>
          <w:rFonts w:eastAsiaTheme="minorEastAsia"/>
          <w:kern w:val="0"/>
          <w:szCs w:val="21"/>
        </w:rPr>
        <w:t xml:space="preserve"> </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对证券投资基金管理人运用基金买卖股票、债券的转让收入免征增值税，对国债、地方政府债以及金融同业往来利息收入亦免征增值税。资管产品管理人运营资管产品提供的贷款服务，以</w:t>
      </w:r>
      <w:r>
        <w:rPr>
          <w:rFonts w:eastAsiaTheme="minorEastAsia"/>
          <w:kern w:val="0"/>
          <w:szCs w:val="21"/>
        </w:rPr>
        <w:t>2018</w:t>
      </w:r>
      <w:r>
        <w:rPr>
          <w:rFonts w:eastAsiaTheme="minorEastAsia"/>
          <w:kern w:val="0"/>
          <w:szCs w:val="21"/>
        </w:rPr>
        <w:t>年</w:t>
      </w:r>
      <w:r>
        <w:rPr>
          <w:rFonts w:eastAsiaTheme="minorEastAsia"/>
          <w:kern w:val="0"/>
          <w:szCs w:val="21"/>
        </w:rPr>
        <w:t>1</w:t>
      </w:r>
      <w:r>
        <w:rPr>
          <w:rFonts w:eastAsiaTheme="minorEastAsia"/>
          <w:kern w:val="0"/>
          <w:szCs w:val="21"/>
        </w:rPr>
        <w:t>月</w:t>
      </w:r>
      <w:r>
        <w:rPr>
          <w:rFonts w:eastAsiaTheme="minorEastAsia"/>
          <w:kern w:val="0"/>
          <w:szCs w:val="21"/>
        </w:rPr>
        <w:t>1</w:t>
      </w:r>
      <w:r>
        <w:rPr>
          <w:rFonts w:eastAsiaTheme="minorEastAsia"/>
          <w:kern w:val="0"/>
          <w:szCs w:val="21"/>
        </w:rPr>
        <w:t>日起产生的利息及利息性质的收入为销售额。资管产品管理人运营资管产品转让</w:t>
      </w:r>
      <w:r>
        <w:rPr>
          <w:rFonts w:eastAsiaTheme="minorEastAsia"/>
          <w:kern w:val="0"/>
          <w:szCs w:val="21"/>
        </w:rPr>
        <w:t>2017</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日前取得的基金、非货物期货，可以选择按照实际买入价计算销售额，或者以</w:t>
      </w:r>
      <w:r>
        <w:rPr>
          <w:rFonts w:eastAsiaTheme="minorEastAsia"/>
          <w:kern w:val="0"/>
          <w:szCs w:val="21"/>
        </w:rPr>
        <w:t xml:space="preserve"> 2017</w:t>
      </w:r>
      <w:r>
        <w:rPr>
          <w:rFonts w:eastAsiaTheme="minorEastAsia"/>
          <w:kern w:val="0"/>
          <w:szCs w:val="21"/>
        </w:rPr>
        <w:t>年最后一个交易日的基金份额净值、非货物期货结算价格作为买入价计算销售额。</w:t>
      </w:r>
      <w:r>
        <w:rPr>
          <w:rFonts w:eastAsiaTheme="minorEastAsia"/>
          <w:kern w:val="0"/>
          <w:szCs w:val="21"/>
        </w:rPr>
        <w:t xml:space="preserve"> </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(2)  </w:t>
      </w:r>
      <w:r>
        <w:rPr>
          <w:rFonts w:eastAsiaTheme="minorEastAsia"/>
          <w:kern w:val="0"/>
          <w:szCs w:val="21"/>
        </w:rPr>
        <w:t>目前基金取得的源自境外的差价收入，其涉及的境外所得税税收政策，按照相关国家或地区税收法律和法规执行，在境内暂不征收企业所得税。</w:t>
      </w:r>
      <w:r>
        <w:rPr>
          <w:rFonts w:eastAsiaTheme="minorEastAsia"/>
          <w:kern w:val="0"/>
          <w:szCs w:val="21"/>
        </w:rPr>
        <w:t xml:space="preserve"> </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(3) </w:t>
      </w:r>
      <w:r>
        <w:rPr>
          <w:rFonts w:eastAsiaTheme="minorEastAsia"/>
          <w:kern w:val="0"/>
          <w:szCs w:val="21"/>
        </w:rPr>
        <w:t>目前基金取得的源自境外的股利收益，其涉及的境外所得税税收政策，按照相关国家或地区税收法律和法规执行，在境内暂不征收个人所得税和企业所得税。</w:t>
      </w:r>
      <w:r>
        <w:rPr>
          <w:rFonts w:eastAsiaTheme="minorEastAsia"/>
          <w:kern w:val="0"/>
          <w:szCs w:val="21"/>
        </w:rPr>
        <w:t xml:space="preserve"> </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对基金通过沪港通</w:t>
      </w:r>
      <w:r>
        <w:rPr>
          <w:rFonts w:eastAsiaTheme="minorEastAsia"/>
          <w:kern w:val="0"/>
          <w:szCs w:val="21"/>
        </w:rPr>
        <w:t>/</w:t>
      </w:r>
      <w:r>
        <w:rPr>
          <w:rFonts w:eastAsiaTheme="minorEastAsia"/>
          <w:kern w:val="0"/>
          <w:szCs w:val="21"/>
        </w:rPr>
        <w:t>深港通投资香港联交所上市</w:t>
      </w:r>
      <w:r>
        <w:rPr>
          <w:rFonts w:eastAsiaTheme="minorEastAsia"/>
          <w:kern w:val="0"/>
          <w:szCs w:val="21"/>
        </w:rPr>
        <w:t>H</w:t>
      </w:r>
      <w:r>
        <w:rPr>
          <w:rFonts w:eastAsiaTheme="minorEastAsia"/>
          <w:kern w:val="0"/>
          <w:szCs w:val="21"/>
        </w:rPr>
        <w:t>股取得的股息红利，</w:t>
      </w:r>
      <w:r>
        <w:rPr>
          <w:rFonts w:eastAsiaTheme="minorEastAsia"/>
          <w:kern w:val="0"/>
          <w:szCs w:val="21"/>
        </w:rPr>
        <w:t>H</w:t>
      </w:r>
      <w:r>
        <w:rPr>
          <w:rFonts w:eastAsiaTheme="minorEastAsia"/>
          <w:kern w:val="0"/>
          <w:szCs w:val="21"/>
        </w:rPr>
        <w:t>股公司应向中国证券登记结算有限责任公司</w:t>
      </w:r>
      <w:r>
        <w:rPr>
          <w:rFonts w:eastAsiaTheme="minorEastAsia"/>
          <w:kern w:val="0"/>
          <w:szCs w:val="21"/>
        </w:rPr>
        <w:t>(</w:t>
      </w:r>
      <w:r>
        <w:rPr>
          <w:rFonts w:eastAsiaTheme="minorEastAsia"/>
          <w:kern w:val="0"/>
          <w:szCs w:val="21"/>
        </w:rPr>
        <w:t>以下简称</w:t>
      </w:r>
      <w:r>
        <w:rPr>
          <w:rFonts w:eastAsiaTheme="minorEastAsia"/>
          <w:kern w:val="0"/>
          <w:szCs w:val="21"/>
        </w:rPr>
        <w:t>“</w:t>
      </w:r>
      <w:r>
        <w:rPr>
          <w:rFonts w:eastAsiaTheme="minorEastAsia"/>
          <w:kern w:val="0"/>
          <w:szCs w:val="21"/>
        </w:rPr>
        <w:t>中国结算</w:t>
      </w:r>
      <w:r>
        <w:rPr>
          <w:rFonts w:eastAsiaTheme="minorEastAsia"/>
          <w:kern w:val="0"/>
          <w:szCs w:val="21"/>
        </w:rPr>
        <w:t>”)</w:t>
      </w:r>
      <w:r>
        <w:rPr>
          <w:rFonts w:eastAsiaTheme="minorEastAsia"/>
          <w:kern w:val="0"/>
          <w:szCs w:val="21"/>
        </w:rPr>
        <w:t>提出申请，由中国结算向</w:t>
      </w:r>
      <w:r>
        <w:rPr>
          <w:rFonts w:eastAsiaTheme="minorEastAsia"/>
          <w:kern w:val="0"/>
          <w:szCs w:val="21"/>
        </w:rPr>
        <w:t>H</w:t>
      </w:r>
      <w:r>
        <w:rPr>
          <w:rFonts w:eastAsiaTheme="minorEastAsia"/>
          <w:kern w:val="0"/>
          <w:szCs w:val="21"/>
        </w:rPr>
        <w:t>股公司提供内地个人投资者名册，</w:t>
      </w:r>
      <w:r>
        <w:rPr>
          <w:rFonts w:eastAsiaTheme="minorEastAsia"/>
          <w:kern w:val="0"/>
          <w:szCs w:val="21"/>
        </w:rPr>
        <w:t>H</w:t>
      </w:r>
      <w:r>
        <w:rPr>
          <w:rFonts w:eastAsiaTheme="minorEastAsia"/>
          <w:kern w:val="0"/>
          <w:szCs w:val="21"/>
        </w:rPr>
        <w:t>股公司按照</w:t>
      </w:r>
      <w:r>
        <w:rPr>
          <w:rFonts w:eastAsiaTheme="minorEastAsia"/>
          <w:kern w:val="0"/>
          <w:szCs w:val="21"/>
        </w:rPr>
        <w:t>20%</w:t>
      </w:r>
      <w:r>
        <w:rPr>
          <w:rFonts w:eastAsiaTheme="minorEastAsia"/>
          <w:kern w:val="0"/>
          <w:szCs w:val="21"/>
        </w:rPr>
        <w:t>的税率代扣个人所得税。基金通过沪港通</w:t>
      </w:r>
      <w:r>
        <w:rPr>
          <w:rFonts w:eastAsiaTheme="minorEastAsia"/>
          <w:kern w:val="0"/>
          <w:szCs w:val="21"/>
        </w:rPr>
        <w:t>/</w:t>
      </w:r>
      <w:r>
        <w:rPr>
          <w:rFonts w:eastAsiaTheme="minorEastAsia"/>
          <w:kern w:val="0"/>
          <w:szCs w:val="21"/>
        </w:rPr>
        <w:t>深港通投资香港联交所上市的非</w:t>
      </w:r>
      <w:r>
        <w:rPr>
          <w:rFonts w:eastAsiaTheme="minorEastAsia"/>
          <w:kern w:val="0"/>
          <w:szCs w:val="21"/>
        </w:rPr>
        <w:t>H</w:t>
      </w:r>
      <w:r>
        <w:rPr>
          <w:rFonts w:eastAsiaTheme="minorEastAsia"/>
          <w:kern w:val="0"/>
          <w:szCs w:val="21"/>
        </w:rPr>
        <w:t>股取得的股息红利，由中国结算按照</w:t>
      </w:r>
      <w:r>
        <w:rPr>
          <w:rFonts w:eastAsiaTheme="minorEastAsia"/>
          <w:kern w:val="0"/>
          <w:szCs w:val="21"/>
        </w:rPr>
        <w:t>20%</w:t>
      </w:r>
      <w:r>
        <w:rPr>
          <w:rFonts w:eastAsiaTheme="minorEastAsia"/>
          <w:kern w:val="0"/>
          <w:szCs w:val="21"/>
        </w:rPr>
        <w:t>的税率代扣个人所得税。</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(4) </w:t>
      </w:r>
      <w:r>
        <w:rPr>
          <w:rFonts w:eastAsiaTheme="minorEastAsia"/>
          <w:kern w:val="0"/>
          <w:szCs w:val="21"/>
        </w:rPr>
        <w:t>基金通过沪港通</w:t>
      </w:r>
      <w:r>
        <w:rPr>
          <w:rFonts w:eastAsiaTheme="minorEastAsia"/>
          <w:kern w:val="0"/>
          <w:szCs w:val="21"/>
        </w:rPr>
        <w:t>/</w:t>
      </w:r>
      <w:r>
        <w:rPr>
          <w:rFonts w:eastAsiaTheme="minorEastAsia"/>
          <w:kern w:val="0"/>
          <w:szCs w:val="21"/>
        </w:rPr>
        <w:t>深港通买卖、继承、赠与联交所上市股票，按照香港特别行政区现行税法规定缴纳印花税。</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 xml:space="preserve">(5) </w:t>
      </w:r>
      <w:r w:rsidRPr="00C24ACA">
        <w:rPr>
          <w:rFonts w:eastAsiaTheme="minorEastAsia"/>
          <w:kern w:val="0"/>
          <w:szCs w:val="21"/>
        </w:rPr>
        <w:t>本基金的城市维护建设税、教育费附加和地方教育附加等税费按照实际缴纳增值税额的适用比例计算缴纳。</w:t>
      </w:r>
      <w:r w:rsidRPr="00C24ACA">
        <w:rPr>
          <w:rFonts w:eastAsiaTheme="minorEastAsia"/>
          <w:kern w:val="0"/>
          <w:szCs w:val="21"/>
        </w:rPr>
        <w:t xml:space="preserve"> </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6.4.7</w:t>
      </w:r>
      <w:r w:rsidRPr="00C24ACA">
        <w:rPr>
          <w:rFonts w:eastAsiaTheme="minorEastAsia"/>
          <w:b/>
          <w:color w:val="000000"/>
          <w:kern w:val="0"/>
          <w:szCs w:val="21"/>
        </w:rPr>
        <w:t>重要财务报表项目的说明</w:t>
      </w:r>
    </w:p>
    <w:p w:rsidR="008A5A5D" w:rsidRPr="00C24ACA" w:rsidRDefault="008A5A5D" w:rsidP="009967D7">
      <w:pPr>
        <w:spacing w:line="360" w:lineRule="auto"/>
        <w:rPr>
          <w:rFonts w:eastAsiaTheme="minorEastAsia"/>
          <w:b/>
          <w:color w:val="000000"/>
          <w:szCs w:val="21"/>
        </w:rPr>
      </w:pPr>
      <w:r w:rsidRPr="00C24ACA">
        <w:rPr>
          <w:rFonts w:eastAsiaTheme="minorEastAsia"/>
          <w:b/>
          <w:bCs/>
          <w:color w:val="000000"/>
          <w:kern w:val="0"/>
          <w:szCs w:val="21"/>
        </w:rPr>
        <w:t>6.4.7.1</w:t>
      </w:r>
      <w:r w:rsidRPr="00C24ACA">
        <w:rPr>
          <w:rFonts w:eastAsiaTheme="minorEastAsia"/>
          <w:b/>
          <w:color w:val="000000"/>
          <w:szCs w:val="21"/>
        </w:rPr>
        <w:t>银行存款</w:t>
      </w:r>
    </w:p>
    <w:p w:rsidR="00FB3D98" w:rsidRDefault="00FB3D98" w:rsidP="00FB3D9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FB3D98" w:rsidTr="00AD6EE3">
        <w:trPr>
          <w:trHeight w:val="345"/>
          <w:jc w:val="center"/>
        </w:trPr>
        <w:tc>
          <w:tcPr>
            <w:tcW w:w="3766" w:type="dxa"/>
            <w:tcMar>
              <w:top w:w="15" w:type="dxa"/>
              <w:left w:w="15" w:type="dxa"/>
              <w:bottom w:w="0" w:type="dxa"/>
              <w:right w:w="15" w:type="dxa"/>
            </w:tcMar>
            <w:vAlign w:val="center"/>
            <w:hideMark/>
          </w:tcPr>
          <w:p w:rsidR="00FB3D98" w:rsidRDefault="00FB3D9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FB3D98" w:rsidRDefault="00FB3D98">
            <w:pPr>
              <w:jc w:val="center"/>
              <w:rPr>
                <w:kern w:val="0"/>
                <w:szCs w:val="21"/>
              </w:rPr>
            </w:pPr>
            <w:r>
              <w:rPr>
                <w:rFonts w:hAnsi="宋体" w:hint="eastAsia"/>
                <w:kern w:val="0"/>
                <w:szCs w:val="21"/>
              </w:rPr>
              <w:t>本期末</w:t>
            </w:r>
          </w:p>
          <w:p w:rsidR="00FB3D98" w:rsidRDefault="00FB3D9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46,280,272.27</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46,280,272.27</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6.4.7.2</w:t>
      </w:r>
      <w:r w:rsidRPr="00C24ACA">
        <w:rPr>
          <w:rFonts w:eastAsiaTheme="minorEastAsia"/>
          <w:b/>
          <w:color w:val="000000"/>
          <w:szCs w:val="21"/>
        </w:rPr>
        <w:t>交易性金融资产</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bCs/>
          <w:color w:val="000000"/>
          <w:szCs w:val="21"/>
        </w:rPr>
        <w:t>单位：人民币元</w:t>
      </w:r>
    </w:p>
    <w:tbl>
      <w:tblPr>
        <w:tblW w:w="92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8A5A5D" w:rsidRPr="00C24ACA" w:rsidTr="00614C5C">
        <w:trPr>
          <w:trHeight w:val="255"/>
        </w:trPr>
        <w:tc>
          <w:tcPr>
            <w:tcW w:w="2268" w:type="dxa"/>
            <w:gridSpan w:val="2"/>
            <w:vMerge w:val="restart"/>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项目</w:t>
            </w:r>
          </w:p>
        </w:tc>
        <w:tc>
          <w:tcPr>
            <w:tcW w:w="7018" w:type="dxa"/>
            <w:gridSpan w:val="3"/>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本期末</w:t>
            </w:r>
          </w:p>
          <w:p w:rsidR="008A5A5D" w:rsidRPr="00C24ACA" w:rsidRDefault="00AC4A34" w:rsidP="004A4847">
            <w:pPr>
              <w:jc w:val="center"/>
              <w:rPr>
                <w:rFonts w:eastAsiaTheme="minorEastAsia"/>
                <w:color w:val="000000"/>
                <w:kern w:val="0"/>
                <w:szCs w:val="21"/>
              </w:rPr>
            </w:pPr>
            <w:r w:rsidRPr="00C24ACA">
              <w:rPr>
                <w:rFonts w:eastAsiaTheme="minorEastAsia"/>
                <w:color w:val="000000"/>
                <w:kern w:val="0"/>
                <w:szCs w:val="21"/>
              </w:rPr>
              <w:t>2020</w:t>
            </w:r>
            <w:r w:rsidRPr="00C24ACA">
              <w:rPr>
                <w:rFonts w:eastAsiaTheme="minorEastAsia"/>
                <w:color w:val="000000"/>
                <w:kern w:val="0"/>
                <w:szCs w:val="21"/>
              </w:rPr>
              <w:t>年</w:t>
            </w:r>
            <w:r w:rsidRPr="00C24ACA">
              <w:rPr>
                <w:rFonts w:eastAsiaTheme="minorEastAsia"/>
                <w:color w:val="000000"/>
                <w:kern w:val="0"/>
                <w:szCs w:val="21"/>
              </w:rPr>
              <w:t>6</w:t>
            </w:r>
            <w:r w:rsidRPr="00C24ACA">
              <w:rPr>
                <w:rFonts w:eastAsiaTheme="minorEastAsia"/>
                <w:color w:val="000000"/>
                <w:kern w:val="0"/>
                <w:szCs w:val="21"/>
              </w:rPr>
              <w:t>月</w:t>
            </w:r>
            <w:r w:rsidRPr="00C24ACA">
              <w:rPr>
                <w:rFonts w:eastAsiaTheme="minorEastAsia"/>
                <w:color w:val="000000"/>
                <w:kern w:val="0"/>
                <w:szCs w:val="21"/>
              </w:rPr>
              <w:t>30</w:t>
            </w:r>
            <w:r w:rsidRPr="00C24ACA">
              <w:rPr>
                <w:rFonts w:eastAsiaTheme="minorEastAsia"/>
                <w:color w:val="000000"/>
                <w:kern w:val="0"/>
                <w:szCs w:val="21"/>
              </w:rPr>
              <w:t>日</w:t>
            </w:r>
          </w:p>
        </w:tc>
      </w:tr>
      <w:tr w:rsidR="008A5A5D" w:rsidRPr="00C24ACA" w:rsidTr="00614C5C">
        <w:trPr>
          <w:trHeight w:val="270"/>
        </w:trPr>
        <w:tc>
          <w:tcPr>
            <w:tcW w:w="2268" w:type="dxa"/>
            <w:gridSpan w:val="2"/>
            <w:vMerge/>
            <w:vAlign w:val="center"/>
          </w:tcPr>
          <w:p w:rsidR="008A5A5D" w:rsidRPr="00C24ACA" w:rsidRDefault="008A5A5D" w:rsidP="004A4847">
            <w:pPr>
              <w:widowControl/>
              <w:jc w:val="left"/>
              <w:rPr>
                <w:rFonts w:eastAsiaTheme="minorEastAsia"/>
                <w:color w:val="000000"/>
                <w:kern w:val="0"/>
                <w:szCs w:val="21"/>
              </w:rPr>
            </w:pPr>
          </w:p>
        </w:tc>
        <w:tc>
          <w:tcPr>
            <w:tcW w:w="2339"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成本</w:t>
            </w:r>
          </w:p>
        </w:tc>
        <w:tc>
          <w:tcPr>
            <w:tcW w:w="2339"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公允价值</w:t>
            </w:r>
          </w:p>
        </w:tc>
        <w:tc>
          <w:tcPr>
            <w:tcW w:w="2340"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公允价值变动</w:t>
            </w:r>
          </w:p>
        </w:tc>
      </w:tr>
      <w:tr w:rsidR="008A5A5D" w:rsidRPr="00C24ACA" w:rsidTr="00614C5C">
        <w:trPr>
          <w:trHeight w:val="270"/>
        </w:trPr>
        <w:tc>
          <w:tcPr>
            <w:tcW w:w="2268" w:type="dxa"/>
            <w:gridSpan w:val="2"/>
            <w:vAlign w:val="center"/>
          </w:tcPr>
          <w:p w:rsidR="008A5A5D" w:rsidRPr="00C24ACA" w:rsidRDefault="008A5A5D" w:rsidP="004A4847">
            <w:pPr>
              <w:widowControl/>
              <w:rPr>
                <w:rFonts w:eastAsiaTheme="minorEastAsia"/>
                <w:color w:val="000000"/>
                <w:kern w:val="0"/>
                <w:szCs w:val="21"/>
              </w:rPr>
            </w:pPr>
            <w:r w:rsidRPr="00C24ACA">
              <w:rPr>
                <w:rFonts w:eastAsiaTheme="minorEastAsia"/>
                <w:color w:val="000000"/>
                <w:kern w:val="0"/>
                <w:szCs w:val="21"/>
              </w:rPr>
              <w:t>股票</w:t>
            </w:r>
          </w:p>
        </w:tc>
        <w:tc>
          <w:tcPr>
            <w:tcW w:w="2339"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19,179,704.81</w:t>
            </w:r>
          </w:p>
        </w:tc>
        <w:tc>
          <w:tcPr>
            <w:tcW w:w="2339"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24,086,465.18</w:t>
            </w:r>
          </w:p>
        </w:tc>
        <w:tc>
          <w:tcPr>
            <w:tcW w:w="2340"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4,906,760.37</w:t>
            </w:r>
          </w:p>
        </w:tc>
      </w:tr>
      <w:tr w:rsidR="00614C5C" w:rsidRPr="00C24ACA" w:rsidTr="00614C5C">
        <w:trPr>
          <w:trHeight w:val="270"/>
        </w:trPr>
        <w:tc>
          <w:tcPr>
            <w:tcW w:w="2268" w:type="dxa"/>
            <w:gridSpan w:val="2"/>
            <w:vAlign w:val="center"/>
          </w:tcPr>
          <w:p w:rsidR="00614C5C" w:rsidRPr="00224952" w:rsidRDefault="00614C5C" w:rsidP="00614C5C">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c>
          <w:tcPr>
            <w:tcW w:w="2339"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c>
          <w:tcPr>
            <w:tcW w:w="2340"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r>
      <w:tr w:rsidR="00614C5C" w:rsidRPr="00C24ACA" w:rsidTr="00614C5C">
        <w:trPr>
          <w:trHeight w:val="285"/>
        </w:trPr>
        <w:tc>
          <w:tcPr>
            <w:tcW w:w="828" w:type="dxa"/>
            <w:vMerge w:val="restart"/>
            <w:vAlign w:val="center"/>
          </w:tcPr>
          <w:p w:rsidR="00614C5C" w:rsidRPr="00C24ACA" w:rsidRDefault="00614C5C" w:rsidP="00614C5C">
            <w:pPr>
              <w:jc w:val="center"/>
              <w:rPr>
                <w:rFonts w:eastAsiaTheme="minorEastAsia"/>
                <w:color w:val="000000"/>
                <w:kern w:val="0"/>
                <w:szCs w:val="21"/>
              </w:rPr>
            </w:pPr>
            <w:r w:rsidRPr="00C24ACA">
              <w:rPr>
                <w:rFonts w:eastAsiaTheme="minorEastAsia"/>
                <w:color w:val="000000"/>
                <w:kern w:val="0"/>
                <w:szCs w:val="21"/>
              </w:rPr>
              <w:t>债券</w:t>
            </w:r>
          </w:p>
        </w:tc>
        <w:tc>
          <w:tcPr>
            <w:tcW w:w="1440" w:type="dxa"/>
            <w:vAlign w:val="center"/>
          </w:tcPr>
          <w:p w:rsidR="00614C5C" w:rsidRPr="00C24ACA" w:rsidRDefault="00614C5C" w:rsidP="00614C5C">
            <w:pPr>
              <w:jc w:val="left"/>
              <w:rPr>
                <w:rFonts w:eastAsiaTheme="minorEastAsia"/>
                <w:color w:val="000000"/>
                <w:kern w:val="0"/>
                <w:szCs w:val="21"/>
              </w:rPr>
            </w:pPr>
            <w:r w:rsidRPr="00C24ACA">
              <w:rPr>
                <w:rFonts w:eastAsiaTheme="minorEastAsia"/>
                <w:color w:val="000000"/>
                <w:kern w:val="0"/>
                <w:szCs w:val="21"/>
              </w:rPr>
              <w:t>交易所市场</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40"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r>
      <w:tr w:rsidR="00614C5C" w:rsidRPr="00C24ACA" w:rsidTr="00614C5C">
        <w:trPr>
          <w:trHeight w:val="103"/>
        </w:trPr>
        <w:tc>
          <w:tcPr>
            <w:tcW w:w="828" w:type="dxa"/>
            <w:vMerge/>
            <w:vAlign w:val="center"/>
          </w:tcPr>
          <w:p w:rsidR="00614C5C" w:rsidRPr="00C24ACA" w:rsidRDefault="00614C5C" w:rsidP="00614C5C">
            <w:pPr>
              <w:widowControl/>
              <w:jc w:val="left"/>
              <w:rPr>
                <w:rFonts w:eastAsiaTheme="minorEastAsia"/>
                <w:color w:val="000000"/>
                <w:kern w:val="0"/>
                <w:szCs w:val="21"/>
              </w:rPr>
            </w:pPr>
          </w:p>
        </w:tc>
        <w:tc>
          <w:tcPr>
            <w:tcW w:w="1440" w:type="dxa"/>
            <w:vAlign w:val="center"/>
          </w:tcPr>
          <w:p w:rsidR="00614C5C" w:rsidRPr="00C24ACA" w:rsidRDefault="00614C5C" w:rsidP="00614C5C">
            <w:pPr>
              <w:widowControl/>
              <w:jc w:val="left"/>
              <w:rPr>
                <w:rFonts w:eastAsiaTheme="minorEastAsia"/>
                <w:color w:val="000000"/>
                <w:kern w:val="0"/>
                <w:szCs w:val="21"/>
              </w:rPr>
            </w:pPr>
            <w:r w:rsidRPr="00C24ACA">
              <w:rPr>
                <w:rFonts w:eastAsiaTheme="minorEastAsia"/>
                <w:color w:val="000000"/>
                <w:kern w:val="0"/>
                <w:szCs w:val="21"/>
              </w:rPr>
              <w:t>银行间市场</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20,313,290.00</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20,213,000.00</w:t>
            </w:r>
          </w:p>
        </w:tc>
        <w:tc>
          <w:tcPr>
            <w:tcW w:w="2340"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-100,290.00</w:t>
            </w:r>
          </w:p>
        </w:tc>
      </w:tr>
      <w:tr w:rsidR="00614C5C" w:rsidRPr="00C24ACA" w:rsidTr="00614C5C">
        <w:trPr>
          <w:trHeight w:val="103"/>
        </w:trPr>
        <w:tc>
          <w:tcPr>
            <w:tcW w:w="828" w:type="dxa"/>
            <w:vMerge/>
            <w:vAlign w:val="center"/>
          </w:tcPr>
          <w:p w:rsidR="00614C5C" w:rsidRPr="00C24ACA" w:rsidRDefault="00614C5C" w:rsidP="00614C5C">
            <w:pPr>
              <w:widowControl/>
              <w:jc w:val="left"/>
              <w:rPr>
                <w:rFonts w:eastAsiaTheme="minorEastAsia"/>
                <w:color w:val="000000"/>
                <w:kern w:val="0"/>
                <w:szCs w:val="21"/>
              </w:rPr>
            </w:pPr>
          </w:p>
        </w:tc>
        <w:tc>
          <w:tcPr>
            <w:tcW w:w="1440" w:type="dxa"/>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合计</w:t>
            </w:r>
          </w:p>
        </w:tc>
        <w:tc>
          <w:tcPr>
            <w:tcW w:w="2339"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20,313,290.00</w:t>
            </w:r>
          </w:p>
        </w:tc>
        <w:tc>
          <w:tcPr>
            <w:tcW w:w="2339"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20,213,000.00</w:t>
            </w:r>
          </w:p>
        </w:tc>
        <w:tc>
          <w:tcPr>
            <w:tcW w:w="2340"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-100,290.00</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资产支持证券</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基金</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169,981,331.82</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218,392,662.22</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48,411,330.40</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其他</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jc w:val="center"/>
              <w:rPr>
                <w:rFonts w:eastAsiaTheme="minorEastAsia"/>
                <w:color w:val="000000"/>
                <w:kern w:val="0"/>
                <w:szCs w:val="21"/>
              </w:rPr>
            </w:pPr>
            <w:r w:rsidRPr="00C24ACA">
              <w:rPr>
                <w:rFonts w:eastAsiaTheme="minorEastAsia"/>
                <w:color w:val="000000"/>
                <w:kern w:val="0"/>
                <w:szCs w:val="21"/>
              </w:rPr>
              <w:t>合计</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209,474,326.63</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262,692,127.40</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53,217,800.77</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w:t>
      </w:r>
      <w:r w:rsidRPr="00C24ACA">
        <w:rPr>
          <w:rFonts w:eastAsiaTheme="minorEastAsia"/>
          <w:kern w:val="0"/>
          <w:szCs w:val="21"/>
        </w:rPr>
        <w:t>“</w:t>
      </w:r>
      <w:r w:rsidRPr="00C24ACA">
        <w:rPr>
          <w:rFonts w:eastAsiaTheme="minorEastAsia"/>
          <w:kern w:val="0"/>
          <w:szCs w:val="21"/>
        </w:rPr>
        <w:t>股票</w:t>
      </w:r>
      <w:r w:rsidRPr="00C24ACA">
        <w:rPr>
          <w:rFonts w:eastAsiaTheme="minorEastAsia"/>
          <w:kern w:val="0"/>
          <w:szCs w:val="21"/>
        </w:rPr>
        <w:t>”</w:t>
      </w:r>
      <w:r w:rsidRPr="00C24ACA">
        <w:rPr>
          <w:rFonts w:eastAsiaTheme="minorEastAsia"/>
          <w:kern w:val="0"/>
          <w:szCs w:val="21"/>
        </w:rPr>
        <w:t>包括普通股、存托凭证和优先股等。</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6.4.7.3</w:t>
      </w:r>
      <w:r w:rsidRPr="00C24ACA">
        <w:rPr>
          <w:rFonts w:eastAsiaTheme="minorEastAsia"/>
          <w:b/>
          <w:color w:val="000000"/>
          <w:szCs w:val="21"/>
        </w:rPr>
        <w:t>衍生金融资产</w:t>
      </w:r>
      <w:r w:rsidRPr="00C24ACA">
        <w:rPr>
          <w:rFonts w:eastAsiaTheme="minorEastAsia"/>
          <w:b/>
          <w:color w:val="000000"/>
          <w:szCs w:val="21"/>
        </w:rPr>
        <w:t>/</w:t>
      </w:r>
      <w:r w:rsidRPr="00C24ACA">
        <w:rPr>
          <w:rFonts w:eastAsiaTheme="minorEastAsia"/>
          <w:b/>
          <w:color w:val="000000"/>
          <w:szCs w:val="21"/>
        </w:rPr>
        <w:t>负债</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本基金本报告期末无衍生金融资产</w:t>
      </w:r>
      <w:r w:rsidRPr="00C24ACA">
        <w:rPr>
          <w:rFonts w:eastAsiaTheme="minorEastAsia"/>
          <w:kern w:val="0"/>
          <w:szCs w:val="21"/>
        </w:rPr>
        <w:t>/</w:t>
      </w:r>
      <w:r w:rsidRPr="00C24ACA">
        <w:rPr>
          <w:rFonts w:eastAsiaTheme="minorEastAsia"/>
          <w:kern w:val="0"/>
          <w:szCs w:val="21"/>
        </w:rPr>
        <w:t>负债。</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6.4.7.4</w:t>
      </w:r>
      <w:r w:rsidRPr="00C24ACA">
        <w:rPr>
          <w:rFonts w:eastAsiaTheme="minorEastAsia"/>
          <w:b/>
          <w:color w:val="000000"/>
          <w:szCs w:val="21"/>
        </w:rPr>
        <w:t>买入返售金融资产</w:t>
      </w:r>
    </w:p>
    <w:p w:rsidR="008A5A5D" w:rsidRPr="00C24ACA" w:rsidRDefault="008A5A5D" w:rsidP="009967D7">
      <w:pPr>
        <w:spacing w:line="360" w:lineRule="auto"/>
        <w:rPr>
          <w:rFonts w:eastAsiaTheme="minorEastAsia"/>
          <w:b/>
          <w:color w:val="000000"/>
          <w:szCs w:val="21"/>
        </w:rPr>
      </w:pPr>
      <w:r w:rsidRPr="00C24ACA">
        <w:rPr>
          <w:rFonts w:eastAsiaTheme="minorEastAsia"/>
          <w:b/>
          <w:bCs/>
          <w:color w:val="000000"/>
          <w:kern w:val="0"/>
          <w:szCs w:val="21"/>
        </w:rPr>
        <w:t>6.4.7.4.1</w:t>
      </w:r>
      <w:r w:rsidRPr="00C24ACA">
        <w:rPr>
          <w:rFonts w:eastAsiaTheme="minorEastAsia"/>
          <w:b/>
          <w:color w:val="000000"/>
          <w:szCs w:val="21"/>
        </w:rPr>
        <w:t>各项买入返售金融资产期末余额</w:t>
      </w:r>
    </w:p>
    <w:p w:rsidR="00245F01" w:rsidRDefault="00245F01" w:rsidP="00245F01">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6.4.7.4.2</w:t>
      </w:r>
      <w:r w:rsidRPr="00C24ACA">
        <w:rPr>
          <w:rFonts w:eastAsiaTheme="minorEastAsia"/>
          <w:b/>
          <w:color w:val="000000"/>
          <w:szCs w:val="21"/>
        </w:rPr>
        <w:t>期末买断式逆回购交易中取得的债券</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本基金本报告期末无买断式逆回购交易中取得的债券。</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6.4.7.5</w:t>
      </w:r>
      <w:r w:rsidRPr="00C24ACA">
        <w:rPr>
          <w:rFonts w:eastAsiaTheme="minorEastAsia"/>
          <w:b/>
          <w:color w:val="000000"/>
          <w:szCs w:val="21"/>
        </w:rPr>
        <w:t>应收利息</w:t>
      </w:r>
    </w:p>
    <w:p w:rsidR="008D191C" w:rsidRDefault="008D191C" w:rsidP="008D191C">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8D191C" w:rsidTr="00AD6EE3">
        <w:trPr>
          <w:trHeight w:val="330"/>
        </w:trPr>
        <w:tc>
          <w:tcPr>
            <w:tcW w:w="3701" w:type="dxa"/>
            <w:vAlign w:val="center"/>
            <w:hideMark/>
          </w:tcPr>
          <w:p w:rsidR="008D191C" w:rsidRDefault="008D191C">
            <w:pPr>
              <w:jc w:val="center"/>
              <w:rPr>
                <w:szCs w:val="21"/>
              </w:rPr>
            </w:pPr>
            <w:r>
              <w:rPr>
                <w:rFonts w:hint="eastAsia"/>
                <w:szCs w:val="21"/>
              </w:rPr>
              <w:t>项目</w:t>
            </w:r>
          </w:p>
        </w:tc>
        <w:tc>
          <w:tcPr>
            <w:tcW w:w="5528" w:type="dxa"/>
            <w:vAlign w:val="center"/>
            <w:hideMark/>
          </w:tcPr>
          <w:p w:rsidR="008D191C" w:rsidRDefault="008D191C">
            <w:pPr>
              <w:jc w:val="center"/>
              <w:rPr>
                <w:kern w:val="0"/>
                <w:szCs w:val="21"/>
              </w:rPr>
            </w:pPr>
            <w:r>
              <w:rPr>
                <w:rFonts w:hint="eastAsia"/>
                <w:kern w:val="0"/>
                <w:szCs w:val="21"/>
              </w:rPr>
              <w:t>本期末</w:t>
            </w:r>
          </w:p>
          <w:p w:rsidR="008D191C" w:rsidRDefault="008D191C">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8D191C" w:rsidTr="00AD6EE3">
        <w:trPr>
          <w:trHeight w:val="257"/>
        </w:trPr>
        <w:tc>
          <w:tcPr>
            <w:tcW w:w="3701" w:type="dxa"/>
            <w:vAlign w:val="center"/>
            <w:hideMark/>
          </w:tcPr>
          <w:p w:rsidR="008D191C" w:rsidRDefault="008D191C">
            <w:pPr>
              <w:rPr>
                <w:szCs w:val="21"/>
              </w:rPr>
            </w:pPr>
            <w:r>
              <w:rPr>
                <w:rFonts w:hint="eastAsia"/>
                <w:szCs w:val="21"/>
              </w:rPr>
              <w:t>应收活期存款利息</w:t>
            </w:r>
          </w:p>
        </w:tc>
        <w:tc>
          <w:tcPr>
            <w:tcW w:w="5528" w:type="dxa"/>
            <w:vAlign w:val="center"/>
            <w:hideMark/>
          </w:tcPr>
          <w:p w:rsidR="008D191C" w:rsidRDefault="008D191C">
            <w:pPr>
              <w:jc w:val="right"/>
              <w:rPr>
                <w:szCs w:val="21"/>
              </w:rPr>
            </w:pPr>
            <w:r>
              <w:rPr>
                <w:szCs w:val="21"/>
              </w:rPr>
              <w:t>1,688.52</w:t>
            </w:r>
          </w:p>
        </w:tc>
      </w:tr>
      <w:tr w:rsidR="008D191C" w:rsidTr="00AD6EE3">
        <w:trPr>
          <w:trHeight w:val="223"/>
        </w:trPr>
        <w:tc>
          <w:tcPr>
            <w:tcW w:w="3701" w:type="dxa"/>
            <w:vAlign w:val="center"/>
            <w:hideMark/>
          </w:tcPr>
          <w:p w:rsidR="008D191C" w:rsidRDefault="008D191C">
            <w:pPr>
              <w:rPr>
                <w:szCs w:val="21"/>
              </w:rPr>
            </w:pPr>
            <w:r>
              <w:rPr>
                <w:rFonts w:hint="eastAsia"/>
                <w:szCs w:val="21"/>
              </w:rPr>
              <w:t>应收定期存款利息</w:t>
            </w:r>
          </w:p>
        </w:tc>
        <w:tc>
          <w:tcPr>
            <w:tcW w:w="5528" w:type="dxa"/>
            <w:vAlign w:val="center"/>
            <w:hideMark/>
          </w:tcPr>
          <w:p w:rsidR="008D191C" w:rsidRDefault="008D191C">
            <w:pPr>
              <w:jc w:val="right"/>
              <w:rPr>
                <w:szCs w:val="21"/>
              </w:rPr>
            </w:pPr>
            <w:r>
              <w:rPr>
                <w:szCs w:val="21"/>
              </w:rPr>
              <w:t>-</w:t>
            </w:r>
          </w:p>
        </w:tc>
      </w:tr>
      <w:tr w:rsidR="008D191C" w:rsidTr="00AD6EE3">
        <w:trPr>
          <w:trHeight w:val="223"/>
        </w:trPr>
        <w:tc>
          <w:tcPr>
            <w:tcW w:w="3701" w:type="dxa"/>
            <w:vAlign w:val="center"/>
            <w:hideMark/>
          </w:tcPr>
          <w:p w:rsidR="008D191C" w:rsidRDefault="008D191C">
            <w:pPr>
              <w:rPr>
                <w:szCs w:val="21"/>
              </w:rPr>
            </w:pPr>
            <w:r>
              <w:rPr>
                <w:rFonts w:hint="eastAsia"/>
                <w:szCs w:val="21"/>
              </w:rPr>
              <w:t>应收其他存款利息</w:t>
            </w:r>
          </w:p>
        </w:tc>
        <w:tc>
          <w:tcPr>
            <w:tcW w:w="5528" w:type="dxa"/>
            <w:vAlign w:val="center"/>
            <w:hideMark/>
          </w:tcPr>
          <w:p w:rsidR="008D191C" w:rsidRDefault="008D191C">
            <w:pPr>
              <w:jc w:val="right"/>
              <w:rPr>
                <w:szCs w:val="21"/>
              </w:rPr>
            </w:pPr>
            <w:r>
              <w:rPr>
                <w:szCs w:val="21"/>
              </w:rPr>
              <w:t>-</w:t>
            </w:r>
          </w:p>
        </w:tc>
      </w:tr>
      <w:tr w:rsidR="008D191C" w:rsidTr="00AD6EE3">
        <w:trPr>
          <w:trHeight w:val="223"/>
        </w:trPr>
        <w:tc>
          <w:tcPr>
            <w:tcW w:w="3701" w:type="dxa"/>
            <w:vAlign w:val="center"/>
            <w:hideMark/>
          </w:tcPr>
          <w:p w:rsidR="008D191C" w:rsidRDefault="008D191C">
            <w:pPr>
              <w:rPr>
                <w:szCs w:val="21"/>
              </w:rPr>
            </w:pPr>
            <w:r>
              <w:rPr>
                <w:rFonts w:hint="eastAsia"/>
                <w:szCs w:val="21"/>
              </w:rPr>
              <w:t>应收结算备付金利息</w:t>
            </w:r>
          </w:p>
        </w:tc>
        <w:tc>
          <w:tcPr>
            <w:tcW w:w="5528" w:type="dxa"/>
            <w:vAlign w:val="center"/>
            <w:hideMark/>
          </w:tcPr>
          <w:p w:rsidR="008D191C" w:rsidRDefault="008D191C">
            <w:pPr>
              <w:jc w:val="right"/>
              <w:rPr>
                <w:szCs w:val="21"/>
              </w:rPr>
            </w:pPr>
            <w:r>
              <w:rPr>
                <w:szCs w:val="21"/>
              </w:rPr>
              <w:t>-</w:t>
            </w:r>
          </w:p>
        </w:tc>
      </w:tr>
      <w:tr w:rsidR="008D191C" w:rsidTr="00AD6EE3">
        <w:trPr>
          <w:trHeight w:val="269"/>
        </w:trPr>
        <w:tc>
          <w:tcPr>
            <w:tcW w:w="3701" w:type="dxa"/>
            <w:vAlign w:val="center"/>
            <w:hideMark/>
          </w:tcPr>
          <w:p w:rsidR="008D191C" w:rsidRDefault="008D191C">
            <w:pPr>
              <w:rPr>
                <w:szCs w:val="21"/>
              </w:rPr>
            </w:pPr>
            <w:r>
              <w:rPr>
                <w:rFonts w:hint="eastAsia"/>
                <w:szCs w:val="21"/>
              </w:rPr>
              <w:t>应收债券利息</w:t>
            </w:r>
          </w:p>
        </w:tc>
        <w:tc>
          <w:tcPr>
            <w:tcW w:w="5528" w:type="dxa"/>
            <w:vAlign w:val="center"/>
            <w:hideMark/>
          </w:tcPr>
          <w:p w:rsidR="008D191C" w:rsidRDefault="008D191C">
            <w:pPr>
              <w:jc w:val="right"/>
              <w:rPr>
                <w:szCs w:val="21"/>
              </w:rPr>
            </w:pPr>
            <w:r>
              <w:rPr>
                <w:szCs w:val="21"/>
              </w:rPr>
              <w:t>252,667.47</w:t>
            </w:r>
          </w:p>
        </w:tc>
      </w:tr>
      <w:tr w:rsidR="008D191C" w:rsidTr="00AD6EE3">
        <w:trPr>
          <w:trHeight w:val="287"/>
        </w:trPr>
        <w:tc>
          <w:tcPr>
            <w:tcW w:w="3701" w:type="dxa"/>
            <w:vAlign w:val="bottom"/>
            <w:hideMark/>
          </w:tcPr>
          <w:p w:rsidR="008D191C" w:rsidRDefault="008D191C">
            <w:pPr>
              <w:rPr>
                <w:rFonts w:eastAsiaTheme="minorEastAsia"/>
                <w:szCs w:val="21"/>
              </w:rPr>
            </w:pPr>
            <w:r>
              <w:rPr>
                <w:rFonts w:eastAsiaTheme="minorEastAsia" w:hint="eastAsia"/>
                <w:szCs w:val="21"/>
              </w:rPr>
              <w:t>应收资产支持证券利息</w:t>
            </w:r>
          </w:p>
        </w:tc>
        <w:tc>
          <w:tcPr>
            <w:tcW w:w="5528" w:type="dxa"/>
            <w:hideMark/>
          </w:tcPr>
          <w:p w:rsidR="008D191C" w:rsidRDefault="008D191C">
            <w:pPr>
              <w:jc w:val="right"/>
              <w:rPr>
                <w:rFonts w:eastAsiaTheme="minorEastAsia"/>
                <w:szCs w:val="21"/>
              </w:rPr>
            </w:pPr>
            <w:r>
              <w:rPr>
                <w:rFonts w:eastAsiaTheme="minorEastAsia"/>
                <w:szCs w:val="21"/>
              </w:rPr>
              <w:t>-</w:t>
            </w:r>
          </w:p>
        </w:tc>
      </w:tr>
      <w:tr w:rsidR="008D191C" w:rsidTr="00AD6EE3">
        <w:trPr>
          <w:trHeight w:val="287"/>
        </w:trPr>
        <w:tc>
          <w:tcPr>
            <w:tcW w:w="3701" w:type="dxa"/>
            <w:vAlign w:val="center"/>
            <w:hideMark/>
          </w:tcPr>
          <w:p w:rsidR="008D191C" w:rsidRDefault="008D191C">
            <w:pPr>
              <w:rPr>
                <w:szCs w:val="21"/>
              </w:rPr>
            </w:pPr>
            <w:r>
              <w:rPr>
                <w:rFonts w:hint="eastAsia"/>
                <w:szCs w:val="21"/>
              </w:rPr>
              <w:t>应收买入返售证券利息</w:t>
            </w:r>
          </w:p>
        </w:tc>
        <w:tc>
          <w:tcPr>
            <w:tcW w:w="5528" w:type="dxa"/>
            <w:vAlign w:val="center"/>
            <w:hideMark/>
          </w:tcPr>
          <w:p w:rsidR="008D191C" w:rsidRDefault="008D191C">
            <w:pPr>
              <w:jc w:val="right"/>
              <w:rPr>
                <w:szCs w:val="21"/>
              </w:rPr>
            </w:pPr>
            <w:r>
              <w:rPr>
                <w:szCs w:val="21"/>
              </w:rPr>
              <w:t>-</w:t>
            </w:r>
          </w:p>
        </w:tc>
      </w:tr>
      <w:tr w:rsidR="008D191C" w:rsidTr="00AD6EE3">
        <w:trPr>
          <w:trHeight w:val="305"/>
        </w:trPr>
        <w:tc>
          <w:tcPr>
            <w:tcW w:w="3701" w:type="dxa"/>
            <w:vAlign w:val="center"/>
            <w:hideMark/>
          </w:tcPr>
          <w:p w:rsidR="008D191C" w:rsidRDefault="008D191C">
            <w:pPr>
              <w:rPr>
                <w:szCs w:val="21"/>
              </w:rPr>
            </w:pPr>
            <w:r>
              <w:rPr>
                <w:rFonts w:hint="eastAsia"/>
                <w:szCs w:val="21"/>
              </w:rPr>
              <w:t>应收申购款利息</w:t>
            </w:r>
          </w:p>
        </w:tc>
        <w:tc>
          <w:tcPr>
            <w:tcW w:w="5528" w:type="dxa"/>
            <w:vAlign w:val="center"/>
            <w:hideMark/>
          </w:tcPr>
          <w:p w:rsidR="008D191C" w:rsidRDefault="008D191C">
            <w:pPr>
              <w:jc w:val="right"/>
              <w:rPr>
                <w:szCs w:val="21"/>
              </w:rPr>
            </w:pPr>
            <w:r>
              <w:rPr>
                <w:szCs w:val="21"/>
              </w:rPr>
              <w:t>-</w:t>
            </w:r>
          </w:p>
        </w:tc>
      </w:tr>
      <w:tr w:rsidR="008D191C" w:rsidTr="00AD6EE3">
        <w:trPr>
          <w:trHeight w:val="305"/>
        </w:trPr>
        <w:tc>
          <w:tcPr>
            <w:tcW w:w="3701" w:type="dxa"/>
            <w:vAlign w:val="center"/>
            <w:hideMark/>
          </w:tcPr>
          <w:p w:rsidR="008D191C" w:rsidRDefault="008D191C">
            <w:pPr>
              <w:rPr>
                <w:szCs w:val="21"/>
              </w:rPr>
            </w:pPr>
            <w:r>
              <w:rPr>
                <w:rFonts w:hint="eastAsia"/>
                <w:szCs w:val="21"/>
              </w:rPr>
              <w:t>应收黄金合约拆借孳息</w:t>
            </w:r>
          </w:p>
        </w:tc>
        <w:tc>
          <w:tcPr>
            <w:tcW w:w="5528" w:type="dxa"/>
            <w:vAlign w:val="center"/>
            <w:hideMark/>
          </w:tcPr>
          <w:p w:rsidR="008D191C" w:rsidRDefault="008D191C">
            <w:pPr>
              <w:jc w:val="right"/>
              <w:rPr>
                <w:szCs w:val="21"/>
              </w:rPr>
            </w:pPr>
            <w:r>
              <w:rPr>
                <w:szCs w:val="21"/>
              </w:rPr>
              <w:t>-</w:t>
            </w:r>
          </w:p>
        </w:tc>
      </w:tr>
      <w:tr w:rsidR="008D191C" w:rsidTr="00AD6EE3">
        <w:trPr>
          <w:trHeight w:val="305"/>
        </w:trPr>
        <w:tc>
          <w:tcPr>
            <w:tcW w:w="3701" w:type="dxa"/>
            <w:vAlign w:val="center"/>
            <w:hideMark/>
          </w:tcPr>
          <w:p w:rsidR="008D191C" w:rsidRDefault="008D191C">
            <w:pPr>
              <w:rPr>
                <w:szCs w:val="21"/>
              </w:rPr>
            </w:pPr>
            <w:r>
              <w:rPr>
                <w:rFonts w:hint="eastAsia"/>
                <w:szCs w:val="21"/>
              </w:rPr>
              <w:t>其他</w:t>
            </w:r>
          </w:p>
        </w:tc>
        <w:tc>
          <w:tcPr>
            <w:tcW w:w="5528" w:type="dxa"/>
            <w:vAlign w:val="center"/>
            <w:hideMark/>
          </w:tcPr>
          <w:p w:rsidR="008D191C" w:rsidRDefault="008D191C">
            <w:pPr>
              <w:jc w:val="right"/>
              <w:rPr>
                <w:szCs w:val="21"/>
              </w:rPr>
            </w:pPr>
            <w:r>
              <w:rPr>
                <w:szCs w:val="21"/>
              </w:rPr>
              <w:t>-</w:t>
            </w:r>
          </w:p>
        </w:tc>
      </w:tr>
      <w:tr w:rsidR="008D191C" w:rsidTr="00AD6EE3">
        <w:trPr>
          <w:trHeight w:val="330"/>
        </w:trPr>
        <w:tc>
          <w:tcPr>
            <w:tcW w:w="3701" w:type="dxa"/>
            <w:vAlign w:val="center"/>
            <w:hideMark/>
          </w:tcPr>
          <w:p w:rsidR="008D191C" w:rsidRDefault="008D191C">
            <w:pPr>
              <w:jc w:val="center"/>
              <w:rPr>
                <w:szCs w:val="21"/>
              </w:rPr>
            </w:pPr>
            <w:r>
              <w:rPr>
                <w:rFonts w:hint="eastAsia"/>
                <w:szCs w:val="21"/>
              </w:rPr>
              <w:t>合计</w:t>
            </w:r>
          </w:p>
        </w:tc>
        <w:tc>
          <w:tcPr>
            <w:tcW w:w="5528" w:type="dxa"/>
            <w:vAlign w:val="center"/>
            <w:hideMark/>
          </w:tcPr>
          <w:p w:rsidR="008D191C" w:rsidRDefault="008D191C">
            <w:pPr>
              <w:jc w:val="right"/>
              <w:rPr>
                <w:szCs w:val="21"/>
              </w:rPr>
            </w:pPr>
            <w:r>
              <w:rPr>
                <w:szCs w:val="21"/>
              </w:rPr>
              <w:t>254,355.99</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6.4.7.6</w:t>
      </w:r>
      <w:r w:rsidRPr="00C24ACA">
        <w:rPr>
          <w:rFonts w:eastAsiaTheme="minorEastAsia"/>
          <w:b/>
          <w:color w:val="000000"/>
          <w:szCs w:val="21"/>
        </w:rPr>
        <w:t>其他资产</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本基金本报告期末无其他资产。</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6.4.7.7</w:t>
      </w:r>
      <w:r w:rsidRPr="00C24ACA">
        <w:rPr>
          <w:rFonts w:eastAsiaTheme="minorEastAsia"/>
          <w:b/>
          <w:color w:val="000000"/>
          <w:szCs w:val="21"/>
        </w:rPr>
        <w:t>应付交易费用</w:t>
      </w:r>
    </w:p>
    <w:p w:rsidR="008A5A5D" w:rsidRPr="00C24ACA" w:rsidRDefault="008A5A5D" w:rsidP="002116B9">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szCs w:val="21"/>
        </w:rPr>
        <w:t>单位：人民币元</w:t>
      </w:r>
    </w:p>
    <w:tbl>
      <w:tblPr>
        <w:tblW w:w="92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8A5A5D" w:rsidRPr="00C24ACA" w:rsidTr="00862636">
        <w:trPr>
          <w:trHeight w:val="285"/>
        </w:trPr>
        <w:tc>
          <w:tcPr>
            <w:tcW w:w="3751"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528" w:type="dxa"/>
            <w:vAlign w:val="bottom"/>
          </w:tcPr>
          <w:p w:rsidR="008A5A5D" w:rsidRPr="00C24ACA" w:rsidRDefault="008A5A5D" w:rsidP="004A4847">
            <w:pPr>
              <w:jc w:val="center"/>
              <w:rPr>
                <w:rFonts w:eastAsiaTheme="minorEastAsia"/>
                <w:szCs w:val="21"/>
              </w:rPr>
            </w:pPr>
            <w:r w:rsidRPr="00C24ACA">
              <w:rPr>
                <w:rFonts w:eastAsiaTheme="minorEastAsia"/>
                <w:szCs w:val="21"/>
              </w:rPr>
              <w:t>本期末</w:t>
            </w:r>
          </w:p>
          <w:p w:rsidR="008A5A5D" w:rsidRPr="00C24ACA" w:rsidRDefault="00AC4A34" w:rsidP="004A4847">
            <w:pPr>
              <w:jc w:val="center"/>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rPr>
          <w:trHeight w:val="211"/>
        </w:trPr>
        <w:tc>
          <w:tcPr>
            <w:tcW w:w="3751" w:type="dxa"/>
            <w:vAlign w:val="bottom"/>
          </w:tcPr>
          <w:p w:rsidR="008A5A5D" w:rsidRPr="00C24ACA" w:rsidRDefault="008A5A5D" w:rsidP="004A4847">
            <w:pPr>
              <w:rPr>
                <w:rFonts w:eastAsiaTheme="minorEastAsia"/>
                <w:szCs w:val="21"/>
              </w:rPr>
            </w:pPr>
            <w:r w:rsidRPr="00C24ACA">
              <w:rPr>
                <w:rFonts w:eastAsiaTheme="minorEastAsia"/>
                <w:szCs w:val="21"/>
              </w:rPr>
              <w:t>交易所市场应付交易费用</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862636">
        <w:trPr>
          <w:trHeight w:val="296"/>
        </w:trPr>
        <w:tc>
          <w:tcPr>
            <w:tcW w:w="3751" w:type="dxa"/>
            <w:vAlign w:val="bottom"/>
          </w:tcPr>
          <w:p w:rsidR="008A5A5D" w:rsidRPr="00C24ACA" w:rsidRDefault="008A5A5D" w:rsidP="004A4847">
            <w:pPr>
              <w:rPr>
                <w:rFonts w:eastAsiaTheme="minorEastAsia"/>
                <w:szCs w:val="21"/>
              </w:rPr>
            </w:pPr>
            <w:r w:rsidRPr="00C24ACA">
              <w:rPr>
                <w:rFonts w:eastAsiaTheme="minorEastAsia"/>
                <w:szCs w:val="21"/>
              </w:rPr>
              <w:t>银行间市场应付交易费用</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350.00</w:t>
            </w:r>
          </w:p>
        </w:tc>
      </w:tr>
      <w:tr w:rsidR="008A5A5D" w:rsidRPr="00C24ACA" w:rsidTr="00862636">
        <w:trPr>
          <w:trHeight w:val="285"/>
        </w:trPr>
        <w:tc>
          <w:tcPr>
            <w:tcW w:w="3751" w:type="dxa"/>
            <w:vAlign w:val="bottom"/>
          </w:tcPr>
          <w:p w:rsidR="008A5A5D" w:rsidRPr="00C24ACA" w:rsidRDefault="008A5A5D" w:rsidP="004A4847">
            <w:pPr>
              <w:jc w:val="center"/>
              <w:rPr>
                <w:rFonts w:eastAsiaTheme="minorEastAsia"/>
                <w:szCs w:val="21"/>
              </w:rPr>
            </w:pPr>
            <w:r w:rsidRPr="00C24ACA">
              <w:rPr>
                <w:rFonts w:eastAsiaTheme="minorEastAsia"/>
                <w:szCs w:val="21"/>
              </w:rPr>
              <w:t>合计</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350.00</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6.4.7.8</w:t>
      </w:r>
      <w:r w:rsidRPr="00C24ACA">
        <w:rPr>
          <w:rFonts w:eastAsiaTheme="minorEastAsia"/>
          <w:b/>
          <w:color w:val="000000"/>
          <w:szCs w:val="21"/>
        </w:rPr>
        <w:t>其他负债</w:t>
      </w:r>
    </w:p>
    <w:p w:rsidR="008A5A5D" w:rsidRPr="00C24ACA" w:rsidRDefault="008A5A5D" w:rsidP="002116B9">
      <w:pPr>
        <w:wordWrap w:val="0"/>
        <w:spacing w:line="360" w:lineRule="auto"/>
        <w:jc w:val="right"/>
        <w:rPr>
          <w:rFonts w:eastAsiaTheme="minorEastAsia"/>
          <w:color w:val="000000"/>
          <w:szCs w:val="21"/>
        </w:rPr>
      </w:pPr>
      <w:r w:rsidRPr="00C24ACA">
        <w:rPr>
          <w:rFonts w:eastAsiaTheme="minorEastAsia"/>
          <w:color w:val="000000"/>
          <w:szCs w:val="21"/>
        </w:rPr>
        <w:t>单位：人民币元</w:t>
      </w:r>
    </w:p>
    <w:tbl>
      <w:tblPr>
        <w:tblW w:w="92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8A5A5D" w:rsidRPr="00C24ACA" w:rsidTr="00862636">
        <w:trPr>
          <w:trHeight w:val="330"/>
        </w:trPr>
        <w:tc>
          <w:tcPr>
            <w:tcW w:w="3701"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528" w:type="dxa"/>
            <w:vAlign w:val="center"/>
          </w:tcPr>
          <w:p w:rsidR="008A5A5D" w:rsidRPr="00C24ACA" w:rsidRDefault="008A5A5D" w:rsidP="004A4847">
            <w:pPr>
              <w:jc w:val="center"/>
              <w:rPr>
                <w:rFonts w:eastAsiaTheme="minorEastAsia"/>
                <w:kern w:val="0"/>
                <w:szCs w:val="21"/>
              </w:rPr>
            </w:pPr>
            <w:r w:rsidRPr="00C24ACA">
              <w:rPr>
                <w:rFonts w:eastAsiaTheme="minorEastAsia"/>
                <w:kern w:val="0"/>
                <w:szCs w:val="21"/>
              </w:rPr>
              <w:t>本期末</w:t>
            </w:r>
          </w:p>
          <w:p w:rsidR="008A5A5D" w:rsidRPr="00C24ACA" w:rsidRDefault="00AC4A34" w:rsidP="004A4847">
            <w:pPr>
              <w:jc w:val="center"/>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rPr>
          <w:trHeight w:val="325"/>
        </w:trPr>
        <w:tc>
          <w:tcPr>
            <w:tcW w:w="3701" w:type="dxa"/>
            <w:vAlign w:val="center"/>
          </w:tcPr>
          <w:p w:rsidR="008A5A5D" w:rsidRPr="00C24ACA" w:rsidRDefault="008A5A5D" w:rsidP="004A4847">
            <w:pPr>
              <w:rPr>
                <w:rFonts w:eastAsiaTheme="minorEastAsia"/>
                <w:szCs w:val="21"/>
              </w:rPr>
            </w:pPr>
            <w:r w:rsidRPr="00C24ACA">
              <w:rPr>
                <w:rFonts w:eastAsiaTheme="minorEastAsia"/>
                <w:szCs w:val="21"/>
              </w:rPr>
              <w:t>应付券商交易单元保证金</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862636">
        <w:trPr>
          <w:trHeight w:val="325"/>
        </w:trPr>
        <w:tc>
          <w:tcPr>
            <w:tcW w:w="3701" w:type="dxa"/>
            <w:vAlign w:val="center"/>
          </w:tcPr>
          <w:p w:rsidR="008A5A5D" w:rsidRPr="00C24ACA" w:rsidRDefault="008A5A5D" w:rsidP="004A4847">
            <w:pPr>
              <w:rPr>
                <w:rFonts w:eastAsiaTheme="minorEastAsia"/>
                <w:szCs w:val="21"/>
              </w:rPr>
            </w:pPr>
            <w:r w:rsidRPr="00C24ACA">
              <w:rPr>
                <w:rFonts w:eastAsiaTheme="minorEastAsia"/>
                <w:szCs w:val="21"/>
              </w:rPr>
              <w:t>应付赎回费</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8,451.76</w:t>
            </w:r>
          </w:p>
        </w:tc>
      </w:tr>
      <w:tr w:rsidR="00854133">
        <w:tc>
          <w:tcPr>
            <w:tcW w:w="3701" w:type="dxa"/>
            <w:vAlign w:val="center"/>
          </w:tcPr>
          <w:p w:rsidR="00854133" w:rsidRDefault="00581AA4">
            <w:pPr>
              <w:jc w:val="left"/>
            </w:pPr>
            <w:r>
              <w:rPr>
                <w:rFonts w:eastAsiaTheme="minorEastAsia"/>
                <w:szCs w:val="21"/>
              </w:rPr>
              <w:t>预提费用</w:t>
            </w:r>
          </w:p>
        </w:tc>
        <w:tc>
          <w:tcPr>
            <w:tcW w:w="5528" w:type="dxa"/>
            <w:vAlign w:val="center"/>
          </w:tcPr>
          <w:p w:rsidR="00854133" w:rsidRDefault="00581AA4">
            <w:pPr>
              <w:jc w:val="right"/>
            </w:pPr>
            <w:r>
              <w:rPr>
                <w:rFonts w:eastAsiaTheme="minorEastAsia"/>
                <w:szCs w:val="21"/>
              </w:rPr>
              <w:t>345,310.64</w:t>
            </w:r>
          </w:p>
        </w:tc>
      </w:tr>
      <w:tr w:rsidR="008A5A5D" w:rsidRPr="00C24ACA" w:rsidTr="00862636">
        <w:trPr>
          <w:trHeight w:val="325"/>
        </w:trPr>
        <w:tc>
          <w:tcPr>
            <w:tcW w:w="3701" w:type="dxa"/>
            <w:vAlign w:val="center"/>
          </w:tcPr>
          <w:p w:rsidR="008A5A5D" w:rsidRPr="00C24ACA" w:rsidRDefault="008A5A5D" w:rsidP="00052E9B">
            <w:pPr>
              <w:rPr>
                <w:rFonts w:eastAsiaTheme="minorEastAsia"/>
                <w:szCs w:val="21"/>
              </w:rPr>
            </w:pPr>
            <w:r w:rsidRPr="00C24ACA">
              <w:rPr>
                <w:rFonts w:eastAsiaTheme="minorEastAsia"/>
                <w:szCs w:val="21"/>
              </w:rPr>
              <w:t>合计</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353,762.40</w:t>
            </w:r>
          </w:p>
        </w:tc>
      </w:tr>
    </w:tbl>
    <w:p w:rsidR="00471935" w:rsidRDefault="008A5A5D" w:rsidP="00471935">
      <w:pPr>
        <w:spacing w:beforeLines="100" w:before="312" w:line="360" w:lineRule="auto"/>
        <w:rPr>
          <w:rFonts w:eastAsiaTheme="minorEastAsia"/>
          <w:b/>
          <w:color w:val="000000"/>
          <w:szCs w:val="21"/>
        </w:rPr>
      </w:pPr>
      <w:r w:rsidRPr="00C24ACA">
        <w:rPr>
          <w:rFonts w:eastAsiaTheme="minorEastAsia"/>
          <w:b/>
          <w:bCs/>
          <w:color w:val="000000"/>
          <w:kern w:val="0"/>
          <w:szCs w:val="21"/>
        </w:rPr>
        <w:t>6.4.7.9</w:t>
      </w:r>
      <w:r w:rsidRPr="00C24ACA">
        <w:rPr>
          <w:rFonts w:eastAsiaTheme="minorEastAsia"/>
          <w:b/>
          <w:color w:val="000000"/>
          <w:szCs w:val="21"/>
        </w:rPr>
        <w:t>实收基金</w:t>
      </w:r>
    </w:p>
    <w:p w:rsidR="00471935" w:rsidRPr="00896265" w:rsidRDefault="00471935" w:rsidP="00471935">
      <w:pPr>
        <w:adjustRightInd w:val="0"/>
        <w:snapToGrid w:val="0"/>
        <w:spacing w:line="360" w:lineRule="auto"/>
        <w:rPr>
          <w:rFonts w:eastAsiaTheme="minorEastAsia"/>
          <w:b/>
          <w:color w:val="000000"/>
          <w:szCs w:val="21"/>
        </w:rPr>
      </w:pPr>
      <w:r w:rsidRPr="00896265">
        <w:rPr>
          <w:rFonts w:eastAsiaTheme="minorEastAsia"/>
          <w:szCs w:val="21"/>
        </w:rPr>
        <w:t>易方达黄金主题（</w:t>
      </w:r>
      <w:r w:rsidRPr="00896265">
        <w:rPr>
          <w:rFonts w:eastAsiaTheme="minorEastAsia"/>
          <w:szCs w:val="21"/>
        </w:rPr>
        <w:t>QDII-LOF-FOF</w:t>
      </w:r>
      <w:r w:rsidRPr="00896265">
        <w:rPr>
          <w:rFonts w:eastAsiaTheme="minorEastAsia"/>
          <w:szCs w:val="21"/>
        </w:rPr>
        <w:t>）</w:t>
      </w:r>
      <w:r w:rsidRPr="00896265">
        <w:rPr>
          <w:rFonts w:eastAsiaTheme="minorEastAsia"/>
          <w:szCs w:val="21"/>
        </w:rPr>
        <w:t>A</w:t>
      </w:r>
    </w:p>
    <w:p w:rsidR="00471935" w:rsidRPr="00C24ACA" w:rsidRDefault="00471935" w:rsidP="00471935">
      <w:pPr>
        <w:wordWrap w:val="0"/>
        <w:spacing w:line="360" w:lineRule="auto"/>
        <w:jc w:val="right"/>
        <w:rPr>
          <w:rFonts w:eastAsiaTheme="minorEastAsia"/>
          <w:szCs w:val="21"/>
        </w:rPr>
      </w:pPr>
      <w:r w:rsidRPr="00C24ACA">
        <w:rPr>
          <w:rFonts w:eastAsiaTheme="minorEastAsia"/>
          <w:szCs w:val="21"/>
        </w:rPr>
        <w:t>金额单位：人民币元</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471935" w:rsidRPr="00C24ACA" w:rsidTr="00CC7CAD">
        <w:tc>
          <w:tcPr>
            <w:tcW w:w="3120" w:type="dxa"/>
            <w:vMerge w:val="restart"/>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项目</w:t>
            </w:r>
          </w:p>
        </w:tc>
        <w:tc>
          <w:tcPr>
            <w:tcW w:w="6240" w:type="dxa"/>
            <w:gridSpan w:val="2"/>
            <w:vAlign w:val="center"/>
          </w:tcPr>
          <w:p w:rsidR="00471935" w:rsidRPr="00C24ACA" w:rsidRDefault="00471935" w:rsidP="00CC7CAD">
            <w:pPr>
              <w:spacing w:line="360" w:lineRule="auto"/>
              <w:jc w:val="center"/>
              <w:rPr>
                <w:rFonts w:eastAsiaTheme="minorEastAsia"/>
                <w:color w:val="000000"/>
                <w:szCs w:val="21"/>
              </w:rPr>
            </w:pPr>
            <w:r w:rsidRPr="00C24ACA">
              <w:rPr>
                <w:rFonts w:eastAsiaTheme="minorEastAsia"/>
                <w:color w:val="000000"/>
                <w:szCs w:val="21"/>
              </w:rPr>
              <w:t>本期</w:t>
            </w:r>
          </w:p>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471935" w:rsidRPr="00C24ACA" w:rsidTr="00CC7CAD">
        <w:tc>
          <w:tcPr>
            <w:tcW w:w="3120" w:type="dxa"/>
            <w:vMerge/>
            <w:vAlign w:val="center"/>
          </w:tcPr>
          <w:p w:rsidR="00471935" w:rsidRPr="00C24ACA" w:rsidRDefault="00471935" w:rsidP="00CC7CAD">
            <w:pPr>
              <w:widowControl/>
              <w:spacing w:line="360" w:lineRule="auto"/>
              <w:jc w:val="left"/>
              <w:rPr>
                <w:rFonts w:eastAsiaTheme="minorEastAsia"/>
                <w:color w:val="000000"/>
                <w:szCs w:val="21"/>
              </w:rPr>
            </w:pPr>
          </w:p>
        </w:tc>
        <w:tc>
          <w:tcPr>
            <w:tcW w:w="3120" w:type="dxa"/>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基金份额</w:t>
            </w:r>
          </w:p>
        </w:tc>
        <w:tc>
          <w:tcPr>
            <w:tcW w:w="3120" w:type="dxa"/>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账面金额</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上年度末</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428,703,387.26</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428,703,387.26</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本期申购</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115,561,285.03</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115,561,285.03</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本期赎回（以</w:t>
            </w:r>
            <w:r w:rsidRPr="00C24ACA">
              <w:rPr>
                <w:rFonts w:eastAsiaTheme="minorEastAsia"/>
                <w:color w:val="000000"/>
                <w:szCs w:val="21"/>
              </w:rPr>
              <w:t>“-”</w:t>
            </w:r>
            <w:r w:rsidRPr="00C24ACA">
              <w:rPr>
                <w:rFonts w:eastAsiaTheme="minorEastAsia"/>
                <w:color w:val="000000"/>
                <w:szCs w:val="21"/>
              </w:rPr>
              <w:t>号填列）</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-228,945,700.15</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-228,945,700.15</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szCs w:val="21"/>
              </w:rPr>
              <w:t>本期末</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315,318,972.14</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315,318,972.14</w:t>
            </w:r>
          </w:p>
        </w:tc>
      </w:tr>
    </w:tbl>
    <w:p w:rsidR="00471935" w:rsidRPr="00896265" w:rsidRDefault="00471935" w:rsidP="00471935">
      <w:pPr>
        <w:adjustRightInd w:val="0"/>
        <w:snapToGrid w:val="0"/>
        <w:spacing w:line="360" w:lineRule="auto"/>
        <w:rPr>
          <w:rFonts w:eastAsiaTheme="minorEastAsia"/>
          <w:szCs w:val="21"/>
        </w:rPr>
      </w:pPr>
      <w:r w:rsidRPr="00896265">
        <w:rPr>
          <w:rFonts w:eastAsiaTheme="minorEastAsia"/>
          <w:szCs w:val="21"/>
        </w:rPr>
        <w:t>易方达黄金主题（</w:t>
      </w:r>
      <w:r w:rsidRPr="00896265">
        <w:rPr>
          <w:rFonts w:eastAsiaTheme="minorEastAsia"/>
          <w:szCs w:val="21"/>
        </w:rPr>
        <w:t>QDII-LOF-FOF</w:t>
      </w:r>
      <w:r w:rsidRPr="00896265">
        <w:rPr>
          <w:rFonts w:eastAsiaTheme="minorEastAsia"/>
          <w:szCs w:val="21"/>
        </w:rPr>
        <w:t>）</w:t>
      </w:r>
      <w:r w:rsidRPr="00896265">
        <w:rPr>
          <w:rFonts w:eastAsiaTheme="minorEastAsia"/>
          <w:szCs w:val="21"/>
        </w:rPr>
        <w:t>C</w:t>
      </w:r>
    </w:p>
    <w:p w:rsidR="00471935" w:rsidRPr="00C24ACA" w:rsidRDefault="00471935" w:rsidP="00471935">
      <w:pPr>
        <w:adjustRightInd w:val="0"/>
        <w:snapToGrid w:val="0"/>
        <w:spacing w:line="360" w:lineRule="auto"/>
        <w:jc w:val="right"/>
        <w:rPr>
          <w:rFonts w:eastAsiaTheme="minorEastAsia"/>
          <w:color w:val="000000"/>
          <w:szCs w:val="21"/>
        </w:rPr>
      </w:pPr>
      <w:r w:rsidRPr="00C24ACA">
        <w:rPr>
          <w:rFonts w:eastAsiaTheme="minorEastAsia"/>
          <w:color w:val="000000"/>
          <w:szCs w:val="21"/>
        </w:rPr>
        <w:t>金额单位：人民币元</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471935" w:rsidRPr="00C24ACA" w:rsidTr="00CC7CAD">
        <w:tc>
          <w:tcPr>
            <w:tcW w:w="3120" w:type="dxa"/>
            <w:vMerge w:val="restart"/>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项目</w:t>
            </w:r>
          </w:p>
        </w:tc>
        <w:tc>
          <w:tcPr>
            <w:tcW w:w="6240" w:type="dxa"/>
            <w:gridSpan w:val="2"/>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本期</w:t>
            </w:r>
          </w:p>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471935" w:rsidRPr="00C24ACA" w:rsidTr="00CC7CAD">
        <w:tc>
          <w:tcPr>
            <w:tcW w:w="3120" w:type="dxa"/>
            <w:vMerge/>
            <w:vAlign w:val="center"/>
          </w:tcPr>
          <w:p w:rsidR="00471935" w:rsidRPr="00C24ACA" w:rsidRDefault="00471935" w:rsidP="00CC7CAD">
            <w:pPr>
              <w:widowControl/>
              <w:spacing w:line="360" w:lineRule="auto"/>
              <w:jc w:val="left"/>
              <w:rPr>
                <w:rFonts w:eastAsiaTheme="minorEastAsia"/>
                <w:color w:val="000000"/>
                <w:szCs w:val="21"/>
              </w:rPr>
            </w:pPr>
          </w:p>
        </w:tc>
        <w:tc>
          <w:tcPr>
            <w:tcW w:w="3120" w:type="dxa"/>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基金份额</w:t>
            </w:r>
          </w:p>
        </w:tc>
        <w:tc>
          <w:tcPr>
            <w:tcW w:w="3120" w:type="dxa"/>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账面金额</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上年度末</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453,818.87</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453,818.87</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本期申购</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3,421,734.15</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3,421,734.15</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本期赎回（以</w:t>
            </w:r>
            <w:r w:rsidRPr="00C24ACA">
              <w:rPr>
                <w:rFonts w:eastAsiaTheme="minorEastAsia"/>
                <w:color w:val="000000"/>
                <w:szCs w:val="21"/>
              </w:rPr>
              <w:t>“-”</w:t>
            </w:r>
            <w:r w:rsidRPr="00C24ACA">
              <w:rPr>
                <w:rFonts w:eastAsiaTheme="minorEastAsia"/>
                <w:color w:val="000000"/>
                <w:szCs w:val="21"/>
              </w:rPr>
              <w:t>号填列）</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-2,567,034.22</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-2,567,034.22</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szCs w:val="21"/>
              </w:rPr>
              <w:t>本期末</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1,308,518.80</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1,308,518.80</w:t>
            </w:r>
          </w:p>
        </w:tc>
      </w:tr>
    </w:tbl>
    <w:p w:rsidR="008A5A5D" w:rsidRPr="00C24ACA" w:rsidRDefault="008A5A5D" w:rsidP="00471935">
      <w:pPr>
        <w:spacing w:beforeLines="100" w:before="312" w:line="360" w:lineRule="auto"/>
        <w:rPr>
          <w:rFonts w:eastAsiaTheme="minorEastAsia"/>
          <w:b/>
          <w:color w:val="000000"/>
          <w:szCs w:val="21"/>
        </w:rPr>
      </w:pPr>
      <w:r w:rsidRPr="00C24ACA">
        <w:rPr>
          <w:rFonts w:eastAsiaTheme="minorEastAsia"/>
          <w:b/>
          <w:bCs/>
          <w:color w:val="000000"/>
          <w:kern w:val="0"/>
          <w:szCs w:val="21"/>
        </w:rPr>
        <w:t>6.4.7.10</w:t>
      </w:r>
      <w:r w:rsidRPr="00C24ACA">
        <w:rPr>
          <w:rFonts w:eastAsiaTheme="minorEastAsia"/>
          <w:b/>
          <w:color w:val="000000"/>
          <w:szCs w:val="21"/>
        </w:rPr>
        <w:t>未分配利润</w:t>
      </w:r>
    </w:p>
    <w:p w:rsidR="008A5A5D" w:rsidRPr="00C24ACA" w:rsidRDefault="008A5A5D" w:rsidP="002116B9">
      <w:pPr>
        <w:spacing w:line="288" w:lineRule="auto"/>
        <w:jc w:val="right"/>
        <w:rPr>
          <w:rFonts w:eastAsiaTheme="minorEastAsia"/>
          <w:color w:val="000000"/>
          <w:szCs w:val="21"/>
        </w:rPr>
      </w:pPr>
      <w:r w:rsidRPr="00C24ACA">
        <w:rPr>
          <w:rFonts w:eastAsiaTheme="minorEastAsia"/>
          <w:color w:val="000000"/>
          <w:szCs w:val="21"/>
        </w:rPr>
        <w:t>单位：人民币元</w:t>
      </w:r>
    </w:p>
    <w:tbl>
      <w:tblPr>
        <w:tblW w:w="94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2915FE" w:rsidRPr="00C24ACA" w:rsidTr="005C3575">
        <w:tc>
          <w:tcPr>
            <w:tcW w:w="9415" w:type="dxa"/>
            <w:gridSpan w:val="4"/>
          </w:tcPr>
          <w:p w:rsidR="002915FE" w:rsidRPr="00C24ACA" w:rsidRDefault="002915FE" w:rsidP="002915FE">
            <w:pPr>
              <w:tabs>
                <w:tab w:val="left" w:pos="3015"/>
              </w:tabs>
              <w:jc w:val="center"/>
              <w:rPr>
                <w:rFonts w:eastAsiaTheme="minorEastAsia"/>
                <w:color w:val="000000"/>
                <w:szCs w:val="21"/>
              </w:rPr>
            </w:pPr>
            <w:r w:rsidRPr="00C24ACA">
              <w:rPr>
                <w:rFonts w:eastAsiaTheme="minorEastAsia"/>
                <w:color w:val="000000"/>
                <w:szCs w:val="21"/>
              </w:rPr>
              <w:t>易方达黄金主题（</w:t>
            </w:r>
            <w:r w:rsidRPr="00C24ACA">
              <w:rPr>
                <w:rFonts w:eastAsiaTheme="minorEastAsia"/>
                <w:color w:val="000000"/>
                <w:szCs w:val="21"/>
              </w:rPr>
              <w:t>QDII-LOF-FOF</w:t>
            </w:r>
            <w:r w:rsidRPr="00C24ACA">
              <w:rPr>
                <w:rFonts w:eastAsiaTheme="minorEastAsia"/>
                <w:color w:val="000000"/>
                <w:szCs w:val="21"/>
              </w:rPr>
              <w:t>）</w:t>
            </w:r>
            <w:r w:rsidRPr="00C24ACA">
              <w:rPr>
                <w:rFonts w:eastAsiaTheme="minorEastAsia"/>
                <w:color w:val="000000"/>
                <w:szCs w:val="21"/>
              </w:rPr>
              <w:t>A</w:t>
            </w:r>
          </w:p>
        </w:tc>
      </w:tr>
      <w:tr w:rsidR="002915FE" w:rsidRPr="00C24ACA" w:rsidTr="002915FE">
        <w:tc>
          <w:tcPr>
            <w:tcW w:w="2706" w:type="dxa"/>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项目</w:t>
            </w:r>
          </w:p>
        </w:tc>
        <w:tc>
          <w:tcPr>
            <w:tcW w:w="2236"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已实现部分</w:t>
            </w:r>
          </w:p>
        </w:tc>
        <w:tc>
          <w:tcPr>
            <w:tcW w:w="2236"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未实现部分</w:t>
            </w:r>
          </w:p>
        </w:tc>
        <w:tc>
          <w:tcPr>
            <w:tcW w:w="2237"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未分配利润合计</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上年度末</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-102,532,181.63</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40,280,004.16</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-62,252,177.47</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本期利润</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15,126,359.08</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15,280,355.95</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30,406,715.03</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本期基金份额交易产生的变动数</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24,919,951.24</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-9,826,679.10</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15,093,272.14</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其中：基金申购款</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-24,276,935.47</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9,487,666.53</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-14,789,268.94</w:t>
            </w:r>
          </w:p>
        </w:tc>
      </w:tr>
      <w:tr w:rsidR="002915FE" w:rsidRPr="00C24ACA" w:rsidTr="002915FE">
        <w:tc>
          <w:tcPr>
            <w:tcW w:w="2706" w:type="dxa"/>
            <w:vAlign w:val="center"/>
          </w:tcPr>
          <w:p w:rsidR="002915FE" w:rsidRPr="00C24ACA" w:rsidRDefault="002915FE" w:rsidP="008134C7">
            <w:pPr>
              <w:ind w:firstLineChars="300" w:firstLine="630"/>
              <w:rPr>
                <w:rFonts w:eastAsiaTheme="minorEastAsia"/>
                <w:color w:val="000000"/>
                <w:szCs w:val="21"/>
              </w:rPr>
            </w:pPr>
            <w:r w:rsidRPr="00C24ACA">
              <w:rPr>
                <w:rFonts w:eastAsiaTheme="minorEastAsia"/>
                <w:color w:val="000000"/>
                <w:szCs w:val="21"/>
              </w:rPr>
              <w:t>基金赎回款</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49,196,886.71</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-19,314,345.63</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29,882,541.08</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本期已分配利润</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本期末</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-62,485,871.31</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45,733,681.01</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-16,752,190.30</w:t>
            </w:r>
          </w:p>
        </w:tc>
      </w:tr>
    </w:tbl>
    <w:p w:rsidR="0057216B" w:rsidRPr="00C24ACA" w:rsidRDefault="0057216B" w:rsidP="002915FE">
      <w:pPr>
        <w:adjustRightInd w:val="0"/>
        <w:snapToGrid w:val="0"/>
        <w:spacing w:line="288" w:lineRule="auto"/>
        <w:jc w:val="right"/>
        <w:rPr>
          <w:rFonts w:eastAsiaTheme="minorEastAsia"/>
          <w:color w:val="000000"/>
          <w:szCs w:val="21"/>
        </w:rPr>
      </w:pPr>
      <w:r w:rsidRPr="00C24ACA">
        <w:rPr>
          <w:rFonts w:eastAsiaTheme="minorEastAsia"/>
          <w:color w:val="000000"/>
          <w:szCs w:val="21"/>
        </w:rPr>
        <w:t>单位：人民币元</w:t>
      </w:r>
    </w:p>
    <w:tbl>
      <w:tblPr>
        <w:tblW w:w="94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57216B" w:rsidRPr="00C24ACA" w:rsidTr="005C3575">
        <w:tc>
          <w:tcPr>
            <w:tcW w:w="9415" w:type="dxa"/>
            <w:gridSpan w:val="4"/>
          </w:tcPr>
          <w:p w:rsidR="002915FE" w:rsidRPr="00C24ACA" w:rsidRDefault="002915FE" w:rsidP="002915FE">
            <w:pPr>
              <w:jc w:val="center"/>
              <w:rPr>
                <w:rFonts w:eastAsiaTheme="minorEastAsia"/>
                <w:color w:val="000000"/>
                <w:szCs w:val="21"/>
              </w:rPr>
            </w:pPr>
            <w:r w:rsidRPr="00C24ACA">
              <w:rPr>
                <w:rFonts w:eastAsiaTheme="minorEastAsia"/>
                <w:color w:val="000000"/>
                <w:szCs w:val="21"/>
              </w:rPr>
              <w:t>易方达黄金主题（</w:t>
            </w:r>
            <w:r w:rsidRPr="00C24ACA">
              <w:rPr>
                <w:rFonts w:eastAsiaTheme="minorEastAsia"/>
                <w:color w:val="000000"/>
                <w:szCs w:val="21"/>
              </w:rPr>
              <w:t>QDII-LOF-FOF</w:t>
            </w:r>
            <w:r w:rsidRPr="00C24ACA">
              <w:rPr>
                <w:rFonts w:eastAsiaTheme="minorEastAsia"/>
                <w:color w:val="000000"/>
                <w:szCs w:val="21"/>
              </w:rPr>
              <w:t>）</w:t>
            </w:r>
            <w:r w:rsidRPr="00C24ACA">
              <w:rPr>
                <w:rFonts w:eastAsiaTheme="minorEastAsia"/>
                <w:color w:val="000000"/>
                <w:szCs w:val="21"/>
              </w:rPr>
              <w:t>C</w:t>
            </w:r>
          </w:p>
        </w:tc>
      </w:tr>
      <w:tr w:rsidR="0057216B" w:rsidRPr="00C24ACA" w:rsidTr="00AD6EE3">
        <w:tc>
          <w:tcPr>
            <w:tcW w:w="2706" w:type="dxa"/>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项目</w:t>
            </w:r>
          </w:p>
        </w:tc>
        <w:tc>
          <w:tcPr>
            <w:tcW w:w="2236"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已实现部分</w:t>
            </w:r>
          </w:p>
        </w:tc>
        <w:tc>
          <w:tcPr>
            <w:tcW w:w="2236"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未实现部分</w:t>
            </w:r>
          </w:p>
        </w:tc>
        <w:tc>
          <w:tcPr>
            <w:tcW w:w="2237"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未分配利润合计</w:t>
            </w:r>
          </w:p>
        </w:tc>
      </w:tr>
      <w:tr w:rsidR="0057216B" w:rsidRPr="00C24ACA" w:rsidTr="00AD6EE3">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上年度末</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-80,774.58</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15,160.15</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-65,614.43</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本期利润</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-7,943.11</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55,285.04</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47,341.93</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本期基金份额交易产生的变动数</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-90,074.47</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38,697.23</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-51,377.24</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其中：基金申购款</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-492,670.77</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38,300.54</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-454,370.23</w:t>
            </w:r>
          </w:p>
        </w:tc>
      </w:tr>
      <w:tr w:rsidR="0057216B" w:rsidRPr="00C24ACA" w:rsidTr="0057216B">
        <w:tc>
          <w:tcPr>
            <w:tcW w:w="2706" w:type="dxa"/>
            <w:vAlign w:val="center"/>
          </w:tcPr>
          <w:p w:rsidR="0057216B" w:rsidRPr="00C24ACA" w:rsidRDefault="0057216B" w:rsidP="008134C7">
            <w:pPr>
              <w:ind w:firstLineChars="300" w:firstLine="630"/>
              <w:rPr>
                <w:rFonts w:eastAsiaTheme="minorEastAsia"/>
                <w:color w:val="000000"/>
                <w:szCs w:val="21"/>
              </w:rPr>
            </w:pPr>
            <w:r w:rsidRPr="00C24ACA">
              <w:rPr>
                <w:rFonts w:eastAsiaTheme="minorEastAsia"/>
                <w:color w:val="000000"/>
                <w:szCs w:val="21"/>
              </w:rPr>
              <w:t>基金赎回款</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402,596.30</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396.69</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402,992.99</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本期已分配利润</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本期末</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-178,792.16</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109,142.42</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-69,649.74</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6.4.7.11</w:t>
      </w:r>
      <w:r w:rsidRPr="00C24ACA">
        <w:rPr>
          <w:rFonts w:eastAsiaTheme="minorEastAsia"/>
          <w:b/>
          <w:color w:val="000000"/>
          <w:szCs w:val="21"/>
        </w:rPr>
        <w:t>存款利息收入</w:t>
      </w:r>
    </w:p>
    <w:p w:rsidR="008A5A5D" w:rsidRPr="00C24ACA" w:rsidRDefault="008A5A5D" w:rsidP="002116B9">
      <w:pPr>
        <w:wordWrap w:val="0"/>
        <w:spacing w:line="360" w:lineRule="auto"/>
        <w:jc w:val="right"/>
        <w:rPr>
          <w:rFonts w:eastAsiaTheme="minorEastAsia"/>
          <w:color w:val="000000"/>
          <w:szCs w:val="21"/>
        </w:rPr>
      </w:pPr>
      <w:r w:rsidRPr="00C24ACA">
        <w:rPr>
          <w:rFonts w:eastAsiaTheme="minor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8A5A5D" w:rsidRPr="00C24ACA" w:rsidTr="000869C6">
        <w:tc>
          <w:tcPr>
            <w:tcW w:w="3828"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386" w:type="dxa"/>
            <w:vAlign w:val="center"/>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jc w:val="center"/>
              <w:rPr>
                <w:rFonts w:eastAsiaTheme="minorEastAsia"/>
                <w:b/>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活期存款利息收入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90,263.70</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定期存款利息收入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其他存款利息收入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结算备付金利息收入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其他</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328.65</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合计</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90,592.35</w:t>
            </w:r>
          </w:p>
        </w:tc>
      </w:tr>
    </w:tbl>
    <w:p w:rsidR="004D0FA5" w:rsidRPr="00C24ACA" w:rsidRDefault="004D0FA5" w:rsidP="004D0FA5">
      <w:pPr>
        <w:spacing w:line="360" w:lineRule="auto"/>
        <w:rPr>
          <w:rFonts w:eastAsiaTheme="minorEastAsia"/>
          <w:b/>
          <w:bCs/>
          <w:color w:val="000000"/>
          <w:szCs w:val="21"/>
        </w:rPr>
      </w:pPr>
      <w:r w:rsidRPr="00C24ACA">
        <w:rPr>
          <w:rFonts w:eastAsiaTheme="minorEastAsia"/>
          <w:b/>
          <w:bCs/>
          <w:color w:val="000000"/>
          <w:kern w:val="0"/>
          <w:szCs w:val="21"/>
        </w:rPr>
        <w:t xml:space="preserve">6.4.7.12 </w:t>
      </w:r>
      <w:r w:rsidR="00601974" w:rsidRPr="00C24ACA">
        <w:rPr>
          <w:rFonts w:eastAsiaTheme="minorEastAsia"/>
          <w:b/>
          <w:color w:val="000000"/>
          <w:szCs w:val="21"/>
        </w:rPr>
        <w:t>股票投资收益</w:t>
      </w:r>
      <w:r w:rsidRPr="00C24ACA">
        <w:rPr>
          <w:rFonts w:eastAsiaTheme="minorEastAsia"/>
          <w:b/>
          <w:color w:val="000000"/>
          <w:szCs w:val="21"/>
        </w:rPr>
        <w:t>——</w:t>
      </w:r>
      <w:r w:rsidRPr="00C24ACA">
        <w:rPr>
          <w:rFonts w:eastAsiaTheme="minorEastAsia"/>
          <w:b/>
          <w:color w:val="000000"/>
          <w:szCs w:val="21"/>
        </w:rPr>
        <w:t>买卖股票差价收入</w:t>
      </w:r>
    </w:p>
    <w:p w:rsidR="004D0FA5" w:rsidRPr="00C24ACA" w:rsidRDefault="004D0FA5" w:rsidP="004D0FA5">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4D0FA5" w:rsidRPr="00C24ACA" w:rsidTr="00862636">
        <w:trPr>
          <w:trHeight w:val="300"/>
        </w:trPr>
        <w:tc>
          <w:tcPr>
            <w:tcW w:w="3755" w:type="dxa"/>
            <w:tcMar>
              <w:top w:w="15" w:type="dxa"/>
              <w:left w:w="15" w:type="dxa"/>
              <w:bottom w:w="0" w:type="dxa"/>
              <w:right w:w="15" w:type="dxa"/>
            </w:tcMar>
            <w:vAlign w:val="center"/>
          </w:tcPr>
          <w:p w:rsidR="004D0FA5" w:rsidRPr="00C24ACA" w:rsidRDefault="004D0FA5" w:rsidP="008C69DE">
            <w:pPr>
              <w:jc w:val="center"/>
              <w:rPr>
                <w:rFonts w:eastAsiaTheme="minorEastAsia"/>
                <w:szCs w:val="21"/>
              </w:rPr>
            </w:pPr>
            <w:r w:rsidRPr="00C24ACA">
              <w:rPr>
                <w:rFonts w:eastAsiaTheme="minorEastAsia"/>
                <w:szCs w:val="21"/>
              </w:rPr>
              <w:t>项目</w:t>
            </w:r>
          </w:p>
        </w:tc>
        <w:tc>
          <w:tcPr>
            <w:tcW w:w="5452" w:type="dxa"/>
            <w:tcMar>
              <w:top w:w="15" w:type="dxa"/>
              <w:left w:w="15" w:type="dxa"/>
              <w:bottom w:w="0" w:type="dxa"/>
              <w:right w:w="15" w:type="dxa"/>
            </w:tcMar>
            <w:vAlign w:val="center"/>
          </w:tcPr>
          <w:p w:rsidR="004D0FA5" w:rsidRPr="00C24ACA" w:rsidRDefault="004D0FA5" w:rsidP="008C69DE">
            <w:pPr>
              <w:jc w:val="center"/>
              <w:rPr>
                <w:rFonts w:eastAsiaTheme="minorEastAsia"/>
                <w:szCs w:val="21"/>
              </w:rPr>
            </w:pPr>
            <w:r w:rsidRPr="00C24ACA">
              <w:rPr>
                <w:rFonts w:eastAsiaTheme="minorEastAsia"/>
                <w:szCs w:val="21"/>
              </w:rPr>
              <w:t>本期</w:t>
            </w:r>
          </w:p>
          <w:p w:rsidR="004D0FA5" w:rsidRPr="00C24ACA" w:rsidRDefault="004D0FA5" w:rsidP="008C69DE">
            <w:pPr>
              <w:jc w:val="center"/>
              <w:rPr>
                <w:rFonts w:eastAsiaTheme="minorEastAsia"/>
                <w:b/>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4D0FA5" w:rsidRPr="00C24ACA" w:rsidTr="00862636">
        <w:trPr>
          <w:trHeight w:val="300"/>
        </w:trPr>
        <w:tc>
          <w:tcPr>
            <w:tcW w:w="3755" w:type="dxa"/>
            <w:tcMar>
              <w:top w:w="15" w:type="dxa"/>
              <w:left w:w="15" w:type="dxa"/>
              <w:bottom w:w="0" w:type="dxa"/>
              <w:right w:w="15" w:type="dxa"/>
            </w:tcMar>
            <w:vAlign w:val="center"/>
          </w:tcPr>
          <w:p w:rsidR="004D0FA5" w:rsidRPr="00C24ACA" w:rsidRDefault="004D0FA5" w:rsidP="008C69DE">
            <w:pPr>
              <w:rPr>
                <w:rFonts w:eastAsiaTheme="minorEastAsia"/>
                <w:szCs w:val="21"/>
              </w:rPr>
            </w:pPr>
            <w:r w:rsidRPr="00C24ACA">
              <w:rPr>
                <w:rFonts w:eastAsiaTheme="minorEastAsia"/>
                <w:szCs w:val="21"/>
              </w:rPr>
              <w:t>卖出股票成交总额</w:t>
            </w:r>
          </w:p>
        </w:tc>
        <w:tc>
          <w:tcPr>
            <w:tcW w:w="5452" w:type="dxa"/>
            <w:tcMar>
              <w:top w:w="15" w:type="dxa"/>
              <w:left w:w="15" w:type="dxa"/>
              <w:bottom w:w="0" w:type="dxa"/>
              <w:right w:w="15" w:type="dxa"/>
            </w:tcMar>
            <w:vAlign w:val="bottom"/>
          </w:tcPr>
          <w:p w:rsidR="004D0FA5" w:rsidRPr="00C24ACA" w:rsidRDefault="004D0FA5" w:rsidP="008C69DE">
            <w:pPr>
              <w:jc w:val="right"/>
              <w:rPr>
                <w:rFonts w:eastAsiaTheme="minorEastAsia"/>
                <w:szCs w:val="21"/>
              </w:rPr>
            </w:pPr>
            <w:r w:rsidRPr="00C24ACA">
              <w:rPr>
                <w:rFonts w:eastAsiaTheme="minorEastAsia"/>
                <w:szCs w:val="21"/>
              </w:rPr>
              <w:t>16,085,914.79</w:t>
            </w:r>
          </w:p>
        </w:tc>
      </w:tr>
      <w:tr w:rsidR="004D0FA5" w:rsidRPr="00C24ACA" w:rsidTr="00862636">
        <w:trPr>
          <w:trHeight w:val="300"/>
        </w:trPr>
        <w:tc>
          <w:tcPr>
            <w:tcW w:w="3755" w:type="dxa"/>
            <w:tcMar>
              <w:top w:w="15" w:type="dxa"/>
              <w:left w:w="15" w:type="dxa"/>
              <w:bottom w:w="0" w:type="dxa"/>
              <w:right w:w="15" w:type="dxa"/>
            </w:tcMar>
            <w:vAlign w:val="center"/>
          </w:tcPr>
          <w:p w:rsidR="004D0FA5" w:rsidRPr="00C24ACA" w:rsidRDefault="004D0FA5" w:rsidP="008C69DE">
            <w:pPr>
              <w:rPr>
                <w:rFonts w:eastAsiaTheme="minorEastAsia"/>
                <w:szCs w:val="21"/>
              </w:rPr>
            </w:pPr>
            <w:r w:rsidRPr="00C24ACA">
              <w:rPr>
                <w:rFonts w:eastAsiaTheme="minorEastAsia"/>
                <w:szCs w:val="21"/>
              </w:rPr>
              <w:t>减：卖出股票成本总额</w:t>
            </w:r>
          </w:p>
        </w:tc>
        <w:tc>
          <w:tcPr>
            <w:tcW w:w="5452" w:type="dxa"/>
            <w:tcMar>
              <w:top w:w="15" w:type="dxa"/>
              <w:left w:w="15" w:type="dxa"/>
              <w:bottom w:w="0" w:type="dxa"/>
              <w:right w:w="15" w:type="dxa"/>
            </w:tcMar>
            <w:vAlign w:val="bottom"/>
          </w:tcPr>
          <w:p w:rsidR="004D0FA5" w:rsidRPr="00C24ACA" w:rsidRDefault="004D0FA5" w:rsidP="008C69DE">
            <w:pPr>
              <w:jc w:val="right"/>
              <w:rPr>
                <w:rFonts w:eastAsiaTheme="minorEastAsia"/>
                <w:szCs w:val="21"/>
              </w:rPr>
            </w:pPr>
            <w:r w:rsidRPr="00C24ACA">
              <w:rPr>
                <w:rFonts w:eastAsiaTheme="minorEastAsia"/>
                <w:szCs w:val="21"/>
              </w:rPr>
              <w:t>14,240,178.14</w:t>
            </w:r>
          </w:p>
        </w:tc>
      </w:tr>
      <w:tr w:rsidR="004D0FA5" w:rsidRPr="00C24ACA" w:rsidTr="00862636">
        <w:trPr>
          <w:trHeight w:val="300"/>
        </w:trPr>
        <w:tc>
          <w:tcPr>
            <w:tcW w:w="3755" w:type="dxa"/>
            <w:tcMar>
              <w:top w:w="15" w:type="dxa"/>
              <w:left w:w="15" w:type="dxa"/>
              <w:bottom w:w="0" w:type="dxa"/>
              <w:right w:w="15" w:type="dxa"/>
            </w:tcMar>
            <w:vAlign w:val="center"/>
          </w:tcPr>
          <w:p w:rsidR="004D0FA5" w:rsidRPr="00C24ACA" w:rsidRDefault="004D0FA5" w:rsidP="008C69DE">
            <w:pPr>
              <w:rPr>
                <w:rFonts w:eastAsiaTheme="minorEastAsia"/>
                <w:szCs w:val="21"/>
              </w:rPr>
            </w:pPr>
            <w:r w:rsidRPr="00C24ACA">
              <w:rPr>
                <w:rFonts w:eastAsiaTheme="minorEastAsia"/>
                <w:szCs w:val="21"/>
              </w:rPr>
              <w:t>买卖股票差价收入</w:t>
            </w:r>
          </w:p>
        </w:tc>
        <w:tc>
          <w:tcPr>
            <w:tcW w:w="5452" w:type="dxa"/>
            <w:tcMar>
              <w:top w:w="15" w:type="dxa"/>
              <w:left w:w="15" w:type="dxa"/>
              <w:bottom w:w="0" w:type="dxa"/>
              <w:right w:w="15" w:type="dxa"/>
            </w:tcMar>
            <w:vAlign w:val="bottom"/>
          </w:tcPr>
          <w:p w:rsidR="004D0FA5" w:rsidRPr="00C24ACA" w:rsidRDefault="004D0FA5" w:rsidP="008C69DE">
            <w:pPr>
              <w:jc w:val="right"/>
              <w:rPr>
                <w:rFonts w:eastAsiaTheme="minorEastAsia"/>
                <w:szCs w:val="21"/>
              </w:rPr>
            </w:pPr>
            <w:r w:rsidRPr="00C24ACA">
              <w:rPr>
                <w:rFonts w:eastAsiaTheme="minorEastAsia"/>
                <w:szCs w:val="21"/>
              </w:rPr>
              <w:t>1,845,736.65</w:t>
            </w:r>
          </w:p>
        </w:tc>
      </w:tr>
    </w:tbl>
    <w:p w:rsidR="00D85D98" w:rsidRPr="00C24ACA" w:rsidRDefault="00D85D98"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 xml:space="preserve">6.4.7.13 </w:t>
      </w:r>
      <w:r w:rsidRPr="00C24ACA">
        <w:rPr>
          <w:rFonts w:eastAsiaTheme="minorEastAsia"/>
          <w:b/>
          <w:color w:val="000000"/>
          <w:szCs w:val="21"/>
        </w:rPr>
        <w:t>基金投资收益</w:t>
      </w:r>
    </w:p>
    <w:p w:rsidR="00D85D98" w:rsidRPr="00C24ACA" w:rsidRDefault="00D85D98" w:rsidP="00D85D98">
      <w:pPr>
        <w:jc w:val="right"/>
        <w:rPr>
          <w:rFonts w:eastAsiaTheme="minorEastAsia"/>
          <w:color w:val="000000"/>
          <w:szCs w:val="21"/>
        </w:rPr>
      </w:pPr>
      <w:r w:rsidRPr="00C24ACA">
        <w:rPr>
          <w:rFonts w:eastAsiaTheme="minorEastAsia"/>
          <w:color w:val="000000"/>
          <w:szCs w:val="21"/>
        </w:rPr>
        <w:t>单位：人民币元</w:t>
      </w:r>
    </w:p>
    <w:tbl>
      <w:tblPr>
        <w:tblW w:w="936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36"/>
        <w:gridCol w:w="5533"/>
      </w:tblGrid>
      <w:tr w:rsidR="00D85D98" w:rsidRPr="00C24ACA" w:rsidTr="00862636">
        <w:trPr>
          <w:trHeight w:val="315"/>
        </w:trPr>
        <w:tc>
          <w:tcPr>
            <w:tcW w:w="3836" w:type="dxa"/>
            <w:vAlign w:val="center"/>
          </w:tcPr>
          <w:p w:rsidR="00D85D98" w:rsidRPr="00C24ACA" w:rsidRDefault="00D85D98" w:rsidP="001A0AD5">
            <w:pPr>
              <w:jc w:val="center"/>
              <w:rPr>
                <w:rFonts w:eastAsiaTheme="minorEastAsia"/>
                <w:color w:val="000000"/>
                <w:szCs w:val="21"/>
              </w:rPr>
            </w:pPr>
            <w:r w:rsidRPr="00C24ACA">
              <w:rPr>
                <w:rFonts w:eastAsiaTheme="minorEastAsia"/>
                <w:color w:val="000000"/>
                <w:szCs w:val="21"/>
              </w:rPr>
              <w:t>项目</w:t>
            </w:r>
          </w:p>
        </w:tc>
        <w:tc>
          <w:tcPr>
            <w:tcW w:w="5533" w:type="dxa"/>
            <w:vAlign w:val="center"/>
          </w:tcPr>
          <w:p w:rsidR="00D85D98" w:rsidRPr="00C24ACA" w:rsidRDefault="00D85D98" w:rsidP="00A97A4E">
            <w:pPr>
              <w:jc w:val="center"/>
              <w:rPr>
                <w:rFonts w:eastAsiaTheme="minorEastAsia"/>
                <w:color w:val="000000"/>
                <w:szCs w:val="21"/>
              </w:rPr>
            </w:pPr>
            <w:r w:rsidRPr="00C24ACA">
              <w:rPr>
                <w:rFonts w:eastAsiaTheme="minorEastAsia"/>
                <w:color w:val="000000"/>
                <w:szCs w:val="21"/>
              </w:rPr>
              <w:t>本期</w:t>
            </w:r>
          </w:p>
          <w:p w:rsidR="00D85D98" w:rsidRPr="00C24ACA" w:rsidRDefault="00D85D98" w:rsidP="00A97A4E">
            <w:pPr>
              <w:jc w:val="center"/>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D85D98" w:rsidRPr="00C24ACA" w:rsidTr="00862636">
        <w:trPr>
          <w:trHeight w:val="315"/>
        </w:trPr>
        <w:tc>
          <w:tcPr>
            <w:tcW w:w="3836" w:type="dxa"/>
            <w:vAlign w:val="center"/>
          </w:tcPr>
          <w:p w:rsidR="00D85D98" w:rsidRPr="00C24ACA" w:rsidRDefault="00D85D98" w:rsidP="00A97A4E">
            <w:pPr>
              <w:jc w:val="center"/>
              <w:rPr>
                <w:rFonts w:eastAsiaTheme="minorEastAsia"/>
                <w:color w:val="000000"/>
                <w:szCs w:val="21"/>
              </w:rPr>
            </w:pPr>
            <w:r w:rsidRPr="00C24ACA">
              <w:rPr>
                <w:rFonts w:eastAsiaTheme="minorEastAsia"/>
                <w:color w:val="000000"/>
                <w:szCs w:val="21"/>
              </w:rPr>
              <w:t>卖出</w:t>
            </w:r>
            <w:r w:rsidRPr="00C24ACA">
              <w:rPr>
                <w:rFonts w:eastAsiaTheme="minorEastAsia"/>
                <w:color w:val="000000"/>
                <w:szCs w:val="21"/>
              </w:rPr>
              <w:t>/</w:t>
            </w:r>
            <w:r w:rsidRPr="00C24ACA">
              <w:rPr>
                <w:rFonts w:eastAsiaTheme="minorEastAsia"/>
                <w:color w:val="000000"/>
                <w:szCs w:val="21"/>
              </w:rPr>
              <w:t>赎回基金成交总额</w:t>
            </w:r>
          </w:p>
        </w:tc>
        <w:tc>
          <w:tcPr>
            <w:tcW w:w="5533" w:type="dxa"/>
            <w:vAlign w:val="bottom"/>
          </w:tcPr>
          <w:p w:rsidR="00D85D98" w:rsidRPr="00C24ACA" w:rsidRDefault="00D85D98" w:rsidP="00A97A4E">
            <w:pPr>
              <w:jc w:val="right"/>
              <w:rPr>
                <w:rFonts w:eastAsiaTheme="minorEastAsia"/>
                <w:szCs w:val="21"/>
              </w:rPr>
            </w:pPr>
            <w:r w:rsidRPr="00C24ACA">
              <w:rPr>
                <w:rFonts w:eastAsiaTheme="minorEastAsia"/>
                <w:szCs w:val="21"/>
              </w:rPr>
              <w:t>505,768,480.21</w:t>
            </w:r>
          </w:p>
        </w:tc>
      </w:tr>
      <w:tr w:rsidR="00D85D98" w:rsidRPr="00C24ACA" w:rsidTr="00862636">
        <w:trPr>
          <w:trHeight w:val="315"/>
        </w:trPr>
        <w:tc>
          <w:tcPr>
            <w:tcW w:w="3836" w:type="dxa"/>
            <w:vAlign w:val="center"/>
          </w:tcPr>
          <w:p w:rsidR="00D85D98" w:rsidRPr="00C24ACA" w:rsidRDefault="00D85D98" w:rsidP="00A97A4E">
            <w:pPr>
              <w:jc w:val="center"/>
              <w:rPr>
                <w:rFonts w:eastAsiaTheme="minorEastAsia"/>
                <w:color w:val="000000"/>
                <w:szCs w:val="21"/>
              </w:rPr>
            </w:pPr>
            <w:r w:rsidRPr="00C24ACA">
              <w:rPr>
                <w:rFonts w:eastAsiaTheme="minorEastAsia"/>
                <w:color w:val="000000"/>
                <w:szCs w:val="21"/>
              </w:rPr>
              <w:t>减：卖出</w:t>
            </w:r>
            <w:r w:rsidRPr="00C24ACA">
              <w:rPr>
                <w:rFonts w:eastAsiaTheme="minorEastAsia"/>
                <w:color w:val="000000"/>
                <w:szCs w:val="21"/>
              </w:rPr>
              <w:t>/</w:t>
            </w:r>
            <w:r w:rsidRPr="00C24ACA">
              <w:rPr>
                <w:rFonts w:eastAsiaTheme="minorEastAsia"/>
                <w:color w:val="000000"/>
                <w:szCs w:val="21"/>
              </w:rPr>
              <w:t>赎回基金成本总额</w:t>
            </w:r>
          </w:p>
        </w:tc>
        <w:tc>
          <w:tcPr>
            <w:tcW w:w="5533" w:type="dxa"/>
            <w:vAlign w:val="bottom"/>
          </w:tcPr>
          <w:p w:rsidR="00D85D98" w:rsidRPr="00C24ACA" w:rsidRDefault="00D85D98" w:rsidP="00A97A4E">
            <w:pPr>
              <w:jc w:val="right"/>
              <w:rPr>
                <w:rFonts w:eastAsiaTheme="minorEastAsia"/>
                <w:szCs w:val="21"/>
              </w:rPr>
            </w:pPr>
            <w:r w:rsidRPr="00C24ACA">
              <w:rPr>
                <w:rFonts w:eastAsiaTheme="minorEastAsia"/>
                <w:szCs w:val="21"/>
              </w:rPr>
              <w:t>491,522,996.16</w:t>
            </w:r>
          </w:p>
        </w:tc>
      </w:tr>
      <w:tr w:rsidR="00D85D98" w:rsidRPr="00C24ACA" w:rsidTr="00862636">
        <w:trPr>
          <w:trHeight w:val="315"/>
        </w:trPr>
        <w:tc>
          <w:tcPr>
            <w:tcW w:w="3836" w:type="dxa"/>
            <w:vAlign w:val="center"/>
          </w:tcPr>
          <w:p w:rsidR="00D85D98" w:rsidRPr="00C24ACA" w:rsidRDefault="00D85D98" w:rsidP="00A97A4E">
            <w:pPr>
              <w:jc w:val="center"/>
              <w:rPr>
                <w:rFonts w:eastAsiaTheme="minorEastAsia"/>
                <w:color w:val="000000"/>
                <w:szCs w:val="21"/>
              </w:rPr>
            </w:pPr>
            <w:r w:rsidRPr="00C24ACA">
              <w:rPr>
                <w:rFonts w:eastAsiaTheme="minorEastAsia"/>
                <w:color w:val="000000"/>
                <w:szCs w:val="21"/>
              </w:rPr>
              <w:t>基金投资收益</w:t>
            </w:r>
          </w:p>
        </w:tc>
        <w:tc>
          <w:tcPr>
            <w:tcW w:w="5533" w:type="dxa"/>
            <w:vAlign w:val="bottom"/>
          </w:tcPr>
          <w:p w:rsidR="00D85D98" w:rsidRPr="00C24ACA" w:rsidRDefault="00D85D98" w:rsidP="00A97A4E">
            <w:pPr>
              <w:jc w:val="right"/>
              <w:rPr>
                <w:rFonts w:eastAsiaTheme="minorEastAsia"/>
                <w:szCs w:val="21"/>
              </w:rPr>
            </w:pPr>
            <w:r w:rsidRPr="00C24ACA">
              <w:rPr>
                <w:rFonts w:eastAsiaTheme="minorEastAsia"/>
                <w:szCs w:val="21"/>
              </w:rPr>
              <w:t>14,245,484.05</w:t>
            </w:r>
          </w:p>
        </w:tc>
      </w:tr>
    </w:tbl>
    <w:p w:rsidR="00005C09" w:rsidRPr="00C24ACA" w:rsidRDefault="00005C09" w:rsidP="00005C09">
      <w:pPr>
        <w:spacing w:line="360" w:lineRule="auto"/>
        <w:rPr>
          <w:rFonts w:eastAsiaTheme="minorEastAsia"/>
          <w:b/>
          <w:color w:val="000000" w:themeColor="text1"/>
          <w:szCs w:val="21"/>
        </w:rPr>
      </w:pPr>
      <w:r w:rsidRPr="00C24ACA">
        <w:rPr>
          <w:rFonts w:eastAsiaTheme="minorEastAsia"/>
          <w:b/>
          <w:bCs/>
          <w:color w:val="000000" w:themeColor="text1"/>
          <w:kern w:val="0"/>
          <w:szCs w:val="21"/>
        </w:rPr>
        <w:t>6.4.7.14</w:t>
      </w:r>
      <w:r w:rsidRPr="00C24ACA">
        <w:rPr>
          <w:rFonts w:eastAsiaTheme="minorEastAsia"/>
          <w:b/>
          <w:color w:val="000000" w:themeColor="text1"/>
          <w:szCs w:val="21"/>
        </w:rPr>
        <w:t>债券投资收益</w:t>
      </w:r>
      <w:r w:rsidRPr="00C24ACA">
        <w:rPr>
          <w:rFonts w:eastAsiaTheme="minorEastAsia"/>
          <w:b/>
          <w:color w:val="000000" w:themeColor="text1"/>
          <w:szCs w:val="21"/>
        </w:rPr>
        <w:t>——</w:t>
      </w:r>
      <w:r w:rsidRPr="00C24ACA">
        <w:rPr>
          <w:rFonts w:eastAsiaTheme="minorEastAsia"/>
          <w:b/>
          <w:color w:val="000000" w:themeColor="text1"/>
          <w:szCs w:val="21"/>
        </w:rPr>
        <w:t>买卖债券差价收入</w:t>
      </w:r>
    </w:p>
    <w:p w:rsidR="00005C09" w:rsidRPr="001412CA" w:rsidRDefault="00005C09"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本基金本报告期无债券投资收益。</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6.4.7.15</w:t>
      </w:r>
      <w:r w:rsidRPr="00C24ACA">
        <w:rPr>
          <w:rFonts w:eastAsiaTheme="minorEastAsia"/>
          <w:b/>
          <w:color w:val="000000"/>
          <w:szCs w:val="21"/>
        </w:rPr>
        <w:t>衍生工具收益</w:t>
      </w:r>
    </w:p>
    <w:p w:rsidR="00806635" w:rsidRDefault="00806635" w:rsidP="00806635">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本基金本报告期无衍生工具收益。</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6.4.7.16</w:t>
      </w:r>
      <w:r w:rsidRPr="00C24ACA">
        <w:rPr>
          <w:rFonts w:eastAsiaTheme="minorEastAsia"/>
          <w:b/>
          <w:color w:val="000000"/>
          <w:szCs w:val="21"/>
        </w:rPr>
        <w:t>股利收益</w:t>
      </w:r>
    </w:p>
    <w:p w:rsidR="008A5A5D" w:rsidRPr="00C24ACA" w:rsidRDefault="008A5A5D" w:rsidP="003955D3">
      <w:pPr>
        <w:tabs>
          <w:tab w:val="left" w:pos="7200"/>
          <w:tab w:val="left" w:pos="8280"/>
        </w:tabs>
        <w:ind w:rightChars="33" w:right="69"/>
        <w:jc w:val="right"/>
        <w:rPr>
          <w:rFonts w:eastAsiaTheme="minorEastAsia"/>
          <w:color w:val="000000"/>
          <w:szCs w:val="21"/>
        </w:rPr>
      </w:pPr>
      <w:r w:rsidRPr="00C24ACA">
        <w:rPr>
          <w:rFonts w:eastAsiaTheme="minorEastAsia"/>
          <w:color w:val="000000"/>
          <w:szCs w:val="21"/>
        </w:rPr>
        <w:t>单位：人民币元</w:t>
      </w:r>
    </w:p>
    <w:tbl>
      <w:tblPr>
        <w:tblW w:w="93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41"/>
      </w:tblGrid>
      <w:tr w:rsidR="008A5A5D" w:rsidRPr="00C24ACA" w:rsidTr="00862636">
        <w:tc>
          <w:tcPr>
            <w:tcW w:w="3794"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541" w:type="dxa"/>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widowControl/>
              <w:autoSpaceDE w:val="0"/>
              <w:autoSpaceDN w:val="0"/>
              <w:ind w:right="-15"/>
              <w:jc w:val="center"/>
              <w:textAlignment w:val="bottom"/>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c>
          <w:tcPr>
            <w:tcW w:w="3794" w:type="dxa"/>
            <w:vAlign w:val="center"/>
          </w:tcPr>
          <w:p w:rsidR="008A5A5D" w:rsidRPr="00C24ACA" w:rsidRDefault="008A5A5D" w:rsidP="004A4847">
            <w:pPr>
              <w:rPr>
                <w:rFonts w:eastAsiaTheme="minorEastAsia"/>
                <w:szCs w:val="21"/>
              </w:rPr>
            </w:pPr>
            <w:r w:rsidRPr="00C24ACA">
              <w:rPr>
                <w:rFonts w:eastAsiaTheme="minorEastAsia"/>
                <w:szCs w:val="21"/>
              </w:rPr>
              <w:t>股票投资产生的股利收益</w:t>
            </w:r>
          </w:p>
        </w:tc>
        <w:tc>
          <w:tcPr>
            <w:tcW w:w="5541" w:type="dxa"/>
            <w:vAlign w:val="bottom"/>
          </w:tcPr>
          <w:p w:rsidR="008A5A5D" w:rsidRPr="00C24ACA" w:rsidRDefault="008A5A5D" w:rsidP="004A4847">
            <w:pPr>
              <w:jc w:val="right"/>
              <w:rPr>
                <w:rFonts w:eastAsiaTheme="minorEastAsia"/>
                <w:szCs w:val="21"/>
              </w:rPr>
            </w:pPr>
            <w:r w:rsidRPr="00C24ACA">
              <w:rPr>
                <w:rFonts w:eastAsiaTheme="minorEastAsia"/>
                <w:szCs w:val="21"/>
              </w:rPr>
              <w:t>67,377.04</w:t>
            </w:r>
          </w:p>
        </w:tc>
      </w:tr>
      <w:tr w:rsidR="008A5A5D" w:rsidRPr="00C24ACA" w:rsidTr="00862636">
        <w:tc>
          <w:tcPr>
            <w:tcW w:w="3794" w:type="dxa"/>
            <w:vAlign w:val="center"/>
          </w:tcPr>
          <w:p w:rsidR="008A5A5D" w:rsidRPr="00C24ACA" w:rsidRDefault="008A5A5D" w:rsidP="004A4847">
            <w:pPr>
              <w:rPr>
                <w:rFonts w:eastAsiaTheme="minorEastAsia"/>
                <w:szCs w:val="21"/>
              </w:rPr>
            </w:pPr>
            <w:r w:rsidRPr="00C24ACA">
              <w:rPr>
                <w:rFonts w:eastAsiaTheme="minorEastAsia"/>
                <w:szCs w:val="21"/>
              </w:rPr>
              <w:t>基金投资产生的股利收益</w:t>
            </w:r>
          </w:p>
        </w:tc>
        <w:tc>
          <w:tcPr>
            <w:tcW w:w="5541" w:type="dxa"/>
            <w:vAlign w:val="bottom"/>
          </w:tcPr>
          <w:p w:rsidR="008A5A5D" w:rsidRPr="00C24ACA" w:rsidRDefault="008A5A5D" w:rsidP="004A4847">
            <w:pPr>
              <w:jc w:val="right"/>
              <w:rPr>
                <w:rFonts w:eastAsiaTheme="minorEastAsia"/>
                <w:szCs w:val="21"/>
              </w:rPr>
            </w:pPr>
            <w:r w:rsidRPr="00C24ACA">
              <w:rPr>
                <w:rFonts w:eastAsiaTheme="minorEastAsia"/>
                <w:szCs w:val="21"/>
              </w:rPr>
              <w:t>166,320.38</w:t>
            </w:r>
          </w:p>
        </w:tc>
      </w:tr>
      <w:tr w:rsidR="008A5A5D" w:rsidRPr="00C24ACA" w:rsidTr="00862636">
        <w:tc>
          <w:tcPr>
            <w:tcW w:w="3794" w:type="dxa"/>
            <w:vAlign w:val="center"/>
          </w:tcPr>
          <w:p w:rsidR="008A5A5D" w:rsidRPr="00C24ACA" w:rsidRDefault="008A5A5D" w:rsidP="004A4847">
            <w:pPr>
              <w:rPr>
                <w:rFonts w:eastAsiaTheme="minorEastAsia"/>
                <w:szCs w:val="21"/>
              </w:rPr>
            </w:pPr>
            <w:r w:rsidRPr="00C24ACA">
              <w:rPr>
                <w:rFonts w:eastAsiaTheme="minorEastAsia"/>
                <w:szCs w:val="21"/>
              </w:rPr>
              <w:t>合计</w:t>
            </w:r>
          </w:p>
        </w:tc>
        <w:tc>
          <w:tcPr>
            <w:tcW w:w="5541" w:type="dxa"/>
            <w:vAlign w:val="bottom"/>
          </w:tcPr>
          <w:p w:rsidR="008A5A5D" w:rsidRPr="00C24ACA" w:rsidRDefault="008A5A5D" w:rsidP="004A4847">
            <w:pPr>
              <w:jc w:val="right"/>
              <w:rPr>
                <w:rFonts w:eastAsiaTheme="minorEastAsia"/>
                <w:szCs w:val="21"/>
              </w:rPr>
            </w:pPr>
            <w:r w:rsidRPr="00C24ACA">
              <w:rPr>
                <w:rFonts w:eastAsiaTheme="minorEastAsia"/>
                <w:szCs w:val="21"/>
              </w:rPr>
              <w:t>233,697.42</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6.4.7.17</w:t>
      </w:r>
      <w:r w:rsidRPr="00C24ACA">
        <w:rPr>
          <w:rFonts w:eastAsiaTheme="minorEastAsia"/>
          <w:b/>
          <w:color w:val="000000"/>
          <w:szCs w:val="21"/>
        </w:rPr>
        <w:t>公允价值变动收益</w:t>
      </w:r>
    </w:p>
    <w:p w:rsidR="008F7328" w:rsidRDefault="008F7328" w:rsidP="008F7328">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F7328" w:rsidTr="00AD6EE3">
        <w:trPr>
          <w:trHeight w:val="285"/>
        </w:trPr>
        <w:tc>
          <w:tcPr>
            <w:tcW w:w="3794" w:type="dxa"/>
            <w:vAlign w:val="center"/>
            <w:hideMark/>
          </w:tcPr>
          <w:p w:rsidR="008F7328" w:rsidRDefault="008F7328">
            <w:pPr>
              <w:jc w:val="center"/>
              <w:rPr>
                <w:szCs w:val="21"/>
              </w:rPr>
            </w:pPr>
            <w:r>
              <w:rPr>
                <w:rFonts w:hint="eastAsia"/>
                <w:kern w:val="0"/>
                <w:szCs w:val="21"/>
              </w:rPr>
              <w:t>项目名称</w:t>
            </w:r>
          </w:p>
        </w:tc>
        <w:tc>
          <w:tcPr>
            <w:tcW w:w="5528" w:type="dxa"/>
            <w:vAlign w:val="center"/>
            <w:hideMark/>
          </w:tcPr>
          <w:p w:rsidR="008F7328" w:rsidRDefault="008F7328">
            <w:pPr>
              <w:jc w:val="center"/>
              <w:rPr>
                <w:szCs w:val="21"/>
              </w:rPr>
            </w:pPr>
            <w:r>
              <w:rPr>
                <w:rFonts w:hint="eastAsia"/>
                <w:szCs w:val="21"/>
              </w:rPr>
              <w:t>本期</w:t>
            </w:r>
          </w:p>
          <w:p w:rsidR="008F7328" w:rsidRDefault="008F7328">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F7328" w:rsidTr="00AD6EE3">
        <w:trPr>
          <w:trHeight w:val="285"/>
        </w:trPr>
        <w:tc>
          <w:tcPr>
            <w:tcW w:w="3794" w:type="dxa"/>
            <w:vAlign w:val="center"/>
            <w:hideMark/>
          </w:tcPr>
          <w:p w:rsidR="008F7328" w:rsidRDefault="008F7328">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F7328" w:rsidRDefault="008F7328">
            <w:pPr>
              <w:jc w:val="right"/>
              <w:rPr>
                <w:szCs w:val="21"/>
              </w:rPr>
            </w:pPr>
            <w:r>
              <w:rPr>
                <w:szCs w:val="21"/>
              </w:rPr>
              <w:t>15,335,640.99</w:t>
            </w:r>
          </w:p>
        </w:tc>
      </w:tr>
      <w:tr w:rsidR="008F7328" w:rsidTr="00AD6EE3">
        <w:trPr>
          <w:trHeight w:val="285"/>
        </w:trPr>
        <w:tc>
          <w:tcPr>
            <w:tcW w:w="3794" w:type="dxa"/>
            <w:vAlign w:val="center"/>
            <w:hideMark/>
          </w:tcPr>
          <w:p w:rsidR="008F7328" w:rsidRDefault="008F7328">
            <w:pPr>
              <w:widowControl/>
              <w:jc w:val="left"/>
              <w:rPr>
                <w:szCs w:val="21"/>
              </w:rPr>
            </w:pPr>
            <w:r>
              <w:rPr>
                <w:kern w:val="0"/>
                <w:szCs w:val="21"/>
              </w:rPr>
              <w:t>——</w:t>
            </w:r>
            <w:r>
              <w:rPr>
                <w:rFonts w:hint="eastAsia"/>
                <w:kern w:val="0"/>
                <w:szCs w:val="21"/>
              </w:rPr>
              <w:t>股票投资</w:t>
            </w:r>
          </w:p>
        </w:tc>
        <w:tc>
          <w:tcPr>
            <w:tcW w:w="5528" w:type="dxa"/>
            <w:vAlign w:val="center"/>
            <w:hideMark/>
          </w:tcPr>
          <w:p w:rsidR="008F7328" w:rsidRDefault="008F7328">
            <w:pPr>
              <w:jc w:val="right"/>
              <w:rPr>
                <w:szCs w:val="21"/>
              </w:rPr>
            </w:pPr>
            <w:r>
              <w:rPr>
                <w:szCs w:val="21"/>
              </w:rPr>
              <w:t>4,906,760.37</w:t>
            </w:r>
          </w:p>
        </w:tc>
      </w:tr>
      <w:tr w:rsidR="008F7328" w:rsidTr="00AD6EE3">
        <w:trPr>
          <w:trHeight w:val="285"/>
        </w:trPr>
        <w:tc>
          <w:tcPr>
            <w:tcW w:w="3794" w:type="dxa"/>
            <w:vAlign w:val="center"/>
            <w:hideMark/>
          </w:tcPr>
          <w:p w:rsidR="008F7328" w:rsidRDefault="008F7328">
            <w:pPr>
              <w:widowControl/>
              <w:jc w:val="left"/>
              <w:rPr>
                <w:szCs w:val="21"/>
              </w:rPr>
            </w:pPr>
            <w:r>
              <w:rPr>
                <w:kern w:val="0"/>
                <w:szCs w:val="21"/>
              </w:rPr>
              <w:t>——</w:t>
            </w:r>
            <w:r>
              <w:rPr>
                <w:rFonts w:hint="eastAsia"/>
                <w:kern w:val="0"/>
                <w:szCs w:val="21"/>
              </w:rPr>
              <w:t>债券投资</w:t>
            </w:r>
          </w:p>
        </w:tc>
        <w:tc>
          <w:tcPr>
            <w:tcW w:w="5528" w:type="dxa"/>
            <w:vAlign w:val="center"/>
            <w:hideMark/>
          </w:tcPr>
          <w:p w:rsidR="008F7328" w:rsidRDefault="008F7328">
            <w:pPr>
              <w:jc w:val="right"/>
              <w:rPr>
                <w:szCs w:val="21"/>
              </w:rPr>
            </w:pPr>
            <w:r>
              <w:rPr>
                <w:szCs w:val="21"/>
              </w:rPr>
              <w:t>-100,290.00</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F7328" w:rsidRDefault="008F7328">
            <w:pPr>
              <w:jc w:val="right"/>
              <w:rPr>
                <w:kern w:val="0"/>
                <w:szCs w:val="21"/>
              </w:rPr>
            </w:pPr>
            <w:r>
              <w:rPr>
                <w:kern w:val="0"/>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F7328" w:rsidRDefault="008F7328">
            <w:pPr>
              <w:jc w:val="right"/>
              <w:rPr>
                <w:kern w:val="0"/>
                <w:szCs w:val="21"/>
              </w:rPr>
            </w:pPr>
            <w:r>
              <w:rPr>
                <w:kern w:val="0"/>
                <w:szCs w:val="21"/>
              </w:rPr>
              <w:t>10,529,170.62</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F7328" w:rsidRDefault="008F7328">
            <w:pPr>
              <w:widowControl/>
              <w:jc w:val="right"/>
              <w:rPr>
                <w:kern w:val="0"/>
                <w:szCs w:val="21"/>
              </w:rPr>
            </w:pPr>
            <w:r>
              <w:rPr>
                <w:kern w:val="0"/>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F7328" w:rsidRDefault="008F7328">
            <w:pPr>
              <w:widowControl/>
              <w:jc w:val="right"/>
              <w:rPr>
                <w:kern w:val="0"/>
                <w:szCs w:val="21"/>
              </w:rPr>
            </w:pPr>
            <w:r>
              <w:rPr>
                <w:rFonts w:eastAsiaTheme="minorEastAsia"/>
                <w:kern w:val="0"/>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F7328" w:rsidRDefault="008F7328">
            <w:pPr>
              <w:jc w:val="right"/>
              <w:rPr>
                <w:kern w:val="0"/>
                <w:szCs w:val="21"/>
              </w:rPr>
            </w:pPr>
            <w:r>
              <w:rPr>
                <w:kern w:val="0"/>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F7328" w:rsidRDefault="008F7328">
            <w:pPr>
              <w:jc w:val="right"/>
              <w:rPr>
                <w:kern w:val="0"/>
                <w:szCs w:val="21"/>
              </w:rPr>
            </w:pPr>
            <w:r>
              <w:rPr>
                <w:kern w:val="0"/>
                <w:szCs w:val="21"/>
              </w:rPr>
              <w:t>-</w:t>
            </w:r>
          </w:p>
        </w:tc>
      </w:tr>
      <w:tr w:rsidR="00854133">
        <w:tc>
          <w:tcPr>
            <w:tcW w:w="3794" w:type="dxa"/>
            <w:vAlign w:val="center"/>
          </w:tcPr>
          <w:p w:rsidR="00854133" w:rsidRDefault="00581AA4">
            <w:pPr>
              <w:jc w:val="left"/>
            </w:pPr>
            <w:r>
              <w:rPr>
                <w:kern w:val="0"/>
                <w:szCs w:val="21"/>
              </w:rPr>
              <w:t>——</w:t>
            </w:r>
            <w:r>
              <w:rPr>
                <w:kern w:val="0"/>
                <w:szCs w:val="21"/>
              </w:rPr>
              <w:t>期货投资</w:t>
            </w:r>
          </w:p>
        </w:tc>
        <w:tc>
          <w:tcPr>
            <w:tcW w:w="5529" w:type="dxa"/>
            <w:vAlign w:val="center"/>
          </w:tcPr>
          <w:p w:rsidR="00854133" w:rsidRDefault="00581AA4">
            <w:pPr>
              <w:jc w:val="right"/>
            </w:pPr>
            <w:r>
              <w:rPr>
                <w:kern w:val="0"/>
                <w:szCs w:val="21"/>
              </w:rPr>
              <w:t>-</w:t>
            </w:r>
          </w:p>
        </w:tc>
      </w:tr>
      <w:tr w:rsidR="00854133">
        <w:tc>
          <w:tcPr>
            <w:tcW w:w="3794" w:type="dxa"/>
            <w:vAlign w:val="center"/>
          </w:tcPr>
          <w:p w:rsidR="00854133" w:rsidRDefault="00581AA4">
            <w:pPr>
              <w:jc w:val="left"/>
            </w:pPr>
            <w:r>
              <w:rPr>
                <w:kern w:val="0"/>
                <w:szCs w:val="21"/>
              </w:rPr>
              <w:t>——</w:t>
            </w:r>
            <w:r>
              <w:rPr>
                <w:kern w:val="0"/>
                <w:szCs w:val="21"/>
              </w:rPr>
              <w:t>期权投资</w:t>
            </w:r>
          </w:p>
        </w:tc>
        <w:tc>
          <w:tcPr>
            <w:tcW w:w="5529" w:type="dxa"/>
            <w:vAlign w:val="center"/>
          </w:tcPr>
          <w:p w:rsidR="00854133" w:rsidRDefault="00581AA4">
            <w:pPr>
              <w:jc w:val="right"/>
            </w:pPr>
            <w:r>
              <w:rPr>
                <w:kern w:val="0"/>
                <w:szCs w:val="21"/>
              </w:rPr>
              <w:t>-</w:t>
            </w:r>
          </w:p>
        </w:tc>
      </w:tr>
      <w:tr w:rsidR="008F7328" w:rsidTr="00AD6EE3">
        <w:trPr>
          <w:trHeight w:val="285"/>
        </w:trPr>
        <w:tc>
          <w:tcPr>
            <w:tcW w:w="3794" w:type="dxa"/>
            <w:vAlign w:val="center"/>
            <w:hideMark/>
          </w:tcPr>
          <w:p w:rsidR="008F7328" w:rsidRDefault="008F7328">
            <w:pPr>
              <w:widowControl/>
              <w:rPr>
                <w:szCs w:val="21"/>
              </w:rPr>
            </w:pPr>
            <w:r>
              <w:rPr>
                <w:kern w:val="0"/>
                <w:szCs w:val="21"/>
              </w:rPr>
              <w:t>3.</w:t>
            </w:r>
            <w:r>
              <w:rPr>
                <w:rFonts w:hint="eastAsia"/>
                <w:kern w:val="0"/>
                <w:szCs w:val="21"/>
              </w:rPr>
              <w:t>其他</w:t>
            </w:r>
          </w:p>
        </w:tc>
        <w:tc>
          <w:tcPr>
            <w:tcW w:w="5528" w:type="dxa"/>
            <w:vAlign w:val="center"/>
            <w:hideMark/>
          </w:tcPr>
          <w:p w:rsidR="008F7328" w:rsidRDefault="008F7328">
            <w:pPr>
              <w:jc w:val="right"/>
              <w:rPr>
                <w:szCs w:val="21"/>
              </w:rPr>
            </w:pPr>
            <w:r>
              <w:rPr>
                <w:szCs w:val="21"/>
              </w:rPr>
              <w:t>-</w:t>
            </w:r>
          </w:p>
        </w:tc>
      </w:tr>
      <w:tr w:rsidR="008F7328" w:rsidTr="00AD6EE3">
        <w:trPr>
          <w:trHeight w:val="285"/>
        </w:trPr>
        <w:tc>
          <w:tcPr>
            <w:tcW w:w="3794" w:type="dxa"/>
            <w:vAlign w:val="center"/>
            <w:hideMark/>
          </w:tcPr>
          <w:p w:rsidR="008F7328" w:rsidRDefault="008F7328">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F7328" w:rsidRDefault="008F7328">
            <w:pPr>
              <w:jc w:val="right"/>
              <w:rPr>
                <w:rFonts w:eastAsiaTheme="minorEastAsia"/>
                <w:szCs w:val="21"/>
              </w:rPr>
            </w:pPr>
            <w:r>
              <w:rPr>
                <w:rFonts w:eastAsiaTheme="minorEastAsia"/>
                <w:szCs w:val="21"/>
              </w:rPr>
              <w:t>-</w:t>
            </w:r>
          </w:p>
        </w:tc>
      </w:tr>
      <w:tr w:rsidR="008F7328" w:rsidTr="00AD6EE3">
        <w:trPr>
          <w:trHeight w:val="285"/>
        </w:trPr>
        <w:tc>
          <w:tcPr>
            <w:tcW w:w="3794" w:type="dxa"/>
            <w:vAlign w:val="center"/>
            <w:hideMark/>
          </w:tcPr>
          <w:p w:rsidR="008F7328" w:rsidRDefault="008F7328">
            <w:pPr>
              <w:widowControl/>
              <w:rPr>
                <w:szCs w:val="21"/>
              </w:rPr>
            </w:pPr>
            <w:r>
              <w:rPr>
                <w:rFonts w:hint="eastAsia"/>
                <w:kern w:val="0"/>
                <w:szCs w:val="21"/>
              </w:rPr>
              <w:t>合计</w:t>
            </w:r>
          </w:p>
        </w:tc>
        <w:tc>
          <w:tcPr>
            <w:tcW w:w="5528" w:type="dxa"/>
            <w:vAlign w:val="center"/>
            <w:hideMark/>
          </w:tcPr>
          <w:p w:rsidR="008F7328" w:rsidRDefault="008F7328">
            <w:pPr>
              <w:jc w:val="right"/>
              <w:rPr>
                <w:szCs w:val="21"/>
              </w:rPr>
            </w:pPr>
            <w:r>
              <w:rPr>
                <w:szCs w:val="21"/>
              </w:rPr>
              <w:t>15,335,640.99</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6.4.7.18</w:t>
      </w:r>
      <w:r w:rsidRPr="00C24ACA">
        <w:rPr>
          <w:rFonts w:eastAsiaTheme="minorEastAsia"/>
          <w:b/>
          <w:color w:val="000000"/>
          <w:szCs w:val="21"/>
        </w:rPr>
        <w:t>其他收入</w:t>
      </w:r>
    </w:p>
    <w:p w:rsidR="008A5A5D" w:rsidRPr="00C24ACA" w:rsidRDefault="008A5A5D" w:rsidP="003955D3">
      <w:pPr>
        <w:tabs>
          <w:tab w:val="left" w:pos="7200"/>
          <w:tab w:val="left" w:pos="8280"/>
        </w:tabs>
        <w:ind w:rightChars="-52" w:right="-109"/>
        <w:jc w:val="right"/>
        <w:rPr>
          <w:rFonts w:eastAsiaTheme="minorEastAsia"/>
          <w:szCs w:val="21"/>
          <w:lang w:val="en-AU"/>
        </w:rPr>
      </w:pPr>
      <w:r w:rsidRPr="00C24ACA">
        <w:rPr>
          <w:rFonts w:eastAsiaTheme="minorEastAsia"/>
          <w:color w:val="000000"/>
          <w:szCs w:val="21"/>
        </w:rPr>
        <w:t>单位：人民币元</w:t>
      </w:r>
    </w:p>
    <w:tbl>
      <w:tblPr>
        <w:tblW w:w="90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33"/>
        <w:gridCol w:w="5242"/>
      </w:tblGrid>
      <w:tr w:rsidR="008A5A5D" w:rsidRPr="00C24ACA" w:rsidTr="00862636">
        <w:trPr>
          <w:trHeight w:val="255"/>
        </w:trPr>
        <w:tc>
          <w:tcPr>
            <w:tcW w:w="3833"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242" w:type="dxa"/>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widowControl/>
              <w:autoSpaceDE w:val="0"/>
              <w:autoSpaceDN w:val="0"/>
              <w:ind w:right="-15"/>
              <w:jc w:val="center"/>
              <w:textAlignment w:val="bottom"/>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rPr>
          <w:trHeight w:val="255"/>
        </w:trPr>
        <w:tc>
          <w:tcPr>
            <w:tcW w:w="3833" w:type="dxa"/>
            <w:vAlign w:val="bottom"/>
          </w:tcPr>
          <w:p w:rsidR="008A5A5D" w:rsidRPr="00C24ACA" w:rsidRDefault="008A5A5D" w:rsidP="004A4847">
            <w:pPr>
              <w:rPr>
                <w:rFonts w:eastAsiaTheme="minorEastAsia"/>
                <w:szCs w:val="21"/>
              </w:rPr>
            </w:pPr>
            <w:r w:rsidRPr="00C24ACA">
              <w:rPr>
                <w:rFonts w:eastAsiaTheme="minorEastAsia"/>
                <w:szCs w:val="21"/>
              </w:rPr>
              <w:t>基金赎回费收入</w:t>
            </w:r>
          </w:p>
        </w:tc>
        <w:tc>
          <w:tcPr>
            <w:tcW w:w="5242" w:type="dxa"/>
            <w:vAlign w:val="bottom"/>
          </w:tcPr>
          <w:p w:rsidR="008A5A5D" w:rsidRPr="00C24ACA" w:rsidRDefault="008A5A5D" w:rsidP="004A4847">
            <w:pPr>
              <w:jc w:val="right"/>
              <w:rPr>
                <w:rFonts w:eastAsiaTheme="minorEastAsia"/>
                <w:szCs w:val="21"/>
              </w:rPr>
            </w:pPr>
            <w:r w:rsidRPr="00C24ACA">
              <w:rPr>
                <w:rFonts w:eastAsiaTheme="minorEastAsia"/>
                <w:szCs w:val="21"/>
              </w:rPr>
              <w:t>117,216.19</w:t>
            </w:r>
          </w:p>
        </w:tc>
      </w:tr>
      <w:tr w:rsidR="00854133">
        <w:tc>
          <w:tcPr>
            <w:tcW w:w="3833" w:type="dxa"/>
            <w:vAlign w:val="center"/>
          </w:tcPr>
          <w:p w:rsidR="00854133" w:rsidRDefault="00581AA4">
            <w:pPr>
              <w:jc w:val="left"/>
            </w:pPr>
            <w:r>
              <w:rPr>
                <w:rFonts w:eastAsiaTheme="minorEastAsia"/>
                <w:szCs w:val="21"/>
              </w:rPr>
              <w:t>其他</w:t>
            </w:r>
          </w:p>
        </w:tc>
        <w:tc>
          <w:tcPr>
            <w:tcW w:w="5242" w:type="dxa"/>
            <w:vAlign w:val="center"/>
          </w:tcPr>
          <w:p w:rsidR="00854133" w:rsidRDefault="00581AA4">
            <w:pPr>
              <w:jc w:val="right"/>
            </w:pPr>
            <w:r>
              <w:rPr>
                <w:rFonts w:eastAsiaTheme="minorEastAsia"/>
                <w:szCs w:val="21"/>
              </w:rPr>
              <w:t>-</w:t>
            </w:r>
          </w:p>
        </w:tc>
      </w:tr>
      <w:tr w:rsidR="008A5A5D" w:rsidRPr="00C24ACA" w:rsidTr="00862636">
        <w:trPr>
          <w:trHeight w:val="255"/>
        </w:trPr>
        <w:tc>
          <w:tcPr>
            <w:tcW w:w="3833" w:type="dxa"/>
            <w:vAlign w:val="bottom"/>
          </w:tcPr>
          <w:p w:rsidR="008A5A5D" w:rsidRPr="00C24ACA" w:rsidRDefault="008A5A5D" w:rsidP="004A4847">
            <w:pPr>
              <w:rPr>
                <w:rFonts w:eastAsiaTheme="minorEastAsia"/>
                <w:szCs w:val="21"/>
              </w:rPr>
            </w:pPr>
            <w:r w:rsidRPr="00C24ACA">
              <w:rPr>
                <w:rFonts w:eastAsiaTheme="minorEastAsia"/>
                <w:szCs w:val="21"/>
              </w:rPr>
              <w:t>合计</w:t>
            </w:r>
          </w:p>
        </w:tc>
        <w:tc>
          <w:tcPr>
            <w:tcW w:w="5242" w:type="dxa"/>
            <w:vAlign w:val="bottom"/>
          </w:tcPr>
          <w:p w:rsidR="008A5A5D" w:rsidRPr="00C24ACA" w:rsidRDefault="008A5A5D" w:rsidP="004A4847">
            <w:pPr>
              <w:jc w:val="right"/>
              <w:rPr>
                <w:rFonts w:eastAsiaTheme="minorEastAsia"/>
                <w:szCs w:val="21"/>
              </w:rPr>
            </w:pPr>
            <w:r w:rsidRPr="00C24ACA">
              <w:rPr>
                <w:rFonts w:eastAsiaTheme="minorEastAsia"/>
                <w:szCs w:val="21"/>
              </w:rPr>
              <w:t>117,216.19</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6.4.7.19</w:t>
      </w:r>
      <w:r w:rsidRPr="00C24ACA">
        <w:rPr>
          <w:rFonts w:eastAsiaTheme="minorEastAsia"/>
          <w:b/>
          <w:color w:val="000000"/>
          <w:szCs w:val="21"/>
        </w:rPr>
        <w:t>交易费用</w:t>
      </w:r>
    </w:p>
    <w:p w:rsidR="004D679F" w:rsidRDefault="004D679F" w:rsidP="004D679F">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07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7"/>
        <w:gridCol w:w="5249"/>
      </w:tblGrid>
      <w:tr w:rsidR="004D679F" w:rsidTr="00AD6EE3">
        <w:trPr>
          <w:trHeight w:val="285"/>
        </w:trPr>
        <w:tc>
          <w:tcPr>
            <w:tcW w:w="3827" w:type="dxa"/>
            <w:vAlign w:val="center"/>
            <w:hideMark/>
          </w:tcPr>
          <w:p w:rsidR="004D679F" w:rsidRDefault="004D679F" w:rsidP="00F0322F">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249" w:type="dxa"/>
            <w:vAlign w:val="center"/>
            <w:hideMark/>
          </w:tcPr>
          <w:p w:rsidR="004D679F" w:rsidRDefault="004D679F" w:rsidP="00F0322F">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4D679F" w:rsidRDefault="004D679F" w:rsidP="00F0322F">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4D679F" w:rsidTr="00AD6EE3">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20,383.77</w:t>
            </w:r>
          </w:p>
        </w:tc>
      </w:tr>
      <w:tr w:rsidR="004D679F" w:rsidTr="00AD6EE3">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350.00</w:t>
            </w:r>
          </w:p>
        </w:tc>
      </w:tr>
      <w:tr w:rsidR="004D679F" w:rsidTr="00AD6EE3">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交易基金产生的费用</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439,565.71</w:t>
            </w:r>
          </w:p>
        </w:tc>
      </w:tr>
      <w:tr w:rsidR="004D679F" w:rsidTr="00AD6EE3">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其中：申购费</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4D679F" w:rsidTr="00AD6EE3">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color w:val="000000" w:themeColor="text1"/>
                <w:szCs w:val="21"/>
              </w:rPr>
              <w:t xml:space="preserve">      </w:t>
            </w:r>
            <w:r>
              <w:rPr>
                <w:rFonts w:eastAsiaTheme="minorEastAsia" w:hint="eastAsia"/>
                <w:color w:val="000000" w:themeColor="text1"/>
                <w:szCs w:val="21"/>
              </w:rPr>
              <w:t>赎回费</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854133">
        <w:tc>
          <w:tcPr>
            <w:tcW w:w="3827" w:type="dxa"/>
            <w:vAlign w:val="center"/>
          </w:tcPr>
          <w:p w:rsidR="00854133" w:rsidRDefault="00581AA4">
            <w:pPr>
              <w:jc w:val="center"/>
            </w:pPr>
            <w:r>
              <w:rPr>
                <w:rFonts w:eastAsiaTheme="minorEastAsia"/>
                <w:color w:val="000000" w:themeColor="text1"/>
                <w:kern w:val="0"/>
                <w:szCs w:val="21"/>
              </w:rPr>
              <w:t>其他</w:t>
            </w:r>
          </w:p>
        </w:tc>
        <w:tc>
          <w:tcPr>
            <w:tcW w:w="5249" w:type="dxa"/>
            <w:vAlign w:val="center"/>
          </w:tcPr>
          <w:p w:rsidR="00854133" w:rsidRDefault="00581AA4">
            <w:pPr>
              <w:jc w:val="right"/>
            </w:pPr>
            <w:r>
              <w:rPr>
                <w:rFonts w:eastAsiaTheme="minorEastAsia"/>
                <w:color w:val="000000" w:themeColor="text1"/>
                <w:kern w:val="0"/>
                <w:szCs w:val="21"/>
              </w:rPr>
              <w:t>439,565.71</w:t>
            </w:r>
          </w:p>
        </w:tc>
      </w:tr>
      <w:tr w:rsidR="004D679F" w:rsidTr="00AD6EE3">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460,299.48</w:t>
            </w:r>
          </w:p>
        </w:tc>
      </w:tr>
    </w:tbl>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6.4.7.20</w:t>
      </w:r>
      <w:r w:rsidRPr="00C24ACA">
        <w:rPr>
          <w:rFonts w:eastAsiaTheme="minorEastAsia"/>
          <w:b/>
          <w:color w:val="000000"/>
          <w:szCs w:val="21"/>
        </w:rPr>
        <w:t>其他费用</w:t>
      </w:r>
    </w:p>
    <w:p w:rsidR="008A5A5D" w:rsidRPr="00C24ACA" w:rsidRDefault="008A5A5D" w:rsidP="003955D3">
      <w:pPr>
        <w:tabs>
          <w:tab w:val="left" w:pos="7200"/>
          <w:tab w:val="left" w:pos="8280"/>
          <w:tab w:val="left" w:pos="9000"/>
        </w:tabs>
        <w:ind w:rightChars="-52" w:right="-109"/>
        <w:jc w:val="right"/>
        <w:rPr>
          <w:rFonts w:eastAsiaTheme="minorEastAsia"/>
          <w:bCs/>
          <w:szCs w:val="21"/>
        </w:rPr>
      </w:pPr>
      <w:r w:rsidRPr="00C24ACA">
        <w:rPr>
          <w:rFonts w:eastAsiaTheme="minorEastAsia"/>
          <w:color w:val="000000"/>
          <w:szCs w:val="21"/>
        </w:rPr>
        <w:t>单位：人民币元</w:t>
      </w:r>
    </w:p>
    <w:tbl>
      <w:tblPr>
        <w:tblW w:w="92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8A5A5D" w:rsidRPr="00C24ACA" w:rsidTr="00862636">
        <w:tc>
          <w:tcPr>
            <w:tcW w:w="3936"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350" w:type="dxa"/>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widowControl/>
              <w:autoSpaceDE w:val="0"/>
              <w:autoSpaceDN w:val="0"/>
              <w:ind w:right="-15"/>
              <w:jc w:val="center"/>
              <w:textAlignment w:val="bottom"/>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c>
          <w:tcPr>
            <w:tcW w:w="3936" w:type="dxa"/>
            <w:vAlign w:val="center"/>
          </w:tcPr>
          <w:p w:rsidR="008A5A5D" w:rsidRPr="00C24ACA" w:rsidRDefault="008A5A5D" w:rsidP="004A4847">
            <w:pPr>
              <w:rPr>
                <w:rFonts w:eastAsiaTheme="minorEastAsia"/>
                <w:szCs w:val="21"/>
              </w:rPr>
            </w:pPr>
            <w:r w:rsidRPr="00C24ACA">
              <w:rPr>
                <w:rFonts w:eastAsiaTheme="minorEastAsia"/>
                <w:szCs w:val="21"/>
              </w:rPr>
              <w:t>审计费用</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35,803.04</w:t>
            </w:r>
          </w:p>
        </w:tc>
      </w:tr>
      <w:tr w:rsidR="008A5A5D" w:rsidRPr="00C24ACA" w:rsidTr="00862636">
        <w:tc>
          <w:tcPr>
            <w:tcW w:w="3936" w:type="dxa"/>
            <w:vAlign w:val="center"/>
          </w:tcPr>
          <w:p w:rsidR="008A5A5D" w:rsidRPr="00C24ACA" w:rsidRDefault="008A5A5D" w:rsidP="004A4847">
            <w:pPr>
              <w:rPr>
                <w:rFonts w:eastAsiaTheme="minorEastAsia"/>
                <w:szCs w:val="21"/>
              </w:rPr>
            </w:pPr>
            <w:r w:rsidRPr="00C24ACA">
              <w:rPr>
                <w:rFonts w:eastAsiaTheme="minorEastAsia"/>
                <w:szCs w:val="21"/>
              </w:rPr>
              <w:t>信息披露费</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59,672.34</w:t>
            </w:r>
          </w:p>
        </w:tc>
      </w:tr>
      <w:tr w:rsidR="00854133">
        <w:tc>
          <w:tcPr>
            <w:tcW w:w="3936" w:type="dxa"/>
            <w:vAlign w:val="center"/>
          </w:tcPr>
          <w:p w:rsidR="00854133" w:rsidRDefault="00581AA4">
            <w:pPr>
              <w:jc w:val="left"/>
            </w:pPr>
            <w:r>
              <w:rPr>
                <w:rFonts w:eastAsiaTheme="minorEastAsia"/>
                <w:szCs w:val="21"/>
              </w:rPr>
              <w:t>银行汇划费</w:t>
            </w:r>
          </w:p>
        </w:tc>
        <w:tc>
          <w:tcPr>
            <w:tcW w:w="5350" w:type="dxa"/>
            <w:vAlign w:val="center"/>
          </w:tcPr>
          <w:p w:rsidR="00854133" w:rsidRDefault="00581AA4">
            <w:pPr>
              <w:jc w:val="right"/>
            </w:pPr>
            <w:r>
              <w:rPr>
                <w:rFonts w:eastAsiaTheme="minorEastAsia"/>
                <w:szCs w:val="21"/>
              </w:rPr>
              <w:t>360.00</w:t>
            </w:r>
          </w:p>
        </w:tc>
      </w:tr>
      <w:tr w:rsidR="00854133">
        <w:tc>
          <w:tcPr>
            <w:tcW w:w="3936" w:type="dxa"/>
            <w:vAlign w:val="center"/>
          </w:tcPr>
          <w:p w:rsidR="00854133" w:rsidRDefault="00581AA4">
            <w:pPr>
              <w:jc w:val="left"/>
            </w:pPr>
            <w:r>
              <w:rPr>
                <w:rFonts w:eastAsiaTheme="minorEastAsia"/>
                <w:szCs w:val="21"/>
              </w:rPr>
              <w:t>银行间账户维护费</w:t>
            </w:r>
          </w:p>
        </w:tc>
        <w:tc>
          <w:tcPr>
            <w:tcW w:w="5350" w:type="dxa"/>
            <w:vAlign w:val="center"/>
          </w:tcPr>
          <w:p w:rsidR="00854133" w:rsidRDefault="00581AA4">
            <w:pPr>
              <w:jc w:val="right"/>
            </w:pPr>
            <w:r>
              <w:rPr>
                <w:rFonts w:eastAsiaTheme="minorEastAsia"/>
                <w:szCs w:val="21"/>
              </w:rPr>
              <w:t>9,000.00</w:t>
            </w:r>
          </w:p>
        </w:tc>
      </w:tr>
      <w:tr w:rsidR="00854133">
        <w:tc>
          <w:tcPr>
            <w:tcW w:w="3936" w:type="dxa"/>
            <w:vAlign w:val="center"/>
          </w:tcPr>
          <w:p w:rsidR="00854133" w:rsidRDefault="00581AA4">
            <w:pPr>
              <w:jc w:val="left"/>
            </w:pPr>
            <w:r>
              <w:rPr>
                <w:rFonts w:eastAsiaTheme="minorEastAsia"/>
                <w:szCs w:val="21"/>
              </w:rPr>
              <w:t>上市费</w:t>
            </w:r>
          </w:p>
        </w:tc>
        <w:tc>
          <w:tcPr>
            <w:tcW w:w="5350" w:type="dxa"/>
            <w:vAlign w:val="center"/>
          </w:tcPr>
          <w:p w:rsidR="00854133" w:rsidRDefault="00581AA4">
            <w:pPr>
              <w:jc w:val="right"/>
            </w:pPr>
            <w:r>
              <w:rPr>
                <w:rFonts w:eastAsiaTheme="minorEastAsia"/>
                <w:szCs w:val="21"/>
              </w:rPr>
              <w:t>29,835.26</w:t>
            </w:r>
          </w:p>
        </w:tc>
      </w:tr>
      <w:tr w:rsidR="00854133">
        <w:tc>
          <w:tcPr>
            <w:tcW w:w="3936" w:type="dxa"/>
            <w:vAlign w:val="center"/>
          </w:tcPr>
          <w:p w:rsidR="00854133" w:rsidRDefault="00581AA4">
            <w:pPr>
              <w:jc w:val="left"/>
            </w:pPr>
            <w:r>
              <w:rPr>
                <w:rFonts w:eastAsiaTheme="minorEastAsia"/>
                <w:szCs w:val="21"/>
              </w:rPr>
              <w:t>其他</w:t>
            </w:r>
          </w:p>
        </w:tc>
        <w:tc>
          <w:tcPr>
            <w:tcW w:w="5350" w:type="dxa"/>
            <w:vAlign w:val="center"/>
          </w:tcPr>
          <w:p w:rsidR="00854133" w:rsidRDefault="00581AA4">
            <w:pPr>
              <w:jc w:val="right"/>
            </w:pPr>
            <w:r>
              <w:rPr>
                <w:rFonts w:eastAsiaTheme="minorEastAsia"/>
                <w:szCs w:val="21"/>
              </w:rPr>
              <w:t>400.00</w:t>
            </w:r>
          </w:p>
        </w:tc>
      </w:tr>
      <w:tr w:rsidR="008A5A5D" w:rsidRPr="00C24ACA" w:rsidTr="00862636">
        <w:tc>
          <w:tcPr>
            <w:tcW w:w="3936" w:type="dxa"/>
            <w:vAlign w:val="bottom"/>
          </w:tcPr>
          <w:p w:rsidR="008A5A5D" w:rsidRPr="00C24ACA" w:rsidRDefault="008A5A5D" w:rsidP="004A4847">
            <w:pPr>
              <w:rPr>
                <w:rFonts w:eastAsiaTheme="minorEastAsia"/>
                <w:szCs w:val="21"/>
              </w:rPr>
            </w:pPr>
            <w:r w:rsidRPr="00C24ACA">
              <w:rPr>
                <w:rFonts w:eastAsiaTheme="minorEastAsia"/>
                <w:szCs w:val="21"/>
              </w:rPr>
              <w:t>合计</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135,070.64</w:t>
            </w:r>
          </w:p>
        </w:tc>
      </w:tr>
    </w:tbl>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 xml:space="preserve">6.4.8 </w:t>
      </w:r>
      <w:r w:rsidRPr="00C24ACA">
        <w:rPr>
          <w:rFonts w:eastAsiaTheme="minorEastAsia"/>
          <w:b/>
          <w:color w:val="000000"/>
          <w:kern w:val="0"/>
          <w:szCs w:val="21"/>
        </w:rPr>
        <w:t>或有事项、资产负债表日后事项的说明</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6.4.8.1</w:t>
      </w:r>
      <w:r w:rsidRPr="00C24ACA">
        <w:rPr>
          <w:rFonts w:eastAsiaTheme="minorEastAsia"/>
          <w:b/>
          <w:color w:val="000000"/>
          <w:kern w:val="0"/>
          <w:szCs w:val="21"/>
        </w:rPr>
        <w:t xml:space="preserve"> </w:t>
      </w:r>
      <w:r w:rsidRPr="00C24ACA">
        <w:rPr>
          <w:rFonts w:eastAsiaTheme="minorEastAsia"/>
          <w:b/>
          <w:color w:val="000000"/>
          <w:kern w:val="0"/>
          <w:szCs w:val="21"/>
        </w:rPr>
        <w:t>或有事项</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截至资产负债表日，本基金无须作披露的或有事项。</w:t>
      </w:r>
    </w:p>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6.4.8.2</w:t>
      </w:r>
      <w:r w:rsidRPr="00C24ACA">
        <w:rPr>
          <w:rFonts w:eastAsiaTheme="minorEastAsia"/>
          <w:b/>
          <w:color w:val="000000"/>
          <w:kern w:val="0"/>
          <w:szCs w:val="21"/>
        </w:rPr>
        <w:t xml:space="preserve"> </w:t>
      </w:r>
      <w:r w:rsidRPr="00C24ACA">
        <w:rPr>
          <w:rFonts w:eastAsiaTheme="minorEastAsia"/>
          <w:b/>
          <w:color w:val="000000"/>
          <w:kern w:val="0"/>
          <w:szCs w:val="21"/>
        </w:rPr>
        <w:t>资产负债表日后事项</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截至本会计报表批准报出日，本基金无须作披露的资产负债表日后事项。</w:t>
      </w:r>
    </w:p>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6.4.9</w:t>
      </w:r>
      <w:r w:rsidRPr="00C24ACA">
        <w:rPr>
          <w:rFonts w:eastAsiaTheme="minorEastAsia"/>
          <w:b/>
          <w:color w:val="000000"/>
          <w:kern w:val="0"/>
          <w:szCs w:val="21"/>
        </w:rPr>
        <w:t>关联方关系</w:t>
      </w:r>
    </w:p>
    <w:p w:rsidR="008A5A5D" w:rsidRPr="00C24ACA" w:rsidRDefault="008A5A5D" w:rsidP="009967D7">
      <w:pPr>
        <w:spacing w:line="360" w:lineRule="auto"/>
        <w:rPr>
          <w:rFonts w:eastAsiaTheme="minorEastAsia"/>
          <w:b/>
          <w:kern w:val="0"/>
          <w:szCs w:val="21"/>
        </w:rPr>
      </w:pPr>
      <w:r w:rsidRPr="00C24ACA">
        <w:rPr>
          <w:rFonts w:eastAsiaTheme="minorEastAsia"/>
          <w:b/>
          <w:bCs/>
          <w:color w:val="000000"/>
          <w:kern w:val="0"/>
          <w:szCs w:val="21"/>
        </w:rPr>
        <w:t>6.4.9.1</w:t>
      </w:r>
      <w:r w:rsidRPr="00C24ACA">
        <w:rPr>
          <w:rFonts w:eastAsiaTheme="minorEastAsia"/>
          <w:b/>
          <w:kern w:val="0"/>
          <w:szCs w:val="21"/>
        </w:rPr>
        <w:t xml:space="preserve"> </w:t>
      </w:r>
      <w:r w:rsidRPr="00C24ACA">
        <w:rPr>
          <w:rFonts w:eastAsiaTheme="minorEastAsia"/>
          <w:b/>
          <w:kern w:val="0"/>
          <w:szCs w:val="21"/>
        </w:rPr>
        <w:t>本报告期存在控制关系或其他重大利害关系的关联方发生变化的情况</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本报告期内存在控制关系或其他重大利害关系的关联方未发生变化。</w:t>
      </w:r>
    </w:p>
    <w:p w:rsidR="008A5A5D" w:rsidRPr="00C24ACA" w:rsidRDefault="008A5A5D" w:rsidP="00732F5C">
      <w:pPr>
        <w:spacing w:beforeLines="100" w:before="312" w:line="360" w:lineRule="auto"/>
        <w:rPr>
          <w:rFonts w:eastAsiaTheme="minorEastAsia"/>
          <w:b/>
          <w:kern w:val="0"/>
          <w:szCs w:val="21"/>
        </w:rPr>
      </w:pPr>
      <w:r w:rsidRPr="00C24ACA">
        <w:rPr>
          <w:rFonts w:eastAsiaTheme="minorEastAsia"/>
          <w:b/>
          <w:bCs/>
          <w:color w:val="000000"/>
          <w:kern w:val="0"/>
          <w:szCs w:val="21"/>
        </w:rPr>
        <w:t>6.4.9.2</w:t>
      </w:r>
      <w:r w:rsidRPr="00C24ACA">
        <w:rPr>
          <w:rFonts w:eastAsiaTheme="minor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8A5A5D" w:rsidRPr="00C24ACA" w:rsidTr="004A4847">
        <w:tc>
          <w:tcPr>
            <w:tcW w:w="5220" w:type="dxa"/>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关联方名称</w:t>
            </w:r>
          </w:p>
        </w:tc>
        <w:tc>
          <w:tcPr>
            <w:tcW w:w="3780" w:type="dxa"/>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与本基金的关系</w:t>
            </w:r>
          </w:p>
        </w:tc>
      </w:tr>
      <w:tr w:rsidR="00854133">
        <w:tc>
          <w:tcPr>
            <w:tcW w:w="5220" w:type="dxa"/>
            <w:vAlign w:val="center"/>
          </w:tcPr>
          <w:p w:rsidR="00854133" w:rsidRDefault="00581AA4">
            <w:pPr>
              <w:jc w:val="left"/>
            </w:pPr>
            <w:r>
              <w:rPr>
                <w:rFonts w:eastAsiaTheme="minorEastAsia"/>
                <w:color w:val="000000"/>
                <w:szCs w:val="21"/>
              </w:rPr>
              <w:t>易方达基金管理有限公司</w:t>
            </w:r>
          </w:p>
        </w:tc>
        <w:tc>
          <w:tcPr>
            <w:tcW w:w="3780" w:type="dxa"/>
            <w:vAlign w:val="center"/>
          </w:tcPr>
          <w:p w:rsidR="00854133" w:rsidRDefault="00581AA4">
            <w:pPr>
              <w:jc w:val="left"/>
            </w:pPr>
            <w:r>
              <w:rPr>
                <w:rFonts w:eastAsiaTheme="minorEastAsia"/>
                <w:color w:val="000000"/>
                <w:szCs w:val="21"/>
              </w:rPr>
              <w:t>基金管理人、基金销售机构</w:t>
            </w:r>
          </w:p>
        </w:tc>
      </w:tr>
      <w:tr w:rsidR="00854133">
        <w:tc>
          <w:tcPr>
            <w:tcW w:w="5220" w:type="dxa"/>
            <w:vAlign w:val="center"/>
          </w:tcPr>
          <w:p w:rsidR="00854133" w:rsidRDefault="00581AA4">
            <w:pPr>
              <w:jc w:val="left"/>
            </w:pPr>
            <w:r>
              <w:rPr>
                <w:rFonts w:eastAsiaTheme="minorEastAsia"/>
                <w:color w:val="000000"/>
                <w:szCs w:val="21"/>
              </w:rPr>
              <w:t>中国农业银行股份有限公司</w:t>
            </w:r>
            <w:r>
              <w:rPr>
                <w:rFonts w:eastAsiaTheme="minorEastAsia"/>
                <w:color w:val="000000"/>
                <w:szCs w:val="21"/>
              </w:rPr>
              <w:t>(</w:t>
            </w:r>
            <w:r>
              <w:rPr>
                <w:rFonts w:eastAsiaTheme="minorEastAsia"/>
                <w:color w:val="000000"/>
                <w:szCs w:val="21"/>
              </w:rPr>
              <w:t>以下简称</w:t>
            </w:r>
            <w:r>
              <w:rPr>
                <w:rFonts w:eastAsiaTheme="minorEastAsia"/>
                <w:color w:val="000000"/>
                <w:szCs w:val="21"/>
              </w:rPr>
              <w:t>“</w:t>
            </w:r>
            <w:r>
              <w:rPr>
                <w:rFonts w:eastAsiaTheme="minorEastAsia"/>
                <w:color w:val="000000"/>
                <w:szCs w:val="21"/>
              </w:rPr>
              <w:t>中国农业银行</w:t>
            </w:r>
            <w:r>
              <w:rPr>
                <w:rFonts w:eastAsiaTheme="minorEastAsia"/>
                <w:color w:val="000000"/>
                <w:szCs w:val="21"/>
              </w:rPr>
              <w:t>”)</w:t>
            </w:r>
          </w:p>
        </w:tc>
        <w:tc>
          <w:tcPr>
            <w:tcW w:w="3780" w:type="dxa"/>
            <w:vAlign w:val="center"/>
          </w:tcPr>
          <w:p w:rsidR="00854133" w:rsidRDefault="00581AA4">
            <w:pPr>
              <w:jc w:val="left"/>
            </w:pPr>
            <w:r>
              <w:rPr>
                <w:rFonts w:eastAsiaTheme="minorEastAsia"/>
                <w:color w:val="000000"/>
                <w:szCs w:val="21"/>
              </w:rPr>
              <w:t>基金托管人、基金销售机构</w:t>
            </w:r>
          </w:p>
        </w:tc>
      </w:tr>
      <w:tr w:rsidR="00854133">
        <w:tc>
          <w:tcPr>
            <w:tcW w:w="5220" w:type="dxa"/>
            <w:vAlign w:val="center"/>
          </w:tcPr>
          <w:p w:rsidR="00854133" w:rsidRDefault="00581AA4">
            <w:pPr>
              <w:jc w:val="left"/>
            </w:pPr>
            <w:r>
              <w:rPr>
                <w:rFonts w:eastAsiaTheme="minorEastAsia"/>
                <w:color w:val="000000"/>
                <w:szCs w:val="21"/>
              </w:rPr>
              <w:t>香港上海汇丰银行有限公司</w:t>
            </w:r>
            <w:r>
              <w:rPr>
                <w:rFonts w:eastAsiaTheme="minorEastAsia"/>
                <w:color w:val="000000"/>
                <w:szCs w:val="21"/>
              </w:rPr>
              <w:t>(</w:t>
            </w:r>
            <w:r>
              <w:rPr>
                <w:rFonts w:eastAsiaTheme="minorEastAsia"/>
                <w:color w:val="000000"/>
                <w:szCs w:val="21"/>
              </w:rPr>
              <w:t>以下简称</w:t>
            </w:r>
            <w:r>
              <w:rPr>
                <w:rFonts w:eastAsiaTheme="minorEastAsia"/>
                <w:color w:val="000000"/>
                <w:szCs w:val="21"/>
              </w:rPr>
              <w:t>“</w:t>
            </w:r>
            <w:r>
              <w:rPr>
                <w:rFonts w:eastAsiaTheme="minorEastAsia"/>
                <w:color w:val="000000"/>
                <w:szCs w:val="21"/>
              </w:rPr>
              <w:t>汇丰银行</w:t>
            </w:r>
            <w:r>
              <w:rPr>
                <w:rFonts w:eastAsiaTheme="minorEastAsia"/>
                <w:color w:val="000000"/>
                <w:szCs w:val="21"/>
              </w:rPr>
              <w:t>”)</w:t>
            </w:r>
          </w:p>
        </w:tc>
        <w:tc>
          <w:tcPr>
            <w:tcW w:w="3780" w:type="dxa"/>
            <w:vAlign w:val="center"/>
          </w:tcPr>
          <w:p w:rsidR="00854133" w:rsidRDefault="00581AA4">
            <w:pPr>
              <w:jc w:val="left"/>
            </w:pPr>
            <w:r>
              <w:rPr>
                <w:rFonts w:eastAsiaTheme="minorEastAsia"/>
                <w:color w:val="000000"/>
                <w:szCs w:val="21"/>
              </w:rPr>
              <w:t>境外资产托管人</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注：以下关联交易均在正常业务范围内按一般商业条款订立。</w:t>
      </w:r>
    </w:p>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 xml:space="preserve">6.4.10 </w:t>
      </w:r>
      <w:r w:rsidRPr="00C24ACA">
        <w:rPr>
          <w:rFonts w:eastAsiaTheme="minorEastAsia"/>
          <w:b/>
          <w:color w:val="000000"/>
          <w:kern w:val="0"/>
          <w:szCs w:val="21"/>
        </w:rPr>
        <w:t>本报告期及上年度可比期间的关联方交易</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6.4.10.1</w:t>
      </w:r>
      <w:r w:rsidRPr="00C24ACA">
        <w:rPr>
          <w:rFonts w:eastAsiaTheme="minorEastAsia"/>
          <w:b/>
          <w:color w:val="000000"/>
          <w:kern w:val="0"/>
          <w:szCs w:val="21"/>
        </w:rPr>
        <w:t xml:space="preserve"> </w:t>
      </w:r>
      <w:r w:rsidRPr="00C24ACA">
        <w:rPr>
          <w:rFonts w:eastAsiaTheme="minorEastAsia"/>
          <w:b/>
          <w:color w:val="000000"/>
          <w:kern w:val="0"/>
          <w:szCs w:val="21"/>
        </w:rPr>
        <w:t>通过关联方交易单元进行的交易</w:t>
      </w:r>
    </w:p>
    <w:p w:rsidR="008A5A5D" w:rsidRPr="00C24ACA" w:rsidRDefault="008A5A5D" w:rsidP="009967D7">
      <w:pPr>
        <w:spacing w:line="360" w:lineRule="auto"/>
        <w:rPr>
          <w:rFonts w:eastAsiaTheme="minorEastAsia"/>
          <w:color w:val="000000"/>
          <w:szCs w:val="21"/>
        </w:rPr>
      </w:pPr>
      <w:r w:rsidRPr="00C24ACA">
        <w:rPr>
          <w:rFonts w:eastAsiaTheme="minorEastAsia"/>
          <w:b/>
          <w:bCs/>
          <w:color w:val="000000"/>
          <w:kern w:val="0"/>
          <w:szCs w:val="21"/>
        </w:rPr>
        <w:t>6.4.10.1.1</w:t>
      </w:r>
      <w:r w:rsidRPr="00C24ACA">
        <w:rPr>
          <w:rFonts w:eastAsiaTheme="minorEastAsia"/>
          <w:b/>
          <w:color w:val="000000"/>
          <w:szCs w:val="21"/>
        </w:rPr>
        <w:t>股票交易</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本基金本报告期及上年度可比期间未发生通过关联方交易单元进行的股票交易。</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6.4.10.1.2</w:t>
      </w:r>
      <w:r w:rsidRPr="00C24ACA">
        <w:rPr>
          <w:rFonts w:eastAsiaTheme="minorEastAsia"/>
          <w:b/>
          <w:color w:val="000000"/>
          <w:szCs w:val="21"/>
        </w:rPr>
        <w:t>权证交易</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本基金本报告期及上年度可比期间未发生通过关联方交易单元进行的权证交易。</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6.4.10.1.3</w:t>
      </w:r>
      <w:r w:rsidRPr="00C24ACA">
        <w:rPr>
          <w:rFonts w:eastAsiaTheme="minorEastAsia"/>
          <w:b/>
          <w:color w:val="000000"/>
          <w:szCs w:val="21"/>
        </w:rPr>
        <w:t>应支付关联方的佣金</w:t>
      </w:r>
    </w:p>
    <w:p w:rsidR="008A5A5D" w:rsidRPr="00C24ACA" w:rsidRDefault="00A97A4E"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本基金本报告期及上年度可比期间无应支付关联方的佣金。</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6.4.10.2</w:t>
      </w:r>
      <w:r w:rsidRPr="00C24ACA">
        <w:rPr>
          <w:rFonts w:eastAsiaTheme="minorEastAsia"/>
          <w:b/>
          <w:color w:val="000000"/>
          <w:kern w:val="0"/>
          <w:szCs w:val="21"/>
        </w:rPr>
        <w:t>关联方报酬</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6.4.10.2.1</w:t>
      </w:r>
      <w:r w:rsidRPr="00C24ACA">
        <w:rPr>
          <w:rFonts w:eastAsiaTheme="minorEastAsia"/>
          <w:b/>
          <w:color w:val="000000"/>
          <w:kern w:val="0"/>
          <w:szCs w:val="21"/>
        </w:rPr>
        <w:t>基金管理费</w:t>
      </w:r>
    </w:p>
    <w:p w:rsidR="00A97A4E" w:rsidRPr="00C24ACA" w:rsidRDefault="00A97A4E" w:rsidP="00A97A4E">
      <w:pPr>
        <w:autoSpaceDE w:val="0"/>
        <w:autoSpaceDN w:val="0"/>
        <w:adjustRightInd w:val="0"/>
        <w:spacing w:before="29" w:line="288" w:lineRule="auto"/>
        <w:ind w:left="15" w:right="210"/>
        <w:jc w:val="right"/>
        <w:rPr>
          <w:rFonts w:eastAsiaTheme="minorEastAsia"/>
          <w:color w:val="000000"/>
          <w:kern w:val="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2657"/>
        <w:gridCol w:w="2588"/>
      </w:tblGrid>
      <w:tr w:rsidR="00A97A4E" w:rsidRPr="00C24ACA" w:rsidTr="00A97A4E">
        <w:tc>
          <w:tcPr>
            <w:tcW w:w="3686" w:type="dxa"/>
            <w:vAlign w:val="center"/>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项目</w:t>
            </w:r>
          </w:p>
        </w:tc>
        <w:tc>
          <w:tcPr>
            <w:tcW w:w="2657"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本期</w:t>
            </w:r>
          </w:p>
          <w:p w:rsidR="00A97A4E" w:rsidRPr="00C24ACA" w:rsidRDefault="00A97A4E" w:rsidP="00A97A4E">
            <w:pPr>
              <w:widowControl/>
              <w:autoSpaceDE w:val="0"/>
              <w:autoSpaceDN w:val="0"/>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c>
          <w:tcPr>
            <w:tcW w:w="2588"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上年度可比期间</w:t>
            </w:r>
          </w:p>
          <w:p w:rsidR="00A97A4E" w:rsidRPr="00C24ACA" w:rsidRDefault="00A97A4E" w:rsidP="00A97A4E">
            <w:pPr>
              <w:widowControl/>
              <w:autoSpaceDE w:val="0"/>
              <w:autoSpaceDN w:val="0"/>
              <w:ind w:right="-15"/>
              <w:jc w:val="center"/>
              <w:textAlignment w:val="bottom"/>
              <w:rPr>
                <w:rFonts w:eastAsiaTheme="minorEastAsia"/>
                <w:color w:val="000000"/>
                <w:kern w:val="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A97A4E" w:rsidRPr="00C24ACA" w:rsidTr="00A97A4E">
        <w:tc>
          <w:tcPr>
            <w:tcW w:w="3686" w:type="dxa"/>
            <w:vAlign w:val="center"/>
          </w:tcPr>
          <w:p w:rsidR="00A97A4E" w:rsidRPr="00C24ACA" w:rsidRDefault="00A97A4E" w:rsidP="00A97A4E">
            <w:pPr>
              <w:rPr>
                <w:rFonts w:eastAsiaTheme="minorEastAsia"/>
                <w:color w:val="000000"/>
                <w:szCs w:val="21"/>
              </w:rPr>
            </w:pPr>
            <w:r w:rsidRPr="00C24ACA">
              <w:rPr>
                <w:rFonts w:eastAsiaTheme="minorEastAsia"/>
                <w:szCs w:val="21"/>
              </w:rPr>
              <w:t>当期发生的基金应支付的管理费</w:t>
            </w:r>
          </w:p>
        </w:tc>
        <w:tc>
          <w:tcPr>
            <w:tcW w:w="2657" w:type="dxa"/>
            <w:vAlign w:val="center"/>
          </w:tcPr>
          <w:p w:rsidR="00A97A4E" w:rsidRPr="00C24ACA" w:rsidRDefault="00A97A4E" w:rsidP="00A97A4E">
            <w:pPr>
              <w:jc w:val="right"/>
              <w:rPr>
                <w:rFonts w:eastAsiaTheme="minorEastAsia"/>
                <w:szCs w:val="21"/>
              </w:rPr>
            </w:pPr>
            <w:r w:rsidRPr="00C24ACA">
              <w:rPr>
                <w:rFonts w:eastAsiaTheme="minorEastAsia"/>
                <w:szCs w:val="21"/>
              </w:rPr>
              <w:t>1,944,272.21</w:t>
            </w:r>
          </w:p>
        </w:tc>
        <w:tc>
          <w:tcPr>
            <w:tcW w:w="2588" w:type="dxa"/>
            <w:vAlign w:val="center"/>
          </w:tcPr>
          <w:p w:rsidR="00A97A4E" w:rsidRPr="00C24ACA" w:rsidRDefault="00A97A4E" w:rsidP="00A97A4E">
            <w:pPr>
              <w:jc w:val="right"/>
              <w:rPr>
                <w:rFonts w:eastAsiaTheme="minorEastAsia"/>
                <w:szCs w:val="21"/>
              </w:rPr>
            </w:pPr>
            <w:r w:rsidRPr="00C24ACA">
              <w:rPr>
                <w:rFonts w:eastAsiaTheme="minorEastAsia"/>
                <w:szCs w:val="21"/>
              </w:rPr>
              <w:t>1,960,275.43</w:t>
            </w:r>
          </w:p>
        </w:tc>
      </w:tr>
      <w:tr w:rsidR="00A97A4E" w:rsidRPr="00C24ACA" w:rsidTr="00A97A4E">
        <w:tc>
          <w:tcPr>
            <w:tcW w:w="3686" w:type="dxa"/>
            <w:vAlign w:val="center"/>
          </w:tcPr>
          <w:p w:rsidR="00A97A4E" w:rsidRPr="00C24ACA" w:rsidRDefault="00A97A4E" w:rsidP="00A97A4E">
            <w:pPr>
              <w:rPr>
                <w:rFonts w:eastAsiaTheme="minorEastAsia"/>
                <w:color w:val="000000"/>
                <w:szCs w:val="21"/>
              </w:rPr>
            </w:pPr>
            <w:r w:rsidRPr="00C24ACA">
              <w:rPr>
                <w:rFonts w:eastAsiaTheme="minorEastAsia"/>
                <w:szCs w:val="21"/>
              </w:rPr>
              <w:t>其中：支付销售机构的客户维护费</w:t>
            </w:r>
          </w:p>
        </w:tc>
        <w:tc>
          <w:tcPr>
            <w:tcW w:w="2657" w:type="dxa"/>
            <w:vAlign w:val="center"/>
          </w:tcPr>
          <w:p w:rsidR="00A97A4E" w:rsidRPr="00C24ACA" w:rsidRDefault="00A97A4E" w:rsidP="00A97A4E">
            <w:pPr>
              <w:jc w:val="right"/>
              <w:rPr>
                <w:rFonts w:eastAsiaTheme="minorEastAsia"/>
                <w:szCs w:val="21"/>
              </w:rPr>
            </w:pPr>
            <w:r w:rsidRPr="00C24ACA">
              <w:rPr>
                <w:rFonts w:eastAsiaTheme="minorEastAsia"/>
                <w:szCs w:val="21"/>
              </w:rPr>
              <w:t>762,867.97</w:t>
            </w:r>
          </w:p>
        </w:tc>
        <w:tc>
          <w:tcPr>
            <w:tcW w:w="2588" w:type="dxa"/>
            <w:vAlign w:val="center"/>
          </w:tcPr>
          <w:p w:rsidR="00A97A4E" w:rsidRPr="00C24ACA" w:rsidRDefault="00A97A4E" w:rsidP="00A97A4E">
            <w:pPr>
              <w:jc w:val="right"/>
              <w:rPr>
                <w:rFonts w:eastAsiaTheme="minorEastAsia"/>
                <w:szCs w:val="21"/>
              </w:rPr>
            </w:pPr>
            <w:r w:rsidRPr="00C24ACA">
              <w:rPr>
                <w:rFonts w:eastAsiaTheme="minorEastAsia"/>
                <w:szCs w:val="21"/>
              </w:rPr>
              <w:t>608,032.94</w:t>
            </w:r>
          </w:p>
        </w:tc>
      </w:tr>
    </w:tbl>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注：本基金的管理费（如基金管理人委托投资顾问，包括投资顾问费）按前一日基金资产净值的</w:t>
      </w:r>
      <w:r>
        <w:rPr>
          <w:rFonts w:eastAsiaTheme="minorEastAsia"/>
          <w:kern w:val="0"/>
          <w:szCs w:val="21"/>
        </w:rPr>
        <w:t>1. 2%</w:t>
      </w:r>
      <w:r>
        <w:rPr>
          <w:rFonts w:eastAsiaTheme="minorEastAsia"/>
          <w:kern w:val="0"/>
          <w:szCs w:val="21"/>
        </w:rPr>
        <w:t>年费率计提。计算方法如下：</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w:t>
      </w:r>
      <w:r>
        <w:rPr>
          <w:rFonts w:eastAsiaTheme="minorEastAsia"/>
          <w:kern w:val="0"/>
          <w:szCs w:val="21"/>
        </w:rPr>
        <w:t>E×1. 2%÷</w:t>
      </w:r>
      <w:r>
        <w:rPr>
          <w:rFonts w:eastAsiaTheme="minorEastAsia"/>
          <w:kern w:val="0"/>
          <w:szCs w:val="21"/>
        </w:rPr>
        <w:t>当年天数</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为每日应计提的基金的管理费</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E</w:t>
      </w:r>
      <w:r>
        <w:rPr>
          <w:rFonts w:eastAsiaTheme="minorEastAsia"/>
          <w:kern w:val="0"/>
          <w:szCs w:val="21"/>
        </w:rPr>
        <w:t>为前一日的基金资产净值</w:t>
      </w:r>
    </w:p>
    <w:p w:rsidR="00A97A4E" w:rsidRPr="00C24ACA" w:rsidRDefault="00A97A4E"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基金的管理费每日计算，逐日累计至每月月末，按月支付。经基金管理人和基金托管人核对一致后，基金托管人于次月前</w:t>
      </w:r>
      <w:r w:rsidRPr="00C24ACA">
        <w:rPr>
          <w:rFonts w:eastAsiaTheme="minorEastAsia"/>
          <w:kern w:val="0"/>
          <w:szCs w:val="21"/>
        </w:rPr>
        <w:t>3</w:t>
      </w:r>
      <w:r w:rsidRPr="00C24ACA">
        <w:rPr>
          <w:rFonts w:eastAsiaTheme="minorEastAsia"/>
          <w:kern w:val="0"/>
          <w:szCs w:val="21"/>
        </w:rPr>
        <w:t>个工作日内从基金财产中一次性支付给基金管理人。</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6.4.10.2.2</w:t>
      </w:r>
      <w:r w:rsidRPr="00C24ACA">
        <w:rPr>
          <w:rFonts w:eastAsiaTheme="minorEastAsia"/>
          <w:b/>
          <w:color w:val="000000"/>
          <w:kern w:val="0"/>
          <w:szCs w:val="21"/>
        </w:rPr>
        <w:t>基金托管费</w:t>
      </w:r>
    </w:p>
    <w:p w:rsidR="00A97A4E" w:rsidRPr="00C24ACA" w:rsidRDefault="00A97A4E" w:rsidP="00A97A4E">
      <w:pPr>
        <w:autoSpaceDE w:val="0"/>
        <w:autoSpaceDN w:val="0"/>
        <w:adjustRightInd w:val="0"/>
        <w:spacing w:before="29" w:line="288" w:lineRule="auto"/>
        <w:ind w:left="15" w:right="210"/>
        <w:jc w:val="right"/>
        <w:rPr>
          <w:rFonts w:eastAsiaTheme="minorEastAsia"/>
          <w:color w:val="000000"/>
          <w:kern w:val="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2657"/>
        <w:gridCol w:w="2588"/>
      </w:tblGrid>
      <w:tr w:rsidR="00A97A4E" w:rsidRPr="00C24ACA" w:rsidTr="00A97A4E">
        <w:tc>
          <w:tcPr>
            <w:tcW w:w="3686" w:type="dxa"/>
            <w:vAlign w:val="center"/>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项目</w:t>
            </w:r>
          </w:p>
        </w:tc>
        <w:tc>
          <w:tcPr>
            <w:tcW w:w="2657"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本期</w:t>
            </w:r>
          </w:p>
          <w:p w:rsidR="00A97A4E" w:rsidRPr="00C24ACA" w:rsidRDefault="00A97A4E" w:rsidP="00A97A4E">
            <w:pPr>
              <w:widowControl/>
              <w:autoSpaceDE w:val="0"/>
              <w:autoSpaceDN w:val="0"/>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c>
          <w:tcPr>
            <w:tcW w:w="2588"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上年度可比期间</w:t>
            </w:r>
          </w:p>
          <w:p w:rsidR="00A97A4E" w:rsidRPr="00C24ACA" w:rsidRDefault="00A97A4E" w:rsidP="00A97A4E">
            <w:pPr>
              <w:widowControl/>
              <w:autoSpaceDE w:val="0"/>
              <w:autoSpaceDN w:val="0"/>
              <w:ind w:right="-15"/>
              <w:jc w:val="center"/>
              <w:textAlignment w:val="bottom"/>
              <w:rPr>
                <w:rFonts w:eastAsiaTheme="minorEastAsia"/>
                <w:color w:val="000000"/>
                <w:kern w:val="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A97A4E" w:rsidRPr="00C24ACA" w:rsidTr="00A97A4E">
        <w:tc>
          <w:tcPr>
            <w:tcW w:w="3686" w:type="dxa"/>
            <w:vAlign w:val="center"/>
          </w:tcPr>
          <w:p w:rsidR="00A97A4E" w:rsidRPr="00C24ACA" w:rsidRDefault="00A97A4E" w:rsidP="00A97A4E">
            <w:pPr>
              <w:rPr>
                <w:rFonts w:eastAsiaTheme="minorEastAsia"/>
                <w:color w:val="000000"/>
                <w:szCs w:val="21"/>
              </w:rPr>
            </w:pPr>
            <w:r w:rsidRPr="00C24ACA">
              <w:rPr>
                <w:rFonts w:eastAsiaTheme="minorEastAsia"/>
                <w:szCs w:val="21"/>
              </w:rPr>
              <w:t>当期发生的基金应支付的托管费</w:t>
            </w:r>
          </w:p>
        </w:tc>
        <w:tc>
          <w:tcPr>
            <w:tcW w:w="2657" w:type="dxa"/>
            <w:vAlign w:val="center"/>
          </w:tcPr>
          <w:p w:rsidR="00A97A4E" w:rsidRPr="00C24ACA" w:rsidRDefault="00A97A4E" w:rsidP="00A97A4E">
            <w:pPr>
              <w:jc w:val="right"/>
              <w:rPr>
                <w:rFonts w:eastAsiaTheme="minorEastAsia"/>
                <w:color w:val="000000"/>
                <w:kern w:val="0"/>
                <w:szCs w:val="21"/>
              </w:rPr>
            </w:pPr>
            <w:r w:rsidRPr="00C24ACA">
              <w:rPr>
                <w:rFonts w:eastAsiaTheme="minorEastAsia"/>
                <w:szCs w:val="21"/>
              </w:rPr>
              <w:t>324,045.40</w:t>
            </w:r>
          </w:p>
        </w:tc>
        <w:tc>
          <w:tcPr>
            <w:tcW w:w="2588" w:type="dxa"/>
            <w:vAlign w:val="center"/>
          </w:tcPr>
          <w:p w:rsidR="00A97A4E" w:rsidRPr="00C24ACA" w:rsidRDefault="00A97A4E" w:rsidP="00A97A4E">
            <w:pPr>
              <w:jc w:val="right"/>
              <w:rPr>
                <w:rFonts w:eastAsiaTheme="minorEastAsia"/>
                <w:color w:val="000000"/>
                <w:szCs w:val="21"/>
              </w:rPr>
            </w:pPr>
            <w:r w:rsidRPr="00C24ACA">
              <w:rPr>
                <w:rFonts w:eastAsiaTheme="minorEastAsia"/>
                <w:szCs w:val="21"/>
              </w:rPr>
              <w:t>392,055.10</w:t>
            </w:r>
          </w:p>
        </w:tc>
      </w:tr>
    </w:tbl>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注：本基金的托管费（如基金托管人委托境外托管人，包括境外托管费）按前一日基金资产净值的</w:t>
      </w:r>
      <w:r>
        <w:rPr>
          <w:rFonts w:eastAsiaTheme="minorEastAsia"/>
          <w:kern w:val="0"/>
          <w:szCs w:val="21"/>
        </w:rPr>
        <w:t>0.2%</w:t>
      </w:r>
      <w:r>
        <w:rPr>
          <w:rFonts w:eastAsiaTheme="minorEastAsia"/>
          <w:kern w:val="0"/>
          <w:szCs w:val="21"/>
        </w:rPr>
        <w:t>的年费率计提。托管费的计算方法如下：</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w:t>
      </w:r>
      <w:r>
        <w:rPr>
          <w:rFonts w:eastAsiaTheme="minorEastAsia"/>
          <w:kern w:val="0"/>
          <w:szCs w:val="21"/>
        </w:rPr>
        <w:t>E×0.2%÷</w:t>
      </w:r>
      <w:r>
        <w:rPr>
          <w:rFonts w:eastAsiaTheme="minorEastAsia"/>
          <w:kern w:val="0"/>
          <w:szCs w:val="21"/>
        </w:rPr>
        <w:t>当年天数</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为每日应计提的基金托管费</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E</w:t>
      </w:r>
      <w:r>
        <w:rPr>
          <w:rFonts w:eastAsiaTheme="minorEastAsia"/>
          <w:kern w:val="0"/>
          <w:szCs w:val="21"/>
        </w:rPr>
        <w:t>为前一日的基金资产净值</w:t>
      </w:r>
    </w:p>
    <w:p w:rsidR="00A97A4E" w:rsidRPr="00C24ACA" w:rsidRDefault="00A97A4E"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基金托管费每日计提，逐日累计至每月月末，按月支付。经基金管理人和基金托管人核对一致后，基金托管人于次月前</w:t>
      </w:r>
      <w:r w:rsidRPr="00C24ACA">
        <w:rPr>
          <w:rFonts w:eastAsiaTheme="minorEastAsia"/>
          <w:kern w:val="0"/>
          <w:szCs w:val="21"/>
        </w:rPr>
        <w:t>3</w:t>
      </w:r>
      <w:r w:rsidRPr="00C24ACA">
        <w:rPr>
          <w:rFonts w:eastAsiaTheme="minorEastAsia"/>
          <w:kern w:val="0"/>
          <w:szCs w:val="21"/>
        </w:rPr>
        <w:t>个工作日内从基金财产中一次性支付托管费给基金托管人。</w:t>
      </w:r>
    </w:p>
    <w:p w:rsidR="00871B95" w:rsidRPr="00C24ACA" w:rsidRDefault="00871B95"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 xml:space="preserve">6.4.10.2.3 </w:t>
      </w:r>
      <w:r w:rsidRPr="00C24ACA">
        <w:rPr>
          <w:rFonts w:eastAsiaTheme="minorEastAsia"/>
          <w:b/>
          <w:color w:val="000000"/>
          <w:kern w:val="0"/>
          <w:szCs w:val="21"/>
        </w:rPr>
        <w:t>销售服务费</w:t>
      </w:r>
    </w:p>
    <w:p w:rsidR="003921B9" w:rsidRPr="00325F8A" w:rsidRDefault="003921B9" w:rsidP="003921B9">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2287"/>
        <w:gridCol w:w="2409"/>
        <w:gridCol w:w="2691"/>
      </w:tblGrid>
      <w:tr w:rsidR="003921B9" w:rsidRPr="00325F8A" w:rsidTr="00A218AC">
        <w:trPr>
          <w:trHeight w:val="465"/>
        </w:trPr>
        <w:tc>
          <w:tcPr>
            <w:tcW w:w="2108" w:type="dxa"/>
            <w:vMerge w:val="restart"/>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921B9" w:rsidRPr="00325F8A" w:rsidTr="00A218AC">
        <w:trPr>
          <w:trHeight w:val="465"/>
        </w:trPr>
        <w:tc>
          <w:tcPr>
            <w:tcW w:w="2108" w:type="dxa"/>
            <w:vMerge/>
            <w:vAlign w:val="center"/>
            <w:hideMark/>
          </w:tcPr>
          <w:p w:rsidR="003921B9" w:rsidRPr="00325F8A" w:rsidRDefault="003921B9" w:rsidP="00F0322F">
            <w:pPr>
              <w:widowControl/>
              <w:jc w:val="left"/>
              <w:rPr>
                <w:rFonts w:eastAsiaTheme="minorEastAsia"/>
                <w:szCs w:val="21"/>
              </w:rPr>
            </w:pP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921B9" w:rsidRPr="00325F8A" w:rsidTr="00A218AC">
        <w:tc>
          <w:tcPr>
            <w:tcW w:w="2108" w:type="dxa"/>
            <w:vMerge/>
            <w:vAlign w:val="center"/>
            <w:hideMark/>
          </w:tcPr>
          <w:p w:rsidR="003921B9" w:rsidRPr="00325F8A" w:rsidRDefault="003921B9" w:rsidP="00F0322F">
            <w:pPr>
              <w:widowControl/>
              <w:jc w:val="left"/>
              <w:rPr>
                <w:rFonts w:eastAsiaTheme="minorEastAsia"/>
                <w:szCs w:val="21"/>
              </w:rPr>
            </w:pPr>
          </w:p>
        </w:tc>
        <w:tc>
          <w:tcPr>
            <w:tcW w:w="2287"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szCs w:val="21"/>
              </w:rPr>
              <w:t>易方达黄金主题（</w:t>
            </w:r>
            <w:r w:rsidRPr="00325F8A">
              <w:rPr>
                <w:rFonts w:eastAsiaTheme="minorEastAsia"/>
                <w:szCs w:val="21"/>
              </w:rPr>
              <w:t>QDII-LOF-FOF</w:t>
            </w:r>
            <w:r w:rsidRPr="00325F8A">
              <w:rPr>
                <w:rFonts w:eastAsiaTheme="minorEastAsia"/>
                <w:szCs w:val="21"/>
              </w:rPr>
              <w:t>）</w:t>
            </w:r>
            <w:r w:rsidRPr="00325F8A">
              <w:rPr>
                <w:rFonts w:eastAsiaTheme="minorEastAsia"/>
                <w:szCs w:val="21"/>
              </w:rPr>
              <w:t>A</w:t>
            </w:r>
          </w:p>
        </w:tc>
        <w:tc>
          <w:tcPr>
            <w:tcW w:w="2409"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szCs w:val="21"/>
              </w:rPr>
              <w:t>易方达黄金主题（</w:t>
            </w:r>
            <w:r w:rsidRPr="00325F8A">
              <w:rPr>
                <w:rFonts w:eastAsiaTheme="minorEastAsia"/>
                <w:szCs w:val="21"/>
              </w:rPr>
              <w:t>QDII-LOF-FOF</w:t>
            </w:r>
            <w:r w:rsidRPr="00325F8A">
              <w:rPr>
                <w:rFonts w:eastAsiaTheme="minorEastAsia"/>
                <w:szCs w:val="21"/>
              </w:rPr>
              <w:t>）</w:t>
            </w:r>
            <w:r w:rsidRPr="00325F8A">
              <w:rPr>
                <w:rFonts w:eastAsiaTheme="minorEastAsia"/>
                <w:szCs w:val="21"/>
              </w:rPr>
              <w:t>C</w:t>
            </w:r>
          </w:p>
        </w:tc>
        <w:tc>
          <w:tcPr>
            <w:tcW w:w="2691"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854133">
        <w:tc>
          <w:tcPr>
            <w:tcW w:w="2108" w:type="dxa"/>
            <w:vAlign w:val="center"/>
          </w:tcPr>
          <w:p w:rsidR="00854133" w:rsidRDefault="00581AA4">
            <w:pPr>
              <w:jc w:val="left"/>
            </w:pPr>
            <w:r>
              <w:rPr>
                <w:rFonts w:eastAsiaTheme="minorEastAsia"/>
                <w:szCs w:val="21"/>
              </w:rPr>
              <w:t>易方达基金管理有限公司</w:t>
            </w:r>
          </w:p>
        </w:tc>
        <w:tc>
          <w:tcPr>
            <w:tcW w:w="2287" w:type="dxa"/>
            <w:vAlign w:val="center"/>
          </w:tcPr>
          <w:p w:rsidR="00854133" w:rsidRDefault="00581AA4">
            <w:pPr>
              <w:jc w:val="right"/>
            </w:pPr>
            <w:r>
              <w:rPr>
                <w:rFonts w:eastAsiaTheme="minorEastAsia"/>
                <w:szCs w:val="21"/>
              </w:rPr>
              <w:t>-</w:t>
            </w:r>
          </w:p>
        </w:tc>
        <w:tc>
          <w:tcPr>
            <w:tcW w:w="2409" w:type="dxa"/>
            <w:vAlign w:val="center"/>
          </w:tcPr>
          <w:p w:rsidR="00854133" w:rsidRDefault="00581AA4">
            <w:pPr>
              <w:jc w:val="right"/>
            </w:pPr>
            <w:r>
              <w:rPr>
                <w:rFonts w:eastAsiaTheme="minorEastAsia"/>
                <w:szCs w:val="21"/>
              </w:rPr>
              <w:t>669.13</w:t>
            </w:r>
          </w:p>
        </w:tc>
        <w:tc>
          <w:tcPr>
            <w:tcW w:w="2691" w:type="dxa"/>
            <w:vAlign w:val="center"/>
          </w:tcPr>
          <w:p w:rsidR="00854133" w:rsidRDefault="00581AA4">
            <w:pPr>
              <w:jc w:val="right"/>
            </w:pPr>
            <w:r>
              <w:rPr>
                <w:rFonts w:eastAsiaTheme="minorEastAsia"/>
                <w:szCs w:val="21"/>
              </w:rPr>
              <w:t>669.13</w:t>
            </w:r>
          </w:p>
        </w:tc>
      </w:tr>
      <w:tr w:rsidR="003921B9" w:rsidRPr="00325F8A" w:rsidTr="00A218AC">
        <w:tc>
          <w:tcPr>
            <w:tcW w:w="2108" w:type="dxa"/>
            <w:vAlign w:val="center"/>
            <w:hideMark/>
          </w:tcPr>
          <w:p w:rsidR="003921B9" w:rsidRPr="00325F8A" w:rsidRDefault="003921B9" w:rsidP="00F0322F">
            <w:pPr>
              <w:widowControl/>
              <w:rPr>
                <w:rFonts w:eastAsiaTheme="minorEastAsia"/>
                <w:szCs w:val="21"/>
              </w:rPr>
            </w:pPr>
            <w:r w:rsidRPr="00325F8A">
              <w:rPr>
                <w:rFonts w:eastAsiaTheme="minorEastAsia" w:hAnsiTheme="minorEastAsia"/>
                <w:szCs w:val="21"/>
              </w:rPr>
              <w:t>合计</w:t>
            </w:r>
          </w:p>
        </w:tc>
        <w:tc>
          <w:tcPr>
            <w:tcW w:w="2287"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w:t>
            </w:r>
          </w:p>
        </w:tc>
        <w:tc>
          <w:tcPr>
            <w:tcW w:w="2409"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669.13</w:t>
            </w:r>
          </w:p>
        </w:tc>
        <w:tc>
          <w:tcPr>
            <w:tcW w:w="2691"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669.13</w:t>
            </w:r>
          </w:p>
        </w:tc>
      </w:tr>
      <w:tr w:rsidR="003921B9" w:rsidRPr="00325F8A" w:rsidTr="00A218AC">
        <w:trPr>
          <w:trHeight w:val="465"/>
        </w:trPr>
        <w:tc>
          <w:tcPr>
            <w:tcW w:w="2108" w:type="dxa"/>
            <w:vMerge w:val="restart"/>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921B9" w:rsidRPr="00325F8A" w:rsidTr="00A218AC">
        <w:trPr>
          <w:trHeight w:val="465"/>
        </w:trPr>
        <w:tc>
          <w:tcPr>
            <w:tcW w:w="2108" w:type="dxa"/>
            <w:vMerge/>
            <w:vAlign w:val="center"/>
            <w:hideMark/>
          </w:tcPr>
          <w:p w:rsidR="003921B9" w:rsidRPr="00325F8A" w:rsidRDefault="003921B9" w:rsidP="00F0322F">
            <w:pPr>
              <w:widowControl/>
              <w:jc w:val="left"/>
              <w:rPr>
                <w:rFonts w:eastAsiaTheme="minorEastAsia"/>
                <w:szCs w:val="21"/>
              </w:rPr>
            </w:pP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921B9" w:rsidRPr="00325F8A" w:rsidTr="00A218AC">
        <w:tc>
          <w:tcPr>
            <w:tcW w:w="2108" w:type="dxa"/>
            <w:vMerge/>
            <w:vAlign w:val="center"/>
            <w:hideMark/>
          </w:tcPr>
          <w:p w:rsidR="003921B9" w:rsidRPr="00325F8A" w:rsidRDefault="003921B9" w:rsidP="00F0322F">
            <w:pPr>
              <w:widowControl/>
              <w:jc w:val="left"/>
              <w:rPr>
                <w:rFonts w:eastAsiaTheme="minorEastAsia"/>
                <w:szCs w:val="21"/>
              </w:rPr>
            </w:pPr>
          </w:p>
        </w:tc>
        <w:tc>
          <w:tcPr>
            <w:tcW w:w="2287" w:type="dxa"/>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易方达黄金主题（</w:t>
            </w:r>
            <w:r w:rsidRPr="00325F8A">
              <w:rPr>
                <w:rFonts w:eastAsiaTheme="minorEastAsia"/>
                <w:szCs w:val="21"/>
              </w:rPr>
              <w:t>QDII-LOF-FOF</w:t>
            </w:r>
            <w:r w:rsidRPr="00325F8A">
              <w:rPr>
                <w:rFonts w:eastAsiaTheme="minorEastAsia"/>
                <w:szCs w:val="21"/>
              </w:rPr>
              <w:t>）</w:t>
            </w:r>
            <w:r w:rsidRPr="00325F8A">
              <w:rPr>
                <w:rFonts w:eastAsiaTheme="minorEastAsia"/>
                <w:szCs w:val="21"/>
              </w:rPr>
              <w:t>A</w:t>
            </w:r>
          </w:p>
        </w:tc>
        <w:tc>
          <w:tcPr>
            <w:tcW w:w="2409" w:type="dxa"/>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易方达黄金主题（</w:t>
            </w:r>
            <w:r w:rsidRPr="00325F8A">
              <w:rPr>
                <w:rFonts w:eastAsiaTheme="minorEastAsia"/>
                <w:szCs w:val="21"/>
              </w:rPr>
              <w:t>QDII-LOF-FOF</w:t>
            </w:r>
            <w:r w:rsidRPr="00325F8A">
              <w:rPr>
                <w:rFonts w:eastAsiaTheme="minorEastAsia"/>
                <w:szCs w:val="21"/>
              </w:rPr>
              <w:t>）</w:t>
            </w:r>
            <w:r w:rsidRPr="00325F8A">
              <w:rPr>
                <w:rFonts w:eastAsiaTheme="minorEastAsia"/>
                <w:szCs w:val="21"/>
              </w:rPr>
              <w:t>C</w:t>
            </w:r>
          </w:p>
        </w:tc>
        <w:tc>
          <w:tcPr>
            <w:tcW w:w="2691" w:type="dxa"/>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3921B9" w:rsidRPr="00325F8A" w:rsidTr="00A218AC">
        <w:tc>
          <w:tcPr>
            <w:tcW w:w="2108" w:type="dxa"/>
            <w:vAlign w:val="center"/>
            <w:hideMark/>
          </w:tcPr>
          <w:p w:rsidR="003921B9" w:rsidRPr="00325F8A" w:rsidRDefault="003921B9" w:rsidP="00F0322F">
            <w:pPr>
              <w:widowControl/>
              <w:rPr>
                <w:rFonts w:eastAsiaTheme="minorEastAsia"/>
                <w:szCs w:val="21"/>
              </w:rPr>
            </w:pPr>
            <w:r w:rsidRPr="00325F8A">
              <w:rPr>
                <w:rFonts w:eastAsiaTheme="minorEastAsia" w:hAnsiTheme="minorEastAsia"/>
                <w:szCs w:val="21"/>
              </w:rPr>
              <w:t>合计</w:t>
            </w:r>
          </w:p>
        </w:tc>
        <w:tc>
          <w:tcPr>
            <w:tcW w:w="2287"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w:t>
            </w:r>
          </w:p>
        </w:tc>
        <w:tc>
          <w:tcPr>
            <w:tcW w:w="2409"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w:t>
            </w:r>
          </w:p>
        </w:tc>
        <w:tc>
          <w:tcPr>
            <w:tcW w:w="2691"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w:t>
            </w:r>
          </w:p>
        </w:tc>
      </w:tr>
    </w:tbl>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注：销售服务费可用于本基金市场推广、销售以及基金份额持有人服务等各项费用。本基金份额分为不同的类别，适用不同的销售服务费率。其中，</w:t>
      </w:r>
      <w:r>
        <w:rPr>
          <w:rFonts w:eastAsiaTheme="minorEastAsia"/>
          <w:kern w:val="0"/>
          <w:szCs w:val="21"/>
        </w:rPr>
        <w:t>A</w:t>
      </w:r>
      <w:r>
        <w:rPr>
          <w:rFonts w:eastAsiaTheme="minorEastAsia"/>
          <w:kern w:val="0"/>
          <w:szCs w:val="21"/>
        </w:rPr>
        <w:t>类人民币份额、</w:t>
      </w:r>
      <w:r>
        <w:rPr>
          <w:rFonts w:eastAsiaTheme="minorEastAsia"/>
          <w:kern w:val="0"/>
          <w:szCs w:val="21"/>
        </w:rPr>
        <w:t>A</w:t>
      </w:r>
      <w:r>
        <w:rPr>
          <w:rFonts w:eastAsiaTheme="minorEastAsia"/>
          <w:kern w:val="0"/>
          <w:szCs w:val="21"/>
        </w:rPr>
        <w:t>类美元份额均不收取销售服务费，</w:t>
      </w:r>
      <w:r>
        <w:rPr>
          <w:rFonts w:eastAsiaTheme="minorEastAsia"/>
          <w:kern w:val="0"/>
          <w:szCs w:val="21"/>
        </w:rPr>
        <w:t>C</w:t>
      </w:r>
      <w:r>
        <w:rPr>
          <w:rFonts w:eastAsiaTheme="minorEastAsia"/>
          <w:kern w:val="0"/>
          <w:szCs w:val="21"/>
        </w:rPr>
        <w:t>类人民币份额、</w:t>
      </w:r>
      <w:r>
        <w:rPr>
          <w:rFonts w:eastAsiaTheme="minorEastAsia"/>
          <w:kern w:val="0"/>
          <w:szCs w:val="21"/>
        </w:rPr>
        <w:t>C</w:t>
      </w:r>
      <w:r>
        <w:rPr>
          <w:rFonts w:eastAsiaTheme="minorEastAsia"/>
          <w:kern w:val="0"/>
          <w:szCs w:val="21"/>
        </w:rPr>
        <w:t>类美元份额的销售服务费年费率为</w:t>
      </w:r>
      <w:r>
        <w:rPr>
          <w:rFonts w:eastAsiaTheme="minorEastAsia"/>
          <w:kern w:val="0"/>
          <w:szCs w:val="21"/>
        </w:rPr>
        <w:t>0.1%</w:t>
      </w:r>
      <w:r>
        <w:rPr>
          <w:rFonts w:eastAsiaTheme="minorEastAsia"/>
          <w:kern w:val="0"/>
          <w:szCs w:val="21"/>
        </w:rPr>
        <w:t>。</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销售服务费计算方法如下：</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w:t>
      </w:r>
      <w:r>
        <w:rPr>
          <w:rFonts w:eastAsiaTheme="minorEastAsia"/>
          <w:kern w:val="0"/>
          <w:szCs w:val="21"/>
        </w:rPr>
        <w:t>E×0.1%÷</w:t>
      </w:r>
      <w:r>
        <w:rPr>
          <w:rFonts w:eastAsiaTheme="minorEastAsia"/>
          <w:kern w:val="0"/>
          <w:szCs w:val="21"/>
        </w:rPr>
        <w:t>当年天数</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为</w:t>
      </w:r>
      <w:r>
        <w:rPr>
          <w:rFonts w:eastAsiaTheme="minorEastAsia"/>
          <w:kern w:val="0"/>
          <w:szCs w:val="21"/>
        </w:rPr>
        <w:t>C</w:t>
      </w:r>
      <w:r>
        <w:rPr>
          <w:rFonts w:eastAsiaTheme="minorEastAsia"/>
          <w:kern w:val="0"/>
          <w:szCs w:val="21"/>
        </w:rPr>
        <w:t>类基金份额每日应计提的销售服务费</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E</w:t>
      </w:r>
      <w:r>
        <w:rPr>
          <w:rFonts w:eastAsiaTheme="minorEastAsia"/>
          <w:kern w:val="0"/>
          <w:szCs w:val="21"/>
        </w:rPr>
        <w:t>为本基金</w:t>
      </w:r>
      <w:r>
        <w:rPr>
          <w:rFonts w:eastAsiaTheme="minorEastAsia"/>
          <w:kern w:val="0"/>
          <w:szCs w:val="21"/>
        </w:rPr>
        <w:t>C</w:t>
      </w:r>
      <w:r>
        <w:rPr>
          <w:rFonts w:eastAsiaTheme="minorEastAsia"/>
          <w:kern w:val="0"/>
          <w:szCs w:val="21"/>
        </w:rPr>
        <w:t>类基金份额前一日基金资产净值</w:t>
      </w:r>
    </w:p>
    <w:p w:rsidR="008A5A5D" w:rsidRPr="00C24ACA" w:rsidRDefault="003921B9" w:rsidP="008134C7">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基金销售服务费每日计提，逐日累计至每月月末，按月支付。经基金管理人与基金托管人核对一致后，基金托管人按照与基金管理人协商一致的方式于次月前</w:t>
      </w:r>
      <w:r w:rsidRPr="001412CA">
        <w:rPr>
          <w:rFonts w:eastAsiaTheme="minorEastAsia"/>
          <w:kern w:val="0"/>
          <w:szCs w:val="21"/>
        </w:rPr>
        <w:t>3</w:t>
      </w:r>
      <w:r w:rsidRPr="001412CA">
        <w:rPr>
          <w:rFonts w:eastAsiaTheme="minorEastAsia"/>
          <w:kern w:val="0"/>
          <w:szCs w:val="21"/>
        </w:rPr>
        <w:t>个工作日内从基金财产中一次性支付至登记结算机构，由登记结算机构代付给销售机构。若遇法定节假日、公休假等，支付日期顺延。</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6.4.10.3</w:t>
      </w:r>
      <w:r w:rsidRPr="00C24ACA">
        <w:rPr>
          <w:rFonts w:eastAsiaTheme="minorEastAsia"/>
          <w:b/>
          <w:bCs/>
          <w:color w:val="000000"/>
          <w:szCs w:val="21"/>
        </w:rPr>
        <w:t>与关联方进行银行间同业市场的债券</w:t>
      </w:r>
      <w:r w:rsidRPr="00C24ACA">
        <w:rPr>
          <w:rFonts w:eastAsiaTheme="minorEastAsia"/>
          <w:b/>
          <w:bCs/>
          <w:color w:val="000000"/>
          <w:szCs w:val="21"/>
        </w:rPr>
        <w:t>(</w:t>
      </w:r>
      <w:r w:rsidRPr="00C24ACA">
        <w:rPr>
          <w:rFonts w:eastAsiaTheme="minorEastAsia"/>
          <w:b/>
          <w:bCs/>
          <w:color w:val="000000"/>
          <w:szCs w:val="21"/>
        </w:rPr>
        <w:t>含回购</w:t>
      </w:r>
      <w:r w:rsidRPr="00C24ACA">
        <w:rPr>
          <w:rFonts w:eastAsiaTheme="minorEastAsia"/>
          <w:b/>
          <w:bCs/>
          <w:color w:val="000000"/>
          <w:szCs w:val="21"/>
        </w:rPr>
        <w:t>)</w:t>
      </w:r>
      <w:r w:rsidRPr="00C24ACA">
        <w:rPr>
          <w:rFonts w:eastAsiaTheme="minorEastAsia"/>
          <w:b/>
          <w:bCs/>
          <w:color w:val="000000"/>
          <w:szCs w:val="21"/>
        </w:rPr>
        <w:t>交易</w:t>
      </w:r>
    </w:p>
    <w:p w:rsidR="0096290F" w:rsidRPr="00C24ACA" w:rsidRDefault="0096290F"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本基金本报告期及上年度可比期间未与关联方进行银行间同业市场债券（含回购）交易。</w:t>
      </w:r>
    </w:p>
    <w:p w:rsidR="008A5A5D" w:rsidRPr="00C24ACA" w:rsidRDefault="008A5A5D" w:rsidP="00EC68BF">
      <w:pPr>
        <w:spacing w:line="360" w:lineRule="auto"/>
        <w:rPr>
          <w:rFonts w:eastAsiaTheme="minorEastAsia"/>
          <w:b/>
          <w:bCs/>
          <w:color w:val="000000"/>
          <w:szCs w:val="21"/>
        </w:rPr>
      </w:pPr>
      <w:r w:rsidRPr="00C24ACA">
        <w:rPr>
          <w:rFonts w:eastAsiaTheme="minorEastAsia"/>
          <w:b/>
          <w:bCs/>
          <w:color w:val="000000"/>
          <w:kern w:val="0"/>
          <w:szCs w:val="21"/>
        </w:rPr>
        <w:t>6.4.10.4</w:t>
      </w:r>
      <w:r w:rsidRPr="00C24ACA">
        <w:rPr>
          <w:rFonts w:eastAsiaTheme="minorEastAsia"/>
          <w:b/>
          <w:bCs/>
          <w:color w:val="000000"/>
          <w:szCs w:val="21"/>
        </w:rPr>
        <w:t>各关联方投资本基金的情况</w:t>
      </w:r>
    </w:p>
    <w:p w:rsidR="008A5A5D" w:rsidRPr="00C24ACA" w:rsidRDefault="008A5A5D" w:rsidP="00EC68BF">
      <w:pPr>
        <w:adjustRightInd w:val="0"/>
        <w:snapToGrid w:val="0"/>
        <w:spacing w:line="360" w:lineRule="auto"/>
        <w:rPr>
          <w:rFonts w:eastAsiaTheme="minorEastAsia"/>
          <w:b/>
          <w:bCs/>
          <w:color w:val="000000"/>
          <w:szCs w:val="21"/>
        </w:rPr>
      </w:pPr>
      <w:r w:rsidRPr="00C24ACA">
        <w:rPr>
          <w:rFonts w:eastAsiaTheme="minorEastAsia"/>
          <w:b/>
          <w:bCs/>
          <w:color w:val="000000"/>
          <w:kern w:val="0"/>
          <w:szCs w:val="21"/>
        </w:rPr>
        <w:t>6.4.10.4.1</w:t>
      </w:r>
      <w:r w:rsidRPr="00C24ACA">
        <w:rPr>
          <w:rFonts w:eastAsiaTheme="minorEastAsia"/>
          <w:b/>
          <w:bCs/>
          <w:color w:val="000000"/>
          <w:szCs w:val="21"/>
        </w:rPr>
        <w:t>报告期内基金管理人运用固有资金投资本基金的情况</w:t>
      </w:r>
    </w:p>
    <w:p w:rsidR="00732F5C" w:rsidRPr="00D77452" w:rsidRDefault="00732F5C" w:rsidP="00732F5C">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9B7B09" w:rsidRPr="007F6A4B" w:rsidRDefault="008A5A5D" w:rsidP="007F6A4B">
      <w:pPr>
        <w:adjustRightInd w:val="0"/>
        <w:snapToGrid w:val="0"/>
        <w:spacing w:line="360" w:lineRule="auto"/>
        <w:rPr>
          <w:rFonts w:eastAsiaTheme="minorEastAsia"/>
          <w:b/>
          <w:bCs/>
          <w:color w:val="000000"/>
          <w:kern w:val="0"/>
          <w:szCs w:val="21"/>
        </w:rPr>
      </w:pPr>
      <w:r w:rsidRPr="00C24ACA">
        <w:rPr>
          <w:rFonts w:eastAsiaTheme="minorEastAsia"/>
          <w:b/>
          <w:bCs/>
          <w:color w:val="000000"/>
          <w:kern w:val="0"/>
          <w:szCs w:val="21"/>
        </w:rPr>
        <w:t>6.4.10.4.2</w:t>
      </w:r>
      <w:r w:rsidRPr="007F6A4B">
        <w:rPr>
          <w:rFonts w:eastAsiaTheme="minorEastAsia"/>
          <w:b/>
          <w:bCs/>
          <w:color w:val="000000"/>
          <w:kern w:val="0"/>
          <w:szCs w:val="21"/>
        </w:rPr>
        <w:t>报告期末除基金管理人之外的其他关联方投资本基金的情况</w:t>
      </w:r>
    </w:p>
    <w:p w:rsidR="009B7B09" w:rsidRPr="003560D2" w:rsidRDefault="009B7B09" w:rsidP="009B7B09">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易方达黄金主题（</w:t>
      </w:r>
      <w:r w:rsidRPr="003560D2">
        <w:rPr>
          <w:rFonts w:eastAsiaTheme="minorEastAsia" w:hint="eastAsia"/>
          <w:b/>
          <w:color w:val="000000"/>
          <w:szCs w:val="21"/>
        </w:rPr>
        <w:t>QDII-LOF-FOF</w:t>
      </w:r>
      <w:r w:rsidRPr="003560D2">
        <w:rPr>
          <w:rFonts w:eastAsiaTheme="minorEastAsia" w:hint="eastAsia"/>
          <w:b/>
          <w:color w:val="000000"/>
          <w:szCs w:val="21"/>
        </w:rPr>
        <w:t>）</w:t>
      </w:r>
      <w:r w:rsidRPr="003560D2">
        <w:rPr>
          <w:rFonts w:eastAsiaTheme="minorEastAsia" w:hint="eastAsia"/>
          <w:b/>
          <w:color w:val="000000"/>
          <w:szCs w:val="21"/>
        </w:rPr>
        <w:t>A</w:t>
      </w:r>
    </w:p>
    <w:p w:rsidR="009B7B09" w:rsidRPr="00325F8A" w:rsidRDefault="009B7B09" w:rsidP="009B7B09">
      <w:pPr>
        <w:tabs>
          <w:tab w:val="left" w:pos="426"/>
        </w:tabs>
        <w:spacing w:line="360" w:lineRule="auto"/>
        <w:ind w:firstLineChars="200" w:firstLine="420"/>
        <w:jc w:val="left"/>
        <w:rPr>
          <w:kern w:val="0"/>
          <w:szCs w:val="21"/>
        </w:rPr>
      </w:pPr>
      <w:r w:rsidRPr="00325F8A">
        <w:rPr>
          <w:kern w:val="0"/>
          <w:szCs w:val="21"/>
        </w:rPr>
        <w:t>无。</w:t>
      </w:r>
    </w:p>
    <w:p w:rsidR="009B7B09" w:rsidRPr="00325F8A" w:rsidRDefault="009B7B09" w:rsidP="009B7B09">
      <w:pPr>
        <w:adjustRightInd w:val="0"/>
        <w:snapToGrid w:val="0"/>
        <w:spacing w:line="288" w:lineRule="auto"/>
        <w:ind w:firstLineChars="200" w:firstLine="422"/>
        <w:rPr>
          <w:b/>
          <w:bCs/>
          <w:color w:val="000000"/>
          <w:szCs w:val="21"/>
        </w:rPr>
      </w:pPr>
      <w:r w:rsidRPr="00325F8A">
        <w:rPr>
          <w:rFonts w:eastAsiaTheme="minorEastAsia"/>
          <w:b/>
          <w:szCs w:val="21"/>
        </w:rPr>
        <w:t>易方达黄金主题（</w:t>
      </w:r>
      <w:r w:rsidRPr="00325F8A">
        <w:rPr>
          <w:rFonts w:eastAsiaTheme="minorEastAsia"/>
          <w:b/>
          <w:szCs w:val="21"/>
        </w:rPr>
        <w:t>QDII-LOF-FOF</w:t>
      </w:r>
      <w:r w:rsidRPr="00325F8A">
        <w:rPr>
          <w:rFonts w:eastAsiaTheme="minorEastAsia"/>
          <w:b/>
          <w:szCs w:val="21"/>
        </w:rPr>
        <w:t>）</w:t>
      </w:r>
      <w:r w:rsidRPr="00325F8A">
        <w:rPr>
          <w:rFonts w:eastAsiaTheme="minorEastAsia"/>
          <w:b/>
          <w:szCs w:val="21"/>
        </w:rPr>
        <w:t>C</w:t>
      </w:r>
    </w:p>
    <w:p w:rsidR="009B7B09" w:rsidRPr="00683042" w:rsidRDefault="009B7B09" w:rsidP="009B7B09">
      <w:pPr>
        <w:tabs>
          <w:tab w:val="left" w:pos="426"/>
        </w:tabs>
        <w:spacing w:line="360" w:lineRule="auto"/>
        <w:ind w:firstLineChars="200" w:firstLine="420"/>
        <w:jc w:val="left"/>
        <w:rPr>
          <w:kern w:val="0"/>
          <w:szCs w:val="21"/>
        </w:rPr>
      </w:pPr>
      <w:r w:rsidRPr="00683042">
        <w:rPr>
          <w:rFonts w:hint="eastAsia"/>
          <w:kern w:val="0"/>
          <w:szCs w:val="21"/>
        </w:rPr>
        <w:t>无。</w:t>
      </w:r>
    </w:p>
    <w:p w:rsidR="008A5A5D" w:rsidRPr="00C24ACA" w:rsidRDefault="008A5A5D" w:rsidP="009B7B09">
      <w:pPr>
        <w:adjustRightInd w:val="0"/>
        <w:snapToGrid w:val="0"/>
        <w:spacing w:beforeLines="100" w:before="312" w:line="360" w:lineRule="auto"/>
        <w:rPr>
          <w:rFonts w:eastAsiaTheme="minorEastAsia"/>
          <w:b/>
          <w:bCs/>
          <w:color w:val="000000"/>
          <w:szCs w:val="21"/>
        </w:rPr>
      </w:pPr>
      <w:r w:rsidRPr="00C24ACA">
        <w:rPr>
          <w:rFonts w:eastAsiaTheme="minorEastAsia"/>
          <w:b/>
          <w:bCs/>
          <w:color w:val="000000"/>
          <w:kern w:val="0"/>
          <w:szCs w:val="21"/>
        </w:rPr>
        <w:t>6.4.10.5</w:t>
      </w:r>
      <w:r w:rsidRPr="00C24ACA">
        <w:rPr>
          <w:rFonts w:eastAsiaTheme="minorEastAsia"/>
          <w:b/>
          <w:bCs/>
          <w:color w:val="000000"/>
          <w:szCs w:val="21"/>
        </w:rPr>
        <w:t>由关联方保管的银行存款余额及当期产生的利息收入</w:t>
      </w:r>
    </w:p>
    <w:p w:rsidR="008A5A5D" w:rsidRPr="00C24ACA" w:rsidRDefault="008A5A5D" w:rsidP="002116B9">
      <w:pPr>
        <w:autoSpaceDE w:val="0"/>
        <w:autoSpaceDN w:val="0"/>
        <w:adjustRightInd w:val="0"/>
        <w:spacing w:before="29" w:line="288" w:lineRule="auto"/>
        <w:ind w:left="15" w:right="210"/>
        <w:jc w:val="right"/>
        <w:rPr>
          <w:rFonts w:eastAsiaTheme="minorEastAsia"/>
          <w:bCs/>
          <w:color w:val="000000"/>
          <w:szCs w:val="21"/>
        </w:rPr>
      </w:pPr>
      <w:r w:rsidRPr="00C24ACA">
        <w:rPr>
          <w:rFonts w:eastAsiaTheme="minorEastAsia"/>
          <w:bCs/>
          <w:color w:val="000000"/>
          <w:szCs w:val="21"/>
        </w:rPr>
        <w:t>单位：人民币元</w:t>
      </w:r>
    </w:p>
    <w:tbl>
      <w:tblPr>
        <w:tblStyle w:val="af7"/>
        <w:tblW w:w="0" w:type="auto"/>
        <w:tblInd w:w="108" w:type="dxa"/>
        <w:tblLayout w:type="fixed"/>
        <w:tblLook w:val="04A0" w:firstRow="1" w:lastRow="0" w:firstColumn="1" w:lastColumn="0" w:noHBand="0" w:noVBand="1"/>
      </w:tblPr>
      <w:tblGrid>
        <w:gridCol w:w="1526"/>
        <w:gridCol w:w="1851"/>
        <w:gridCol w:w="1851"/>
        <w:gridCol w:w="1851"/>
        <w:gridCol w:w="1851"/>
      </w:tblGrid>
      <w:tr w:rsidR="00B01102" w:rsidRPr="00C24ACA" w:rsidTr="004C02E0">
        <w:tc>
          <w:tcPr>
            <w:tcW w:w="1526" w:type="dxa"/>
            <w:vMerge w:val="restart"/>
            <w:vAlign w:val="center"/>
          </w:tcPr>
          <w:p w:rsidR="00B01102" w:rsidRPr="00C24ACA" w:rsidRDefault="00B01102" w:rsidP="00145CAE">
            <w:pPr>
              <w:jc w:val="center"/>
              <w:rPr>
                <w:rFonts w:eastAsiaTheme="minorEastAsia"/>
                <w:kern w:val="0"/>
                <w:szCs w:val="21"/>
              </w:rPr>
            </w:pPr>
            <w:r w:rsidRPr="00C24ACA">
              <w:rPr>
                <w:rFonts w:eastAsiaTheme="minorEastAsia"/>
                <w:color w:val="000000"/>
                <w:szCs w:val="21"/>
              </w:rPr>
              <w:t>关联方名称</w:t>
            </w:r>
          </w:p>
        </w:tc>
        <w:tc>
          <w:tcPr>
            <w:tcW w:w="3702" w:type="dxa"/>
            <w:gridSpan w:val="2"/>
          </w:tcPr>
          <w:p w:rsidR="00B01102" w:rsidRPr="00C24ACA" w:rsidRDefault="00B01102" w:rsidP="00B01102">
            <w:pPr>
              <w:jc w:val="center"/>
              <w:rPr>
                <w:rFonts w:eastAsiaTheme="minorEastAsia"/>
                <w:color w:val="000000"/>
                <w:szCs w:val="21"/>
              </w:rPr>
            </w:pPr>
            <w:r w:rsidRPr="00C24ACA">
              <w:rPr>
                <w:rFonts w:eastAsiaTheme="minorEastAsia"/>
                <w:color w:val="000000"/>
                <w:szCs w:val="21"/>
              </w:rPr>
              <w:t>本期</w:t>
            </w:r>
          </w:p>
          <w:p w:rsidR="00B01102" w:rsidRPr="00C24ACA" w:rsidRDefault="00B01102" w:rsidP="00B01102">
            <w:pPr>
              <w:jc w:val="left"/>
              <w:rPr>
                <w:rFonts w:eastAsiaTheme="minorEastAsia"/>
                <w:kern w:val="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c>
          <w:tcPr>
            <w:tcW w:w="3702" w:type="dxa"/>
            <w:gridSpan w:val="2"/>
          </w:tcPr>
          <w:p w:rsidR="00B01102" w:rsidRPr="00C24ACA" w:rsidRDefault="00B01102" w:rsidP="00B01102">
            <w:pPr>
              <w:jc w:val="center"/>
              <w:rPr>
                <w:rFonts w:eastAsiaTheme="minorEastAsia"/>
                <w:color w:val="000000"/>
                <w:szCs w:val="21"/>
              </w:rPr>
            </w:pPr>
            <w:r w:rsidRPr="00C24ACA">
              <w:rPr>
                <w:rFonts w:eastAsiaTheme="minorEastAsia"/>
                <w:color w:val="000000"/>
                <w:szCs w:val="21"/>
              </w:rPr>
              <w:t>上年度可比期间</w:t>
            </w:r>
          </w:p>
          <w:p w:rsidR="00B01102" w:rsidRPr="00C24ACA" w:rsidRDefault="00B01102" w:rsidP="000E28C9">
            <w:pPr>
              <w:jc w:val="left"/>
              <w:rPr>
                <w:rFonts w:eastAsiaTheme="minorEastAsia"/>
                <w:kern w:val="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B01102" w:rsidRPr="00C24ACA" w:rsidTr="004C02E0">
        <w:tc>
          <w:tcPr>
            <w:tcW w:w="1526" w:type="dxa"/>
            <w:vMerge/>
          </w:tcPr>
          <w:p w:rsidR="00B01102" w:rsidRPr="00C24ACA" w:rsidRDefault="00B01102" w:rsidP="002116B9">
            <w:pPr>
              <w:jc w:val="left"/>
              <w:rPr>
                <w:rFonts w:eastAsiaTheme="minorEastAsia"/>
                <w:kern w:val="0"/>
                <w:szCs w:val="21"/>
              </w:rPr>
            </w:pP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期末余额</w:t>
            </w: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当期利息收入</w:t>
            </w: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期末余额</w:t>
            </w: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当期利息收入</w:t>
            </w:r>
          </w:p>
        </w:tc>
      </w:tr>
      <w:tr w:rsidR="00854133">
        <w:tc>
          <w:tcPr>
            <w:tcW w:w="1526" w:type="dxa"/>
            <w:vAlign w:val="center"/>
          </w:tcPr>
          <w:p w:rsidR="00854133" w:rsidRDefault="00581AA4">
            <w:pPr>
              <w:jc w:val="left"/>
            </w:pPr>
            <w:r>
              <w:rPr>
                <w:rFonts w:eastAsiaTheme="minorEastAsia"/>
                <w:szCs w:val="21"/>
              </w:rPr>
              <w:t>中国农业银行</w:t>
            </w:r>
            <w:r>
              <w:rPr>
                <w:rFonts w:eastAsiaTheme="minorEastAsia"/>
                <w:szCs w:val="21"/>
              </w:rPr>
              <w:t>-</w:t>
            </w:r>
            <w:r>
              <w:rPr>
                <w:rFonts w:eastAsiaTheme="minorEastAsia"/>
                <w:szCs w:val="21"/>
              </w:rPr>
              <w:t>活期存款</w:t>
            </w:r>
          </w:p>
        </w:tc>
        <w:tc>
          <w:tcPr>
            <w:tcW w:w="1851" w:type="dxa"/>
            <w:vAlign w:val="center"/>
          </w:tcPr>
          <w:p w:rsidR="00854133" w:rsidRDefault="00581AA4">
            <w:pPr>
              <w:jc w:val="right"/>
            </w:pPr>
            <w:r>
              <w:rPr>
                <w:rFonts w:eastAsiaTheme="minorEastAsia"/>
                <w:szCs w:val="21"/>
              </w:rPr>
              <w:t>8,363,182.05</w:t>
            </w:r>
          </w:p>
        </w:tc>
        <w:tc>
          <w:tcPr>
            <w:tcW w:w="1851" w:type="dxa"/>
            <w:vAlign w:val="center"/>
          </w:tcPr>
          <w:p w:rsidR="00854133" w:rsidRDefault="00581AA4">
            <w:pPr>
              <w:jc w:val="right"/>
            </w:pPr>
            <w:r>
              <w:rPr>
                <w:rFonts w:eastAsiaTheme="minorEastAsia"/>
                <w:szCs w:val="21"/>
              </w:rPr>
              <w:t>68,058.99</w:t>
            </w:r>
          </w:p>
        </w:tc>
        <w:tc>
          <w:tcPr>
            <w:tcW w:w="1851" w:type="dxa"/>
            <w:vAlign w:val="center"/>
          </w:tcPr>
          <w:p w:rsidR="00854133" w:rsidRDefault="00581AA4">
            <w:pPr>
              <w:jc w:val="right"/>
            </w:pPr>
            <w:r>
              <w:rPr>
                <w:rFonts w:eastAsiaTheme="minorEastAsia"/>
                <w:szCs w:val="21"/>
              </w:rPr>
              <w:t>57,844,321.96</w:t>
            </w:r>
          </w:p>
        </w:tc>
        <w:tc>
          <w:tcPr>
            <w:tcW w:w="1851" w:type="dxa"/>
            <w:vAlign w:val="center"/>
          </w:tcPr>
          <w:p w:rsidR="00854133" w:rsidRDefault="00581AA4">
            <w:pPr>
              <w:jc w:val="right"/>
            </w:pPr>
            <w:r>
              <w:rPr>
                <w:rFonts w:eastAsiaTheme="minorEastAsia"/>
                <w:szCs w:val="21"/>
              </w:rPr>
              <w:t>21,859.41</w:t>
            </w:r>
          </w:p>
        </w:tc>
      </w:tr>
      <w:tr w:rsidR="00854133">
        <w:tc>
          <w:tcPr>
            <w:tcW w:w="1526" w:type="dxa"/>
            <w:vAlign w:val="center"/>
          </w:tcPr>
          <w:p w:rsidR="00854133" w:rsidRDefault="00581AA4">
            <w:pPr>
              <w:jc w:val="left"/>
            </w:pPr>
            <w:r>
              <w:rPr>
                <w:rFonts w:eastAsiaTheme="minorEastAsia"/>
                <w:szCs w:val="21"/>
              </w:rPr>
              <w:t>汇丰银行</w:t>
            </w:r>
            <w:r>
              <w:rPr>
                <w:rFonts w:eastAsiaTheme="minorEastAsia"/>
                <w:szCs w:val="21"/>
              </w:rPr>
              <w:t>-</w:t>
            </w:r>
            <w:r>
              <w:rPr>
                <w:rFonts w:eastAsiaTheme="minorEastAsia"/>
                <w:szCs w:val="21"/>
              </w:rPr>
              <w:t>活期存款</w:t>
            </w:r>
          </w:p>
        </w:tc>
        <w:tc>
          <w:tcPr>
            <w:tcW w:w="1851" w:type="dxa"/>
            <w:vAlign w:val="center"/>
          </w:tcPr>
          <w:p w:rsidR="00854133" w:rsidRDefault="00581AA4">
            <w:pPr>
              <w:jc w:val="right"/>
            </w:pPr>
            <w:r>
              <w:rPr>
                <w:rFonts w:eastAsiaTheme="minorEastAsia"/>
                <w:szCs w:val="21"/>
              </w:rPr>
              <w:t>37,917,090.22</w:t>
            </w:r>
          </w:p>
        </w:tc>
        <w:tc>
          <w:tcPr>
            <w:tcW w:w="1851" w:type="dxa"/>
            <w:vAlign w:val="center"/>
          </w:tcPr>
          <w:p w:rsidR="00854133" w:rsidRDefault="00581AA4">
            <w:pPr>
              <w:jc w:val="right"/>
            </w:pPr>
            <w:r>
              <w:rPr>
                <w:rFonts w:eastAsiaTheme="minorEastAsia"/>
                <w:szCs w:val="21"/>
              </w:rPr>
              <w:t>22,204.71</w:t>
            </w:r>
          </w:p>
        </w:tc>
        <w:tc>
          <w:tcPr>
            <w:tcW w:w="1851" w:type="dxa"/>
            <w:vAlign w:val="center"/>
          </w:tcPr>
          <w:p w:rsidR="00854133" w:rsidRDefault="00581AA4">
            <w:pPr>
              <w:jc w:val="right"/>
            </w:pPr>
            <w:r>
              <w:rPr>
                <w:rFonts w:eastAsiaTheme="minorEastAsia"/>
                <w:szCs w:val="21"/>
              </w:rPr>
              <w:t>10,032,473.02</w:t>
            </w:r>
          </w:p>
        </w:tc>
        <w:tc>
          <w:tcPr>
            <w:tcW w:w="1851" w:type="dxa"/>
            <w:vAlign w:val="center"/>
          </w:tcPr>
          <w:p w:rsidR="00854133" w:rsidRDefault="00581AA4">
            <w:pPr>
              <w:jc w:val="right"/>
            </w:pPr>
            <w:r>
              <w:rPr>
                <w:rFonts w:eastAsiaTheme="minorEastAsia"/>
                <w:szCs w:val="21"/>
              </w:rPr>
              <w:t>98,497.97</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注：本基金的上述银行存款由基金托管人中国农业银行股份有限公司和香港上海汇丰银行有限公司保管，按银行同业利率或约定利率计息。</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6.4.10.6</w:t>
      </w:r>
      <w:r w:rsidRPr="00C24ACA">
        <w:rPr>
          <w:rFonts w:eastAsiaTheme="minorEastAsia"/>
          <w:b/>
          <w:bCs/>
          <w:color w:val="000000"/>
          <w:szCs w:val="21"/>
        </w:rPr>
        <w:t>本基金在承销期内参与关联方承销证券的情况</w:t>
      </w:r>
    </w:p>
    <w:p w:rsidR="008A5A5D" w:rsidRPr="00C24ACA" w:rsidRDefault="00EF6CFA"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本基金本报告期及上年度可比期间未在承销期内参与关联方承销证券。</w:t>
      </w:r>
    </w:p>
    <w:p w:rsidR="00AE3215" w:rsidRPr="00A73188" w:rsidRDefault="00AE3215" w:rsidP="00732F5C">
      <w:pPr>
        <w:adjustRightInd w:val="0"/>
        <w:snapToGrid w:val="0"/>
        <w:spacing w:beforeLines="100" w:before="312" w:line="360" w:lineRule="auto"/>
        <w:rPr>
          <w:rFonts w:eastAsiaTheme="minorEastAsia"/>
          <w:b/>
          <w:color w:val="000000" w:themeColor="text1"/>
          <w:szCs w:val="21"/>
        </w:rPr>
      </w:pPr>
      <w:r w:rsidRPr="00A73188">
        <w:rPr>
          <w:rFonts w:eastAsiaTheme="minorEastAsia"/>
          <w:b/>
          <w:bCs/>
          <w:color w:val="000000" w:themeColor="text1"/>
          <w:kern w:val="0"/>
          <w:szCs w:val="21"/>
        </w:rPr>
        <w:t xml:space="preserve">6.4.10.7 </w:t>
      </w:r>
      <w:r w:rsidRPr="00A73188">
        <w:rPr>
          <w:rFonts w:eastAsiaTheme="minorEastAsia"/>
          <w:b/>
          <w:color w:val="000000" w:themeColor="text1"/>
          <w:szCs w:val="21"/>
        </w:rPr>
        <w:t>其他关联交易事项的说明</w:t>
      </w:r>
    </w:p>
    <w:p w:rsidR="00AE3215" w:rsidRPr="00A73188" w:rsidRDefault="00AE3215" w:rsidP="00AE3215">
      <w:pPr>
        <w:adjustRightInd w:val="0"/>
        <w:snapToGrid w:val="0"/>
        <w:spacing w:line="360" w:lineRule="auto"/>
        <w:rPr>
          <w:rFonts w:eastAsiaTheme="minorEastAsia"/>
          <w:b/>
          <w:color w:val="000000" w:themeColor="text1"/>
          <w:szCs w:val="21"/>
        </w:rPr>
      </w:pPr>
      <w:r w:rsidRPr="00A73188">
        <w:rPr>
          <w:rFonts w:eastAsiaTheme="minorEastAsia"/>
          <w:b/>
          <w:bCs/>
          <w:color w:val="000000" w:themeColor="text1"/>
          <w:kern w:val="0"/>
          <w:szCs w:val="21"/>
        </w:rPr>
        <w:t>6.4.10.7</w:t>
      </w:r>
      <w:r w:rsidRPr="00A73188">
        <w:rPr>
          <w:rFonts w:eastAsiaTheme="minorEastAsia" w:hint="eastAsia"/>
          <w:b/>
          <w:bCs/>
          <w:color w:val="000000" w:themeColor="text1"/>
          <w:kern w:val="0"/>
          <w:szCs w:val="21"/>
        </w:rPr>
        <w:t xml:space="preserve">.1 </w:t>
      </w:r>
      <w:r w:rsidRPr="00A73188">
        <w:rPr>
          <w:rFonts w:eastAsiaTheme="minorEastAsia"/>
          <w:b/>
          <w:color w:val="000000" w:themeColor="text1"/>
          <w:szCs w:val="21"/>
        </w:rPr>
        <w:t>其他关联交易事项的说明</w:t>
      </w:r>
    </w:p>
    <w:p w:rsidR="00AE3215" w:rsidRPr="001412CA" w:rsidRDefault="00AE3215"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无。</w:t>
      </w:r>
    </w:p>
    <w:p w:rsidR="00CC3588" w:rsidRDefault="008A5A5D" w:rsidP="00CC3588">
      <w:pPr>
        <w:adjustRightInd w:val="0"/>
        <w:snapToGrid w:val="0"/>
        <w:spacing w:beforeLines="50" w:before="156" w:line="360" w:lineRule="auto"/>
        <w:rPr>
          <w:rFonts w:eastAsiaTheme="minorEastAsia"/>
          <w:b/>
          <w:bCs/>
          <w:color w:val="000000"/>
          <w:szCs w:val="21"/>
        </w:rPr>
      </w:pPr>
      <w:r w:rsidRPr="00C24ACA">
        <w:rPr>
          <w:rFonts w:eastAsiaTheme="minorEastAsia"/>
          <w:b/>
          <w:bCs/>
          <w:color w:val="000000"/>
          <w:kern w:val="0"/>
          <w:szCs w:val="21"/>
        </w:rPr>
        <w:t>6.4.11</w:t>
      </w:r>
      <w:r w:rsidRPr="00C24ACA">
        <w:rPr>
          <w:rFonts w:eastAsiaTheme="minorEastAsia"/>
          <w:b/>
          <w:bCs/>
          <w:color w:val="000000"/>
          <w:szCs w:val="21"/>
        </w:rPr>
        <w:t>利润分配情况</w:t>
      </w:r>
    </w:p>
    <w:p w:rsidR="00CC3588" w:rsidRDefault="00CC3588" w:rsidP="00CC3588">
      <w:pPr>
        <w:adjustRightInd w:val="0"/>
        <w:snapToGrid w:val="0"/>
        <w:spacing w:line="288" w:lineRule="auto"/>
        <w:ind w:firstLineChars="200" w:firstLine="422"/>
        <w:rPr>
          <w:rFonts w:eastAsiaTheme="minorEastAsia"/>
          <w:b/>
          <w:color w:val="000000"/>
          <w:szCs w:val="21"/>
        </w:rPr>
      </w:pPr>
      <w:r>
        <w:rPr>
          <w:rFonts w:eastAsiaTheme="minorEastAsia"/>
          <w:b/>
          <w:color w:val="000000"/>
          <w:szCs w:val="21"/>
        </w:rPr>
        <w:t>易方达黄金主题（</w:t>
      </w:r>
      <w:r>
        <w:rPr>
          <w:rFonts w:eastAsiaTheme="minorEastAsia"/>
          <w:b/>
          <w:color w:val="000000"/>
          <w:szCs w:val="21"/>
        </w:rPr>
        <w:t>QDII-LOF-FOF</w:t>
      </w:r>
      <w:r>
        <w:rPr>
          <w:rFonts w:eastAsiaTheme="minorEastAsia"/>
          <w:b/>
          <w:color w:val="000000"/>
          <w:szCs w:val="21"/>
        </w:rPr>
        <w:t>）</w:t>
      </w:r>
      <w:r>
        <w:rPr>
          <w:rFonts w:eastAsiaTheme="minorEastAsia"/>
          <w:b/>
          <w:color w:val="000000"/>
          <w:szCs w:val="21"/>
        </w:rPr>
        <w:t>A</w:t>
      </w:r>
    </w:p>
    <w:p w:rsidR="00CC3588" w:rsidRDefault="00CC3588" w:rsidP="00CC3588">
      <w:pPr>
        <w:tabs>
          <w:tab w:val="left" w:pos="426"/>
        </w:tabs>
        <w:spacing w:line="360" w:lineRule="auto"/>
        <w:ind w:firstLineChars="200" w:firstLine="420"/>
        <w:jc w:val="left"/>
        <w:rPr>
          <w:kern w:val="0"/>
          <w:szCs w:val="21"/>
        </w:rPr>
      </w:pPr>
      <w:r>
        <w:rPr>
          <w:kern w:val="0"/>
          <w:szCs w:val="21"/>
        </w:rPr>
        <w:t>本报告期内未发生利润分配。</w:t>
      </w:r>
    </w:p>
    <w:p w:rsidR="00CC3588" w:rsidRDefault="00CC3588" w:rsidP="00CC3588">
      <w:pPr>
        <w:adjustRightInd w:val="0"/>
        <w:snapToGrid w:val="0"/>
        <w:spacing w:line="288" w:lineRule="auto"/>
        <w:ind w:firstLineChars="200" w:firstLine="422"/>
        <w:rPr>
          <w:rFonts w:eastAsiaTheme="minorEastAsia"/>
          <w:b/>
          <w:color w:val="000000"/>
          <w:szCs w:val="21"/>
        </w:rPr>
      </w:pPr>
      <w:r>
        <w:rPr>
          <w:rFonts w:eastAsiaTheme="minorEastAsia"/>
          <w:b/>
          <w:color w:val="000000"/>
          <w:szCs w:val="21"/>
        </w:rPr>
        <w:t>易方达黄金主题（</w:t>
      </w:r>
      <w:r>
        <w:rPr>
          <w:rFonts w:eastAsiaTheme="minorEastAsia"/>
          <w:b/>
          <w:color w:val="000000"/>
          <w:szCs w:val="21"/>
        </w:rPr>
        <w:t>QDII-LOF-FOF</w:t>
      </w:r>
      <w:r>
        <w:rPr>
          <w:rFonts w:eastAsiaTheme="minorEastAsia"/>
          <w:b/>
          <w:color w:val="000000"/>
          <w:szCs w:val="21"/>
        </w:rPr>
        <w:t>）</w:t>
      </w:r>
      <w:r>
        <w:rPr>
          <w:rFonts w:eastAsiaTheme="minorEastAsia"/>
          <w:b/>
          <w:color w:val="000000"/>
          <w:szCs w:val="21"/>
        </w:rPr>
        <w:t>C</w:t>
      </w:r>
    </w:p>
    <w:p w:rsidR="00CC3588" w:rsidRDefault="00CC3588" w:rsidP="00CC3588">
      <w:pPr>
        <w:tabs>
          <w:tab w:val="left" w:pos="426"/>
        </w:tabs>
        <w:spacing w:line="360" w:lineRule="auto"/>
        <w:ind w:firstLineChars="200" w:firstLine="420"/>
        <w:rPr>
          <w:rFonts w:eastAsiaTheme="minorEastAsia"/>
          <w:kern w:val="0"/>
          <w:szCs w:val="21"/>
        </w:rPr>
      </w:pPr>
      <w:r>
        <w:rPr>
          <w:kern w:val="0"/>
          <w:szCs w:val="21"/>
        </w:rPr>
        <w:t>本报告期内未发生利润分配。</w:t>
      </w:r>
    </w:p>
    <w:p w:rsidR="008A5A5D" w:rsidRPr="00C24ACA" w:rsidRDefault="008A5A5D" w:rsidP="00CC3588">
      <w:pPr>
        <w:adjustRightInd w:val="0"/>
        <w:snapToGrid w:val="0"/>
        <w:spacing w:beforeLines="50" w:before="156" w:line="360" w:lineRule="auto"/>
        <w:rPr>
          <w:rFonts w:eastAsiaTheme="minorEastAsia"/>
          <w:b/>
          <w:bCs/>
          <w:color w:val="000000"/>
          <w:szCs w:val="21"/>
        </w:rPr>
      </w:pPr>
      <w:r w:rsidRPr="00C24ACA">
        <w:rPr>
          <w:rFonts w:eastAsiaTheme="minorEastAsia"/>
          <w:b/>
          <w:bCs/>
          <w:color w:val="000000"/>
          <w:kern w:val="0"/>
          <w:szCs w:val="21"/>
        </w:rPr>
        <w:t>6.4.12</w:t>
      </w:r>
      <w:r w:rsidRPr="00C24ACA">
        <w:rPr>
          <w:rFonts w:eastAsiaTheme="minorEastAsia"/>
          <w:b/>
          <w:bCs/>
          <w:color w:val="000000"/>
          <w:szCs w:val="21"/>
        </w:rPr>
        <w:t>期末（</w:t>
      </w:r>
      <w:r w:rsidR="00AC4A34" w:rsidRPr="00C24ACA">
        <w:rPr>
          <w:rFonts w:eastAsiaTheme="minorEastAsia"/>
          <w:b/>
          <w:bCs/>
          <w:color w:val="000000"/>
          <w:szCs w:val="21"/>
        </w:rPr>
        <w:t>2020</w:t>
      </w:r>
      <w:r w:rsidR="00AC4A34" w:rsidRPr="00C24ACA">
        <w:rPr>
          <w:rFonts w:eastAsiaTheme="minorEastAsia"/>
          <w:b/>
          <w:bCs/>
          <w:color w:val="000000"/>
          <w:szCs w:val="21"/>
        </w:rPr>
        <w:t>年</w:t>
      </w:r>
      <w:r w:rsidR="00AC4A34" w:rsidRPr="00C24ACA">
        <w:rPr>
          <w:rFonts w:eastAsiaTheme="minorEastAsia"/>
          <w:b/>
          <w:bCs/>
          <w:color w:val="000000"/>
          <w:szCs w:val="21"/>
        </w:rPr>
        <w:t>6</w:t>
      </w:r>
      <w:r w:rsidR="00AC4A34" w:rsidRPr="00C24ACA">
        <w:rPr>
          <w:rFonts w:eastAsiaTheme="minorEastAsia"/>
          <w:b/>
          <w:bCs/>
          <w:color w:val="000000"/>
          <w:szCs w:val="21"/>
        </w:rPr>
        <w:t>月</w:t>
      </w:r>
      <w:r w:rsidR="00AC4A34" w:rsidRPr="00C24ACA">
        <w:rPr>
          <w:rFonts w:eastAsiaTheme="minorEastAsia"/>
          <w:b/>
          <w:bCs/>
          <w:color w:val="000000"/>
          <w:szCs w:val="21"/>
        </w:rPr>
        <w:t>30</w:t>
      </w:r>
      <w:r w:rsidR="00AC4A34" w:rsidRPr="00C24ACA">
        <w:rPr>
          <w:rFonts w:eastAsiaTheme="minorEastAsia"/>
          <w:b/>
          <w:bCs/>
          <w:color w:val="000000"/>
          <w:szCs w:val="21"/>
        </w:rPr>
        <w:t>日</w:t>
      </w:r>
      <w:r w:rsidRPr="00C24ACA">
        <w:rPr>
          <w:rFonts w:eastAsiaTheme="minorEastAsia"/>
          <w:b/>
          <w:bCs/>
          <w:color w:val="000000"/>
          <w:szCs w:val="21"/>
        </w:rPr>
        <w:t>）本基金持有的流通受限证券</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t>6.4.12.1</w:t>
      </w:r>
      <w:r w:rsidRPr="00C24ACA">
        <w:rPr>
          <w:rFonts w:eastAsiaTheme="minorEastAsia"/>
          <w:b/>
          <w:bCs/>
          <w:color w:val="000000"/>
          <w:szCs w:val="21"/>
        </w:rPr>
        <w:t>因认购新发</w:t>
      </w:r>
      <w:r w:rsidRPr="00C24ACA">
        <w:rPr>
          <w:rFonts w:eastAsiaTheme="minorEastAsia"/>
          <w:b/>
          <w:bCs/>
          <w:color w:val="000000"/>
          <w:szCs w:val="21"/>
        </w:rPr>
        <w:t>/</w:t>
      </w:r>
      <w:r w:rsidRPr="00C24ACA">
        <w:rPr>
          <w:rFonts w:eastAsiaTheme="minorEastAsia"/>
          <w:b/>
          <w:bCs/>
          <w:color w:val="000000"/>
          <w:szCs w:val="21"/>
        </w:rPr>
        <w:t>增发证券而于期末持有的流通受限证券</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本基金无因认购新发</w:t>
      </w:r>
      <w:r w:rsidRPr="00C24ACA">
        <w:rPr>
          <w:rFonts w:eastAsiaTheme="minorEastAsia"/>
          <w:kern w:val="0"/>
          <w:szCs w:val="21"/>
        </w:rPr>
        <w:t>/</w:t>
      </w:r>
      <w:r w:rsidRPr="00C24ACA">
        <w:rPr>
          <w:rFonts w:eastAsiaTheme="minorEastAsia"/>
          <w:kern w:val="0"/>
          <w:szCs w:val="21"/>
        </w:rPr>
        <w:t>增发证券而于期末持有的流通受限证券。</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6.4.12.2</w:t>
      </w:r>
      <w:r w:rsidRPr="00C24ACA">
        <w:rPr>
          <w:rFonts w:eastAsiaTheme="minorEastAsia"/>
          <w:b/>
          <w:bCs/>
          <w:color w:val="000000"/>
          <w:szCs w:val="21"/>
        </w:rPr>
        <w:t>期末持有的暂时停牌等流通受限股票</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本基金本报告期末未持有暂时停牌等流通受限股票。</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6.4.12.3</w:t>
      </w:r>
      <w:r w:rsidRPr="00C24ACA">
        <w:rPr>
          <w:rFonts w:eastAsiaTheme="minorEastAsia"/>
          <w:b/>
          <w:bCs/>
          <w:color w:val="000000"/>
          <w:szCs w:val="21"/>
        </w:rPr>
        <w:t>期末债券正回购交易中作为抵押的债券</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t>6.4.12.3.1</w:t>
      </w:r>
      <w:r w:rsidRPr="00C24ACA">
        <w:rPr>
          <w:rFonts w:eastAsiaTheme="minorEastAsia"/>
          <w:b/>
          <w:bCs/>
          <w:color w:val="000000"/>
          <w:szCs w:val="21"/>
        </w:rPr>
        <w:t>银行间市场债券正回购</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截至本报告期末</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日止，本基金从事银行间市场债券正回购交易形成的卖出回购证券款余额为</w:t>
      </w:r>
      <w:r w:rsidRPr="00C24ACA">
        <w:rPr>
          <w:rFonts w:eastAsiaTheme="minorEastAsia"/>
          <w:kern w:val="0"/>
          <w:szCs w:val="21"/>
        </w:rPr>
        <w:t>0</w:t>
      </w:r>
      <w:r w:rsidRPr="00C24ACA">
        <w:rPr>
          <w:rFonts w:eastAsiaTheme="minorEastAsia"/>
          <w:kern w:val="0"/>
          <w:szCs w:val="21"/>
        </w:rPr>
        <w:t>，无抵押债券。</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6.4.12.3.2</w:t>
      </w:r>
      <w:r w:rsidRPr="00C24ACA">
        <w:rPr>
          <w:rFonts w:eastAsiaTheme="minorEastAsia"/>
          <w:b/>
          <w:bCs/>
          <w:color w:val="000000"/>
          <w:szCs w:val="21"/>
        </w:rPr>
        <w:t>交易所市场债券正回购</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截至本报告期末</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日止，本基金从事证券交易所债券正回购交易形成的卖出回购证券款余额为</w:t>
      </w:r>
      <w:r w:rsidRPr="00C24ACA">
        <w:rPr>
          <w:rFonts w:eastAsiaTheme="minorEastAsia"/>
          <w:kern w:val="0"/>
          <w:szCs w:val="21"/>
        </w:rPr>
        <w:t>0</w:t>
      </w:r>
      <w:r w:rsidRPr="00C24ACA">
        <w:rPr>
          <w:rFonts w:eastAsiaTheme="minorEastAsia"/>
          <w:kern w:val="0"/>
          <w:szCs w:val="21"/>
        </w:rPr>
        <w:t>，无抵押债券。</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w:t>
      </w:r>
      <w:r w:rsidRPr="00C24ACA">
        <w:rPr>
          <w:rFonts w:eastAsiaTheme="minorEastAsia"/>
          <w:b/>
          <w:bCs/>
          <w:color w:val="000000"/>
          <w:szCs w:val="21"/>
        </w:rPr>
        <w:t>金融工具风险及管理</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6.4.13.1</w:t>
      </w:r>
      <w:r w:rsidRPr="00C24ACA">
        <w:rPr>
          <w:rFonts w:eastAsiaTheme="minorEastAsia"/>
          <w:b/>
          <w:bCs/>
          <w:color w:val="000000"/>
          <w:szCs w:val="21"/>
        </w:rPr>
        <w:t>风险管理政策和组织架构</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本基金管理人按照</w:t>
      </w:r>
      <w:r>
        <w:rPr>
          <w:rFonts w:eastAsiaTheme="minorEastAsia"/>
          <w:kern w:val="0"/>
          <w:szCs w:val="21"/>
        </w:rPr>
        <w:t>“</w:t>
      </w:r>
      <w:r>
        <w:rPr>
          <w:rFonts w:eastAsiaTheme="minorEastAsia"/>
          <w:kern w:val="0"/>
          <w:szCs w:val="21"/>
        </w:rPr>
        <w:t>自上而下与自下而上相结合，全面管理、专业分工</w:t>
      </w:r>
      <w:r>
        <w:rPr>
          <w:rFonts w:eastAsiaTheme="minorEastAsia"/>
          <w:kern w:val="0"/>
          <w:szCs w:val="21"/>
        </w:rPr>
        <w:t>”</w:t>
      </w:r>
      <w:r>
        <w:rPr>
          <w:rFonts w:eastAsiaTheme="minorEastAsia"/>
          <w:kern w:val="0"/>
          <w:szCs w:val="21"/>
        </w:rPr>
        <w:t>的思路，将风险控制嵌入到全公司的组织架构中，对风险实行多层次、多角度、全方位的管理。</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rFonts w:eastAsiaTheme="minorEastAsia"/>
          <w:kern w:val="0"/>
          <w:szCs w:val="21"/>
        </w:rPr>
        <w:t>“</w:t>
      </w:r>
      <w:r>
        <w:rPr>
          <w:rFonts w:eastAsiaTheme="minorEastAsia"/>
          <w:kern w:val="0"/>
          <w:szCs w:val="21"/>
        </w:rPr>
        <w:t>事前的风险定位、事中的风险管理和事后的风险评估</w:t>
      </w:r>
      <w:r>
        <w:rPr>
          <w:rFonts w:eastAsiaTheme="minorEastAsia"/>
          <w:kern w:val="0"/>
          <w:szCs w:val="21"/>
        </w:rPr>
        <w:t>”</w:t>
      </w:r>
      <w:r>
        <w:rPr>
          <w:rFonts w:eastAsiaTheme="minorEastAsia"/>
          <w:kern w:val="0"/>
          <w:szCs w:val="21"/>
        </w:rPr>
        <w:t>的健全的风险监控体系。</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本基金为基金中基金，其投资于基金的资产合计不低于本基金基金资产净值的</w:t>
      </w:r>
      <w:r w:rsidRPr="00C24ACA">
        <w:rPr>
          <w:rFonts w:eastAsiaTheme="minorEastAsia"/>
          <w:kern w:val="0"/>
          <w:szCs w:val="21"/>
        </w:rPr>
        <w:t>60%</w:t>
      </w:r>
      <w:r w:rsidRPr="00C24ACA">
        <w:rPr>
          <w:rFonts w:eastAsiaTheme="minorEastAsia"/>
          <w:kern w:val="0"/>
          <w:szCs w:val="21"/>
        </w:rPr>
        <w:t>，投资于基金的资产中不低于</w:t>
      </w:r>
      <w:r w:rsidRPr="00C24ACA">
        <w:rPr>
          <w:rFonts w:eastAsiaTheme="minorEastAsia"/>
          <w:kern w:val="0"/>
          <w:szCs w:val="21"/>
        </w:rPr>
        <w:t>80%</w:t>
      </w:r>
      <w:r w:rsidRPr="00C24ACA">
        <w:rPr>
          <w:rFonts w:eastAsiaTheme="minorEastAsia"/>
          <w:kern w:val="0"/>
          <w:szCs w:val="21"/>
        </w:rPr>
        <w:t>投资于黄金基金，因此，本基金的表现与黄金价格相关性较高，历史上黄金价格波幅较大，波动周期较长，预期收益可能长期超过或低于股票、债券等传统金融资产，因此本基金是预期收益与预期风险较高的基金品种。</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6.4.13.2</w:t>
      </w:r>
      <w:r w:rsidRPr="00C24ACA">
        <w:rPr>
          <w:rFonts w:eastAsiaTheme="minorEastAsia"/>
          <w:b/>
          <w:bCs/>
          <w:color w:val="000000"/>
          <w:szCs w:val="21"/>
        </w:rPr>
        <w:t>信用风险</w:t>
      </w:r>
    </w:p>
    <w:p w:rsidR="00854133" w:rsidRDefault="00581AA4">
      <w:pPr>
        <w:tabs>
          <w:tab w:val="left" w:pos="426"/>
        </w:tabs>
        <w:spacing w:line="360" w:lineRule="auto"/>
        <w:ind w:firstLineChars="200" w:firstLine="420"/>
        <w:rPr>
          <w:kern w:val="0"/>
          <w:szCs w:val="21"/>
        </w:rPr>
      </w:pPr>
      <w:r>
        <w:rPr>
          <w:rFonts w:eastAsiaTheme="minorEastAsia"/>
          <w:kern w:val="0"/>
          <w:szCs w:val="21"/>
        </w:rPr>
        <w:t>信用风险是指基金在交易过程发生交收违约，或者基金所投资证券之发行人出现违约、拒绝支付到期本息，导致基金资产损失和收益变化的风险。基金管理人通过对交易对手（包括存款银行）、证券发行人的信用评级进行跟踪，防范信用风险的发生。</w:t>
      </w:r>
    </w:p>
    <w:p w:rsidR="00831CAC" w:rsidRDefault="008A5A5D" w:rsidP="00831CAC">
      <w:pPr>
        <w:tabs>
          <w:tab w:val="left" w:pos="426"/>
        </w:tabs>
        <w:spacing w:line="360" w:lineRule="auto"/>
        <w:ind w:firstLineChars="200" w:firstLine="420"/>
        <w:rPr>
          <w:kern w:val="0"/>
          <w:szCs w:val="21"/>
        </w:rPr>
      </w:pPr>
      <w:r w:rsidRPr="00C24ACA">
        <w:rPr>
          <w:rFonts w:eastAsiaTheme="minorEastAsia"/>
          <w:kern w:val="0"/>
          <w:szCs w:val="21"/>
        </w:rPr>
        <w:t>于</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日，本基金持有的除国债、央行票据和政策性金融债以外的债券占基金资产净值的比例为</w:t>
      </w:r>
      <w:r w:rsidRPr="00C24ACA">
        <w:rPr>
          <w:rFonts w:eastAsiaTheme="minorEastAsia"/>
          <w:kern w:val="0"/>
          <w:szCs w:val="21"/>
        </w:rPr>
        <w:t>0.00%(2019</w:t>
      </w:r>
      <w:r w:rsidRPr="00C24ACA">
        <w:rPr>
          <w:rFonts w:eastAsiaTheme="minorEastAsia"/>
          <w:kern w:val="0"/>
          <w:szCs w:val="21"/>
        </w:rPr>
        <w:t>年</w:t>
      </w:r>
      <w:r w:rsidRPr="00C24ACA">
        <w:rPr>
          <w:rFonts w:eastAsiaTheme="minorEastAsia"/>
          <w:kern w:val="0"/>
          <w:szCs w:val="21"/>
        </w:rPr>
        <w:t>12</w:t>
      </w:r>
      <w:r w:rsidRPr="00C24ACA">
        <w:rPr>
          <w:rFonts w:eastAsiaTheme="minorEastAsia"/>
          <w:kern w:val="0"/>
          <w:szCs w:val="21"/>
        </w:rPr>
        <w:t>月</w:t>
      </w:r>
      <w:r w:rsidRPr="00C24ACA">
        <w:rPr>
          <w:rFonts w:eastAsiaTheme="minorEastAsia"/>
          <w:kern w:val="0"/>
          <w:szCs w:val="21"/>
        </w:rPr>
        <w:t>31</w:t>
      </w:r>
      <w:r w:rsidRPr="00C24ACA">
        <w:rPr>
          <w:rFonts w:eastAsiaTheme="minorEastAsia"/>
          <w:kern w:val="0"/>
          <w:szCs w:val="21"/>
        </w:rPr>
        <w:t>日：</w:t>
      </w:r>
      <w:r w:rsidRPr="00C24ACA">
        <w:rPr>
          <w:rFonts w:eastAsiaTheme="minorEastAsia"/>
          <w:kern w:val="0"/>
          <w:szCs w:val="21"/>
        </w:rPr>
        <w:t>0.00%)</w:t>
      </w:r>
      <w:r w:rsidRPr="00C24ACA">
        <w:rPr>
          <w:rFonts w:eastAsiaTheme="minorEastAsia"/>
          <w:kern w:val="0"/>
          <w:szCs w:val="21"/>
        </w:rPr>
        <w:t>。</w:t>
      </w:r>
    </w:p>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6.4.13.2.1 </w:t>
      </w:r>
      <w:r w:rsidRPr="00BD7906">
        <w:rPr>
          <w:rFonts w:eastAsiaTheme="minorEastAsia" w:hint="eastAsia"/>
          <w:b/>
          <w:color w:val="000000"/>
          <w:szCs w:val="21"/>
        </w:rPr>
        <w:t>按短期信用评级列示的债券投资</w:t>
      </w:r>
    </w:p>
    <w:p w:rsidR="00831CAC" w:rsidRDefault="00831CAC" w:rsidP="00831CAC">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831CAC" w:rsidTr="00A218AC">
        <w:trPr>
          <w:jc w:val="center"/>
        </w:trPr>
        <w:tc>
          <w:tcPr>
            <w:tcW w:w="2552" w:type="dxa"/>
            <w:vAlign w:val="center"/>
            <w:hideMark/>
          </w:tcPr>
          <w:p w:rsidR="00831CAC" w:rsidRDefault="00831CAC">
            <w:pPr>
              <w:jc w:val="center"/>
              <w:rPr>
                <w:szCs w:val="21"/>
              </w:rPr>
            </w:pPr>
            <w:r>
              <w:rPr>
                <w:rFonts w:hint="eastAsia"/>
                <w:szCs w:val="21"/>
              </w:rPr>
              <w:t>短期信用评级</w:t>
            </w:r>
          </w:p>
        </w:tc>
        <w:tc>
          <w:tcPr>
            <w:tcW w:w="3045" w:type="dxa"/>
            <w:vAlign w:val="center"/>
            <w:hideMark/>
          </w:tcPr>
          <w:p w:rsidR="00831CAC" w:rsidRDefault="00831CAC">
            <w:pPr>
              <w:widowControl/>
              <w:autoSpaceDE w:val="0"/>
              <w:autoSpaceDN w:val="0"/>
              <w:ind w:right="-15"/>
              <w:jc w:val="center"/>
              <w:textAlignment w:val="bottom"/>
              <w:rPr>
                <w:szCs w:val="21"/>
              </w:rPr>
            </w:pPr>
            <w:r>
              <w:rPr>
                <w:rFonts w:hint="eastAsia"/>
                <w:szCs w:val="21"/>
              </w:rPr>
              <w:t>本期末</w:t>
            </w:r>
          </w:p>
          <w:p w:rsidR="00831CAC" w:rsidRDefault="00831CAC">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831CAC" w:rsidRDefault="00831CAC">
            <w:pPr>
              <w:widowControl/>
              <w:autoSpaceDE w:val="0"/>
              <w:autoSpaceDN w:val="0"/>
              <w:ind w:right="-15"/>
              <w:jc w:val="center"/>
              <w:textAlignment w:val="bottom"/>
              <w:rPr>
                <w:szCs w:val="21"/>
              </w:rPr>
            </w:pPr>
            <w:r>
              <w:rPr>
                <w:rFonts w:hint="eastAsia"/>
                <w:szCs w:val="21"/>
              </w:rPr>
              <w:t>上年度末</w:t>
            </w:r>
          </w:p>
          <w:p w:rsidR="00831CAC" w:rsidRDefault="00831CAC">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31CAC" w:rsidTr="00A218AC">
        <w:trPr>
          <w:jc w:val="center"/>
        </w:trPr>
        <w:tc>
          <w:tcPr>
            <w:tcW w:w="2552" w:type="dxa"/>
            <w:vAlign w:val="center"/>
            <w:hideMark/>
          </w:tcPr>
          <w:p w:rsidR="00831CAC" w:rsidRDefault="00831CAC">
            <w:pPr>
              <w:rPr>
                <w:szCs w:val="21"/>
              </w:rPr>
            </w:pPr>
            <w:r>
              <w:rPr>
                <w:szCs w:val="21"/>
              </w:rPr>
              <w:t>A-1</w:t>
            </w:r>
          </w:p>
        </w:tc>
        <w:tc>
          <w:tcPr>
            <w:tcW w:w="3045" w:type="dxa"/>
            <w:vAlign w:val="center"/>
            <w:hideMark/>
          </w:tcPr>
          <w:p w:rsidR="00831CAC" w:rsidRDefault="00831CAC">
            <w:pPr>
              <w:jc w:val="right"/>
              <w:rPr>
                <w:szCs w:val="21"/>
              </w:rPr>
            </w:pPr>
            <w:r>
              <w:rPr>
                <w:szCs w:val="21"/>
              </w:rPr>
              <w:t>0.00</w:t>
            </w:r>
          </w:p>
        </w:tc>
        <w:tc>
          <w:tcPr>
            <w:tcW w:w="3043" w:type="dxa"/>
            <w:vAlign w:val="center"/>
            <w:hideMark/>
          </w:tcPr>
          <w:p w:rsidR="00831CAC" w:rsidRDefault="00831CAC">
            <w:pPr>
              <w:jc w:val="right"/>
              <w:rPr>
                <w:szCs w:val="21"/>
              </w:rPr>
            </w:pPr>
            <w:r>
              <w:rPr>
                <w:szCs w:val="21"/>
              </w:rPr>
              <w:t>0.00</w:t>
            </w:r>
          </w:p>
        </w:tc>
      </w:tr>
      <w:tr w:rsidR="00831CAC" w:rsidTr="00A218AC">
        <w:trPr>
          <w:jc w:val="center"/>
        </w:trPr>
        <w:tc>
          <w:tcPr>
            <w:tcW w:w="2552" w:type="dxa"/>
            <w:vAlign w:val="center"/>
            <w:hideMark/>
          </w:tcPr>
          <w:p w:rsidR="00831CAC" w:rsidRDefault="00831CAC">
            <w:pPr>
              <w:rPr>
                <w:szCs w:val="21"/>
              </w:rPr>
            </w:pPr>
            <w:r>
              <w:rPr>
                <w:szCs w:val="21"/>
              </w:rPr>
              <w:t>A-1</w:t>
            </w:r>
            <w:r>
              <w:rPr>
                <w:rFonts w:hint="eastAsia"/>
                <w:szCs w:val="21"/>
              </w:rPr>
              <w:t>以下</w:t>
            </w:r>
          </w:p>
        </w:tc>
        <w:tc>
          <w:tcPr>
            <w:tcW w:w="3045" w:type="dxa"/>
            <w:vAlign w:val="center"/>
            <w:hideMark/>
          </w:tcPr>
          <w:p w:rsidR="00831CAC" w:rsidRDefault="00831CAC">
            <w:pPr>
              <w:jc w:val="right"/>
              <w:rPr>
                <w:szCs w:val="21"/>
              </w:rPr>
            </w:pPr>
            <w:r>
              <w:rPr>
                <w:szCs w:val="21"/>
              </w:rPr>
              <w:t>0.00</w:t>
            </w:r>
          </w:p>
        </w:tc>
        <w:tc>
          <w:tcPr>
            <w:tcW w:w="3043" w:type="dxa"/>
            <w:vAlign w:val="center"/>
            <w:hideMark/>
          </w:tcPr>
          <w:p w:rsidR="00831CAC" w:rsidRDefault="00831CAC">
            <w:pPr>
              <w:jc w:val="right"/>
              <w:rPr>
                <w:szCs w:val="21"/>
              </w:rPr>
            </w:pPr>
            <w:r>
              <w:rPr>
                <w:szCs w:val="21"/>
              </w:rPr>
              <w:t>0.00</w:t>
            </w:r>
          </w:p>
        </w:tc>
      </w:tr>
      <w:tr w:rsidR="00831CAC" w:rsidTr="00A218AC">
        <w:trPr>
          <w:jc w:val="center"/>
        </w:trPr>
        <w:tc>
          <w:tcPr>
            <w:tcW w:w="2552" w:type="dxa"/>
            <w:vAlign w:val="center"/>
            <w:hideMark/>
          </w:tcPr>
          <w:p w:rsidR="00831CAC" w:rsidRDefault="00831CAC">
            <w:pPr>
              <w:rPr>
                <w:szCs w:val="21"/>
              </w:rPr>
            </w:pPr>
            <w:r>
              <w:rPr>
                <w:rFonts w:hint="eastAsia"/>
                <w:kern w:val="0"/>
                <w:szCs w:val="21"/>
              </w:rPr>
              <w:t>未评级</w:t>
            </w:r>
          </w:p>
        </w:tc>
        <w:tc>
          <w:tcPr>
            <w:tcW w:w="3045" w:type="dxa"/>
            <w:vAlign w:val="center"/>
            <w:hideMark/>
          </w:tcPr>
          <w:p w:rsidR="00831CAC" w:rsidRDefault="00831CAC">
            <w:pPr>
              <w:jc w:val="right"/>
              <w:rPr>
                <w:szCs w:val="21"/>
              </w:rPr>
            </w:pPr>
            <w:r>
              <w:rPr>
                <w:szCs w:val="21"/>
              </w:rPr>
              <w:t>20,465,667.47</w:t>
            </w:r>
          </w:p>
        </w:tc>
        <w:tc>
          <w:tcPr>
            <w:tcW w:w="3043" w:type="dxa"/>
            <w:vAlign w:val="center"/>
            <w:hideMark/>
          </w:tcPr>
          <w:p w:rsidR="00831CAC" w:rsidRDefault="00831CAC">
            <w:pPr>
              <w:jc w:val="right"/>
              <w:rPr>
                <w:szCs w:val="21"/>
              </w:rPr>
            </w:pPr>
            <w:r>
              <w:rPr>
                <w:szCs w:val="21"/>
              </w:rPr>
              <w:t>0.00</w:t>
            </w:r>
          </w:p>
        </w:tc>
      </w:tr>
      <w:tr w:rsidR="00831CAC" w:rsidTr="00A218AC">
        <w:trPr>
          <w:jc w:val="center"/>
        </w:trPr>
        <w:tc>
          <w:tcPr>
            <w:tcW w:w="2552" w:type="dxa"/>
            <w:vAlign w:val="center"/>
            <w:hideMark/>
          </w:tcPr>
          <w:p w:rsidR="00831CAC" w:rsidRDefault="00831CAC">
            <w:pPr>
              <w:rPr>
                <w:szCs w:val="21"/>
              </w:rPr>
            </w:pPr>
            <w:r>
              <w:rPr>
                <w:rFonts w:hint="eastAsia"/>
                <w:kern w:val="0"/>
                <w:szCs w:val="21"/>
              </w:rPr>
              <w:t>合计</w:t>
            </w:r>
          </w:p>
        </w:tc>
        <w:tc>
          <w:tcPr>
            <w:tcW w:w="3045" w:type="dxa"/>
            <w:vAlign w:val="center"/>
            <w:hideMark/>
          </w:tcPr>
          <w:p w:rsidR="00831CAC" w:rsidRDefault="00831CAC">
            <w:pPr>
              <w:jc w:val="right"/>
              <w:rPr>
                <w:szCs w:val="21"/>
              </w:rPr>
            </w:pPr>
            <w:r>
              <w:rPr>
                <w:szCs w:val="21"/>
              </w:rPr>
              <w:t>20,465,667.47</w:t>
            </w:r>
          </w:p>
        </w:tc>
        <w:tc>
          <w:tcPr>
            <w:tcW w:w="3043" w:type="dxa"/>
            <w:vAlign w:val="center"/>
            <w:hideMark/>
          </w:tcPr>
          <w:p w:rsidR="00831CAC" w:rsidRDefault="00831CAC">
            <w:pPr>
              <w:jc w:val="right"/>
              <w:rPr>
                <w:szCs w:val="21"/>
              </w:rPr>
            </w:pPr>
            <w:r>
              <w:rPr>
                <w:szCs w:val="21"/>
              </w:rPr>
              <w:t>0.00</w:t>
            </w:r>
          </w:p>
        </w:tc>
      </w:tr>
    </w:tbl>
    <w:p w:rsidR="00854133" w:rsidRDefault="00581AA4">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854133" w:rsidRDefault="00581AA4">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831CAC" w:rsidRDefault="00831CAC" w:rsidP="00831CAC">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6.4.13.2.2 </w:t>
      </w:r>
      <w:r w:rsidRPr="00BD7906">
        <w:rPr>
          <w:rFonts w:eastAsiaTheme="minorEastAsia" w:hint="eastAsia"/>
          <w:b/>
          <w:color w:val="000000"/>
          <w:szCs w:val="21"/>
        </w:rPr>
        <w:t>按短期信用评级列示的资产支持证券投资</w:t>
      </w:r>
    </w:p>
    <w:p w:rsidR="00831CAC" w:rsidRDefault="00831CAC" w:rsidP="00831CAC">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831CAC" w:rsidTr="00A218AC">
        <w:trPr>
          <w:jc w:val="center"/>
        </w:trPr>
        <w:tc>
          <w:tcPr>
            <w:tcW w:w="2552" w:type="dxa"/>
            <w:vAlign w:val="center"/>
            <w:hideMark/>
          </w:tcPr>
          <w:p w:rsidR="00831CAC" w:rsidRDefault="00831CAC">
            <w:pPr>
              <w:jc w:val="center"/>
              <w:rPr>
                <w:rFonts w:eastAsiaTheme="minorEastAsia"/>
                <w:szCs w:val="21"/>
              </w:rPr>
            </w:pPr>
            <w:r>
              <w:rPr>
                <w:rFonts w:eastAsiaTheme="minorEastAsia" w:hint="eastAsia"/>
                <w:szCs w:val="21"/>
              </w:rPr>
              <w:t>短期信用评级</w:t>
            </w:r>
          </w:p>
        </w:tc>
        <w:tc>
          <w:tcPr>
            <w:tcW w:w="3049"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31CAC" w:rsidTr="00A218AC">
        <w:trPr>
          <w:jc w:val="center"/>
        </w:trPr>
        <w:tc>
          <w:tcPr>
            <w:tcW w:w="2552" w:type="dxa"/>
            <w:hideMark/>
          </w:tcPr>
          <w:p w:rsidR="00831CAC" w:rsidRDefault="00831CAC">
            <w:pPr>
              <w:rPr>
                <w:rFonts w:eastAsiaTheme="minorEastAsia"/>
                <w:szCs w:val="21"/>
              </w:rPr>
            </w:pPr>
            <w:r>
              <w:rPr>
                <w:rFonts w:eastAsiaTheme="minorEastAsia"/>
                <w:szCs w:val="21"/>
              </w:rPr>
              <w:t>A-1</w:t>
            </w:r>
          </w:p>
        </w:tc>
        <w:tc>
          <w:tcPr>
            <w:tcW w:w="3049"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552" w:type="dxa"/>
            <w:hideMark/>
          </w:tcPr>
          <w:p w:rsidR="00831CAC" w:rsidRDefault="00831CAC">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552" w:type="dxa"/>
            <w:vAlign w:val="center"/>
            <w:hideMark/>
          </w:tcPr>
          <w:p w:rsidR="00831CAC" w:rsidRDefault="00831CAC">
            <w:pPr>
              <w:rPr>
                <w:rFonts w:eastAsiaTheme="minorEastAsia"/>
                <w:szCs w:val="21"/>
              </w:rPr>
            </w:pPr>
            <w:r>
              <w:rPr>
                <w:rFonts w:eastAsiaTheme="minorEastAsia" w:hint="eastAsia"/>
                <w:kern w:val="0"/>
                <w:szCs w:val="21"/>
              </w:rPr>
              <w:t>未评级</w:t>
            </w:r>
          </w:p>
        </w:tc>
        <w:tc>
          <w:tcPr>
            <w:tcW w:w="3049"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552" w:type="dxa"/>
            <w:vAlign w:val="center"/>
            <w:hideMark/>
          </w:tcPr>
          <w:p w:rsidR="00831CAC" w:rsidRDefault="00831CAC">
            <w:pPr>
              <w:rPr>
                <w:rFonts w:eastAsiaTheme="minorEastAsia"/>
                <w:szCs w:val="21"/>
              </w:rPr>
            </w:pPr>
            <w:r>
              <w:rPr>
                <w:rFonts w:eastAsiaTheme="minorEastAsia" w:hint="eastAsia"/>
                <w:kern w:val="0"/>
                <w:szCs w:val="21"/>
              </w:rPr>
              <w:t>合计</w:t>
            </w:r>
          </w:p>
        </w:tc>
        <w:tc>
          <w:tcPr>
            <w:tcW w:w="3049"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bl>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6.4.13.2.3 </w:t>
      </w:r>
      <w:r w:rsidRPr="00BD7906">
        <w:rPr>
          <w:rFonts w:eastAsiaTheme="minorEastAsia" w:hint="eastAsia"/>
          <w:b/>
          <w:color w:val="000000"/>
          <w:szCs w:val="21"/>
        </w:rPr>
        <w:t>按短期信用评级列示的同业存单投资</w:t>
      </w:r>
    </w:p>
    <w:p w:rsidR="00831CAC" w:rsidRDefault="00831CAC" w:rsidP="00831CAC">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31CAC" w:rsidTr="00A218AC">
        <w:trPr>
          <w:jc w:val="center"/>
        </w:trPr>
        <w:tc>
          <w:tcPr>
            <w:tcW w:w="2624" w:type="dxa"/>
            <w:vAlign w:val="center"/>
            <w:hideMark/>
          </w:tcPr>
          <w:p w:rsidR="00831CAC" w:rsidRDefault="00831CAC">
            <w:pPr>
              <w:jc w:val="center"/>
              <w:rPr>
                <w:rFonts w:eastAsiaTheme="minorEastAsia"/>
                <w:szCs w:val="21"/>
              </w:rPr>
            </w:pPr>
            <w:r>
              <w:rPr>
                <w:rFonts w:eastAsiaTheme="minorEastAsia" w:hint="eastAsia"/>
                <w:szCs w:val="21"/>
              </w:rPr>
              <w:t>短期信用评级</w:t>
            </w:r>
          </w:p>
        </w:tc>
        <w:tc>
          <w:tcPr>
            <w:tcW w:w="2977"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A-1</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szCs w:val="21"/>
              </w:rPr>
            </w:pPr>
            <w:r>
              <w:rPr>
                <w:rFonts w:eastAsiaTheme="minorEastAsia" w:hint="eastAsia"/>
                <w:kern w:val="0"/>
                <w:szCs w:val="21"/>
              </w:rPr>
              <w:t>未评级</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szCs w:val="21"/>
              </w:rPr>
            </w:pPr>
            <w:r>
              <w:rPr>
                <w:rFonts w:eastAsiaTheme="minorEastAsia" w:hint="eastAsia"/>
                <w:kern w:val="0"/>
                <w:szCs w:val="21"/>
              </w:rPr>
              <w:t>合计</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bl>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6.4.13.2.4 </w:t>
      </w:r>
      <w:r w:rsidRPr="00BD7906">
        <w:rPr>
          <w:rFonts w:eastAsiaTheme="minorEastAsia" w:hint="eastAsia"/>
          <w:b/>
          <w:color w:val="000000"/>
          <w:szCs w:val="21"/>
        </w:rPr>
        <w:t>按长期信用评级列示的债券投资</w:t>
      </w:r>
    </w:p>
    <w:p w:rsidR="00831CAC" w:rsidRDefault="00831CAC" w:rsidP="00831CAC">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831CAC" w:rsidTr="00A218AC">
        <w:tc>
          <w:tcPr>
            <w:tcW w:w="2655" w:type="dxa"/>
            <w:vAlign w:val="center"/>
            <w:hideMark/>
          </w:tcPr>
          <w:p w:rsidR="00831CAC" w:rsidRDefault="00831CAC">
            <w:pPr>
              <w:jc w:val="center"/>
              <w:rPr>
                <w:szCs w:val="21"/>
              </w:rPr>
            </w:pPr>
            <w:r>
              <w:rPr>
                <w:rFonts w:hint="eastAsia"/>
                <w:szCs w:val="21"/>
              </w:rPr>
              <w:t>长期信用评级</w:t>
            </w:r>
          </w:p>
        </w:tc>
        <w:tc>
          <w:tcPr>
            <w:tcW w:w="2977" w:type="dxa"/>
            <w:vAlign w:val="center"/>
            <w:hideMark/>
          </w:tcPr>
          <w:p w:rsidR="00831CAC" w:rsidRDefault="00831CAC">
            <w:pPr>
              <w:widowControl/>
              <w:autoSpaceDE w:val="0"/>
              <w:autoSpaceDN w:val="0"/>
              <w:ind w:right="-15"/>
              <w:jc w:val="center"/>
              <w:textAlignment w:val="bottom"/>
              <w:rPr>
                <w:szCs w:val="21"/>
              </w:rPr>
            </w:pPr>
            <w:r>
              <w:rPr>
                <w:rFonts w:hint="eastAsia"/>
                <w:szCs w:val="21"/>
              </w:rPr>
              <w:t>本期末</w:t>
            </w:r>
          </w:p>
          <w:p w:rsidR="00831CAC" w:rsidRDefault="00831CAC">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831CAC" w:rsidRDefault="00831CAC">
            <w:pPr>
              <w:widowControl/>
              <w:autoSpaceDE w:val="0"/>
              <w:autoSpaceDN w:val="0"/>
              <w:ind w:right="-15"/>
              <w:jc w:val="center"/>
              <w:textAlignment w:val="bottom"/>
              <w:rPr>
                <w:szCs w:val="21"/>
              </w:rPr>
            </w:pPr>
            <w:r>
              <w:rPr>
                <w:rFonts w:hint="eastAsia"/>
                <w:szCs w:val="21"/>
              </w:rPr>
              <w:t>上年度末</w:t>
            </w:r>
          </w:p>
          <w:p w:rsidR="00831CAC" w:rsidRDefault="00831CAC">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31CAC" w:rsidTr="00A218AC">
        <w:tc>
          <w:tcPr>
            <w:tcW w:w="2655" w:type="dxa"/>
            <w:vAlign w:val="center"/>
            <w:hideMark/>
          </w:tcPr>
          <w:p w:rsidR="00831CAC" w:rsidRDefault="00831CAC">
            <w:pPr>
              <w:rPr>
                <w:szCs w:val="21"/>
              </w:rPr>
            </w:pPr>
            <w:r>
              <w:rPr>
                <w:szCs w:val="21"/>
              </w:rPr>
              <w:t>AAA</w:t>
            </w:r>
          </w:p>
        </w:tc>
        <w:tc>
          <w:tcPr>
            <w:tcW w:w="2977" w:type="dxa"/>
            <w:vAlign w:val="center"/>
            <w:hideMark/>
          </w:tcPr>
          <w:p w:rsidR="00831CAC" w:rsidRDefault="00831CAC">
            <w:pPr>
              <w:jc w:val="right"/>
              <w:rPr>
                <w:szCs w:val="21"/>
              </w:rPr>
            </w:pPr>
            <w:r>
              <w:rPr>
                <w:szCs w:val="21"/>
              </w:rPr>
              <w:t>0.00</w:t>
            </w:r>
          </w:p>
        </w:tc>
        <w:tc>
          <w:tcPr>
            <w:tcW w:w="3008" w:type="dxa"/>
            <w:vAlign w:val="center"/>
            <w:hideMark/>
          </w:tcPr>
          <w:p w:rsidR="00831CAC" w:rsidRDefault="00831CAC">
            <w:pPr>
              <w:jc w:val="right"/>
              <w:rPr>
                <w:szCs w:val="21"/>
              </w:rPr>
            </w:pPr>
            <w:r>
              <w:rPr>
                <w:szCs w:val="21"/>
              </w:rPr>
              <w:t>0.00</w:t>
            </w:r>
          </w:p>
        </w:tc>
      </w:tr>
      <w:tr w:rsidR="00831CAC" w:rsidTr="00A218AC">
        <w:tc>
          <w:tcPr>
            <w:tcW w:w="2655" w:type="dxa"/>
            <w:vAlign w:val="center"/>
            <w:hideMark/>
          </w:tcPr>
          <w:p w:rsidR="00831CAC" w:rsidRDefault="00831CAC">
            <w:pPr>
              <w:rPr>
                <w:szCs w:val="21"/>
              </w:rPr>
            </w:pPr>
            <w:r>
              <w:rPr>
                <w:szCs w:val="21"/>
              </w:rPr>
              <w:t>AAA</w:t>
            </w:r>
            <w:r>
              <w:rPr>
                <w:rFonts w:hint="eastAsia"/>
                <w:szCs w:val="21"/>
              </w:rPr>
              <w:t>以下</w:t>
            </w:r>
          </w:p>
        </w:tc>
        <w:tc>
          <w:tcPr>
            <w:tcW w:w="2977" w:type="dxa"/>
            <w:vAlign w:val="center"/>
            <w:hideMark/>
          </w:tcPr>
          <w:p w:rsidR="00831CAC" w:rsidRDefault="00831CAC">
            <w:pPr>
              <w:jc w:val="right"/>
              <w:rPr>
                <w:szCs w:val="21"/>
              </w:rPr>
            </w:pPr>
            <w:r>
              <w:rPr>
                <w:szCs w:val="21"/>
              </w:rPr>
              <w:t>0.00</w:t>
            </w:r>
          </w:p>
        </w:tc>
        <w:tc>
          <w:tcPr>
            <w:tcW w:w="3008" w:type="dxa"/>
            <w:vAlign w:val="center"/>
            <w:hideMark/>
          </w:tcPr>
          <w:p w:rsidR="00831CAC" w:rsidRDefault="00831CAC">
            <w:pPr>
              <w:jc w:val="right"/>
              <w:rPr>
                <w:szCs w:val="21"/>
              </w:rPr>
            </w:pPr>
            <w:r>
              <w:rPr>
                <w:szCs w:val="21"/>
              </w:rPr>
              <w:t>0.00</w:t>
            </w:r>
          </w:p>
        </w:tc>
      </w:tr>
      <w:tr w:rsidR="00831CAC" w:rsidTr="00A218AC">
        <w:tc>
          <w:tcPr>
            <w:tcW w:w="2655" w:type="dxa"/>
            <w:vAlign w:val="center"/>
            <w:hideMark/>
          </w:tcPr>
          <w:p w:rsidR="00831CAC" w:rsidRDefault="00831CAC">
            <w:pPr>
              <w:rPr>
                <w:szCs w:val="21"/>
              </w:rPr>
            </w:pPr>
            <w:r>
              <w:rPr>
                <w:rFonts w:hint="eastAsia"/>
                <w:kern w:val="0"/>
                <w:szCs w:val="21"/>
              </w:rPr>
              <w:t>未评级</w:t>
            </w:r>
          </w:p>
        </w:tc>
        <w:tc>
          <w:tcPr>
            <w:tcW w:w="2977" w:type="dxa"/>
            <w:vAlign w:val="center"/>
            <w:hideMark/>
          </w:tcPr>
          <w:p w:rsidR="00831CAC" w:rsidRDefault="00831CAC">
            <w:pPr>
              <w:jc w:val="right"/>
              <w:rPr>
                <w:szCs w:val="21"/>
              </w:rPr>
            </w:pPr>
            <w:r>
              <w:rPr>
                <w:szCs w:val="21"/>
              </w:rPr>
              <w:t>0.00</w:t>
            </w:r>
          </w:p>
        </w:tc>
        <w:tc>
          <w:tcPr>
            <w:tcW w:w="3008" w:type="dxa"/>
            <w:vAlign w:val="center"/>
            <w:hideMark/>
          </w:tcPr>
          <w:p w:rsidR="00831CAC" w:rsidRDefault="00831CAC">
            <w:pPr>
              <w:jc w:val="right"/>
              <w:rPr>
                <w:szCs w:val="21"/>
              </w:rPr>
            </w:pPr>
            <w:r>
              <w:rPr>
                <w:szCs w:val="21"/>
              </w:rPr>
              <w:t>0.00</w:t>
            </w:r>
          </w:p>
        </w:tc>
      </w:tr>
      <w:tr w:rsidR="00831CAC" w:rsidTr="00A218AC">
        <w:tc>
          <w:tcPr>
            <w:tcW w:w="2655" w:type="dxa"/>
            <w:vAlign w:val="center"/>
            <w:hideMark/>
          </w:tcPr>
          <w:p w:rsidR="00831CAC" w:rsidRDefault="00831CAC">
            <w:pPr>
              <w:rPr>
                <w:kern w:val="0"/>
                <w:szCs w:val="21"/>
              </w:rPr>
            </w:pPr>
            <w:r>
              <w:rPr>
                <w:rFonts w:hint="eastAsia"/>
                <w:kern w:val="0"/>
                <w:szCs w:val="21"/>
              </w:rPr>
              <w:t>合计</w:t>
            </w:r>
          </w:p>
        </w:tc>
        <w:tc>
          <w:tcPr>
            <w:tcW w:w="2977" w:type="dxa"/>
            <w:vAlign w:val="center"/>
            <w:hideMark/>
          </w:tcPr>
          <w:p w:rsidR="00831CAC" w:rsidRDefault="00831CAC">
            <w:pPr>
              <w:jc w:val="right"/>
              <w:rPr>
                <w:szCs w:val="21"/>
              </w:rPr>
            </w:pPr>
            <w:r>
              <w:rPr>
                <w:szCs w:val="21"/>
              </w:rPr>
              <w:t>0.00</w:t>
            </w:r>
          </w:p>
        </w:tc>
        <w:tc>
          <w:tcPr>
            <w:tcW w:w="3008" w:type="dxa"/>
            <w:vAlign w:val="center"/>
            <w:hideMark/>
          </w:tcPr>
          <w:p w:rsidR="00831CAC" w:rsidRDefault="00831CAC">
            <w:pPr>
              <w:jc w:val="right"/>
              <w:rPr>
                <w:szCs w:val="21"/>
              </w:rPr>
            </w:pPr>
            <w:r>
              <w:rPr>
                <w:szCs w:val="21"/>
              </w:rPr>
              <w:t>0.00</w:t>
            </w:r>
          </w:p>
        </w:tc>
      </w:tr>
    </w:tbl>
    <w:p w:rsidR="00854133" w:rsidRDefault="00581AA4">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854133" w:rsidRDefault="00581AA4">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831CAC" w:rsidRDefault="00831CAC" w:rsidP="00831CAC">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6.4.13.2.5 </w:t>
      </w:r>
      <w:r w:rsidRPr="00BD7906">
        <w:rPr>
          <w:rFonts w:eastAsiaTheme="minorEastAsia" w:hint="eastAsia"/>
          <w:b/>
          <w:color w:val="000000"/>
          <w:szCs w:val="21"/>
        </w:rPr>
        <w:t>按长期信用评级列示的资产支持证券投资</w:t>
      </w:r>
    </w:p>
    <w:p w:rsidR="00831CAC" w:rsidRDefault="00831CAC" w:rsidP="00831CAC">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31CAC" w:rsidTr="00A218AC">
        <w:trPr>
          <w:jc w:val="center"/>
        </w:trPr>
        <w:tc>
          <w:tcPr>
            <w:tcW w:w="2624" w:type="dxa"/>
            <w:vAlign w:val="center"/>
            <w:hideMark/>
          </w:tcPr>
          <w:p w:rsidR="00831CAC" w:rsidRDefault="00831CAC">
            <w:pPr>
              <w:jc w:val="center"/>
              <w:rPr>
                <w:rFonts w:eastAsiaTheme="minorEastAsia"/>
                <w:szCs w:val="21"/>
              </w:rPr>
            </w:pPr>
            <w:r>
              <w:rPr>
                <w:rFonts w:eastAsiaTheme="minorEastAsia" w:hint="eastAsia"/>
                <w:szCs w:val="21"/>
              </w:rPr>
              <w:t>长期信用评级</w:t>
            </w:r>
          </w:p>
        </w:tc>
        <w:tc>
          <w:tcPr>
            <w:tcW w:w="2977"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AAA</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szCs w:val="21"/>
              </w:rPr>
            </w:pPr>
            <w:r>
              <w:rPr>
                <w:rFonts w:eastAsiaTheme="minorEastAsia" w:hint="eastAsia"/>
                <w:kern w:val="0"/>
                <w:szCs w:val="21"/>
              </w:rPr>
              <w:t>未评级</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kern w:val="0"/>
                <w:szCs w:val="21"/>
              </w:rPr>
            </w:pPr>
            <w:r>
              <w:rPr>
                <w:rFonts w:eastAsiaTheme="minorEastAsia" w:hint="eastAsia"/>
                <w:kern w:val="0"/>
                <w:szCs w:val="21"/>
              </w:rPr>
              <w:t>合计</w:t>
            </w:r>
          </w:p>
        </w:tc>
        <w:tc>
          <w:tcPr>
            <w:tcW w:w="2977" w:type="dxa"/>
            <w:vAlign w:val="center"/>
            <w:hideMark/>
          </w:tcPr>
          <w:p w:rsidR="00831CAC" w:rsidRDefault="00831CAC">
            <w:pPr>
              <w:jc w:val="right"/>
              <w:rPr>
                <w:rFonts w:eastAsiaTheme="minorEastAsia"/>
                <w:szCs w:val="21"/>
              </w:rPr>
            </w:pPr>
            <w:r>
              <w:rPr>
                <w:rFonts w:eastAsiaTheme="minorEastAsia"/>
                <w:szCs w:val="21"/>
              </w:rPr>
              <w:t>0.00</w:t>
            </w:r>
          </w:p>
        </w:tc>
        <w:tc>
          <w:tcPr>
            <w:tcW w:w="3046" w:type="dxa"/>
            <w:vAlign w:val="center"/>
            <w:hideMark/>
          </w:tcPr>
          <w:p w:rsidR="00831CAC" w:rsidRDefault="00831CAC">
            <w:pPr>
              <w:jc w:val="right"/>
              <w:rPr>
                <w:rFonts w:eastAsiaTheme="minorEastAsia"/>
                <w:szCs w:val="21"/>
              </w:rPr>
            </w:pPr>
            <w:r>
              <w:rPr>
                <w:rFonts w:eastAsiaTheme="minorEastAsia"/>
                <w:szCs w:val="21"/>
              </w:rPr>
              <w:t>0.00</w:t>
            </w:r>
          </w:p>
        </w:tc>
      </w:tr>
    </w:tbl>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6.4.13.2.6</w:t>
      </w:r>
      <w:r w:rsidRPr="00BD7906">
        <w:rPr>
          <w:rFonts w:eastAsiaTheme="minorEastAsia" w:hint="eastAsia"/>
          <w:b/>
          <w:color w:val="000000"/>
          <w:szCs w:val="21"/>
        </w:rPr>
        <w:t>按长期信用评级列示的同业存单投资</w:t>
      </w:r>
    </w:p>
    <w:p w:rsidR="00831CAC" w:rsidRDefault="00831CAC" w:rsidP="00831CAC">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31CAC" w:rsidTr="00A218AC">
        <w:trPr>
          <w:jc w:val="center"/>
        </w:trPr>
        <w:tc>
          <w:tcPr>
            <w:tcW w:w="2624" w:type="dxa"/>
            <w:vAlign w:val="center"/>
            <w:hideMark/>
          </w:tcPr>
          <w:p w:rsidR="00831CAC" w:rsidRDefault="00831CAC">
            <w:pPr>
              <w:jc w:val="center"/>
              <w:rPr>
                <w:rFonts w:eastAsiaTheme="minorEastAsia"/>
                <w:szCs w:val="21"/>
              </w:rPr>
            </w:pPr>
            <w:r>
              <w:rPr>
                <w:rFonts w:eastAsiaTheme="minorEastAsia" w:hint="eastAsia"/>
                <w:szCs w:val="21"/>
              </w:rPr>
              <w:t>长期信用评级</w:t>
            </w:r>
          </w:p>
        </w:tc>
        <w:tc>
          <w:tcPr>
            <w:tcW w:w="2977"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AAA</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szCs w:val="21"/>
              </w:rPr>
            </w:pPr>
            <w:r>
              <w:rPr>
                <w:rFonts w:eastAsiaTheme="minorEastAsia" w:hint="eastAsia"/>
                <w:kern w:val="0"/>
                <w:szCs w:val="21"/>
              </w:rPr>
              <w:t>未评级</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kern w:val="0"/>
                <w:szCs w:val="21"/>
              </w:rPr>
            </w:pPr>
            <w:r>
              <w:rPr>
                <w:rFonts w:eastAsiaTheme="minorEastAsia" w:hint="eastAsia"/>
                <w:kern w:val="0"/>
                <w:szCs w:val="21"/>
              </w:rPr>
              <w:t>合计</w:t>
            </w:r>
          </w:p>
        </w:tc>
        <w:tc>
          <w:tcPr>
            <w:tcW w:w="2977" w:type="dxa"/>
            <w:vAlign w:val="center"/>
            <w:hideMark/>
          </w:tcPr>
          <w:p w:rsidR="00831CAC" w:rsidRDefault="00831CAC">
            <w:pPr>
              <w:jc w:val="right"/>
              <w:rPr>
                <w:rFonts w:eastAsiaTheme="minorEastAsia"/>
                <w:szCs w:val="21"/>
              </w:rPr>
            </w:pPr>
            <w:r>
              <w:rPr>
                <w:rFonts w:eastAsiaTheme="minorEastAsia"/>
                <w:szCs w:val="21"/>
              </w:rPr>
              <w:t>0.00</w:t>
            </w:r>
          </w:p>
        </w:tc>
        <w:tc>
          <w:tcPr>
            <w:tcW w:w="3046" w:type="dxa"/>
            <w:vAlign w:val="center"/>
            <w:hideMark/>
          </w:tcPr>
          <w:p w:rsidR="00831CAC" w:rsidRDefault="00831CAC">
            <w:pPr>
              <w:jc w:val="right"/>
              <w:rPr>
                <w:rFonts w:eastAsiaTheme="minorEastAsia"/>
                <w:szCs w:val="21"/>
              </w:rPr>
            </w:pPr>
            <w:r>
              <w:rPr>
                <w:rFonts w:eastAsiaTheme="minorEastAsia"/>
                <w:szCs w:val="21"/>
              </w:rPr>
              <w:t>0.00</w:t>
            </w:r>
          </w:p>
        </w:tc>
      </w:tr>
    </w:tbl>
    <w:p w:rsidR="008A5A5D" w:rsidRPr="00C24ACA" w:rsidRDefault="008A5A5D" w:rsidP="00831CAC">
      <w:pPr>
        <w:tabs>
          <w:tab w:val="left" w:pos="426"/>
        </w:tabs>
        <w:spacing w:line="360" w:lineRule="auto"/>
        <w:ind w:firstLineChars="200" w:firstLine="422"/>
        <w:jc w:val="left"/>
        <w:rPr>
          <w:rFonts w:eastAsiaTheme="minorEastAsia"/>
          <w:b/>
          <w:bCs/>
          <w:color w:val="000000"/>
          <w:szCs w:val="21"/>
        </w:rPr>
      </w:pPr>
      <w:r w:rsidRPr="00C24ACA">
        <w:rPr>
          <w:rFonts w:eastAsiaTheme="minorEastAsia"/>
          <w:b/>
          <w:bCs/>
          <w:color w:val="000000"/>
          <w:kern w:val="0"/>
          <w:szCs w:val="21"/>
        </w:rPr>
        <w:t>6.4.13.3</w:t>
      </w:r>
      <w:r w:rsidRPr="00C24ACA">
        <w:rPr>
          <w:rFonts w:eastAsiaTheme="minorEastAsia"/>
          <w:b/>
          <w:bCs/>
          <w:color w:val="000000"/>
          <w:szCs w:val="21"/>
        </w:rPr>
        <w:t>流动性风险</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于</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日，除卖出回购金融资产款余额</w:t>
      </w:r>
      <w:r w:rsidRPr="00C24ACA">
        <w:rPr>
          <w:rFonts w:eastAsiaTheme="minorEastAsia"/>
          <w:kern w:val="0"/>
          <w:szCs w:val="21"/>
        </w:rPr>
        <w:t>(</w:t>
      </w:r>
      <w:r w:rsidRPr="00C24ACA">
        <w:rPr>
          <w:rFonts w:eastAsiaTheme="minorEastAsia"/>
          <w:kern w:val="0"/>
          <w:szCs w:val="21"/>
        </w:rPr>
        <w:t>计息但该利息金额不重大</w:t>
      </w:r>
      <w:r w:rsidRPr="00C24ACA">
        <w:rPr>
          <w:rFonts w:eastAsiaTheme="minorEastAsia"/>
          <w:kern w:val="0"/>
          <w:szCs w:val="21"/>
        </w:rPr>
        <w:t>)</w:t>
      </w:r>
      <w:r w:rsidRPr="00C24ACA">
        <w:rPr>
          <w:rFonts w:eastAsiaTheme="minorEastAsia"/>
          <w:kern w:val="0"/>
          <w:szCs w:val="21"/>
        </w:rPr>
        <w:t>以外，本基金承担的其他金融负债的合约约定到期日均为一年以内且不计息，可赎回基金份额净值</w:t>
      </w:r>
      <w:r w:rsidRPr="00C24ACA">
        <w:rPr>
          <w:rFonts w:eastAsiaTheme="minorEastAsia"/>
          <w:kern w:val="0"/>
          <w:szCs w:val="21"/>
        </w:rPr>
        <w:t>(</w:t>
      </w:r>
      <w:r w:rsidRPr="00C24ACA">
        <w:rPr>
          <w:rFonts w:eastAsiaTheme="minorEastAsia"/>
          <w:kern w:val="0"/>
          <w:szCs w:val="21"/>
        </w:rPr>
        <w:t>所有者权益</w:t>
      </w:r>
      <w:r w:rsidRPr="00C24ACA">
        <w:rPr>
          <w:rFonts w:eastAsiaTheme="minorEastAsia"/>
          <w:kern w:val="0"/>
          <w:szCs w:val="21"/>
        </w:rPr>
        <w:t>)</w:t>
      </w:r>
      <w:r w:rsidRPr="00C24ACA">
        <w:rPr>
          <w:rFonts w:eastAsiaTheme="minorEastAsia"/>
          <w:kern w:val="0"/>
          <w:szCs w:val="21"/>
        </w:rPr>
        <w:t>无固定到期日且不计息，因此账面余额约为未折现的合约到期现金流量。</w:t>
      </w:r>
    </w:p>
    <w:p w:rsidR="00206D74" w:rsidRPr="00A73188" w:rsidRDefault="00206D74" w:rsidP="00732F5C">
      <w:pPr>
        <w:spacing w:beforeLines="50" w:before="156" w:line="360" w:lineRule="auto"/>
        <w:rPr>
          <w:rFonts w:eastAsiaTheme="minorEastAsia"/>
          <w:b/>
          <w:bCs/>
          <w:color w:val="000000" w:themeColor="text1"/>
          <w:szCs w:val="21"/>
        </w:rPr>
      </w:pPr>
      <w:r w:rsidRPr="00A73188">
        <w:rPr>
          <w:rFonts w:eastAsiaTheme="minorEastAsia"/>
          <w:b/>
          <w:bCs/>
          <w:color w:val="000000" w:themeColor="text1"/>
          <w:kern w:val="0"/>
          <w:szCs w:val="21"/>
        </w:rPr>
        <w:t>6.4.13.3</w:t>
      </w:r>
      <w:r w:rsidRPr="00A73188">
        <w:rPr>
          <w:rFonts w:eastAsiaTheme="minorEastAsia" w:hint="eastAsia"/>
          <w:b/>
          <w:bCs/>
          <w:color w:val="000000" w:themeColor="text1"/>
          <w:kern w:val="0"/>
          <w:szCs w:val="21"/>
        </w:rPr>
        <w:t>.1</w:t>
      </w:r>
      <w:r w:rsidRPr="00A73188">
        <w:rPr>
          <w:rFonts w:eastAsiaTheme="minorEastAsia"/>
          <w:b/>
          <w:bCs/>
          <w:color w:val="000000" w:themeColor="text1"/>
          <w:kern w:val="0"/>
          <w:szCs w:val="21"/>
        </w:rPr>
        <w:t xml:space="preserve"> </w:t>
      </w:r>
      <w:r w:rsidRPr="00A73188">
        <w:rPr>
          <w:rFonts w:eastAsiaTheme="minorEastAsia" w:hint="eastAsia"/>
          <w:b/>
          <w:bCs/>
          <w:color w:val="000000" w:themeColor="text1"/>
          <w:szCs w:val="21"/>
        </w:rPr>
        <w:t>报告期内本基金组合资产的流动性风险分析</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06D74" w:rsidRPr="00C24ACA" w:rsidRDefault="00206D74" w:rsidP="00206D74">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本基金的投资范围为具有良好流动性的金融工具，所持大部分证券在流动性良好的证券交易所或者银行间同业市场交易，期末除本报告</w:t>
      </w:r>
      <w:r w:rsidRPr="001412CA">
        <w:rPr>
          <w:rFonts w:eastAsiaTheme="minorEastAsia"/>
          <w:kern w:val="0"/>
          <w:szCs w:val="21"/>
        </w:rPr>
        <w:t>“</w:t>
      </w:r>
      <w:r w:rsidRPr="001412CA">
        <w:rPr>
          <w:rFonts w:eastAsiaTheme="minorEastAsia"/>
          <w:kern w:val="0"/>
          <w:szCs w:val="21"/>
        </w:rPr>
        <w:t>期末本基金持有的流通受限证券</w:t>
      </w:r>
      <w:r w:rsidRPr="001412CA">
        <w:rPr>
          <w:rFonts w:eastAsiaTheme="minorEastAsia"/>
          <w:kern w:val="0"/>
          <w:szCs w:val="21"/>
        </w:rPr>
        <w:t>”</w:t>
      </w:r>
      <w:r w:rsidRPr="001412CA">
        <w:rPr>
          <w:rFonts w:eastAsiaTheme="minorEastAsia"/>
          <w:kern w:val="0"/>
          <w:szCs w:val="21"/>
        </w:rPr>
        <w:t>章节中所列示券种流通暂时受限制不能自由转让外，其余均能及时变现。评估结果显示组合高流动性资产比重较高，组合变现比例能力较好。</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w:t>
      </w:r>
      <w:r w:rsidRPr="00C24ACA">
        <w:rPr>
          <w:rFonts w:eastAsiaTheme="minorEastAsia"/>
          <w:b/>
          <w:bCs/>
          <w:color w:val="000000"/>
          <w:szCs w:val="21"/>
        </w:rPr>
        <w:t>市场风险</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主要投资黄金基金和黄金采掘公司股票，业绩表现受黄金价格波动影响较大。影响黄金价格波动的因素包括但不限于：全球黄金供给和需求的变动；投资者对通胀水平的预期；主要经济体的利率水平；主要经济体法定货币币值的变动；各国央行、对冲基金、商品基金等机构投资者的投资与交易活动；全球或地区政治、经济、金融局势及货币体系的变化。</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w:t>
      </w:r>
      <w:r w:rsidRPr="00C24ACA">
        <w:rPr>
          <w:rFonts w:eastAsiaTheme="minorEastAsia"/>
          <w:b/>
          <w:bCs/>
          <w:color w:val="000000"/>
          <w:szCs w:val="21"/>
        </w:rPr>
        <w:t>利率风险</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利率风险是指基金的财务状况和现金流量受市场利率变动而发生波动的风险。投资管理人通过久期、凸度、</w:t>
      </w:r>
      <w:r w:rsidRPr="00C24ACA">
        <w:rPr>
          <w:rFonts w:eastAsiaTheme="minorEastAsia"/>
          <w:kern w:val="0"/>
          <w:szCs w:val="21"/>
        </w:rPr>
        <w:t>VAR</w:t>
      </w:r>
      <w:r w:rsidRPr="00C24ACA">
        <w:rPr>
          <w:rFonts w:eastAsiaTheme="minorEastAsia"/>
          <w:kern w:val="0"/>
          <w:szCs w:val="21"/>
        </w:rPr>
        <w:t>等方法评估组合面临的利率风险敞口，并通过调整投资组合的久期等方法对上述利率风险进行管理。</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6.4.13.4.1.1</w:t>
      </w:r>
      <w:r w:rsidRPr="00C24ACA">
        <w:rPr>
          <w:rFonts w:eastAsiaTheme="minorEastAsia"/>
          <w:b/>
          <w:bCs/>
          <w:color w:val="000000"/>
          <w:szCs w:val="21"/>
        </w:rPr>
        <w:t>利率风险敞口</w:t>
      </w:r>
    </w:p>
    <w:p w:rsidR="00A10C6C" w:rsidRPr="00C24ACA" w:rsidRDefault="00A10C6C" w:rsidP="00A10C6C">
      <w:pPr>
        <w:autoSpaceDE w:val="0"/>
        <w:autoSpaceDN w:val="0"/>
        <w:adjustRightInd w:val="0"/>
        <w:spacing w:before="29" w:line="360" w:lineRule="auto"/>
        <w:ind w:left="15"/>
        <w:jc w:val="right"/>
        <w:rPr>
          <w:rFonts w:eastAsiaTheme="minorEastAsia"/>
          <w:color w:val="000000"/>
          <w:szCs w:val="21"/>
        </w:rPr>
      </w:pPr>
      <w:r w:rsidRPr="00C24ACA">
        <w:rPr>
          <w:rFonts w:eastAsiaTheme="minorEastAsia"/>
          <w:color w:val="000000"/>
          <w:szCs w:val="21"/>
        </w:rPr>
        <w:t>单位：人民币元</w:t>
      </w:r>
    </w:p>
    <w:tbl>
      <w:tblPr>
        <w:tblW w:w="9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A10C6C" w:rsidRPr="00C24ACA" w:rsidTr="004C02E0">
        <w:trPr>
          <w:trHeight w:val="280"/>
        </w:trPr>
        <w:tc>
          <w:tcPr>
            <w:tcW w:w="1588" w:type="dxa"/>
            <w:vAlign w:val="center"/>
          </w:tcPr>
          <w:p w:rsidR="00A10C6C" w:rsidRPr="00C24ACA" w:rsidRDefault="00A10C6C" w:rsidP="00427BFF">
            <w:pPr>
              <w:spacing w:line="360" w:lineRule="auto"/>
              <w:jc w:val="center"/>
              <w:rPr>
                <w:rFonts w:eastAsiaTheme="minorEastAsia"/>
                <w:szCs w:val="21"/>
              </w:rPr>
            </w:pPr>
            <w:r w:rsidRPr="00C24ACA">
              <w:rPr>
                <w:rFonts w:eastAsiaTheme="minorEastAsia"/>
                <w:szCs w:val="21"/>
              </w:rPr>
              <w:t>本期末</w:t>
            </w:r>
          </w:p>
          <w:p w:rsidR="00A10C6C" w:rsidRPr="00C24ACA" w:rsidRDefault="00A10C6C" w:rsidP="00427BFF">
            <w:pPr>
              <w:spacing w:line="360" w:lineRule="auto"/>
              <w:jc w:val="center"/>
              <w:rPr>
                <w:rFonts w:eastAsiaTheme="minorEastAsia"/>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年以内</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1-5</w:t>
            </w:r>
            <w:r w:rsidRPr="00C24ACA">
              <w:rPr>
                <w:rFonts w:eastAsiaTheme="minorEastAsia"/>
                <w:color w:val="000000"/>
                <w:szCs w:val="21"/>
              </w:rPr>
              <w:t>年</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年以上</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不计息</w:t>
            </w:r>
          </w:p>
        </w:tc>
        <w:tc>
          <w:tcPr>
            <w:tcW w:w="13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合计</w:t>
            </w:r>
          </w:p>
        </w:tc>
      </w:tr>
      <w:tr w:rsidR="00A10C6C" w:rsidRPr="00C24ACA" w:rsidTr="004C02E0">
        <w:trPr>
          <w:trHeight w:val="280"/>
        </w:trPr>
        <w:tc>
          <w:tcPr>
            <w:tcW w:w="1588" w:type="dxa"/>
          </w:tcPr>
          <w:p w:rsidR="00A10C6C" w:rsidRPr="00C24ACA" w:rsidRDefault="00A10C6C" w:rsidP="00865B2B">
            <w:pPr>
              <w:spacing w:line="360" w:lineRule="auto"/>
              <w:jc w:val="center"/>
              <w:rPr>
                <w:rFonts w:eastAsiaTheme="minorEastAsia"/>
                <w:color w:val="000000"/>
                <w:szCs w:val="21"/>
              </w:rPr>
            </w:pPr>
            <w:r w:rsidRPr="00C24ACA">
              <w:rPr>
                <w:rFonts w:eastAsiaTheme="minorEastAsia"/>
                <w:color w:val="000000"/>
                <w:szCs w:val="21"/>
              </w:rPr>
              <w:t>资产</w:t>
            </w: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301" w:type="dxa"/>
            <w:vAlign w:val="center"/>
          </w:tcPr>
          <w:p w:rsidR="00A10C6C" w:rsidRPr="00C24ACA" w:rsidRDefault="00A10C6C" w:rsidP="00427BFF">
            <w:pPr>
              <w:spacing w:line="360" w:lineRule="auto"/>
              <w:jc w:val="right"/>
              <w:rPr>
                <w:rFonts w:eastAsiaTheme="minorEastAsia"/>
                <w:b/>
                <w:color w:val="000000"/>
                <w:szCs w:val="21"/>
              </w:rPr>
            </w:pPr>
          </w:p>
        </w:tc>
      </w:tr>
      <w:tr w:rsidR="00854133">
        <w:tc>
          <w:tcPr>
            <w:tcW w:w="1588" w:type="dxa"/>
            <w:vAlign w:val="center"/>
          </w:tcPr>
          <w:p w:rsidR="00854133" w:rsidRDefault="00581AA4">
            <w:pPr>
              <w:jc w:val="center"/>
            </w:pPr>
            <w:r>
              <w:rPr>
                <w:rFonts w:eastAsiaTheme="minorEastAsia"/>
                <w:color w:val="000000"/>
                <w:szCs w:val="21"/>
              </w:rPr>
              <w:t>银行存款</w:t>
            </w:r>
          </w:p>
        </w:tc>
        <w:tc>
          <w:tcPr>
            <w:tcW w:w="1701" w:type="dxa"/>
            <w:vAlign w:val="center"/>
          </w:tcPr>
          <w:p w:rsidR="00854133" w:rsidRDefault="00581AA4">
            <w:pPr>
              <w:jc w:val="right"/>
            </w:pPr>
            <w:r>
              <w:rPr>
                <w:rFonts w:eastAsiaTheme="minorEastAsia"/>
                <w:color w:val="000000"/>
                <w:szCs w:val="21"/>
              </w:rPr>
              <w:t>46,280,272.27</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46,280,272.27</w:t>
            </w:r>
          </w:p>
        </w:tc>
      </w:tr>
      <w:tr w:rsidR="00854133">
        <w:tc>
          <w:tcPr>
            <w:tcW w:w="1588" w:type="dxa"/>
            <w:vAlign w:val="center"/>
          </w:tcPr>
          <w:p w:rsidR="00854133" w:rsidRDefault="00581AA4">
            <w:pPr>
              <w:jc w:val="center"/>
            </w:pPr>
            <w:r>
              <w:rPr>
                <w:rFonts w:eastAsiaTheme="minorEastAsia"/>
                <w:color w:val="000000"/>
                <w:szCs w:val="21"/>
              </w:rPr>
              <w:t>结算备付金</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存出保证金</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交易性金融资产</w:t>
            </w:r>
          </w:p>
        </w:tc>
        <w:tc>
          <w:tcPr>
            <w:tcW w:w="1701" w:type="dxa"/>
            <w:vAlign w:val="center"/>
          </w:tcPr>
          <w:p w:rsidR="00854133" w:rsidRDefault="00581AA4">
            <w:pPr>
              <w:jc w:val="right"/>
            </w:pPr>
            <w:r>
              <w:rPr>
                <w:rFonts w:eastAsiaTheme="minorEastAsia"/>
                <w:color w:val="000000"/>
                <w:szCs w:val="21"/>
              </w:rPr>
              <w:t>20,213,000.00</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242,479,127.40</w:t>
            </w:r>
          </w:p>
        </w:tc>
        <w:tc>
          <w:tcPr>
            <w:tcW w:w="1301" w:type="dxa"/>
            <w:vAlign w:val="center"/>
          </w:tcPr>
          <w:p w:rsidR="00854133" w:rsidRDefault="00581AA4">
            <w:pPr>
              <w:jc w:val="right"/>
            </w:pPr>
            <w:r>
              <w:rPr>
                <w:rFonts w:eastAsiaTheme="minorEastAsia"/>
                <w:color w:val="000000"/>
                <w:szCs w:val="21"/>
              </w:rPr>
              <w:t>262,692,127.40</w:t>
            </w:r>
          </w:p>
        </w:tc>
      </w:tr>
      <w:tr w:rsidR="00854133">
        <w:tc>
          <w:tcPr>
            <w:tcW w:w="1588" w:type="dxa"/>
            <w:vAlign w:val="center"/>
          </w:tcPr>
          <w:p w:rsidR="00854133" w:rsidRDefault="00581AA4">
            <w:pPr>
              <w:jc w:val="center"/>
            </w:pPr>
            <w:r>
              <w:rPr>
                <w:rFonts w:eastAsiaTheme="minorEastAsia"/>
                <w:color w:val="000000"/>
                <w:szCs w:val="21"/>
              </w:rPr>
              <w:t>衍生金融资产</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买入返售金融资产</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应收证券清算款</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应收利息</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254,355.99</w:t>
            </w:r>
          </w:p>
        </w:tc>
        <w:tc>
          <w:tcPr>
            <w:tcW w:w="1301" w:type="dxa"/>
            <w:vAlign w:val="center"/>
          </w:tcPr>
          <w:p w:rsidR="00854133" w:rsidRDefault="00581AA4">
            <w:pPr>
              <w:jc w:val="right"/>
            </w:pPr>
            <w:r>
              <w:rPr>
                <w:rFonts w:eastAsiaTheme="minorEastAsia"/>
                <w:color w:val="000000"/>
                <w:szCs w:val="21"/>
              </w:rPr>
              <w:t>254,355.99</w:t>
            </w:r>
          </w:p>
        </w:tc>
      </w:tr>
      <w:tr w:rsidR="00854133">
        <w:tc>
          <w:tcPr>
            <w:tcW w:w="1588" w:type="dxa"/>
            <w:vAlign w:val="center"/>
          </w:tcPr>
          <w:p w:rsidR="00854133" w:rsidRDefault="00581AA4">
            <w:pPr>
              <w:jc w:val="center"/>
            </w:pPr>
            <w:r>
              <w:rPr>
                <w:rFonts w:eastAsiaTheme="minorEastAsia"/>
                <w:color w:val="000000"/>
                <w:szCs w:val="21"/>
              </w:rPr>
              <w:t>应收股利</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应收申购款</w:t>
            </w:r>
          </w:p>
        </w:tc>
        <w:tc>
          <w:tcPr>
            <w:tcW w:w="1701" w:type="dxa"/>
            <w:vAlign w:val="center"/>
          </w:tcPr>
          <w:p w:rsidR="00854133" w:rsidRDefault="00581AA4">
            <w:pPr>
              <w:jc w:val="right"/>
            </w:pPr>
            <w:r>
              <w:rPr>
                <w:rFonts w:eastAsiaTheme="minorEastAsia"/>
                <w:color w:val="000000"/>
                <w:szCs w:val="21"/>
              </w:rPr>
              <w:t>34,331.41</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342,420.99</w:t>
            </w:r>
          </w:p>
        </w:tc>
        <w:tc>
          <w:tcPr>
            <w:tcW w:w="1301" w:type="dxa"/>
            <w:vAlign w:val="center"/>
          </w:tcPr>
          <w:p w:rsidR="00854133" w:rsidRDefault="00581AA4">
            <w:pPr>
              <w:jc w:val="right"/>
            </w:pPr>
            <w:r>
              <w:rPr>
                <w:rFonts w:eastAsiaTheme="minorEastAsia"/>
                <w:color w:val="000000"/>
                <w:szCs w:val="21"/>
              </w:rPr>
              <w:t>376,752.40</w:t>
            </w:r>
          </w:p>
        </w:tc>
      </w:tr>
      <w:tr w:rsidR="00854133">
        <w:tc>
          <w:tcPr>
            <w:tcW w:w="1588" w:type="dxa"/>
            <w:vAlign w:val="center"/>
          </w:tcPr>
          <w:p w:rsidR="00854133" w:rsidRDefault="00581AA4">
            <w:pPr>
              <w:jc w:val="center"/>
            </w:pPr>
            <w:r>
              <w:rPr>
                <w:rFonts w:eastAsiaTheme="minorEastAsia"/>
                <w:color w:val="000000"/>
                <w:szCs w:val="21"/>
              </w:rPr>
              <w:t>递延所得税资产</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其他资产</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A10C6C" w:rsidRPr="00C24ACA" w:rsidTr="004C02E0">
        <w:trPr>
          <w:trHeight w:val="280"/>
        </w:trPr>
        <w:tc>
          <w:tcPr>
            <w:tcW w:w="1588" w:type="dxa"/>
            <w:vAlign w:val="center"/>
          </w:tcPr>
          <w:p w:rsidR="00A10C6C" w:rsidRPr="00C24ACA" w:rsidRDefault="00A10C6C" w:rsidP="00C903E7">
            <w:pPr>
              <w:autoSpaceDE w:val="0"/>
              <w:autoSpaceDN w:val="0"/>
              <w:adjustRightInd w:val="0"/>
              <w:spacing w:before="29" w:line="360" w:lineRule="auto"/>
              <w:jc w:val="center"/>
              <w:rPr>
                <w:rFonts w:eastAsiaTheme="minorEastAsia"/>
                <w:color w:val="000000"/>
                <w:szCs w:val="21"/>
              </w:rPr>
            </w:pPr>
            <w:r w:rsidRPr="00C24ACA">
              <w:rPr>
                <w:rFonts w:eastAsiaTheme="minorEastAsia"/>
                <w:color w:val="000000"/>
                <w:szCs w:val="21"/>
              </w:rPr>
              <w:t>资产总计</w:t>
            </w:r>
          </w:p>
        </w:tc>
        <w:tc>
          <w:tcPr>
            <w:tcW w:w="17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66,527,603.68</w:t>
            </w:r>
          </w:p>
        </w:tc>
        <w:tc>
          <w:tcPr>
            <w:tcW w:w="17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w:t>
            </w:r>
          </w:p>
        </w:tc>
        <w:tc>
          <w:tcPr>
            <w:tcW w:w="1559"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w:t>
            </w:r>
          </w:p>
        </w:tc>
        <w:tc>
          <w:tcPr>
            <w:tcW w:w="1559"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243,075,904.38</w:t>
            </w:r>
          </w:p>
        </w:tc>
        <w:tc>
          <w:tcPr>
            <w:tcW w:w="13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309,603,508.06</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w:t>
            </w:r>
          </w:p>
        </w:tc>
        <w:tc>
          <w:tcPr>
            <w:tcW w:w="1701" w:type="dxa"/>
            <w:vAlign w:val="center"/>
          </w:tcPr>
          <w:p w:rsidR="00A10C6C" w:rsidRPr="00C24ACA" w:rsidRDefault="00A10C6C" w:rsidP="00427BFF">
            <w:pPr>
              <w:spacing w:line="360" w:lineRule="auto"/>
              <w:jc w:val="right"/>
              <w:rPr>
                <w:rFonts w:eastAsiaTheme="minorEastAsia"/>
                <w:color w:val="0000FF"/>
                <w:kern w:val="0"/>
                <w:szCs w:val="21"/>
              </w:rPr>
            </w:pP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301" w:type="dxa"/>
            <w:vAlign w:val="center"/>
          </w:tcPr>
          <w:p w:rsidR="00A10C6C" w:rsidRPr="00C24ACA" w:rsidRDefault="00A10C6C" w:rsidP="00427BFF">
            <w:pPr>
              <w:spacing w:line="360" w:lineRule="auto"/>
              <w:jc w:val="right"/>
              <w:rPr>
                <w:rFonts w:eastAsiaTheme="minorEastAsia"/>
                <w:color w:val="000000"/>
                <w:szCs w:val="21"/>
              </w:rPr>
            </w:pPr>
          </w:p>
        </w:tc>
      </w:tr>
      <w:tr w:rsidR="00854133">
        <w:tc>
          <w:tcPr>
            <w:tcW w:w="1588" w:type="dxa"/>
            <w:vAlign w:val="center"/>
          </w:tcPr>
          <w:p w:rsidR="00854133" w:rsidRDefault="00581AA4">
            <w:pPr>
              <w:jc w:val="center"/>
            </w:pPr>
            <w:r>
              <w:rPr>
                <w:rFonts w:eastAsiaTheme="minorEastAsia"/>
                <w:color w:val="000000"/>
                <w:szCs w:val="21"/>
              </w:rPr>
              <w:t>短期借款</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交易性金融负债</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衍生金融负债</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卖出回购金融资产款</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应付证券清算款</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应付赎回款</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9,105,431.24</w:t>
            </w:r>
          </w:p>
        </w:tc>
        <w:tc>
          <w:tcPr>
            <w:tcW w:w="1301" w:type="dxa"/>
            <w:vAlign w:val="center"/>
          </w:tcPr>
          <w:p w:rsidR="00854133" w:rsidRDefault="00581AA4">
            <w:pPr>
              <w:jc w:val="right"/>
            </w:pPr>
            <w:r>
              <w:rPr>
                <w:rFonts w:eastAsiaTheme="minorEastAsia"/>
                <w:color w:val="000000"/>
                <w:szCs w:val="21"/>
              </w:rPr>
              <w:t>9,105,431.24</w:t>
            </w:r>
          </w:p>
        </w:tc>
      </w:tr>
      <w:tr w:rsidR="00854133">
        <w:tc>
          <w:tcPr>
            <w:tcW w:w="1588" w:type="dxa"/>
            <w:vAlign w:val="center"/>
          </w:tcPr>
          <w:p w:rsidR="00854133" w:rsidRDefault="00581AA4">
            <w:pPr>
              <w:jc w:val="center"/>
            </w:pPr>
            <w:r>
              <w:rPr>
                <w:rFonts w:eastAsiaTheme="minorEastAsia"/>
                <w:color w:val="000000"/>
                <w:szCs w:val="21"/>
              </w:rPr>
              <w:t>应付管理人报酬</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289,884.67</w:t>
            </w:r>
          </w:p>
        </w:tc>
        <w:tc>
          <w:tcPr>
            <w:tcW w:w="1301" w:type="dxa"/>
            <w:vAlign w:val="center"/>
          </w:tcPr>
          <w:p w:rsidR="00854133" w:rsidRDefault="00581AA4">
            <w:pPr>
              <w:jc w:val="right"/>
            </w:pPr>
            <w:r>
              <w:rPr>
                <w:rFonts w:eastAsiaTheme="minorEastAsia"/>
                <w:color w:val="000000"/>
                <w:szCs w:val="21"/>
              </w:rPr>
              <w:t>289,884.67</w:t>
            </w:r>
          </w:p>
        </w:tc>
      </w:tr>
      <w:tr w:rsidR="00854133">
        <w:tc>
          <w:tcPr>
            <w:tcW w:w="1588" w:type="dxa"/>
            <w:vAlign w:val="center"/>
          </w:tcPr>
          <w:p w:rsidR="00854133" w:rsidRDefault="00581AA4">
            <w:pPr>
              <w:jc w:val="center"/>
            </w:pPr>
            <w:r>
              <w:rPr>
                <w:rFonts w:eastAsiaTheme="minorEastAsia"/>
                <w:color w:val="000000"/>
                <w:szCs w:val="21"/>
              </w:rPr>
              <w:t>应付托管费</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48,314.14</w:t>
            </w:r>
          </w:p>
        </w:tc>
        <w:tc>
          <w:tcPr>
            <w:tcW w:w="1301" w:type="dxa"/>
            <w:vAlign w:val="center"/>
          </w:tcPr>
          <w:p w:rsidR="00854133" w:rsidRDefault="00581AA4">
            <w:pPr>
              <w:jc w:val="right"/>
            </w:pPr>
            <w:r>
              <w:rPr>
                <w:rFonts w:eastAsiaTheme="minorEastAsia"/>
                <w:color w:val="000000"/>
                <w:szCs w:val="21"/>
              </w:rPr>
              <w:t>48,314.14</w:t>
            </w:r>
          </w:p>
        </w:tc>
      </w:tr>
      <w:tr w:rsidR="00854133">
        <w:tc>
          <w:tcPr>
            <w:tcW w:w="1588" w:type="dxa"/>
            <w:vAlign w:val="center"/>
          </w:tcPr>
          <w:p w:rsidR="00854133" w:rsidRDefault="00581AA4">
            <w:pPr>
              <w:jc w:val="center"/>
            </w:pPr>
            <w:r>
              <w:rPr>
                <w:rFonts w:eastAsiaTheme="minorEastAsia"/>
                <w:color w:val="000000"/>
                <w:szCs w:val="21"/>
              </w:rPr>
              <w:t>应付销售服务费</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114.71</w:t>
            </w:r>
          </w:p>
        </w:tc>
        <w:tc>
          <w:tcPr>
            <w:tcW w:w="1301" w:type="dxa"/>
            <w:vAlign w:val="center"/>
          </w:tcPr>
          <w:p w:rsidR="00854133" w:rsidRDefault="00581AA4">
            <w:pPr>
              <w:jc w:val="right"/>
            </w:pPr>
            <w:r>
              <w:rPr>
                <w:rFonts w:eastAsiaTheme="minorEastAsia"/>
                <w:color w:val="000000"/>
                <w:szCs w:val="21"/>
              </w:rPr>
              <w:t>114.71</w:t>
            </w:r>
          </w:p>
        </w:tc>
      </w:tr>
      <w:tr w:rsidR="00854133">
        <w:tc>
          <w:tcPr>
            <w:tcW w:w="1588" w:type="dxa"/>
            <w:vAlign w:val="center"/>
          </w:tcPr>
          <w:p w:rsidR="00854133" w:rsidRDefault="00581AA4">
            <w:pPr>
              <w:jc w:val="center"/>
            </w:pPr>
            <w:r>
              <w:rPr>
                <w:rFonts w:eastAsiaTheme="minorEastAsia"/>
                <w:color w:val="000000"/>
                <w:szCs w:val="21"/>
              </w:rPr>
              <w:t>应付交易费用</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350.00</w:t>
            </w:r>
          </w:p>
        </w:tc>
        <w:tc>
          <w:tcPr>
            <w:tcW w:w="1301" w:type="dxa"/>
            <w:vAlign w:val="center"/>
          </w:tcPr>
          <w:p w:rsidR="00854133" w:rsidRDefault="00581AA4">
            <w:pPr>
              <w:jc w:val="right"/>
            </w:pPr>
            <w:r>
              <w:rPr>
                <w:rFonts w:eastAsiaTheme="minorEastAsia"/>
                <w:color w:val="000000"/>
                <w:szCs w:val="21"/>
              </w:rPr>
              <w:t>350.00</w:t>
            </w:r>
          </w:p>
        </w:tc>
      </w:tr>
      <w:tr w:rsidR="00854133">
        <w:tc>
          <w:tcPr>
            <w:tcW w:w="1588" w:type="dxa"/>
            <w:vAlign w:val="center"/>
          </w:tcPr>
          <w:p w:rsidR="00854133" w:rsidRDefault="00581AA4">
            <w:pPr>
              <w:jc w:val="center"/>
            </w:pPr>
            <w:r>
              <w:rPr>
                <w:rFonts w:eastAsiaTheme="minorEastAsia"/>
                <w:color w:val="000000"/>
                <w:szCs w:val="21"/>
              </w:rPr>
              <w:t>应交税费</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应付利息</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应付利润</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递延所得税负债</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其他负债</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353,762.40</w:t>
            </w:r>
          </w:p>
        </w:tc>
        <w:tc>
          <w:tcPr>
            <w:tcW w:w="1301" w:type="dxa"/>
            <w:vAlign w:val="center"/>
          </w:tcPr>
          <w:p w:rsidR="00854133" w:rsidRDefault="00581AA4">
            <w:pPr>
              <w:jc w:val="right"/>
            </w:pPr>
            <w:r>
              <w:rPr>
                <w:rFonts w:eastAsiaTheme="minorEastAsia"/>
                <w:color w:val="000000"/>
                <w:szCs w:val="21"/>
              </w:rPr>
              <w:t>353,762.40</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负债总计</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9,797,857.16</w:t>
            </w:r>
          </w:p>
        </w:tc>
        <w:tc>
          <w:tcPr>
            <w:tcW w:w="1301" w:type="dxa"/>
            <w:vAlign w:val="center"/>
          </w:tcPr>
          <w:p w:rsidR="00A10C6C" w:rsidRPr="00C24ACA" w:rsidRDefault="00A10C6C" w:rsidP="00C903E7">
            <w:pPr>
              <w:spacing w:line="360" w:lineRule="auto"/>
              <w:ind w:right="210"/>
              <w:jc w:val="right"/>
              <w:rPr>
                <w:rFonts w:eastAsiaTheme="minorEastAsia"/>
                <w:szCs w:val="21"/>
              </w:rPr>
            </w:pPr>
            <w:r w:rsidRPr="00C24ACA">
              <w:rPr>
                <w:rFonts w:eastAsiaTheme="minorEastAsia"/>
                <w:szCs w:val="21"/>
              </w:rPr>
              <w:t>9,797,857.16</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利率敏感度缺口</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66,527,603.68</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233,278,047.22</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299,805,650.90</w:t>
            </w:r>
          </w:p>
        </w:tc>
      </w:tr>
      <w:tr w:rsidR="00A10C6C" w:rsidRPr="00C24ACA" w:rsidTr="004C02E0">
        <w:trPr>
          <w:trHeight w:val="280"/>
        </w:trPr>
        <w:tc>
          <w:tcPr>
            <w:tcW w:w="1588" w:type="dxa"/>
            <w:vAlign w:val="center"/>
          </w:tcPr>
          <w:p w:rsidR="00A10C6C" w:rsidRPr="00C24ACA" w:rsidRDefault="00A10C6C" w:rsidP="00427BFF">
            <w:pPr>
              <w:spacing w:line="360" w:lineRule="auto"/>
              <w:jc w:val="center"/>
              <w:rPr>
                <w:rFonts w:eastAsiaTheme="minorEastAsia"/>
                <w:szCs w:val="21"/>
              </w:rPr>
            </w:pPr>
            <w:r w:rsidRPr="00C24ACA">
              <w:rPr>
                <w:rFonts w:eastAsiaTheme="minorEastAsia"/>
                <w:szCs w:val="21"/>
              </w:rPr>
              <w:t>上年度末</w:t>
            </w:r>
          </w:p>
          <w:p w:rsidR="00A10C6C" w:rsidRPr="00C24ACA" w:rsidRDefault="00A10C6C" w:rsidP="00427BFF">
            <w:pPr>
              <w:spacing w:line="360" w:lineRule="auto"/>
              <w:jc w:val="center"/>
              <w:rPr>
                <w:rFonts w:eastAsiaTheme="minorEastAsia"/>
                <w:color w:val="000000"/>
                <w:szCs w:val="21"/>
              </w:rPr>
            </w:pPr>
            <w:r w:rsidRPr="00C24ACA">
              <w:rPr>
                <w:rFonts w:eastAsiaTheme="minorEastAsia"/>
                <w:szCs w:val="21"/>
              </w:rPr>
              <w:t>2019</w:t>
            </w:r>
            <w:r w:rsidRPr="00C24ACA">
              <w:rPr>
                <w:rFonts w:eastAsiaTheme="minorEastAsia"/>
                <w:szCs w:val="21"/>
              </w:rPr>
              <w:t>年</w:t>
            </w:r>
            <w:r w:rsidRPr="00C24ACA">
              <w:rPr>
                <w:rFonts w:eastAsiaTheme="minorEastAsia"/>
                <w:szCs w:val="21"/>
              </w:rPr>
              <w:t>12</w:t>
            </w:r>
            <w:r w:rsidRPr="00C24ACA">
              <w:rPr>
                <w:rFonts w:eastAsiaTheme="minorEastAsia"/>
                <w:szCs w:val="21"/>
              </w:rPr>
              <w:t>月</w:t>
            </w:r>
            <w:r w:rsidRPr="00C24ACA">
              <w:rPr>
                <w:rFonts w:eastAsiaTheme="minorEastAsia"/>
                <w:szCs w:val="21"/>
              </w:rPr>
              <w:t>31</w:t>
            </w:r>
            <w:r w:rsidRPr="00C24ACA">
              <w:rPr>
                <w:rFonts w:eastAsiaTheme="minorEastAsia"/>
                <w:szCs w:val="21"/>
              </w:rPr>
              <w:t>日</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年以内</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1-5</w:t>
            </w:r>
            <w:r w:rsidRPr="00C24ACA">
              <w:rPr>
                <w:rFonts w:eastAsiaTheme="minorEastAsia"/>
                <w:color w:val="000000"/>
                <w:szCs w:val="21"/>
              </w:rPr>
              <w:t>年</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年以上</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不计息</w:t>
            </w:r>
          </w:p>
        </w:tc>
        <w:tc>
          <w:tcPr>
            <w:tcW w:w="13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合计</w:t>
            </w:r>
          </w:p>
        </w:tc>
      </w:tr>
      <w:tr w:rsidR="00A10C6C" w:rsidRPr="00C24ACA" w:rsidTr="004C02E0">
        <w:trPr>
          <w:trHeight w:val="280"/>
        </w:trPr>
        <w:tc>
          <w:tcPr>
            <w:tcW w:w="1588" w:type="dxa"/>
          </w:tcPr>
          <w:p w:rsidR="00A10C6C" w:rsidRPr="00C24ACA" w:rsidRDefault="00A10C6C" w:rsidP="00865B2B">
            <w:pPr>
              <w:spacing w:line="360" w:lineRule="auto"/>
              <w:jc w:val="center"/>
              <w:rPr>
                <w:rFonts w:eastAsiaTheme="minorEastAsia"/>
                <w:color w:val="000000"/>
                <w:szCs w:val="21"/>
              </w:rPr>
            </w:pPr>
            <w:r w:rsidRPr="00C24ACA">
              <w:rPr>
                <w:rFonts w:eastAsiaTheme="minorEastAsia"/>
                <w:color w:val="000000"/>
                <w:szCs w:val="21"/>
              </w:rPr>
              <w:t>资产</w:t>
            </w: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701" w:type="dxa"/>
            <w:vAlign w:val="center"/>
          </w:tcPr>
          <w:p w:rsidR="00A10C6C" w:rsidRPr="00C24ACA" w:rsidRDefault="00A10C6C" w:rsidP="00427BFF">
            <w:pPr>
              <w:spacing w:line="360" w:lineRule="auto"/>
              <w:jc w:val="right"/>
              <w:rPr>
                <w:rFonts w:eastAsiaTheme="minorEastAsia"/>
                <w:b/>
                <w:color w:val="000000"/>
                <w:szCs w:val="21"/>
              </w:rPr>
            </w:pPr>
          </w:p>
        </w:tc>
        <w:tc>
          <w:tcPr>
            <w:tcW w:w="1559" w:type="dxa"/>
            <w:vAlign w:val="center"/>
          </w:tcPr>
          <w:p w:rsidR="00A10C6C" w:rsidRPr="00C24ACA" w:rsidRDefault="00A10C6C" w:rsidP="00427BFF">
            <w:pPr>
              <w:spacing w:line="360" w:lineRule="auto"/>
              <w:jc w:val="right"/>
              <w:rPr>
                <w:rFonts w:eastAsiaTheme="minorEastAsia"/>
                <w:b/>
                <w:color w:val="000000"/>
                <w:szCs w:val="21"/>
              </w:rPr>
            </w:pPr>
          </w:p>
        </w:tc>
        <w:tc>
          <w:tcPr>
            <w:tcW w:w="1559" w:type="dxa"/>
            <w:vAlign w:val="center"/>
          </w:tcPr>
          <w:p w:rsidR="00A10C6C" w:rsidRPr="00C24ACA" w:rsidRDefault="00A10C6C" w:rsidP="00427BFF">
            <w:pPr>
              <w:spacing w:line="360" w:lineRule="auto"/>
              <w:jc w:val="right"/>
              <w:rPr>
                <w:rFonts w:eastAsiaTheme="minorEastAsia"/>
                <w:b/>
                <w:color w:val="000000"/>
                <w:szCs w:val="21"/>
              </w:rPr>
            </w:pPr>
          </w:p>
        </w:tc>
        <w:tc>
          <w:tcPr>
            <w:tcW w:w="1301" w:type="dxa"/>
            <w:vAlign w:val="center"/>
          </w:tcPr>
          <w:p w:rsidR="00A10C6C" w:rsidRPr="00C24ACA" w:rsidRDefault="00A10C6C" w:rsidP="00427BFF">
            <w:pPr>
              <w:spacing w:line="360" w:lineRule="auto"/>
              <w:jc w:val="right"/>
              <w:rPr>
                <w:rFonts w:eastAsiaTheme="minorEastAsia"/>
                <w:b/>
                <w:color w:val="000000"/>
                <w:szCs w:val="21"/>
              </w:rPr>
            </w:pPr>
          </w:p>
        </w:tc>
      </w:tr>
      <w:tr w:rsidR="00854133">
        <w:tc>
          <w:tcPr>
            <w:tcW w:w="1588" w:type="dxa"/>
            <w:vAlign w:val="center"/>
          </w:tcPr>
          <w:p w:rsidR="00854133" w:rsidRDefault="00581AA4">
            <w:pPr>
              <w:jc w:val="center"/>
            </w:pPr>
            <w:r>
              <w:rPr>
                <w:rFonts w:eastAsiaTheme="minorEastAsia"/>
                <w:color w:val="000000"/>
                <w:szCs w:val="21"/>
              </w:rPr>
              <w:t>银行存款</w:t>
            </w:r>
          </w:p>
        </w:tc>
        <w:tc>
          <w:tcPr>
            <w:tcW w:w="1701" w:type="dxa"/>
            <w:vAlign w:val="center"/>
          </w:tcPr>
          <w:p w:rsidR="00854133" w:rsidRDefault="00581AA4">
            <w:pPr>
              <w:jc w:val="right"/>
            </w:pPr>
            <w:r>
              <w:rPr>
                <w:rFonts w:eastAsiaTheme="minorEastAsia"/>
                <w:color w:val="000000"/>
                <w:szCs w:val="21"/>
              </w:rPr>
              <w:t>41,451,777.35</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41,451,777.35</w:t>
            </w:r>
          </w:p>
        </w:tc>
      </w:tr>
      <w:tr w:rsidR="00854133">
        <w:tc>
          <w:tcPr>
            <w:tcW w:w="1588" w:type="dxa"/>
            <w:vAlign w:val="center"/>
          </w:tcPr>
          <w:p w:rsidR="00854133" w:rsidRDefault="00581AA4">
            <w:pPr>
              <w:jc w:val="center"/>
            </w:pPr>
            <w:r>
              <w:rPr>
                <w:rFonts w:eastAsiaTheme="minorEastAsia"/>
                <w:color w:val="000000"/>
                <w:szCs w:val="21"/>
              </w:rPr>
              <w:t>结算备付金</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存出保证金</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交易性金融资产</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344,380,599.43</w:t>
            </w:r>
          </w:p>
        </w:tc>
        <w:tc>
          <w:tcPr>
            <w:tcW w:w="1301" w:type="dxa"/>
            <w:vAlign w:val="center"/>
          </w:tcPr>
          <w:p w:rsidR="00854133" w:rsidRDefault="00581AA4">
            <w:pPr>
              <w:jc w:val="right"/>
            </w:pPr>
            <w:r>
              <w:rPr>
                <w:rFonts w:eastAsiaTheme="minorEastAsia"/>
                <w:color w:val="000000"/>
                <w:szCs w:val="21"/>
              </w:rPr>
              <w:t>344,380,599.43</w:t>
            </w:r>
          </w:p>
        </w:tc>
      </w:tr>
      <w:tr w:rsidR="00854133">
        <w:tc>
          <w:tcPr>
            <w:tcW w:w="1588" w:type="dxa"/>
            <w:vAlign w:val="center"/>
          </w:tcPr>
          <w:p w:rsidR="00854133" w:rsidRDefault="00581AA4">
            <w:pPr>
              <w:jc w:val="center"/>
            </w:pPr>
            <w:r>
              <w:rPr>
                <w:rFonts w:eastAsiaTheme="minorEastAsia"/>
                <w:color w:val="000000"/>
                <w:szCs w:val="21"/>
              </w:rPr>
              <w:t>衍生金融资产</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买入返售金融资产</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应收证券清算款</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应收利息</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6,939.82</w:t>
            </w:r>
          </w:p>
        </w:tc>
        <w:tc>
          <w:tcPr>
            <w:tcW w:w="1301" w:type="dxa"/>
            <w:vAlign w:val="center"/>
          </w:tcPr>
          <w:p w:rsidR="00854133" w:rsidRDefault="00581AA4">
            <w:pPr>
              <w:jc w:val="right"/>
            </w:pPr>
            <w:r>
              <w:rPr>
                <w:rFonts w:eastAsiaTheme="minorEastAsia"/>
                <w:color w:val="000000"/>
                <w:szCs w:val="21"/>
              </w:rPr>
              <w:t>6,939.82</w:t>
            </w:r>
          </w:p>
        </w:tc>
      </w:tr>
      <w:tr w:rsidR="00854133">
        <w:tc>
          <w:tcPr>
            <w:tcW w:w="1588" w:type="dxa"/>
            <w:vAlign w:val="center"/>
          </w:tcPr>
          <w:p w:rsidR="00854133" w:rsidRDefault="00581AA4">
            <w:pPr>
              <w:jc w:val="center"/>
            </w:pPr>
            <w:r>
              <w:rPr>
                <w:rFonts w:eastAsiaTheme="minorEastAsia"/>
                <w:color w:val="000000"/>
                <w:szCs w:val="21"/>
              </w:rPr>
              <w:t>应收股利</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应收申购款</w:t>
            </w:r>
          </w:p>
        </w:tc>
        <w:tc>
          <w:tcPr>
            <w:tcW w:w="1701" w:type="dxa"/>
            <w:vAlign w:val="center"/>
          </w:tcPr>
          <w:p w:rsidR="00854133" w:rsidRDefault="00581AA4">
            <w:pPr>
              <w:jc w:val="right"/>
            </w:pPr>
            <w:r>
              <w:rPr>
                <w:rFonts w:eastAsiaTheme="minorEastAsia"/>
                <w:color w:val="000000"/>
                <w:szCs w:val="21"/>
              </w:rPr>
              <w:t>946,709.82</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1,299,603.07</w:t>
            </w:r>
          </w:p>
        </w:tc>
        <w:tc>
          <w:tcPr>
            <w:tcW w:w="1301" w:type="dxa"/>
            <w:vAlign w:val="center"/>
          </w:tcPr>
          <w:p w:rsidR="00854133" w:rsidRDefault="00581AA4">
            <w:pPr>
              <w:jc w:val="right"/>
            </w:pPr>
            <w:r>
              <w:rPr>
                <w:rFonts w:eastAsiaTheme="minorEastAsia"/>
                <w:color w:val="000000"/>
                <w:szCs w:val="21"/>
              </w:rPr>
              <w:t>2,246,312.89</w:t>
            </w:r>
          </w:p>
        </w:tc>
      </w:tr>
      <w:tr w:rsidR="00854133">
        <w:tc>
          <w:tcPr>
            <w:tcW w:w="1588" w:type="dxa"/>
            <w:vAlign w:val="center"/>
          </w:tcPr>
          <w:p w:rsidR="00854133" w:rsidRDefault="00581AA4">
            <w:pPr>
              <w:jc w:val="center"/>
            </w:pPr>
            <w:r>
              <w:rPr>
                <w:rFonts w:eastAsiaTheme="minorEastAsia"/>
                <w:color w:val="000000"/>
                <w:szCs w:val="21"/>
              </w:rPr>
              <w:t>递延所得税资产</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其他资产</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资产总计</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42,398,487.17</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345,687,142.32</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388,085,629.49</w:t>
            </w:r>
          </w:p>
        </w:tc>
      </w:tr>
      <w:tr w:rsidR="00A10C6C" w:rsidRPr="00C24ACA" w:rsidTr="004C02E0">
        <w:trPr>
          <w:trHeight w:val="278"/>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w:t>
            </w:r>
          </w:p>
        </w:tc>
        <w:tc>
          <w:tcPr>
            <w:tcW w:w="1701" w:type="dxa"/>
            <w:vAlign w:val="bottom"/>
          </w:tcPr>
          <w:p w:rsidR="00A10C6C" w:rsidRPr="00C24ACA" w:rsidRDefault="00A10C6C" w:rsidP="00427BFF">
            <w:pPr>
              <w:spacing w:line="360" w:lineRule="auto"/>
              <w:jc w:val="right"/>
              <w:rPr>
                <w:rFonts w:eastAsiaTheme="minorEastAsia"/>
                <w:color w:val="0000FF"/>
                <w:kern w:val="0"/>
                <w:szCs w:val="21"/>
              </w:rPr>
            </w:pPr>
          </w:p>
        </w:tc>
        <w:tc>
          <w:tcPr>
            <w:tcW w:w="1701" w:type="dxa"/>
            <w:vAlign w:val="bottom"/>
          </w:tcPr>
          <w:p w:rsidR="00A10C6C" w:rsidRPr="00C24ACA" w:rsidRDefault="00A10C6C" w:rsidP="00427BFF">
            <w:pPr>
              <w:spacing w:line="360" w:lineRule="auto"/>
              <w:jc w:val="right"/>
              <w:rPr>
                <w:rFonts w:eastAsiaTheme="minorEastAsia"/>
                <w:color w:val="000000"/>
                <w:szCs w:val="21"/>
              </w:rPr>
            </w:pPr>
          </w:p>
        </w:tc>
        <w:tc>
          <w:tcPr>
            <w:tcW w:w="1559" w:type="dxa"/>
            <w:vAlign w:val="bottom"/>
          </w:tcPr>
          <w:p w:rsidR="00A10C6C" w:rsidRPr="00C24ACA" w:rsidRDefault="00A10C6C" w:rsidP="00427BFF">
            <w:pPr>
              <w:spacing w:line="360" w:lineRule="auto"/>
              <w:jc w:val="right"/>
              <w:rPr>
                <w:rFonts w:eastAsiaTheme="minorEastAsia"/>
                <w:color w:val="000000"/>
                <w:szCs w:val="21"/>
              </w:rPr>
            </w:pPr>
          </w:p>
        </w:tc>
        <w:tc>
          <w:tcPr>
            <w:tcW w:w="1559" w:type="dxa"/>
            <w:vAlign w:val="bottom"/>
          </w:tcPr>
          <w:p w:rsidR="00A10C6C" w:rsidRPr="00C24ACA" w:rsidRDefault="00A10C6C" w:rsidP="00427BFF">
            <w:pPr>
              <w:spacing w:line="360" w:lineRule="auto"/>
              <w:jc w:val="right"/>
              <w:rPr>
                <w:rFonts w:eastAsiaTheme="minorEastAsia"/>
                <w:color w:val="000000"/>
                <w:szCs w:val="21"/>
              </w:rPr>
            </w:pPr>
          </w:p>
        </w:tc>
        <w:tc>
          <w:tcPr>
            <w:tcW w:w="1301" w:type="dxa"/>
            <w:vAlign w:val="bottom"/>
          </w:tcPr>
          <w:p w:rsidR="00A10C6C" w:rsidRPr="00C24ACA" w:rsidRDefault="00A10C6C" w:rsidP="00427BFF">
            <w:pPr>
              <w:spacing w:line="360" w:lineRule="auto"/>
              <w:jc w:val="right"/>
              <w:rPr>
                <w:rFonts w:eastAsiaTheme="minorEastAsia"/>
                <w:color w:val="000000"/>
                <w:szCs w:val="21"/>
              </w:rPr>
            </w:pPr>
          </w:p>
        </w:tc>
      </w:tr>
      <w:tr w:rsidR="00854133">
        <w:tc>
          <w:tcPr>
            <w:tcW w:w="1588" w:type="dxa"/>
            <w:vAlign w:val="center"/>
          </w:tcPr>
          <w:p w:rsidR="00854133" w:rsidRDefault="00581AA4">
            <w:pPr>
              <w:jc w:val="center"/>
            </w:pPr>
            <w:r>
              <w:rPr>
                <w:rFonts w:eastAsiaTheme="minorEastAsia"/>
                <w:color w:val="000000"/>
                <w:szCs w:val="21"/>
              </w:rPr>
              <w:t>短期借款</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center"/>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交易性金融负债</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center"/>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衍生金融负债</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center"/>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卖出回购金融资产款</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center"/>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应付证券清算款</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center"/>
            </w:pPr>
            <w:r>
              <w:rPr>
                <w:rFonts w:eastAsiaTheme="minorEastAsia"/>
                <w:color w:val="000000"/>
                <w:szCs w:val="21"/>
              </w:rPr>
              <w:t>372,999.69</w:t>
            </w:r>
          </w:p>
        </w:tc>
        <w:tc>
          <w:tcPr>
            <w:tcW w:w="1301" w:type="dxa"/>
            <w:vAlign w:val="center"/>
          </w:tcPr>
          <w:p w:rsidR="00854133" w:rsidRDefault="00581AA4">
            <w:pPr>
              <w:jc w:val="right"/>
            </w:pPr>
            <w:r>
              <w:rPr>
                <w:rFonts w:eastAsiaTheme="minorEastAsia"/>
                <w:color w:val="000000"/>
                <w:szCs w:val="21"/>
              </w:rPr>
              <w:t>372,999.69</w:t>
            </w:r>
          </w:p>
        </w:tc>
      </w:tr>
      <w:tr w:rsidR="00854133">
        <w:tc>
          <w:tcPr>
            <w:tcW w:w="1588" w:type="dxa"/>
            <w:vAlign w:val="center"/>
          </w:tcPr>
          <w:p w:rsidR="00854133" w:rsidRDefault="00581AA4">
            <w:pPr>
              <w:jc w:val="center"/>
            </w:pPr>
            <w:r>
              <w:rPr>
                <w:rFonts w:eastAsiaTheme="minorEastAsia"/>
                <w:color w:val="000000"/>
                <w:szCs w:val="21"/>
              </w:rPr>
              <w:t>应付赎回款</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center"/>
            </w:pPr>
            <w:r>
              <w:rPr>
                <w:rFonts w:eastAsiaTheme="minorEastAsia"/>
                <w:color w:val="000000"/>
                <w:szCs w:val="21"/>
              </w:rPr>
              <w:t>19,894,263.63</w:t>
            </w:r>
          </w:p>
        </w:tc>
        <w:tc>
          <w:tcPr>
            <w:tcW w:w="1301" w:type="dxa"/>
            <w:vAlign w:val="center"/>
          </w:tcPr>
          <w:p w:rsidR="00854133" w:rsidRDefault="00581AA4">
            <w:pPr>
              <w:jc w:val="right"/>
            </w:pPr>
            <w:r>
              <w:rPr>
                <w:rFonts w:eastAsiaTheme="minorEastAsia"/>
                <w:color w:val="000000"/>
                <w:szCs w:val="21"/>
              </w:rPr>
              <w:t>19,894,263.63</w:t>
            </w:r>
          </w:p>
        </w:tc>
      </w:tr>
      <w:tr w:rsidR="00854133">
        <w:tc>
          <w:tcPr>
            <w:tcW w:w="1588" w:type="dxa"/>
            <w:vAlign w:val="center"/>
          </w:tcPr>
          <w:p w:rsidR="00854133" w:rsidRDefault="00581AA4">
            <w:pPr>
              <w:jc w:val="center"/>
            </w:pPr>
            <w:r>
              <w:rPr>
                <w:rFonts w:eastAsiaTheme="minorEastAsia"/>
                <w:color w:val="000000"/>
                <w:szCs w:val="21"/>
              </w:rPr>
              <w:t>应付管理人报酬</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center"/>
            </w:pPr>
            <w:r>
              <w:rPr>
                <w:rFonts w:eastAsiaTheme="minorEastAsia"/>
                <w:color w:val="000000"/>
                <w:szCs w:val="21"/>
              </w:rPr>
              <w:t>371,761.99</w:t>
            </w:r>
          </w:p>
        </w:tc>
        <w:tc>
          <w:tcPr>
            <w:tcW w:w="1301" w:type="dxa"/>
            <w:vAlign w:val="center"/>
          </w:tcPr>
          <w:p w:rsidR="00854133" w:rsidRDefault="00581AA4">
            <w:pPr>
              <w:jc w:val="right"/>
            </w:pPr>
            <w:r>
              <w:rPr>
                <w:rFonts w:eastAsiaTheme="minorEastAsia"/>
                <w:color w:val="000000"/>
                <w:szCs w:val="21"/>
              </w:rPr>
              <w:t>371,761.99</w:t>
            </w:r>
          </w:p>
        </w:tc>
      </w:tr>
      <w:tr w:rsidR="00854133">
        <w:tc>
          <w:tcPr>
            <w:tcW w:w="1588" w:type="dxa"/>
            <w:vAlign w:val="center"/>
          </w:tcPr>
          <w:p w:rsidR="00854133" w:rsidRDefault="00581AA4">
            <w:pPr>
              <w:jc w:val="center"/>
            </w:pPr>
            <w:r>
              <w:rPr>
                <w:rFonts w:eastAsiaTheme="minorEastAsia"/>
                <w:color w:val="000000"/>
                <w:szCs w:val="21"/>
              </w:rPr>
              <w:t>应付托管费</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center"/>
            </w:pPr>
            <w:r>
              <w:rPr>
                <w:rFonts w:eastAsiaTheme="minorEastAsia"/>
                <w:color w:val="000000"/>
                <w:szCs w:val="21"/>
              </w:rPr>
              <w:t>61,960.32</w:t>
            </w:r>
          </w:p>
        </w:tc>
        <w:tc>
          <w:tcPr>
            <w:tcW w:w="1301" w:type="dxa"/>
            <w:vAlign w:val="center"/>
          </w:tcPr>
          <w:p w:rsidR="00854133" w:rsidRDefault="00581AA4">
            <w:pPr>
              <w:jc w:val="right"/>
            </w:pPr>
            <w:r>
              <w:rPr>
                <w:rFonts w:eastAsiaTheme="minorEastAsia"/>
                <w:color w:val="000000"/>
                <w:szCs w:val="21"/>
              </w:rPr>
              <w:t>61,960.32</w:t>
            </w:r>
          </w:p>
        </w:tc>
      </w:tr>
      <w:tr w:rsidR="00854133">
        <w:tc>
          <w:tcPr>
            <w:tcW w:w="1588" w:type="dxa"/>
            <w:vAlign w:val="center"/>
          </w:tcPr>
          <w:p w:rsidR="00854133" w:rsidRDefault="00581AA4">
            <w:pPr>
              <w:jc w:val="center"/>
            </w:pPr>
            <w:r>
              <w:rPr>
                <w:rFonts w:eastAsiaTheme="minorEastAsia"/>
                <w:color w:val="000000"/>
                <w:szCs w:val="21"/>
              </w:rPr>
              <w:t>应付销售服务费</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center"/>
            </w:pPr>
            <w:r>
              <w:rPr>
                <w:rFonts w:eastAsiaTheme="minorEastAsia"/>
                <w:color w:val="000000"/>
                <w:szCs w:val="21"/>
              </w:rPr>
              <w:t>28.11</w:t>
            </w:r>
          </w:p>
        </w:tc>
        <w:tc>
          <w:tcPr>
            <w:tcW w:w="1301" w:type="dxa"/>
            <w:vAlign w:val="center"/>
          </w:tcPr>
          <w:p w:rsidR="00854133" w:rsidRDefault="00581AA4">
            <w:pPr>
              <w:jc w:val="right"/>
            </w:pPr>
            <w:r>
              <w:rPr>
                <w:rFonts w:eastAsiaTheme="minorEastAsia"/>
                <w:color w:val="000000"/>
                <w:szCs w:val="21"/>
              </w:rPr>
              <w:t>28.11</w:t>
            </w:r>
          </w:p>
        </w:tc>
      </w:tr>
      <w:tr w:rsidR="00854133">
        <w:tc>
          <w:tcPr>
            <w:tcW w:w="1588" w:type="dxa"/>
            <w:vAlign w:val="center"/>
          </w:tcPr>
          <w:p w:rsidR="00854133" w:rsidRDefault="00581AA4">
            <w:pPr>
              <w:jc w:val="center"/>
            </w:pPr>
            <w:r>
              <w:rPr>
                <w:rFonts w:eastAsiaTheme="minorEastAsia"/>
                <w:color w:val="000000"/>
                <w:szCs w:val="21"/>
              </w:rPr>
              <w:t>应付交易费用</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center"/>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应交税费</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center"/>
            </w:pPr>
            <w:r>
              <w:rPr>
                <w:rFonts w:eastAsiaTheme="minorEastAsia"/>
                <w:color w:val="000000"/>
                <w:szCs w:val="21"/>
              </w:rPr>
              <w:t>227,206.18</w:t>
            </w:r>
          </w:p>
        </w:tc>
        <w:tc>
          <w:tcPr>
            <w:tcW w:w="1301" w:type="dxa"/>
            <w:vAlign w:val="center"/>
          </w:tcPr>
          <w:p w:rsidR="00854133" w:rsidRDefault="00581AA4">
            <w:pPr>
              <w:jc w:val="right"/>
            </w:pPr>
            <w:r>
              <w:rPr>
                <w:rFonts w:eastAsiaTheme="minorEastAsia"/>
                <w:color w:val="000000"/>
                <w:szCs w:val="21"/>
              </w:rPr>
              <w:t>227,206.18</w:t>
            </w:r>
          </w:p>
        </w:tc>
      </w:tr>
      <w:tr w:rsidR="00854133">
        <w:tc>
          <w:tcPr>
            <w:tcW w:w="1588" w:type="dxa"/>
            <w:vAlign w:val="center"/>
          </w:tcPr>
          <w:p w:rsidR="00854133" w:rsidRDefault="00581AA4">
            <w:pPr>
              <w:jc w:val="center"/>
            </w:pPr>
            <w:r>
              <w:rPr>
                <w:rFonts w:eastAsiaTheme="minorEastAsia"/>
                <w:color w:val="000000"/>
                <w:szCs w:val="21"/>
              </w:rPr>
              <w:t>应付利息</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center"/>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应付利润</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center"/>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递延所得税负债</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center"/>
            </w:pPr>
            <w:r>
              <w:rPr>
                <w:rFonts w:eastAsiaTheme="minorEastAsia"/>
                <w:color w:val="000000"/>
                <w:szCs w:val="21"/>
              </w:rPr>
              <w:t>-</w:t>
            </w:r>
          </w:p>
        </w:tc>
        <w:tc>
          <w:tcPr>
            <w:tcW w:w="1301" w:type="dxa"/>
            <w:vAlign w:val="center"/>
          </w:tcPr>
          <w:p w:rsidR="00854133" w:rsidRDefault="00581AA4">
            <w:pPr>
              <w:jc w:val="right"/>
            </w:pPr>
            <w:r>
              <w:rPr>
                <w:rFonts w:eastAsiaTheme="minorEastAsia"/>
                <w:color w:val="000000"/>
                <w:szCs w:val="21"/>
              </w:rPr>
              <w:t>-</w:t>
            </w:r>
          </w:p>
        </w:tc>
      </w:tr>
      <w:tr w:rsidR="00854133">
        <w:tc>
          <w:tcPr>
            <w:tcW w:w="1588" w:type="dxa"/>
            <w:vAlign w:val="center"/>
          </w:tcPr>
          <w:p w:rsidR="00854133" w:rsidRDefault="00581AA4">
            <w:pPr>
              <w:jc w:val="center"/>
            </w:pPr>
            <w:r>
              <w:rPr>
                <w:rFonts w:eastAsiaTheme="minorEastAsia"/>
                <w:color w:val="000000"/>
                <w:szCs w:val="21"/>
              </w:rPr>
              <w:t>其他负债</w:t>
            </w:r>
          </w:p>
        </w:tc>
        <w:tc>
          <w:tcPr>
            <w:tcW w:w="1701" w:type="dxa"/>
            <w:vAlign w:val="center"/>
          </w:tcPr>
          <w:p w:rsidR="00854133" w:rsidRDefault="00581AA4">
            <w:pPr>
              <w:jc w:val="right"/>
            </w:pPr>
            <w:r>
              <w:rPr>
                <w:rFonts w:eastAsiaTheme="minorEastAsia"/>
                <w:color w:val="000000"/>
                <w:szCs w:val="21"/>
              </w:rPr>
              <w:t>-</w:t>
            </w:r>
          </w:p>
        </w:tc>
        <w:tc>
          <w:tcPr>
            <w:tcW w:w="1701"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right"/>
            </w:pPr>
            <w:r>
              <w:rPr>
                <w:rFonts w:eastAsiaTheme="minorEastAsia"/>
                <w:color w:val="000000"/>
                <w:szCs w:val="21"/>
              </w:rPr>
              <w:t>-</w:t>
            </w:r>
          </w:p>
        </w:tc>
        <w:tc>
          <w:tcPr>
            <w:tcW w:w="1559" w:type="dxa"/>
            <w:vAlign w:val="center"/>
          </w:tcPr>
          <w:p w:rsidR="00854133" w:rsidRDefault="00581AA4">
            <w:pPr>
              <w:jc w:val="center"/>
            </w:pPr>
            <w:r>
              <w:rPr>
                <w:rFonts w:eastAsiaTheme="minorEastAsia"/>
                <w:color w:val="000000"/>
                <w:szCs w:val="21"/>
              </w:rPr>
              <w:t>317,995.34</w:t>
            </w:r>
          </w:p>
        </w:tc>
        <w:tc>
          <w:tcPr>
            <w:tcW w:w="1301" w:type="dxa"/>
            <w:vAlign w:val="center"/>
          </w:tcPr>
          <w:p w:rsidR="00854133" w:rsidRDefault="00581AA4">
            <w:pPr>
              <w:jc w:val="right"/>
            </w:pPr>
            <w:r>
              <w:rPr>
                <w:rFonts w:eastAsiaTheme="minorEastAsia"/>
                <w:color w:val="000000"/>
                <w:szCs w:val="21"/>
              </w:rPr>
              <w:t>317,995.34</w:t>
            </w:r>
          </w:p>
        </w:tc>
      </w:tr>
      <w:tr w:rsidR="00A10C6C" w:rsidRPr="00C24ACA" w:rsidTr="004C02E0">
        <w:trPr>
          <w:trHeight w:val="278"/>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负债总计</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21,246,215.26</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21,246,215.26</w:t>
            </w:r>
          </w:p>
        </w:tc>
      </w:tr>
      <w:tr w:rsidR="00A10C6C" w:rsidRPr="00C24ACA" w:rsidTr="004C02E0">
        <w:trPr>
          <w:trHeight w:val="278"/>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利率敏感度缺口</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42,398,487.17</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324,440,927.06</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366,839,414.23</w:t>
            </w:r>
          </w:p>
        </w:tc>
      </w:tr>
    </w:tbl>
    <w:p w:rsidR="008A5A5D" w:rsidRPr="00C24ACA" w:rsidRDefault="00A10C6C"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注：各期限分类的标准为按金融资产或金融负债的重新定价日或到期日孰早者进行分类。</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6.4.13.4.1.2</w:t>
      </w:r>
      <w:r w:rsidRPr="00C24ACA">
        <w:rPr>
          <w:rFonts w:eastAsiaTheme="minor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854133">
        <w:tc>
          <w:tcPr>
            <w:tcW w:w="851" w:type="dxa"/>
            <w:vAlign w:val="center"/>
          </w:tcPr>
          <w:p w:rsidR="00854133" w:rsidRDefault="00581AA4">
            <w:pPr>
              <w:jc w:val="left"/>
            </w:pPr>
            <w:r>
              <w:rPr>
                <w:rFonts w:eastAsiaTheme="minorEastAsia"/>
                <w:color w:val="000000"/>
                <w:szCs w:val="21"/>
              </w:rPr>
              <w:t>假设</w:t>
            </w:r>
          </w:p>
        </w:tc>
        <w:tc>
          <w:tcPr>
            <w:tcW w:w="8149" w:type="dxa"/>
            <w:gridSpan w:val="3"/>
            <w:vAlign w:val="center"/>
          </w:tcPr>
          <w:p w:rsidR="00854133" w:rsidRDefault="00581AA4">
            <w:pPr>
              <w:jc w:val="left"/>
            </w:pPr>
            <w:r>
              <w:rPr>
                <w:rFonts w:eastAsiaTheme="minorEastAsia"/>
                <w:color w:val="000000"/>
                <w:szCs w:val="21"/>
              </w:rPr>
              <w:t>除市场利率以外的其他市场变量保持不变</w:t>
            </w:r>
          </w:p>
        </w:tc>
      </w:tr>
      <w:tr w:rsidR="00022F8F" w:rsidRPr="00C24ACA" w:rsidTr="0087507A">
        <w:tc>
          <w:tcPr>
            <w:tcW w:w="851" w:type="dxa"/>
            <w:vMerge w:val="restart"/>
            <w:vAlign w:val="center"/>
          </w:tcPr>
          <w:p w:rsidR="00022F8F" w:rsidRPr="00C24ACA" w:rsidRDefault="00022F8F" w:rsidP="00F86374">
            <w:pPr>
              <w:pStyle w:val="ae"/>
              <w:jc w:val="center"/>
              <w:rPr>
                <w:rFonts w:eastAsiaTheme="minorEastAsia"/>
                <w:color w:val="000000"/>
                <w:sz w:val="21"/>
                <w:szCs w:val="21"/>
              </w:rPr>
            </w:pPr>
            <w:r w:rsidRPr="00C24ACA">
              <w:rPr>
                <w:rFonts w:eastAsiaTheme="minorEastAsia"/>
                <w:bCs/>
                <w:color w:val="000000"/>
                <w:sz w:val="21"/>
                <w:szCs w:val="21"/>
              </w:rPr>
              <w:t>分析</w:t>
            </w:r>
          </w:p>
        </w:tc>
        <w:tc>
          <w:tcPr>
            <w:tcW w:w="2551" w:type="dxa"/>
            <w:vMerge w:val="restart"/>
            <w:vAlign w:val="center"/>
          </w:tcPr>
          <w:p w:rsidR="00022F8F" w:rsidRPr="00C24ACA" w:rsidRDefault="00022F8F" w:rsidP="0087507A">
            <w:pPr>
              <w:widowControl/>
              <w:autoSpaceDE w:val="0"/>
              <w:autoSpaceDN w:val="0"/>
              <w:ind w:right="-15"/>
              <w:jc w:val="center"/>
              <w:textAlignment w:val="bottom"/>
              <w:rPr>
                <w:rFonts w:eastAsiaTheme="minorEastAsia"/>
                <w:color w:val="000000"/>
                <w:kern w:val="0"/>
                <w:szCs w:val="21"/>
              </w:rPr>
            </w:pPr>
            <w:r w:rsidRPr="00C24ACA">
              <w:rPr>
                <w:rFonts w:eastAsiaTheme="minorEastAsia"/>
                <w:bCs/>
                <w:color w:val="000000"/>
                <w:szCs w:val="21"/>
              </w:rPr>
              <w:t>相关风险变量的变动</w:t>
            </w:r>
          </w:p>
        </w:tc>
        <w:tc>
          <w:tcPr>
            <w:tcW w:w="5598" w:type="dxa"/>
            <w:gridSpan w:val="2"/>
          </w:tcPr>
          <w:p w:rsidR="00022F8F" w:rsidRPr="00C24ACA" w:rsidRDefault="00022F8F" w:rsidP="0087507A">
            <w:pPr>
              <w:jc w:val="center"/>
              <w:rPr>
                <w:rFonts w:eastAsiaTheme="minorEastAsia"/>
                <w:color w:val="000000"/>
                <w:szCs w:val="21"/>
              </w:rPr>
            </w:pPr>
            <w:r w:rsidRPr="00C24ACA">
              <w:rPr>
                <w:rFonts w:eastAsiaTheme="minorEastAsia"/>
                <w:color w:val="000000"/>
                <w:szCs w:val="21"/>
              </w:rPr>
              <w:t>对资产负债表日基金资产净值的</w:t>
            </w:r>
          </w:p>
          <w:p w:rsidR="00022F8F" w:rsidRPr="00C24ACA" w:rsidRDefault="00F86374" w:rsidP="00F86374">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00022F8F" w:rsidRPr="00C24ACA">
              <w:rPr>
                <w:rFonts w:eastAsiaTheme="minorEastAsia"/>
                <w:color w:val="000000"/>
                <w:szCs w:val="21"/>
              </w:rPr>
              <w:t>元）</w:t>
            </w:r>
          </w:p>
        </w:tc>
      </w:tr>
      <w:tr w:rsidR="00022F8F" w:rsidRPr="00C24ACA" w:rsidTr="0087507A">
        <w:tc>
          <w:tcPr>
            <w:tcW w:w="851" w:type="dxa"/>
            <w:vMerge/>
            <w:vAlign w:val="center"/>
          </w:tcPr>
          <w:p w:rsidR="00022F8F" w:rsidRPr="00C24ACA" w:rsidRDefault="00022F8F" w:rsidP="0087507A">
            <w:pPr>
              <w:widowControl/>
              <w:jc w:val="left"/>
              <w:rPr>
                <w:rFonts w:eastAsiaTheme="minorEastAsia"/>
                <w:color w:val="000000"/>
                <w:szCs w:val="21"/>
              </w:rPr>
            </w:pPr>
          </w:p>
        </w:tc>
        <w:tc>
          <w:tcPr>
            <w:tcW w:w="2551" w:type="dxa"/>
            <w:vMerge/>
            <w:vAlign w:val="center"/>
          </w:tcPr>
          <w:p w:rsidR="00022F8F" w:rsidRPr="00C24ACA" w:rsidRDefault="00022F8F" w:rsidP="0087507A">
            <w:pPr>
              <w:widowControl/>
              <w:jc w:val="left"/>
              <w:rPr>
                <w:rFonts w:eastAsiaTheme="minorEastAsia"/>
                <w:color w:val="000000"/>
                <w:kern w:val="0"/>
                <w:szCs w:val="21"/>
              </w:rPr>
            </w:pPr>
          </w:p>
        </w:tc>
        <w:tc>
          <w:tcPr>
            <w:tcW w:w="2694" w:type="dxa"/>
          </w:tcPr>
          <w:p w:rsidR="00022F8F" w:rsidRPr="00C24ACA" w:rsidRDefault="00022F8F" w:rsidP="008134C7">
            <w:pPr>
              <w:spacing w:line="360" w:lineRule="auto"/>
              <w:ind w:firstLineChars="350" w:firstLine="735"/>
              <w:rPr>
                <w:rFonts w:eastAsiaTheme="minorEastAsia"/>
                <w:color w:val="000000"/>
                <w:szCs w:val="21"/>
              </w:rPr>
            </w:pPr>
            <w:r w:rsidRPr="00C24ACA">
              <w:rPr>
                <w:rFonts w:eastAsiaTheme="minorEastAsia"/>
                <w:color w:val="000000"/>
                <w:szCs w:val="21"/>
              </w:rPr>
              <w:t>本期末</w:t>
            </w:r>
          </w:p>
          <w:p w:rsidR="00022F8F" w:rsidRPr="00C24ACA" w:rsidRDefault="00022F8F" w:rsidP="0087507A">
            <w:pPr>
              <w:spacing w:line="360" w:lineRule="auto"/>
              <w:jc w:val="center"/>
              <w:rPr>
                <w:rFonts w:eastAsiaTheme="minorEastAsia"/>
                <w:bCs/>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2904" w:type="dxa"/>
          </w:tcPr>
          <w:p w:rsidR="00022F8F" w:rsidRPr="00C24ACA" w:rsidRDefault="00022F8F" w:rsidP="008134C7">
            <w:pPr>
              <w:spacing w:line="360" w:lineRule="auto"/>
              <w:ind w:firstLineChars="300" w:firstLine="630"/>
              <w:rPr>
                <w:rFonts w:eastAsiaTheme="minorEastAsia"/>
                <w:color w:val="000000"/>
                <w:szCs w:val="21"/>
              </w:rPr>
            </w:pPr>
            <w:r w:rsidRPr="00C24ACA">
              <w:rPr>
                <w:rFonts w:eastAsiaTheme="minorEastAsia"/>
                <w:color w:val="000000"/>
                <w:szCs w:val="21"/>
              </w:rPr>
              <w:t>上年度末</w:t>
            </w:r>
          </w:p>
          <w:p w:rsidR="00022F8F" w:rsidRPr="00C24ACA" w:rsidRDefault="00022F8F" w:rsidP="0087507A">
            <w:pPr>
              <w:spacing w:line="360" w:lineRule="auto"/>
              <w:jc w:val="center"/>
              <w:rPr>
                <w:rFonts w:eastAsiaTheme="minorEastAsia"/>
                <w:bCs/>
                <w:color w:val="00000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12</w:t>
            </w:r>
            <w:r w:rsidRPr="00C24ACA">
              <w:rPr>
                <w:rFonts w:eastAsiaTheme="minorEastAsia"/>
                <w:color w:val="000000"/>
                <w:szCs w:val="21"/>
              </w:rPr>
              <w:t>月</w:t>
            </w:r>
            <w:r w:rsidRPr="00C24ACA">
              <w:rPr>
                <w:rFonts w:eastAsiaTheme="minorEastAsia"/>
                <w:color w:val="000000"/>
                <w:szCs w:val="21"/>
              </w:rPr>
              <w:t>31</w:t>
            </w:r>
            <w:r w:rsidRPr="00C24ACA">
              <w:rPr>
                <w:rFonts w:eastAsiaTheme="minorEastAsia"/>
                <w:color w:val="000000"/>
                <w:szCs w:val="21"/>
              </w:rPr>
              <w:t>日</w:t>
            </w:r>
          </w:p>
        </w:tc>
      </w:tr>
      <w:tr w:rsidR="00854133">
        <w:tc>
          <w:tcPr>
            <w:tcW w:w="851" w:type="dxa"/>
            <w:vMerge/>
          </w:tcPr>
          <w:p w:rsidR="00854133" w:rsidRDefault="00854133"/>
        </w:tc>
        <w:tc>
          <w:tcPr>
            <w:tcW w:w="2551" w:type="dxa"/>
            <w:vAlign w:val="center"/>
          </w:tcPr>
          <w:p w:rsidR="00854133" w:rsidRDefault="00581AA4">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854133" w:rsidRDefault="00581AA4">
            <w:pPr>
              <w:jc w:val="right"/>
            </w:pPr>
            <w:r>
              <w:rPr>
                <w:rFonts w:eastAsiaTheme="minorEastAsia"/>
                <w:color w:val="000000"/>
                <w:szCs w:val="21"/>
              </w:rPr>
              <w:t>54.17</w:t>
            </w:r>
          </w:p>
        </w:tc>
        <w:tc>
          <w:tcPr>
            <w:tcW w:w="2904" w:type="dxa"/>
            <w:vAlign w:val="center"/>
          </w:tcPr>
          <w:p w:rsidR="00854133" w:rsidRDefault="00581AA4">
            <w:pPr>
              <w:jc w:val="right"/>
            </w:pPr>
            <w:r>
              <w:rPr>
                <w:rFonts w:eastAsiaTheme="minorEastAsia"/>
                <w:color w:val="000000"/>
                <w:szCs w:val="21"/>
              </w:rPr>
              <w:t>-</w:t>
            </w:r>
          </w:p>
        </w:tc>
      </w:tr>
      <w:tr w:rsidR="00854133">
        <w:tc>
          <w:tcPr>
            <w:tcW w:w="851" w:type="dxa"/>
            <w:vMerge/>
          </w:tcPr>
          <w:p w:rsidR="00854133" w:rsidRDefault="00854133"/>
        </w:tc>
        <w:tc>
          <w:tcPr>
            <w:tcW w:w="2551" w:type="dxa"/>
            <w:vAlign w:val="center"/>
          </w:tcPr>
          <w:p w:rsidR="00854133" w:rsidRDefault="00581AA4">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854133" w:rsidRDefault="00581AA4">
            <w:pPr>
              <w:jc w:val="right"/>
            </w:pPr>
            <w:r>
              <w:rPr>
                <w:rFonts w:eastAsiaTheme="minorEastAsia"/>
                <w:color w:val="000000"/>
                <w:szCs w:val="21"/>
              </w:rPr>
              <w:t>54.17</w:t>
            </w:r>
          </w:p>
        </w:tc>
        <w:tc>
          <w:tcPr>
            <w:tcW w:w="2904" w:type="dxa"/>
            <w:vAlign w:val="center"/>
          </w:tcPr>
          <w:p w:rsidR="00854133" w:rsidRDefault="00581AA4">
            <w:pPr>
              <w:jc w:val="right"/>
            </w:pPr>
            <w:r>
              <w:rPr>
                <w:rFonts w:eastAsiaTheme="minorEastAsia"/>
                <w:color w:val="000000"/>
                <w:szCs w:val="21"/>
              </w:rPr>
              <w:t>-</w:t>
            </w:r>
          </w:p>
        </w:tc>
      </w:tr>
    </w:tbl>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6.4.13.4.2</w:t>
      </w:r>
      <w:r w:rsidRPr="00C24ACA">
        <w:rPr>
          <w:rFonts w:eastAsiaTheme="minorEastAsia"/>
          <w:b/>
          <w:bCs/>
          <w:color w:val="000000"/>
          <w:szCs w:val="21"/>
        </w:rPr>
        <w:t>外汇风险</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t>6.4.13.4.2.1</w:t>
      </w:r>
      <w:r w:rsidRPr="00C24ACA">
        <w:rPr>
          <w:rFonts w:eastAsiaTheme="minorEastAsia"/>
          <w:b/>
          <w:bCs/>
          <w:color w:val="000000"/>
          <w:szCs w:val="21"/>
        </w:rPr>
        <w:t>外汇风险敞口</w:t>
      </w:r>
    </w:p>
    <w:p w:rsidR="0056101E" w:rsidRPr="00C24ACA" w:rsidRDefault="0056101E" w:rsidP="0056101E">
      <w:pPr>
        <w:wordWrap w:val="0"/>
        <w:spacing w:line="360" w:lineRule="auto"/>
        <w:jc w:val="right"/>
        <w:rPr>
          <w:rFonts w:eastAsiaTheme="minorEastAsia"/>
          <w:color w:val="00000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7"/>
        <w:gridCol w:w="1943"/>
        <w:gridCol w:w="1400"/>
        <w:gridCol w:w="2020"/>
        <w:gridCol w:w="2160"/>
      </w:tblGrid>
      <w:tr w:rsidR="0056101E" w:rsidRPr="00C24ACA" w:rsidTr="00742218">
        <w:tc>
          <w:tcPr>
            <w:tcW w:w="1477" w:type="dxa"/>
            <w:vMerge w:val="restart"/>
            <w:vAlign w:val="center"/>
          </w:tcPr>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color w:val="000000"/>
                <w:szCs w:val="21"/>
              </w:rPr>
              <w:t>项目</w:t>
            </w:r>
          </w:p>
        </w:tc>
        <w:tc>
          <w:tcPr>
            <w:tcW w:w="7523" w:type="dxa"/>
            <w:gridSpan w:val="4"/>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本期末</w:t>
            </w:r>
          </w:p>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p>
        </w:tc>
      </w:tr>
      <w:tr w:rsidR="0056101E" w:rsidRPr="00C24ACA" w:rsidTr="00742218">
        <w:tc>
          <w:tcPr>
            <w:tcW w:w="1477" w:type="dxa"/>
            <w:vMerge/>
            <w:vAlign w:val="center"/>
          </w:tcPr>
          <w:p w:rsidR="0056101E" w:rsidRPr="00C24ACA" w:rsidRDefault="0056101E" w:rsidP="00742218">
            <w:pPr>
              <w:autoSpaceDE w:val="0"/>
              <w:autoSpaceDN w:val="0"/>
              <w:adjustRightInd w:val="0"/>
              <w:spacing w:before="29" w:line="360" w:lineRule="auto"/>
              <w:ind w:left="15"/>
              <w:jc w:val="left"/>
              <w:rPr>
                <w:rFonts w:eastAsiaTheme="minorEastAsia"/>
                <w:color w:val="000000"/>
                <w:kern w:val="0"/>
                <w:szCs w:val="21"/>
              </w:rPr>
            </w:pPr>
          </w:p>
        </w:tc>
        <w:tc>
          <w:tcPr>
            <w:tcW w:w="1943"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美元</w:t>
            </w:r>
          </w:p>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折合人民币</w:t>
            </w:r>
          </w:p>
        </w:tc>
        <w:tc>
          <w:tcPr>
            <w:tcW w:w="1400"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港币</w:t>
            </w:r>
          </w:p>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折合人民币</w:t>
            </w:r>
          </w:p>
        </w:tc>
        <w:tc>
          <w:tcPr>
            <w:tcW w:w="2020"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其他币种</w:t>
            </w:r>
          </w:p>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折合人民币</w:t>
            </w:r>
          </w:p>
        </w:tc>
        <w:tc>
          <w:tcPr>
            <w:tcW w:w="2160"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合计</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以外币计价的资产</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vAlign w:val="center"/>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854133">
        <w:tc>
          <w:tcPr>
            <w:tcW w:w="1477" w:type="dxa"/>
            <w:vAlign w:val="center"/>
          </w:tcPr>
          <w:p w:rsidR="00854133" w:rsidRDefault="00581AA4">
            <w:pPr>
              <w:jc w:val="left"/>
            </w:pPr>
            <w:r>
              <w:rPr>
                <w:rFonts w:eastAsiaTheme="minorEastAsia"/>
                <w:color w:val="000000"/>
                <w:kern w:val="0"/>
                <w:szCs w:val="21"/>
              </w:rPr>
              <w:t>银行存款</w:t>
            </w:r>
          </w:p>
        </w:tc>
        <w:tc>
          <w:tcPr>
            <w:tcW w:w="1943" w:type="dxa"/>
            <w:vAlign w:val="center"/>
          </w:tcPr>
          <w:p w:rsidR="00854133" w:rsidRDefault="00581AA4">
            <w:pPr>
              <w:jc w:val="right"/>
            </w:pPr>
            <w:r>
              <w:rPr>
                <w:rFonts w:eastAsiaTheme="minorEastAsia"/>
                <w:color w:val="000000"/>
                <w:kern w:val="0"/>
                <w:szCs w:val="21"/>
              </w:rPr>
              <w:t>38,362,520.12</w:t>
            </w:r>
          </w:p>
        </w:tc>
        <w:tc>
          <w:tcPr>
            <w:tcW w:w="1400" w:type="dxa"/>
            <w:vAlign w:val="center"/>
          </w:tcPr>
          <w:p w:rsidR="00854133" w:rsidRDefault="00581AA4">
            <w:pPr>
              <w:jc w:val="right"/>
            </w:pPr>
            <w:r>
              <w:rPr>
                <w:rFonts w:eastAsiaTheme="minorEastAsia"/>
                <w:color w:val="000000"/>
                <w:kern w:val="0"/>
                <w:szCs w:val="21"/>
              </w:rPr>
              <w:t>120.32</w:t>
            </w:r>
          </w:p>
        </w:tc>
        <w:tc>
          <w:tcPr>
            <w:tcW w:w="2020" w:type="dxa"/>
            <w:vAlign w:val="center"/>
          </w:tcPr>
          <w:p w:rsidR="00854133" w:rsidRDefault="00581AA4">
            <w:pPr>
              <w:jc w:val="right"/>
            </w:pPr>
            <w:r>
              <w:rPr>
                <w:rFonts w:eastAsiaTheme="minorEastAsia"/>
                <w:color w:val="000000"/>
                <w:kern w:val="0"/>
                <w:szCs w:val="21"/>
              </w:rPr>
              <w:t>93,962.04</w:t>
            </w:r>
          </w:p>
        </w:tc>
        <w:tc>
          <w:tcPr>
            <w:tcW w:w="2160" w:type="dxa"/>
            <w:vAlign w:val="center"/>
          </w:tcPr>
          <w:p w:rsidR="00854133" w:rsidRDefault="00581AA4">
            <w:pPr>
              <w:jc w:val="right"/>
            </w:pPr>
            <w:r>
              <w:rPr>
                <w:rFonts w:eastAsiaTheme="minorEastAsia"/>
                <w:color w:val="000000"/>
                <w:kern w:val="0"/>
                <w:szCs w:val="21"/>
              </w:rPr>
              <w:t>38,456,602.48</w:t>
            </w:r>
          </w:p>
        </w:tc>
      </w:tr>
      <w:tr w:rsidR="00854133">
        <w:tc>
          <w:tcPr>
            <w:tcW w:w="1477" w:type="dxa"/>
            <w:vAlign w:val="center"/>
          </w:tcPr>
          <w:p w:rsidR="00854133" w:rsidRDefault="00581AA4">
            <w:pPr>
              <w:jc w:val="left"/>
            </w:pPr>
            <w:r>
              <w:rPr>
                <w:rFonts w:eastAsiaTheme="minorEastAsia"/>
                <w:color w:val="000000"/>
                <w:kern w:val="0"/>
                <w:szCs w:val="21"/>
              </w:rPr>
              <w:t>结算备付金</w:t>
            </w:r>
          </w:p>
        </w:tc>
        <w:tc>
          <w:tcPr>
            <w:tcW w:w="1943" w:type="dxa"/>
            <w:vAlign w:val="center"/>
          </w:tcPr>
          <w:p w:rsidR="00854133" w:rsidRDefault="00581AA4">
            <w:pPr>
              <w:jc w:val="right"/>
            </w:pPr>
            <w:r>
              <w:rPr>
                <w:rFonts w:eastAsiaTheme="minorEastAsia"/>
                <w:color w:val="000000"/>
                <w:kern w:val="0"/>
                <w:szCs w:val="21"/>
              </w:rPr>
              <w:t>-</w:t>
            </w:r>
          </w:p>
        </w:tc>
        <w:tc>
          <w:tcPr>
            <w:tcW w:w="1400" w:type="dxa"/>
            <w:vAlign w:val="center"/>
          </w:tcPr>
          <w:p w:rsidR="00854133" w:rsidRDefault="00581AA4">
            <w:pPr>
              <w:jc w:val="right"/>
            </w:pPr>
            <w:r>
              <w:rPr>
                <w:rFonts w:eastAsiaTheme="minorEastAsia"/>
                <w:color w:val="000000"/>
                <w:kern w:val="0"/>
                <w:szCs w:val="21"/>
              </w:rPr>
              <w:t>-</w:t>
            </w:r>
          </w:p>
        </w:tc>
        <w:tc>
          <w:tcPr>
            <w:tcW w:w="2020" w:type="dxa"/>
            <w:vAlign w:val="center"/>
          </w:tcPr>
          <w:p w:rsidR="00854133" w:rsidRDefault="00581AA4">
            <w:pPr>
              <w:jc w:val="right"/>
            </w:pPr>
            <w:r>
              <w:rPr>
                <w:rFonts w:eastAsiaTheme="minorEastAsia"/>
                <w:color w:val="000000"/>
                <w:kern w:val="0"/>
                <w:szCs w:val="21"/>
              </w:rPr>
              <w:t>-</w:t>
            </w:r>
          </w:p>
        </w:tc>
        <w:tc>
          <w:tcPr>
            <w:tcW w:w="2160" w:type="dxa"/>
            <w:vAlign w:val="center"/>
          </w:tcPr>
          <w:p w:rsidR="00854133" w:rsidRDefault="00581AA4">
            <w:pPr>
              <w:jc w:val="right"/>
            </w:pPr>
            <w:r>
              <w:rPr>
                <w:rFonts w:eastAsiaTheme="minorEastAsia"/>
                <w:color w:val="000000"/>
                <w:kern w:val="0"/>
                <w:szCs w:val="21"/>
              </w:rPr>
              <w:t>-</w:t>
            </w:r>
          </w:p>
        </w:tc>
      </w:tr>
      <w:tr w:rsidR="00854133">
        <w:tc>
          <w:tcPr>
            <w:tcW w:w="1477" w:type="dxa"/>
            <w:vAlign w:val="center"/>
          </w:tcPr>
          <w:p w:rsidR="00854133" w:rsidRDefault="00581AA4">
            <w:pPr>
              <w:jc w:val="left"/>
            </w:pPr>
            <w:r>
              <w:rPr>
                <w:rFonts w:eastAsiaTheme="minorEastAsia"/>
                <w:color w:val="000000"/>
                <w:kern w:val="0"/>
                <w:szCs w:val="21"/>
              </w:rPr>
              <w:t>交易性金融资产</w:t>
            </w:r>
          </w:p>
        </w:tc>
        <w:tc>
          <w:tcPr>
            <w:tcW w:w="1943" w:type="dxa"/>
            <w:vAlign w:val="center"/>
          </w:tcPr>
          <w:p w:rsidR="00854133" w:rsidRDefault="00581AA4">
            <w:pPr>
              <w:jc w:val="right"/>
            </w:pPr>
            <w:r>
              <w:rPr>
                <w:rFonts w:eastAsiaTheme="minorEastAsia"/>
                <w:color w:val="000000"/>
                <w:kern w:val="0"/>
                <w:szCs w:val="21"/>
              </w:rPr>
              <w:t>242,479,127.40</w:t>
            </w:r>
          </w:p>
        </w:tc>
        <w:tc>
          <w:tcPr>
            <w:tcW w:w="1400" w:type="dxa"/>
            <w:vAlign w:val="center"/>
          </w:tcPr>
          <w:p w:rsidR="00854133" w:rsidRDefault="00581AA4">
            <w:pPr>
              <w:jc w:val="right"/>
            </w:pPr>
            <w:r>
              <w:rPr>
                <w:rFonts w:eastAsiaTheme="minorEastAsia"/>
                <w:color w:val="000000"/>
                <w:kern w:val="0"/>
                <w:szCs w:val="21"/>
              </w:rPr>
              <w:t>-</w:t>
            </w:r>
          </w:p>
        </w:tc>
        <w:tc>
          <w:tcPr>
            <w:tcW w:w="2020" w:type="dxa"/>
            <w:vAlign w:val="center"/>
          </w:tcPr>
          <w:p w:rsidR="00854133" w:rsidRDefault="00581AA4">
            <w:pPr>
              <w:jc w:val="right"/>
            </w:pPr>
            <w:r>
              <w:rPr>
                <w:rFonts w:eastAsiaTheme="minorEastAsia"/>
                <w:color w:val="000000"/>
                <w:kern w:val="0"/>
                <w:szCs w:val="21"/>
              </w:rPr>
              <w:t>-</w:t>
            </w:r>
          </w:p>
        </w:tc>
        <w:tc>
          <w:tcPr>
            <w:tcW w:w="2160" w:type="dxa"/>
            <w:vAlign w:val="center"/>
          </w:tcPr>
          <w:p w:rsidR="00854133" w:rsidRDefault="00581AA4">
            <w:pPr>
              <w:jc w:val="right"/>
            </w:pPr>
            <w:r>
              <w:rPr>
                <w:rFonts w:eastAsiaTheme="minorEastAsia"/>
                <w:color w:val="000000"/>
                <w:kern w:val="0"/>
                <w:szCs w:val="21"/>
              </w:rPr>
              <w:t>242,479,127.40</w:t>
            </w:r>
          </w:p>
        </w:tc>
      </w:tr>
      <w:tr w:rsidR="00854133">
        <w:tc>
          <w:tcPr>
            <w:tcW w:w="1477" w:type="dxa"/>
            <w:vAlign w:val="center"/>
          </w:tcPr>
          <w:p w:rsidR="00854133" w:rsidRDefault="00581AA4">
            <w:pPr>
              <w:jc w:val="left"/>
            </w:pPr>
            <w:r>
              <w:rPr>
                <w:rFonts w:eastAsiaTheme="minorEastAsia"/>
                <w:color w:val="000000"/>
                <w:kern w:val="0"/>
                <w:szCs w:val="21"/>
              </w:rPr>
              <w:t>衍生金融资产</w:t>
            </w:r>
          </w:p>
        </w:tc>
        <w:tc>
          <w:tcPr>
            <w:tcW w:w="1943" w:type="dxa"/>
            <w:vAlign w:val="center"/>
          </w:tcPr>
          <w:p w:rsidR="00854133" w:rsidRDefault="00581AA4">
            <w:pPr>
              <w:jc w:val="right"/>
            </w:pPr>
            <w:r>
              <w:rPr>
                <w:rFonts w:eastAsiaTheme="minorEastAsia"/>
                <w:color w:val="000000"/>
                <w:kern w:val="0"/>
                <w:szCs w:val="21"/>
              </w:rPr>
              <w:t>-</w:t>
            </w:r>
          </w:p>
        </w:tc>
        <w:tc>
          <w:tcPr>
            <w:tcW w:w="1400" w:type="dxa"/>
            <w:vAlign w:val="center"/>
          </w:tcPr>
          <w:p w:rsidR="00854133" w:rsidRDefault="00581AA4">
            <w:pPr>
              <w:jc w:val="right"/>
            </w:pPr>
            <w:r>
              <w:rPr>
                <w:rFonts w:eastAsiaTheme="minorEastAsia"/>
                <w:color w:val="000000"/>
                <w:kern w:val="0"/>
                <w:szCs w:val="21"/>
              </w:rPr>
              <w:t>-</w:t>
            </w:r>
          </w:p>
        </w:tc>
        <w:tc>
          <w:tcPr>
            <w:tcW w:w="2020" w:type="dxa"/>
            <w:vAlign w:val="center"/>
          </w:tcPr>
          <w:p w:rsidR="00854133" w:rsidRDefault="00581AA4">
            <w:pPr>
              <w:jc w:val="right"/>
            </w:pPr>
            <w:r>
              <w:rPr>
                <w:rFonts w:eastAsiaTheme="minorEastAsia"/>
                <w:color w:val="000000"/>
                <w:kern w:val="0"/>
                <w:szCs w:val="21"/>
              </w:rPr>
              <w:t>-</w:t>
            </w:r>
          </w:p>
        </w:tc>
        <w:tc>
          <w:tcPr>
            <w:tcW w:w="2160" w:type="dxa"/>
            <w:vAlign w:val="center"/>
          </w:tcPr>
          <w:p w:rsidR="00854133" w:rsidRDefault="00581AA4">
            <w:pPr>
              <w:jc w:val="right"/>
            </w:pPr>
            <w:r>
              <w:rPr>
                <w:rFonts w:eastAsiaTheme="minorEastAsia"/>
                <w:color w:val="000000"/>
                <w:kern w:val="0"/>
                <w:szCs w:val="21"/>
              </w:rPr>
              <w:t>-</w:t>
            </w:r>
          </w:p>
        </w:tc>
      </w:tr>
      <w:tr w:rsidR="00854133">
        <w:tc>
          <w:tcPr>
            <w:tcW w:w="1477" w:type="dxa"/>
            <w:vAlign w:val="center"/>
          </w:tcPr>
          <w:p w:rsidR="00854133" w:rsidRDefault="00581AA4">
            <w:pPr>
              <w:jc w:val="left"/>
            </w:pPr>
            <w:r>
              <w:rPr>
                <w:rFonts w:eastAsiaTheme="minorEastAsia"/>
                <w:color w:val="000000"/>
                <w:kern w:val="0"/>
                <w:szCs w:val="21"/>
              </w:rPr>
              <w:t>应收证券清算款</w:t>
            </w:r>
          </w:p>
        </w:tc>
        <w:tc>
          <w:tcPr>
            <w:tcW w:w="1943" w:type="dxa"/>
            <w:vAlign w:val="center"/>
          </w:tcPr>
          <w:p w:rsidR="00854133" w:rsidRDefault="00581AA4">
            <w:pPr>
              <w:jc w:val="right"/>
            </w:pPr>
            <w:r>
              <w:rPr>
                <w:rFonts w:eastAsiaTheme="minorEastAsia"/>
                <w:color w:val="000000"/>
                <w:kern w:val="0"/>
                <w:szCs w:val="21"/>
              </w:rPr>
              <w:t>-</w:t>
            </w:r>
          </w:p>
        </w:tc>
        <w:tc>
          <w:tcPr>
            <w:tcW w:w="1400" w:type="dxa"/>
            <w:vAlign w:val="center"/>
          </w:tcPr>
          <w:p w:rsidR="00854133" w:rsidRDefault="00581AA4">
            <w:pPr>
              <w:jc w:val="right"/>
            </w:pPr>
            <w:r>
              <w:rPr>
                <w:rFonts w:eastAsiaTheme="minorEastAsia"/>
                <w:color w:val="000000"/>
                <w:kern w:val="0"/>
                <w:szCs w:val="21"/>
              </w:rPr>
              <w:t>-</w:t>
            </w:r>
          </w:p>
        </w:tc>
        <w:tc>
          <w:tcPr>
            <w:tcW w:w="2020" w:type="dxa"/>
            <w:vAlign w:val="center"/>
          </w:tcPr>
          <w:p w:rsidR="00854133" w:rsidRDefault="00581AA4">
            <w:pPr>
              <w:jc w:val="right"/>
            </w:pPr>
            <w:r>
              <w:rPr>
                <w:rFonts w:eastAsiaTheme="minorEastAsia"/>
                <w:color w:val="000000"/>
                <w:kern w:val="0"/>
                <w:szCs w:val="21"/>
              </w:rPr>
              <w:t>-</w:t>
            </w:r>
          </w:p>
        </w:tc>
        <w:tc>
          <w:tcPr>
            <w:tcW w:w="2160" w:type="dxa"/>
            <w:vAlign w:val="center"/>
          </w:tcPr>
          <w:p w:rsidR="00854133" w:rsidRDefault="00581AA4">
            <w:pPr>
              <w:jc w:val="right"/>
            </w:pPr>
            <w:r>
              <w:rPr>
                <w:rFonts w:eastAsiaTheme="minorEastAsia"/>
                <w:color w:val="000000"/>
                <w:kern w:val="0"/>
                <w:szCs w:val="21"/>
              </w:rPr>
              <w:t>-</w:t>
            </w:r>
          </w:p>
        </w:tc>
      </w:tr>
      <w:tr w:rsidR="00854133">
        <w:tc>
          <w:tcPr>
            <w:tcW w:w="1477" w:type="dxa"/>
            <w:vAlign w:val="center"/>
          </w:tcPr>
          <w:p w:rsidR="00854133" w:rsidRDefault="00581AA4">
            <w:pPr>
              <w:jc w:val="left"/>
            </w:pPr>
            <w:r>
              <w:rPr>
                <w:rFonts w:eastAsiaTheme="minorEastAsia"/>
                <w:color w:val="000000"/>
                <w:kern w:val="0"/>
                <w:szCs w:val="21"/>
              </w:rPr>
              <w:t>应收利息</w:t>
            </w:r>
          </w:p>
        </w:tc>
        <w:tc>
          <w:tcPr>
            <w:tcW w:w="1943" w:type="dxa"/>
            <w:vAlign w:val="center"/>
          </w:tcPr>
          <w:p w:rsidR="00854133" w:rsidRDefault="00581AA4">
            <w:pPr>
              <w:jc w:val="right"/>
            </w:pPr>
            <w:r>
              <w:rPr>
                <w:rFonts w:eastAsiaTheme="minorEastAsia"/>
                <w:color w:val="000000"/>
                <w:kern w:val="0"/>
                <w:szCs w:val="21"/>
              </w:rPr>
              <w:t>9.70</w:t>
            </w:r>
          </w:p>
        </w:tc>
        <w:tc>
          <w:tcPr>
            <w:tcW w:w="1400" w:type="dxa"/>
            <w:vAlign w:val="center"/>
          </w:tcPr>
          <w:p w:rsidR="00854133" w:rsidRDefault="00581AA4">
            <w:pPr>
              <w:jc w:val="right"/>
            </w:pPr>
            <w:r>
              <w:rPr>
                <w:rFonts w:eastAsiaTheme="minorEastAsia"/>
                <w:color w:val="000000"/>
                <w:kern w:val="0"/>
                <w:szCs w:val="21"/>
              </w:rPr>
              <w:t>-</w:t>
            </w:r>
          </w:p>
        </w:tc>
        <w:tc>
          <w:tcPr>
            <w:tcW w:w="2020" w:type="dxa"/>
            <w:vAlign w:val="center"/>
          </w:tcPr>
          <w:p w:rsidR="00854133" w:rsidRDefault="00581AA4">
            <w:pPr>
              <w:jc w:val="right"/>
            </w:pPr>
            <w:r>
              <w:rPr>
                <w:rFonts w:eastAsiaTheme="minorEastAsia"/>
                <w:color w:val="000000"/>
                <w:kern w:val="0"/>
                <w:szCs w:val="21"/>
              </w:rPr>
              <w:t>-</w:t>
            </w:r>
          </w:p>
        </w:tc>
        <w:tc>
          <w:tcPr>
            <w:tcW w:w="2160" w:type="dxa"/>
            <w:vAlign w:val="center"/>
          </w:tcPr>
          <w:p w:rsidR="00854133" w:rsidRDefault="00581AA4">
            <w:pPr>
              <w:jc w:val="right"/>
            </w:pPr>
            <w:r>
              <w:rPr>
                <w:rFonts w:eastAsiaTheme="minorEastAsia"/>
                <w:color w:val="000000"/>
                <w:kern w:val="0"/>
                <w:szCs w:val="21"/>
              </w:rPr>
              <w:t>9.70</w:t>
            </w:r>
          </w:p>
        </w:tc>
      </w:tr>
      <w:tr w:rsidR="00854133">
        <w:tc>
          <w:tcPr>
            <w:tcW w:w="1477" w:type="dxa"/>
            <w:vAlign w:val="center"/>
          </w:tcPr>
          <w:p w:rsidR="00854133" w:rsidRDefault="00581AA4">
            <w:pPr>
              <w:jc w:val="left"/>
            </w:pPr>
            <w:r>
              <w:rPr>
                <w:rFonts w:eastAsiaTheme="minorEastAsia"/>
                <w:color w:val="000000"/>
                <w:kern w:val="0"/>
                <w:szCs w:val="21"/>
              </w:rPr>
              <w:t>应收股利</w:t>
            </w:r>
          </w:p>
        </w:tc>
        <w:tc>
          <w:tcPr>
            <w:tcW w:w="1943" w:type="dxa"/>
            <w:vAlign w:val="center"/>
          </w:tcPr>
          <w:p w:rsidR="00854133" w:rsidRDefault="00581AA4">
            <w:pPr>
              <w:jc w:val="right"/>
            </w:pPr>
            <w:r>
              <w:rPr>
                <w:rFonts w:eastAsiaTheme="minorEastAsia"/>
                <w:color w:val="000000"/>
                <w:kern w:val="0"/>
                <w:szCs w:val="21"/>
              </w:rPr>
              <w:t>-</w:t>
            </w:r>
          </w:p>
        </w:tc>
        <w:tc>
          <w:tcPr>
            <w:tcW w:w="1400" w:type="dxa"/>
            <w:vAlign w:val="center"/>
          </w:tcPr>
          <w:p w:rsidR="00854133" w:rsidRDefault="00581AA4">
            <w:pPr>
              <w:jc w:val="right"/>
            </w:pPr>
            <w:r>
              <w:rPr>
                <w:rFonts w:eastAsiaTheme="minorEastAsia"/>
                <w:color w:val="000000"/>
                <w:kern w:val="0"/>
                <w:szCs w:val="21"/>
              </w:rPr>
              <w:t>-</w:t>
            </w:r>
          </w:p>
        </w:tc>
        <w:tc>
          <w:tcPr>
            <w:tcW w:w="2020" w:type="dxa"/>
            <w:vAlign w:val="center"/>
          </w:tcPr>
          <w:p w:rsidR="00854133" w:rsidRDefault="00581AA4">
            <w:pPr>
              <w:jc w:val="right"/>
            </w:pPr>
            <w:r>
              <w:rPr>
                <w:rFonts w:eastAsiaTheme="minorEastAsia"/>
                <w:color w:val="000000"/>
                <w:kern w:val="0"/>
                <w:szCs w:val="21"/>
              </w:rPr>
              <w:t>-</w:t>
            </w:r>
          </w:p>
        </w:tc>
        <w:tc>
          <w:tcPr>
            <w:tcW w:w="2160" w:type="dxa"/>
            <w:vAlign w:val="center"/>
          </w:tcPr>
          <w:p w:rsidR="00854133" w:rsidRDefault="00581AA4">
            <w:pPr>
              <w:jc w:val="right"/>
            </w:pPr>
            <w:r>
              <w:rPr>
                <w:rFonts w:eastAsiaTheme="minorEastAsia"/>
                <w:color w:val="000000"/>
                <w:kern w:val="0"/>
                <w:szCs w:val="21"/>
              </w:rPr>
              <w:t>-</w:t>
            </w:r>
          </w:p>
        </w:tc>
      </w:tr>
      <w:tr w:rsidR="00854133">
        <w:tc>
          <w:tcPr>
            <w:tcW w:w="1477" w:type="dxa"/>
            <w:vAlign w:val="center"/>
          </w:tcPr>
          <w:p w:rsidR="00854133" w:rsidRDefault="00581AA4">
            <w:pPr>
              <w:jc w:val="left"/>
            </w:pPr>
            <w:r>
              <w:rPr>
                <w:rFonts w:eastAsiaTheme="minorEastAsia"/>
                <w:color w:val="000000"/>
                <w:kern w:val="0"/>
                <w:szCs w:val="21"/>
              </w:rPr>
              <w:t>应收申购款</w:t>
            </w:r>
          </w:p>
        </w:tc>
        <w:tc>
          <w:tcPr>
            <w:tcW w:w="1943" w:type="dxa"/>
            <w:vAlign w:val="center"/>
          </w:tcPr>
          <w:p w:rsidR="00854133" w:rsidRDefault="00581AA4">
            <w:pPr>
              <w:jc w:val="right"/>
            </w:pPr>
            <w:r>
              <w:rPr>
                <w:rFonts w:eastAsiaTheme="minorEastAsia"/>
                <w:color w:val="000000"/>
                <w:kern w:val="0"/>
                <w:szCs w:val="21"/>
              </w:rPr>
              <w:t>12,877.47</w:t>
            </w:r>
          </w:p>
        </w:tc>
        <w:tc>
          <w:tcPr>
            <w:tcW w:w="1400" w:type="dxa"/>
            <w:vAlign w:val="center"/>
          </w:tcPr>
          <w:p w:rsidR="00854133" w:rsidRDefault="00581AA4">
            <w:pPr>
              <w:jc w:val="right"/>
            </w:pPr>
            <w:r>
              <w:rPr>
                <w:rFonts w:eastAsiaTheme="minorEastAsia"/>
                <w:color w:val="000000"/>
                <w:kern w:val="0"/>
                <w:szCs w:val="21"/>
              </w:rPr>
              <w:t>-</w:t>
            </w:r>
          </w:p>
        </w:tc>
        <w:tc>
          <w:tcPr>
            <w:tcW w:w="2020" w:type="dxa"/>
            <w:vAlign w:val="center"/>
          </w:tcPr>
          <w:p w:rsidR="00854133" w:rsidRDefault="00581AA4">
            <w:pPr>
              <w:jc w:val="right"/>
            </w:pPr>
            <w:r>
              <w:rPr>
                <w:rFonts w:eastAsiaTheme="minorEastAsia"/>
                <w:color w:val="000000"/>
                <w:kern w:val="0"/>
                <w:szCs w:val="21"/>
              </w:rPr>
              <w:t>-</w:t>
            </w:r>
          </w:p>
        </w:tc>
        <w:tc>
          <w:tcPr>
            <w:tcW w:w="2160" w:type="dxa"/>
            <w:vAlign w:val="center"/>
          </w:tcPr>
          <w:p w:rsidR="00854133" w:rsidRDefault="00581AA4">
            <w:pPr>
              <w:jc w:val="right"/>
            </w:pPr>
            <w:r>
              <w:rPr>
                <w:rFonts w:eastAsiaTheme="minorEastAsia"/>
                <w:color w:val="000000"/>
                <w:kern w:val="0"/>
                <w:szCs w:val="21"/>
              </w:rPr>
              <w:t>12,877.47</w:t>
            </w:r>
          </w:p>
        </w:tc>
      </w:tr>
      <w:tr w:rsidR="00854133">
        <w:tc>
          <w:tcPr>
            <w:tcW w:w="1477" w:type="dxa"/>
            <w:vAlign w:val="center"/>
          </w:tcPr>
          <w:p w:rsidR="00854133" w:rsidRDefault="00581AA4">
            <w:pPr>
              <w:jc w:val="left"/>
            </w:pPr>
            <w:r>
              <w:rPr>
                <w:rFonts w:eastAsiaTheme="minorEastAsia"/>
                <w:color w:val="000000"/>
                <w:kern w:val="0"/>
                <w:szCs w:val="21"/>
              </w:rPr>
              <w:t>其他资产</w:t>
            </w:r>
          </w:p>
        </w:tc>
        <w:tc>
          <w:tcPr>
            <w:tcW w:w="1943" w:type="dxa"/>
            <w:vAlign w:val="center"/>
          </w:tcPr>
          <w:p w:rsidR="00854133" w:rsidRDefault="00581AA4">
            <w:pPr>
              <w:jc w:val="right"/>
            </w:pPr>
            <w:r>
              <w:rPr>
                <w:rFonts w:eastAsiaTheme="minorEastAsia"/>
                <w:color w:val="000000"/>
                <w:kern w:val="0"/>
                <w:szCs w:val="21"/>
              </w:rPr>
              <w:t>-</w:t>
            </w:r>
          </w:p>
        </w:tc>
        <w:tc>
          <w:tcPr>
            <w:tcW w:w="1400" w:type="dxa"/>
            <w:vAlign w:val="center"/>
          </w:tcPr>
          <w:p w:rsidR="00854133" w:rsidRDefault="00581AA4">
            <w:pPr>
              <w:jc w:val="right"/>
            </w:pPr>
            <w:r>
              <w:rPr>
                <w:rFonts w:eastAsiaTheme="minorEastAsia"/>
                <w:color w:val="000000"/>
                <w:kern w:val="0"/>
                <w:szCs w:val="21"/>
              </w:rPr>
              <w:t>-</w:t>
            </w:r>
          </w:p>
        </w:tc>
        <w:tc>
          <w:tcPr>
            <w:tcW w:w="2020" w:type="dxa"/>
            <w:vAlign w:val="center"/>
          </w:tcPr>
          <w:p w:rsidR="00854133" w:rsidRDefault="00581AA4">
            <w:pPr>
              <w:jc w:val="right"/>
            </w:pPr>
            <w:r>
              <w:rPr>
                <w:rFonts w:eastAsiaTheme="minorEastAsia"/>
                <w:color w:val="000000"/>
                <w:kern w:val="0"/>
                <w:szCs w:val="21"/>
              </w:rPr>
              <w:t>-</w:t>
            </w:r>
          </w:p>
        </w:tc>
        <w:tc>
          <w:tcPr>
            <w:tcW w:w="2160" w:type="dxa"/>
            <w:vAlign w:val="center"/>
          </w:tcPr>
          <w:p w:rsidR="00854133" w:rsidRDefault="00581AA4">
            <w:pPr>
              <w:jc w:val="right"/>
            </w:pPr>
            <w:r>
              <w:rPr>
                <w:rFonts w:eastAsiaTheme="minorEastAsia"/>
                <w:color w:val="000000"/>
                <w:kern w:val="0"/>
                <w:szCs w:val="21"/>
              </w:rPr>
              <w:t>-</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280,854,534.69</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120.32</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93,962.04</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280,948,617.05</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以外币计价的负债</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854133">
        <w:tc>
          <w:tcPr>
            <w:tcW w:w="1477" w:type="dxa"/>
            <w:vAlign w:val="center"/>
          </w:tcPr>
          <w:p w:rsidR="00854133" w:rsidRDefault="00581AA4">
            <w:pPr>
              <w:jc w:val="left"/>
            </w:pPr>
            <w:r>
              <w:rPr>
                <w:rFonts w:eastAsiaTheme="minorEastAsia"/>
                <w:color w:val="000000"/>
                <w:szCs w:val="21"/>
              </w:rPr>
              <w:t>应付证券清算款</w:t>
            </w:r>
          </w:p>
        </w:tc>
        <w:tc>
          <w:tcPr>
            <w:tcW w:w="1943" w:type="dxa"/>
            <w:vAlign w:val="center"/>
          </w:tcPr>
          <w:p w:rsidR="00854133" w:rsidRDefault="00581AA4">
            <w:pPr>
              <w:jc w:val="right"/>
            </w:pPr>
            <w:r>
              <w:rPr>
                <w:rFonts w:eastAsiaTheme="minorEastAsia"/>
                <w:color w:val="000000"/>
                <w:szCs w:val="21"/>
              </w:rPr>
              <w:t>-</w:t>
            </w:r>
          </w:p>
        </w:tc>
        <w:tc>
          <w:tcPr>
            <w:tcW w:w="1400" w:type="dxa"/>
            <w:vAlign w:val="center"/>
          </w:tcPr>
          <w:p w:rsidR="00854133" w:rsidRDefault="00581AA4">
            <w:pPr>
              <w:jc w:val="right"/>
            </w:pPr>
            <w:r>
              <w:rPr>
                <w:rFonts w:eastAsiaTheme="minorEastAsia"/>
                <w:color w:val="000000"/>
                <w:szCs w:val="21"/>
              </w:rPr>
              <w:t>-</w:t>
            </w:r>
          </w:p>
        </w:tc>
        <w:tc>
          <w:tcPr>
            <w:tcW w:w="2020" w:type="dxa"/>
            <w:vAlign w:val="center"/>
          </w:tcPr>
          <w:p w:rsidR="00854133" w:rsidRDefault="00581AA4">
            <w:pPr>
              <w:jc w:val="right"/>
            </w:pPr>
            <w:r>
              <w:rPr>
                <w:rFonts w:eastAsiaTheme="minorEastAsia"/>
                <w:color w:val="000000"/>
                <w:szCs w:val="21"/>
              </w:rPr>
              <w:t>-</w:t>
            </w:r>
          </w:p>
        </w:tc>
        <w:tc>
          <w:tcPr>
            <w:tcW w:w="2160" w:type="dxa"/>
            <w:vAlign w:val="center"/>
          </w:tcPr>
          <w:p w:rsidR="00854133" w:rsidRDefault="00581AA4">
            <w:pPr>
              <w:jc w:val="right"/>
            </w:pPr>
            <w:r>
              <w:rPr>
                <w:rFonts w:eastAsiaTheme="minorEastAsia"/>
                <w:color w:val="000000"/>
                <w:szCs w:val="21"/>
              </w:rPr>
              <w:t>-</w:t>
            </w:r>
          </w:p>
        </w:tc>
      </w:tr>
      <w:tr w:rsidR="00854133">
        <w:tc>
          <w:tcPr>
            <w:tcW w:w="1477" w:type="dxa"/>
            <w:vAlign w:val="center"/>
          </w:tcPr>
          <w:p w:rsidR="00854133" w:rsidRDefault="00581AA4">
            <w:pPr>
              <w:jc w:val="left"/>
            </w:pPr>
            <w:r>
              <w:rPr>
                <w:rFonts w:eastAsiaTheme="minorEastAsia"/>
                <w:color w:val="000000"/>
                <w:szCs w:val="21"/>
              </w:rPr>
              <w:t>应付赎回款</w:t>
            </w:r>
          </w:p>
        </w:tc>
        <w:tc>
          <w:tcPr>
            <w:tcW w:w="1943" w:type="dxa"/>
            <w:vAlign w:val="center"/>
          </w:tcPr>
          <w:p w:rsidR="00854133" w:rsidRDefault="00581AA4">
            <w:pPr>
              <w:jc w:val="right"/>
            </w:pPr>
            <w:r>
              <w:rPr>
                <w:rFonts w:eastAsiaTheme="minorEastAsia"/>
                <w:color w:val="000000"/>
                <w:szCs w:val="21"/>
              </w:rPr>
              <w:t>234,004.24</w:t>
            </w:r>
          </w:p>
        </w:tc>
        <w:tc>
          <w:tcPr>
            <w:tcW w:w="1400" w:type="dxa"/>
            <w:vAlign w:val="center"/>
          </w:tcPr>
          <w:p w:rsidR="00854133" w:rsidRDefault="00581AA4">
            <w:pPr>
              <w:jc w:val="right"/>
            </w:pPr>
            <w:r>
              <w:rPr>
                <w:rFonts w:eastAsiaTheme="minorEastAsia"/>
                <w:color w:val="000000"/>
                <w:szCs w:val="21"/>
              </w:rPr>
              <w:t>-</w:t>
            </w:r>
          </w:p>
        </w:tc>
        <w:tc>
          <w:tcPr>
            <w:tcW w:w="2020" w:type="dxa"/>
            <w:vAlign w:val="center"/>
          </w:tcPr>
          <w:p w:rsidR="00854133" w:rsidRDefault="00581AA4">
            <w:pPr>
              <w:jc w:val="right"/>
            </w:pPr>
            <w:r>
              <w:rPr>
                <w:rFonts w:eastAsiaTheme="minorEastAsia"/>
                <w:color w:val="000000"/>
                <w:szCs w:val="21"/>
              </w:rPr>
              <w:t>-</w:t>
            </w:r>
          </w:p>
        </w:tc>
        <w:tc>
          <w:tcPr>
            <w:tcW w:w="2160" w:type="dxa"/>
            <w:vAlign w:val="center"/>
          </w:tcPr>
          <w:p w:rsidR="00854133" w:rsidRDefault="00581AA4">
            <w:pPr>
              <w:jc w:val="right"/>
            </w:pPr>
            <w:r>
              <w:rPr>
                <w:rFonts w:eastAsiaTheme="minorEastAsia"/>
                <w:color w:val="000000"/>
                <w:szCs w:val="21"/>
              </w:rPr>
              <w:t>234,004.24</w:t>
            </w:r>
          </w:p>
        </w:tc>
      </w:tr>
      <w:tr w:rsidR="00854133">
        <w:tc>
          <w:tcPr>
            <w:tcW w:w="1477" w:type="dxa"/>
            <w:vAlign w:val="center"/>
          </w:tcPr>
          <w:p w:rsidR="00854133" w:rsidRDefault="00581AA4">
            <w:pPr>
              <w:jc w:val="left"/>
            </w:pPr>
            <w:r>
              <w:rPr>
                <w:rFonts w:eastAsiaTheme="minorEastAsia"/>
                <w:color w:val="000000"/>
                <w:szCs w:val="21"/>
              </w:rPr>
              <w:t>其他负债</w:t>
            </w:r>
          </w:p>
        </w:tc>
        <w:tc>
          <w:tcPr>
            <w:tcW w:w="1943" w:type="dxa"/>
            <w:vAlign w:val="center"/>
          </w:tcPr>
          <w:p w:rsidR="00854133" w:rsidRDefault="00581AA4">
            <w:pPr>
              <w:jc w:val="right"/>
            </w:pPr>
            <w:r>
              <w:rPr>
                <w:rFonts w:eastAsiaTheme="minorEastAsia"/>
                <w:color w:val="000000"/>
                <w:szCs w:val="21"/>
              </w:rPr>
              <w:t>-</w:t>
            </w:r>
          </w:p>
        </w:tc>
        <w:tc>
          <w:tcPr>
            <w:tcW w:w="1400" w:type="dxa"/>
            <w:vAlign w:val="center"/>
          </w:tcPr>
          <w:p w:rsidR="00854133" w:rsidRDefault="00581AA4">
            <w:pPr>
              <w:jc w:val="right"/>
            </w:pPr>
            <w:r>
              <w:rPr>
                <w:rFonts w:eastAsiaTheme="minorEastAsia"/>
                <w:color w:val="000000"/>
                <w:szCs w:val="21"/>
              </w:rPr>
              <w:t>-</w:t>
            </w:r>
          </w:p>
        </w:tc>
        <w:tc>
          <w:tcPr>
            <w:tcW w:w="2020" w:type="dxa"/>
            <w:vAlign w:val="center"/>
          </w:tcPr>
          <w:p w:rsidR="00854133" w:rsidRDefault="00581AA4">
            <w:pPr>
              <w:jc w:val="right"/>
            </w:pPr>
            <w:r>
              <w:rPr>
                <w:rFonts w:eastAsiaTheme="minorEastAsia"/>
                <w:color w:val="000000"/>
                <w:szCs w:val="21"/>
              </w:rPr>
              <w:t>-</w:t>
            </w:r>
          </w:p>
        </w:tc>
        <w:tc>
          <w:tcPr>
            <w:tcW w:w="2160" w:type="dxa"/>
            <w:vAlign w:val="center"/>
          </w:tcPr>
          <w:p w:rsidR="00854133" w:rsidRDefault="00581AA4">
            <w:pPr>
              <w:jc w:val="right"/>
            </w:pPr>
            <w:r>
              <w:rPr>
                <w:rFonts w:eastAsiaTheme="minorEastAsia"/>
                <w:color w:val="000000"/>
                <w:szCs w:val="21"/>
              </w:rPr>
              <w:t>-</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负债合计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234,004.24</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234,004.24</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资产负债表外汇风险敞口净额</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280,620,530.45</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120.32</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93,962.04</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280,714,612.81</w:t>
            </w:r>
          </w:p>
        </w:tc>
      </w:tr>
      <w:tr w:rsidR="0056101E" w:rsidRPr="00C24ACA" w:rsidTr="00742218">
        <w:tc>
          <w:tcPr>
            <w:tcW w:w="1477" w:type="dxa"/>
            <w:vMerge w:val="restart"/>
            <w:vAlign w:val="center"/>
          </w:tcPr>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color w:val="000000"/>
                <w:szCs w:val="21"/>
              </w:rPr>
              <w:t>项目</w:t>
            </w:r>
          </w:p>
        </w:tc>
        <w:tc>
          <w:tcPr>
            <w:tcW w:w="7523" w:type="dxa"/>
            <w:gridSpan w:val="4"/>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上年度末</w:t>
            </w:r>
          </w:p>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szCs w:val="21"/>
              </w:rPr>
              <w:t>2019</w:t>
            </w:r>
            <w:r w:rsidRPr="00C24ACA">
              <w:rPr>
                <w:rFonts w:eastAsiaTheme="minorEastAsia"/>
                <w:b/>
                <w:szCs w:val="21"/>
              </w:rPr>
              <w:t>年</w:t>
            </w:r>
            <w:r w:rsidRPr="00C24ACA">
              <w:rPr>
                <w:rFonts w:eastAsiaTheme="minorEastAsia"/>
                <w:b/>
                <w:szCs w:val="21"/>
              </w:rPr>
              <w:t>12</w:t>
            </w:r>
            <w:r w:rsidRPr="00C24ACA">
              <w:rPr>
                <w:rFonts w:eastAsiaTheme="minorEastAsia"/>
                <w:b/>
                <w:szCs w:val="21"/>
              </w:rPr>
              <w:t>月</w:t>
            </w:r>
            <w:r w:rsidRPr="00C24ACA">
              <w:rPr>
                <w:rFonts w:eastAsiaTheme="minorEastAsia"/>
                <w:b/>
                <w:szCs w:val="21"/>
              </w:rPr>
              <w:t>31</w:t>
            </w:r>
            <w:r w:rsidRPr="00C24ACA">
              <w:rPr>
                <w:rFonts w:eastAsiaTheme="minorEastAsia"/>
                <w:b/>
                <w:szCs w:val="21"/>
              </w:rPr>
              <w:t>日</w:t>
            </w:r>
          </w:p>
        </w:tc>
      </w:tr>
      <w:tr w:rsidR="0056101E" w:rsidRPr="00C24ACA" w:rsidTr="00742218">
        <w:tc>
          <w:tcPr>
            <w:tcW w:w="1477" w:type="dxa"/>
            <w:vMerge/>
            <w:vAlign w:val="center"/>
          </w:tcPr>
          <w:p w:rsidR="0056101E" w:rsidRPr="00C24ACA" w:rsidRDefault="0056101E" w:rsidP="00742218">
            <w:pPr>
              <w:autoSpaceDE w:val="0"/>
              <w:autoSpaceDN w:val="0"/>
              <w:adjustRightInd w:val="0"/>
              <w:spacing w:before="29" w:line="360" w:lineRule="auto"/>
              <w:ind w:left="15"/>
              <w:jc w:val="left"/>
              <w:rPr>
                <w:rFonts w:eastAsiaTheme="minorEastAsia"/>
                <w:color w:val="000000"/>
                <w:kern w:val="0"/>
                <w:szCs w:val="21"/>
              </w:rPr>
            </w:pPr>
          </w:p>
        </w:tc>
        <w:tc>
          <w:tcPr>
            <w:tcW w:w="1943"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美元</w:t>
            </w:r>
          </w:p>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折合人民币</w:t>
            </w:r>
          </w:p>
        </w:tc>
        <w:tc>
          <w:tcPr>
            <w:tcW w:w="1400"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港币</w:t>
            </w:r>
          </w:p>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折合人民币</w:t>
            </w:r>
          </w:p>
        </w:tc>
        <w:tc>
          <w:tcPr>
            <w:tcW w:w="2020"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其他币种</w:t>
            </w:r>
          </w:p>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折合人民币</w:t>
            </w:r>
          </w:p>
        </w:tc>
        <w:tc>
          <w:tcPr>
            <w:tcW w:w="2160"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合计</w:t>
            </w:r>
          </w:p>
        </w:tc>
      </w:tr>
      <w:tr w:rsidR="0056101E" w:rsidRPr="00C24ACA" w:rsidTr="00742218">
        <w:tc>
          <w:tcPr>
            <w:tcW w:w="1477" w:type="dxa"/>
            <w:vAlign w:val="center"/>
          </w:tcPr>
          <w:p w:rsidR="0056101E" w:rsidRPr="00C24ACA" w:rsidRDefault="0056101E" w:rsidP="00742218">
            <w:pPr>
              <w:spacing w:line="360" w:lineRule="auto"/>
              <w:rPr>
                <w:rFonts w:eastAsiaTheme="minorEastAsia"/>
                <w:b/>
                <w:szCs w:val="21"/>
              </w:rPr>
            </w:pPr>
            <w:r w:rsidRPr="00C24ACA">
              <w:rPr>
                <w:rFonts w:eastAsiaTheme="minorEastAsia"/>
                <w:b/>
                <w:szCs w:val="21"/>
              </w:rPr>
              <w:t>以外币计价的资产</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vAlign w:val="center"/>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854133">
        <w:tc>
          <w:tcPr>
            <w:tcW w:w="1477" w:type="dxa"/>
            <w:vAlign w:val="center"/>
          </w:tcPr>
          <w:p w:rsidR="00854133" w:rsidRDefault="00581AA4">
            <w:pPr>
              <w:jc w:val="left"/>
            </w:pPr>
            <w:r>
              <w:rPr>
                <w:rFonts w:eastAsiaTheme="minorEastAsia"/>
                <w:color w:val="000000"/>
                <w:szCs w:val="21"/>
              </w:rPr>
              <w:t>银行存款</w:t>
            </w:r>
          </w:p>
        </w:tc>
        <w:tc>
          <w:tcPr>
            <w:tcW w:w="1943" w:type="dxa"/>
            <w:vAlign w:val="center"/>
          </w:tcPr>
          <w:p w:rsidR="00854133" w:rsidRDefault="00581AA4">
            <w:pPr>
              <w:jc w:val="right"/>
            </w:pPr>
            <w:r>
              <w:rPr>
                <w:rFonts w:eastAsiaTheme="minorEastAsia"/>
                <w:color w:val="000000"/>
                <w:szCs w:val="21"/>
              </w:rPr>
              <w:t>12,219,941.44</w:t>
            </w:r>
          </w:p>
        </w:tc>
        <w:tc>
          <w:tcPr>
            <w:tcW w:w="1400" w:type="dxa"/>
            <w:vAlign w:val="center"/>
          </w:tcPr>
          <w:p w:rsidR="00854133" w:rsidRDefault="00581AA4">
            <w:pPr>
              <w:jc w:val="right"/>
            </w:pPr>
            <w:r>
              <w:rPr>
                <w:rFonts w:eastAsiaTheme="minorEastAsia"/>
                <w:color w:val="000000"/>
                <w:szCs w:val="21"/>
              </w:rPr>
              <w:t>117.99</w:t>
            </w:r>
          </w:p>
        </w:tc>
        <w:tc>
          <w:tcPr>
            <w:tcW w:w="2020" w:type="dxa"/>
            <w:vAlign w:val="center"/>
          </w:tcPr>
          <w:p w:rsidR="00854133" w:rsidRDefault="00581AA4">
            <w:pPr>
              <w:jc w:val="right"/>
            </w:pPr>
            <w:r>
              <w:rPr>
                <w:rFonts w:eastAsiaTheme="minorEastAsia"/>
                <w:color w:val="000000"/>
                <w:szCs w:val="21"/>
              </w:rPr>
              <w:t>91,503.34</w:t>
            </w:r>
          </w:p>
        </w:tc>
        <w:tc>
          <w:tcPr>
            <w:tcW w:w="2160" w:type="dxa"/>
            <w:vAlign w:val="center"/>
          </w:tcPr>
          <w:p w:rsidR="00854133" w:rsidRDefault="00581AA4">
            <w:pPr>
              <w:jc w:val="right"/>
            </w:pPr>
            <w:r>
              <w:rPr>
                <w:rFonts w:eastAsiaTheme="minorEastAsia"/>
                <w:color w:val="000000"/>
                <w:szCs w:val="21"/>
              </w:rPr>
              <w:t>12,311,562.77</w:t>
            </w:r>
          </w:p>
        </w:tc>
      </w:tr>
      <w:tr w:rsidR="00854133">
        <w:tc>
          <w:tcPr>
            <w:tcW w:w="1477" w:type="dxa"/>
            <w:vAlign w:val="center"/>
          </w:tcPr>
          <w:p w:rsidR="00854133" w:rsidRDefault="00581AA4">
            <w:pPr>
              <w:jc w:val="left"/>
            </w:pPr>
            <w:r>
              <w:rPr>
                <w:rFonts w:eastAsiaTheme="minorEastAsia"/>
                <w:color w:val="000000"/>
                <w:szCs w:val="21"/>
              </w:rPr>
              <w:t>结算备付金</w:t>
            </w:r>
          </w:p>
        </w:tc>
        <w:tc>
          <w:tcPr>
            <w:tcW w:w="1943" w:type="dxa"/>
            <w:vAlign w:val="center"/>
          </w:tcPr>
          <w:p w:rsidR="00854133" w:rsidRDefault="00581AA4">
            <w:pPr>
              <w:jc w:val="right"/>
            </w:pPr>
            <w:r>
              <w:rPr>
                <w:rFonts w:eastAsiaTheme="minorEastAsia"/>
                <w:color w:val="000000"/>
                <w:szCs w:val="21"/>
              </w:rPr>
              <w:t>-</w:t>
            </w:r>
          </w:p>
        </w:tc>
        <w:tc>
          <w:tcPr>
            <w:tcW w:w="1400" w:type="dxa"/>
            <w:vAlign w:val="center"/>
          </w:tcPr>
          <w:p w:rsidR="00854133" w:rsidRDefault="00581AA4">
            <w:pPr>
              <w:jc w:val="right"/>
            </w:pPr>
            <w:r>
              <w:rPr>
                <w:rFonts w:eastAsiaTheme="minorEastAsia"/>
                <w:color w:val="000000"/>
                <w:szCs w:val="21"/>
              </w:rPr>
              <w:t>-</w:t>
            </w:r>
          </w:p>
        </w:tc>
        <w:tc>
          <w:tcPr>
            <w:tcW w:w="2020" w:type="dxa"/>
            <w:vAlign w:val="center"/>
          </w:tcPr>
          <w:p w:rsidR="00854133" w:rsidRDefault="00581AA4">
            <w:pPr>
              <w:jc w:val="right"/>
            </w:pPr>
            <w:r>
              <w:rPr>
                <w:rFonts w:eastAsiaTheme="minorEastAsia"/>
                <w:color w:val="000000"/>
                <w:szCs w:val="21"/>
              </w:rPr>
              <w:t>-</w:t>
            </w:r>
          </w:p>
        </w:tc>
        <w:tc>
          <w:tcPr>
            <w:tcW w:w="2160" w:type="dxa"/>
            <w:vAlign w:val="center"/>
          </w:tcPr>
          <w:p w:rsidR="00854133" w:rsidRDefault="00581AA4">
            <w:pPr>
              <w:jc w:val="right"/>
            </w:pPr>
            <w:r>
              <w:rPr>
                <w:rFonts w:eastAsiaTheme="minorEastAsia"/>
                <w:color w:val="000000"/>
                <w:szCs w:val="21"/>
              </w:rPr>
              <w:t>-</w:t>
            </w:r>
          </w:p>
        </w:tc>
      </w:tr>
      <w:tr w:rsidR="00854133">
        <w:tc>
          <w:tcPr>
            <w:tcW w:w="1477" w:type="dxa"/>
            <w:vAlign w:val="center"/>
          </w:tcPr>
          <w:p w:rsidR="00854133" w:rsidRDefault="00581AA4">
            <w:pPr>
              <w:jc w:val="left"/>
            </w:pPr>
            <w:r>
              <w:rPr>
                <w:rFonts w:eastAsiaTheme="minorEastAsia"/>
                <w:color w:val="000000"/>
                <w:szCs w:val="21"/>
              </w:rPr>
              <w:t>交易性金融资产</w:t>
            </w:r>
          </w:p>
        </w:tc>
        <w:tc>
          <w:tcPr>
            <w:tcW w:w="1943" w:type="dxa"/>
            <w:vAlign w:val="center"/>
          </w:tcPr>
          <w:p w:rsidR="00854133" w:rsidRDefault="00581AA4">
            <w:pPr>
              <w:jc w:val="right"/>
            </w:pPr>
            <w:r>
              <w:rPr>
                <w:rFonts w:eastAsiaTheme="minorEastAsia"/>
                <w:color w:val="000000"/>
                <w:szCs w:val="21"/>
              </w:rPr>
              <w:t>344,380,599.43</w:t>
            </w:r>
          </w:p>
        </w:tc>
        <w:tc>
          <w:tcPr>
            <w:tcW w:w="1400" w:type="dxa"/>
            <w:vAlign w:val="center"/>
          </w:tcPr>
          <w:p w:rsidR="00854133" w:rsidRDefault="00581AA4">
            <w:pPr>
              <w:jc w:val="right"/>
            </w:pPr>
            <w:r>
              <w:rPr>
                <w:rFonts w:eastAsiaTheme="minorEastAsia"/>
                <w:color w:val="000000"/>
                <w:szCs w:val="21"/>
              </w:rPr>
              <w:t>-</w:t>
            </w:r>
          </w:p>
        </w:tc>
        <w:tc>
          <w:tcPr>
            <w:tcW w:w="2020" w:type="dxa"/>
            <w:vAlign w:val="center"/>
          </w:tcPr>
          <w:p w:rsidR="00854133" w:rsidRDefault="00581AA4">
            <w:pPr>
              <w:jc w:val="right"/>
            </w:pPr>
            <w:r>
              <w:rPr>
                <w:rFonts w:eastAsiaTheme="minorEastAsia"/>
                <w:color w:val="000000"/>
                <w:szCs w:val="21"/>
              </w:rPr>
              <w:t>-</w:t>
            </w:r>
          </w:p>
        </w:tc>
        <w:tc>
          <w:tcPr>
            <w:tcW w:w="2160" w:type="dxa"/>
            <w:vAlign w:val="center"/>
          </w:tcPr>
          <w:p w:rsidR="00854133" w:rsidRDefault="00581AA4">
            <w:pPr>
              <w:jc w:val="right"/>
            </w:pPr>
            <w:r>
              <w:rPr>
                <w:rFonts w:eastAsiaTheme="minorEastAsia"/>
                <w:color w:val="000000"/>
                <w:szCs w:val="21"/>
              </w:rPr>
              <w:t>344,380,599.43</w:t>
            </w:r>
          </w:p>
        </w:tc>
      </w:tr>
      <w:tr w:rsidR="00854133">
        <w:tc>
          <w:tcPr>
            <w:tcW w:w="1477" w:type="dxa"/>
            <w:vAlign w:val="center"/>
          </w:tcPr>
          <w:p w:rsidR="00854133" w:rsidRDefault="00581AA4">
            <w:pPr>
              <w:jc w:val="left"/>
            </w:pPr>
            <w:r>
              <w:rPr>
                <w:rFonts w:eastAsiaTheme="minorEastAsia"/>
                <w:color w:val="000000"/>
                <w:szCs w:val="21"/>
              </w:rPr>
              <w:t>衍生金融资产</w:t>
            </w:r>
          </w:p>
        </w:tc>
        <w:tc>
          <w:tcPr>
            <w:tcW w:w="1943" w:type="dxa"/>
            <w:vAlign w:val="center"/>
          </w:tcPr>
          <w:p w:rsidR="00854133" w:rsidRDefault="00581AA4">
            <w:pPr>
              <w:jc w:val="right"/>
            </w:pPr>
            <w:r>
              <w:rPr>
                <w:rFonts w:eastAsiaTheme="minorEastAsia"/>
                <w:color w:val="000000"/>
                <w:szCs w:val="21"/>
              </w:rPr>
              <w:t>-</w:t>
            </w:r>
          </w:p>
        </w:tc>
        <w:tc>
          <w:tcPr>
            <w:tcW w:w="1400" w:type="dxa"/>
            <w:vAlign w:val="center"/>
          </w:tcPr>
          <w:p w:rsidR="00854133" w:rsidRDefault="00581AA4">
            <w:pPr>
              <w:jc w:val="right"/>
            </w:pPr>
            <w:r>
              <w:rPr>
                <w:rFonts w:eastAsiaTheme="minorEastAsia"/>
                <w:color w:val="000000"/>
                <w:szCs w:val="21"/>
              </w:rPr>
              <w:t>-</w:t>
            </w:r>
          </w:p>
        </w:tc>
        <w:tc>
          <w:tcPr>
            <w:tcW w:w="2020" w:type="dxa"/>
            <w:vAlign w:val="center"/>
          </w:tcPr>
          <w:p w:rsidR="00854133" w:rsidRDefault="00581AA4">
            <w:pPr>
              <w:jc w:val="right"/>
            </w:pPr>
            <w:r>
              <w:rPr>
                <w:rFonts w:eastAsiaTheme="minorEastAsia"/>
                <w:color w:val="000000"/>
                <w:szCs w:val="21"/>
              </w:rPr>
              <w:t>-</w:t>
            </w:r>
          </w:p>
        </w:tc>
        <w:tc>
          <w:tcPr>
            <w:tcW w:w="2160" w:type="dxa"/>
            <w:vAlign w:val="center"/>
          </w:tcPr>
          <w:p w:rsidR="00854133" w:rsidRDefault="00581AA4">
            <w:pPr>
              <w:jc w:val="right"/>
            </w:pPr>
            <w:r>
              <w:rPr>
                <w:rFonts w:eastAsiaTheme="minorEastAsia"/>
                <w:color w:val="000000"/>
                <w:szCs w:val="21"/>
              </w:rPr>
              <w:t>-</w:t>
            </w:r>
          </w:p>
        </w:tc>
      </w:tr>
      <w:tr w:rsidR="00854133">
        <w:tc>
          <w:tcPr>
            <w:tcW w:w="1477" w:type="dxa"/>
            <w:vAlign w:val="center"/>
          </w:tcPr>
          <w:p w:rsidR="00854133" w:rsidRDefault="00581AA4">
            <w:pPr>
              <w:jc w:val="left"/>
            </w:pPr>
            <w:r>
              <w:rPr>
                <w:rFonts w:eastAsiaTheme="minorEastAsia"/>
                <w:color w:val="000000"/>
                <w:szCs w:val="21"/>
              </w:rPr>
              <w:t>应收证券清算款</w:t>
            </w:r>
          </w:p>
        </w:tc>
        <w:tc>
          <w:tcPr>
            <w:tcW w:w="1943" w:type="dxa"/>
            <w:vAlign w:val="center"/>
          </w:tcPr>
          <w:p w:rsidR="00854133" w:rsidRDefault="00581AA4">
            <w:pPr>
              <w:jc w:val="right"/>
            </w:pPr>
            <w:r>
              <w:rPr>
                <w:rFonts w:eastAsiaTheme="minorEastAsia"/>
                <w:color w:val="000000"/>
                <w:szCs w:val="21"/>
              </w:rPr>
              <w:t>-</w:t>
            </w:r>
          </w:p>
        </w:tc>
        <w:tc>
          <w:tcPr>
            <w:tcW w:w="1400" w:type="dxa"/>
            <w:vAlign w:val="center"/>
          </w:tcPr>
          <w:p w:rsidR="00854133" w:rsidRDefault="00581AA4">
            <w:pPr>
              <w:jc w:val="right"/>
            </w:pPr>
            <w:r>
              <w:rPr>
                <w:rFonts w:eastAsiaTheme="minorEastAsia"/>
                <w:color w:val="000000"/>
                <w:szCs w:val="21"/>
              </w:rPr>
              <w:t>-</w:t>
            </w:r>
          </w:p>
        </w:tc>
        <w:tc>
          <w:tcPr>
            <w:tcW w:w="2020" w:type="dxa"/>
            <w:vAlign w:val="center"/>
          </w:tcPr>
          <w:p w:rsidR="00854133" w:rsidRDefault="00581AA4">
            <w:pPr>
              <w:jc w:val="right"/>
            </w:pPr>
            <w:r>
              <w:rPr>
                <w:rFonts w:eastAsiaTheme="minorEastAsia"/>
                <w:color w:val="000000"/>
                <w:szCs w:val="21"/>
              </w:rPr>
              <w:t>-</w:t>
            </w:r>
          </w:p>
        </w:tc>
        <w:tc>
          <w:tcPr>
            <w:tcW w:w="2160" w:type="dxa"/>
            <w:vAlign w:val="center"/>
          </w:tcPr>
          <w:p w:rsidR="00854133" w:rsidRDefault="00581AA4">
            <w:pPr>
              <w:jc w:val="right"/>
            </w:pPr>
            <w:r>
              <w:rPr>
                <w:rFonts w:eastAsiaTheme="minorEastAsia"/>
                <w:color w:val="000000"/>
                <w:szCs w:val="21"/>
              </w:rPr>
              <w:t>-</w:t>
            </w:r>
          </w:p>
        </w:tc>
      </w:tr>
      <w:tr w:rsidR="00854133">
        <w:tc>
          <w:tcPr>
            <w:tcW w:w="1477" w:type="dxa"/>
            <w:vAlign w:val="center"/>
          </w:tcPr>
          <w:p w:rsidR="00854133" w:rsidRDefault="00581AA4">
            <w:pPr>
              <w:jc w:val="left"/>
            </w:pPr>
            <w:r>
              <w:rPr>
                <w:rFonts w:eastAsiaTheme="minorEastAsia"/>
                <w:color w:val="000000"/>
                <w:szCs w:val="21"/>
              </w:rPr>
              <w:t>应收利息</w:t>
            </w:r>
          </w:p>
        </w:tc>
        <w:tc>
          <w:tcPr>
            <w:tcW w:w="1943" w:type="dxa"/>
            <w:vAlign w:val="center"/>
          </w:tcPr>
          <w:p w:rsidR="00854133" w:rsidRDefault="00581AA4">
            <w:pPr>
              <w:jc w:val="right"/>
            </w:pPr>
            <w:r>
              <w:rPr>
                <w:rFonts w:eastAsiaTheme="minorEastAsia"/>
                <w:color w:val="000000"/>
                <w:szCs w:val="21"/>
              </w:rPr>
              <w:t>119.30</w:t>
            </w:r>
          </w:p>
        </w:tc>
        <w:tc>
          <w:tcPr>
            <w:tcW w:w="1400" w:type="dxa"/>
            <w:vAlign w:val="center"/>
          </w:tcPr>
          <w:p w:rsidR="00854133" w:rsidRDefault="00581AA4">
            <w:pPr>
              <w:jc w:val="right"/>
            </w:pPr>
            <w:r>
              <w:rPr>
                <w:rFonts w:eastAsiaTheme="minorEastAsia"/>
                <w:color w:val="000000"/>
                <w:szCs w:val="21"/>
              </w:rPr>
              <w:t>-</w:t>
            </w:r>
          </w:p>
        </w:tc>
        <w:tc>
          <w:tcPr>
            <w:tcW w:w="2020" w:type="dxa"/>
            <w:vAlign w:val="center"/>
          </w:tcPr>
          <w:p w:rsidR="00854133" w:rsidRDefault="00581AA4">
            <w:pPr>
              <w:jc w:val="right"/>
            </w:pPr>
            <w:r>
              <w:rPr>
                <w:rFonts w:eastAsiaTheme="minorEastAsia"/>
                <w:color w:val="000000"/>
                <w:szCs w:val="21"/>
              </w:rPr>
              <w:t>-</w:t>
            </w:r>
          </w:p>
        </w:tc>
        <w:tc>
          <w:tcPr>
            <w:tcW w:w="2160" w:type="dxa"/>
            <w:vAlign w:val="center"/>
          </w:tcPr>
          <w:p w:rsidR="00854133" w:rsidRDefault="00581AA4">
            <w:pPr>
              <w:jc w:val="right"/>
            </w:pPr>
            <w:r>
              <w:rPr>
                <w:rFonts w:eastAsiaTheme="minorEastAsia"/>
                <w:color w:val="000000"/>
                <w:szCs w:val="21"/>
              </w:rPr>
              <w:t>119.30</w:t>
            </w:r>
          </w:p>
        </w:tc>
      </w:tr>
      <w:tr w:rsidR="00854133">
        <w:tc>
          <w:tcPr>
            <w:tcW w:w="1477" w:type="dxa"/>
            <w:vAlign w:val="center"/>
          </w:tcPr>
          <w:p w:rsidR="00854133" w:rsidRDefault="00581AA4">
            <w:pPr>
              <w:jc w:val="left"/>
            </w:pPr>
            <w:r>
              <w:rPr>
                <w:rFonts w:eastAsiaTheme="minorEastAsia"/>
                <w:color w:val="000000"/>
                <w:szCs w:val="21"/>
              </w:rPr>
              <w:t>应收股利</w:t>
            </w:r>
          </w:p>
        </w:tc>
        <w:tc>
          <w:tcPr>
            <w:tcW w:w="1943" w:type="dxa"/>
            <w:vAlign w:val="center"/>
          </w:tcPr>
          <w:p w:rsidR="00854133" w:rsidRDefault="00581AA4">
            <w:pPr>
              <w:jc w:val="right"/>
            </w:pPr>
            <w:r>
              <w:rPr>
                <w:rFonts w:eastAsiaTheme="minorEastAsia"/>
                <w:color w:val="000000"/>
                <w:szCs w:val="21"/>
              </w:rPr>
              <w:t>-</w:t>
            </w:r>
          </w:p>
        </w:tc>
        <w:tc>
          <w:tcPr>
            <w:tcW w:w="1400" w:type="dxa"/>
            <w:vAlign w:val="center"/>
          </w:tcPr>
          <w:p w:rsidR="00854133" w:rsidRDefault="00581AA4">
            <w:pPr>
              <w:jc w:val="right"/>
            </w:pPr>
            <w:r>
              <w:rPr>
                <w:rFonts w:eastAsiaTheme="minorEastAsia"/>
                <w:color w:val="000000"/>
                <w:szCs w:val="21"/>
              </w:rPr>
              <w:t>-</w:t>
            </w:r>
          </w:p>
        </w:tc>
        <w:tc>
          <w:tcPr>
            <w:tcW w:w="2020" w:type="dxa"/>
            <w:vAlign w:val="center"/>
          </w:tcPr>
          <w:p w:rsidR="00854133" w:rsidRDefault="00581AA4">
            <w:pPr>
              <w:jc w:val="right"/>
            </w:pPr>
            <w:r>
              <w:rPr>
                <w:rFonts w:eastAsiaTheme="minorEastAsia"/>
                <w:color w:val="000000"/>
                <w:szCs w:val="21"/>
              </w:rPr>
              <w:t>-</w:t>
            </w:r>
          </w:p>
        </w:tc>
        <w:tc>
          <w:tcPr>
            <w:tcW w:w="2160" w:type="dxa"/>
            <w:vAlign w:val="center"/>
          </w:tcPr>
          <w:p w:rsidR="00854133" w:rsidRDefault="00581AA4">
            <w:pPr>
              <w:jc w:val="right"/>
            </w:pPr>
            <w:r>
              <w:rPr>
                <w:rFonts w:eastAsiaTheme="minorEastAsia"/>
                <w:color w:val="000000"/>
                <w:szCs w:val="21"/>
              </w:rPr>
              <w:t>-</w:t>
            </w:r>
          </w:p>
        </w:tc>
      </w:tr>
      <w:tr w:rsidR="00854133">
        <w:tc>
          <w:tcPr>
            <w:tcW w:w="1477" w:type="dxa"/>
            <w:vAlign w:val="center"/>
          </w:tcPr>
          <w:p w:rsidR="00854133" w:rsidRDefault="00581AA4">
            <w:pPr>
              <w:jc w:val="left"/>
            </w:pPr>
            <w:r>
              <w:rPr>
                <w:rFonts w:eastAsiaTheme="minorEastAsia"/>
                <w:color w:val="000000"/>
                <w:szCs w:val="21"/>
              </w:rPr>
              <w:t>应收申购款</w:t>
            </w:r>
          </w:p>
        </w:tc>
        <w:tc>
          <w:tcPr>
            <w:tcW w:w="1943" w:type="dxa"/>
            <w:vAlign w:val="center"/>
          </w:tcPr>
          <w:p w:rsidR="00854133" w:rsidRDefault="00581AA4">
            <w:pPr>
              <w:jc w:val="right"/>
            </w:pPr>
            <w:r>
              <w:rPr>
                <w:rFonts w:eastAsiaTheme="minorEastAsia"/>
                <w:color w:val="000000"/>
                <w:szCs w:val="21"/>
              </w:rPr>
              <w:t>13,945.42</w:t>
            </w:r>
          </w:p>
        </w:tc>
        <w:tc>
          <w:tcPr>
            <w:tcW w:w="1400" w:type="dxa"/>
            <w:vAlign w:val="center"/>
          </w:tcPr>
          <w:p w:rsidR="00854133" w:rsidRDefault="00581AA4">
            <w:pPr>
              <w:jc w:val="right"/>
            </w:pPr>
            <w:r>
              <w:rPr>
                <w:rFonts w:eastAsiaTheme="minorEastAsia"/>
                <w:color w:val="000000"/>
                <w:szCs w:val="21"/>
              </w:rPr>
              <w:t>-</w:t>
            </w:r>
          </w:p>
        </w:tc>
        <w:tc>
          <w:tcPr>
            <w:tcW w:w="2020" w:type="dxa"/>
            <w:vAlign w:val="center"/>
          </w:tcPr>
          <w:p w:rsidR="00854133" w:rsidRDefault="00581AA4">
            <w:pPr>
              <w:jc w:val="right"/>
            </w:pPr>
            <w:r>
              <w:rPr>
                <w:rFonts w:eastAsiaTheme="minorEastAsia"/>
                <w:color w:val="000000"/>
                <w:szCs w:val="21"/>
              </w:rPr>
              <w:t>-</w:t>
            </w:r>
          </w:p>
        </w:tc>
        <w:tc>
          <w:tcPr>
            <w:tcW w:w="2160" w:type="dxa"/>
            <w:vAlign w:val="center"/>
          </w:tcPr>
          <w:p w:rsidR="00854133" w:rsidRDefault="00581AA4">
            <w:pPr>
              <w:jc w:val="right"/>
            </w:pPr>
            <w:r>
              <w:rPr>
                <w:rFonts w:eastAsiaTheme="minorEastAsia"/>
                <w:color w:val="000000"/>
                <w:szCs w:val="21"/>
              </w:rPr>
              <w:t>13,945.42</w:t>
            </w:r>
          </w:p>
        </w:tc>
      </w:tr>
      <w:tr w:rsidR="00854133">
        <w:tc>
          <w:tcPr>
            <w:tcW w:w="1477" w:type="dxa"/>
            <w:vAlign w:val="center"/>
          </w:tcPr>
          <w:p w:rsidR="00854133" w:rsidRDefault="00581AA4">
            <w:pPr>
              <w:jc w:val="left"/>
            </w:pPr>
            <w:r>
              <w:rPr>
                <w:rFonts w:eastAsiaTheme="minorEastAsia"/>
                <w:color w:val="000000"/>
                <w:szCs w:val="21"/>
              </w:rPr>
              <w:t>其他资产</w:t>
            </w:r>
          </w:p>
        </w:tc>
        <w:tc>
          <w:tcPr>
            <w:tcW w:w="1943" w:type="dxa"/>
            <w:vAlign w:val="center"/>
          </w:tcPr>
          <w:p w:rsidR="00854133" w:rsidRDefault="00581AA4">
            <w:pPr>
              <w:jc w:val="right"/>
            </w:pPr>
            <w:r>
              <w:rPr>
                <w:rFonts w:eastAsiaTheme="minorEastAsia"/>
                <w:color w:val="000000"/>
                <w:szCs w:val="21"/>
              </w:rPr>
              <w:t>-</w:t>
            </w:r>
          </w:p>
        </w:tc>
        <w:tc>
          <w:tcPr>
            <w:tcW w:w="1400" w:type="dxa"/>
            <w:vAlign w:val="center"/>
          </w:tcPr>
          <w:p w:rsidR="00854133" w:rsidRDefault="00581AA4">
            <w:pPr>
              <w:jc w:val="right"/>
            </w:pPr>
            <w:r>
              <w:rPr>
                <w:rFonts w:eastAsiaTheme="minorEastAsia"/>
                <w:color w:val="000000"/>
                <w:szCs w:val="21"/>
              </w:rPr>
              <w:t>-</w:t>
            </w:r>
          </w:p>
        </w:tc>
        <w:tc>
          <w:tcPr>
            <w:tcW w:w="2020" w:type="dxa"/>
            <w:vAlign w:val="center"/>
          </w:tcPr>
          <w:p w:rsidR="00854133" w:rsidRDefault="00581AA4">
            <w:pPr>
              <w:jc w:val="right"/>
            </w:pPr>
            <w:r>
              <w:rPr>
                <w:rFonts w:eastAsiaTheme="minorEastAsia"/>
                <w:color w:val="000000"/>
                <w:szCs w:val="21"/>
              </w:rPr>
              <w:t>-</w:t>
            </w:r>
          </w:p>
        </w:tc>
        <w:tc>
          <w:tcPr>
            <w:tcW w:w="2160" w:type="dxa"/>
            <w:vAlign w:val="center"/>
          </w:tcPr>
          <w:p w:rsidR="00854133" w:rsidRDefault="00581AA4">
            <w:pPr>
              <w:jc w:val="right"/>
            </w:pPr>
            <w:r>
              <w:rPr>
                <w:rFonts w:eastAsiaTheme="minorEastAsia"/>
                <w:color w:val="000000"/>
                <w:szCs w:val="21"/>
              </w:rPr>
              <w:t>-</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356,614,605.59</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117.99</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91,503.34</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356,706,226.92</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以外币计价的负债</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854133">
        <w:tc>
          <w:tcPr>
            <w:tcW w:w="1477" w:type="dxa"/>
            <w:vAlign w:val="center"/>
          </w:tcPr>
          <w:p w:rsidR="00854133" w:rsidRDefault="00581AA4">
            <w:pPr>
              <w:jc w:val="left"/>
            </w:pPr>
            <w:r>
              <w:rPr>
                <w:rFonts w:eastAsiaTheme="minorEastAsia"/>
                <w:color w:val="000000"/>
                <w:szCs w:val="21"/>
              </w:rPr>
              <w:t>应付证券清算款</w:t>
            </w:r>
          </w:p>
        </w:tc>
        <w:tc>
          <w:tcPr>
            <w:tcW w:w="1943" w:type="dxa"/>
            <w:vAlign w:val="center"/>
          </w:tcPr>
          <w:p w:rsidR="00854133" w:rsidRDefault="00581AA4">
            <w:pPr>
              <w:jc w:val="right"/>
            </w:pPr>
            <w:r>
              <w:rPr>
                <w:rFonts w:eastAsiaTheme="minorEastAsia"/>
                <w:color w:val="000000"/>
                <w:szCs w:val="21"/>
              </w:rPr>
              <w:t>372,999.69</w:t>
            </w:r>
          </w:p>
        </w:tc>
        <w:tc>
          <w:tcPr>
            <w:tcW w:w="1400" w:type="dxa"/>
            <w:vAlign w:val="center"/>
          </w:tcPr>
          <w:p w:rsidR="00854133" w:rsidRDefault="00581AA4">
            <w:pPr>
              <w:jc w:val="right"/>
            </w:pPr>
            <w:r>
              <w:rPr>
                <w:rFonts w:eastAsiaTheme="minorEastAsia"/>
                <w:color w:val="000000"/>
                <w:szCs w:val="21"/>
              </w:rPr>
              <w:t>-</w:t>
            </w:r>
          </w:p>
        </w:tc>
        <w:tc>
          <w:tcPr>
            <w:tcW w:w="2020" w:type="dxa"/>
            <w:vAlign w:val="center"/>
          </w:tcPr>
          <w:p w:rsidR="00854133" w:rsidRDefault="00581AA4">
            <w:pPr>
              <w:jc w:val="right"/>
            </w:pPr>
            <w:r>
              <w:rPr>
                <w:rFonts w:eastAsiaTheme="minorEastAsia"/>
                <w:color w:val="000000"/>
                <w:szCs w:val="21"/>
              </w:rPr>
              <w:t>-</w:t>
            </w:r>
          </w:p>
        </w:tc>
        <w:tc>
          <w:tcPr>
            <w:tcW w:w="2160" w:type="dxa"/>
            <w:vAlign w:val="center"/>
          </w:tcPr>
          <w:p w:rsidR="00854133" w:rsidRDefault="00581AA4">
            <w:pPr>
              <w:jc w:val="right"/>
            </w:pPr>
            <w:r>
              <w:rPr>
                <w:rFonts w:eastAsiaTheme="minorEastAsia"/>
                <w:color w:val="000000"/>
                <w:szCs w:val="21"/>
              </w:rPr>
              <w:t>372,999.69</w:t>
            </w:r>
          </w:p>
        </w:tc>
      </w:tr>
      <w:tr w:rsidR="00854133">
        <w:tc>
          <w:tcPr>
            <w:tcW w:w="1477" w:type="dxa"/>
            <w:vAlign w:val="center"/>
          </w:tcPr>
          <w:p w:rsidR="00854133" w:rsidRDefault="00581AA4">
            <w:pPr>
              <w:jc w:val="left"/>
            </w:pPr>
            <w:r>
              <w:rPr>
                <w:rFonts w:eastAsiaTheme="minorEastAsia"/>
                <w:color w:val="000000"/>
                <w:szCs w:val="21"/>
              </w:rPr>
              <w:t>应付赎回款</w:t>
            </w:r>
          </w:p>
        </w:tc>
        <w:tc>
          <w:tcPr>
            <w:tcW w:w="1943" w:type="dxa"/>
            <w:vAlign w:val="center"/>
          </w:tcPr>
          <w:p w:rsidR="00854133" w:rsidRDefault="00581AA4">
            <w:pPr>
              <w:jc w:val="right"/>
            </w:pPr>
            <w:r>
              <w:rPr>
                <w:rFonts w:eastAsiaTheme="minorEastAsia"/>
                <w:color w:val="000000"/>
                <w:szCs w:val="21"/>
              </w:rPr>
              <w:t>-</w:t>
            </w:r>
          </w:p>
        </w:tc>
        <w:tc>
          <w:tcPr>
            <w:tcW w:w="1400" w:type="dxa"/>
            <w:vAlign w:val="center"/>
          </w:tcPr>
          <w:p w:rsidR="00854133" w:rsidRDefault="00581AA4">
            <w:pPr>
              <w:jc w:val="right"/>
            </w:pPr>
            <w:r>
              <w:rPr>
                <w:rFonts w:eastAsiaTheme="minorEastAsia"/>
                <w:color w:val="000000"/>
                <w:szCs w:val="21"/>
              </w:rPr>
              <w:t>-</w:t>
            </w:r>
          </w:p>
        </w:tc>
        <w:tc>
          <w:tcPr>
            <w:tcW w:w="2020" w:type="dxa"/>
            <w:vAlign w:val="center"/>
          </w:tcPr>
          <w:p w:rsidR="00854133" w:rsidRDefault="00581AA4">
            <w:pPr>
              <w:jc w:val="right"/>
            </w:pPr>
            <w:r>
              <w:rPr>
                <w:rFonts w:eastAsiaTheme="minorEastAsia"/>
                <w:color w:val="000000"/>
                <w:szCs w:val="21"/>
              </w:rPr>
              <w:t>-</w:t>
            </w:r>
          </w:p>
        </w:tc>
        <w:tc>
          <w:tcPr>
            <w:tcW w:w="2160" w:type="dxa"/>
            <w:vAlign w:val="center"/>
          </w:tcPr>
          <w:p w:rsidR="00854133" w:rsidRDefault="00581AA4">
            <w:pPr>
              <w:jc w:val="right"/>
            </w:pPr>
            <w:r>
              <w:rPr>
                <w:rFonts w:eastAsiaTheme="minorEastAsia"/>
                <w:color w:val="000000"/>
                <w:szCs w:val="21"/>
              </w:rPr>
              <w:t>-</w:t>
            </w:r>
          </w:p>
        </w:tc>
      </w:tr>
      <w:tr w:rsidR="00854133">
        <w:tc>
          <w:tcPr>
            <w:tcW w:w="1477" w:type="dxa"/>
            <w:vAlign w:val="center"/>
          </w:tcPr>
          <w:p w:rsidR="00854133" w:rsidRDefault="00581AA4">
            <w:pPr>
              <w:jc w:val="left"/>
            </w:pPr>
            <w:r>
              <w:rPr>
                <w:rFonts w:eastAsiaTheme="minorEastAsia"/>
                <w:color w:val="000000"/>
                <w:szCs w:val="21"/>
              </w:rPr>
              <w:t>其他负债</w:t>
            </w:r>
          </w:p>
        </w:tc>
        <w:tc>
          <w:tcPr>
            <w:tcW w:w="1943" w:type="dxa"/>
            <w:vAlign w:val="center"/>
          </w:tcPr>
          <w:p w:rsidR="00854133" w:rsidRDefault="00581AA4">
            <w:pPr>
              <w:jc w:val="right"/>
            </w:pPr>
            <w:r>
              <w:rPr>
                <w:rFonts w:eastAsiaTheme="minorEastAsia"/>
                <w:color w:val="000000"/>
                <w:szCs w:val="21"/>
              </w:rPr>
              <w:t>-</w:t>
            </w:r>
          </w:p>
        </w:tc>
        <w:tc>
          <w:tcPr>
            <w:tcW w:w="1400" w:type="dxa"/>
            <w:vAlign w:val="center"/>
          </w:tcPr>
          <w:p w:rsidR="00854133" w:rsidRDefault="00581AA4">
            <w:pPr>
              <w:jc w:val="right"/>
            </w:pPr>
            <w:r>
              <w:rPr>
                <w:rFonts w:eastAsiaTheme="minorEastAsia"/>
                <w:color w:val="000000"/>
                <w:szCs w:val="21"/>
              </w:rPr>
              <w:t>-</w:t>
            </w:r>
          </w:p>
        </w:tc>
        <w:tc>
          <w:tcPr>
            <w:tcW w:w="2020" w:type="dxa"/>
            <w:vAlign w:val="center"/>
          </w:tcPr>
          <w:p w:rsidR="00854133" w:rsidRDefault="00581AA4">
            <w:pPr>
              <w:jc w:val="right"/>
            </w:pPr>
            <w:r>
              <w:rPr>
                <w:rFonts w:eastAsiaTheme="minorEastAsia"/>
                <w:color w:val="000000"/>
                <w:szCs w:val="21"/>
              </w:rPr>
              <w:t>-</w:t>
            </w:r>
          </w:p>
        </w:tc>
        <w:tc>
          <w:tcPr>
            <w:tcW w:w="2160" w:type="dxa"/>
            <w:vAlign w:val="center"/>
          </w:tcPr>
          <w:p w:rsidR="00854133" w:rsidRDefault="00581AA4">
            <w:pPr>
              <w:jc w:val="right"/>
            </w:pPr>
            <w:r>
              <w:rPr>
                <w:rFonts w:eastAsiaTheme="minorEastAsia"/>
                <w:color w:val="000000"/>
                <w:szCs w:val="21"/>
              </w:rPr>
              <w:t>-</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负债合计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372,999.69</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372,999.69</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资产负债表外汇风险敞口净额</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356,241,605.90</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117.99</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91,503.34</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356,333,227.23</w:t>
            </w:r>
          </w:p>
        </w:tc>
      </w:tr>
    </w:tbl>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6.4.13.4.2.2</w:t>
      </w:r>
      <w:r w:rsidRPr="00C24ACA">
        <w:rPr>
          <w:rFonts w:eastAsiaTheme="minorEastAsia"/>
          <w:b/>
          <w:bCs/>
          <w:color w:val="000000"/>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2373"/>
        <w:gridCol w:w="2374"/>
      </w:tblGrid>
      <w:tr w:rsidR="00854133">
        <w:tc>
          <w:tcPr>
            <w:tcW w:w="993" w:type="dxa"/>
            <w:vAlign w:val="center"/>
          </w:tcPr>
          <w:p w:rsidR="00854133" w:rsidRDefault="00581AA4">
            <w:pPr>
              <w:jc w:val="left"/>
            </w:pPr>
            <w:r>
              <w:rPr>
                <w:rFonts w:eastAsiaTheme="minorEastAsia"/>
                <w:color w:val="000000"/>
                <w:szCs w:val="21"/>
              </w:rPr>
              <w:t>假设</w:t>
            </w:r>
          </w:p>
        </w:tc>
        <w:tc>
          <w:tcPr>
            <w:tcW w:w="8007" w:type="dxa"/>
            <w:gridSpan w:val="3"/>
            <w:vAlign w:val="center"/>
          </w:tcPr>
          <w:p w:rsidR="00854133" w:rsidRDefault="00581AA4">
            <w:pPr>
              <w:jc w:val="center"/>
            </w:pPr>
            <w:r>
              <w:rPr>
                <w:rFonts w:eastAsiaTheme="minorEastAsia"/>
                <w:color w:val="000000"/>
                <w:szCs w:val="21"/>
              </w:rPr>
              <w:t>除汇率外其他因素保持不变</w:t>
            </w:r>
          </w:p>
        </w:tc>
      </w:tr>
      <w:tr w:rsidR="00022F8F" w:rsidRPr="00C24ACA" w:rsidTr="0087507A">
        <w:tc>
          <w:tcPr>
            <w:tcW w:w="993" w:type="dxa"/>
            <w:vMerge w:val="restart"/>
            <w:vAlign w:val="center"/>
          </w:tcPr>
          <w:p w:rsidR="00022F8F" w:rsidRPr="00C24ACA" w:rsidRDefault="00022F8F" w:rsidP="00F86374">
            <w:pPr>
              <w:pStyle w:val="ae"/>
              <w:jc w:val="center"/>
              <w:rPr>
                <w:rFonts w:eastAsiaTheme="minorEastAsia"/>
                <w:color w:val="000000"/>
                <w:sz w:val="21"/>
                <w:szCs w:val="21"/>
              </w:rPr>
            </w:pPr>
            <w:r w:rsidRPr="00C24ACA">
              <w:rPr>
                <w:rFonts w:eastAsiaTheme="minorEastAsia"/>
                <w:bCs/>
                <w:color w:val="000000"/>
                <w:sz w:val="21"/>
                <w:szCs w:val="21"/>
              </w:rPr>
              <w:t>分析</w:t>
            </w:r>
          </w:p>
        </w:tc>
        <w:tc>
          <w:tcPr>
            <w:tcW w:w="3260" w:type="dxa"/>
            <w:vMerge w:val="restart"/>
            <w:vAlign w:val="center"/>
          </w:tcPr>
          <w:p w:rsidR="00022F8F" w:rsidRPr="00C24ACA" w:rsidRDefault="00022F8F" w:rsidP="0087507A">
            <w:pPr>
              <w:widowControl/>
              <w:autoSpaceDE w:val="0"/>
              <w:autoSpaceDN w:val="0"/>
              <w:ind w:right="-15"/>
              <w:jc w:val="center"/>
              <w:textAlignment w:val="bottom"/>
              <w:rPr>
                <w:rFonts w:eastAsiaTheme="minorEastAsia"/>
                <w:color w:val="000000"/>
                <w:kern w:val="0"/>
                <w:szCs w:val="21"/>
              </w:rPr>
            </w:pPr>
            <w:r w:rsidRPr="00C24ACA">
              <w:rPr>
                <w:rFonts w:eastAsiaTheme="minorEastAsia"/>
                <w:bCs/>
                <w:color w:val="000000"/>
                <w:szCs w:val="21"/>
              </w:rPr>
              <w:t>相关风险变量的变动</w:t>
            </w:r>
          </w:p>
        </w:tc>
        <w:tc>
          <w:tcPr>
            <w:tcW w:w="4747" w:type="dxa"/>
            <w:gridSpan w:val="2"/>
          </w:tcPr>
          <w:p w:rsidR="00022F8F" w:rsidRPr="00C24ACA" w:rsidRDefault="00022F8F" w:rsidP="0087507A">
            <w:pPr>
              <w:jc w:val="center"/>
              <w:rPr>
                <w:rFonts w:eastAsiaTheme="minorEastAsia"/>
                <w:color w:val="000000"/>
                <w:szCs w:val="21"/>
              </w:rPr>
            </w:pPr>
            <w:r w:rsidRPr="00C24ACA">
              <w:rPr>
                <w:rFonts w:eastAsiaTheme="minorEastAsia"/>
                <w:color w:val="000000"/>
                <w:szCs w:val="21"/>
              </w:rPr>
              <w:t>对资产负债表日基金资产净值的</w:t>
            </w:r>
          </w:p>
          <w:p w:rsidR="00022F8F" w:rsidRPr="00C24ACA" w:rsidRDefault="00022F8F" w:rsidP="0087507A">
            <w:pPr>
              <w:jc w:val="center"/>
              <w:rPr>
                <w:rFonts w:eastAsiaTheme="minorEastAsia"/>
                <w:color w:val="000000"/>
                <w:szCs w:val="21"/>
              </w:rPr>
            </w:pPr>
          </w:p>
          <w:p w:rsidR="00022F8F" w:rsidRPr="00C24ACA" w:rsidRDefault="00F86374" w:rsidP="00F86374">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00022F8F" w:rsidRPr="00C24ACA">
              <w:rPr>
                <w:rFonts w:eastAsiaTheme="minorEastAsia"/>
                <w:color w:val="000000"/>
                <w:szCs w:val="21"/>
              </w:rPr>
              <w:t>元）</w:t>
            </w:r>
          </w:p>
        </w:tc>
      </w:tr>
      <w:tr w:rsidR="00022F8F" w:rsidRPr="00C24ACA" w:rsidTr="0087507A">
        <w:tc>
          <w:tcPr>
            <w:tcW w:w="993" w:type="dxa"/>
            <w:vMerge/>
            <w:vAlign w:val="center"/>
          </w:tcPr>
          <w:p w:rsidR="00022F8F" w:rsidRPr="00C24ACA" w:rsidRDefault="00022F8F" w:rsidP="0087507A">
            <w:pPr>
              <w:widowControl/>
              <w:jc w:val="left"/>
              <w:rPr>
                <w:rFonts w:eastAsiaTheme="minorEastAsia"/>
                <w:color w:val="000000"/>
                <w:szCs w:val="21"/>
              </w:rPr>
            </w:pPr>
          </w:p>
        </w:tc>
        <w:tc>
          <w:tcPr>
            <w:tcW w:w="3260" w:type="dxa"/>
            <w:vMerge/>
            <w:vAlign w:val="center"/>
          </w:tcPr>
          <w:p w:rsidR="00022F8F" w:rsidRPr="00C24ACA" w:rsidRDefault="00022F8F" w:rsidP="0087507A">
            <w:pPr>
              <w:widowControl/>
              <w:jc w:val="left"/>
              <w:rPr>
                <w:rFonts w:eastAsiaTheme="minorEastAsia"/>
                <w:color w:val="000000"/>
                <w:kern w:val="0"/>
                <w:szCs w:val="21"/>
              </w:rPr>
            </w:pPr>
          </w:p>
        </w:tc>
        <w:tc>
          <w:tcPr>
            <w:tcW w:w="2373" w:type="dxa"/>
          </w:tcPr>
          <w:p w:rsidR="00022F8F" w:rsidRPr="00C24ACA" w:rsidRDefault="00022F8F" w:rsidP="0087507A">
            <w:pPr>
              <w:spacing w:line="360" w:lineRule="auto"/>
              <w:jc w:val="center"/>
              <w:rPr>
                <w:rFonts w:eastAsiaTheme="minorEastAsia"/>
                <w:color w:val="000000"/>
                <w:szCs w:val="21"/>
              </w:rPr>
            </w:pPr>
            <w:r w:rsidRPr="00C24ACA">
              <w:rPr>
                <w:rFonts w:eastAsiaTheme="minorEastAsia"/>
                <w:color w:val="000000"/>
                <w:szCs w:val="21"/>
              </w:rPr>
              <w:t>本期末</w:t>
            </w:r>
          </w:p>
          <w:p w:rsidR="00022F8F" w:rsidRPr="00C24ACA" w:rsidRDefault="00022F8F" w:rsidP="0087507A">
            <w:pPr>
              <w:spacing w:line="360" w:lineRule="auto"/>
              <w:jc w:val="center"/>
              <w:rPr>
                <w:rFonts w:eastAsiaTheme="minorEastAsia"/>
                <w:bCs/>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2374" w:type="dxa"/>
          </w:tcPr>
          <w:p w:rsidR="00022F8F" w:rsidRPr="00C24ACA" w:rsidRDefault="00022F8F" w:rsidP="0087507A">
            <w:pPr>
              <w:spacing w:line="360" w:lineRule="auto"/>
              <w:jc w:val="center"/>
              <w:rPr>
                <w:rFonts w:eastAsiaTheme="minorEastAsia"/>
                <w:color w:val="000000"/>
                <w:szCs w:val="21"/>
              </w:rPr>
            </w:pPr>
            <w:r w:rsidRPr="00C24ACA">
              <w:rPr>
                <w:rFonts w:eastAsiaTheme="minorEastAsia"/>
                <w:color w:val="000000"/>
                <w:szCs w:val="21"/>
              </w:rPr>
              <w:t>上年度末</w:t>
            </w:r>
          </w:p>
          <w:p w:rsidR="00022F8F" w:rsidRPr="00C24ACA" w:rsidRDefault="00022F8F" w:rsidP="0087507A">
            <w:pPr>
              <w:spacing w:line="360" w:lineRule="auto"/>
              <w:jc w:val="center"/>
              <w:rPr>
                <w:rFonts w:eastAsiaTheme="minorEastAsia"/>
                <w:bCs/>
                <w:color w:val="00000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12</w:t>
            </w:r>
            <w:r w:rsidRPr="00C24ACA">
              <w:rPr>
                <w:rFonts w:eastAsiaTheme="minorEastAsia"/>
                <w:color w:val="000000"/>
                <w:szCs w:val="21"/>
              </w:rPr>
              <w:t>月</w:t>
            </w:r>
            <w:r w:rsidRPr="00C24ACA">
              <w:rPr>
                <w:rFonts w:eastAsiaTheme="minorEastAsia"/>
                <w:color w:val="000000"/>
                <w:szCs w:val="21"/>
              </w:rPr>
              <w:t>31</w:t>
            </w:r>
            <w:r w:rsidRPr="00C24ACA">
              <w:rPr>
                <w:rFonts w:eastAsiaTheme="minorEastAsia"/>
                <w:color w:val="000000"/>
                <w:szCs w:val="21"/>
              </w:rPr>
              <w:t>日</w:t>
            </w:r>
          </w:p>
        </w:tc>
      </w:tr>
      <w:tr w:rsidR="00854133">
        <w:tc>
          <w:tcPr>
            <w:tcW w:w="993" w:type="dxa"/>
            <w:vMerge/>
          </w:tcPr>
          <w:p w:rsidR="00854133" w:rsidRDefault="00854133"/>
        </w:tc>
        <w:tc>
          <w:tcPr>
            <w:tcW w:w="3260" w:type="dxa"/>
            <w:vAlign w:val="center"/>
          </w:tcPr>
          <w:p w:rsidR="00854133" w:rsidRDefault="00581AA4">
            <w:pPr>
              <w:jc w:val="left"/>
            </w:pPr>
            <w:r>
              <w:rPr>
                <w:rFonts w:eastAsiaTheme="minorEastAsia"/>
                <w:color w:val="000000"/>
                <w:szCs w:val="21"/>
              </w:rPr>
              <w:t>假设人民币对一揽子货币平均升值</w:t>
            </w:r>
            <w:r>
              <w:rPr>
                <w:rFonts w:eastAsiaTheme="minorEastAsia"/>
                <w:color w:val="000000"/>
                <w:szCs w:val="21"/>
              </w:rPr>
              <w:t>5%</w:t>
            </w:r>
          </w:p>
        </w:tc>
        <w:tc>
          <w:tcPr>
            <w:tcW w:w="2373" w:type="dxa"/>
            <w:vAlign w:val="center"/>
          </w:tcPr>
          <w:p w:rsidR="00854133" w:rsidRDefault="00581AA4">
            <w:pPr>
              <w:jc w:val="right"/>
            </w:pPr>
            <w:r>
              <w:rPr>
                <w:rFonts w:eastAsiaTheme="minorEastAsia"/>
                <w:color w:val="000000"/>
                <w:szCs w:val="21"/>
              </w:rPr>
              <w:t>-14,035,730.64</w:t>
            </w:r>
          </w:p>
        </w:tc>
        <w:tc>
          <w:tcPr>
            <w:tcW w:w="2374" w:type="dxa"/>
            <w:vAlign w:val="center"/>
          </w:tcPr>
          <w:p w:rsidR="00854133" w:rsidRDefault="00581AA4">
            <w:pPr>
              <w:jc w:val="right"/>
            </w:pPr>
            <w:r>
              <w:rPr>
                <w:rFonts w:eastAsiaTheme="minorEastAsia"/>
                <w:color w:val="000000"/>
                <w:szCs w:val="21"/>
              </w:rPr>
              <w:t>-17,816,661.36</w:t>
            </w:r>
          </w:p>
        </w:tc>
      </w:tr>
      <w:tr w:rsidR="00854133">
        <w:tc>
          <w:tcPr>
            <w:tcW w:w="993" w:type="dxa"/>
            <w:vMerge/>
          </w:tcPr>
          <w:p w:rsidR="00854133" w:rsidRDefault="00854133"/>
        </w:tc>
        <w:tc>
          <w:tcPr>
            <w:tcW w:w="3260" w:type="dxa"/>
            <w:vAlign w:val="center"/>
          </w:tcPr>
          <w:p w:rsidR="00854133" w:rsidRDefault="00581AA4">
            <w:pPr>
              <w:jc w:val="left"/>
            </w:pPr>
            <w:r>
              <w:rPr>
                <w:rFonts w:eastAsiaTheme="minorEastAsia"/>
                <w:color w:val="000000"/>
                <w:szCs w:val="21"/>
              </w:rPr>
              <w:t>假设人民币对一揽子货币平均贬值</w:t>
            </w:r>
            <w:r>
              <w:rPr>
                <w:rFonts w:eastAsiaTheme="minorEastAsia"/>
                <w:color w:val="000000"/>
                <w:szCs w:val="21"/>
              </w:rPr>
              <w:t>5%</w:t>
            </w:r>
          </w:p>
        </w:tc>
        <w:tc>
          <w:tcPr>
            <w:tcW w:w="2373" w:type="dxa"/>
            <w:vAlign w:val="center"/>
          </w:tcPr>
          <w:p w:rsidR="00854133" w:rsidRDefault="00581AA4">
            <w:pPr>
              <w:jc w:val="right"/>
            </w:pPr>
            <w:r>
              <w:rPr>
                <w:rFonts w:eastAsiaTheme="minorEastAsia"/>
                <w:color w:val="000000"/>
                <w:szCs w:val="21"/>
              </w:rPr>
              <w:t>14,035,730.64</w:t>
            </w:r>
          </w:p>
        </w:tc>
        <w:tc>
          <w:tcPr>
            <w:tcW w:w="2374" w:type="dxa"/>
            <w:vAlign w:val="center"/>
          </w:tcPr>
          <w:p w:rsidR="00854133" w:rsidRDefault="00581AA4">
            <w:pPr>
              <w:jc w:val="right"/>
            </w:pPr>
            <w:r>
              <w:rPr>
                <w:rFonts w:eastAsiaTheme="minorEastAsia"/>
                <w:color w:val="000000"/>
                <w:szCs w:val="21"/>
              </w:rPr>
              <w:t>17,816,661.36</w:t>
            </w:r>
          </w:p>
        </w:tc>
      </w:tr>
    </w:tbl>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6.4.13.4.3</w:t>
      </w:r>
      <w:r w:rsidRPr="00C24ACA">
        <w:rPr>
          <w:rFonts w:eastAsiaTheme="minorEastAsia"/>
          <w:b/>
          <w:bCs/>
          <w:color w:val="000000"/>
          <w:szCs w:val="21"/>
        </w:rPr>
        <w:t>其他价格风险</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其他价格风险是指基金所持金融工具的公允价值或未来现金流量因除市场利率和外汇汇率以外的市场价格因素变动而发生波动的风险。因受到经济因素、政治因素、投资者心理和交易制度等多种因素的共同影响，黄金价格的变化可能导致基金收益水平的波动，产生系统性风险。</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本基金的基金管理人采用</w:t>
      </w:r>
      <w:r w:rsidRPr="00C24ACA">
        <w:rPr>
          <w:rFonts w:eastAsiaTheme="minorEastAsia"/>
          <w:kern w:val="0"/>
          <w:szCs w:val="21"/>
        </w:rPr>
        <w:t>Barra</w:t>
      </w:r>
      <w:r w:rsidRPr="00C24ACA">
        <w:rPr>
          <w:rFonts w:eastAsiaTheme="minorEastAsia"/>
          <w:kern w:val="0"/>
          <w:szCs w:val="21"/>
        </w:rPr>
        <w:t>风险管理系统，通过标准差、跟踪误差、</w:t>
      </w:r>
      <w:r w:rsidRPr="00C24ACA">
        <w:rPr>
          <w:rFonts w:eastAsiaTheme="minorEastAsia"/>
          <w:kern w:val="0"/>
          <w:szCs w:val="21"/>
        </w:rPr>
        <w:t>beta</w:t>
      </w:r>
      <w:r w:rsidRPr="00C24ACA">
        <w:rPr>
          <w:rFonts w:eastAsiaTheme="minorEastAsia"/>
          <w:kern w:val="0"/>
          <w:szCs w:val="21"/>
        </w:rPr>
        <w:t>值、</w:t>
      </w:r>
      <w:r w:rsidRPr="00C24ACA">
        <w:rPr>
          <w:rFonts w:eastAsiaTheme="minorEastAsia"/>
          <w:kern w:val="0"/>
          <w:szCs w:val="21"/>
        </w:rPr>
        <w:t>VAR</w:t>
      </w:r>
      <w:r w:rsidRPr="00C24ACA">
        <w:rPr>
          <w:rFonts w:eastAsiaTheme="minorEastAsia"/>
          <w:kern w:val="0"/>
          <w:szCs w:val="21"/>
        </w:rPr>
        <w:t>等指标，监控投资组合面临的市场价格波动风险。</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6.4.13.4.3.1</w:t>
      </w:r>
      <w:r w:rsidRPr="00C24ACA">
        <w:rPr>
          <w:rFonts w:eastAsiaTheme="minorEastAsia"/>
          <w:b/>
          <w:bCs/>
          <w:color w:val="000000"/>
          <w:szCs w:val="21"/>
        </w:rPr>
        <w:t>其他价格风险敞口</w:t>
      </w:r>
    </w:p>
    <w:p w:rsidR="004A2F25" w:rsidRPr="00C24ACA" w:rsidRDefault="004A2F25" w:rsidP="004A2F25">
      <w:pPr>
        <w:spacing w:line="288" w:lineRule="auto"/>
        <w:ind w:firstLine="420"/>
        <w:jc w:val="right"/>
        <w:rPr>
          <w:rFonts w:eastAsiaTheme="minorEastAsia"/>
          <w:bCs/>
          <w:color w:val="000000"/>
          <w:szCs w:val="21"/>
        </w:rPr>
      </w:pPr>
      <w:r w:rsidRPr="00C24ACA">
        <w:rPr>
          <w:rFonts w:eastAsiaTheme="minorEastAsia"/>
          <w:bCs/>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701"/>
        <w:gridCol w:w="1559"/>
        <w:gridCol w:w="1559"/>
        <w:gridCol w:w="1487"/>
      </w:tblGrid>
      <w:tr w:rsidR="008A5A5D" w:rsidRPr="00C24ACA" w:rsidTr="004A4847">
        <w:tc>
          <w:tcPr>
            <w:tcW w:w="2694" w:type="dxa"/>
            <w:vMerge w:val="restart"/>
            <w:vAlign w:val="center"/>
          </w:tcPr>
          <w:p w:rsidR="008A5A5D" w:rsidRPr="00C24ACA" w:rsidRDefault="008A5A5D" w:rsidP="00F5070F">
            <w:pPr>
              <w:jc w:val="center"/>
              <w:rPr>
                <w:rFonts w:eastAsiaTheme="minorEastAsia"/>
                <w:color w:val="000000"/>
                <w:szCs w:val="21"/>
              </w:rPr>
            </w:pPr>
            <w:r w:rsidRPr="00C24ACA">
              <w:rPr>
                <w:rFonts w:eastAsiaTheme="minorEastAsia"/>
                <w:color w:val="000000"/>
                <w:szCs w:val="21"/>
              </w:rPr>
              <w:t>项目</w:t>
            </w:r>
          </w:p>
        </w:tc>
        <w:tc>
          <w:tcPr>
            <w:tcW w:w="3260"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本期末</w:t>
            </w:r>
          </w:p>
          <w:p w:rsidR="008A5A5D" w:rsidRPr="00C24ACA" w:rsidRDefault="00AC4A34" w:rsidP="004A4847">
            <w:pPr>
              <w:jc w:val="center"/>
              <w:rPr>
                <w:rFonts w:eastAsiaTheme="minorEastAsia"/>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3046"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上年度末</w:t>
            </w:r>
          </w:p>
          <w:p w:rsidR="008A5A5D" w:rsidRPr="00C24ACA" w:rsidRDefault="00520D7F" w:rsidP="00022F8F">
            <w:pPr>
              <w:jc w:val="center"/>
              <w:rPr>
                <w:rFonts w:eastAsiaTheme="minorEastAsia"/>
                <w:color w:val="00000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12</w:t>
            </w:r>
            <w:r w:rsidRPr="00C24ACA">
              <w:rPr>
                <w:rFonts w:eastAsiaTheme="minorEastAsia"/>
                <w:color w:val="000000"/>
                <w:szCs w:val="21"/>
              </w:rPr>
              <w:t>月</w:t>
            </w:r>
            <w:r w:rsidRPr="00C24ACA">
              <w:rPr>
                <w:rFonts w:eastAsiaTheme="minorEastAsia"/>
                <w:color w:val="000000"/>
                <w:szCs w:val="21"/>
              </w:rPr>
              <w:t>31</w:t>
            </w:r>
            <w:r w:rsidRPr="00C24ACA">
              <w:rPr>
                <w:rFonts w:eastAsiaTheme="minorEastAsia"/>
                <w:color w:val="000000"/>
                <w:szCs w:val="21"/>
              </w:rPr>
              <w:t>日</w:t>
            </w:r>
          </w:p>
        </w:tc>
      </w:tr>
      <w:tr w:rsidR="008A5A5D" w:rsidRPr="00C24ACA" w:rsidTr="00022F8F">
        <w:tc>
          <w:tcPr>
            <w:tcW w:w="2694" w:type="dxa"/>
            <w:vMerge/>
            <w:vAlign w:val="center"/>
          </w:tcPr>
          <w:p w:rsidR="008A5A5D" w:rsidRPr="00C24ACA" w:rsidRDefault="008A5A5D" w:rsidP="004A4847">
            <w:pPr>
              <w:widowControl/>
              <w:jc w:val="left"/>
              <w:rPr>
                <w:rFonts w:eastAsiaTheme="minorEastAsia"/>
                <w:color w:val="000000"/>
                <w:szCs w:val="21"/>
              </w:rPr>
            </w:pPr>
          </w:p>
        </w:tc>
        <w:tc>
          <w:tcPr>
            <w:tcW w:w="1701" w:type="dxa"/>
            <w:vAlign w:val="center"/>
          </w:tcPr>
          <w:p w:rsidR="008A5A5D" w:rsidRPr="00C24ACA" w:rsidRDefault="008A5A5D" w:rsidP="004A4847">
            <w:pPr>
              <w:ind w:right="142"/>
              <w:jc w:val="center"/>
              <w:rPr>
                <w:rFonts w:eastAsiaTheme="minorEastAsia"/>
                <w:color w:val="000000"/>
                <w:szCs w:val="21"/>
              </w:rPr>
            </w:pPr>
            <w:r w:rsidRPr="00C24ACA">
              <w:rPr>
                <w:rFonts w:eastAsiaTheme="minorEastAsia"/>
                <w:color w:val="000000"/>
                <w:szCs w:val="21"/>
              </w:rPr>
              <w:t>公允价值</w:t>
            </w:r>
          </w:p>
        </w:tc>
        <w:tc>
          <w:tcPr>
            <w:tcW w:w="1559" w:type="dxa"/>
            <w:vAlign w:val="center"/>
          </w:tcPr>
          <w:p w:rsidR="008A5A5D" w:rsidRPr="00C24ACA" w:rsidRDefault="008A5A5D" w:rsidP="004A4847">
            <w:pPr>
              <w:ind w:right="141"/>
              <w:jc w:val="center"/>
              <w:rPr>
                <w:rFonts w:eastAsiaTheme="minorEastAsia"/>
                <w:color w:val="000000"/>
                <w:szCs w:val="21"/>
              </w:rPr>
            </w:pPr>
            <w:r w:rsidRPr="00C24ACA">
              <w:rPr>
                <w:rFonts w:eastAsiaTheme="minorEastAsia"/>
                <w:color w:val="000000"/>
                <w:szCs w:val="21"/>
              </w:rPr>
              <w:t>占基金资产净值比例（</w:t>
            </w:r>
            <w:r w:rsidRPr="00C24ACA">
              <w:rPr>
                <w:rFonts w:eastAsiaTheme="minorEastAsia"/>
                <w:color w:val="000000"/>
                <w:szCs w:val="21"/>
              </w:rPr>
              <w:t>%</w:t>
            </w:r>
            <w:r w:rsidRPr="00C24ACA">
              <w:rPr>
                <w:rFonts w:eastAsiaTheme="minorEastAsia"/>
                <w:color w:val="000000"/>
                <w:szCs w:val="21"/>
              </w:rPr>
              <w:t>）</w:t>
            </w:r>
          </w:p>
        </w:tc>
        <w:tc>
          <w:tcPr>
            <w:tcW w:w="1559" w:type="dxa"/>
            <w:vAlign w:val="center"/>
          </w:tcPr>
          <w:p w:rsidR="008A5A5D" w:rsidRPr="00C24ACA" w:rsidRDefault="008A5A5D" w:rsidP="00022F8F">
            <w:pPr>
              <w:ind w:right="113"/>
              <w:jc w:val="center"/>
              <w:rPr>
                <w:rFonts w:eastAsiaTheme="minorEastAsia"/>
                <w:color w:val="000000"/>
                <w:szCs w:val="21"/>
              </w:rPr>
            </w:pPr>
            <w:r w:rsidRPr="00C24ACA">
              <w:rPr>
                <w:rFonts w:eastAsiaTheme="minorEastAsia"/>
                <w:color w:val="000000"/>
                <w:szCs w:val="21"/>
              </w:rPr>
              <w:t>公允价值</w:t>
            </w:r>
          </w:p>
        </w:tc>
        <w:tc>
          <w:tcPr>
            <w:tcW w:w="1487" w:type="dxa"/>
            <w:vAlign w:val="center"/>
          </w:tcPr>
          <w:p w:rsidR="008A5A5D" w:rsidRPr="00C24ACA" w:rsidRDefault="008A5A5D" w:rsidP="00022F8F">
            <w:pPr>
              <w:ind w:right="141"/>
              <w:jc w:val="center"/>
              <w:rPr>
                <w:rFonts w:eastAsiaTheme="minorEastAsia"/>
                <w:color w:val="000000"/>
                <w:szCs w:val="21"/>
              </w:rPr>
            </w:pPr>
            <w:r w:rsidRPr="00C24ACA">
              <w:rPr>
                <w:rFonts w:eastAsiaTheme="minorEastAsia"/>
                <w:color w:val="000000"/>
                <w:szCs w:val="21"/>
              </w:rPr>
              <w:t>占基金资产净值比例（</w:t>
            </w:r>
            <w:r w:rsidRPr="00C24ACA">
              <w:rPr>
                <w:rFonts w:eastAsiaTheme="minorEastAsia"/>
                <w:color w:val="000000"/>
                <w:szCs w:val="21"/>
              </w:rPr>
              <w:t>%</w:t>
            </w:r>
            <w:r w:rsidRPr="00C24ACA">
              <w:rPr>
                <w:rFonts w:eastAsiaTheme="minorEastAsia"/>
                <w:color w:val="000000"/>
                <w:szCs w:val="21"/>
              </w:rPr>
              <w:t>）</w:t>
            </w:r>
          </w:p>
        </w:tc>
      </w:tr>
      <w:tr w:rsidR="008A5A5D" w:rsidRPr="00C24ACA" w:rsidTr="00022F8F">
        <w:tc>
          <w:tcPr>
            <w:tcW w:w="2694" w:type="dxa"/>
            <w:vAlign w:val="center"/>
          </w:tcPr>
          <w:p w:rsidR="008A5A5D" w:rsidRPr="00C24ACA" w:rsidRDefault="008A5A5D" w:rsidP="004A4847">
            <w:pPr>
              <w:jc w:val="left"/>
              <w:rPr>
                <w:rFonts w:eastAsiaTheme="minorEastAsia"/>
                <w:color w:val="000000"/>
                <w:szCs w:val="21"/>
              </w:rPr>
            </w:pPr>
            <w:r w:rsidRPr="00C24ACA">
              <w:rPr>
                <w:rFonts w:eastAsiaTheme="minorEastAsia"/>
                <w:color w:val="000000"/>
                <w:szCs w:val="21"/>
              </w:rPr>
              <w:t>交易性金融资产</w:t>
            </w:r>
            <w:r w:rsidRPr="00C24ACA">
              <w:rPr>
                <w:rFonts w:eastAsiaTheme="minorEastAsia"/>
                <w:szCs w:val="21"/>
              </w:rPr>
              <w:t>－</w:t>
            </w:r>
            <w:r w:rsidRPr="00C24ACA">
              <w:rPr>
                <w:rFonts w:eastAsiaTheme="minorEastAsia"/>
                <w:color w:val="000000"/>
                <w:szCs w:val="21"/>
              </w:rPr>
              <w:t>股票投资</w:t>
            </w:r>
          </w:p>
        </w:tc>
        <w:tc>
          <w:tcPr>
            <w:tcW w:w="1701"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24,086,465.18</w:t>
            </w:r>
          </w:p>
        </w:tc>
        <w:tc>
          <w:tcPr>
            <w:tcW w:w="1559"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8.03</w:t>
            </w:r>
          </w:p>
        </w:tc>
        <w:tc>
          <w:tcPr>
            <w:tcW w:w="1559"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w:t>
            </w:r>
          </w:p>
        </w:tc>
        <w:tc>
          <w:tcPr>
            <w:tcW w:w="1487"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w:t>
            </w:r>
          </w:p>
        </w:tc>
      </w:tr>
      <w:tr w:rsidR="008A5A5D" w:rsidRPr="00C24ACA" w:rsidTr="00022F8F">
        <w:tc>
          <w:tcPr>
            <w:tcW w:w="2694" w:type="dxa"/>
            <w:vAlign w:val="center"/>
          </w:tcPr>
          <w:p w:rsidR="008A5A5D" w:rsidRPr="00C24ACA" w:rsidRDefault="008A5A5D" w:rsidP="004A4847">
            <w:pPr>
              <w:jc w:val="left"/>
              <w:rPr>
                <w:rFonts w:eastAsiaTheme="minorEastAsia"/>
                <w:color w:val="000000"/>
                <w:szCs w:val="21"/>
              </w:rPr>
            </w:pPr>
            <w:r w:rsidRPr="00C24ACA">
              <w:rPr>
                <w:rFonts w:eastAsiaTheme="minorEastAsia"/>
                <w:color w:val="000000"/>
                <w:szCs w:val="21"/>
              </w:rPr>
              <w:t>交易性金融资产</w:t>
            </w:r>
            <w:r w:rsidRPr="00C24ACA">
              <w:rPr>
                <w:rFonts w:eastAsiaTheme="minorEastAsia"/>
                <w:color w:val="000000"/>
                <w:szCs w:val="21"/>
              </w:rPr>
              <w:t>—</w:t>
            </w:r>
            <w:r w:rsidRPr="00C24ACA">
              <w:rPr>
                <w:rFonts w:eastAsiaTheme="minorEastAsia"/>
                <w:color w:val="000000"/>
                <w:szCs w:val="21"/>
              </w:rPr>
              <w:t>基金投资</w:t>
            </w:r>
          </w:p>
        </w:tc>
        <w:tc>
          <w:tcPr>
            <w:tcW w:w="1701"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218,392,662.22</w:t>
            </w:r>
          </w:p>
        </w:tc>
        <w:tc>
          <w:tcPr>
            <w:tcW w:w="1559"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72.84</w:t>
            </w:r>
          </w:p>
        </w:tc>
        <w:tc>
          <w:tcPr>
            <w:tcW w:w="1559"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344,380,599.43</w:t>
            </w:r>
          </w:p>
        </w:tc>
        <w:tc>
          <w:tcPr>
            <w:tcW w:w="1487"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93.88</w:t>
            </w:r>
          </w:p>
        </w:tc>
      </w:tr>
      <w:tr w:rsidR="001D0D6A" w:rsidRPr="00C24ACA" w:rsidTr="00742218">
        <w:tc>
          <w:tcPr>
            <w:tcW w:w="2694" w:type="dxa"/>
            <w:vAlign w:val="center"/>
          </w:tcPr>
          <w:p w:rsidR="001D0D6A" w:rsidRPr="00224952" w:rsidRDefault="001D0D6A" w:rsidP="001D0D6A">
            <w:pPr>
              <w:spacing w:line="360" w:lineRule="auto"/>
              <w:jc w:val="left"/>
              <w:rPr>
                <w:szCs w:val="21"/>
              </w:rPr>
            </w:pPr>
            <w:r w:rsidRPr="00224952">
              <w:rPr>
                <w:rFonts w:hint="eastAsia"/>
                <w:szCs w:val="21"/>
              </w:rPr>
              <w:t>交易性金融资产－贵金属投资</w:t>
            </w:r>
          </w:p>
        </w:tc>
        <w:tc>
          <w:tcPr>
            <w:tcW w:w="1701" w:type="dxa"/>
            <w:vAlign w:val="center"/>
          </w:tcPr>
          <w:p w:rsidR="001D0D6A" w:rsidRPr="00224952" w:rsidRDefault="001D0D6A" w:rsidP="001D0D6A">
            <w:pPr>
              <w:spacing w:line="360" w:lineRule="auto"/>
              <w:jc w:val="right"/>
              <w:rPr>
                <w:color w:val="000000"/>
                <w:szCs w:val="21"/>
              </w:rPr>
            </w:pPr>
            <w:r w:rsidRPr="00224952">
              <w:rPr>
                <w:color w:val="000000"/>
                <w:szCs w:val="21"/>
              </w:rPr>
              <w:t>-</w:t>
            </w:r>
          </w:p>
        </w:tc>
        <w:tc>
          <w:tcPr>
            <w:tcW w:w="1559" w:type="dxa"/>
            <w:vAlign w:val="center"/>
          </w:tcPr>
          <w:p w:rsidR="001D0D6A" w:rsidRPr="00224952" w:rsidRDefault="001D0D6A" w:rsidP="001D0D6A">
            <w:pPr>
              <w:spacing w:line="360" w:lineRule="auto"/>
              <w:jc w:val="right"/>
              <w:rPr>
                <w:color w:val="000000"/>
                <w:szCs w:val="21"/>
              </w:rPr>
            </w:pPr>
            <w:r w:rsidRPr="00224952">
              <w:rPr>
                <w:color w:val="000000"/>
                <w:szCs w:val="21"/>
              </w:rPr>
              <w:t>-</w:t>
            </w:r>
          </w:p>
        </w:tc>
        <w:tc>
          <w:tcPr>
            <w:tcW w:w="1559" w:type="dxa"/>
            <w:vAlign w:val="center"/>
          </w:tcPr>
          <w:p w:rsidR="001D0D6A" w:rsidRPr="00224952" w:rsidRDefault="001D0D6A" w:rsidP="003B2040">
            <w:pPr>
              <w:spacing w:line="360" w:lineRule="auto"/>
              <w:jc w:val="right"/>
              <w:rPr>
                <w:color w:val="000000"/>
                <w:szCs w:val="21"/>
              </w:rPr>
            </w:pPr>
            <w:r w:rsidRPr="00224952">
              <w:rPr>
                <w:color w:val="000000"/>
                <w:szCs w:val="21"/>
              </w:rPr>
              <w:t>-</w:t>
            </w:r>
          </w:p>
        </w:tc>
        <w:tc>
          <w:tcPr>
            <w:tcW w:w="1487" w:type="dxa"/>
            <w:vAlign w:val="center"/>
          </w:tcPr>
          <w:p w:rsidR="001D0D6A" w:rsidRPr="00224952" w:rsidRDefault="001D0D6A" w:rsidP="003B2040">
            <w:pPr>
              <w:spacing w:line="360" w:lineRule="auto"/>
              <w:jc w:val="right"/>
              <w:rPr>
                <w:color w:val="000000"/>
                <w:szCs w:val="21"/>
              </w:rPr>
            </w:pPr>
            <w:r w:rsidRPr="00224952">
              <w:rPr>
                <w:color w:val="000000"/>
                <w:szCs w:val="21"/>
              </w:rPr>
              <w:t>-</w:t>
            </w:r>
          </w:p>
        </w:tc>
      </w:tr>
      <w:tr w:rsidR="001D0D6A" w:rsidRPr="00C24ACA" w:rsidTr="00022F8F">
        <w:tc>
          <w:tcPr>
            <w:tcW w:w="2694" w:type="dxa"/>
            <w:vAlign w:val="center"/>
          </w:tcPr>
          <w:p w:rsidR="001D0D6A" w:rsidRPr="00C24ACA" w:rsidRDefault="001D0D6A" w:rsidP="001D0D6A">
            <w:pPr>
              <w:jc w:val="left"/>
              <w:rPr>
                <w:rFonts w:eastAsiaTheme="minorEastAsia"/>
                <w:color w:val="000000"/>
                <w:szCs w:val="21"/>
              </w:rPr>
            </w:pPr>
            <w:r w:rsidRPr="00C24ACA">
              <w:rPr>
                <w:rFonts w:eastAsiaTheme="minorEastAsia"/>
                <w:color w:val="000000"/>
                <w:szCs w:val="21"/>
              </w:rPr>
              <w:t>衍生金融资产－权证投资</w:t>
            </w:r>
          </w:p>
        </w:tc>
        <w:tc>
          <w:tcPr>
            <w:tcW w:w="1701"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487"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r>
      <w:tr w:rsidR="001D0D6A" w:rsidRPr="00C24ACA" w:rsidTr="00022F8F">
        <w:tc>
          <w:tcPr>
            <w:tcW w:w="2694" w:type="dxa"/>
            <w:vAlign w:val="center"/>
          </w:tcPr>
          <w:p w:rsidR="001D0D6A" w:rsidRPr="00C24ACA" w:rsidRDefault="001D0D6A" w:rsidP="001D0D6A">
            <w:pPr>
              <w:jc w:val="left"/>
              <w:rPr>
                <w:rFonts w:eastAsiaTheme="minorEastAsia"/>
                <w:color w:val="000000"/>
                <w:szCs w:val="21"/>
              </w:rPr>
            </w:pPr>
            <w:r w:rsidRPr="00C24ACA">
              <w:rPr>
                <w:rFonts w:eastAsiaTheme="minorEastAsia"/>
                <w:color w:val="000000"/>
                <w:szCs w:val="21"/>
              </w:rPr>
              <w:t>其他</w:t>
            </w:r>
          </w:p>
        </w:tc>
        <w:tc>
          <w:tcPr>
            <w:tcW w:w="1701"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487"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r>
      <w:tr w:rsidR="001D0D6A" w:rsidRPr="00C24ACA" w:rsidTr="00022F8F">
        <w:tc>
          <w:tcPr>
            <w:tcW w:w="2694" w:type="dxa"/>
            <w:vAlign w:val="center"/>
          </w:tcPr>
          <w:p w:rsidR="001D0D6A" w:rsidRPr="00C24ACA" w:rsidRDefault="001D0D6A" w:rsidP="001D0D6A">
            <w:pPr>
              <w:rPr>
                <w:rFonts w:eastAsiaTheme="minorEastAsia"/>
                <w:color w:val="000000"/>
                <w:szCs w:val="21"/>
              </w:rPr>
            </w:pPr>
            <w:r w:rsidRPr="00C24ACA">
              <w:rPr>
                <w:rFonts w:eastAsiaTheme="minorEastAsia"/>
                <w:color w:val="000000"/>
                <w:szCs w:val="21"/>
              </w:rPr>
              <w:t>合计</w:t>
            </w:r>
          </w:p>
        </w:tc>
        <w:tc>
          <w:tcPr>
            <w:tcW w:w="1701"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242,479,127.40</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80.88</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344,380,599.43</w:t>
            </w:r>
          </w:p>
        </w:tc>
        <w:tc>
          <w:tcPr>
            <w:tcW w:w="1487"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93.88</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6.4.13.4.3.2</w:t>
      </w:r>
      <w:r w:rsidRPr="00C24ACA">
        <w:rPr>
          <w:rFonts w:eastAsiaTheme="minorEastAsia"/>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79"/>
        <w:gridCol w:w="72"/>
      </w:tblGrid>
      <w:tr w:rsidR="00854133">
        <w:tc>
          <w:tcPr>
            <w:tcW w:w="993" w:type="dxa"/>
            <w:vAlign w:val="center"/>
          </w:tcPr>
          <w:p w:rsidR="00854133" w:rsidRDefault="00581AA4">
            <w:pPr>
              <w:jc w:val="left"/>
            </w:pPr>
            <w:r>
              <w:rPr>
                <w:rFonts w:eastAsiaTheme="minorEastAsia"/>
                <w:color w:val="000000"/>
                <w:szCs w:val="21"/>
              </w:rPr>
              <w:t>假设</w:t>
            </w:r>
          </w:p>
        </w:tc>
        <w:tc>
          <w:tcPr>
            <w:tcW w:w="8079" w:type="dxa"/>
            <w:gridSpan w:val="4"/>
            <w:vAlign w:val="center"/>
          </w:tcPr>
          <w:p w:rsidR="00854133" w:rsidRDefault="00581AA4">
            <w:pPr>
              <w:jc w:val="center"/>
            </w:pPr>
            <w:r>
              <w:rPr>
                <w:rFonts w:eastAsiaTheme="minorEastAsia"/>
                <w:color w:val="000000"/>
                <w:szCs w:val="21"/>
              </w:rPr>
              <w:t>除业绩比较基准以外的其他市场变量保持不变</w:t>
            </w:r>
          </w:p>
        </w:tc>
      </w:tr>
      <w:tr w:rsidR="00695204" w:rsidRPr="00C24ACA" w:rsidTr="007C6EA8">
        <w:trPr>
          <w:gridAfter w:val="1"/>
          <w:wAfter w:w="72" w:type="dxa"/>
        </w:trPr>
        <w:tc>
          <w:tcPr>
            <w:tcW w:w="993" w:type="dxa"/>
            <w:vMerge w:val="restart"/>
            <w:vAlign w:val="center"/>
          </w:tcPr>
          <w:p w:rsidR="00695204" w:rsidRPr="00C24ACA" w:rsidRDefault="00695204" w:rsidP="00F86374">
            <w:pPr>
              <w:pStyle w:val="ae"/>
              <w:jc w:val="center"/>
              <w:rPr>
                <w:rFonts w:eastAsiaTheme="minorEastAsia"/>
                <w:color w:val="000000"/>
                <w:sz w:val="21"/>
                <w:szCs w:val="21"/>
              </w:rPr>
            </w:pPr>
            <w:r w:rsidRPr="00C24ACA">
              <w:rPr>
                <w:rFonts w:eastAsiaTheme="minorEastAsia"/>
                <w:bCs/>
                <w:color w:val="000000"/>
                <w:sz w:val="21"/>
                <w:szCs w:val="21"/>
              </w:rPr>
              <w:t>分析</w:t>
            </w:r>
          </w:p>
        </w:tc>
        <w:tc>
          <w:tcPr>
            <w:tcW w:w="2448" w:type="dxa"/>
            <w:vMerge w:val="restart"/>
            <w:vAlign w:val="center"/>
          </w:tcPr>
          <w:p w:rsidR="00695204" w:rsidRPr="00C24ACA" w:rsidRDefault="00695204" w:rsidP="007C6EA8">
            <w:pPr>
              <w:widowControl/>
              <w:autoSpaceDE w:val="0"/>
              <w:autoSpaceDN w:val="0"/>
              <w:ind w:right="-15"/>
              <w:jc w:val="center"/>
              <w:textAlignment w:val="bottom"/>
              <w:rPr>
                <w:rFonts w:eastAsiaTheme="minorEastAsia"/>
                <w:color w:val="000000"/>
                <w:kern w:val="0"/>
                <w:szCs w:val="21"/>
              </w:rPr>
            </w:pPr>
            <w:r w:rsidRPr="00C24ACA">
              <w:rPr>
                <w:rFonts w:eastAsiaTheme="minorEastAsia"/>
                <w:bCs/>
                <w:color w:val="000000"/>
                <w:szCs w:val="21"/>
              </w:rPr>
              <w:t>相关风险变量的变动</w:t>
            </w:r>
          </w:p>
        </w:tc>
        <w:tc>
          <w:tcPr>
            <w:tcW w:w="5559" w:type="dxa"/>
            <w:gridSpan w:val="2"/>
          </w:tcPr>
          <w:p w:rsidR="00695204" w:rsidRPr="00C24ACA" w:rsidRDefault="00695204" w:rsidP="007C6EA8">
            <w:pPr>
              <w:jc w:val="center"/>
              <w:rPr>
                <w:rFonts w:eastAsiaTheme="minorEastAsia"/>
                <w:color w:val="000000"/>
                <w:szCs w:val="21"/>
              </w:rPr>
            </w:pPr>
            <w:r w:rsidRPr="00C24ACA">
              <w:rPr>
                <w:rFonts w:eastAsiaTheme="minorEastAsia"/>
                <w:color w:val="000000"/>
                <w:szCs w:val="21"/>
              </w:rPr>
              <w:t>对资产负债表日基金资产净值的</w:t>
            </w:r>
          </w:p>
          <w:p w:rsidR="00695204" w:rsidRPr="00C24ACA" w:rsidRDefault="00F86374" w:rsidP="00F86374">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00695204" w:rsidRPr="00C24ACA">
              <w:rPr>
                <w:rFonts w:eastAsiaTheme="minorEastAsia"/>
                <w:color w:val="000000"/>
                <w:szCs w:val="21"/>
              </w:rPr>
              <w:t>元）</w:t>
            </w:r>
          </w:p>
        </w:tc>
      </w:tr>
      <w:tr w:rsidR="00695204" w:rsidRPr="00C24ACA" w:rsidTr="007C6EA8">
        <w:trPr>
          <w:gridAfter w:val="1"/>
          <w:wAfter w:w="72" w:type="dxa"/>
        </w:trPr>
        <w:tc>
          <w:tcPr>
            <w:tcW w:w="993" w:type="dxa"/>
            <w:vMerge/>
            <w:vAlign w:val="center"/>
          </w:tcPr>
          <w:p w:rsidR="00695204" w:rsidRPr="00C24ACA" w:rsidRDefault="00695204" w:rsidP="007C6EA8">
            <w:pPr>
              <w:widowControl/>
              <w:jc w:val="left"/>
              <w:rPr>
                <w:rFonts w:eastAsiaTheme="minorEastAsia"/>
                <w:color w:val="000000"/>
                <w:szCs w:val="21"/>
              </w:rPr>
            </w:pPr>
          </w:p>
        </w:tc>
        <w:tc>
          <w:tcPr>
            <w:tcW w:w="2448" w:type="dxa"/>
            <w:vMerge/>
            <w:vAlign w:val="center"/>
          </w:tcPr>
          <w:p w:rsidR="00695204" w:rsidRPr="00C24ACA" w:rsidRDefault="00695204" w:rsidP="007C6EA8">
            <w:pPr>
              <w:widowControl/>
              <w:jc w:val="left"/>
              <w:rPr>
                <w:rFonts w:eastAsiaTheme="minorEastAsia"/>
                <w:color w:val="000000"/>
                <w:kern w:val="0"/>
                <w:szCs w:val="21"/>
              </w:rPr>
            </w:pPr>
          </w:p>
        </w:tc>
        <w:tc>
          <w:tcPr>
            <w:tcW w:w="2880" w:type="dxa"/>
          </w:tcPr>
          <w:p w:rsidR="00695204" w:rsidRPr="00C24ACA" w:rsidRDefault="00695204" w:rsidP="008134C7">
            <w:pPr>
              <w:spacing w:line="360" w:lineRule="auto"/>
              <w:ind w:firstLineChars="350" w:firstLine="735"/>
              <w:rPr>
                <w:rFonts w:eastAsiaTheme="minorEastAsia"/>
                <w:color w:val="000000"/>
                <w:szCs w:val="21"/>
              </w:rPr>
            </w:pPr>
            <w:r w:rsidRPr="00C24ACA">
              <w:rPr>
                <w:rFonts w:eastAsiaTheme="minorEastAsia"/>
                <w:color w:val="000000"/>
                <w:szCs w:val="21"/>
              </w:rPr>
              <w:t>本期末</w:t>
            </w:r>
          </w:p>
          <w:p w:rsidR="00695204" w:rsidRPr="00C24ACA" w:rsidRDefault="00695204" w:rsidP="007C6EA8">
            <w:pPr>
              <w:spacing w:line="360" w:lineRule="auto"/>
              <w:jc w:val="center"/>
              <w:rPr>
                <w:rFonts w:eastAsiaTheme="minorEastAsia"/>
                <w:bCs/>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2679" w:type="dxa"/>
          </w:tcPr>
          <w:p w:rsidR="00695204" w:rsidRPr="00C24ACA" w:rsidRDefault="00695204" w:rsidP="008134C7">
            <w:pPr>
              <w:spacing w:line="360" w:lineRule="auto"/>
              <w:ind w:firstLineChars="300" w:firstLine="630"/>
              <w:rPr>
                <w:rFonts w:eastAsiaTheme="minorEastAsia"/>
                <w:color w:val="000000"/>
                <w:szCs w:val="21"/>
              </w:rPr>
            </w:pPr>
            <w:r w:rsidRPr="00C24ACA">
              <w:rPr>
                <w:rFonts w:eastAsiaTheme="minorEastAsia"/>
                <w:color w:val="000000"/>
                <w:szCs w:val="21"/>
              </w:rPr>
              <w:t>上年度末</w:t>
            </w:r>
          </w:p>
          <w:p w:rsidR="00695204" w:rsidRPr="00C24ACA" w:rsidRDefault="00695204" w:rsidP="007C6EA8">
            <w:pPr>
              <w:spacing w:line="360" w:lineRule="auto"/>
              <w:jc w:val="center"/>
              <w:rPr>
                <w:rFonts w:eastAsiaTheme="minorEastAsia"/>
                <w:bCs/>
                <w:color w:val="00000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12</w:t>
            </w:r>
            <w:r w:rsidRPr="00C24ACA">
              <w:rPr>
                <w:rFonts w:eastAsiaTheme="minorEastAsia"/>
                <w:color w:val="000000"/>
                <w:szCs w:val="21"/>
              </w:rPr>
              <w:t>月</w:t>
            </w:r>
            <w:r w:rsidRPr="00C24ACA">
              <w:rPr>
                <w:rFonts w:eastAsiaTheme="minorEastAsia"/>
                <w:color w:val="000000"/>
                <w:szCs w:val="21"/>
              </w:rPr>
              <w:t>31</w:t>
            </w:r>
            <w:r w:rsidRPr="00C24ACA">
              <w:rPr>
                <w:rFonts w:eastAsiaTheme="minorEastAsia"/>
                <w:color w:val="000000"/>
                <w:szCs w:val="21"/>
              </w:rPr>
              <w:t>日</w:t>
            </w:r>
          </w:p>
        </w:tc>
      </w:tr>
      <w:tr w:rsidR="00854133">
        <w:trPr>
          <w:gridAfter w:val="1"/>
          <w:wAfter w:w="72" w:type="dxa"/>
        </w:trPr>
        <w:tc>
          <w:tcPr>
            <w:tcW w:w="993" w:type="dxa"/>
            <w:vMerge/>
          </w:tcPr>
          <w:p w:rsidR="00854133" w:rsidRDefault="00854133"/>
        </w:tc>
        <w:tc>
          <w:tcPr>
            <w:tcW w:w="2448" w:type="dxa"/>
            <w:vAlign w:val="center"/>
          </w:tcPr>
          <w:p w:rsidR="00854133" w:rsidRDefault="00581AA4">
            <w:r>
              <w:rPr>
                <w:rFonts w:eastAsiaTheme="minorEastAsia"/>
                <w:color w:val="000000"/>
                <w:szCs w:val="21"/>
              </w:rPr>
              <w:t>1.</w:t>
            </w:r>
            <w:r>
              <w:rPr>
                <w:rFonts w:eastAsiaTheme="minorEastAsia"/>
                <w:color w:val="000000"/>
                <w:szCs w:val="21"/>
              </w:rPr>
              <w:t>业绩比较基准上升</w:t>
            </w:r>
            <w:r>
              <w:rPr>
                <w:rFonts w:eastAsiaTheme="minorEastAsia"/>
                <w:color w:val="000000"/>
                <w:szCs w:val="21"/>
              </w:rPr>
              <w:t>5%</w:t>
            </w:r>
          </w:p>
        </w:tc>
        <w:tc>
          <w:tcPr>
            <w:tcW w:w="2880" w:type="dxa"/>
            <w:vAlign w:val="center"/>
          </w:tcPr>
          <w:p w:rsidR="00854133" w:rsidRDefault="00581AA4">
            <w:pPr>
              <w:jc w:val="right"/>
            </w:pPr>
            <w:r>
              <w:rPr>
                <w:rFonts w:eastAsiaTheme="minorEastAsia"/>
                <w:color w:val="000000"/>
                <w:szCs w:val="21"/>
              </w:rPr>
              <w:t>12,123,956.36</w:t>
            </w:r>
          </w:p>
        </w:tc>
        <w:tc>
          <w:tcPr>
            <w:tcW w:w="2679" w:type="dxa"/>
            <w:vAlign w:val="center"/>
          </w:tcPr>
          <w:p w:rsidR="00854133" w:rsidRDefault="00581AA4">
            <w:pPr>
              <w:jc w:val="right"/>
            </w:pPr>
            <w:r>
              <w:rPr>
                <w:rFonts w:eastAsiaTheme="minorEastAsia"/>
                <w:color w:val="000000"/>
                <w:szCs w:val="21"/>
              </w:rPr>
              <w:t>17,219,029.96</w:t>
            </w:r>
          </w:p>
        </w:tc>
      </w:tr>
      <w:tr w:rsidR="00854133">
        <w:trPr>
          <w:gridAfter w:val="1"/>
          <w:wAfter w:w="72" w:type="dxa"/>
        </w:trPr>
        <w:tc>
          <w:tcPr>
            <w:tcW w:w="993" w:type="dxa"/>
            <w:vMerge/>
          </w:tcPr>
          <w:p w:rsidR="00854133" w:rsidRDefault="00854133"/>
        </w:tc>
        <w:tc>
          <w:tcPr>
            <w:tcW w:w="2448" w:type="dxa"/>
            <w:vAlign w:val="center"/>
          </w:tcPr>
          <w:p w:rsidR="00854133" w:rsidRDefault="00581AA4">
            <w:r>
              <w:rPr>
                <w:rFonts w:eastAsiaTheme="minorEastAsia"/>
                <w:color w:val="000000"/>
                <w:szCs w:val="21"/>
              </w:rPr>
              <w:t>2.</w:t>
            </w:r>
            <w:r>
              <w:rPr>
                <w:rFonts w:eastAsiaTheme="minorEastAsia"/>
                <w:color w:val="000000"/>
                <w:szCs w:val="21"/>
              </w:rPr>
              <w:t>业绩比较基准下降</w:t>
            </w:r>
            <w:r>
              <w:rPr>
                <w:rFonts w:eastAsiaTheme="minorEastAsia"/>
                <w:color w:val="000000"/>
                <w:szCs w:val="21"/>
              </w:rPr>
              <w:t>5%</w:t>
            </w:r>
          </w:p>
        </w:tc>
        <w:tc>
          <w:tcPr>
            <w:tcW w:w="2880" w:type="dxa"/>
            <w:vAlign w:val="center"/>
          </w:tcPr>
          <w:p w:rsidR="00854133" w:rsidRDefault="00581AA4">
            <w:pPr>
              <w:jc w:val="right"/>
            </w:pPr>
            <w:r>
              <w:rPr>
                <w:rFonts w:eastAsiaTheme="minorEastAsia"/>
                <w:color w:val="000000"/>
                <w:szCs w:val="21"/>
              </w:rPr>
              <w:t>-12,123,956.36</w:t>
            </w:r>
          </w:p>
        </w:tc>
        <w:tc>
          <w:tcPr>
            <w:tcW w:w="2679" w:type="dxa"/>
            <w:vAlign w:val="center"/>
          </w:tcPr>
          <w:p w:rsidR="00854133" w:rsidRDefault="00581AA4">
            <w:pPr>
              <w:jc w:val="right"/>
            </w:pPr>
            <w:r>
              <w:rPr>
                <w:rFonts w:eastAsiaTheme="minorEastAsia"/>
                <w:color w:val="000000"/>
                <w:szCs w:val="21"/>
              </w:rPr>
              <w:t>-17,219,029.96</w:t>
            </w:r>
          </w:p>
        </w:tc>
      </w:tr>
    </w:tbl>
    <w:p w:rsidR="008A5A5D" w:rsidRPr="00C24ACA" w:rsidRDefault="008A5A5D" w:rsidP="00732F5C">
      <w:pPr>
        <w:adjustRightInd w:val="0"/>
        <w:snapToGrid w:val="0"/>
        <w:spacing w:beforeLines="100" w:before="312" w:line="360" w:lineRule="auto"/>
        <w:rPr>
          <w:rFonts w:eastAsiaTheme="minorEastAsia"/>
          <w:b/>
          <w:color w:val="000000"/>
          <w:szCs w:val="21"/>
        </w:rPr>
      </w:pPr>
      <w:r w:rsidRPr="00C24ACA">
        <w:rPr>
          <w:rFonts w:eastAsiaTheme="minorEastAsia"/>
          <w:b/>
          <w:bCs/>
          <w:color w:val="000000"/>
          <w:kern w:val="0"/>
          <w:szCs w:val="21"/>
        </w:rPr>
        <w:t>6.4.14</w:t>
      </w:r>
      <w:r w:rsidRPr="00C24ACA">
        <w:rPr>
          <w:rFonts w:eastAsiaTheme="minorEastAsia"/>
          <w:b/>
          <w:color w:val="000000"/>
          <w:szCs w:val="21"/>
        </w:rPr>
        <w:t>有助于理解和分析会计报表需要说明的其他事项</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(1)</w:t>
      </w:r>
      <w:r>
        <w:rPr>
          <w:rFonts w:eastAsiaTheme="minorEastAsia"/>
          <w:kern w:val="0"/>
          <w:szCs w:val="21"/>
        </w:rPr>
        <w:t>公允价值</w:t>
      </w:r>
      <w:r>
        <w:rPr>
          <w:rFonts w:eastAsiaTheme="minorEastAsia"/>
          <w:kern w:val="0"/>
          <w:szCs w:val="21"/>
        </w:rPr>
        <w:t xml:space="preserve"> </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(a)</w:t>
      </w:r>
      <w:r>
        <w:rPr>
          <w:rFonts w:eastAsiaTheme="minorEastAsia"/>
          <w:kern w:val="0"/>
          <w:szCs w:val="21"/>
        </w:rPr>
        <w:t>金融工具公允价值计量的方法</w:t>
      </w:r>
      <w:r>
        <w:rPr>
          <w:rFonts w:eastAsiaTheme="minorEastAsia"/>
          <w:kern w:val="0"/>
          <w:szCs w:val="21"/>
        </w:rPr>
        <w:t xml:space="preserve"> </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公允价值计量结果所属的层次，由对公允价值计量整体而言具有重要意义的输入值所属的最低层次决定：</w:t>
      </w:r>
      <w:r>
        <w:rPr>
          <w:rFonts w:eastAsiaTheme="minorEastAsia"/>
          <w:kern w:val="0"/>
          <w:szCs w:val="21"/>
        </w:rPr>
        <w:t xml:space="preserve"> </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第一层次：相同资产或负债在活跃市场上未经调整的报价。</w:t>
      </w:r>
      <w:r>
        <w:rPr>
          <w:rFonts w:eastAsiaTheme="minorEastAsia"/>
          <w:kern w:val="0"/>
          <w:szCs w:val="21"/>
        </w:rPr>
        <w:t xml:space="preserve"> </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第二层次：除第一层次输入值外相关资产或负债直接或间接可观察的输入值。</w:t>
      </w:r>
      <w:r>
        <w:rPr>
          <w:rFonts w:eastAsiaTheme="minorEastAsia"/>
          <w:kern w:val="0"/>
          <w:szCs w:val="21"/>
        </w:rPr>
        <w:t xml:space="preserve"> </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第三层次：相关资产或负债的不可观察输入值。</w:t>
      </w:r>
      <w:r>
        <w:rPr>
          <w:rFonts w:eastAsiaTheme="minorEastAsia"/>
          <w:kern w:val="0"/>
          <w:szCs w:val="21"/>
        </w:rPr>
        <w:t xml:space="preserve"> </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(b)</w:t>
      </w:r>
      <w:r>
        <w:rPr>
          <w:rFonts w:eastAsiaTheme="minorEastAsia"/>
          <w:kern w:val="0"/>
          <w:szCs w:val="21"/>
        </w:rPr>
        <w:t>持续的以公允价值计量的金融工具</w:t>
      </w:r>
      <w:r>
        <w:rPr>
          <w:rFonts w:eastAsiaTheme="minorEastAsia"/>
          <w:kern w:val="0"/>
          <w:szCs w:val="21"/>
        </w:rPr>
        <w:t xml:space="preserve"> </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(i)</w:t>
      </w:r>
      <w:r>
        <w:rPr>
          <w:rFonts w:eastAsiaTheme="minorEastAsia"/>
          <w:kern w:val="0"/>
          <w:szCs w:val="21"/>
        </w:rPr>
        <w:t>各层次金融工具公允价值</w:t>
      </w:r>
      <w:r>
        <w:rPr>
          <w:rFonts w:eastAsiaTheme="minorEastAsia"/>
          <w:kern w:val="0"/>
          <w:szCs w:val="21"/>
        </w:rPr>
        <w:t xml:space="preserve"> </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30</w:t>
      </w:r>
      <w:r>
        <w:rPr>
          <w:rFonts w:eastAsiaTheme="minorEastAsia"/>
          <w:kern w:val="0"/>
          <w:szCs w:val="21"/>
        </w:rPr>
        <w:t>日，本基金持有的以公允价值计量且其变动计入当期损益的金融资产中属于第一层次的余额为</w:t>
      </w:r>
      <w:r>
        <w:rPr>
          <w:rFonts w:eastAsiaTheme="minorEastAsia"/>
          <w:kern w:val="0"/>
          <w:szCs w:val="21"/>
        </w:rPr>
        <w:t>242,479,127.40</w:t>
      </w:r>
      <w:r>
        <w:rPr>
          <w:rFonts w:eastAsiaTheme="minorEastAsia"/>
          <w:kern w:val="0"/>
          <w:szCs w:val="21"/>
        </w:rPr>
        <w:t>元，属于第二层次的余额为</w:t>
      </w:r>
      <w:r>
        <w:rPr>
          <w:rFonts w:eastAsiaTheme="minorEastAsia"/>
          <w:kern w:val="0"/>
          <w:szCs w:val="21"/>
        </w:rPr>
        <w:t>20,213,000.00</w:t>
      </w:r>
      <w:r>
        <w:rPr>
          <w:rFonts w:eastAsiaTheme="minorEastAsia"/>
          <w:kern w:val="0"/>
          <w:szCs w:val="21"/>
        </w:rPr>
        <w:t>元，无属于第三层次的余额</w:t>
      </w:r>
      <w:r>
        <w:rPr>
          <w:rFonts w:eastAsiaTheme="minorEastAsia"/>
          <w:kern w:val="0"/>
          <w:szCs w:val="21"/>
        </w:rPr>
        <w:t>(2019</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日：第一层次</w:t>
      </w:r>
      <w:r>
        <w:rPr>
          <w:rFonts w:eastAsiaTheme="minorEastAsia"/>
          <w:kern w:val="0"/>
          <w:szCs w:val="21"/>
        </w:rPr>
        <w:t>344,380,599.43</w:t>
      </w:r>
      <w:r>
        <w:rPr>
          <w:rFonts w:eastAsiaTheme="minorEastAsia"/>
          <w:kern w:val="0"/>
          <w:szCs w:val="21"/>
        </w:rPr>
        <w:t>元，无属于第二层次的余额，无属于第三层次的余额</w:t>
      </w:r>
      <w:r>
        <w:rPr>
          <w:rFonts w:eastAsiaTheme="minorEastAsia"/>
          <w:kern w:val="0"/>
          <w:szCs w:val="21"/>
        </w:rPr>
        <w:t xml:space="preserve">) </w:t>
      </w:r>
      <w:r>
        <w:rPr>
          <w:rFonts w:eastAsiaTheme="minorEastAsia"/>
          <w:kern w:val="0"/>
          <w:szCs w:val="21"/>
        </w:rPr>
        <w:t>。</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(ii)</w:t>
      </w:r>
      <w:r>
        <w:rPr>
          <w:rFonts w:eastAsiaTheme="minorEastAsia"/>
          <w:kern w:val="0"/>
          <w:szCs w:val="21"/>
        </w:rPr>
        <w:t>公允价值所属层次间的重大变动</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对于证券交易所上市的股票，若出现重大事项停牌、交易不活跃</w:t>
      </w:r>
      <w:r>
        <w:rPr>
          <w:rFonts w:eastAsiaTheme="minorEastAsia"/>
          <w:kern w:val="0"/>
          <w:szCs w:val="21"/>
        </w:rPr>
        <w:t>(</w:t>
      </w:r>
      <w:r>
        <w:rPr>
          <w:rFonts w:eastAsiaTheme="minorEastAsia"/>
          <w:kern w:val="0"/>
          <w:szCs w:val="21"/>
        </w:rPr>
        <w:t>包括涨跌停时的交易不活跃</w:t>
      </w:r>
      <w:r>
        <w:rPr>
          <w:rFonts w:eastAsiaTheme="minorEastAsia"/>
          <w:kern w:val="0"/>
          <w:szCs w:val="21"/>
        </w:rPr>
        <w:t>)</w:t>
      </w:r>
      <w:r>
        <w:rPr>
          <w:rFonts w:eastAsiaTheme="minorEastAsia"/>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rFonts w:eastAsiaTheme="minorEastAsia"/>
          <w:kern w:val="0"/>
          <w:szCs w:val="21"/>
        </w:rPr>
        <w:t xml:space="preserve"> </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(iii)</w:t>
      </w:r>
      <w:r>
        <w:rPr>
          <w:rFonts w:eastAsiaTheme="minorEastAsia"/>
          <w:kern w:val="0"/>
          <w:szCs w:val="21"/>
        </w:rPr>
        <w:t>第三层次公允价值余额和本期变动金额</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无。</w:t>
      </w:r>
      <w:r>
        <w:rPr>
          <w:rFonts w:eastAsiaTheme="minorEastAsia"/>
          <w:kern w:val="0"/>
          <w:szCs w:val="21"/>
        </w:rPr>
        <w:t xml:space="preserve"> </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(c)</w:t>
      </w:r>
      <w:r>
        <w:rPr>
          <w:rFonts w:eastAsiaTheme="minorEastAsia"/>
          <w:kern w:val="0"/>
          <w:szCs w:val="21"/>
        </w:rPr>
        <w:t>非持续的以公允价值计量的金融工具</w:t>
      </w:r>
      <w:r>
        <w:rPr>
          <w:rFonts w:eastAsiaTheme="minorEastAsia"/>
          <w:kern w:val="0"/>
          <w:szCs w:val="21"/>
        </w:rPr>
        <w:t xml:space="preserve"> </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30</w:t>
      </w:r>
      <w:r>
        <w:rPr>
          <w:rFonts w:eastAsiaTheme="minorEastAsia"/>
          <w:kern w:val="0"/>
          <w:szCs w:val="21"/>
        </w:rPr>
        <w:t>日，本基金未持有非持续的以公允价值计量的金融资产</w:t>
      </w:r>
      <w:r>
        <w:rPr>
          <w:rFonts w:eastAsiaTheme="minorEastAsia"/>
          <w:kern w:val="0"/>
          <w:szCs w:val="21"/>
        </w:rPr>
        <w:t>(2019</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日：同</w:t>
      </w:r>
      <w:r>
        <w:rPr>
          <w:rFonts w:eastAsiaTheme="minorEastAsia"/>
          <w:kern w:val="0"/>
          <w:szCs w:val="21"/>
        </w:rPr>
        <w:t xml:space="preserve">)  </w:t>
      </w:r>
      <w:r>
        <w:rPr>
          <w:rFonts w:eastAsiaTheme="minorEastAsia"/>
          <w:kern w:val="0"/>
          <w:szCs w:val="21"/>
        </w:rPr>
        <w:t>。</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(d)</w:t>
      </w:r>
      <w:r>
        <w:rPr>
          <w:rFonts w:eastAsiaTheme="minorEastAsia"/>
          <w:kern w:val="0"/>
          <w:szCs w:val="21"/>
        </w:rPr>
        <w:t>不以公允价值计量的金融工具</w:t>
      </w:r>
      <w:r>
        <w:rPr>
          <w:rFonts w:eastAsiaTheme="minorEastAsia"/>
          <w:kern w:val="0"/>
          <w:szCs w:val="21"/>
        </w:rPr>
        <w:t xml:space="preserve"> </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不以公允价值计量的金融资产和负债主要包括应收款项和其他金融负债，其账面价值与公允价值相差很小。</w:t>
      </w:r>
      <w:r>
        <w:rPr>
          <w:rFonts w:eastAsiaTheme="minorEastAsia"/>
          <w:kern w:val="0"/>
          <w:szCs w:val="21"/>
        </w:rPr>
        <w:t xml:space="preserve"> </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(2)</w:t>
      </w:r>
      <w:r w:rsidRPr="00C24ACA">
        <w:rPr>
          <w:rFonts w:eastAsiaTheme="minorEastAsia"/>
          <w:kern w:val="0"/>
          <w:szCs w:val="21"/>
        </w:rPr>
        <w:t>除公允价值外，截至资产负债表日本基金无需要说明的其他重要事项。</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96" w:name="_Toc225498272"/>
      <w:bookmarkStart w:id="197" w:name="_Toc352255995"/>
      <w:bookmarkStart w:id="198" w:name="_Toc352256063"/>
      <w:bookmarkStart w:id="199" w:name="_Toc352331241"/>
      <w:bookmarkStart w:id="200" w:name="_Toc390164820"/>
      <w:bookmarkStart w:id="201" w:name="_Toc48663426"/>
      <w:r w:rsidRPr="000C6CCD">
        <w:rPr>
          <w:rFonts w:ascii="宋体" w:hAnsi="宋体"/>
          <w:bCs w:val="0"/>
          <w:color w:val="000000"/>
          <w:sz w:val="21"/>
          <w:szCs w:val="21"/>
        </w:rPr>
        <w:t>7</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投资组合报告</w:t>
      </w:r>
      <w:bookmarkEnd w:id="196"/>
      <w:bookmarkEnd w:id="197"/>
      <w:bookmarkEnd w:id="198"/>
      <w:bookmarkEnd w:id="199"/>
      <w:bookmarkEnd w:id="200"/>
      <w:bookmarkEnd w:id="201"/>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02" w:name="_Toc225498273"/>
      <w:bookmarkStart w:id="203" w:name="_Toc352255996"/>
      <w:bookmarkStart w:id="204" w:name="_Toc352256064"/>
      <w:bookmarkStart w:id="205" w:name="_Toc352331242"/>
      <w:bookmarkStart w:id="206" w:name="_Toc390164821"/>
      <w:bookmarkStart w:id="207" w:name="_Toc48663427"/>
      <w:r w:rsidRPr="0087359D">
        <w:rPr>
          <w:rFonts w:ascii="宋体" w:hAnsi="宋体"/>
          <w:kern w:val="0"/>
          <w:sz w:val="21"/>
          <w:szCs w:val="21"/>
        </w:rPr>
        <w:t>7.1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期末基金资产组合情况</w:t>
      </w:r>
      <w:bookmarkEnd w:id="202"/>
      <w:bookmarkEnd w:id="203"/>
      <w:bookmarkEnd w:id="204"/>
      <w:bookmarkEnd w:id="205"/>
      <w:bookmarkEnd w:id="206"/>
      <w:bookmarkEnd w:id="207"/>
    </w:p>
    <w:p w:rsidR="008A5A5D" w:rsidRPr="00C24ACA" w:rsidRDefault="008A5A5D" w:rsidP="002116B9">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szCs w:val="21"/>
        </w:rPr>
        <w:t>金额单位：人民币元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420"/>
        <w:gridCol w:w="2520"/>
        <w:gridCol w:w="2052"/>
      </w:tblGrid>
      <w:tr w:rsidR="008A5A5D" w:rsidRPr="00C24ACA" w:rsidTr="00B73AA7">
        <w:trPr>
          <w:jc w:val="center"/>
        </w:trPr>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序号</w:t>
            </w:r>
          </w:p>
        </w:tc>
        <w:tc>
          <w:tcPr>
            <w:tcW w:w="342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项目</w:t>
            </w:r>
          </w:p>
        </w:tc>
        <w:tc>
          <w:tcPr>
            <w:tcW w:w="252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金额</w:t>
            </w:r>
          </w:p>
        </w:tc>
        <w:tc>
          <w:tcPr>
            <w:tcW w:w="2052"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占基金总资产的比例（</w:t>
            </w:r>
            <w:r w:rsidRPr="00C24ACA">
              <w:rPr>
                <w:rFonts w:eastAsiaTheme="minorEastAsia"/>
                <w:color w:val="000000"/>
                <w:szCs w:val="21"/>
              </w:rPr>
              <w:t>%</w:t>
            </w:r>
            <w:r w:rsidRPr="00C24ACA">
              <w:rPr>
                <w:rFonts w:eastAsiaTheme="minorEastAsia"/>
                <w:color w:val="000000"/>
                <w:szCs w:val="21"/>
              </w:rPr>
              <w:t>）</w:t>
            </w:r>
          </w:p>
        </w:tc>
      </w:tr>
      <w:tr w:rsidR="008A5A5D" w:rsidRPr="00C24ACA" w:rsidTr="00B73AA7">
        <w:trPr>
          <w:jc w:val="center"/>
        </w:trPr>
        <w:tc>
          <w:tcPr>
            <w:tcW w:w="1080" w:type="dxa"/>
            <w:vAlign w:val="center"/>
          </w:tcPr>
          <w:p w:rsidR="008A5A5D" w:rsidRPr="00C24ACA" w:rsidRDefault="008A5A5D" w:rsidP="00930E47">
            <w:pPr>
              <w:jc w:val="center"/>
              <w:rPr>
                <w:rFonts w:eastAsiaTheme="minorEastAsia"/>
                <w:color w:val="000000"/>
                <w:szCs w:val="21"/>
              </w:rPr>
            </w:pPr>
            <w:r w:rsidRPr="00C24ACA">
              <w:rPr>
                <w:rFonts w:eastAsiaTheme="minorEastAsia"/>
                <w:szCs w:val="21"/>
              </w:rPr>
              <w:t>1</w:t>
            </w:r>
          </w:p>
        </w:tc>
        <w:tc>
          <w:tcPr>
            <w:tcW w:w="3420" w:type="dxa"/>
            <w:vAlign w:val="center"/>
          </w:tcPr>
          <w:p w:rsidR="008A5A5D" w:rsidRPr="00C24ACA" w:rsidRDefault="008A5A5D" w:rsidP="00C87473">
            <w:pPr>
              <w:ind w:leftChars="50" w:left="105"/>
              <w:rPr>
                <w:rFonts w:eastAsiaTheme="minorEastAsia"/>
                <w:color w:val="000000"/>
                <w:szCs w:val="21"/>
              </w:rPr>
            </w:pPr>
            <w:r w:rsidRPr="00C24ACA">
              <w:rPr>
                <w:rFonts w:eastAsiaTheme="minorEastAsia"/>
                <w:szCs w:val="21"/>
              </w:rPr>
              <w:t>权益投资</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24,086,465.18</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7.78</w:t>
            </w:r>
          </w:p>
        </w:tc>
      </w:tr>
      <w:tr w:rsidR="008A5A5D" w:rsidRPr="00C24ACA" w:rsidTr="00B73AA7">
        <w:trPr>
          <w:jc w:val="center"/>
        </w:trPr>
        <w:tc>
          <w:tcPr>
            <w:tcW w:w="1080" w:type="dxa"/>
            <w:vAlign w:val="center"/>
          </w:tcPr>
          <w:p w:rsidR="008A5A5D" w:rsidRPr="00C24ACA" w:rsidRDefault="008A5A5D" w:rsidP="00930E47">
            <w:pPr>
              <w:jc w:val="center"/>
              <w:rPr>
                <w:rFonts w:eastAsiaTheme="minorEastAsia"/>
                <w:color w:val="000000"/>
                <w:szCs w:val="21"/>
              </w:rPr>
            </w:pPr>
          </w:p>
        </w:tc>
        <w:tc>
          <w:tcPr>
            <w:tcW w:w="3420" w:type="dxa"/>
            <w:vAlign w:val="center"/>
          </w:tcPr>
          <w:p w:rsidR="008A5A5D" w:rsidRPr="00C24ACA" w:rsidRDefault="008A5A5D" w:rsidP="00C87473">
            <w:pPr>
              <w:ind w:leftChars="50" w:left="105"/>
              <w:rPr>
                <w:rFonts w:eastAsiaTheme="minorEastAsia"/>
                <w:color w:val="000000"/>
                <w:szCs w:val="21"/>
              </w:rPr>
            </w:pPr>
            <w:r w:rsidRPr="00C24ACA">
              <w:rPr>
                <w:rFonts w:eastAsiaTheme="minorEastAsia"/>
                <w:szCs w:val="21"/>
              </w:rPr>
              <w:t>其中：普通股</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24,086,465.18</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7.78</w:t>
            </w:r>
          </w:p>
        </w:tc>
      </w:tr>
      <w:tr w:rsidR="008A5A5D" w:rsidRPr="00C24ACA" w:rsidTr="00B73AA7">
        <w:trPr>
          <w:jc w:val="center"/>
        </w:trPr>
        <w:tc>
          <w:tcPr>
            <w:tcW w:w="1080" w:type="dxa"/>
            <w:vAlign w:val="center"/>
          </w:tcPr>
          <w:p w:rsidR="008A5A5D" w:rsidRPr="00C24ACA" w:rsidRDefault="008A5A5D" w:rsidP="00930E47">
            <w:pPr>
              <w:jc w:val="center"/>
              <w:rPr>
                <w:rFonts w:eastAsiaTheme="minorEastAsia"/>
                <w:color w:val="000000"/>
                <w:szCs w:val="21"/>
              </w:rPr>
            </w:pPr>
          </w:p>
        </w:tc>
        <w:tc>
          <w:tcPr>
            <w:tcW w:w="3420" w:type="dxa"/>
            <w:vAlign w:val="center"/>
          </w:tcPr>
          <w:p w:rsidR="008A5A5D" w:rsidRPr="00C24ACA" w:rsidRDefault="008A5A5D" w:rsidP="008134C7">
            <w:pPr>
              <w:ind w:firstLineChars="350" w:firstLine="735"/>
              <w:rPr>
                <w:rFonts w:eastAsiaTheme="minorEastAsia"/>
                <w:color w:val="000000"/>
                <w:szCs w:val="21"/>
              </w:rPr>
            </w:pPr>
            <w:r w:rsidRPr="00C24ACA">
              <w:rPr>
                <w:rFonts w:eastAsiaTheme="minorEastAsia"/>
                <w:szCs w:val="21"/>
              </w:rPr>
              <w:t>存托凭证</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spacing w:before="29" w:line="360" w:lineRule="auto"/>
              <w:ind w:firstLineChars="350" w:firstLine="735"/>
              <w:rPr>
                <w:rFonts w:eastAsiaTheme="minorEastAsia"/>
                <w:color w:val="000000"/>
                <w:szCs w:val="21"/>
              </w:rPr>
            </w:pPr>
            <w:r w:rsidRPr="00C24ACA">
              <w:rPr>
                <w:rFonts w:eastAsiaTheme="minorEastAsia"/>
                <w:color w:val="000000"/>
                <w:szCs w:val="21"/>
              </w:rPr>
              <w:t>优先股</w:t>
            </w:r>
          </w:p>
        </w:tc>
        <w:tc>
          <w:tcPr>
            <w:tcW w:w="2520"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c>
          <w:tcPr>
            <w:tcW w:w="2052"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spacing w:before="29" w:line="360" w:lineRule="auto"/>
              <w:ind w:firstLineChars="350" w:firstLine="735"/>
              <w:rPr>
                <w:rFonts w:eastAsiaTheme="minorEastAsia"/>
                <w:color w:val="000000"/>
                <w:szCs w:val="21"/>
              </w:rPr>
            </w:pPr>
            <w:r w:rsidRPr="00C24ACA">
              <w:rPr>
                <w:rFonts w:eastAsiaTheme="minorEastAsia"/>
                <w:color w:val="000000"/>
                <w:szCs w:val="21"/>
              </w:rPr>
              <w:t>房地产信托</w:t>
            </w:r>
            <w:r w:rsidR="007969C0" w:rsidRPr="00C24ACA">
              <w:rPr>
                <w:rFonts w:eastAsiaTheme="minorEastAsia"/>
                <w:color w:val="000000"/>
                <w:szCs w:val="21"/>
              </w:rPr>
              <w:t>凭证</w:t>
            </w:r>
          </w:p>
        </w:tc>
        <w:tc>
          <w:tcPr>
            <w:tcW w:w="2520"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c>
          <w:tcPr>
            <w:tcW w:w="2052"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2</w:t>
            </w:r>
          </w:p>
        </w:tc>
        <w:tc>
          <w:tcPr>
            <w:tcW w:w="3420" w:type="dxa"/>
            <w:vAlign w:val="center"/>
          </w:tcPr>
          <w:p w:rsidR="00380273" w:rsidRPr="00C24ACA" w:rsidRDefault="00380273" w:rsidP="00C87473">
            <w:pPr>
              <w:ind w:leftChars="49" w:left="103"/>
              <w:rPr>
                <w:rFonts w:eastAsiaTheme="minorEastAsia"/>
                <w:color w:val="000000"/>
                <w:szCs w:val="21"/>
              </w:rPr>
            </w:pPr>
            <w:r w:rsidRPr="00C24ACA">
              <w:rPr>
                <w:rFonts w:eastAsiaTheme="minorEastAsia"/>
                <w:szCs w:val="21"/>
              </w:rPr>
              <w:t>基金投资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218,392,662.22</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70.54</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3</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固定收益投资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20,213,000.00</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6.53</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其中：债券</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20,213,000.00</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6.53</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ind w:leftChars="50" w:left="105" w:firstLineChars="300" w:firstLine="630"/>
              <w:rPr>
                <w:rFonts w:eastAsiaTheme="minorEastAsia"/>
                <w:color w:val="000000"/>
                <w:szCs w:val="21"/>
              </w:rPr>
            </w:pPr>
            <w:r w:rsidRPr="00C24ACA">
              <w:rPr>
                <w:rFonts w:eastAsiaTheme="minorEastAsia"/>
                <w:szCs w:val="21"/>
              </w:rPr>
              <w:t>资产支持证券</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4</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金融衍生品投资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其中：远期</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期货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期权</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权证</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5</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买入返售金融资产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其中：买断式回购的买入返售金融资产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6</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货币市场工具</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7</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银行存款和结算备付金合计</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46,280,272.27</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14.95</w:t>
            </w:r>
          </w:p>
        </w:tc>
      </w:tr>
      <w:tr w:rsidR="00380273" w:rsidRPr="00C24ACA" w:rsidTr="00B73AA7">
        <w:trPr>
          <w:jc w:val="center"/>
        </w:trPr>
        <w:tc>
          <w:tcPr>
            <w:tcW w:w="1080" w:type="dxa"/>
            <w:vAlign w:val="center"/>
          </w:tcPr>
          <w:p w:rsidR="00380273" w:rsidRPr="00C24ACA" w:rsidRDefault="00380273" w:rsidP="004A4847">
            <w:pPr>
              <w:spacing w:before="29" w:line="360" w:lineRule="auto"/>
              <w:ind w:left="17"/>
              <w:jc w:val="center"/>
              <w:rPr>
                <w:rFonts w:eastAsiaTheme="minorEastAsia"/>
                <w:color w:val="000000"/>
                <w:szCs w:val="21"/>
              </w:rPr>
            </w:pPr>
            <w:r w:rsidRPr="00C24ACA">
              <w:rPr>
                <w:rFonts w:eastAsiaTheme="minorEastAsia"/>
                <w:color w:val="000000"/>
                <w:szCs w:val="21"/>
              </w:rPr>
              <w:t>8</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其他各项资产</w:t>
            </w:r>
          </w:p>
        </w:tc>
        <w:tc>
          <w:tcPr>
            <w:tcW w:w="2520" w:type="dxa"/>
            <w:vAlign w:val="center"/>
          </w:tcPr>
          <w:p w:rsidR="00380273" w:rsidRPr="00C24ACA" w:rsidRDefault="00380273" w:rsidP="004A4847">
            <w:pPr>
              <w:jc w:val="right"/>
              <w:rPr>
                <w:rFonts w:eastAsiaTheme="minorEastAsia"/>
                <w:szCs w:val="21"/>
              </w:rPr>
            </w:pPr>
            <w:r w:rsidRPr="00C24ACA">
              <w:rPr>
                <w:rFonts w:eastAsiaTheme="minorEastAsia"/>
                <w:szCs w:val="21"/>
              </w:rPr>
              <w:t>631,108.39</w:t>
            </w:r>
          </w:p>
        </w:tc>
        <w:tc>
          <w:tcPr>
            <w:tcW w:w="2052" w:type="dxa"/>
            <w:vAlign w:val="center"/>
          </w:tcPr>
          <w:p w:rsidR="00380273" w:rsidRPr="00C24ACA" w:rsidRDefault="00380273" w:rsidP="004A4847">
            <w:pPr>
              <w:jc w:val="right"/>
              <w:rPr>
                <w:rFonts w:eastAsiaTheme="minorEastAsia"/>
                <w:szCs w:val="21"/>
              </w:rPr>
            </w:pPr>
            <w:r w:rsidRPr="00C24ACA">
              <w:rPr>
                <w:rFonts w:eastAsiaTheme="minorEastAsia"/>
                <w:szCs w:val="21"/>
              </w:rPr>
              <w:t>0.20</w:t>
            </w:r>
          </w:p>
        </w:tc>
      </w:tr>
      <w:tr w:rsidR="00380273" w:rsidRPr="00C24ACA" w:rsidTr="00B73AA7">
        <w:trPr>
          <w:jc w:val="center"/>
        </w:trPr>
        <w:tc>
          <w:tcPr>
            <w:tcW w:w="1080" w:type="dxa"/>
            <w:vAlign w:val="center"/>
          </w:tcPr>
          <w:p w:rsidR="00380273" w:rsidRPr="00C24ACA" w:rsidRDefault="00380273" w:rsidP="004A4847">
            <w:pPr>
              <w:spacing w:before="29" w:line="360" w:lineRule="auto"/>
              <w:ind w:left="17"/>
              <w:jc w:val="center"/>
              <w:rPr>
                <w:rFonts w:eastAsiaTheme="minorEastAsia"/>
                <w:color w:val="000000"/>
                <w:szCs w:val="21"/>
              </w:rPr>
            </w:pPr>
            <w:r w:rsidRPr="00C24ACA">
              <w:rPr>
                <w:rFonts w:eastAsiaTheme="minorEastAsia"/>
                <w:color w:val="000000"/>
                <w:szCs w:val="21"/>
              </w:rPr>
              <w:t>9</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合计</w:t>
            </w:r>
          </w:p>
        </w:tc>
        <w:tc>
          <w:tcPr>
            <w:tcW w:w="2520" w:type="dxa"/>
            <w:vAlign w:val="center"/>
          </w:tcPr>
          <w:p w:rsidR="00380273" w:rsidRPr="00C24ACA" w:rsidRDefault="00380273" w:rsidP="004A4847">
            <w:pPr>
              <w:jc w:val="right"/>
              <w:rPr>
                <w:rFonts w:eastAsiaTheme="minorEastAsia"/>
                <w:szCs w:val="21"/>
              </w:rPr>
            </w:pPr>
            <w:r w:rsidRPr="00C24ACA">
              <w:rPr>
                <w:rFonts w:eastAsiaTheme="minorEastAsia"/>
                <w:szCs w:val="21"/>
              </w:rPr>
              <w:t>309,603,508.06</w:t>
            </w:r>
          </w:p>
        </w:tc>
        <w:tc>
          <w:tcPr>
            <w:tcW w:w="2052" w:type="dxa"/>
            <w:vAlign w:val="center"/>
          </w:tcPr>
          <w:p w:rsidR="00380273" w:rsidRPr="00C24ACA" w:rsidRDefault="00380273" w:rsidP="004A4847">
            <w:pPr>
              <w:jc w:val="right"/>
              <w:rPr>
                <w:rFonts w:eastAsiaTheme="minorEastAsia"/>
                <w:szCs w:val="21"/>
              </w:rPr>
            </w:pPr>
            <w:r w:rsidRPr="00C24ACA">
              <w:rPr>
                <w:rFonts w:eastAsiaTheme="minorEastAsia"/>
                <w:szCs w:val="21"/>
              </w:rPr>
              <w:t>100.00</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08" w:name="_Toc390164822"/>
      <w:bookmarkStart w:id="209" w:name="_Toc48663428"/>
      <w:r w:rsidRPr="0087359D">
        <w:rPr>
          <w:rFonts w:ascii="宋体" w:hAnsi="宋体"/>
          <w:kern w:val="0"/>
          <w:sz w:val="21"/>
          <w:szCs w:val="21"/>
        </w:rPr>
        <w:t>7.2</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期末在各个国家（地区）证券市场的权益投资分布</w:t>
      </w:r>
      <w:bookmarkEnd w:id="208"/>
      <w:bookmarkEnd w:id="209"/>
    </w:p>
    <w:p w:rsidR="00E573EF" w:rsidRPr="00C24ACA" w:rsidRDefault="00E573EF" w:rsidP="00FF06C4">
      <w:pPr>
        <w:spacing w:line="360" w:lineRule="auto"/>
        <w:jc w:val="right"/>
        <w:rPr>
          <w:rFonts w:eastAsiaTheme="minorEastAsia"/>
          <w:color w:val="000000"/>
          <w:szCs w:val="21"/>
        </w:rPr>
      </w:pPr>
      <w:r w:rsidRPr="00C24ACA">
        <w:rPr>
          <w:rFonts w:eastAsiaTheme="minor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4"/>
        <w:gridCol w:w="3598"/>
        <w:gridCol w:w="3684"/>
      </w:tblGrid>
      <w:tr w:rsidR="008A5A5D" w:rsidRPr="00C24ACA" w:rsidTr="00B73AA7">
        <w:trPr>
          <w:jc w:val="center"/>
        </w:trPr>
        <w:tc>
          <w:tcPr>
            <w:tcW w:w="2074"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国家（地区）</w:t>
            </w:r>
          </w:p>
        </w:tc>
        <w:tc>
          <w:tcPr>
            <w:tcW w:w="3598"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公允价值</w:t>
            </w:r>
          </w:p>
        </w:tc>
        <w:tc>
          <w:tcPr>
            <w:tcW w:w="3684"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占基金资产净值比例（％）</w:t>
            </w:r>
          </w:p>
        </w:tc>
      </w:tr>
      <w:tr w:rsidR="00854133">
        <w:trPr>
          <w:jc w:val="center"/>
        </w:trPr>
        <w:tc>
          <w:tcPr>
            <w:tcW w:w="2074" w:type="dxa"/>
            <w:vAlign w:val="center"/>
          </w:tcPr>
          <w:p w:rsidR="00854133" w:rsidRDefault="00581AA4">
            <w:pPr>
              <w:jc w:val="left"/>
            </w:pPr>
            <w:r>
              <w:rPr>
                <w:rFonts w:eastAsiaTheme="minorEastAsia"/>
                <w:color w:val="000000"/>
                <w:szCs w:val="21"/>
              </w:rPr>
              <w:t>美国</w:t>
            </w:r>
          </w:p>
        </w:tc>
        <w:tc>
          <w:tcPr>
            <w:tcW w:w="3598" w:type="dxa"/>
            <w:vAlign w:val="center"/>
          </w:tcPr>
          <w:p w:rsidR="00854133" w:rsidRDefault="00581AA4">
            <w:pPr>
              <w:jc w:val="right"/>
            </w:pPr>
            <w:r>
              <w:rPr>
                <w:rFonts w:eastAsiaTheme="minorEastAsia"/>
                <w:color w:val="000000"/>
                <w:szCs w:val="21"/>
              </w:rPr>
              <w:t>24,086,465.18</w:t>
            </w:r>
          </w:p>
        </w:tc>
        <w:tc>
          <w:tcPr>
            <w:tcW w:w="3684" w:type="dxa"/>
            <w:vAlign w:val="center"/>
          </w:tcPr>
          <w:p w:rsidR="00854133" w:rsidRDefault="00581AA4">
            <w:pPr>
              <w:jc w:val="right"/>
            </w:pPr>
            <w:r>
              <w:rPr>
                <w:rFonts w:eastAsiaTheme="minorEastAsia"/>
                <w:color w:val="000000"/>
                <w:szCs w:val="21"/>
              </w:rPr>
              <w:t>8.03</w:t>
            </w:r>
          </w:p>
        </w:tc>
      </w:tr>
      <w:tr w:rsidR="008A5A5D" w:rsidRPr="00C24ACA" w:rsidTr="00B73AA7">
        <w:trPr>
          <w:jc w:val="center"/>
        </w:trPr>
        <w:tc>
          <w:tcPr>
            <w:tcW w:w="2074" w:type="dxa"/>
            <w:vAlign w:val="center"/>
          </w:tcPr>
          <w:p w:rsidR="008A5A5D" w:rsidRPr="00C24ACA" w:rsidRDefault="008A5A5D" w:rsidP="00AB7D15">
            <w:pPr>
              <w:pStyle w:val="ae"/>
              <w:rPr>
                <w:rFonts w:eastAsiaTheme="minorEastAsia"/>
                <w:color w:val="000000"/>
                <w:sz w:val="21"/>
                <w:szCs w:val="21"/>
              </w:rPr>
            </w:pPr>
            <w:r w:rsidRPr="00C24ACA">
              <w:rPr>
                <w:rFonts w:eastAsiaTheme="minorEastAsia"/>
                <w:sz w:val="21"/>
                <w:szCs w:val="21"/>
              </w:rPr>
              <w:t>合计</w:t>
            </w:r>
          </w:p>
        </w:tc>
        <w:tc>
          <w:tcPr>
            <w:tcW w:w="3598" w:type="dxa"/>
          </w:tcPr>
          <w:p w:rsidR="008A5A5D" w:rsidRPr="00C24ACA" w:rsidRDefault="008A5A5D" w:rsidP="004A4847">
            <w:pPr>
              <w:jc w:val="right"/>
              <w:rPr>
                <w:rFonts w:eastAsiaTheme="minorEastAsia"/>
                <w:color w:val="000000"/>
                <w:szCs w:val="21"/>
              </w:rPr>
            </w:pPr>
            <w:r w:rsidRPr="00C24ACA">
              <w:rPr>
                <w:rFonts w:eastAsiaTheme="minorEastAsia"/>
                <w:szCs w:val="21"/>
              </w:rPr>
              <w:t>24,086,465.18</w:t>
            </w:r>
          </w:p>
        </w:tc>
        <w:tc>
          <w:tcPr>
            <w:tcW w:w="3684" w:type="dxa"/>
          </w:tcPr>
          <w:p w:rsidR="008A5A5D" w:rsidRPr="00C24ACA" w:rsidRDefault="008A5A5D" w:rsidP="004A4847">
            <w:pPr>
              <w:jc w:val="right"/>
              <w:rPr>
                <w:rFonts w:eastAsiaTheme="minorEastAsia"/>
                <w:color w:val="000000"/>
                <w:szCs w:val="21"/>
              </w:rPr>
            </w:pPr>
            <w:r w:rsidRPr="00C24ACA">
              <w:rPr>
                <w:rFonts w:eastAsiaTheme="minorEastAsia"/>
                <w:szCs w:val="21"/>
              </w:rPr>
              <w:t>8.03</w:t>
            </w:r>
          </w:p>
        </w:tc>
      </w:tr>
    </w:tbl>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国家（地区）类别根据其所在的证券交易所确定。</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2.ADR</w:t>
      </w:r>
      <w:r w:rsidRPr="00C24ACA">
        <w:rPr>
          <w:rFonts w:eastAsiaTheme="minorEastAsia"/>
          <w:kern w:val="0"/>
          <w:szCs w:val="21"/>
        </w:rPr>
        <w:t>、</w:t>
      </w:r>
      <w:r w:rsidRPr="00C24ACA">
        <w:rPr>
          <w:rFonts w:eastAsiaTheme="minorEastAsia"/>
          <w:kern w:val="0"/>
          <w:szCs w:val="21"/>
        </w:rPr>
        <w:t>GDR</w:t>
      </w:r>
      <w:r w:rsidRPr="00C24ACA">
        <w:rPr>
          <w:rFonts w:eastAsiaTheme="minorEastAsia"/>
          <w:kern w:val="0"/>
          <w:szCs w:val="21"/>
        </w:rPr>
        <w:t>按照存托凭证本身挂牌的证券交易所确定。</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10" w:name="_Toc224618378"/>
      <w:bookmarkStart w:id="211" w:name="_Toc248233025"/>
      <w:bookmarkStart w:id="212" w:name="_Toc249790557"/>
      <w:bookmarkStart w:id="213" w:name="_Toc286929758"/>
      <w:bookmarkStart w:id="214" w:name="_Toc352255997"/>
      <w:bookmarkStart w:id="215" w:name="_Toc352256065"/>
      <w:bookmarkStart w:id="216" w:name="_Toc352331243"/>
      <w:bookmarkStart w:id="217" w:name="_Toc390164823"/>
      <w:bookmarkStart w:id="218" w:name="_Toc48663429"/>
      <w:r w:rsidRPr="0087359D">
        <w:rPr>
          <w:rFonts w:ascii="宋体" w:hAnsi="宋体"/>
          <w:kern w:val="0"/>
          <w:sz w:val="21"/>
          <w:szCs w:val="21"/>
        </w:rPr>
        <w:t>7.3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期末按行业分类的权益投资组合</w:t>
      </w:r>
      <w:bookmarkEnd w:id="210"/>
      <w:bookmarkEnd w:id="211"/>
      <w:bookmarkEnd w:id="212"/>
      <w:bookmarkEnd w:id="213"/>
      <w:bookmarkEnd w:id="214"/>
      <w:bookmarkEnd w:id="215"/>
      <w:bookmarkEnd w:id="216"/>
      <w:bookmarkEnd w:id="217"/>
      <w:bookmarkEnd w:id="218"/>
    </w:p>
    <w:p w:rsidR="007863A3" w:rsidRPr="00C24ACA" w:rsidRDefault="007863A3" w:rsidP="007863A3">
      <w:pPr>
        <w:autoSpaceDE w:val="0"/>
        <w:autoSpaceDN w:val="0"/>
        <w:adjustRightInd w:val="0"/>
        <w:spacing w:before="29" w:line="360" w:lineRule="auto"/>
        <w:ind w:left="15"/>
        <w:jc w:val="right"/>
        <w:rPr>
          <w:rFonts w:eastAsiaTheme="minorEastAsia"/>
          <w:color w:val="000000"/>
          <w:szCs w:val="21"/>
        </w:rPr>
      </w:pPr>
      <w:r w:rsidRPr="00C24ACA">
        <w:rPr>
          <w:rFonts w:eastAsiaTheme="minor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703"/>
        <w:gridCol w:w="3119"/>
        <w:gridCol w:w="2534"/>
      </w:tblGrid>
      <w:tr w:rsidR="007863A3" w:rsidRPr="00C24ACA" w:rsidTr="00B73AA7">
        <w:trPr>
          <w:trHeight w:val="285"/>
          <w:jc w:val="center"/>
        </w:trPr>
        <w:tc>
          <w:tcPr>
            <w:tcW w:w="3703" w:type="dxa"/>
            <w:tcMar>
              <w:top w:w="15" w:type="dxa"/>
              <w:left w:w="15" w:type="dxa"/>
              <w:bottom w:w="0" w:type="dxa"/>
              <w:right w:w="15" w:type="dxa"/>
            </w:tcMar>
            <w:vAlign w:val="center"/>
          </w:tcPr>
          <w:p w:rsidR="007863A3" w:rsidRPr="00C24ACA" w:rsidRDefault="007863A3" w:rsidP="00427BFF">
            <w:pPr>
              <w:spacing w:line="360" w:lineRule="auto"/>
              <w:jc w:val="center"/>
              <w:rPr>
                <w:rFonts w:eastAsiaTheme="minorEastAsia"/>
                <w:color w:val="000000"/>
                <w:szCs w:val="21"/>
              </w:rPr>
            </w:pPr>
            <w:r w:rsidRPr="00C24ACA">
              <w:rPr>
                <w:rFonts w:eastAsiaTheme="minorEastAsia"/>
                <w:color w:val="000000"/>
                <w:szCs w:val="21"/>
              </w:rPr>
              <w:t>行业类别</w:t>
            </w:r>
          </w:p>
        </w:tc>
        <w:tc>
          <w:tcPr>
            <w:tcW w:w="3119" w:type="dxa"/>
            <w:tcMar>
              <w:top w:w="15" w:type="dxa"/>
              <w:left w:w="15" w:type="dxa"/>
              <w:bottom w:w="0" w:type="dxa"/>
              <w:right w:w="15" w:type="dxa"/>
            </w:tcMar>
            <w:vAlign w:val="center"/>
          </w:tcPr>
          <w:p w:rsidR="007863A3" w:rsidRPr="00C24ACA" w:rsidRDefault="007863A3" w:rsidP="00427BFF">
            <w:pPr>
              <w:spacing w:line="360" w:lineRule="auto"/>
              <w:jc w:val="center"/>
              <w:rPr>
                <w:rFonts w:eastAsiaTheme="minorEastAsia"/>
                <w:color w:val="000000"/>
                <w:szCs w:val="21"/>
              </w:rPr>
            </w:pPr>
            <w:r w:rsidRPr="00C24ACA">
              <w:rPr>
                <w:rFonts w:eastAsiaTheme="minorEastAsia"/>
                <w:color w:val="000000"/>
                <w:szCs w:val="21"/>
              </w:rPr>
              <w:t>公允价值</w:t>
            </w:r>
          </w:p>
        </w:tc>
        <w:tc>
          <w:tcPr>
            <w:tcW w:w="2534" w:type="dxa"/>
            <w:tcMar>
              <w:top w:w="15" w:type="dxa"/>
              <w:left w:w="15" w:type="dxa"/>
              <w:bottom w:w="0" w:type="dxa"/>
              <w:right w:w="15" w:type="dxa"/>
            </w:tcMar>
            <w:vAlign w:val="center"/>
          </w:tcPr>
          <w:p w:rsidR="007863A3" w:rsidRPr="00C24ACA" w:rsidRDefault="007863A3" w:rsidP="00427BFF">
            <w:pPr>
              <w:spacing w:line="360" w:lineRule="auto"/>
              <w:jc w:val="center"/>
              <w:rPr>
                <w:rFonts w:eastAsiaTheme="minorEastAsia"/>
                <w:color w:val="000000"/>
                <w:szCs w:val="21"/>
              </w:rPr>
            </w:pPr>
            <w:r w:rsidRPr="00C24ACA">
              <w:rPr>
                <w:rFonts w:eastAsiaTheme="minorEastAsia"/>
                <w:color w:val="000000"/>
                <w:szCs w:val="21"/>
              </w:rPr>
              <w:t>占基金资产净值比例（％）</w:t>
            </w:r>
          </w:p>
        </w:tc>
      </w:tr>
      <w:tr w:rsidR="00854133">
        <w:trPr>
          <w:jc w:val="center"/>
        </w:trPr>
        <w:tc>
          <w:tcPr>
            <w:tcW w:w="3703" w:type="dxa"/>
            <w:vAlign w:val="center"/>
          </w:tcPr>
          <w:p w:rsidR="00854133" w:rsidRDefault="00581AA4">
            <w:pPr>
              <w:jc w:val="left"/>
            </w:pPr>
            <w:r>
              <w:rPr>
                <w:rFonts w:eastAsiaTheme="minorEastAsia"/>
                <w:szCs w:val="21"/>
              </w:rPr>
              <w:t>能源</w:t>
            </w:r>
          </w:p>
        </w:tc>
        <w:tc>
          <w:tcPr>
            <w:tcW w:w="3119" w:type="dxa"/>
            <w:vAlign w:val="center"/>
          </w:tcPr>
          <w:p w:rsidR="00854133" w:rsidRDefault="00581AA4">
            <w:pPr>
              <w:jc w:val="right"/>
            </w:pPr>
            <w:r>
              <w:rPr>
                <w:rFonts w:eastAsiaTheme="minorEastAsia"/>
                <w:szCs w:val="21"/>
              </w:rPr>
              <w:t>-</w:t>
            </w:r>
          </w:p>
        </w:tc>
        <w:tc>
          <w:tcPr>
            <w:tcW w:w="2534" w:type="dxa"/>
            <w:vAlign w:val="center"/>
          </w:tcPr>
          <w:p w:rsidR="00854133" w:rsidRDefault="00581AA4">
            <w:pPr>
              <w:jc w:val="right"/>
            </w:pPr>
            <w:r>
              <w:rPr>
                <w:rFonts w:eastAsiaTheme="minorEastAsia"/>
                <w:szCs w:val="21"/>
              </w:rPr>
              <w:t>-</w:t>
            </w:r>
          </w:p>
        </w:tc>
      </w:tr>
      <w:tr w:rsidR="00854133">
        <w:trPr>
          <w:jc w:val="center"/>
        </w:trPr>
        <w:tc>
          <w:tcPr>
            <w:tcW w:w="3703" w:type="dxa"/>
            <w:vAlign w:val="center"/>
          </w:tcPr>
          <w:p w:rsidR="00854133" w:rsidRDefault="00581AA4">
            <w:pPr>
              <w:jc w:val="left"/>
            </w:pPr>
            <w:r>
              <w:rPr>
                <w:rFonts w:eastAsiaTheme="minorEastAsia"/>
                <w:szCs w:val="21"/>
              </w:rPr>
              <w:t>材料</w:t>
            </w:r>
          </w:p>
        </w:tc>
        <w:tc>
          <w:tcPr>
            <w:tcW w:w="3119" w:type="dxa"/>
            <w:vAlign w:val="center"/>
          </w:tcPr>
          <w:p w:rsidR="00854133" w:rsidRDefault="00581AA4">
            <w:pPr>
              <w:jc w:val="right"/>
            </w:pPr>
            <w:r>
              <w:rPr>
                <w:rFonts w:eastAsiaTheme="minorEastAsia"/>
                <w:szCs w:val="21"/>
              </w:rPr>
              <w:t>24,086,465.18</w:t>
            </w:r>
          </w:p>
        </w:tc>
        <w:tc>
          <w:tcPr>
            <w:tcW w:w="2534" w:type="dxa"/>
            <w:vAlign w:val="center"/>
          </w:tcPr>
          <w:p w:rsidR="00854133" w:rsidRDefault="00581AA4">
            <w:pPr>
              <w:jc w:val="right"/>
            </w:pPr>
            <w:r>
              <w:rPr>
                <w:rFonts w:eastAsiaTheme="minorEastAsia"/>
                <w:szCs w:val="21"/>
              </w:rPr>
              <w:t>8.03</w:t>
            </w:r>
          </w:p>
        </w:tc>
      </w:tr>
      <w:tr w:rsidR="00854133">
        <w:trPr>
          <w:jc w:val="center"/>
        </w:trPr>
        <w:tc>
          <w:tcPr>
            <w:tcW w:w="3703" w:type="dxa"/>
            <w:vAlign w:val="center"/>
          </w:tcPr>
          <w:p w:rsidR="00854133" w:rsidRDefault="00581AA4">
            <w:pPr>
              <w:jc w:val="left"/>
            </w:pPr>
            <w:r>
              <w:rPr>
                <w:rFonts w:eastAsiaTheme="minorEastAsia"/>
                <w:szCs w:val="21"/>
              </w:rPr>
              <w:t>工业</w:t>
            </w:r>
          </w:p>
        </w:tc>
        <w:tc>
          <w:tcPr>
            <w:tcW w:w="3119" w:type="dxa"/>
            <w:vAlign w:val="center"/>
          </w:tcPr>
          <w:p w:rsidR="00854133" w:rsidRDefault="00581AA4">
            <w:pPr>
              <w:jc w:val="right"/>
            </w:pPr>
            <w:r>
              <w:rPr>
                <w:rFonts w:eastAsiaTheme="minorEastAsia"/>
                <w:szCs w:val="21"/>
              </w:rPr>
              <w:t>-</w:t>
            </w:r>
          </w:p>
        </w:tc>
        <w:tc>
          <w:tcPr>
            <w:tcW w:w="2534" w:type="dxa"/>
            <w:vAlign w:val="center"/>
          </w:tcPr>
          <w:p w:rsidR="00854133" w:rsidRDefault="00581AA4">
            <w:pPr>
              <w:jc w:val="right"/>
            </w:pPr>
            <w:r>
              <w:rPr>
                <w:rFonts w:eastAsiaTheme="minorEastAsia"/>
                <w:szCs w:val="21"/>
              </w:rPr>
              <w:t>-</w:t>
            </w:r>
          </w:p>
        </w:tc>
      </w:tr>
      <w:tr w:rsidR="00854133">
        <w:trPr>
          <w:jc w:val="center"/>
        </w:trPr>
        <w:tc>
          <w:tcPr>
            <w:tcW w:w="3703" w:type="dxa"/>
            <w:vAlign w:val="center"/>
          </w:tcPr>
          <w:p w:rsidR="00854133" w:rsidRDefault="00581AA4">
            <w:pPr>
              <w:jc w:val="left"/>
            </w:pPr>
            <w:r>
              <w:rPr>
                <w:rFonts w:eastAsiaTheme="minorEastAsia"/>
                <w:szCs w:val="21"/>
              </w:rPr>
              <w:t>非必需消费品</w:t>
            </w:r>
          </w:p>
        </w:tc>
        <w:tc>
          <w:tcPr>
            <w:tcW w:w="3119" w:type="dxa"/>
            <w:vAlign w:val="center"/>
          </w:tcPr>
          <w:p w:rsidR="00854133" w:rsidRDefault="00581AA4">
            <w:pPr>
              <w:jc w:val="right"/>
            </w:pPr>
            <w:r>
              <w:rPr>
                <w:rFonts w:eastAsiaTheme="minorEastAsia"/>
                <w:szCs w:val="21"/>
              </w:rPr>
              <w:t>-</w:t>
            </w:r>
          </w:p>
        </w:tc>
        <w:tc>
          <w:tcPr>
            <w:tcW w:w="2534" w:type="dxa"/>
            <w:vAlign w:val="center"/>
          </w:tcPr>
          <w:p w:rsidR="00854133" w:rsidRDefault="00581AA4">
            <w:pPr>
              <w:jc w:val="right"/>
            </w:pPr>
            <w:r>
              <w:rPr>
                <w:rFonts w:eastAsiaTheme="minorEastAsia"/>
                <w:szCs w:val="21"/>
              </w:rPr>
              <w:t>-</w:t>
            </w:r>
          </w:p>
        </w:tc>
      </w:tr>
      <w:tr w:rsidR="00854133">
        <w:trPr>
          <w:jc w:val="center"/>
        </w:trPr>
        <w:tc>
          <w:tcPr>
            <w:tcW w:w="3703" w:type="dxa"/>
            <w:vAlign w:val="center"/>
          </w:tcPr>
          <w:p w:rsidR="00854133" w:rsidRDefault="00581AA4">
            <w:pPr>
              <w:jc w:val="left"/>
            </w:pPr>
            <w:r>
              <w:rPr>
                <w:rFonts w:eastAsiaTheme="minorEastAsia"/>
                <w:szCs w:val="21"/>
              </w:rPr>
              <w:t>必需消费品</w:t>
            </w:r>
          </w:p>
        </w:tc>
        <w:tc>
          <w:tcPr>
            <w:tcW w:w="3119" w:type="dxa"/>
            <w:vAlign w:val="center"/>
          </w:tcPr>
          <w:p w:rsidR="00854133" w:rsidRDefault="00581AA4">
            <w:pPr>
              <w:jc w:val="right"/>
            </w:pPr>
            <w:r>
              <w:rPr>
                <w:rFonts w:eastAsiaTheme="minorEastAsia"/>
                <w:szCs w:val="21"/>
              </w:rPr>
              <w:t>-</w:t>
            </w:r>
          </w:p>
        </w:tc>
        <w:tc>
          <w:tcPr>
            <w:tcW w:w="2534" w:type="dxa"/>
            <w:vAlign w:val="center"/>
          </w:tcPr>
          <w:p w:rsidR="00854133" w:rsidRDefault="00581AA4">
            <w:pPr>
              <w:jc w:val="right"/>
            </w:pPr>
            <w:r>
              <w:rPr>
                <w:rFonts w:eastAsiaTheme="minorEastAsia"/>
                <w:szCs w:val="21"/>
              </w:rPr>
              <w:t>-</w:t>
            </w:r>
          </w:p>
        </w:tc>
      </w:tr>
      <w:tr w:rsidR="00854133">
        <w:trPr>
          <w:jc w:val="center"/>
        </w:trPr>
        <w:tc>
          <w:tcPr>
            <w:tcW w:w="3703" w:type="dxa"/>
            <w:vAlign w:val="center"/>
          </w:tcPr>
          <w:p w:rsidR="00854133" w:rsidRDefault="00581AA4">
            <w:pPr>
              <w:jc w:val="left"/>
            </w:pPr>
            <w:r>
              <w:rPr>
                <w:rFonts w:eastAsiaTheme="minorEastAsia"/>
                <w:szCs w:val="21"/>
              </w:rPr>
              <w:t>保健</w:t>
            </w:r>
          </w:p>
        </w:tc>
        <w:tc>
          <w:tcPr>
            <w:tcW w:w="3119" w:type="dxa"/>
            <w:vAlign w:val="center"/>
          </w:tcPr>
          <w:p w:rsidR="00854133" w:rsidRDefault="00581AA4">
            <w:pPr>
              <w:jc w:val="right"/>
            </w:pPr>
            <w:r>
              <w:rPr>
                <w:rFonts w:eastAsiaTheme="minorEastAsia"/>
                <w:szCs w:val="21"/>
              </w:rPr>
              <w:t>-</w:t>
            </w:r>
          </w:p>
        </w:tc>
        <w:tc>
          <w:tcPr>
            <w:tcW w:w="2534" w:type="dxa"/>
            <w:vAlign w:val="center"/>
          </w:tcPr>
          <w:p w:rsidR="00854133" w:rsidRDefault="00581AA4">
            <w:pPr>
              <w:jc w:val="right"/>
            </w:pPr>
            <w:r>
              <w:rPr>
                <w:rFonts w:eastAsiaTheme="minorEastAsia"/>
                <w:szCs w:val="21"/>
              </w:rPr>
              <w:t>-</w:t>
            </w:r>
          </w:p>
        </w:tc>
      </w:tr>
      <w:tr w:rsidR="00854133">
        <w:trPr>
          <w:jc w:val="center"/>
        </w:trPr>
        <w:tc>
          <w:tcPr>
            <w:tcW w:w="3703" w:type="dxa"/>
            <w:vAlign w:val="center"/>
          </w:tcPr>
          <w:p w:rsidR="00854133" w:rsidRDefault="00581AA4">
            <w:pPr>
              <w:jc w:val="left"/>
            </w:pPr>
            <w:r>
              <w:rPr>
                <w:rFonts w:eastAsiaTheme="minorEastAsia"/>
                <w:szCs w:val="21"/>
              </w:rPr>
              <w:t>金融</w:t>
            </w:r>
          </w:p>
        </w:tc>
        <w:tc>
          <w:tcPr>
            <w:tcW w:w="3119" w:type="dxa"/>
            <w:vAlign w:val="center"/>
          </w:tcPr>
          <w:p w:rsidR="00854133" w:rsidRDefault="00581AA4">
            <w:pPr>
              <w:jc w:val="right"/>
            </w:pPr>
            <w:r>
              <w:rPr>
                <w:rFonts w:eastAsiaTheme="minorEastAsia"/>
                <w:szCs w:val="21"/>
              </w:rPr>
              <w:t>-</w:t>
            </w:r>
          </w:p>
        </w:tc>
        <w:tc>
          <w:tcPr>
            <w:tcW w:w="2534" w:type="dxa"/>
            <w:vAlign w:val="center"/>
          </w:tcPr>
          <w:p w:rsidR="00854133" w:rsidRDefault="00581AA4">
            <w:pPr>
              <w:jc w:val="right"/>
            </w:pPr>
            <w:r>
              <w:rPr>
                <w:rFonts w:eastAsiaTheme="minorEastAsia"/>
                <w:szCs w:val="21"/>
              </w:rPr>
              <w:t>-</w:t>
            </w:r>
          </w:p>
        </w:tc>
      </w:tr>
      <w:tr w:rsidR="00854133">
        <w:trPr>
          <w:jc w:val="center"/>
        </w:trPr>
        <w:tc>
          <w:tcPr>
            <w:tcW w:w="3703" w:type="dxa"/>
            <w:vAlign w:val="center"/>
          </w:tcPr>
          <w:p w:rsidR="00854133" w:rsidRDefault="00581AA4">
            <w:pPr>
              <w:jc w:val="left"/>
            </w:pPr>
            <w:r>
              <w:rPr>
                <w:rFonts w:eastAsiaTheme="minorEastAsia"/>
                <w:szCs w:val="21"/>
              </w:rPr>
              <w:t>信息技术</w:t>
            </w:r>
          </w:p>
        </w:tc>
        <w:tc>
          <w:tcPr>
            <w:tcW w:w="3119" w:type="dxa"/>
            <w:vAlign w:val="center"/>
          </w:tcPr>
          <w:p w:rsidR="00854133" w:rsidRDefault="00581AA4">
            <w:pPr>
              <w:jc w:val="right"/>
            </w:pPr>
            <w:r>
              <w:rPr>
                <w:rFonts w:eastAsiaTheme="minorEastAsia"/>
                <w:szCs w:val="21"/>
              </w:rPr>
              <w:t>-</w:t>
            </w:r>
          </w:p>
        </w:tc>
        <w:tc>
          <w:tcPr>
            <w:tcW w:w="2534" w:type="dxa"/>
            <w:vAlign w:val="center"/>
          </w:tcPr>
          <w:p w:rsidR="00854133" w:rsidRDefault="00581AA4">
            <w:pPr>
              <w:jc w:val="right"/>
            </w:pPr>
            <w:r>
              <w:rPr>
                <w:rFonts w:eastAsiaTheme="minorEastAsia"/>
                <w:szCs w:val="21"/>
              </w:rPr>
              <w:t>-</w:t>
            </w:r>
          </w:p>
        </w:tc>
      </w:tr>
      <w:tr w:rsidR="00854133">
        <w:trPr>
          <w:jc w:val="center"/>
        </w:trPr>
        <w:tc>
          <w:tcPr>
            <w:tcW w:w="3703" w:type="dxa"/>
            <w:vAlign w:val="center"/>
          </w:tcPr>
          <w:p w:rsidR="00854133" w:rsidRDefault="00581AA4">
            <w:pPr>
              <w:jc w:val="left"/>
            </w:pPr>
            <w:r>
              <w:rPr>
                <w:rFonts w:eastAsiaTheme="minorEastAsia"/>
                <w:szCs w:val="21"/>
              </w:rPr>
              <w:t>电信服务</w:t>
            </w:r>
          </w:p>
        </w:tc>
        <w:tc>
          <w:tcPr>
            <w:tcW w:w="3119" w:type="dxa"/>
            <w:vAlign w:val="center"/>
          </w:tcPr>
          <w:p w:rsidR="00854133" w:rsidRDefault="00581AA4">
            <w:pPr>
              <w:jc w:val="right"/>
            </w:pPr>
            <w:r>
              <w:rPr>
                <w:rFonts w:eastAsiaTheme="minorEastAsia"/>
                <w:szCs w:val="21"/>
              </w:rPr>
              <w:t>-</w:t>
            </w:r>
          </w:p>
        </w:tc>
        <w:tc>
          <w:tcPr>
            <w:tcW w:w="2534" w:type="dxa"/>
            <w:vAlign w:val="center"/>
          </w:tcPr>
          <w:p w:rsidR="00854133" w:rsidRDefault="00581AA4">
            <w:pPr>
              <w:jc w:val="right"/>
            </w:pPr>
            <w:r>
              <w:rPr>
                <w:rFonts w:eastAsiaTheme="minorEastAsia"/>
                <w:szCs w:val="21"/>
              </w:rPr>
              <w:t>-</w:t>
            </w:r>
          </w:p>
        </w:tc>
      </w:tr>
      <w:tr w:rsidR="00854133">
        <w:trPr>
          <w:jc w:val="center"/>
        </w:trPr>
        <w:tc>
          <w:tcPr>
            <w:tcW w:w="3703" w:type="dxa"/>
            <w:vAlign w:val="center"/>
          </w:tcPr>
          <w:p w:rsidR="00854133" w:rsidRDefault="00581AA4">
            <w:pPr>
              <w:jc w:val="left"/>
            </w:pPr>
            <w:r>
              <w:rPr>
                <w:rFonts w:eastAsiaTheme="minorEastAsia"/>
                <w:szCs w:val="21"/>
              </w:rPr>
              <w:t>公用事业</w:t>
            </w:r>
          </w:p>
        </w:tc>
        <w:tc>
          <w:tcPr>
            <w:tcW w:w="3119" w:type="dxa"/>
            <w:vAlign w:val="center"/>
          </w:tcPr>
          <w:p w:rsidR="00854133" w:rsidRDefault="00581AA4">
            <w:pPr>
              <w:jc w:val="right"/>
            </w:pPr>
            <w:r>
              <w:rPr>
                <w:rFonts w:eastAsiaTheme="minorEastAsia"/>
                <w:szCs w:val="21"/>
              </w:rPr>
              <w:t>-</w:t>
            </w:r>
          </w:p>
        </w:tc>
        <w:tc>
          <w:tcPr>
            <w:tcW w:w="2534" w:type="dxa"/>
            <w:vAlign w:val="center"/>
          </w:tcPr>
          <w:p w:rsidR="00854133" w:rsidRDefault="00581AA4">
            <w:pPr>
              <w:jc w:val="right"/>
            </w:pPr>
            <w:r>
              <w:rPr>
                <w:rFonts w:eastAsiaTheme="minorEastAsia"/>
                <w:szCs w:val="21"/>
              </w:rPr>
              <w:t>-</w:t>
            </w:r>
          </w:p>
        </w:tc>
      </w:tr>
      <w:tr w:rsidR="00854133">
        <w:trPr>
          <w:jc w:val="center"/>
        </w:trPr>
        <w:tc>
          <w:tcPr>
            <w:tcW w:w="3703" w:type="dxa"/>
            <w:vAlign w:val="center"/>
          </w:tcPr>
          <w:p w:rsidR="00854133" w:rsidRDefault="00581AA4">
            <w:pPr>
              <w:jc w:val="left"/>
            </w:pPr>
            <w:r>
              <w:rPr>
                <w:rFonts w:eastAsiaTheme="minorEastAsia"/>
                <w:szCs w:val="21"/>
              </w:rPr>
              <w:t>房地产</w:t>
            </w:r>
          </w:p>
        </w:tc>
        <w:tc>
          <w:tcPr>
            <w:tcW w:w="3119" w:type="dxa"/>
            <w:vAlign w:val="center"/>
          </w:tcPr>
          <w:p w:rsidR="00854133" w:rsidRDefault="00581AA4">
            <w:pPr>
              <w:jc w:val="right"/>
            </w:pPr>
            <w:r>
              <w:rPr>
                <w:rFonts w:eastAsiaTheme="minorEastAsia"/>
                <w:szCs w:val="21"/>
              </w:rPr>
              <w:t>-</w:t>
            </w:r>
          </w:p>
        </w:tc>
        <w:tc>
          <w:tcPr>
            <w:tcW w:w="2534" w:type="dxa"/>
            <w:vAlign w:val="center"/>
          </w:tcPr>
          <w:p w:rsidR="00854133" w:rsidRDefault="00581AA4">
            <w:pPr>
              <w:jc w:val="right"/>
            </w:pPr>
            <w:r>
              <w:rPr>
                <w:rFonts w:eastAsiaTheme="minorEastAsia"/>
                <w:szCs w:val="21"/>
              </w:rPr>
              <w:t>-</w:t>
            </w:r>
          </w:p>
        </w:tc>
      </w:tr>
      <w:tr w:rsidR="007863A3" w:rsidRPr="00C24ACA" w:rsidTr="00B73AA7">
        <w:trPr>
          <w:trHeight w:val="285"/>
          <w:jc w:val="center"/>
        </w:trPr>
        <w:tc>
          <w:tcPr>
            <w:tcW w:w="3703" w:type="dxa"/>
            <w:vAlign w:val="center"/>
          </w:tcPr>
          <w:p w:rsidR="007863A3" w:rsidRPr="00C24ACA" w:rsidRDefault="007863A3" w:rsidP="00427BFF">
            <w:pPr>
              <w:pStyle w:val="ae"/>
              <w:spacing w:line="360" w:lineRule="auto"/>
              <w:rPr>
                <w:rFonts w:eastAsiaTheme="minorEastAsia"/>
                <w:color w:val="000000"/>
                <w:sz w:val="21"/>
                <w:szCs w:val="21"/>
              </w:rPr>
            </w:pPr>
            <w:r w:rsidRPr="00C24ACA">
              <w:rPr>
                <w:rFonts w:eastAsiaTheme="minorEastAsia"/>
                <w:sz w:val="21"/>
                <w:szCs w:val="21"/>
              </w:rPr>
              <w:t>合计</w:t>
            </w:r>
          </w:p>
        </w:tc>
        <w:tc>
          <w:tcPr>
            <w:tcW w:w="3119" w:type="dxa"/>
            <w:vAlign w:val="center"/>
          </w:tcPr>
          <w:p w:rsidR="007863A3" w:rsidRPr="00C24ACA" w:rsidRDefault="007863A3" w:rsidP="00F32C93">
            <w:pPr>
              <w:spacing w:line="360" w:lineRule="auto"/>
              <w:jc w:val="right"/>
              <w:rPr>
                <w:rFonts w:eastAsiaTheme="minorEastAsia"/>
                <w:szCs w:val="21"/>
              </w:rPr>
            </w:pPr>
            <w:r w:rsidRPr="00C24ACA">
              <w:rPr>
                <w:rFonts w:eastAsiaTheme="minorEastAsia"/>
                <w:szCs w:val="21"/>
              </w:rPr>
              <w:t>24,086,465.18</w:t>
            </w:r>
          </w:p>
        </w:tc>
        <w:tc>
          <w:tcPr>
            <w:tcW w:w="2534" w:type="dxa"/>
            <w:vAlign w:val="center"/>
          </w:tcPr>
          <w:p w:rsidR="007863A3" w:rsidRPr="00C24ACA" w:rsidRDefault="007863A3" w:rsidP="00F32C93">
            <w:pPr>
              <w:spacing w:line="360" w:lineRule="auto"/>
              <w:jc w:val="right"/>
              <w:rPr>
                <w:rFonts w:eastAsiaTheme="minorEastAsia"/>
                <w:szCs w:val="21"/>
              </w:rPr>
            </w:pPr>
            <w:r w:rsidRPr="00C24ACA">
              <w:rPr>
                <w:rFonts w:eastAsiaTheme="minorEastAsia"/>
                <w:szCs w:val="21"/>
              </w:rPr>
              <w:t>8.03</w:t>
            </w:r>
          </w:p>
        </w:tc>
      </w:tr>
    </w:tbl>
    <w:p w:rsidR="008A5A5D" w:rsidRPr="001412CA" w:rsidRDefault="007863A3"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注：以上分类采用全球行业分类标准（</w:t>
      </w:r>
      <w:r w:rsidRPr="001412CA">
        <w:rPr>
          <w:rFonts w:eastAsiaTheme="minorEastAsia"/>
          <w:kern w:val="0"/>
          <w:szCs w:val="21"/>
        </w:rPr>
        <w:t>GICS</w:t>
      </w:r>
      <w:r w:rsidRPr="001412CA">
        <w:rPr>
          <w:rFonts w:eastAsiaTheme="minorEastAsia"/>
          <w:kern w:val="0"/>
          <w:szCs w:val="21"/>
        </w:rPr>
        <w:t>）。</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19" w:name="_Toc352255998"/>
      <w:bookmarkStart w:id="220" w:name="_Toc352256066"/>
      <w:bookmarkStart w:id="221" w:name="_Toc352331244"/>
      <w:bookmarkStart w:id="222" w:name="_Toc390164824"/>
      <w:bookmarkStart w:id="223" w:name="_Toc48663430"/>
      <w:r w:rsidRPr="0087359D">
        <w:rPr>
          <w:rFonts w:ascii="宋体" w:hAnsi="宋体"/>
          <w:kern w:val="0"/>
          <w:sz w:val="21"/>
          <w:szCs w:val="21"/>
        </w:rPr>
        <w:t>7.4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期末按公允价值占基金资产净值比例大小排序的所有权益投资明细</w:t>
      </w:r>
      <w:bookmarkEnd w:id="219"/>
      <w:bookmarkEnd w:id="220"/>
      <w:bookmarkEnd w:id="221"/>
      <w:bookmarkEnd w:id="222"/>
      <w:bookmarkEnd w:id="223"/>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金额单位：人民币元</w:t>
      </w:r>
    </w:p>
    <w:tbl>
      <w:tblPr>
        <w:tblW w:w="94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71"/>
        <w:gridCol w:w="905"/>
        <w:gridCol w:w="1015"/>
        <w:gridCol w:w="1184"/>
        <w:gridCol w:w="847"/>
        <w:gridCol w:w="1025"/>
        <w:gridCol w:w="1015"/>
        <w:gridCol w:w="1690"/>
        <w:gridCol w:w="997"/>
      </w:tblGrid>
      <w:tr w:rsidR="008A5A5D" w:rsidRPr="00C24ACA" w:rsidTr="00B73AA7">
        <w:trPr>
          <w:trHeight w:val="315"/>
          <w:jc w:val="center"/>
        </w:trPr>
        <w:tc>
          <w:tcPr>
            <w:tcW w:w="771"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序号</w:t>
            </w:r>
          </w:p>
        </w:tc>
        <w:tc>
          <w:tcPr>
            <w:tcW w:w="905"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公司名称</w:t>
            </w:r>
            <w:r w:rsidRPr="00C24ACA">
              <w:rPr>
                <w:rFonts w:eastAsiaTheme="minorEastAsia"/>
                <w:color w:val="000000"/>
                <w:szCs w:val="21"/>
              </w:rPr>
              <w:t xml:space="preserve"> (</w:t>
            </w:r>
            <w:r w:rsidRPr="00C24ACA">
              <w:rPr>
                <w:rFonts w:eastAsiaTheme="minorEastAsia"/>
                <w:color w:val="000000"/>
                <w:szCs w:val="21"/>
              </w:rPr>
              <w:t>英文</w:t>
            </w:r>
            <w:r w:rsidRPr="00C24ACA">
              <w:rPr>
                <w:rFonts w:eastAsiaTheme="minorEastAsia"/>
                <w:color w:val="000000"/>
                <w:szCs w:val="21"/>
              </w:rPr>
              <w:t>)</w:t>
            </w:r>
          </w:p>
        </w:tc>
        <w:tc>
          <w:tcPr>
            <w:tcW w:w="1015"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公司名称</w:t>
            </w:r>
            <w:r w:rsidRPr="00C24ACA">
              <w:rPr>
                <w:rFonts w:eastAsiaTheme="minorEastAsia"/>
                <w:color w:val="000000"/>
                <w:szCs w:val="21"/>
              </w:rPr>
              <w:t>(</w:t>
            </w:r>
            <w:r w:rsidRPr="00C24ACA">
              <w:rPr>
                <w:rFonts w:eastAsiaTheme="minorEastAsia"/>
                <w:color w:val="000000"/>
                <w:szCs w:val="21"/>
              </w:rPr>
              <w:t>中文</w:t>
            </w:r>
            <w:r w:rsidRPr="00C24ACA">
              <w:rPr>
                <w:rFonts w:eastAsiaTheme="minorEastAsia"/>
                <w:color w:val="000000"/>
                <w:szCs w:val="21"/>
              </w:rPr>
              <w:t>)</w:t>
            </w:r>
          </w:p>
        </w:tc>
        <w:tc>
          <w:tcPr>
            <w:tcW w:w="1184"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证券代码</w:t>
            </w:r>
          </w:p>
        </w:tc>
        <w:tc>
          <w:tcPr>
            <w:tcW w:w="847"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所在证券市场</w:t>
            </w:r>
          </w:p>
        </w:tc>
        <w:tc>
          <w:tcPr>
            <w:tcW w:w="1025"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所属国家</w:t>
            </w:r>
            <w:r w:rsidRPr="00C24ACA">
              <w:rPr>
                <w:rFonts w:eastAsiaTheme="minorEastAsia"/>
                <w:color w:val="000000"/>
                <w:szCs w:val="21"/>
              </w:rPr>
              <w:t>(</w:t>
            </w:r>
            <w:r w:rsidRPr="00C24ACA">
              <w:rPr>
                <w:rFonts w:eastAsiaTheme="minorEastAsia"/>
                <w:color w:val="000000"/>
                <w:szCs w:val="21"/>
              </w:rPr>
              <w:t>地区</w:t>
            </w:r>
            <w:r w:rsidRPr="00C24ACA">
              <w:rPr>
                <w:rFonts w:eastAsiaTheme="minorEastAsia"/>
                <w:color w:val="000000"/>
                <w:szCs w:val="21"/>
              </w:rPr>
              <w:t>)</w:t>
            </w:r>
          </w:p>
        </w:tc>
        <w:tc>
          <w:tcPr>
            <w:tcW w:w="1015"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数量（股）</w:t>
            </w:r>
          </w:p>
        </w:tc>
        <w:tc>
          <w:tcPr>
            <w:tcW w:w="1690"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公允价值</w:t>
            </w:r>
          </w:p>
        </w:tc>
        <w:tc>
          <w:tcPr>
            <w:tcW w:w="997"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占基金资产净值比例（％）</w:t>
            </w:r>
          </w:p>
        </w:tc>
      </w:tr>
      <w:tr w:rsidR="00854133">
        <w:trPr>
          <w:jc w:val="center"/>
        </w:trPr>
        <w:tc>
          <w:tcPr>
            <w:tcW w:w="771" w:type="dxa"/>
            <w:vAlign w:val="center"/>
          </w:tcPr>
          <w:p w:rsidR="00854133" w:rsidRDefault="00581AA4">
            <w:pPr>
              <w:jc w:val="center"/>
            </w:pPr>
            <w:r>
              <w:rPr>
                <w:rFonts w:eastAsiaTheme="minorEastAsia"/>
                <w:color w:val="000000"/>
                <w:szCs w:val="21"/>
              </w:rPr>
              <w:t>1</w:t>
            </w:r>
          </w:p>
        </w:tc>
        <w:tc>
          <w:tcPr>
            <w:tcW w:w="905" w:type="dxa"/>
            <w:vAlign w:val="center"/>
          </w:tcPr>
          <w:p w:rsidR="00854133" w:rsidRDefault="00581AA4">
            <w:pPr>
              <w:jc w:val="center"/>
            </w:pPr>
            <w:r>
              <w:rPr>
                <w:rFonts w:eastAsiaTheme="minorEastAsia"/>
                <w:color w:val="000000"/>
                <w:szCs w:val="21"/>
              </w:rPr>
              <w:t>Barrick Gold Corp</w:t>
            </w:r>
          </w:p>
        </w:tc>
        <w:tc>
          <w:tcPr>
            <w:tcW w:w="1015" w:type="dxa"/>
            <w:vAlign w:val="center"/>
          </w:tcPr>
          <w:p w:rsidR="00854133" w:rsidRDefault="00581AA4">
            <w:pPr>
              <w:jc w:val="center"/>
            </w:pPr>
            <w:r>
              <w:rPr>
                <w:rFonts w:eastAsiaTheme="minorEastAsia"/>
                <w:color w:val="000000"/>
                <w:szCs w:val="21"/>
              </w:rPr>
              <w:t>-</w:t>
            </w:r>
          </w:p>
        </w:tc>
        <w:tc>
          <w:tcPr>
            <w:tcW w:w="1184" w:type="dxa"/>
            <w:vAlign w:val="center"/>
          </w:tcPr>
          <w:p w:rsidR="00854133" w:rsidRDefault="00581AA4">
            <w:pPr>
              <w:jc w:val="center"/>
            </w:pPr>
            <w:r>
              <w:rPr>
                <w:rFonts w:eastAsiaTheme="minorEastAsia"/>
                <w:color w:val="000000"/>
                <w:szCs w:val="21"/>
              </w:rPr>
              <w:t>GOLD US</w:t>
            </w:r>
          </w:p>
        </w:tc>
        <w:tc>
          <w:tcPr>
            <w:tcW w:w="847" w:type="dxa"/>
            <w:vAlign w:val="center"/>
          </w:tcPr>
          <w:p w:rsidR="00854133" w:rsidRDefault="00581AA4">
            <w:pPr>
              <w:jc w:val="center"/>
            </w:pPr>
            <w:r>
              <w:rPr>
                <w:rFonts w:eastAsiaTheme="minorEastAsia"/>
                <w:color w:val="000000"/>
                <w:szCs w:val="21"/>
              </w:rPr>
              <w:t>纽约证券交易所</w:t>
            </w:r>
          </w:p>
        </w:tc>
        <w:tc>
          <w:tcPr>
            <w:tcW w:w="1025" w:type="dxa"/>
            <w:vAlign w:val="center"/>
          </w:tcPr>
          <w:p w:rsidR="00854133" w:rsidRDefault="00581AA4">
            <w:pPr>
              <w:jc w:val="center"/>
            </w:pPr>
            <w:r>
              <w:rPr>
                <w:rFonts w:eastAsiaTheme="minorEastAsia"/>
                <w:color w:val="000000"/>
                <w:szCs w:val="21"/>
              </w:rPr>
              <w:t>美国</w:t>
            </w:r>
          </w:p>
        </w:tc>
        <w:tc>
          <w:tcPr>
            <w:tcW w:w="1015" w:type="dxa"/>
            <w:vAlign w:val="center"/>
          </w:tcPr>
          <w:p w:rsidR="00854133" w:rsidRDefault="00581AA4">
            <w:pPr>
              <w:jc w:val="right"/>
            </w:pPr>
            <w:r>
              <w:rPr>
                <w:rFonts w:eastAsiaTheme="minorEastAsia"/>
                <w:color w:val="000000"/>
                <w:szCs w:val="21"/>
              </w:rPr>
              <w:t>64,118</w:t>
            </w:r>
          </w:p>
        </w:tc>
        <w:tc>
          <w:tcPr>
            <w:tcW w:w="1690" w:type="dxa"/>
            <w:vAlign w:val="center"/>
          </w:tcPr>
          <w:p w:rsidR="00854133" w:rsidRDefault="00581AA4">
            <w:pPr>
              <w:jc w:val="right"/>
            </w:pPr>
            <w:r>
              <w:rPr>
                <w:rFonts w:eastAsiaTheme="minorEastAsia"/>
                <w:color w:val="000000"/>
                <w:szCs w:val="21"/>
              </w:rPr>
              <w:t>12,228,695.88</w:t>
            </w:r>
          </w:p>
        </w:tc>
        <w:tc>
          <w:tcPr>
            <w:tcW w:w="997" w:type="dxa"/>
            <w:vAlign w:val="center"/>
          </w:tcPr>
          <w:p w:rsidR="00854133" w:rsidRDefault="00581AA4">
            <w:pPr>
              <w:jc w:val="right"/>
            </w:pPr>
            <w:r>
              <w:rPr>
                <w:rFonts w:eastAsiaTheme="minorEastAsia"/>
                <w:color w:val="000000"/>
                <w:szCs w:val="21"/>
              </w:rPr>
              <w:t>4.08</w:t>
            </w:r>
          </w:p>
        </w:tc>
      </w:tr>
      <w:tr w:rsidR="00854133">
        <w:trPr>
          <w:jc w:val="center"/>
        </w:trPr>
        <w:tc>
          <w:tcPr>
            <w:tcW w:w="771" w:type="dxa"/>
            <w:vAlign w:val="center"/>
          </w:tcPr>
          <w:p w:rsidR="00854133" w:rsidRDefault="00581AA4">
            <w:pPr>
              <w:jc w:val="center"/>
            </w:pPr>
            <w:r>
              <w:rPr>
                <w:rFonts w:eastAsiaTheme="minorEastAsia"/>
                <w:color w:val="000000"/>
                <w:szCs w:val="21"/>
              </w:rPr>
              <w:t>2</w:t>
            </w:r>
          </w:p>
        </w:tc>
        <w:tc>
          <w:tcPr>
            <w:tcW w:w="905" w:type="dxa"/>
            <w:vAlign w:val="center"/>
          </w:tcPr>
          <w:p w:rsidR="00854133" w:rsidRDefault="00581AA4">
            <w:pPr>
              <w:jc w:val="center"/>
            </w:pPr>
            <w:r>
              <w:rPr>
                <w:rFonts w:eastAsiaTheme="minorEastAsia"/>
                <w:color w:val="000000"/>
                <w:szCs w:val="21"/>
              </w:rPr>
              <w:t>Newmont Goldcorp Corp</w:t>
            </w:r>
          </w:p>
        </w:tc>
        <w:tc>
          <w:tcPr>
            <w:tcW w:w="1015" w:type="dxa"/>
            <w:vAlign w:val="center"/>
          </w:tcPr>
          <w:p w:rsidR="00854133" w:rsidRDefault="00581AA4">
            <w:pPr>
              <w:jc w:val="center"/>
            </w:pPr>
            <w:r>
              <w:rPr>
                <w:rFonts w:eastAsiaTheme="minorEastAsia"/>
                <w:color w:val="000000"/>
                <w:szCs w:val="21"/>
              </w:rPr>
              <w:t>-</w:t>
            </w:r>
          </w:p>
        </w:tc>
        <w:tc>
          <w:tcPr>
            <w:tcW w:w="1184" w:type="dxa"/>
            <w:vAlign w:val="center"/>
          </w:tcPr>
          <w:p w:rsidR="00854133" w:rsidRDefault="00581AA4">
            <w:pPr>
              <w:jc w:val="center"/>
            </w:pPr>
            <w:r>
              <w:rPr>
                <w:rFonts w:eastAsiaTheme="minorEastAsia"/>
                <w:color w:val="000000"/>
                <w:szCs w:val="21"/>
              </w:rPr>
              <w:t>NEM US</w:t>
            </w:r>
          </w:p>
        </w:tc>
        <w:tc>
          <w:tcPr>
            <w:tcW w:w="847" w:type="dxa"/>
            <w:vAlign w:val="center"/>
          </w:tcPr>
          <w:p w:rsidR="00854133" w:rsidRDefault="00581AA4">
            <w:pPr>
              <w:jc w:val="center"/>
            </w:pPr>
            <w:r>
              <w:rPr>
                <w:rFonts w:eastAsiaTheme="minorEastAsia"/>
                <w:color w:val="000000"/>
                <w:szCs w:val="21"/>
              </w:rPr>
              <w:t>纽约证券交易所</w:t>
            </w:r>
          </w:p>
        </w:tc>
        <w:tc>
          <w:tcPr>
            <w:tcW w:w="1025" w:type="dxa"/>
            <w:vAlign w:val="center"/>
          </w:tcPr>
          <w:p w:rsidR="00854133" w:rsidRDefault="00581AA4">
            <w:pPr>
              <w:jc w:val="center"/>
            </w:pPr>
            <w:r>
              <w:rPr>
                <w:rFonts w:eastAsiaTheme="minorEastAsia"/>
                <w:color w:val="000000"/>
                <w:szCs w:val="21"/>
              </w:rPr>
              <w:t>美国</w:t>
            </w:r>
          </w:p>
        </w:tc>
        <w:tc>
          <w:tcPr>
            <w:tcW w:w="1015" w:type="dxa"/>
            <w:vAlign w:val="center"/>
          </w:tcPr>
          <w:p w:rsidR="00854133" w:rsidRDefault="00581AA4">
            <w:pPr>
              <w:jc w:val="right"/>
            </w:pPr>
            <w:r>
              <w:rPr>
                <w:rFonts w:eastAsiaTheme="minorEastAsia"/>
                <w:color w:val="000000"/>
                <w:szCs w:val="21"/>
              </w:rPr>
              <w:t>27,129</w:t>
            </w:r>
          </w:p>
        </w:tc>
        <w:tc>
          <w:tcPr>
            <w:tcW w:w="1690" w:type="dxa"/>
            <w:vAlign w:val="center"/>
          </w:tcPr>
          <w:p w:rsidR="00854133" w:rsidRDefault="00581AA4">
            <w:pPr>
              <w:jc w:val="right"/>
            </w:pPr>
            <w:r>
              <w:rPr>
                <w:rFonts w:eastAsiaTheme="minorEastAsia"/>
                <w:color w:val="000000"/>
                <w:szCs w:val="21"/>
              </w:rPr>
              <w:t>11,857,769.30</w:t>
            </w:r>
          </w:p>
        </w:tc>
        <w:tc>
          <w:tcPr>
            <w:tcW w:w="997" w:type="dxa"/>
            <w:vAlign w:val="center"/>
          </w:tcPr>
          <w:p w:rsidR="00854133" w:rsidRDefault="00581AA4">
            <w:pPr>
              <w:jc w:val="right"/>
            </w:pPr>
            <w:r>
              <w:rPr>
                <w:rFonts w:eastAsiaTheme="minorEastAsia"/>
                <w:color w:val="000000"/>
                <w:szCs w:val="21"/>
              </w:rPr>
              <w:t>3.96</w:t>
            </w:r>
          </w:p>
        </w:tc>
      </w:tr>
    </w:tbl>
    <w:p w:rsidR="00FF05DE"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注：此处所用证券代码的类别是当地市场代码。</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24" w:name="_Toc224618380"/>
      <w:bookmarkStart w:id="225" w:name="_Toc248233027"/>
      <w:bookmarkStart w:id="226" w:name="_Toc249790559"/>
      <w:bookmarkStart w:id="227" w:name="_Toc286929760"/>
      <w:bookmarkStart w:id="228" w:name="_Toc352255999"/>
      <w:bookmarkStart w:id="229" w:name="_Toc352256067"/>
      <w:bookmarkStart w:id="230" w:name="_Toc352331245"/>
      <w:bookmarkStart w:id="231" w:name="_Toc390164827"/>
      <w:bookmarkStart w:id="232" w:name="_Toc48663431"/>
      <w:r w:rsidRPr="0087359D">
        <w:rPr>
          <w:rFonts w:ascii="宋体" w:hAnsi="宋体"/>
          <w:kern w:val="0"/>
          <w:sz w:val="21"/>
          <w:szCs w:val="21"/>
        </w:rPr>
        <w:t>7.5</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报告期内</w:t>
      </w:r>
      <w:r w:rsidR="0057004B" w:rsidRPr="004F2CA9">
        <w:rPr>
          <w:rFonts w:ascii="宋体" w:hAnsi="宋体" w:hint="eastAsia"/>
          <w:kern w:val="0"/>
          <w:sz w:val="21"/>
          <w:szCs w:val="21"/>
        </w:rPr>
        <w:t>权益</w:t>
      </w:r>
      <w:r w:rsidRPr="00C24ACA">
        <w:rPr>
          <w:rFonts w:ascii="Times New Roman" w:eastAsiaTheme="minorEastAsia" w:hAnsi="Times New Roman"/>
          <w:kern w:val="0"/>
          <w:sz w:val="21"/>
          <w:szCs w:val="21"/>
        </w:rPr>
        <w:t>投资组合的重大变动</w:t>
      </w:r>
      <w:bookmarkEnd w:id="224"/>
      <w:bookmarkEnd w:id="225"/>
      <w:bookmarkEnd w:id="226"/>
      <w:bookmarkEnd w:id="227"/>
      <w:bookmarkEnd w:id="228"/>
      <w:bookmarkEnd w:id="229"/>
      <w:bookmarkEnd w:id="230"/>
      <w:bookmarkEnd w:id="231"/>
      <w:bookmarkEnd w:id="232"/>
    </w:p>
    <w:p w:rsidR="008A5A5D" w:rsidRPr="00C24ACA" w:rsidRDefault="008A5A5D" w:rsidP="006313B1">
      <w:pPr>
        <w:autoSpaceDE w:val="0"/>
        <w:autoSpaceDN w:val="0"/>
        <w:adjustRightInd w:val="0"/>
        <w:snapToGrid w:val="0"/>
        <w:spacing w:line="360" w:lineRule="auto"/>
        <w:jc w:val="left"/>
        <w:rPr>
          <w:rFonts w:eastAsiaTheme="minorEastAsia"/>
          <w:b/>
          <w:color w:val="000000"/>
          <w:kern w:val="0"/>
          <w:szCs w:val="21"/>
        </w:rPr>
      </w:pPr>
      <w:r w:rsidRPr="00C24ACA">
        <w:rPr>
          <w:rFonts w:eastAsiaTheme="minorEastAsia"/>
          <w:b/>
          <w:kern w:val="0"/>
          <w:szCs w:val="21"/>
        </w:rPr>
        <w:t>7.5.1</w:t>
      </w:r>
      <w:r w:rsidRPr="00C24ACA">
        <w:rPr>
          <w:rFonts w:eastAsiaTheme="minorEastAsia"/>
          <w:b/>
          <w:color w:val="000000"/>
          <w:kern w:val="0"/>
          <w:szCs w:val="21"/>
        </w:rPr>
        <w:t>累计买入金额超出</w:t>
      </w:r>
      <w:r w:rsidR="00243C23" w:rsidRPr="00C24ACA">
        <w:rPr>
          <w:rFonts w:eastAsiaTheme="minorEastAsia"/>
          <w:b/>
          <w:color w:val="000000"/>
          <w:kern w:val="0"/>
          <w:szCs w:val="21"/>
        </w:rPr>
        <w:t>期初</w:t>
      </w:r>
      <w:r w:rsidRPr="00C24ACA">
        <w:rPr>
          <w:rFonts w:eastAsiaTheme="minorEastAsia"/>
          <w:b/>
          <w:color w:val="000000"/>
          <w:kern w:val="0"/>
          <w:szCs w:val="21"/>
        </w:rPr>
        <w:t>基金资产净值</w:t>
      </w:r>
      <w:r w:rsidRPr="00C24ACA">
        <w:rPr>
          <w:rFonts w:eastAsiaTheme="minorEastAsia"/>
          <w:b/>
          <w:color w:val="000000"/>
          <w:kern w:val="0"/>
          <w:szCs w:val="21"/>
        </w:rPr>
        <w:t>2%</w:t>
      </w:r>
      <w:r w:rsidRPr="00C24ACA">
        <w:rPr>
          <w:rFonts w:eastAsiaTheme="minorEastAsia"/>
          <w:b/>
          <w:color w:val="000000"/>
          <w:kern w:val="0"/>
          <w:szCs w:val="21"/>
        </w:rPr>
        <w:t>或前</w:t>
      </w:r>
      <w:r w:rsidRPr="00C24ACA">
        <w:rPr>
          <w:rFonts w:eastAsiaTheme="minorEastAsia"/>
          <w:b/>
          <w:color w:val="000000"/>
          <w:kern w:val="0"/>
          <w:szCs w:val="21"/>
        </w:rPr>
        <w:t>20</w:t>
      </w:r>
      <w:r w:rsidRPr="00C24ACA">
        <w:rPr>
          <w:rFonts w:eastAsiaTheme="minorEastAsia"/>
          <w:b/>
          <w:color w:val="000000"/>
          <w:kern w:val="0"/>
          <w:szCs w:val="21"/>
        </w:rPr>
        <w:t>名的权益投资明细</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金额单位：人民币元</w:t>
      </w:r>
    </w:p>
    <w:tbl>
      <w:tblPr>
        <w:tblW w:w="93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648"/>
        <w:gridCol w:w="2378"/>
        <w:gridCol w:w="2552"/>
        <w:gridCol w:w="2130"/>
        <w:gridCol w:w="1650"/>
      </w:tblGrid>
      <w:tr w:rsidR="008A5A5D" w:rsidRPr="00C24ACA" w:rsidTr="00B73AA7">
        <w:trPr>
          <w:trHeight w:val="315"/>
          <w:jc w:val="center"/>
        </w:trPr>
        <w:tc>
          <w:tcPr>
            <w:tcW w:w="648"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序号</w:t>
            </w:r>
          </w:p>
        </w:tc>
        <w:tc>
          <w:tcPr>
            <w:tcW w:w="2378"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公司名称（英文）</w:t>
            </w:r>
          </w:p>
        </w:tc>
        <w:tc>
          <w:tcPr>
            <w:tcW w:w="2552"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证券代码</w:t>
            </w:r>
          </w:p>
        </w:tc>
        <w:tc>
          <w:tcPr>
            <w:tcW w:w="2130"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本期累计买入金额</w:t>
            </w:r>
          </w:p>
        </w:tc>
        <w:tc>
          <w:tcPr>
            <w:tcW w:w="1650"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w:t>
            </w:r>
            <w:r w:rsidR="00551AB1" w:rsidRPr="00C24ACA">
              <w:rPr>
                <w:rFonts w:eastAsiaTheme="minorEastAsia"/>
                <w:color w:val="000000"/>
                <w:szCs w:val="21"/>
              </w:rPr>
              <w:t>期初</w:t>
            </w:r>
            <w:r w:rsidRPr="00C24ACA">
              <w:rPr>
                <w:rFonts w:eastAsiaTheme="minorEastAsia"/>
                <w:color w:val="000000"/>
                <w:szCs w:val="21"/>
              </w:rPr>
              <w:t>基金</w:t>
            </w:r>
          </w:p>
          <w:p w:rsidR="008A5A5D" w:rsidRPr="00C24ACA" w:rsidRDefault="008A5A5D" w:rsidP="004A4847">
            <w:pPr>
              <w:jc w:val="center"/>
              <w:rPr>
                <w:rFonts w:eastAsiaTheme="minorEastAsia"/>
                <w:color w:val="000000"/>
                <w:szCs w:val="21"/>
              </w:rPr>
            </w:pPr>
            <w:r w:rsidRPr="00C24ACA">
              <w:rPr>
                <w:rFonts w:eastAsiaTheme="minorEastAsia"/>
                <w:color w:val="000000"/>
                <w:szCs w:val="21"/>
              </w:rPr>
              <w:t>资产净值比例（％）</w:t>
            </w:r>
          </w:p>
        </w:tc>
      </w:tr>
      <w:tr w:rsidR="00854133">
        <w:trPr>
          <w:jc w:val="center"/>
        </w:trPr>
        <w:tc>
          <w:tcPr>
            <w:tcW w:w="648" w:type="dxa"/>
            <w:vAlign w:val="center"/>
          </w:tcPr>
          <w:p w:rsidR="00854133" w:rsidRDefault="00581AA4">
            <w:pPr>
              <w:jc w:val="center"/>
            </w:pPr>
            <w:r>
              <w:rPr>
                <w:rFonts w:eastAsiaTheme="minorEastAsia"/>
                <w:color w:val="000000"/>
                <w:szCs w:val="21"/>
              </w:rPr>
              <w:t>1</w:t>
            </w:r>
          </w:p>
        </w:tc>
        <w:tc>
          <w:tcPr>
            <w:tcW w:w="2378" w:type="dxa"/>
            <w:vAlign w:val="center"/>
          </w:tcPr>
          <w:p w:rsidR="00854133" w:rsidRDefault="00581AA4">
            <w:pPr>
              <w:jc w:val="center"/>
            </w:pPr>
            <w:r>
              <w:rPr>
                <w:rFonts w:eastAsiaTheme="minorEastAsia"/>
                <w:color w:val="000000"/>
                <w:szCs w:val="21"/>
              </w:rPr>
              <w:t>Barrick Gold Corp</w:t>
            </w:r>
          </w:p>
        </w:tc>
        <w:tc>
          <w:tcPr>
            <w:tcW w:w="2552" w:type="dxa"/>
            <w:vAlign w:val="center"/>
          </w:tcPr>
          <w:p w:rsidR="00854133" w:rsidRDefault="00581AA4">
            <w:pPr>
              <w:jc w:val="center"/>
            </w:pPr>
            <w:r>
              <w:rPr>
                <w:rFonts w:eastAsiaTheme="minorEastAsia"/>
                <w:color w:val="000000"/>
                <w:szCs w:val="21"/>
              </w:rPr>
              <w:t>GOLD US</w:t>
            </w:r>
          </w:p>
        </w:tc>
        <w:tc>
          <w:tcPr>
            <w:tcW w:w="2130" w:type="dxa"/>
            <w:vAlign w:val="center"/>
          </w:tcPr>
          <w:p w:rsidR="00854133" w:rsidRDefault="00581AA4">
            <w:pPr>
              <w:jc w:val="center"/>
            </w:pPr>
            <w:r>
              <w:rPr>
                <w:rFonts w:eastAsiaTheme="minorEastAsia"/>
                <w:color w:val="000000"/>
                <w:szCs w:val="21"/>
              </w:rPr>
              <w:t>17,008,655.85</w:t>
            </w:r>
          </w:p>
        </w:tc>
        <w:tc>
          <w:tcPr>
            <w:tcW w:w="1650" w:type="dxa"/>
            <w:vAlign w:val="center"/>
          </w:tcPr>
          <w:p w:rsidR="00854133" w:rsidRDefault="00581AA4">
            <w:pPr>
              <w:jc w:val="center"/>
            </w:pPr>
            <w:r>
              <w:rPr>
                <w:rFonts w:eastAsiaTheme="minorEastAsia"/>
                <w:color w:val="000000"/>
                <w:szCs w:val="21"/>
              </w:rPr>
              <w:t>4.64</w:t>
            </w:r>
          </w:p>
        </w:tc>
      </w:tr>
      <w:tr w:rsidR="00854133">
        <w:trPr>
          <w:jc w:val="center"/>
        </w:trPr>
        <w:tc>
          <w:tcPr>
            <w:tcW w:w="648" w:type="dxa"/>
            <w:vAlign w:val="center"/>
          </w:tcPr>
          <w:p w:rsidR="00854133" w:rsidRDefault="00581AA4">
            <w:pPr>
              <w:jc w:val="center"/>
            </w:pPr>
            <w:r>
              <w:rPr>
                <w:rFonts w:eastAsiaTheme="minorEastAsia"/>
                <w:color w:val="000000"/>
                <w:szCs w:val="21"/>
              </w:rPr>
              <w:t>2</w:t>
            </w:r>
          </w:p>
        </w:tc>
        <w:tc>
          <w:tcPr>
            <w:tcW w:w="2378" w:type="dxa"/>
            <w:vAlign w:val="center"/>
          </w:tcPr>
          <w:p w:rsidR="00854133" w:rsidRDefault="00581AA4">
            <w:pPr>
              <w:jc w:val="center"/>
            </w:pPr>
            <w:r>
              <w:rPr>
                <w:rFonts w:eastAsiaTheme="minorEastAsia"/>
                <w:color w:val="000000"/>
                <w:szCs w:val="21"/>
              </w:rPr>
              <w:t>Newmont Goldcorp Corp</w:t>
            </w:r>
          </w:p>
        </w:tc>
        <w:tc>
          <w:tcPr>
            <w:tcW w:w="2552" w:type="dxa"/>
            <w:vAlign w:val="center"/>
          </w:tcPr>
          <w:p w:rsidR="00854133" w:rsidRDefault="00581AA4">
            <w:pPr>
              <w:jc w:val="center"/>
            </w:pPr>
            <w:r>
              <w:rPr>
                <w:rFonts w:eastAsiaTheme="minorEastAsia"/>
                <w:color w:val="000000"/>
                <w:szCs w:val="21"/>
              </w:rPr>
              <w:t>NEM US</w:t>
            </w:r>
          </w:p>
        </w:tc>
        <w:tc>
          <w:tcPr>
            <w:tcW w:w="2130" w:type="dxa"/>
            <w:vAlign w:val="center"/>
          </w:tcPr>
          <w:p w:rsidR="00854133" w:rsidRDefault="00581AA4">
            <w:pPr>
              <w:jc w:val="center"/>
            </w:pPr>
            <w:r>
              <w:rPr>
                <w:rFonts w:eastAsiaTheme="minorEastAsia"/>
                <w:color w:val="000000"/>
                <w:szCs w:val="21"/>
              </w:rPr>
              <w:t>16,411,227.10</w:t>
            </w:r>
          </w:p>
        </w:tc>
        <w:tc>
          <w:tcPr>
            <w:tcW w:w="1650" w:type="dxa"/>
            <w:vAlign w:val="center"/>
          </w:tcPr>
          <w:p w:rsidR="00854133" w:rsidRDefault="00581AA4">
            <w:pPr>
              <w:jc w:val="center"/>
            </w:pPr>
            <w:r>
              <w:rPr>
                <w:rFonts w:eastAsiaTheme="minorEastAsia"/>
                <w:color w:val="000000"/>
                <w:szCs w:val="21"/>
              </w:rPr>
              <w:t>4.47</w:t>
            </w:r>
          </w:p>
        </w:tc>
      </w:tr>
    </w:tbl>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买入金额按买卖成交金额（成交单价乘以成交数量）填列，不考虑相关交易费用。</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2.</w:t>
      </w:r>
      <w:r w:rsidRPr="00C24ACA">
        <w:rPr>
          <w:rFonts w:eastAsiaTheme="minorEastAsia"/>
          <w:kern w:val="0"/>
          <w:szCs w:val="21"/>
        </w:rPr>
        <w:t>此处所用证券代码的类别是当地市场代码。</w:t>
      </w:r>
    </w:p>
    <w:p w:rsidR="008A5A5D" w:rsidRPr="00C24ACA" w:rsidRDefault="008A5A5D" w:rsidP="00732F5C">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kern w:val="0"/>
          <w:szCs w:val="21"/>
        </w:rPr>
        <w:t>7.5.2</w:t>
      </w:r>
      <w:r w:rsidRPr="00C24ACA">
        <w:rPr>
          <w:rFonts w:eastAsiaTheme="minorEastAsia"/>
          <w:b/>
          <w:color w:val="000000"/>
          <w:kern w:val="0"/>
          <w:szCs w:val="21"/>
        </w:rPr>
        <w:t>累计卖出金额超出</w:t>
      </w:r>
      <w:r w:rsidR="00B7546A" w:rsidRPr="00C24ACA">
        <w:rPr>
          <w:rFonts w:eastAsiaTheme="minorEastAsia"/>
          <w:b/>
          <w:color w:val="000000"/>
          <w:kern w:val="0"/>
          <w:szCs w:val="21"/>
        </w:rPr>
        <w:t>期初</w:t>
      </w:r>
      <w:r w:rsidRPr="00C24ACA">
        <w:rPr>
          <w:rFonts w:eastAsiaTheme="minorEastAsia"/>
          <w:b/>
          <w:color w:val="000000"/>
          <w:kern w:val="0"/>
          <w:szCs w:val="21"/>
        </w:rPr>
        <w:t>基金资产净值</w:t>
      </w:r>
      <w:r w:rsidRPr="00C24ACA">
        <w:rPr>
          <w:rFonts w:eastAsiaTheme="minorEastAsia"/>
          <w:b/>
          <w:color w:val="000000"/>
          <w:kern w:val="0"/>
          <w:szCs w:val="21"/>
        </w:rPr>
        <w:t>2%</w:t>
      </w:r>
      <w:r w:rsidRPr="00C24ACA">
        <w:rPr>
          <w:rFonts w:eastAsiaTheme="minorEastAsia"/>
          <w:b/>
          <w:color w:val="000000"/>
          <w:kern w:val="0"/>
          <w:szCs w:val="21"/>
        </w:rPr>
        <w:t>或前</w:t>
      </w:r>
      <w:r w:rsidRPr="00C24ACA">
        <w:rPr>
          <w:rFonts w:eastAsiaTheme="minorEastAsia"/>
          <w:b/>
          <w:color w:val="000000"/>
          <w:kern w:val="0"/>
          <w:szCs w:val="21"/>
        </w:rPr>
        <w:t>20</w:t>
      </w:r>
      <w:r w:rsidRPr="00C24ACA">
        <w:rPr>
          <w:rFonts w:eastAsiaTheme="minorEastAsia"/>
          <w:b/>
          <w:color w:val="000000"/>
          <w:kern w:val="0"/>
          <w:szCs w:val="21"/>
        </w:rPr>
        <w:t>名的权益投资明细</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金额单位：人民币元</w:t>
      </w:r>
    </w:p>
    <w:tbl>
      <w:tblPr>
        <w:tblW w:w="93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648"/>
        <w:gridCol w:w="4583"/>
        <w:gridCol w:w="1007"/>
        <w:gridCol w:w="1470"/>
        <w:gridCol w:w="1650"/>
      </w:tblGrid>
      <w:tr w:rsidR="008A5A5D" w:rsidRPr="00C24ACA" w:rsidTr="00B73AA7">
        <w:trPr>
          <w:trHeight w:val="315"/>
          <w:jc w:val="center"/>
        </w:trPr>
        <w:tc>
          <w:tcPr>
            <w:tcW w:w="648"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序号</w:t>
            </w:r>
          </w:p>
        </w:tc>
        <w:tc>
          <w:tcPr>
            <w:tcW w:w="4583"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公司名称（英文）</w:t>
            </w:r>
          </w:p>
        </w:tc>
        <w:tc>
          <w:tcPr>
            <w:tcW w:w="1007"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证券代码</w:t>
            </w:r>
          </w:p>
        </w:tc>
        <w:tc>
          <w:tcPr>
            <w:tcW w:w="1470"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本期累计卖出金额</w:t>
            </w:r>
          </w:p>
        </w:tc>
        <w:tc>
          <w:tcPr>
            <w:tcW w:w="1650"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w:t>
            </w:r>
            <w:r w:rsidR="00551AB1" w:rsidRPr="00C24ACA">
              <w:rPr>
                <w:rFonts w:eastAsiaTheme="minorEastAsia"/>
                <w:color w:val="000000"/>
                <w:szCs w:val="21"/>
              </w:rPr>
              <w:t>期初</w:t>
            </w:r>
            <w:r w:rsidRPr="00C24ACA">
              <w:rPr>
                <w:rFonts w:eastAsiaTheme="minorEastAsia"/>
                <w:color w:val="000000"/>
                <w:szCs w:val="21"/>
              </w:rPr>
              <w:t>基金</w:t>
            </w:r>
          </w:p>
          <w:p w:rsidR="008A5A5D" w:rsidRPr="00C24ACA" w:rsidRDefault="008A5A5D" w:rsidP="004A4847">
            <w:pPr>
              <w:jc w:val="center"/>
              <w:rPr>
                <w:rFonts w:eastAsiaTheme="minorEastAsia"/>
                <w:color w:val="000000"/>
                <w:szCs w:val="21"/>
              </w:rPr>
            </w:pPr>
            <w:r w:rsidRPr="00C24ACA">
              <w:rPr>
                <w:rFonts w:eastAsiaTheme="minorEastAsia"/>
                <w:color w:val="000000"/>
                <w:szCs w:val="21"/>
              </w:rPr>
              <w:t>资产净值比例（％）</w:t>
            </w:r>
          </w:p>
        </w:tc>
      </w:tr>
      <w:tr w:rsidR="00854133">
        <w:trPr>
          <w:jc w:val="center"/>
        </w:trPr>
        <w:tc>
          <w:tcPr>
            <w:tcW w:w="648" w:type="dxa"/>
            <w:vAlign w:val="center"/>
          </w:tcPr>
          <w:p w:rsidR="00854133" w:rsidRDefault="00581AA4">
            <w:pPr>
              <w:jc w:val="center"/>
            </w:pPr>
            <w:r>
              <w:rPr>
                <w:rFonts w:eastAsiaTheme="minorEastAsia"/>
                <w:color w:val="000000"/>
                <w:szCs w:val="21"/>
              </w:rPr>
              <w:t>1</w:t>
            </w:r>
          </w:p>
        </w:tc>
        <w:tc>
          <w:tcPr>
            <w:tcW w:w="4583" w:type="dxa"/>
            <w:vAlign w:val="center"/>
          </w:tcPr>
          <w:p w:rsidR="00854133" w:rsidRDefault="00581AA4">
            <w:pPr>
              <w:jc w:val="center"/>
            </w:pPr>
            <w:r>
              <w:rPr>
                <w:rFonts w:eastAsiaTheme="minorEastAsia"/>
                <w:color w:val="000000"/>
                <w:szCs w:val="21"/>
              </w:rPr>
              <w:t>Barrick Gold Corp</w:t>
            </w:r>
          </w:p>
        </w:tc>
        <w:tc>
          <w:tcPr>
            <w:tcW w:w="1007" w:type="dxa"/>
            <w:vAlign w:val="center"/>
          </w:tcPr>
          <w:p w:rsidR="00854133" w:rsidRDefault="00581AA4">
            <w:pPr>
              <w:jc w:val="center"/>
            </w:pPr>
            <w:r>
              <w:rPr>
                <w:rFonts w:eastAsiaTheme="minorEastAsia"/>
                <w:color w:val="000000"/>
                <w:szCs w:val="21"/>
              </w:rPr>
              <w:t>GOLD US</w:t>
            </w:r>
          </w:p>
        </w:tc>
        <w:tc>
          <w:tcPr>
            <w:tcW w:w="1470" w:type="dxa"/>
            <w:vAlign w:val="center"/>
          </w:tcPr>
          <w:p w:rsidR="00854133" w:rsidRDefault="00581AA4">
            <w:pPr>
              <w:jc w:val="center"/>
            </w:pPr>
            <w:r>
              <w:rPr>
                <w:rFonts w:eastAsiaTheme="minorEastAsia"/>
                <w:color w:val="000000"/>
                <w:szCs w:val="21"/>
              </w:rPr>
              <w:t>8,596,267.54</w:t>
            </w:r>
          </w:p>
        </w:tc>
        <w:tc>
          <w:tcPr>
            <w:tcW w:w="1650" w:type="dxa"/>
            <w:vAlign w:val="center"/>
          </w:tcPr>
          <w:p w:rsidR="00854133" w:rsidRDefault="00581AA4">
            <w:pPr>
              <w:jc w:val="center"/>
            </w:pPr>
            <w:r>
              <w:rPr>
                <w:rFonts w:eastAsiaTheme="minorEastAsia"/>
                <w:color w:val="000000"/>
                <w:szCs w:val="21"/>
              </w:rPr>
              <w:t>2.34</w:t>
            </w:r>
          </w:p>
        </w:tc>
      </w:tr>
      <w:tr w:rsidR="00854133">
        <w:trPr>
          <w:jc w:val="center"/>
        </w:trPr>
        <w:tc>
          <w:tcPr>
            <w:tcW w:w="648" w:type="dxa"/>
            <w:vAlign w:val="center"/>
          </w:tcPr>
          <w:p w:rsidR="00854133" w:rsidRDefault="00581AA4">
            <w:pPr>
              <w:jc w:val="center"/>
            </w:pPr>
            <w:r>
              <w:rPr>
                <w:rFonts w:eastAsiaTheme="minorEastAsia"/>
                <w:color w:val="000000"/>
                <w:szCs w:val="21"/>
              </w:rPr>
              <w:t>2</w:t>
            </w:r>
          </w:p>
        </w:tc>
        <w:tc>
          <w:tcPr>
            <w:tcW w:w="4583" w:type="dxa"/>
            <w:vAlign w:val="center"/>
          </w:tcPr>
          <w:p w:rsidR="00854133" w:rsidRDefault="00581AA4">
            <w:pPr>
              <w:jc w:val="center"/>
            </w:pPr>
            <w:r>
              <w:rPr>
                <w:rFonts w:eastAsiaTheme="minorEastAsia"/>
                <w:color w:val="000000"/>
                <w:szCs w:val="21"/>
              </w:rPr>
              <w:t>Newmont Goldcorp Corp</w:t>
            </w:r>
          </w:p>
        </w:tc>
        <w:tc>
          <w:tcPr>
            <w:tcW w:w="1007" w:type="dxa"/>
            <w:vAlign w:val="center"/>
          </w:tcPr>
          <w:p w:rsidR="00854133" w:rsidRDefault="00581AA4">
            <w:pPr>
              <w:jc w:val="center"/>
            </w:pPr>
            <w:r>
              <w:rPr>
                <w:rFonts w:eastAsiaTheme="minorEastAsia"/>
                <w:color w:val="000000"/>
                <w:szCs w:val="21"/>
              </w:rPr>
              <w:t>NEM US</w:t>
            </w:r>
          </w:p>
        </w:tc>
        <w:tc>
          <w:tcPr>
            <w:tcW w:w="1470" w:type="dxa"/>
            <w:vAlign w:val="center"/>
          </w:tcPr>
          <w:p w:rsidR="00854133" w:rsidRDefault="00581AA4">
            <w:pPr>
              <w:jc w:val="center"/>
            </w:pPr>
            <w:r>
              <w:rPr>
                <w:rFonts w:eastAsiaTheme="minorEastAsia"/>
                <w:color w:val="000000"/>
                <w:szCs w:val="21"/>
              </w:rPr>
              <w:t>7,489,647.25</w:t>
            </w:r>
          </w:p>
        </w:tc>
        <w:tc>
          <w:tcPr>
            <w:tcW w:w="1650" w:type="dxa"/>
            <w:vAlign w:val="center"/>
          </w:tcPr>
          <w:p w:rsidR="00854133" w:rsidRDefault="00581AA4">
            <w:pPr>
              <w:jc w:val="center"/>
            </w:pPr>
            <w:r>
              <w:rPr>
                <w:rFonts w:eastAsiaTheme="minorEastAsia"/>
                <w:color w:val="000000"/>
                <w:szCs w:val="21"/>
              </w:rPr>
              <w:t>2.04</w:t>
            </w:r>
          </w:p>
        </w:tc>
      </w:tr>
    </w:tbl>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卖出金额按买卖成交金额（成交单价乘以成交数量）填列，不考虑相关交易费用。</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2.</w:t>
      </w:r>
      <w:r w:rsidRPr="00C24ACA">
        <w:rPr>
          <w:rFonts w:eastAsiaTheme="minorEastAsia"/>
          <w:kern w:val="0"/>
          <w:szCs w:val="21"/>
        </w:rPr>
        <w:t>此处所用证券代码的类别是当地市场代码。</w:t>
      </w:r>
    </w:p>
    <w:p w:rsidR="008A5A5D" w:rsidRPr="00C24ACA" w:rsidRDefault="008A5A5D" w:rsidP="00732F5C">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kern w:val="0"/>
          <w:szCs w:val="21"/>
        </w:rPr>
        <w:t>7.5.3</w:t>
      </w:r>
      <w:r w:rsidRPr="00C24ACA">
        <w:rPr>
          <w:rFonts w:eastAsiaTheme="minorEastAsia"/>
          <w:b/>
          <w:color w:val="000000"/>
          <w:kern w:val="0"/>
          <w:szCs w:val="21"/>
        </w:rPr>
        <w:t>权益投资的买入成本总额及卖出收入总额</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27"/>
        <w:gridCol w:w="5629"/>
      </w:tblGrid>
      <w:tr w:rsidR="008A5A5D" w:rsidRPr="00C24ACA" w:rsidTr="00B73AA7">
        <w:trPr>
          <w:trHeight w:val="285"/>
          <w:jc w:val="center"/>
        </w:trPr>
        <w:tc>
          <w:tcPr>
            <w:tcW w:w="3727" w:type="dxa"/>
            <w:vAlign w:val="center"/>
          </w:tcPr>
          <w:p w:rsidR="008A5A5D" w:rsidRPr="00C24ACA" w:rsidRDefault="008A5A5D" w:rsidP="004A4847">
            <w:pPr>
              <w:rPr>
                <w:rFonts w:eastAsiaTheme="minorEastAsia"/>
                <w:color w:val="000000"/>
                <w:szCs w:val="21"/>
              </w:rPr>
            </w:pPr>
            <w:r w:rsidRPr="00C24ACA">
              <w:rPr>
                <w:rFonts w:eastAsiaTheme="minorEastAsia"/>
                <w:color w:val="000000"/>
                <w:szCs w:val="21"/>
              </w:rPr>
              <w:t>买入成本（成交）总额</w:t>
            </w:r>
          </w:p>
        </w:tc>
        <w:tc>
          <w:tcPr>
            <w:tcW w:w="5629" w:type="dxa"/>
            <w:vAlign w:val="bottom"/>
          </w:tcPr>
          <w:p w:rsidR="008A5A5D" w:rsidRPr="00C24ACA" w:rsidRDefault="008A5A5D" w:rsidP="004A4847">
            <w:pPr>
              <w:jc w:val="right"/>
              <w:rPr>
                <w:rFonts w:eastAsiaTheme="minorEastAsia"/>
                <w:szCs w:val="21"/>
              </w:rPr>
            </w:pPr>
            <w:r w:rsidRPr="00C24ACA">
              <w:rPr>
                <w:rFonts w:eastAsiaTheme="minorEastAsia"/>
                <w:szCs w:val="21"/>
              </w:rPr>
              <w:t>33,419,882.95</w:t>
            </w:r>
          </w:p>
        </w:tc>
      </w:tr>
      <w:tr w:rsidR="008A5A5D" w:rsidRPr="00C24ACA" w:rsidTr="00B73AA7">
        <w:trPr>
          <w:trHeight w:val="285"/>
          <w:jc w:val="center"/>
        </w:trPr>
        <w:tc>
          <w:tcPr>
            <w:tcW w:w="3727" w:type="dxa"/>
            <w:vAlign w:val="center"/>
          </w:tcPr>
          <w:p w:rsidR="008A5A5D" w:rsidRPr="00C24ACA" w:rsidRDefault="008A5A5D" w:rsidP="004A4847">
            <w:pPr>
              <w:rPr>
                <w:rFonts w:eastAsiaTheme="minorEastAsia"/>
                <w:color w:val="000000"/>
                <w:szCs w:val="21"/>
              </w:rPr>
            </w:pPr>
            <w:r w:rsidRPr="00C24ACA">
              <w:rPr>
                <w:rFonts w:eastAsiaTheme="minorEastAsia"/>
                <w:color w:val="000000"/>
                <w:szCs w:val="21"/>
              </w:rPr>
              <w:t>卖出收入（成交）总额</w:t>
            </w:r>
          </w:p>
        </w:tc>
        <w:tc>
          <w:tcPr>
            <w:tcW w:w="5629" w:type="dxa"/>
            <w:vAlign w:val="bottom"/>
          </w:tcPr>
          <w:p w:rsidR="008A5A5D" w:rsidRPr="00C24ACA" w:rsidRDefault="008A5A5D" w:rsidP="004A4847">
            <w:pPr>
              <w:jc w:val="right"/>
              <w:rPr>
                <w:rFonts w:eastAsiaTheme="minorEastAsia"/>
                <w:szCs w:val="21"/>
              </w:rPr>
            </w:pPr>
            <w:r w:rsidRPr="00C24ACA">
              <w:rPr>
                <w:rFonts w:eastAsiaTheme="minorEastAsia"/>
                <w:szCs w:val="21"/>
              </w:rPr>
              <w:t>16,085,914.79</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w:t>
      </w:r>
      <w:r w:rsidRPr="00C24ACA">
        <w:rPr>
          <w:rFonts w:eastAsiaTheme="minorEastAsia"/>
          <w:kern w:val="0"/>
          <w:szCs w:val="21"/>
        </w:rPr>
        <w:t>“</w:t>
      </w:r>
      <w:r w:rsidRPr="00C24ACA">
        <w:rPr>
          <w:rFonts w:eastAsiaTheme="minorEastAsia"/>
          <w:kern w:val="0"/>
          <w:szCs w:val="21"/>
        </w:rPr>
        <w:t>买入成本</w:t>
      </w:r>
      <w:r w:rsidRPr="00C24ACA">
        <w:rPr>
          <w:rFonts w:eastAsiaTheme="minorEastAsia"/>
          <w:kern w:val="0"/>
          <w:szCs w:val="21"/>
        </w:rPr>
        <w:t>”</w:t>
      </w:r>
      <w:r w:rsidRPr="00C24ACA">
        <w:rPr>
          <w:rFonts w:eastAsiaTheme="minorEastAsia"/>
          <w:kern w:val="0"/>
          <w:szCs w:val="21"/>
        </w:rPr>
        <w:t>或</w:t>
      </w:r>
      <w:r w:rsidRPr="00C24ACA">
        <w:rPr>
          <w:rFonts w:eastAsiaTheme="minorEastAsia"/>
          <w:kern w:val="0"/>
          <w:szCs w:val="21"/>
        </w:rPr>
        <w:t>“</w:t>
      </w:r>
      <w:r w:rsidRPr="00C24ACA">
        <w:rPr>
          <w:rFonts w:eastAsiaTheme="minorEastAsia"/>
          <w:kern w:val="0"/>
          <w:szCs w:val="21"/>
        </w:rPr>
        <w:t>卖出收入</w:t>
      </w:r>
      <w:r w:rsidRPr="00C24ACA">
        <w:rPr>
          <w:rFonts w:eastAsiaTheme="minorEastAsia"/>
          <w:kern w:val="0"/>
          <w:szCs w:val="21"/>
        </w:rPr>
        <w:t>”</w:t>
      </w:r>
      <w:r w:rsidRPr="00C24ACA">
        <w:rPr>
          <w:rFonts w:eastAsiaTheme="minorEastAsia"/>
          <w:kern w:val="0"/>
          <w:szCs w:val="21"/>
        </w:rPr>
        <w:t>均按买卖成交金额（成交单价乘以成交数量）填列，不考虑相关交易费用。</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33" w:name="_Toc224618381"/>
      <w:bookmarkStart w:id="234" w:name="_Toc248233028"/>
      <w:bookmarkStart w:id="235" w:name="_Toc249790560"/>
      <w:bookmarkStart w:id="236" w:name="_Toc286929761"/>
      <w:bookmarkStart w:id="237" w:name="_Toc352256000"/>
      <w:bookmarkStart w:id="238" w:name="_Toc352256068"/>
      <w:bookmarkStart w:id="239" w:name="_Toc352331246"/>
      <w:bookmarkStart w:id="240" w:name="_Toc390164828"/>
      <w:bookmarkStart w:id="241" w:name="_Toc48663432"/>
      <w:r w:rsidRPr="0087359D">
        <w:rPr>
          <w:rFonts w:ascii="宋体" w:hAnsi="宋体"/>
          <w:kern w:val="0"/>
          <w:sz w:val="21"/>
          <w:szCs w:val="21"/>
        </w:rPr>
        <w:t>7.6</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期末按债券信用等级分类的债券投资组合</w:t>
      </w:r>
      <w:bookmarkEnd w:id="233"/>
      <w:bookmarkEnd w:id="234"/>
      <w:bookmarkEnd w:id="235"/>
      <w:bookmarkEnd w:id="236"/>
      <w:bookmarkEnd w:id="237"/>
      <w:bookmarkEnd w:id="238"/>
      <w:bookmarkEnd w:id="239"/>
      <w:bookmarkEnd w:id="240"/>
      <w:bookmarkEnd w:id="241"/>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金额单位：人民币元</w:t>
      </w:r>
    </w:p>
    <w:tbl>
      <w:tblPr>
        <w:tblW w:w="94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30" w:type="dxa"/>
          <w:right w:w="30" w:type="dxa"/>
        </w:tblCellMar>
        <w:tblLook w:val="0000" w:firstRow="0" w:lastRow="0" w:firstColumn="0" w:lastColumn="0" w:noHBand="0" w:noVBand="0"/>
      </w:tblPr>
      <w:tblGrid>
        <w:gridCol w:w="2745"/>
        <w:gridCol w:w="4792"/>
        <w:gridCol w:w="1897"/>
      </w:tblGrid>
      <w:tr w:rsidR="008A5A5D" w:rsidRPr="00C24ACA" w:rsidTr="00B73AA7">
        <w:trPr>
          <w:trHeight w:val="315"/>
          <w:jc w:val="center"/>
        </w:trPr>
        <w:tc>
          <w:tcPr>
            <w:tcW w:w="2745"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债券信用等级</w:t>
            </w:r>
          </w:p>
        </w:tc>
        <w:tc>
          <w:tcPr>
            <w:tcW w:w="4792"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公允价值</w:t>
            </w:r>
          </w:p>
        </w:tc>
        <w:tc>
          <w:tcPr>
            <w:tcW w:w="1897"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占基金资产净值比例（％）</w:t>
            </w:r>
          </w:p>
        </w:tc>
      </w:tr>
      <w:tr w:rsidR="00854133">
        <w:trPr>
          <w:jc w:val="center"/>
        </w:trPr>
        <w:tc>
          <w:tcPr>
            <w:tcW w:w="2745" w:type="dxa"/>
            <w:vAlign w:val="center"/>
          </w:tcPr>
          <w:p w:rsidR="00854133" w:rsidRDefault="00581AA4">
            <w:pPr>
              <w:jc w:val="left"/>
            </w:pPr>
            <w:r>
              <w:rPr>
                <w:rFonts w:eastAsiaTheme="minorEastAsia"/>
                <w:color w:val="000000"/>
                <w:szCs w:val="21"/>
              </w:rPr>
              <w:t>AAA+</w:t>
            </w:r>
            <w:r>
              <w:rPr>
                <w:rFonts w:eastAsiaTheme="minorEastAsia"/>
                <w:color w:val="000000"/>
                <w:szCs w:val="21"/>
              </w:rPr>
              <w:t>至</w:t>
            </w:r>
            <w:r>
              <w:rPr>
                <w:rFonts w:eastAsiaTheme="minorEastAsia"/>
                <w:color w:val="000000"/>
                <w:szCs w:val="21"/>
              </w:rPr>
              <w:t>AAA-</w:t>
            </w:r>
          </w:p>
        </w:tc>
        <w:tc>
          <w:tcPr>
            <w:tcW w:w="4792" w:type="dxa"/>
            <w:vAlign w:val="center"/>
          </w:tcPr>
          <w:p w:rsidR="00854133" w:rsidRDefault="00581AA4">
            <w:pPr>
              <w:jc w:val="right"/>
            </w:pPr>
            <w:r>
              <w:rPr>
                <w:rFonts w:eastAsiaTheme="minorEastAsia"/>
                <w:color w:val="000000"/>
                <w:szCs w:val="21"/>
              </w:rPr>
              <w:t>0.00</w:t>
            </w:r>
          </w:p>
        </w:tc>
        <w:tc>
          <w:tcPr>
            <w:tcW w:w="1897" w:type="dxa"/>
            <w:vAlign w:val="center"/>
          </w:tcPr>
          <w:p w:rsidR="00854133" w:rsidRDefault="00581AA4">
            <w:pPr>
              <w:jc w:val="right"/>
            </w:pPr>
            <w:r>
              <w:rPr>
                <w:rFonts w:eastAsiaTheme="minorEastAsia"/>
                <w:color w:val="000000"/>
                <w:szCs w:val="21"/>
              </w:rPr>
              <w:t>0.00</w:t>
            </w:r>
          </w:p>
        </w:tc>
      </w:tr>
      <w:tr w:rsidR="00854133">
        <w:trPr>
          <w:jc w:val="center"/>
        </w:trPr>
        <w:tc>
          <w:tcPr>
            <w:tcW w:w="2745" w:type="dxa"/>
            <w:vAlign w:val="center"/>
          </w:tcPr>
          <w:p w:rsidR="00854133" w:rsidRDefault="00581AA4">
            <w:pPr>
              <w:jc w:val="left"/>
            </w:pPr>
            <w:r>
              <w:rPr>
                <w:rFonts w:eastAsiaTheme="minorEastAsia"/>
                <w:color w:val="000000"/>
                <w:szCs w:val="21"/>
              </w:rPr>
              <w:t>AA+</w:t>
            </w:r>
            <w:r>
              <w:rPr>
                <w:rFonts w:eastAsiaTheme="minorEastAsia"/>
                <w:color w:val="000000"/>
                <w:szCs w:val="21"/>
              </w:rPr>
              <w:t>至</w:t>
            </w:r>
            <w:r>
              <w:rPr>
                <w:rFonts w:eastAsiaTheme="minorEastAsia"/>
                <w:color w:val="000000"/>
                <w:szCs w:val="21"/>
              </w:rPr>
              <w:t>AA-</w:t>
            </w:r>
          </w:p>
        </w:tc>
        <w:tc>
          <w:tcPr>
            <w:tcW w:w="4792" w:type="dxa"/>
            <w:vAlign w:val="center"/>
          </w:tcPr>
          <w:p w:rsidR="00854133" w:rsidRDefault="00581AA4">
            <w:pPr>
              <w:jc w:val="right"/>
            </w:pPr>
            <w:r>
              <w:rPr>
                <w:rFonts w:eastAsiaTheme="minorEastAsia"/>
                <w:color w:val="000000"/>
                <w:szCs w:val="21"/>
              </w:rPr>
              <w:t>0.00</w:t>
            </w:r>
          </w:p>
        </w:tc>
        <w:tc>
          <w:tcPr>
            <w:tcW w:w="1897" w:type="dxa"/>
            <w:vAlign w:val="center"/>
          </w:tcPr>
          <w:p w:rsidR="00854133" w:rsidRDefault="00581AA4">
            <w:pPr>
              <w:jc w:val="right"/>
            </w:pPr>
            <w:r>
              <w:rPr>
                <w:rFonts w:eastAsiaTheme="minorEastAsia"/>
                <w:color w:val="000000"/>
                <w:szCs w:val="21"/>
              </w:rPr>
              <w:t>0.00</w:t>
            </w:r>
          </w:p>
        </w:tc>
      </w:tr>
      <w:tr w:rsidR="00854133">
        <w:trPr>
          <w:jc w:val="center"/>
        </w:trPr>
        <w:tc>
          <w:tcPr>
            <w:tcW w:w="2745" w:type="dxa"/>
            <w:vAlign w:val="center"/>
          </w:tcPr>
          <w:p w:rsidR="00854133" w:rsidRDefault="00581AA4">
            <w:pPr>
              <w:jc w:val="left"/>
            </w:pPr>
            <w:r>
              <w:rPr>
                <w:rFonts w:eastAsiaTheme="minorEastAsia"/>
                <w:color w:val="000000"/>
                <w:szCs w:val="21"/>
              </w:rPr>
              <w:t>A+</w:t>
            </w:r>
            <w:r>
              <w:rPr>
                <w:rFonts w:eastAsiaTheme="minorEastAsia"/>
                <w:color w:val="000000"/>
                <w:szCs w:val="21"/>
              </w:rPr>
              <w:t>至</w:t>
            </w:r>
            <w:r>
              <w:rPr>
                <w:rFonts w:eastAsiaTheme="minorEastAsia"/>
                <w:color w:val="000000"/>
                <w:szCs w:val="21"/>
              </w:rPr>
              <w:t>A-</w:t>
            </w:r>
          </w:p>
        </w:tc>
        <w:tc>
          <w:tcPr>
            <w:tcW w:w="4792" w:type="dxa"/>
            <w:vAlign w:val="center"/>
          </w:tcPr>
          <w:p w:rsidR="00854133" w:rsidRDefault="00581AA4">
            <w:pPr>
              <w:jc w:val="right"/>
            </w:pPr>
            <w:r>
              <w:rPr>
                <w:rFonts w:eastAsiaTheme="minorEastAsia"/>
                <w:color w:val="000000"/>
                <w:szCs w:val="21"/>
              </w:rPr>
              <w:t>0.00</w:t>
            </w:r>
          </w:p>
        </w:tc>
        <w:tc>
          <w:tcPr>
            <w:tcW w:w="1897" w:type="dxa"/>
            <w:vAlign w:val="center"/>
          </w:tcPr>
          <w:p w:rsidR="00854133" w:rsidRDefault="00581AA4">
            <w:pPr>
              <w:jc w:val="right"/>
            </w:pPr>
            <w:r>
              <w:rPr>
                <w:rFonts w:eastAsiaTheme="minorEastAsia"/>
                <w:color w:val="000000"/>
                <w:szCs w:val="21"/>
              </w:rPr>
              <w:t>0.00</w:t>
            </w:r>
          </w:p>
        </w:tc>
      </w:tr>
      <w:tr w:rsidR="00854133">
        <w:trPr>
          <w:jc w:val="center"/>
        </w:trPr>
        <w:tc>
          <w:tcPr>
            <w:tcW w:w="2745" w:type="dxa"/>
            <w:vAlign w:val="center"/>
          </w:tcPr>
          <w:p w:rsidR="00854133" w:rsidRDefault="00581AA4">
            <w:pPr>
              <w:jc w:val="left"/>
            </w:pPr>
            <w:r>
              <w:rPr>
                <w:rFonts w:eastAsiaTheme="minorEastAsia"/>
                <w:color w:val="000000"/>
                <w:szCs w:val="21"/>
              </w:rPr>
              <w:t>BBB+</w:t>
            </w:r>
            <w:r>
              <w:rPr>
                <w:rFonts w:eastAsiaTheme="minorEastAsia"/>
                <w:color w:val="000000"/>
                <w:szCs w:val="21"/>
              </w:rPr>
              <w:t>至</w:t>
            </w:r>
            <w:r>
              <w:rPr>
                <w:rFonts w:eastAsiaTheme="minorEastAsia"/>
                <w:color w:val="000000"/>
                <w:szCs w:val="21"/>
              </w:rPr>
              <w:t>BBB-</w:t>
            </w:r>
          </w:p>
        </w:tc>
        <w:tc>
          <w:tcPr>
            <w:tcW w:w="4792" w:type="dxa"/>
            <w:vAlign w:val="center"/>
          </w:tcPr>
          <w:p w:rsidR="00854133" w:rsidRDefault="00581AA4">
            <w:pPr>
              <w:jc w:val="right"/>
            </w:pPr>
            <w:r>
              <w:rPr>
                <w:rFonts w:eastAsiaTheme="minorEastAsia"/>
                <w:color w:val="000000"/>
                <w:szCs w:val="21"/>
              </w:rPr>
              <w:t>0.00</w:t>
            </w:r>
          </w:p>
        </w:tc>
        <w:tc>
          <w:tcPr>
            <w:tcW w:w="1897" w:type="dxa"/>
            <w:vAlign w:val="center"/>
          </w:tcPr>
          <w:p w:rsidR="00854133" w:rsidRDefault="00581AA4">
            <w:pPr>
              <w:jc w:val="right"/>
            </w:pPr>
            <w:r>
              <w:rPr>
                <w:rFonts w:eastAsiaTheme="minorEastAsia"/>
                <w:color w:val="000000"/>
                <w:szCs w:val="21"/>
              </w:rPr>
              <w:t>0.00</w:t>
            </w:r>
          </w:p>
        </w:tc>
      </w:tr>
      <w:tr w:rsidR="00854133">
        <w:trPr>
          <w:jc w:val="center"/>
        </w:trPr>
        <w:tc>
          <w:tcPr>
            <w:tcW w:w="2745" w:type="dxa"/>
            <w:vAlign w:val="center"/>
          </w:tcPr>
          <w:p w:rsidR="00854133" w:rsidRDefault="00581AA4">
            <w:pPr>
              <w:jc w:val="left"/>
            </w:pPr>
            <w:r>
              <w:rPr>
                <w:rFonts w:eastAsiaTheme="minorEastAsia"/>
                <w:color w:val="000000"/>
                <w:szCs w:val="21"/>
              </w:rPr>
              <w:t>BB+</w:t>
            </w:r>
            <w:r>
              <w:rPr>
                <w:rFonts w:eastAsiaTheme="minorEastAsia"/>
                <w:color w:val="000000"/>
                <w:szCs w:val="21"/>
              </w:rPr>
              <w:t>至</w:t>
            </w:r>
            <w:r>
              <w:rPr>
                <w:rFonts w:eastAsiaTheme="minorEastAsia"/>
                <w:color w:val="000000"/>
                <w:szCs w:val="21"/>
              </w:rPr>
              <w:t>BB-</w:t>
            </w:r>
          </w:p>
        </w:tc>
        <w:tc>
          <w:tcPr>
            <w:tcW w:w="4792" w:type="dxa"/>
            <w:vAlign w:val="center"/>
          </w:tcPr>
          <w:p w:rsidR="00854133" w:rsidRDefault="00581AA4">
            <w:pPr>
              <w:jc w:val="right"/>
            </w:pPr>
            <w:r>
              <w:rPr>
                <w:rFonts w:eastAsiaTheme="minorEastAsia"/>
                <w:color w:val="000000"/>
                <w:szCs w:val="21"/>
              </w:rPr>
              <w:t>0.00</w:t>
            </w:r>
          </w:p>
        </w:tc>
        <w:tc>
          <w:tcPr>
            <w:tcW w:w="1897" w:type="dxa"/>
            <w:vAlign w:val="center"/>
          </w:tcPr>
          <w:p w:rsidR="00854133" w:rsidRDefault="00581AA4">
            <w:pPr>
              <w:jc w:val="right"/>
            </w:pPr>
            <w:r>
              <w:rPr>
                <w:rFonts w:eastAsiaTheme="minorEastAsia"/>
                <w:color w:val="000000"/>
                <w:szCs w:val="21"/>
              </w:rPr>
              <w:t>0.00</w:t>
            </w:r>
          </w:p>
        </w:tc>
      </w:tr>
      <w:tr w:rsidR="00854133">
        <w:trPr>
          <w:jc w:val="center"/>
        </w:trPr>
        <w:tc>
          <w:tcPr>
            <w:tcW w:w="2745" w:type="dxa"/>
            <w:vAlign w:val="center"/>
          </w:tcPr>
          <w:p w:rsidR="00854133" w:rsidRDefault="00581AA4">
            <w:pPr>
              <w:jc w:val="left"/>
            </w:pPr>
            <w:r>
              <w:rPr>
                <w:rFonts w:eastAsiaTheme="minorEastAsia"/>
                <w:color w:val="000000"/>
                <w:szCs w:val="21"/>
              </w:rPr>
              <w:t>B+</w:t>
            </w:r>
            <w:r>
              <w:rPr>
                <w:rFonts w:eastAsiaTheme="minorEastAsia"/>
                <w:color w:val="000000"/>
                <w:szCs w:val="21"/>
              </w:rPr>
              <w:t>至</w:t>
            </w:r>
            <w:r>
              <w:rPr>
                <w:rFonts w:eastAsiaTheme="minorEastAsia"/>
                <w:color w:val="000000"/>
                <w:szCs w:val="21"/>
              </w:rPr>
              <w:t>B-</w:t>
            </w:r>
          </w:p>
        </w:tc>
        <w:tc>
          <w:tcPr>
            <w:tcW w:w="4792" w:type="dxa"/>
            <w:vAlign w:val="center"/>
          </w:tcPr>
          <w:p w:rsidR="00854133" w:rsidRDefault="00581AA4">
            <w:pPr>
              <w:jc w:val="right"/>
            </w:pPr>
            <w:r>
              <w:rPr>
                <w:rFonts w:eastAsiaTheme="minorEastAsia"/>
                <w:color w:val="000000"/>
                <w:szCs w:val="21"/>
              </w:rPr>
              <w:t>0.00</w:t>
            </w:r>
          </w:p>
        </w:tc>
        <w:tc>
          <w:tcPr>
            <w:tcW w:w="1897" w:type="dxa"/>
            <w:vAlign w:val="center"/>
          </w:tcPr>
          <w:p w:rsidR="00854133" w:rsidRDefault="00581AA4">
            <w:pPr>
              <w:jc w:val="right"/>
            </w:pPr>
            <w:r>
              <w:rPr>
                <w:rFonts w:eastAsiaTheme="minorEastAsia"/>
                <w:color w:val="000000"/>
                <w:szCs w:val="21"/>
              </w:rPr>
              <w:t>0.00</w:t>
            </w:r>
          </w:p>
        </w:tc>
      </w:tr>
      <w:tr w:rsidR="00854133">
        <w:trPr>
          <w:jc w:val="center"/>
        </w:trPr>
        <w:tc>
          <w:tcPr>
            <w:tcW w:w="2745" w:type="dxa"/>
            <w:vAlign w:val="center"/>
          </w:tcPr>
          <w:p w:rsidR="00854133" w:rsidRDefault="00581AA4">
            <w:pPr>
              <w:jc w:val="left"/>
            </w:pPr>
            <w:r>
              <w:rPr>
                <w:rFonts w:eastAsiaTheme="minorEastAsia"/>
                <w:color w:val="000000"/>
                <w:szCs w:val="21"/>
              </w:rPr>
              <w:t>CCC+</w:t>
            </w:r>
            <w:r>
              <w:rPr>
                <w:rFonts w:eastAsiaTheme="minorEastAsia"/>
                <w:color w:val="000000"/>
                <w:szCs w:val="21"/>
              </w:rPr>
              <w:t>至</w:t>
            </w:r>
            <w:r>
              <w:rPr>
                <w:rFonts w:eastAsiaTheme="minorEastAsia"/>
                <w:color w:val="000000"/>
                <w:szCs w:val="21"/>
              </w:rPr>
              <w:t>CCC</w:t>
            </w:r>
          </w:p>
        </w:tc>
        <w:tc>
          <w:tcPr>
            <w:tcW w:w="4792" w:type="dxa"/>
            <w:vAlign w:val="center"/>
          </w:tcPr>
          <w:p w:rsidR="00854133" w:rsidRDefault="00581AA4">
            <w:pPr>
              <w:jc w:val="right"/>
            </w:pPr>
            <w:r>
              <w:rPr>
                <w:rFonts w:eastAsiaTheme="minorEastAsia"/>
                <w:color w:val="000000"/>
                <w:szCs w:val="21"/>
              </w:rPr>
              <w:t>0.00</w:t>
            </w:r>
          </w:p>
        </w:tc>
        <w:tc>
          <w:tcPr>
            <w:tcW w:w="1897" w:type="dxa"/>
            <w:vAlign w:val="center"/>
          </w:tcPr>
          <w:p w:rsidR="00854133" w:rsidRDefault="00581AA4">
            <w:pPr>
              <w:jc w:val="right"/>
            </w:pPr>
            <w:r>
              <w:rPr>
                <w:rFonts w:eastAsiaTheme="minorEastAsia"/>
                <w:color w:val="000000"/>
                <w:szCs w:val="21"/>
              </w:rPr>
              <w:t>0.00</w:t>
            </w:r>
          </w:p>
        </w:tc>
      </w:tr>
      <w:tr w:rsidR="00854133">
        <w:trPr>
          <w:jc w:val="center"/>
        </w:trPr>
        <w:tc>
          <w:tcPr>
            <w:tcW w:w="2745" w:type="dxa"/>
            <w:vAlign w:val="center"/>
          </w:tcPr>
          <w:p w:rsidR="00854133" w:rsidRDefault="00581AA4">
            <w:pPr>
              <w:jc w:val="left"/>
            </w:pPr>
            <w:r>
              <w:rPr>
                <w:rFonts w:eastAsiaTheme="minorEastAsia"/>
                <w:color w:val="000000"/>
                <w:szCs w:val="21"/>
              </w:rPr>
              <w:t>未评级</w:t>
            </w:r>
          </w:p>
        </w:tc>
        <w:tc>
          <w:tcPr>
            <w:tcW w:w="4792" w:type="dxa"/>
            <w:vAlign w:val="center"/>
          </w:tcPr>
          <w:p w:rsidR="00854133" w:rsidRDefault="00581AA4">
            <w:pPr>
              <w:jc w:val="right"/>
            </w:pPr>
            <w:r>
              <w:rPr>
                <w:rFonts w:eastAsiaTheme="minorEastAsia"/>
                <w:color w:val="000000"/>
                <w:szCs w:val="21"/>
              </w:rPr>
              <w:t>20,465,667.47</w:t>
            </w:r>
          </w:p>
        </w:tc>
        <w:tc>
          <w:tcPr>
            <w:tcW w:w="1897" w:type="dxa"/>
            <w:vAlign w:val="center"/>
          </w:tcPr>
          <w:p w:rsidR="00854133" w:rsidRDefault="00581AA4">
            <w:pPr>
              <w:jc w:val="right"/>
            </w:pPr>
            <w:r>
              <w:rPr>
                <w:rFonts w:eastAsiaTheme="minorEastAsia"/>
                <w:color w:val="000000"/>
                <w:szCs w:val="21"/>
              </w:rPr>
              <w:t>6.83</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注：本债券投资组合主要采用标准普尔、穆迪、惠誉提供的债券信用评级信息，债券投资以全价列示。</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42" w:name="_Toc224618382"/>
      <w:bookmarkStart w:id="243" w:name="_Toc248233029"/>
      <w:bookmarkStart w:id="244" w:name="_Toc249790561"/>
      <w:bookmarkStart w:id="245" w:name="_Toc286929762"/>
      <w:bookmarkStart w:id="246" w:name="_Toc352256001"/>
      <w:bookmarkStart w:id="247" w:name="_Toc352256069"/>
      <w:bookmarkStart w:id="248" w:name="_Toc352331247"/>
      <w:bookmarkStart w:id="249" w:name="_Toc390164829"/>
      <w:bookmarkStart w:id="250" w:name="_Toc48663433"/>
      <w:r w:rsidRPr="0087359D">
        <w:rPr>
          <w:rFonts w:ascii="宋体" w:hAnsi="宋体"/>
          <w:kern w:val="0"/>
          <w:sz w:val="21"/>
          <w:szCs w:val="21"/>
        </w:rPr>
        <w:t>7.7</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期末按公允价值占基金资产净值比例大小排名的前五名债券投资明细</w:t>
      </w:r>
      <w:bookmarkEnd w:id="242"/>
      <w:bookmarkEnd w:id="243"/>
      <w:bookmarkEnd w:id="244"/>
      <w:bookmarkEnd w:id="245"/>
      <w:bookmarkEnd w:id="246"/>
      <w:bookmarkEnd w:id="247"/>
      <w:bookmarkEnd w:id="248"/>
      <w:bookmarkEnd w:id="249"/>
      <w:bookmarkEnd w:id="250"/>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金额单位：人民币元</w:t>
      </w:r>
    </w:p>
    <w:tbl>
      <w:tblPr>
        <w:tblW w:w="9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012"/>
        <w:gridCol w:w="1454"/>
        <w:gridCol w:w="1272"/>
        <w:gridCol w:w="2031"/>
        <w:gridCol w:w="1817"/>
        <w:gridCol w:w="1873"/>
      </w:tblGrid>
      <w:tr w:rsidR="008A5A5D" w:rsidRPr="00C24ACA" w:rsidTr="00B73AA7">
        <w:trPr>
          <w:trHeight w:val="286"/>
          <w:jc w:val="center"/>
        </w:trPr>
        <w:tc>
          <w:tcPr>
            <w:tcW w:w="1012"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序号</w:t>
            </w:r>
          </w:p>
        </w:tc>
        <w:tc>
          <w:tcPr>
            <w:tcW w:w="1454"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债券代码</w:t>
            </w:r>
          </w:p>
        </w:tc>
        <w:tc>
          <w:tcPr>
            <w:tcW w:w="1272"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债券名称</w:t>
            </w:r>
          </w:p>
        </w:tc>
        <w:tc>
          <w:tcPr>
            <w:tcW w:w="2031" w:type="dxa"/>
            <w:tcMar>
              <w:top w:w="15" w:type="dxa"/>
              <w:left w:w="15" w:type="dxa"/>
              <w:bottom w:w="0" w:type="dxa"/>
              <w:right w:w="15" w:type="dxa"/>
            </w:tcMar>
            <w:vAlign w:val="center"/>
          </w:tcPr>
          <w:p w:rsidR="008A5A5D" w:rsidRPr="00C24ACA" w:rsidRDefault="008A5A5D" w:rsidP="004A4847">
            <w:pPr>
              <w:jc w:val="center"/>
              <w:rPr>
                <w:rFonts w:eastAsiaTheme="minorEastAsia"/>
                <w:b/>
                <w:bCs/>
                <w:color w:val="000000"/>
                <w:szCs w:val="21"/>
              </w:rPr>
            </w:pPr>
            <w:r w:rsidRPr="00C24ACA">
              <w:rPr>
                <w:rFonts w:eastAsiaTheme="minorEastAsia"/>
                <w:color w:val="000000"/>
                <w:szCs w:val="21"/>
              </w:rPr>
              <w:t>数量</w:t>
            </w:r>
          </w:p>
        </w:tc>
        <w:tc>
          <w:tcPr>
            <w:tcW w:w="1817"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bCs/>
                <w:color w:val="000000"/>
                <w:szCs w:val="21"/>
              </w:rPr>
              <w:t>公允价值</w:t>
            </w:r>
          </w:p>
        </w:tc>
        <w:tc>
          <w:tcPr>
            <w:tcW w:w="1873"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占基金资产净值比例（％）</w:t>
            </w:r>
          </w:p>
        </w:tc>
      </w:tr>
      <w:tr w:rsidR="00854133">
        <w:trPr>
          <w:jc w:val="center"/>
        </w:trPr>
        <w:tc>
          <w:tcPr>
            <w:tcW w:w="1012" w:type="dxa"/>
            <w:vAlign w:val="center"/>
          </w:tcPr>
          <w:p w:rsidR="00854133" w:rsidRDefault="00581AA4">
            <w:pPr>
              <w:jc w:val="center"/>
            </w:pPr>
            <w:r>
              <w:rPr>
                <w:rFonts w:eastAsiaTheme="minorEastAsia"/>
                <w:color w:val="000000"/>
                <w:szCs w:val="21"/>
              </w:rPr>
              <w:t>1</w:t>
            </w:r>
          </w:p>
        </w:tc>
        <w:tc>
          <w:tcPr>
            <w:tcW w:w="1454" w:type="dxa"/>
            <w:vAlign w:val="center"/>
          </w:tcPr>
          <w:p w:rsidR="00854133" w:rsidRDefault="00581AA4">
            <w:pPr>
              <w:jc w:val="center"/>
            </w:pPr>
            <w:r>
              <w:rPr>
                <w:rFonts w:eastAsiaTheme="minorEastAsia"/>
                <w:color w:val="000000"/>
                <w:szCs w:val="21"/>
              </w:rPr>
              <w:t>180203</w:t>
            </w:r>
          </w:p>
        </w:tc>
        <w:tc>
          <w:tcPr>
            <w:tcW w:w="1272" w:type="dxa"/>
            <w:vAlign w:val="center"/>
          </w:tcPr>
          <w:p w:rsidR="00854133" w:rsidRDefault="00581AA4">
            <w:pPr>
              <w:jc w:val="center"/>
            </w:pPr>
            <w:r>
              <w:rPr>
                <w:rFonts w:eastAsiaTheme="minorEastAsia"/>
                <w:color w:val="000000"/>
                <w:szCs w:val="21"/>
              </w:rPr>
              <w:t>18</w:t>
            </w:r>
            <w:r>
              <w:rPr>
                <w:rFonts w:eastAsiaTheme="minorEastAsia"/>
                <w:color w:val="000000"/>
                <w:szCs w:val="21"/>
              </w:rPr>
              <w:t>国开</w:t>
            </w:r>
            <w:r>
              <w:rPr>
                <w:rFonts w:eastAsiaTheme="minorEastAsia"/>
                <w:color w:val="000000"/>
                <w:szCs w:val="21"/>
              </w:rPr>
              <w:t>03</w:t>
            </w:r>
          </w:p>
        </w:tc>
        <w:tc>
          <w:tcPr>
            <w:tcW w:w="2031" w:type="dxa"/>
            <w:vAlign w:val="center"/>
          </w:tcPr>
          <w:p w:rsidR="00854133" w:rsidRDefault="00581AA4">
            <w:pPr>
              <w:jc w:val="center"/>
            </w:pPr>
            <w:r>
              <w:rPr>
                <w:rFonts w:eastAsiaTheme="minorEastAsia"/>
                <w:color w:val="000000"/>
                <w:szCs w:val="21"/>
              </w:rPr>
              <w:t>100,000</w:t>
            </w:r>
          </w:p>
        </w:tc>
        <w:tc>
          <w:tcPr>
            <w:tcW w:w="1817" w:type="dxa"/>
            <w:vAlign w:val="center"/>
          </w:tcPr>
          <w:p w:rsidR="00854133" w:rsidRDefault="00581AA4">
            <w:pPr>
              <w:jc w:val="center"/>
            </w:pPr>
            <w:r>
              <w:rPr>
                <w:rFonts w:eastAsiaTheme="minorEastAsia"/>
                <w:color w:val="000000"/>
                <w:szCs w:val="21"/>
              </w:rPr>
              <w:t>10,164,000.00</w:t>
            </w:r>
          </w:p>
        </w:tc>
        <w:tc>
          <w:tcPr>
            <w:tcW w:w="1873" w:type="dxa"/>
            <w:vAlign w:val="center"/>
          </w:tcPr>
          <w:p w:rsidR="00854133" w:rsidRDefault="00581AA4">
            <w:pPr>
              <w:jc w:val="center"/>
            </w:pPr>
            <w:r>
              <w:rPr>
                <w:rFonts w:eastAsiaTheme="minorEastAsia"/>
                <w:color w:val="000000"/>
                <w:szCs w:val="21"/>
              </w:rPr>
              <w:t>3.39</w:t>
            </w:r>
          </w:p>
        </w:tc>
      </w:tr>
      <w:tr w:rsidR="00854133">
        <w:trPr>
          <w:jc w:val="center"/>
        </w:trPr>
        <w:tc>
          <w:tcPr>
            <w:tcW w:w="1012" w:type="dxa"/>
            <w:vAlign w:val="center"/>
          </w:tcPr>
          <w:p w:rsidR="00854133" w:rsidRDefault="00581AA4">
            <w:pPr>
              <w:jc w:val="center"/>
            </w:pPr>
            <w:r>
              <w:rPr>
                <w:rFonts w:eastAsiaTheme="minorEastAsia"/>
                <w:color w:val="000000"/>
                <w:szCs w:val="21"/>
              </w:rPr>
              <w:t>2</w:t>
            </w:r>
          </w:p>
        </w:tc>
        <w:tc>
          <w:tcPr>
            <w:tcW w:w="1454" w:type="dxa"/>
            <w:vAlign w:val="center"/>
          </w:tcPr>
          <w:p w:rsidR="00854133" w:rsidRDefault="00581AA4">
            <w:pPr>
              <w:jc w:val="center"/>
            </w:pPr>
            <w:r>
              <w:rPr>
                <w:rFonts w:eastAsiaTheme="minorEastAsia"/>
                <w:color w:val="000000"/>
                <w:szCs w:val="21"/>
              </w:rPr>
              <w:t>160206</w:t>
            </w:r>
          </w:p>
        </w:tc>
        <w:tc>
          <w:tcPr>
            <w:tcW w:w="1272" w:type="dxa"/>
            <w:vAlign w:val="center"/>
          </w:tcPr>
          <w:p w:rsidR="00854133" w:rsidRDefault="00581AA4">
            <w:pPr>
              <w:jc w:val="center"/>
            </w:pPr>
            <w:r>
              <w:rPr>
                <w:rFonts w:eastAsiaTheme="minorEastAsia"/>
                <w:color w:val="000000"/>
                <w:szCs w:val="21"/>
              </w:rPr>
              <w:t>16</w:t>
            </w:r>
            <w:r>
              <w:rPr>
                <w:rFonts w:eastAsiaTheme="minorEastAsia"/>
                <w:color w:val="000000"/>
                <w:szCs w:val="21"/>
              </w:rPr>
              <w:t>国开</w:t>
            </w:r>
            <w:r>
              <w:rPr>
                <w:rFonts w:eastAsiaTheme="minorEastAsia"/>
                <w:color w:val="000000"/>
                <w:szCs w:val="21"/>
              </w:rPr>
              <w:t>06</w:t>
            </w:r>
          </w:p>
        </w:tc>
        <w:tc>
          <w:tcPr>
            <w:tcW w:w="2031" w:type="dxa"/>
            <w:vAlign w:val="center"/>
          </w:tcPr>
          <w:p w:rsidR="00854133" w:rsidRDefault="00581AA4">
            <w:pPr>
              <w:jc w:val="center"/>
            </w:pPr>
            <w:r>
              <w:rPr>
                <w:rFonts w:eastAsiaTheme="minorEastAsia"/>
                <w:color w:val="000000"/>
                <w:szCs w:val="21"/>
              </w:rPr>
              <w:t>100,000</w:t>
            </w:r>
          </w:p>
        </w:tc>
        <w:tc>
          <w:tcPr>
            <w:tcW w:w="1817" w:type="dxa"/>
            <w:vAlign w:val="center"/>
          </w:tcPr>
          <w:p w:rsidR="00854133" w:rsidRDefault="00581AA4">
            <w:pPr>
              <w:jc w:val="center"/>
            </w:pPr>
            <w:r>
              <w:rPr>
                <w:rFonts w:eastAsiaTheme="minorEastAsia"/>
                <w:color w:val="000000"/>
                <w:szCs w:val="21"/>
              </w:rPr>
              <w:t>10,049,000.00</w:t>
            </w:r>
          </w:p>
        </w:tc>
        <w:tc>
          <w:tcPr>
            <w:tcW w:w="1873" w:type="dxa"/>
            <w:vAlign w:val="center"/>
          </w:tcPr>
          <w:p w:rsidR="00854133" w:rsidRDefault="00581AA4">
            <w:pPr>
              <w:jc w:val="center"/>
            </w:pPr>
            <w:r>
              <w:rPr>
                <w:rFonts w:eastAsiaTheme="minorEastAsia"/>
                <w:color w:val="000000"/>
                <w:szCs w:val="21"/>
              </w:rPr>
              <w:t>3.35</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51" w:name="_Toc224618383"/>
      <w:bookmarkStart w:id="252" w:name="_Toc248233030"/>
      <w:bookmarkStart w:id="253" w:name="_Toc249790562"/>
      <w:bookmarkStart w:id="254" w:name="_Toc286929763"/>
      <w:bookmarkStart w:id="255" w:name="_Toc352256002"/>
      <w:bookmarkStart w:id="256" w:name="_Toc352256070"/>
      <w:bookmarkStart w:id="257" w:name="_Toc352331248"/>
      <w:bookmarkStart w:id="258" w:name="_Toc390164830"/>
      <w:bookmarkStart w:id="259" w:name="_Toc48663434"/>
      <w:r w:rsidRPr="0087359D">
        <w:rPr>
          <w:rFonts w:ascii="宋体" w:hAnsi="宋体"/>
          <w:kern w:val="0"/>
          <w:sz w:val="21"/>
          <w:szCs w:val="21"/>
        </w:rPr>
        <w:t>7.8</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期末按公允价值占基金资产净值比例大小排名的所有资产支持证券投资明细</w:t>
      </w:r>
      <w:bookmarkEnd w:id="251"/>
      <w:bookmarkEnd w:id="252"/>
      <w:bookmarkEnd w:id="253"/>
      <w:bookmarkEnd w:id="254"/>
      <w:bookmarkEnd w:id="255"/>
      <w:bookmarkEnd w:id="256"/>
      <w:bookmarkEnd w:id="257"/>
      <w:bookmarkEnd w:id="258"/>
      <w:bookmarkEnd w:id="259"/>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本基金本报告期末未持有资产支持证券。</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60" w:name="_Toc224618384"/>
      <w:bookmarkStart w:id="261" w:name="_Toc248233031"/>
      <w:bookmarkStart w:id="262" w:name="_Toc249790563"/>
      <w:bookmarkStart w:id="263" w:name="_Toc286929764"/>
      <w:bookmarkStart w:id="264" w:name="_Toc352256003"/>
      <w:bookmarkStart w:id="265" w:name="_Toc352256071"/>
      <w:bookmarkStart w:id="266" w:name="_Toc352331249"/>
      <w:bookmarkStart w:id="267" w:name="_Toc390164831"/>
      <w:bookmarkStart w:id="268" w:name="_Toc48663435"/>
      <w:r w:rsidRPr="0087359D">
        <w:rPr>
          <w:rFonts w:ascii="宋体" w:hAnsi="宋体"/>
          <w:kern w:val="0"/>
          <w:sz w:val="21"/>
          <w:szCs w:val="21"/>
        </w:rPr>
        <w:t>7.9</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期末按公允价值占基金资产净值比例大小排名的前五名金融衍生品投资明细</w:t>
      </w:r>
      <w:bookmarkEnd w:id="260"/>
      <w:bookmarkEnd w:id="261"/>
      <w:bookmarkEnd w:id="262"/>
      <w:bookmarkEnd w:id="263"/>
      <w:bookmarkEnd w:id="264"/>
      <w:bookmarkEnd w:id="265"/>
      <w:bookmarkEnd w:id="266"/>
      <w:bookmarkEnd w:id="267"/>
      <w:bookmarkEnd w:id="268"/>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本基金本报告期末未持有金融衍生品。</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69" w:name="_Toc248233032"/>
      <w:bookmarkStart w:id="270" w:name="_Toc249790564"/>
      <w:bookmarkStart w:id="271" w:name="_Toc286929765"/>
      <w:bookmarkStart w:id="272" w:name="_Toc352256004"/>
      <w:bookmarkStart w:id="273" w:name="_Toc352256072"/>
      <w:bookmarkStart w:id="274" w:name="_Toc352331250"/>
      <w:bookmarkStart w:id="275" w:name="_Toc390164832"/>
      <w:bookmarkStart w:id="276" w:name="_Toc48663436"/>
      <w:r w:rsidRPr="0087359D">
        <w:rPr>
          <w:rFonts w:ascii="宋体" w:hAnsi="宋体"/>
          <w:kern w:val="0"/>
          <w:sz w:val="21"/>
          <w:szCs w:val="21"/>
        </w:rPr>
        <w:t>7.10</w:t>
      </w:r>
      <w:bookmarkStart w:id="277" w:name="_Toc224618385"/>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期末按公允价值占基金资产净值比例大小排序的前十名基金投资明细</w:t>
      </w:r>
      <w:bookmarkEnd w:id="269"/>
      <w:bookmarkEnd w:id="270"/>
      <w:bookmarkEnd w:id="271"/>
      <w:bookmarkEnd w:id="272"/>
      <w:bookmarkEnd w:id="273"/>
      <w:bookmarkEnd w:id="274"/>
      <w:bookmarkEnd w:id="275"/>
      <w:bookmarkEnd w:id="277"/>
      <w:bookmarkEnd w:id="276"/>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9"/>
        <w:gridCol w:w="1214"/>
        <w:gridCol w:w="1250"/>
        <w:gridCol w:w="870"/>
        <w:gridCol w:w="1428"/>
        <w:gridCol w:w="1963"/>
        <w:gridCol w:w="1702"/>
      </w:tblGrid>
      <w:tr w:rsidR="008A5A5D" w:rsidRPr="00C24ACA" w:rsidTr="00B73AA7">
        <w:trPr>
          <w:jc w:val="center"/>
        </w:trPr>
        <w:tc>
          <w:tcPr>
            <w:tcW w:w="929"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序号</w:t>
            </w:r>
          </w:p>
        </w:tc>
        <w:tc>
          <w:tcPr>
            <w:tcW w:w="1214"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基金</w:t>
            </w:r>
          </w:p>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名称</w:t>
            </w:r>
          </w:p>
        </w:tc>
        <w:tc>
          <w:tcPr>
            <w:tcW w:w="1250"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基金</w:t>
            </w:r>
          </w:p>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类型</w:t>
            </w:r>
          </w:p>
        </w:tc>
        <w:tc>
          <w:tcPr>
            <w:tcW w:w="870"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运作</w:t>
            </w:r>
          </w:p>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方式</w:t>
            </w:r>
          </w:p>
        </w:tc>
        <w:tc>
          <w:tcPr>
            <w:tcW w:w="1428"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管理人</w:t>
            </w:r>
          </w:p>
        </w:tc>
        <w:tc>
          <w:tcPr>
            <w:tcW w:w="1963"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公允价值</w:t>
            </w:r>
          </w:p>
        </w:tc>
        <w:tc>
          <w:tcPr>
            <w:tcW w:w="1702"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占基金资产净值比例</w:t>
            </w:r>
            <w:r w:rsidRPr="00C24ACA">
              <w:rPr>
                <w:rFonts w:eastAsiaTheme="minorEastAsia"/>
                <w:color w:val="000000"/>
                <w:szCs w:val="21"/>
              </w:rPr>
              <w:t>(%)</w:t>
            </w:r>
          </w:p>
        </w:tc>
      </w:tr>
      <w:tr w:rsidR="00854133">
        <w:trPr>
          <w:jc w:val="center"/>
        </w:trPr>
        <w:tc>
          <w:tcPr>
            <w:tcW w:w="929" w:type="dxa"/>
            <w:vAlign w:val="center"/>
          </w:tcPr>
          <w:p w:rsidR="00854133" w:rsidRDefault="00581AA4">
            <w:pPr>
              <w:jc w:val="center"/>
            </w:pPr>
            <w:r>
              <w:rPr>
                <w:rFonts w:eastAsiaTheme="minorEastAsia"/>
                <w:color w:val="000000"/>
                <w:szCs w:val="21"/>
              </w:rPr>
              <w:t>1</w:t>
            </w:r>
          </w:p>
        </w:tc>
        <w:tc>
          <w:tcPr>
            <w:tcW w:w="1214" w:type="dxa"/>
            <w:vAlign w:val="center"/>
          </w:tcPr>
          <w:p w:rsidR="00854133" w:rsidRDefault="00581AA4">
            <w:pPr>
              <w:jc w:val="center"/>
            </w:pPr>
            <w:r>
              <w:rPr>
                <w:rFonts w:eastAsiaTheme="minorEastAsia"/>
                <w:color w:val="000000"/>
                <w:szCs w:val="21"/>
              </w:rPr>
              <w:t>SPDR Gold MiniShares Trust</w:t>
            </w:r>
          </w:p>
        </w:tc>
        <w:tc>
          <w:tcPr>
            <w:tcW w:w="1250" w:type="dxa"/>
            <w:vAlign w:val="center"/>
          </w:tcPr>
          <w:p w:rsidR="00854133" w:rsidRDefault="00581AA4">
            <w:pPr>
              <w:jc w:val="center"/>
            </w:pPr>
            <w:r>
              <w:rPr>
                <w:rFonts w:eastAsiaTheme="minorEastAsia"/>
                <w:color w:val="000000"/>
                <w:szCs w:val="21"/>
              </w:rPr>
              <w:t>ETF</w:t>
            </w:r>
          </w:p>
        </w:tc>
        <w:tc>
          <w:tcPr>
            <w:tcW w:w="870" w:type="dxa"/>
            <w:vAlign w:val="center"/>
          </w:tcPr>
          <w:p w:rsidR="00854133" w:rsidRDefault="00581AA4">
            <w:pPr>
              <w:jc w:val="center"/>
            </w:pPr>
            <w:r>
              <w:rPr>
                <w:rFonts w:eastAsiaTheme="minorEastAsia"/>
                <w:color w:val="000000"/>
                <w:szCs w:val="21"/>
              </w:rPr>
              <w:t>开放式</w:t>
            </w:r>
          </w:p>
        </w:tc>
        <w:tc>
          <w:tcPr>
            <w:tcW w:w="1428" w:type="dxa"/>
            <w:vAlign w:val="center"/>
          </w:tcPr>
          <w:p w:rsidR="00854133" w:rsidRDefault="00581AA4">
            <w:pPr>
              <w:jc w:val="center"/>
            </w:pPr>
            <w:r>
              <w:rPr>
                <w:rFonts w:eastAsiaTheme="minorEastAsia"/>
                <w:color w:val="000000"/>
                <w:szCs w:val="21"/>
              </w:rPr>
              <w:t>World Gold Trust Services LLC</w:t>
            </w:r>
          </w:p>
        </w:tc>
        <w:tc>
          <w:tcPr>
            <w:tcW w:w="1963" w:type="dxa"/>
            <w:vAlign w:val="center"/>
          </w:tcPr>
          <w:p w:rsidR="00854133" w:rsidRDefault="00581AA4">
            <w:pPr>
              <w:jc w:val="right"/>
            </w:pPr>
            <w:r>
              <w:rPr>
                <w:rFonts w:eastAsiaTheme="minorEastAsia"/>
                <w:color w:val="000000"/>
                <w:szCs w:val="21"/>
              </w:rPr>
              <w:t>59,377,905.08</w:t>
            </w:r>
          </w:p>
        </w:tc>
        <w:tc>
          <w:tcPr>
            <w:tcW w:w="1702" w:type="dxa"/>
            <w:vAlign w:val="center"/>
          </w:tcPr>
          <w:p w:rsidR="00854133" w:rsidRDefault="00581AA4">
            <w:pPr>
              <w:jc w:val="right"/>
            </w:pPr>
            <w:r>
              <w:rPr>
                <w:rFonts w:eastAsiaTheme="minorEastAsia"/>
                <w:color w:val="000000"/>
                <w:szCs w:val="21"/>
              </w:rPr>
              <w:t>19.81</w:t>
            </w:r>
          </w:p>
        </w:tc>
      </w:tr>
      <w:tr w:rsidR="00854133">
        <w:trPr>
          <w:jc w:val="center"/>
        </w:trPr>
        <w:tc>
          <w:tcPr>
            <w:tcW w:w="929" w:type="dxa"/>
            <w:vAlign w:val="center"/>
          </w:tcPr>
          <w:p w:rsidR="00854133" w:rsidRDefault="00581AA4">
            <w:pPr>
              <w:jc w:val="center"/>
            </w:pPr>
            <w:r>
              <w:rPr>
                <w:rFonts w:eastAsiaTheme="minorEastAsia"/>
                <w:color w:val="000000"/>
                <w:szCs w:val="21"/>
              </w:rPr>
              <w:t>2</w:t>
            </w:r>
          </w:p>
        </w:tc>
        <w:tc>
          <w:tcPr>
            <w:tcW w:w="1214" w:type="dxa"/>
            <w:vAlign w:val="center"/>
          </w:tcPr>
          <w:p w:rsidR="00854133" w:rsidRDefault="00581AA4">
            <w:pPr>
              <w:jc w:val="center"/>
            </w:pPr>
            <w:r>
              <w:rPr>
                <w:rFonts w:eastAsiaTheme="minorEastAsia"/>
                <w:color w:val="000000"/>
                <w:szCs w:val="21"/>
              </w:rPr>
              <w:t>iShares MSCI Global Gold Miners ETF</w:t>
            </w:r>
          </w:p>
        </w:tc>
        <w:tc>
          <w:tcPr>
            <w:tcW w:w="1250" w:type="dxa"/>
            <w:vAlign w:val="center"/>
          </w:tcPr>
          <w:p w:rsidR="00854133" w:rsidRDefault="00581AA4">
            <w:pPr>
              <w:jc w:val="center"/>
            </w:pPr>
            <w:r>
              <w:rPr>
                <w:rFonts w:eastAsiaTheme="minorEastAsia"/>
                <w:color w:val="000000"/>
                <w:szCs w:val="21"/>
              </w:rPr>
              <w:t>ETF</w:t>
            </w:r>
          </w:p>
        </w:tc>
        <w:tc>
          <w:tcPr>
            <w:tcW w:w="870" w:type="dxa"/>
            <w:vAlign w:val="center"/>
          </w:tcPr>
          <w:p w:rsidR="00854133" w:rsidRDefault="00581AA4">
            <w:pPr>
              <w:jc w:val="center"/>
            </w:pPr>
            <w:r>
              <w:rPr>
                <w:rFonts w:eastAsiaTheme="minorEastAsia"/>
                <w:color w:val="000000"/>
                <w:szCs w:val="21"/>
              </w:rPr>
              <w:t>开放式</w:t>
            </w:r>
          </w:p>
        </w:tc>
        <w:tc>
          <w:tcPr>
            <w:tcW w:w="1428" w:type="dxa"/>
            <w:vAlign w:val="center"/>
          </w:tcPr>
          <w:p w:rsidR="00854133" w:rsidRDefault="00581AA4">
            <w:pPr>
              <w:jc w:val="center"/>
            </w:pPr>
            <w:r>
              <w:rPr>
                <w:rFonts w:eastAsiaTheme="minorEastAsia"/>
                <w:color w:val="000000"/>
                <w:szCs w:val="21"/>
              </w:rPr>
              <w:t>BlackRock Fund Advisors</w:t>
            </w:r>
          </w:p>
        </w:tc>
        <w:tc>
          <w:tcPr>
            <w:tcW w:w="1963" w:type="dxa"/>
            <w:vAlign w:val="center"/>
          </w:tcPr>
          <w:p w:rsidR="00854133" w:rsidRDefault="00581AA4">
            <w:pPr>
              <w:jc w:val="right"/>
            </w:pPr>
            <w:r>
              <w:rPr>
                <w:rFonts w:eastAsiaTheme="minorEastAsia"/>
                <w:color w:val="000000"/>
                <w:szCs w:val="21"/>
              </w:rPr>
              <w:t>49,327,716.05</w:t>
            </w:r>
          </w:p>
        </w:tc>
        <w:tc>
          <w:tcPr>
            <w:tcW w:w="1702" w:type="dxa"/>
            <w:vAlign w:val="center"/>
          </w:tcPr>
          <w:p w:rsidR="00854133" w:rsidRDefault="00581AA4">
            <w:pPr>
              <w:jc w:val="right"/>
            </w:pPr>
            <w:r>
              <w:rPr>
                <w:rFonts w:eastAsiaTheme="minorEastAsia"/>
                <w:color w:val="000000"/>
                <w:szCs w:val="21"/>
              </w:rPr>
              <w:t>16.45</w:t>
            </w:r>
          </w:p>
        </w:tc>
      </w:tr>
      <w:tr w:rsidR="00854133">
        <w:trPr>
          <w:jc w:val="center"/>
        </w:trPr>
        <w:tc>
          <w:tcPr>
            <w:tcW w:w="929" w:type="dxa"/>
            <w:vAlign w:val="center"/>
          </w:tcPr>
          <w:p w:rsidR="00854133" w:rsidRDefault="00581AA4">
            <w:pPr>
              <w:jc w:val="center"/>
            </w:pPr>
            <w:r>
              <w:rPr>
                <w:rFonts w:eastAsiaTheme="minorEastAsia"/>
                <w:color w:val="000000"/>
                <w:szCs w:val="21"/>
              </w:rPr>
              <w:t>3</w:t>
            </w:r>
          </w:p>
        </w:tc>
        <w:tc>
          <w:tcPr>
            <w:tcW w:w="1214" w:type="dxa"/>
            <w:vAlign w:val="center"/>
          </w:tcPr>
          <w:p w:rsidR="00854133" w:rsidRDefault="00581AA4">
            <w:pPr>
              <w:jc w:val="center"/>
            </w:pPr>
            <w:r>
              <w:rPr>
                <w:rFonts w:eastAsiaTheme="minorEastAsia"/>
                <w:color w:val="000000"/>
                <w:szCs w:val="21"/>
              </w:rPr>
              <w:t>SPDR Gold Shares</w:t>
            </w:r>
          </w:p>
        </w:tc>
        <w:tc>
          <w:tcPr>
            <w:tcW w:w="1250" w:type="dxa"/>
            <w:vAlign w:val="center"/>
          </w:tcPr>
          <w:p w:rsidR="00854133" w:rsidRDefault="00581AA4">
            <w:pPr>
              <w:jc w:val="center"/>
            </w:pPr>
            <w:r>
              <w:rPr>
                <w:rFonts w:eastAsiaTheme="minorEastAsia"/>
                <w:color w:val="000000"/>
                <w:szCs w:val="21"/>
              </w:rPr>
              <w:t>ETF</w:t>
            </w:r>
          </w:p>
        </w:tc>
        <w:tc>
          <w:tcPr>
            <w:tcW w:w="870" w:type="dxa"/>
            <w:vAlign w:val="center"/>
          </w:tcPr>
          <w:p w:rsidR="00854133" w:rsidRDefault="00581AA4">
            <w:pPr>
              <w:jc w:val="center"/>
            </w:pPr>
            <w:r>
              <w:rPr>
                <w:rFonts w:eastAsiaTheme="minorEastAsia"/>
                <w:color w:val="000000"/>
                <w:szCs w:val="21"/>
              </w:rPr>
              <w:t>开放式</w:t>
            </w:r>
          </w:p>
        </w:tc>
        <w:tc>
          <w:tcPr>
            <w:tcW w:w="1428" w:type="dxa"/>
            <w:vAlign w:val="center"/>
          </w:tcPr>
          <w:p w:rsidR="00854133" w:rsidRDefault="00581AA4">
            <w:pPr>
              <w:jc w:val="center"/>
            </w:pPr>
            <w:r>
              <w:rPr>
                <w:rFonts w:eastAsiaTheme="minorEastAsia"/>
                <w:color w:val="000000"/>
                <w:szCs w:val="21"/>
              </w:rPr>
              <w:t>World Gold Trust Services LLC</w:t>
            </w:r>
          </w:p>
        </w:tc>
        <w:tc>
          <w:tcPr>
            <w:tcW w:w="1963" w:type="dxa"/>
            <w:vAlign w:val="center"/>
          </w:tcPr>
          <w:p w:rsidR="00854133" w:rsidRDefault="00581AA4">
            <w:pPr>
              <w:jc w:val="right"/>
            </w:pPr>
            <w:r>
              <w:rPr>
                <w:rFonts w:eastAsiaTheme="minorEastAsia"/>
                <w:color w:val="000000"/>
                <w:szCs w:val="21"/>
              </w:rPr>
              <w:t>39,757,997.53</w:t>
            </w:r>
          </w:p>
        </w:tc>
        <w:tc>
          <w:tcPr>
            <w:tcW w:w="1702" w:type="dxa"/>
            <w:vAlign w:val="center"/>
          </w:tcPr>
          <w:p w:rsidR="00854133" w:rsidRDefault="00581AA4">
            <w:pPr>
              <w:jc w:val="right"/>
            </w:pPr>
            <w:r>
              <w:rPr>
                <w:rFonts w:eastAsiaTheme="minorEastAsia"/>
                <w:color w:val="000000"/>
                <w:szCs w:val="21"/>
              </w:rPr>
              <w:t>13.26</w:t>
            </w:r>
          </w:p>
        </w:tc>
      </w:tr>
      <w:tr w:rsidR="00854133">
        <w:trPr>
          <w:jc w:val="center"/>
        </w:trPr>
        <w:tc>
          <w:tcPr>
            <w:tcW w:w="929" w:type="dxa"/>
            <w:vAlign w:val="center"/>
          </w:tcPr>
          <w:p w:rsidR="00854133" w:rsidRDefault="00581AA4">
            <w:pPr>
              <w:jc w:val="center"/>
            </w:pPr>
            <w:r>
              <w:rPr>
                <w:rFonts w:eastAsiaTheme="minorEastAsia"/>
                <w:color w:val="000000"/>
                <w:szCs w:val="21"/>
              </w:rPr>
              <w:t>4</w:t>
            </w:r>
          </w:p>
        </w:tc>
        <w:tc>
          <w:tcPr>
            <w:tcW w:w="1214" w:type="dxa"/>
            <w:vAlign w:val="center"/>
          </w:tcPr>
          <w:p w:rsidR="00854133" w:rsidRDefault="00581AA4">
            <w:pPr>
              <w:jc w:val="center"/>
            </w:pPr>
            <w:r>
              <w:rPr>
                <w:rFonts w:eastAsiaTheme="minorEastAsia"/>
                <w:color w:val="000000"/>
                <w:szCs w:val="21"/>
              </w:rPr>
              <w:t>VanEck Vectors Gold Miners ETF</w:t>
            </w:r>
          </w:p>
        </w:tc>
        <w:tc>
          <w:tcPr>
            <w:tcW w:w="1250" w:type="dxa"/>
            <w:vAlign w:val="center"/>
          </w:tcPr>
          <w:p w:rsidR="00854133" w:rsidRDefault="00581AA4">
            <w:pPr>
              <w:jc w:val="center"/>
            </w:pPr>
            <w:r>
              <w:rPr>
                <w:rFonts w:eastAsiaTheme="minorEastAsia"/>
                <w:color w:val="000000"/>
                <w:szCs w:val="21"/>
              </w:rPr>
              <w:t>ETF</w:t>
            </w:r>
          </w:p>
        </w:tc>
        <w:tc>
          <w:tcPr>
            <w:tcW w:w="870" w:type="dxa"/>
            <w:vAlign w:val="center"/>
          </w:tcPr>
          <w:p w:rsidR="00854133" w:rsidRDefault="00581AA4">
            <w:pPr>
              <w:jc w:val="center"/>
            </w:pPr>
            <w:r>
              <w:rPr>
                <w:rFonts w:eastAsiaTheme="minorEastAsia"/>
                <w:color w:val="000000"/>
                <w:szCs w:val="21"/>
              </w:rPr>
              <w:t>开放式</w:t>
            </w:r>
          </w:p>
        </w:tc>
        <w:tc>
          <w:tcPr>
            <w:tcW w:w="1428" w:type="dxa"/>
            <w:vAlign w:val="center"/>
          </w:tcPr>
          <w:p w:rsidR="00854133" w:rsidRDefault="00581AA4">
            <w:pPr>
              <w:jc w:val="center"/>
            </w:pPr>
            <w:r>
              <w:rPr>
                <w:rFonts w:eastAsiaTheme="minorEastAsia"/>
                <w:color w:val="000000"/>
                <w:szCs w:val="21"/>
              </w:rPr>
              <w:t>Van Eck Associates Corp</w:t>
            </w:r>
          </w:p>
        </w:tc>
        <w:tc>
          <w:tcPr>
            <w:tcW w:w="1963" w:type="dxa"/>
            <w:vAlign w:val="center"/>
          </w:tcPr>
          <w:p w:rsidR="00854133" w:rsidRDefault="00581AA4">
            <w:pPr>
              <w:jc w:val="right"/>
            </w:pPr>
            <w:r>
              <w:rPr>
                <w:rFonts w:eastAsiaTheme="minorEastAsia"/>
                <w:color w:val="000000"/>
                <w:szCs w:val="21"/>
              </w:rPr>
              <w:t>27,512,678.56</w:t>
            </w:r>
          </w:p>
        </w:tc>
        <w:tc>
          <w:tcPr>
            <w:tcW w:w="1702" w:type="dxa"/>
            <w:vAlign w:val="center"/>
          </w:tcPr>
          <w:p w:rsidR="00854133" w:rsidRDefault="00581AA4">
            <w:pPr>
              <w:jc w:val="right"/>
            </w:pPr>
            <w:r>
              <w:rPr>
                <w:rFonts w:eastAsiaTheme="minorEastAsia"/>
                <w:color w:val="000000"/>
                <w:szCs w:val="21"/>
              </w:rPr>
              <w:t>9.18</w:t>
            </w:r>
          </w:p>
        </w:tc>
      </w:tr>
      <w:tr w:rsidR="00854133">
        <w:trPr>
          <w:jc w:val="center"/>
        </w:trPr>
        <w:tc>
          <w:tcPr>
            <w:tcW w:w="929" w:type="dxa"/>
            <w:vAlign w:val="center"/>
          </w:tcPr>
          <w:p w:rsidR="00854133" w:rsidRDefault="00581AA4">
            <w:pPr>
              <w:jc w:val="center"/>
            </w:pPr>
            <w:r>
              <w:rPr>
                <w:rFonts w:eastAsiaTheme="minorEastAsia"/>
                <w:color w:val="000000"/>
                <w:szCs w:val="21"/>
              </w:rPr>
              <w:t>5</w:t>
            </w:r>
          </w:p>
        </w:tc>
        <w:tc>
          <w:tcPr>
            <w:tcW w:w="1214" w:type="dxa"/>
            <w:vAlign w:val="center"/>
          </w:tcPr>
          <w:p w:rsidR="00854133" w:rsidRDefault="00581AA4">
            <w:pPr>
              <w:jc w:val="center"/>
            </w:pPr>
            <w:r>
              <w:rPr>
                <w:rFonts w:eastAsiaTheme="minorEastAsia"/>
                <w:color w:val="000000"/>
                <w:szCs w:val="21"/>
              </w:rPr>
              <w:t>Ninety One Global Strategy Fund-Global Gold Fund</w:t>
            </w:r>
          </w:p>
        </w:tc>
        <w:tc>
          <w:tcPr>
            <w:tcW w:w="1250" w:type="dxa"/>
            <w:vAlign w:val="center"/>
          </w:tcPr>
          <w:p w:rsidR="00854133" w:rsidRDefault="00581AA4">
            <w:pPr>
              <w:jc w:val="center"/>
            </w:pPr>
            <w:r>
              <w:rPr>
                <w:rFonts w:eastAsiaTheme="minorEastAsia"/>
                <w:color w:val="000000"/>
                <w:szCs w:val="21"/>
              </w:rPr>
              <w:t>SICAV</w:t>
            </w:r>
          </w:p>
        </w:tc>
        <w:tc>
          <w:tcPr>
            <w:tcW w:w="870" w:type="dxa"/>
            <w:vAlign w:val="center"/>
          </w:tcPr>
          <w:p w:rsidR="00854133" w:rsidRDefault="00581AA4">
            <w:pPr>
              <w:jc w:val="center"/>
            </w:pPr>
            <w:r>
              <w:rPr>
                <w:rFonts w:eastAsiaTheme="minorEastAsia"/>
                <w:color w:val="000000"/>
                <w:szCs w:val="21"/>
              </w:rPr>
              <w:t>开放式</w:t>
            </w:r>
          </w:p>
        </w:tc>
        <w:tc>
          <w:tcPr>
            <w:tcW w:w="1428" w:type="dxa"/>
            <w:vAlign w:val="center"/>
          </w:tcPr>
          <w:p w:rsidR="00854133" w:rsidRDefault="00581AA4">
            <w:pPr>
              <w:jc w:val="center"/>
            </w:pPr>
            <w:r>
              <w:rPr>
                <w:rFonts w:eastAsiaTheme="minorEastAsia"/>
                <w:color w:val="000000"/>
                <w:szCs w:val="21"/>
              </w:rPr>
              <w:t>Ninety One Luxembourg SA</w:t>
            </w:r>
          </w:p>
        </w:tc>
        <w:tc>
          <w:tcPr>
            <w:tcW w:w="1963" w:type="dxa"/>
            <w:vAlign w:val="center"/>
          </w:tcPr>
          <w:p w:rsidR="00854133" w:rsidRDefault="00581AA4">
            <w:pPr>
              <w:jc w:val="right"/>
            </w:pPr>
            <w:r>
              <w:rPr>
                <w:rFonts w:eastAsiaTheme="minorEastAsia"/>
                <w:color w:val="000000"/>
                <w:szCs w:val="21"/>
              </w:rPr>
              <w:t>19,099,640.47</w:t>
            </w:r>
          </w:p>
        </w:tc>
        <w:tc>
          <w:tcPr>
            <w:tcW w:w="1702" w:type="dxa"/>
            <w:vAlign w:val="center"/>
          </w:tcPr>
          <w:p w:rsidR="00854133" w:rsidRDefault="00581AA4">
            <w:pPr>
              <w:jc w:val="right"/>
            </w:pPr>
            <w:r>
              <w:rPr>
                <w:rFonts w:eastAsiaTheme="minorEastAsia"/>
                <w:color w:val="000000"/>
                <w:szCs w:val="21"/>
              </w:rPr>
              <w:t>6.37</w:t>
            </w:r>
          </w:p>
        </w:tc>
      </w:tr>
      <w:tr w:rsidR="00854133">
        <w:trPr>
          <w:jc w:val="center"/>
        </w:trPr>
        <w:tc>
          <w:tcPr>
            <w:tcW w:w="929" w:type="dxa"/>
            <w:vAlign w:val="center"/>
          </w:tcPr>
          <w:p w:rsidR="00854133" w:rsidRDefault="00581AA4">
            <w:pPr>
              <w:jc w:val="center"/>
            </w:pPr>
            <w:r>
              <w:rPr>
                <w:rFonts w:eastAsiaTheme="minorEastAsia"/>
                <w:color w:val="000000"/>
                <w:szCs w:val="21"/>
              </w:rPr>
              <w:t>6</w:t>
            </w:r>
          </w:p>
        </w:tc>
        <w:tc>
          <w:tcPr>
            <w:tcW w:w="1214" w:type="dxa"/>
            <w:vAlign w:val="center"/>
          </w:tcPr>
          <w:p w:rsidR="00854133" w:rsidRDefault="00581AA4">
            <w:pPr>
              <w:jc w:val="center"/>
            </w:pPr>
            <w:r>
              <w:rPr>
                <w:rFonts w:eastAsiaTheme="minorEastAsia"/>
                <w:color w:val="000000"/>
                <w:szCs w:val="21"/>
              </w:rPr>
              <w:t>SCHRODER ISF-GL GOLD-C A USD</w:t>
            </w:r>
          </w:p>
        </w:tc>
        <w:tc>
          <w:tcPr>
            <w:tcW w:w="1250" w:type="dxa"/>
            <w:vAlign w:val="center"/>
          </w:tcPr>
          <w:p w:rsidR="00854133" w:rsidRDefault="00581AA4">
            <w:pPr>
              <w:jc w:val="center"/>
            </w:pPr>
            <w:r>
              <w:rPr>
                <w:rFonts w:eastAsiaTheme="minorEastAsia"/>
                <w:color w:val="000000"/>
                <w:szCs w:val="21"/>
              </w:rPr>
              <w:t>SICAV</w:t>
            </w:r>
          </w:p>
        </w:tc>
        <w:tc>
          <w:tcPr>
            <w:tcW w:w="870" w:type="dxa"/>
            <w:vAlign w:val="center"/>
          </w:tcPr>
          <w:p w:rsidR="00854133" w:rsidRDefault="00581AA4">
            <w:pPr>
              <w:jc w:val="center"/>
            </w:pPr>
            <w:r>
              <w:rPr>
                <w:rFonts w:eastAsiaTheme="minorEastAsia"/>
                <w:color w:val="000000"/>
                <w:szCs w:val="21"/>
              </w:rPr>
              <w:t>开放式</w:t>
            </w:r>
          </w:p>
        </w:tc>
        <w:tc>
          <w:tcPr>
            <w:tcW w:w="1428" w:type="dxa"/>
            <w:vAlign w:val="center"/>
          </w:tcPr>
          <w:p w:rsidR="00854133" w:rsidRDefault="00581AA4">
            <w:pPr>
              <w:jc w:val="center"/>
            </w:pPr>
            <w:r>
              <w:rPr>
                <w:rFonts w:eastAsiaTheme="minorEastAsia"/>
                <w:color w:val="000000"/>
                <w:szCs w:val="21"/>
              </w:rPr>
              <w:t>Schroder Investment Management Europe SA</w:t>
            </w:r>
          </w:p>
        </w:tc>
        <w:tc>
          <w:tcPr>
            <w:tcW w:w="1963" w:type="dxa"/>
            <w:vAlign w:val="center"/>
          </w:tcPr>
          <w:p w:rsidR="00854133" w:rsidRDefault="00581AA4">
            <w:pPr>
              <w:jc w:val="right"/>
            </w:pPr>
            <w:r>
              <w:rPr>
                <w:rFonts w:eastAsiaTheme="minorEastAsia"/>
                <w:color w:val="000000"/>
                <w:szCs w:val="21"/>
              </w:rPr>
              <w:t>13,582,527.36</w:t>
            </w:r>
          </w:p>
        </w:tc>
        <w:tc>
          <w:tcPr>
            <w:tcW w:w="1702" w:type="dxa"/>
            <w:vAlign w:val="center"/>
          </w:tcPr>
          <w:p w:rsidR="00854133" w:rsidRDefault="00581AA4">
            <w:pPr>
              <w:jc w:val="right"/>
            </w:pPr>
            <w:r>
              <w:rPr>
                <w:rFonts w:eastAsiaTheme="minorEastAsia"/>
                <w:color w:val="000000"/>
                <w:szCs w:val="21"/>
              </w:rPr>
              <w:t>4.53</w:t>
            </w:r>
          </w:p>
        </w:tc>
      </w:tr>
      <w:tr w:rsidR="00854133">
        <w:trPr>
          <w:jc w:val="center"/>
        </w:trPr>
        <w:tc>
          <w:tcPr>
            <w:tcW w:w="929" w:type="dxa"/>
            <w:vAlign w:val="center"/>
          </w:tcPr>
          <w:p w:rsidR="00854133" w:rsidRDefault="00581AA4">
            <w:pPr>
              <w:jc w:val="center"/>
            </w:pPr>
            <w:r>
              <w:rPr>
                <w:rFonts w:eastAsiaTheme="minorEastAsia"/>
                <w:color w:val="000000"/>
                <w:szCs w:val="21"/>
              </w:rPr>
              <w:t>7</w:t>
            </w:r>
          </w:p>
        </w:tc>
        <w:tc>
          <w:tcPr>
            <w:tcW w:w="1214" w:type="dxa"/>
            <w:vAlign w:val="center"/>
          </w:tcPr>
          <w:p w:rsidR="00854133" w:rsidRDefault="00581AA4">
            <w:pPr>
              <w:jc w:val="center"/>
            </w:pPr>
            <w:r>
              <w:rPr>
                <w:rFonts w:eastAsiaTheme="minorEastAsia"/>
                <w:color w:val="000000"/>
                <w:szCs w:val="21"/>
              </w:rPr>
              <w:t>iShares Gold Trust</w:t>
            </w:r>
          </w:p>
        </w:tc>
        <w:tc>
          <w:tcPr>
            <w:tcW w:w="1250" w:type="dxa"/>
            <w:vAlign w:val="center"/>
          </w:tcPr>
          <w:p w:rsidR="00854133" w:rsidRDefault="00581AA4">
            <w:pPr>
              <w:jc w:val="center"/>
            </w:pPr>
            <w:r>
              <w:rPr>
                <w:rFonts w:eastAsiaTheme="minorEastAsia"/>
                <w:color w:val="000000"/>
                <w:szCs w:val="21"/>
              </w:rPr>
              <w:t>ETF</w:t>
            </w:r>
          </w:p>
        </w:tc>
        <w:tc>
          <w:tcPr>
            <w:tcW w:w="870" w:type="dxa"/>
            <w:vAlign w:val="center"/>
          </w:tcPr>
          <w:p w:rsidR="00854133" w:rsidRDefault="00581AA4">
            <w:pPr>
              <w:jc w:val="center"/>
            </w:pPr>
            <w:r>
              <w:rPr>
                <w:rFonts w:eastAsiaTheme="minorEastAsia"/>
                <w:color w:val="000000"/>
                <w:szCs w:val="21"/>
              </w:rPr>
              <w:t>开放式</w:t>
            </w:r>
          </w:p>
        </w:tc>
        <w:tc>
          <w:tcPr>
            <w:tcW w:w="1428" w:type="dxa"/>
            <w:vAlign w:val="center"/>
          </w:tcPr>
          <w:p w:rsidR="00854133" w:rsidRDefault="00581AA4">
            <w:pPr>
              <w:jc w:val="center"/>
            </w:pPr>
            <w:r>
              <w:rPr>
                <w:rFonts w:eastAsiaTheme="minorEastAsia"/>
                <w:color w:val="000000"/>
                <w:szCs w:val="21"/>
              </w:rPr>
              <w:t>BlackRock Fund Advisors</w:t>
            </w:r>
          </w:p>
        </w:tc>
        <w:tc>
          <w:tcPr>
            <w:tcW w:w="1963" w:type="dxa"/>
            <w:vAlign w:val="center"/>
          </w:tcPr>
          <w:p w:rsidR="00854133" w:rsidRDefault="00581AA4">
            <w:pPr>
              <w:jc w:val="right"/>
            </w:pPr>
            <w:r>
              <w:rPr>
                <w:rFonts w:eastAsiaTheme="minorEastAsia"/>
                <w:color w:val="000000"/>
                <w:szCs w:val="21"/>
              </w:rPr>
              <w:t>9,734,197.17</w:t>
            </w:r>
          </w:p>
        </w:tc>
        <w:tc>
          <w:tcPr>
            <w:tcW w:w="1702" w:type="dxa"/>
            <w:vAlign w:val="center"/>
          </w:tcPr>
          <w:p w:rsidR="00854133" w:rsidRDefault="00581AA4">
            <w:pPr>
              <w:jc w:val="right"/>
            </w:pPr>
            <w:r>
              <w:rPr>
                <w:rFonts w:eastAsiaTheme="minorEastAsia"/>
                <w:color w:val="000000"/>
                <w:szCs w:val="21"/>
              </w:rPr>
              <w:t>3.25</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78" w:name="_Toc224618386"/>
      <w:bookmarkStart w:id="279" w:name="_Toc248233033"/>
      <w:bookmarkStart w:id="280" w:name="_Toc249790565"/>
      <w:bookmarkStart w:id="281" w:name="_Toc286929766"/>
      <w:bookmarkStart w:id="282" w:name="_Toc352256005"/>
      <w:bookmarkStart w:id="283" w:name="_Toc352256073"/>
      <w:bookmarkStart w:id="284" w:name="_Toc352331251"/>
      <w:bookmarkStart w:id="285" w:name="_Toc390164833"/>
      <w:bookmarkStart w:id="286" w:name="_Toc48663437"/>
      <w:r w:rsidRPr="0087359D">
        <w:rPr>
          <w:rFonts w:ascii="宋体" w:hAnsi="宋体"/>
          <w:kern w:val="0"/>
          <w:sz w:val="21"/>
          <w:szCs w:val="21"/>
        </w:rPr>
        <w:t>7.11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投资组合报告附注</w:t>
      </w:r>
      <w:bookmarkEnd w:id="278"/>
      <w:bookmarkEnd w:id="279"/>
      <w:bookmarkEnd w:id="280"/>
      <w:bookmarkEnd w:id="281"/>
      <w:bookmarkEnd w:id="282"/>
      <w:bookmarkEnd w:id="283"/>
      <w:bookmarkEnd w:id="284"/>
      <w:bookmarkEnd w:id="285"/>
      <w:bookmarkEnd w:id="286"/>
    </w:p>
    <w:p w:rsidR="008A5A5D" w:rsidRPr="00C24ACA" w:rsidRDefault="008A5A5D" w:rsidP="006313B1">
      <w:pPr>
        <w:spacing w:line="360" w:lineRule="auto"/>
        <w:rPr>
          <w:rFonts w:eastAsiaTheme="minorEastAsia"/>
          <w:kern w:val="0"/>
          <w:szCs w:val="21"/>
        </w:rPr>
      </w:pPr>
      <w:r w:rsidRPr="00C24ACA">
        <w:rPr>
          <w:rFonts w:eastAsiaTheme="minorEastAsia"/>
          <w:b/>
          <w:color w:val="000000"/>
          <w:szCs w:val="21"/>
        </w:rPr>
        <w:t>7.11.1</w:t>
      </w:r>
      <w:r w:rsidR="00ED31E5" w:rsidRPr="00C24ACA">
        <w:rPr>
          <w:rFonts w:eastAsiaTheme="minorEastAsia"/>
          <w:kern w:val="0"/>
          <w:szCs w:val="21"/>
        </w:rPr>
        <w:t xml:space="preserve"> </w:t>
      </w:r>
      <w:r w:rsidRPr="00C24ACA">
        <w:rPr>
          <w:rFonts w:eastAsiaTheme="minorEastAsia"/>
          <w:kern w:val="0"/>
          <w:szCs w:val="21"/>
        </w:rPr>
        <w:t>本基金投资的前十名证券的发行主体本期没有出现被监管部门立案调查，或在报告编制日前一年内受到公开谴责、处罚的情形。</w:t>
      </w:r>
    </w:p>
    <w:p w:rsidR="008A5A5D" w:rsidRPr="00C24ACA" w:rsidRDefault="008A5A5D" w:rsidP="00732F5C">
      <w:pPr>
        <w:spacing w:beforeLines="100" w:before="312" w:line="360" w:lineRule="auto"/>
        <w:rPr>
          <w:rFonts w:eastAsiaTheme="minorEastAsia"/>
          <w:kern w:val="0"/>
          <w:szCs w:val="21"/>
        </w:rPr>
      </w:pPr>
      <w:r w:rsidRPr="00C24ACA">
        <w:rPr>
          <w:rFonts w:eastAsiaTheme="minorEastAsia"/>
          <w:b/>
          <w:color w:val="000000"/>
          <w:szCs w:val="21"/>
        </w:rPr>
        <w:t>7.11.2</w:t>
      </w:r>
      <w:r w:rsidRPr="00C24ACA">
        <w:rPr>
          <w:rFonts w:eastAsiaTheme="minorEastAsia"/>
          <w:kern w:val="0"/>
          <w:szCs w:val="21"/>
        </w:rPr>
        <w:t xml:space="preserve"> </w:t>
      </w:r>
      <w:r w:rsidRPr="00C24ACA">
        <w:rPr>
          <w:rFonts w:eastAsiaTheme="minorEastAsia"/>
          <w:kern w:val="0"/>
          <w:szCs w:val="21"/>
        </w:rPr>
        <w:t>本基金投资的前十名股票没有超出基金合同规定的备选股票库。</w:t>
      </w:r>
    </w:p>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color w:val="000000"/>
          <w:szCs w:val="21"/>
        </w:rPr>
        <w:t>7.11.3</w:t>
      </w:r>
      <w:r w:rsidR="004E34BB" w:rsidRPr="00C24ACA">
        <w:rPr>
          <w:rFonts w:eastAsiaTheme="minorEastAsia"/>
          <w:b/>
          <w:szCs w:val="21"/>
        </w:rPr>
        <w:t>期末其他各项资产构成</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20"/>
        <w:gridCol w:w="4431"/>
        <w:gridCol w:w="4105"/>
      </w:tblGrid>
      <w:tr w:rsidR="008A5A5D" w:rsidRPr="00C24ACA" w:rsidTr="00B73AA7">
        <w:trPr>
          <w:trHeight w:val="285"/>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序号</w:t>
            </w:r>
          </w:p>
        </w:tc>
        <w:tc>
          <w:tcPr>
            <w:tcW w:w="4431"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名称</w:t>
            </w:r>
          </w:p>
        </w:tc>
        <w:tc>
          <w:tcPr>
            <w:tcW w:w="4105"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金额</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1</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存出保证金</w:t>
            </w:r>
          </w:p>
        </w:tc>
        <w:tc>
          <w:tcPr>
            <w:tcW w:w="4105" w:type="dxa"/>
            <w:tcMar>
              <w:top w:w="15" w:type="dxa"/>
              <w:left w:w="15" w:type="dxa"/>
              <w:bottom w:w="0" w:type="dxa"/>
              <w:right w:w="15" w:type="dxa"/>
            </w:tcMar>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2</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应收证券清算款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3</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应收股利</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4</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应收利息</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254,355.99</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5</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应收申购款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376,752.40</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6</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其他应收款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7</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待摊费用</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E87EC9" w:rsidRPr="00C24ACA" w:rsidTr="00B73AA7">
        <w:trPr>
          <w:trHeight w:val="312"/>
          <w:jc w:val="center"/>
        </w:trPr>
        <w:tc>
          <w:tcPr>
            <w:tcW w:w="820" w:type="dxa"/>
            <w:vAlign w:val="center"/>
          </w:tcPr>
          <w:p w:rsidR="00E87EC9" w:rsidRPr="00C24ACA" w:rsidRDefault="00E87EC9" w:rsidP="007C6EA8">
            <w:pPr>
              <w:jc w:val="center"/>
              <w:rPr>
                <w:rFonts w:eastAsiaTheme="minorEastAsia"/>
                <w:color w:val="000000"/>
                <w:szCs w:val="21"/>
              </w:rPr>
            </w:pPr>
            <w:r w:rsidRPr="00C24ACA">
              <w:rPr>
                <w:rFonts w:eastAsiaTheme="minorEastAsia"/>
                <w:color w:val="000000"/>
                <w:szCs w:val="21"/>
              </w:rPr>
              <w:t>8</w:t>
            </w:r>
          </w:p>
        </w:tc>
        <w:tc>
          <w:tcPr>
            <w:tcW w:w="4431" w:type="dxa"/>
            <w:vAlign w:val="center"/>
          </w:tcPr>
          <w:p w:rsidR="00E87EC9" w:rsidRPr="00C24ACA" w:rsidRDefault="00E87EC9" w:rsidP="007C6EA8">
            <w:pPr>
              <w:ind w:leftChars="50" w:left="105"/>
              <w:rPr>
                <w:rFonts w:eastAsiaTheme="minorEastAsia"/>
                <w:color w:val="000000"/>
                <w:szCs w:val="21"/>
              </w:rPr>
            </w:pPr>
            <w:r w:rsidRPr="00C24ACA">
              <w:rPr>
                <w:rFonts w:eastAsiaTheme="minorEastAsia"/>
                <w:color w:val="000000"/>
                <w:szCs w:val="21"/>
              </w:rPr>
              <w:t>其他</w:t>
            </w:r>
          </w:p>
        </w:tc>
        <w:tc>
          <w:tcPr>
            <w:tcW w:w="4105" w:type="dxa"/>
            <w:vAlign w:val="center"/>
          </w:tcPr>
          <w:p w:rsidR="00E87EC9" w:rsidRPr="00C24ACA" w:rsidRDefault="00E87EC9" w:rsidP="007C6EA8">
            <w:pPr>
              <w:jc w:val="right"/>
              <w:rPr>
                <w:rFonts w:eastAsiaTheme="minorEastAsia"/>
                <w:szCs w:val="21"/>
              </w:rPr>
            </w:pPr>
            <w:r w:rsidRPr="00C24ACA">
              <w:rPr>
                <w:rFonts w:eastAsiaTheme="minorEastAsia"/>
                <w:szCs w:val="21"/>
              </w:rPr>
              <w:t>-</w:t>
            </w:r>
          </w:p>
        </w:tc>
      </w:tr>
      <w:tr w:rsidR="00E87EC9" w:rsidRPr="00C24ACA" w:rsidTr="00B73AA7">
        <w:trPr>
          <w:trHeight w:val="312"/>
          <w:jc w:val="center"/>
        </w:trPr>
        <w:tc>
          <w:tcPr>
            <w:tcW w:w="820" w:type="dxa"/>
            <w:vAlign w:val="center"/>
          </w:tcPr>
          <w:p w:rsidR="00E87EC9" w:rsidRPr="00C24ACA" w:rsidRDefault="00E87EC9" w:rsidP="007C6EA8">
            <w:pPr>
              <w:jc w:val="center"/>
              <w:rPr>
                <w:rFonts w:eastAsiaTheme="minorEastAsia"/>
                <w:color w:val="000000"/>
                <w:szCs w:val="21"/>
              </w:rPr>
            </w:pPr>
            <w:r w:rsidRPr="00C24ACA">
              <w:rPr>
                <w:rFonts w:eastAsiaTheme="minorEastAsia"/>
                <w:color w:val="000000"/>
                <w:szCs w:val="21"/>
              </w:rPr>
              <w:t>9</w:t>
            </w:r>
          </w:p>
        </w:tc>
        <w:tc>
          <w:tcPr>
            <w:tcW w:w="4431" w:type="dxa"/>
            <w:vAlign w:val="center"/>
          </w:tcPr>
          <w:p w:rsidR="00E87EC9" w:rsidRPr="00C24ACA" w:rsidRDefault="00E87EC9" w:rsidP="007C6EA8">
            <w:pPr>
              <w:ind w:leftChars="50" w:left="105"/>
              <w:rPr>
                <w:rFonts w:eastAsiaTheme="minorEastAsia"/>
                <w:color w:val="000000"/>
                <w:szCs w:val="21"/>
              </w:rPr>
            </w:pPr>
            <w:r w:rsidRPr="00C24ACA">
              <w:rPr>
                <w:rFonts w:eastAsiaTheme="minorEastAsia"/>
                <w:color w:val="000000"/>
                <w:szCs w:val="21"/>
              </w:rPr>
              <w:t>合计</w:t>
            </w:r>
          </w:p>
        </w:tc>
        <w:tc>
          <w:tcPr>
            <w:tcW w:w="4105" w:type="dxa"/>
            <w:vAlign w:val="center"/>
          </w:tcPr>
          <w:p w:rsidR="00E87EC9" w:rsidRPr="00C24ACA" w:rsidRDefault="00E87EC9" w:rsidP="007C6EA8">
            <w:pPr>
              <w:jc w:val="right"/>
              <w:rPr>
                <w:rFonts w:eastAsiaTheme="minorEastAsia"/>
                <w:szCs w:val="21"/>
              </w:rPr>
            </w:pPr>
            <w:r w:rsidRPr="00C24ACA">
              <w:rPr>
                <w:rFonts w:eastAsiaTheme="minorEastAsia"/>
                <w:szCs w:val="21"/>
              </w:rPr>
              <w:t>631,108.39</w:t>
            </w:r>
          </w:p>
        </w:tc>
      </w:tr>
    </w:tbl>
    <w:p w:rsidR="008A5A5D" w:rsidRPr="00C24ACA" w:rsidRDefault="008A5A5D" w:rsidP="00732F5C">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color w:val="000000"/>
          <w:szCs w:val="21"/>
        </w:rPr>
        <w:t>7.11.4</w:t>
      </w:r>
      <w:r w:rsidRPr="00C24ACA">
        <w:rPr>
          <w:rFonts w:eastAsiaTheme="minorEastAsia"/>
          <w:b/>
          <w:color w:val="000000"/>
          <w:kern w:val="0"/>
          <w:szCs w:val="21"/>
        </w:rPr>
        <w:t>期末持有的处于转股期的可转换债券明细</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本基金本报告期末未持有处于转股期的可转换债券。</w:t>
      </w:r>
    </w:p>
    <w:p w:rsidR="008A5A5D" w:rsidRPr="00C24ACA" w:rsidRDefault="008A5A5D" w:rsidP="00732F5C">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color w:val="000000"/>
          <w:szCs w:val="21"/>
        </w:rPr>
        <w:t>7.11.5</w:t>
      </w:r>
      <w:r w:rsidRPr="00C24ACA">
        <w:rPr>
          <w:rFonts w:eastAsiaTheme="minorEastAsia"/>
          <w:b/>
          <w:color w:val="000000"/>
          <w:kern w:val="0"/>
          <w:szCs w:val="21"/>
        </w:rPr>
        <w:t>期末前十名股票中存在流通受限情况的说明</w:t>
      </w:r>
    </w:p>
    <w:p w:rsidR="008A5A5D" w:rsidRPr="001412CA" w:rsidRDefault="00DC59DF"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本基金本报告期末前十名股票中不存在流通受限情况。</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287" w:name="_Toc225500050"/>
      <w:bookmarkStart w:id="288" w:name="_Toc352256006"/>
      <w:bookmarkStart w:id="289" w:name="_Toc352256074"/>
      <w:bookmarkStart w:id="290" w:name="_Toc352331252"/>
      <w:bookmarkStart w:id="291" w:name="_Toc390164834"/>
      <w:bookmarkStart w:id="292" w:name="_Toc48663438"/>
      <w:r w:rsidRPr="000C6CCD">
        <w:rPr>
          <w:rFonts w:ascii="宋体" w:hAnsi="宋体"/>
          <w:bCs w:val="0"/>
          <w:color w:val="000000"/>
          <w:sz w:val="21"/>
          <w:szCs w:val="21"/>
        </w:rPr>
        <w:t>8</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基金份额持有人信息</w:t>
      </w:r>
      <w:bookmarkEnd w:id="287"/>
      <w:bookmarkEnd w:id="288"/>
      <w:bookmarkEnd w:id="289"/>
      <w:bookmarkEnd w:id="290"/>
      <w:bookmarkEnd w:id="291"/>
      <w:bookmarkEnd w:id="292"/>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93" w:name="_Toc225500051"/>
      <w:bookmarkStart w:id="294" w:name="_Toc352256007"/>
      <w:bookmarkStart w:id="295" w:name="_Toc352256075"/>
      <w:bookmarkStart w:id="296" w:name="_Toc352331253"/>
      <w:bookmarkStart w:id="297" w:name="_Toc390164835"/>
      <w:bookmarkStart w:id="298" w:name="_Toc48663439"/>
      <w:r w:rsidRPr="0087359D">
        <w:rPr>
          <w:rFonts w:ascii="宋体" w:hAnsi="宋体"/>
          <w:kern w:val="0"/>
          <w:sz w:val="21"/>
          <w:szCs w:val="21"/>
        </w:rPr>
        <w:t>8.1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期末基金份额持有人户数及持有人结构</w:t>
      </w:r>
      <w:bookmarkEnd w:id="293"/>
      <w:bookmarkEnd w:id="294"/>
      <w:bookmarkEnd w:id="295"/>
      <w:bookmarkEnd w:id="296"/>
      <w:bookmarkEnd w:id="297"/>
      <w:bookmarkEnd w:id="298"/>
    </w:p>
    <w:p w:rsidR="002716BD" w:rsidRPr="00C24ACA" w:rsidRDefault="002716BD" w:rsidP="002716BD">
      <w:pPr>
        <w:autoSpaceDE w:val="0"/>
        <w:autoSpaceDN w:val="0"/>
        <w:adjustRightInd w:val="0"/>
        <w:spacing w:before="29" w:line="360" w:lineRule="auto"/>
        <w:ind w:left="15"/>
        <w:jc w:val="right"/>
        <w:rPr>
          <w:rFonts w:eastAsiaTheme="minorEastAsia"/>
          <w:color w:val="000000"/>
          <w:szCs w:val="21"/>
        </w:rPr>
      </w:pPr>
      <w:bookmarkStart w:id="299" w:name="_Toc352256008"/>
      <w:bookmarkStart w:id="300" w:name="_Toc352256076"/>
      <w:bookmarkStart w:id="301" w:name="_Toc352331254"/>
      <w:r w:rsidRPr="00C24ACA">
        <w:rPr>
          <w:rFonts w:eastAsiaTheme="minor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01"/>
        <w:gridCol w:w="1102"/>
        <w:gridCol w:w="1204"/>
        <w:gridCol w:w="1457"/>
        <w:gridCol w:w="916"/>
        <w:gridCol w:w="1529"/>
        <w:gridCol w:w="969"/>
      </w:tblGrid>
      <w:tr w:rsidR="002716BD" w:rsidRPr="00C24ACA" w:rsidTr="004322C7">
        <w:tc>
          <w:tcPr>
            <w:tcW w:w="964"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szCs w:val="21"/>
              </w:rPr>
              <w:t>份额级别</w:t>
            </w:r>
          </w:p>
        </w:tc>
        <w:tc>
          <w:tcPr>
            <w:tcW w:w="633"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持有人户数</w:t>
            </w:r>
            <w:r w:rsidRPr="00C24ACA">
              <w:rPr>
                <w:rFonts w:eastAsiaTheme="minorEastAsia"/>
                <w:bCs/>
                <w:color w:val="000000"/>
                <w:szCs w:val="21"/>
              </w:rPr>
              <w:t>(</w:t>
            </w:r>
            <w:r w:rsidRPr="00C24ACA">
              <w:rPr>
                <w:rFonts w:eastAsiaTheme="minorEastAsia"/>
                <w:bCs/>
                <w:color w:val="000000"/>
                <w:szCs w:val="21"/>
              </w:rPr>
              <w:t>户</w:t>
            </w:r>
            <w:r w:rsidRPr="00C24ACA">
              <w:rPr>
                <w:rFonts w:eastAsiaTheme="minorEastAsia"/>
                <w:bCs/>
                <w:color w:val="000000"/>
                <w:szCs w:val="21"/>
              </w:rPr>
              <w:t>)</w:t>
            </w:r>
          </w:p>
        </w:tc>
        <w:tc>
          <w:tcPr>
            <w:tcW w:w="688"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户均持有的基金份额</w:t>
            </w:r>
          </w:p>
        </w:tc>
        <w:tc>
          <w:tcPr>
            <w:tcW w:w="2715" w:type="pct"/>
            <w:gridSpan w:val="4"/>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持有人结构</w:t>
            </w:r>
          </w:p>
        </w:tc>
      </w:tr>
      <w:tr w:rsidR="002716BD" w:rsidRPr="00C24ACA" w:rsidTr="004322C7">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1357" w:type="pct"/>
            <w:gridSpan w:val="2"/>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机构投资者</w:t>
            </w:r>
          </w:p>
        </w:tc>
        <w:tc>
          <w:tcPr>
            <w:tcW w:w="1358" w:type="pct"/>
            <w:gridSpan w:val="2"/>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个人投资者</w:t>
            </w:r>
          </w:p>
        </w:tc>
      </w:tr>
      <w:tr w:rsidR="002716BD" w:rsidRPr="00C24ACA" w:rsidTr="004322C7">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826"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持有份额</w:t>
            </w:r>
          </w:p>
        </w:tc>
        <w:tc>
          <w:tcPr>
            <w:tcW w:w="531"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占总份额比例</w:t>
            </w:r>
          </w:p>
        </w:tc>
        <w:tc>
          <w:tcPr>
            <w:tcW w:w="84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持有份额</w:t>
            </w:r>
          </w:p>
        </w:tc>
        <w:tc>
          <w:tcPr>
            <w:tcW w:w="515"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占总份额比例</w:t>
            </w:r>
          </w:p>
        </w:tc>
      </w:tr>
      <w:tr w:rsidR="002716BD" w:rsidRPr="00C24ACA" w:rsidTr="004322C7">
        <w:tc>
          <w:tcPr>
            <w:tcW w:w="964" w:type="pct"/>
            <w:hideMark/>
          </w:tcPr>
          <w:p w:rsidR="002716BD" w:rsidRPr="00C24ACA" w:rsidRDefault="002716BD">
            <w:pPr>
              <w:widowControl/>
              <w:spacing w:line="360" w:lineRule="auto"/>
              <w:jc w:val="center"/>
              <w:rPr>
                <w:rFonts w:eastAsiaTheme="minorEastAsia"/>
                <w:bCs/>
                <w:color w:val="000000"/>
                <w:szCs w:val="21"/>
              </w:rPr>
            </w:pPr>
            <w:r w:rsidRPr="00C24ACA">
              <w:rPr>
                <w:rFonts w:eastAsiaTheme="minorEastAsia"/>
                <w:bCs/>
                <w:color w:val="000000"/>
                <w:szCs w:val="21"/>
              </w:rPr>
              <w:t>易方达黄金主题（</w:t>
            </w:r>
            <w:r w:rsidRPr="00C24ACA">
              <w:rPr>
                <w:rFonts w:eastAsiaTheme="minorEastAsia"/>
                <w:bCs/>
                <w:color w:val="000000"/>
                <w:szCs w:val="21"/>
              </w:rPr>
              <w:t>QDII-LOF-FOF</w:t>
            </w:r>
            <w:r w:rsidRPr="00C24ACA">
              <w:rPr>
                <w:rFonts w:eastAsiaTheme="minorEastAsia"/>
                <w:bCs/>
                <w:color w:val="000000"/>
                <w:szCs w:val="21"/>
              </w:rPr>
              <w:t>）</w:t>
            </w:r>
            <w:r w:rsidRPr="00C24ACA">
              <w:rPr>
                <w:rFonts w:eastAsiaTheme="minorEastAsia"/>
                <w:bCs/>
                <w:color w:val="000000"/>
                <w:szCs w:val="21"/>
              </w:rPr>
              <w:t>A</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26,065</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12,097.41</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13,574,272.95</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4.30%</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301,744,699.19</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95.70%</w:t>
            </w:r>
          </w:p>
        </w:tc>
      </w:tr>
      <w:tr w:rsidR="002716BD" w:rsidRPr="00C24ACA" w:rsidTr="004322C7">
        <w:tc>
          <w:tcPr>
            <w:tcW w:w="964" w:type="pct"/>
            <w:hideMark/>
          </w:tcPr>
          <w:p w:rsidR="002716BD" w:rsidRPr="00C24ACA" w:rsidRDefault="002716BD">
            <w:pPr>
              <w:widowControl/>
              <w:spacing w:line="360" w:lineRule="auto"/>
              <w:jc w:val="center"/>
              <w:rPr>
                <w:rFonts w:eastAsiaTheme="minorEastAsia"/>
                <w:bCs/>
                <w:color w:val="000000"/>
                <w:szCs w:val="21"/>
              </w:rPr>
            </w:pPr>
            <w:r w:rsidRPr="00C24ACA">
              <w:rPr>
                <w:rFonts w:eastAsiaTheme="minorEastAsia"/>
                <w:bCs/>
                <w:color w:val="000000"/>
                <w:szCs w:val="21"/>
              </w:rPr>
              <w:t>易方达黄金主题（</w:t>
            </w:r>
            <w:r w:rsidRPr="00C24ACA">
              <w:rPr>
                <w:rFonts w:eastAsiaTheme="minorEastAsia"/>
                <w:bCs/>
                <w:color w:val="000000"/>
                <w:szCs w:val="21"/>
              </w:rPr>
              <w:t>QDII-LOF-FOF</w:t>
            </w:r>
            <w:r w:rsidRPr="00C24ACA">
              <w:rPr>
                <w:rFonts w:eastAsiaTheme="minorEastAsia"/>
                <w:bCs/>
                <w:color w:val="000000"/>
                <w:szCs w:val="21"/>
              </w:rPr>
              <w:t>）</w:t>
            </w:r>
            <w:r w:rsidRPr="00C24ACA">
              <w:rPr>
                <w:rFonts w:eastAsiaTheme="minorEastAsia"/>
                <w:bCs/>
                <w:color w:val="000000"/>
                <w:szCs w:val="21"/>
              </w:rPr>
              <w:t>C</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183</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7,150.38</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0.00</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0.00%</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1,308,518.80</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100.00%</w:t>
            </w:r>
          </w:p>
        </w:tc>
      </w:tr>
      <w:tr w:rsidR="002716BD" w:rsidRPr="00C24ACA" w:rsidTr="004322C7">
        <w:tc>
          <w:tcPr>
            <w:tcW w:w="964" w:type="pct"/>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合计</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26,248</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12,062.92</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13,574,272.95</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4.29%</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303,053,217.99</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95.71%</w:t>
            </w:r>
          </w:p>
        </w:tc>
      </w:tr>
    </w:tbl>
    <w:p w:rsidR="002716BD" w:rsidRPr="001412CA" w:rsidRDefault="002716BD"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注：易方达黄金主题（</w:t>
      </w:r>
      <w:r w:rsidRPr="001412CA">
        <w:rPr>
          <w:rFonts w:eastAsiaTheme="minorEastAsia"/>
          <w:kern w:val="0"/>
          <w:szCs w:val="21"/>
        </w:rPr>
        <w:t>QDII-LOF-FOF</w:t>
      </w:r>
      <w:r w:rsidRPr="001412CA">
        <w:rPr>
          <w:rFonts w:eastAsiaTheme="minorEastAsia"/>
          <w:kern w:val="0"/>
          <w:szCs w:val="21"/>
        </w:rPr>
        <w:t>）</w:t>
      </w:r>
      <w:r w:rsidRPr="001412CA">
        <w:rPr>
          <w:rFonts w:eastAsiaTheme="minorEastAsia"/>
          <w:kern w:val="0"/>
          <w:szCs w:val="21"/>
        </w:rPr>
        <w:t>A</w:t>
      </w:r>
      <w:r w:rsidRPr="001412CA">
        <w:rPr>
          <w:rFonts w:eastAsiaTheme="minorEastAsia"/>
          <w:kern w:val="0"/>
          <w:szCs w:val="21"/>
        </w:rPr>
        <w:t>的持有人户数及结构包含</w:t>
      </w:r>
      <w:r w:rsidRPr="001412CA">
        <w:rPr>
          <w:rFonts w:eastAsiaTheme="minorEastAsia"/>
          <w:kern w:val="0"/>
          <w:szCs w:val="21"/>
        </w:rPr>
        <w:t>A</w:t>
      </w:r>
      <w:r w:rsidRPr="001412CA">
        <w:rPr>
          <w:rFonts w:eastAsiaTheme="minorEastAsia"/>
          <w:kern w:val="0"/>
          <w:szCs w:val="21"/>
        </w:rPr>
        <w:t>类人民币份额及</w:t>
      </w:r>
      <w:r w:rsidRPr="001412CA">
        <w:rPr>
          <w:rFonts w:eastAsiaTheme="minorEastAsia"/>
          <w:kern w:val="0"/>
          <w:szCs w:val="21"/>
        </w:rPr>
        <w:t>A</w:t>
      </w:r>
      <w:r w:rsidRPr="001412CA">
        <w:rPr>
          <w:rFonts w:eastAsiaTheme="minorEastAsia"/>
          <w:kern w:val="0"/>
          <w:szCs w:val="21"/>
        </w:rPr>
        <w:t>类美元份额；易方达黄金主题（</w:t>
      </w:r>
      <w:r w:rsidRPr="001412CA">
        <w:rPr>
          <w:rFonts w:eastAsiaTheme="minorEastAsia"/>
          <w:kern w:val="0"/>
          <w:szCs w:val="21"/>
        </w:rPr>
        <w:t>QDII-LOF-FOF</w:t>
      </w:r>
      <w:r w:rsidRPr="001412CA">
        <w:rPr>
          <w:rFonts w:eastAsiaTheme="minorEastAsia"/>
          <w:kern w:val="0"/>
          <w:szCs w:val="21"/>
        </w:rPr>
        <w:t>）</w:t>
      </w:r>
      <w:r w:rsidRPr="001412CA">
        <w:rPr>
          <w:rFonts w:eastAsiaTheme="minorEastAsia"/>
          <w:kern w:val="0"/>
          <w:szCs w:val="21"/>
        </w:rPr>
        <w:t>C</w:t>
      </w:r>
      <w:r w:rsidRPr="001412CA">
        <w:rPr>
          <w:rFonts w:eastAsiaTheme="minorEastAsia"/>
          <w:kern w:val="0"/>
          <w:szCs w:val="21"/>
        </w:rPr>
        <w:t>的持有人户数及结构包含</w:t>
      </w:r>
      <w:r w:rsidRPr="001412CA">
        <w:rPr>
          <w:rFonts w:eastAsiaTheme="minorEastAsia"/>
          <w:kern w:val="0"/>
          <w:szCs w:val="21"/>
        </w:rPr>
        <w:t>C</w:t>
      </w:r>
      <w:r w:rsidRPr="001412CA">
        <w:rPr>
          <w:rFonts w:eastAsiaTheme="minorEastAsia"/>
          <w:kern w:val="0"/>
          <w:szCs w:val="21"/>
        </w:rPr>
        <w:t>类人民币份额及</w:t>
      </w:r>
      <w:r w:rsidRPr="001412CA">
        <w:rPr>
          <w:rFonts w:eastAsiaTheme="minorEastAsia"/>
          <w:kern w:val="0"/>
          <w:szCs w:val="21"/>
        </w:rPr>
        <w:t>C</w:t>
      </w:r>
      <w:r w:rsidRPr="001412CA">
        <w:rPr>
          <w:rFonts w:eastAsiaTheme="minorEastAsia"/>
          <w:kern w:val="0"/>
          <w:szCs w:val="21"/>
        </w:rPr>
        <w:t>类美元份额。</w:t>
      </w:r>
    </w:p>
    <w:p w:rsidR="00196BCF" w:rsidRPr="00C24ACA" w:rsidRDefault="00196BCF" w:rsidP="00732F5C">
      <w:pPr>
        <w:pStyle w:val="20"/>
        <w:spacing w:beforeLines="100" w:before="312" w:after="0"/>
        <w:rPr>
          <w:rFonts w:ascii="Times New Roman" w:eastAsiaTheme="minorEastAsia" w:hAnsi="Times New Roman"/>
          <w:kern w:val="0"/>
          <w:sz w:val="21"/>
          <w:szCs w:val="21"/>
        </w:rPr>
      </w:pPr>
      <w:bookmarkStart w:id="302" w:name="_Toc362424032"/>
      <w:bookmarkStart w:id="303" w:name="_Toc374459295"/>
      <w:bookmarkStart w:id="304" w:name="_Toc390164836"/>
      <w:bookmarkStart w:id="305" w:name="_Toc48663440"/>
      <w:r w:rsidRPr="0087359D">
        <w:rPr>
          <w:rFonts w:ascii="宋体" w:hAnsi="宋体"/>
          <w:kern w:val="0"/>
          <w:sz w:val="21"/>
          <w:szCs w:val="21"/>
        </w:rPr>
        <w:t>8.2</w:t>
      </w:r>
      <w:r w:rsidR="00982AAE"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期末上市基金前十名持有人</w:t>
      </w:r>
      <w:bookmarkEnd w:id="302"/>
      <w:bookmarkEnd w:id="303"/>
      <w:bookmarkEnd w:id="304"/>
      <w:bookmarkEnd w:id="3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3860"/>
        <w:gridCol w:w="2610"/>
        <w:gridCol w:w="2378"/>
      </w:tblGrid>
      <w:tr w:rsidR="00196BCF" w:rsidRPr="00C24ACA" w:rsidTr="00C42949">
        <w:trPr>
          <w:trHeight w:val="2333"/>
        </w:trPr>
        <w:tc>
          <w:tcPr>
            <w:tcW w:w="736" w:type="dxa"/>
            <w:vAlign w:val="center"/>
          </w:tcPr>
          <w:p w:rsidR="00196BCF" w:rsidRPr="00C24ACA" w:rsidRDefault="00196BCF" w:rsidP="00BB4E17">
            <w:pPr>
              <w:spacing w:line="360" w:lineRule="auto"/>
              <w:jc w:val="center"/>
              <w:rPr>
                <w:rFonts w:eastAsiaTheme="minorEastAsia"/>
                <w:szCs w:val="21"/>
              </w:rPr>
            </w:pPr>
            <w:r w:rsidRPr="00C24ACA">
              <w:rPr>
                <w:rFonts w:eastAsiaTheme="minorEastAsia"/>
                <w:szCs w:val="21"/>
              </w:rPr>
              <w:t>序号</w:t>
            </w:r>
          </w:p>
        </w:tc>
        <w:tc>
          <w:tcPr>
            <w:tcW w:w="3860" w:type="dxa"/>
            <w:vAlign w:val="center"/>
          </w:tcPr>
          <w:p w:rsidR="00196BCF" w:rsidRPr="00C24ACA" w:rsidRDefault="00196BCF" w:rsidP="00BB4E17">
            <w:pPr>
              <w:spacing w:line="360" w:lineRule="auto"/>
              <w:jc w:val="center"/>
              <w:rPr>
                <w:rFonts w:eastAsiaTheme="minorEastAsia"/>
                <w:szCs w:val="21"/>
              </w:rPr>
            </w:pPr>
            <w:r w:rsidRPr="00C24ACA">
              <w:rPr>
                <w:rFonts w:eastAsiaTheme="minorEastAsia"/>
                <w:szCs w:val="21"/>
              </w:rPr>
              <w:t>持有人名称</w:t>
            </w:r>
          </w:p>
        </w:tc>
        <w:tc>
          <w:tcPr>
            <w:tcW w:w="2610" w:type="dxa"/>
            <w:vAlign w:val="center"/>
          </w:tcPr>
          <w:p w:rsidR="00196BCF" w:rsidRPr="00C24ACA" w:rsidRDefault="00196BCF" w:rsidP="00BB4E17">
            <w:pPr>
              <w:spacing w:line="360" w:lineRule="auto"/>
              <w:jc w:val="center"/>
              <w:rPr>
                <w:rFonts w:eastAsiaTheme="minorEastAsia"/>
                <w:szCs w:val="21"/>
              </w:rPr>
            </w:pPr>
            <w:r w:rsidRPr="00C24ACA">
              <w:rPr>
                <w:rFonts w:eastAsiaTheme="minorEastAsia"/>
                <w:szCs w:val="21"/>
              </w:rPr>
              <w:t>持有份额（份）</w:t>
            </w:r>
          </w:p>
        </w:tc>
        <w:tc>
          <w:tcPr>
            <w:tcW w:w="2378" w:type="dxa"/>
            <w:vAlign w:val="center"/>
          </w:tcPr>
          <w:p w:rsidR="00196BCF" w:rsidRPr="00C24ACA" w:rsidRDefault="00196BCF" w:rsidP="00BB4E17">
            <w:pPr>
              <w:spacing w:line="360" w:lineRule="auto"/>
              <w:jc w:val="center"/>
              <w:rPr>
                <w:rFonts w:eastAsiaTheme="minorEastAsia"/>
                <w:szCs w:val="21"/>
              </w:rPr>
            </w:pPr>
            <w:r w:rsidRPr="00C24ACA">
              <w:rPr>
                <w:rFonts w:eastAsiaTheme="minorEastAsia"/>
                <w:szCs w:val="21"/>
              </w:rPr>
              <w:t>占上市总份额比例</w:t>
            </w:r>
          </w:p>
        </w:tc>
      </w:tr>
      <w:tr w:rsidR="00854133">
        <w:tc>
          <w:tcPr>
            <w:tcW w:w="736" w:type="dxa"/>
            <w:vAlign w:val="center"/>
          </w:tcPr>
          <w:p w:rsidR="00854133" w:rsidRDefault="00581AA4">
            <w:pPr>
              <w:jc w:val="center"/>
            </w:pPr>
            <w:r>
              <w:rPr>
                <w:rFonts w:eastAsiaTheme="minorEastAsia"/>
                <w:color w:val="000000"/>
                <w:szCs w:val="21"/>
              </w:rPr>
              <w:t>1</w:t>
            </w:r>
          </w:p>
        </w:tc>
        <w:tc>
          <w:tcPr>
            <w:tcW w:w="3860" w:type="dxa"/>
            <w:vAlign w:val="center"/>
          </w:tcPr>
          <w:p w:rsidR="00854133" w:rsidRDefault="00581AA4">
            <w:pPr>
              <w:jc w:val="center"/>
            </w:pPr>
            <w:r>
              <w:rPr>
                <w:rFonts w:eastAsiaTheme="minorEastAsia"/>
                <w:color w:val="000000"/>
                <w:szCs w:val="21"/>
              </w:rPr>
              <w:t>刘晓武</w:t>
            </w:r>
          </w:p>
        </w:tc>
        <w:tc>
          <w:tcPr>
            <w:tcW w:w="2610" w:type="dxa"/>
            <w:vAlign w:val="center"/>
          </w:tcPr>
          <w:p w:rsidR="00854133" w:rsidRDefault="00581AA4">
            <w:pPr>
              <w:jc w:val="right"/>
            </w:pPr>
            <w:r>
              <w:rPr>
                <w:rFonts w:eastAsiaTheme="minorEastAsia"/>
                <w:color w:val="000000"/>
                <w:szCs w:val="21"/>
              </w:rPr>
              <w:t>4,100,000.00</w:t>
            </w:r>
          </w:p>
        </w:tc>
        <w:tc>
          <w:tcPr>
            <w:tcW w:w="2378" w:type="dxa"/>
            <w:vAlign w:val="center"/>
          </w:tcPr>
          <w:p w:rsidR="00854133" w:rsidRDefault="00581AA4">
            <w:pPr>
              <w:jc w:val="right"/>
            </w:pPr>
            <w:r>
              <w:rPr>
                <w:rFonts w:eastAsiaTheme="minorEastAsia"/>
                <w:color w:val="000000"/>
                <w:szCs w:val="21"/>
              </w:rPr>
              <w:t>16.80%</w:t>
            </w:r>
          </w:p>
        </w:tc>
      </w:tr>
      <w:tr w:rsidR="00854133">
        <w:tc>
          <w:tcPr>
            <w:tcW w:w="736" w:type="dxa"/>
            <w:vAlign w:val="center"/>
          </w:tcPr>
          <w:p w:rsidR="00854133" w:rsidRDefault="00581AA4">
            <w:pPr>
              <w:jc w:val="center"/>
            </w:pPr>
            <w:r>
              <w:rPr>
                <w:rFonts w:eastAsiaTheme="minorEastAsia"/>
                <w:color w:val="000000"/>
                <w:szCs w:val="21"/>
              </w:rPr>
              <w:t>2</w:t>
            </w:r>
          </w:p>
        </w:tc>
        <w:tc>
          <w:tcPr>
            <w:tcW w:w="3860" w:type="dxa"/>
            <w:vAlign w:val="center"/>
          </w:tcPr>
          <w:p w:rsidR="00854133" w:rsidRDefault="00581AA4">
            <w:pPr>
              <w:jc w:val="center"/>
            </w:pPr>
            <w:r>
              <w:rPr>
                <w:rFonts w:eastAsiaTheme="minorEastAsia"/>
                <w:color w:val="000000"/>
                <w:szCs w:val="21"/>
              </w:rPr>
              <w:t>中信信托有限责任公司－企业年金资金信托</w:t>
            </w:r>
            <w:r>
              <w:rPr>
                <w:rFonts w:eastAsiaTheme="minorEastAsia"/>
                <w:color w:val="000000"/>
                <w:szCs w:val="21"/>
              </w:rPr>
              <w:t>12</w:t>
            </w:r>
          </w:p>
        </w:tc>
        <w:tc>
          <w:tcPr>
            <w:tcW w:w="2610" w:type="dxa"/>
            <w:vAlign w:val="center"/>
          </w:tcPr>
          <w:p w:rsidR="00854133" w:rsidRDefault="00581AA4">
            <w:pPr>
              <w:jc w:val="right"/>
            </w:pPr>
            <w:r>
              <w:rPr>
                <w:rFonts w:eastAsiaTheme="minorEastAsia"/>
                <w:color w:val="000000"/>
                <w:szCs w:val="21"/>
              </w:rPr>
              <w:t>3,300,000.00</w:t>
            </w:r>
          </w:p>
        </w:tc>
        <w:tc>
          <w:tcPr>
            <w:tcW w:w="2378" w:type="dxa"/>
            <w:vAlign w:val="center"/>
          </w:tcPr>
          <w:p w:rsidR="00854133" w:rsidRDefault="00581AA4">
            <w:pPr>
              <w:jc w:val="right"/>
            </w:pPr>
            <w:r>
              <w:rPr>
                <w:rFonts w:eastAsiaTheme="minorEastAsia"/>
                <w:color w:val="000000"/>
                <w:szCs w:val="21"/>
              </w:rPr>
              <w:t>13.52%</w:t>
            </w:r>
          </w:p>
        </w:tc>
      </w:tr>
      <w:tr w:rsidR="00854133">
        <w:tc>
          <w:tcPr>
            <w:tcW w:w="736" w:type="dxa"/>
            <w:vAlign w:val="center"/>
          </w:tcPr>
          <w:p w:rsidR="00854133" w:rsidRDefault="00581AA4">
            <w:pPr>
              <w:jc w:val="center"/>
            </w:pPr>
            <w:r>
              <w:rPr>
                <w:rFonts w:eastAsiaTheme="minorEastAsia"/>
                <w:color w:val="000000"/>
                <w:szCs w:val="21"/>
              </w:rPr>
              <w:t>3</w:t>
            </w:r>
          </w:p>
        </w:tc>
        <w:tc>
          <w:tcPr>
            <w:tcW w:w="3860" w:type="dxa"/>
            <w:vAlign w:val="center"/>
          </w:tcPr>
          <w:p w:rsidR="00854133" w:rsidRDefault="00581AA4">
            <w:pPr>
              <w:jc w:val="center"/>
            </w:pPr>
            <w:r>
              <w:rPr>
                <w:rFonts w:eastAsiaTheme="minorEastAsia"/>
                <w:color w:val="000000"/>
                <w:szCs w:val="21"/>
              </w:rPr>
              <w:t>张国藩</w:t>
            </w:r>
          </w:p>
        </w:tc>
        <w:tc>
          <w:tcPr>
            <w:tcW w:w="2610" w:type="dxa"/>
            <w:vAlign w:val="center"/>
          </w:tcPr>
          <w:p w:rsidR="00854133" w:rsidRDefault="00581AA4">
            <w:pPr>
              <w:jc w:val="right"/>
            </w:pPr>
            <w:r>
              <w:rPr>
                <w:rFonts w:eastAsiaTheme="minorEastAsia"/>
                <w:color w:val="000000"/>
                <w:szCs w:val="21"/>
              </w:rPr>
              <w:t>1,000,060.00</w:t>
            </w:r>
          </w:p>
        </w:tc>
        <w:tc>
          <w:tcPr>
            <w:tcW w:w="2378" w:type="dxa"/>
            <w:vAlign w:val="center"/>
          </w:tcPr>
          <w:p w:rsidR="00854133" w:rsidRDefault="00581AA4">
            <w:pPr>
              <w:jc w:val="right"/>
            </w:pPr>
            <w:r>
              <w:rPr>
                <w:rFonts w:eastAsiaTheme="minorEastAsia"/>
                <w:color w:val="000000"/>
                <w:szCs w:val="21"/>
              </w:rPr>
              <w:t>4.10%</w:t>
            </w:r>
          </w:p>
        </w:tc>
      </w:tr>
      <w:tr w:rsidR="00854133">
        <w:tc>
          <w:tcPr>
            <w:tcW w:w="736" w:type="dxa"/>
            <w:vAlign w:val="center"/>
          </w:tcPr>
          <w:p w:rsidR="00854133" w:rsidRDefault="00581AA4">
            <w:pPr>
              <w:jc w:val="center"/>
            </w:pPr>
            <w:r>
              <w:rPr>
                <w:rFonts w:eastAsiaTheme="minorEastAsia"/>
                <w:color w:val="000000"/>
                <w:szCs w:val="21"/>
              </w:rPr>
              <w:t>4</w:t>
            </w:r>
          </w:p>
        </w:tc>
        <w:tc>
          <w:tcPr>
            <w:tcW w:w="3860" w:type="dxa"/>
            <w:vAlign w:val="center"/>
          </w:tcPr>
          <w:p w:rsidR="00854133" w:rsidRDefault="00581AA4">
            <w:pPr>
              <w:jc w:val="center"/>
            </w:pPr>
            <w:r>
              <w:rPr>
                <w:rFonts w:eastAsiaTheme="minorEastAsia"/>
                <w:color w:val="000000"/>
                <w:szCs w:val="21"/>
              </w:rPr>
              <w:t>邵常红</w:t>
            </w:r>
          </w:p>
        </w:tc>
        <w:tc>
          <w:tcPr>
            <w:tcW w:w="2610" w:type="dxa"/>
            <w:vAlign w:val="center"/>
          </w:tcPr>
          <w:p w:rsidR="00854133" w:rsidRDefault="00581AA4">
            <w:pPr>
              <w:jc w:val="right"/>
            </w:pPr>
            <w:r>
              <w:rPr>
                <w:rFonts w:eastAsiaTheme="minorEastAsia"/>
                <w:color w:val="000000"/>
                <w:szCs w:val="21"/>
              </w:rPr>
              <w:t>935,877.00</w:t>
            </w:r>
          </w:p>
        </w:tc>
        <w:tc>
          <w:tcPr>
            <w:tcW w:w="2378" w:type="dxa"/>
            <w:vAlign w:val="center"/>
          </w:tcPr>
          <w:p w:rsidR="00854133" w:rsidRDefault="00581AA4">
            <w:pPr>
              <w:jc w:val="right"/>
            </w:pPr>
            <w:r>
              <w:rPr>
                <w:rFonts w:eastAsiaTheme="minorEastAsia"/>
                <w:color w:val="000000"/>
                <w:szCs w:val="21"/>
              </w:rPr>
              <w:t>3.84%</w:t>
            </w:r>
          </w:p>
        </w:tc>
      </w:tr>
      <w:tr w:rsidR="00854133">
        <w:tc>
          <w:tcPr>
            <w:tcW w:w="736" w:type="dxa"/>
            <w:vAlign w:val="center"/>
          </w:tcPr>
          <w:p w:rsidR="00854133" w:rsidRDefault="00581AA4">
            <w:pPr>
              <w:jc w:val="center"/>
            </w:pPr>
            <w:r>
              <w:rPr>
                <w:rFonts w:eastAsiaTheme="minorEastAsia"/>
                <w:color w:val="000000"/>
                <w:szCs w:val="21"/>
              </w:rPr>
              <w:t>5</w:t>
            </w:r>
          </w:p>
        </w:tc>
        <w:tc>
          <w:tcPr>
            <w:tcW w:w="3860" w:type="dxa"/>
            <w:vAlign w:val="center"/>
          </w:tcPr>
          <w:p w:rsidR="00854133" w:rsidRDefault="00581AA4">
            <w:pPr>
              <w:jc w:val="center"/>
            </w:pPr>
            <w:r>
              <w:rPr>
                <w:rFonts w:eastAsiaTheme="minorEastAsia"/>
                <w:color w:val="000000"/>
                <w:szCs w:val="21"/>
              </w:rPr>
              <w:t>洪兴</w:t>
            </w:r>
          </w:p>
        </w:tc>
        <w:tc>
          <w:tcPr>
            <w:tcW w:w="2610" w:type="dxa"/>
            <w:vAlign w:val="center"/>
          </w:tcPr>
          <w:p w:rsidR="00854133" w:rsidRDefault="00581AA4">
            <w:pPr>
              <w:jc w:val="right"/>
            </w:pPr>
            <w:r>
              <w:rPr>
                <w:rFonts w:eastAsiaTheme="minorEastAsia"/>
                <w:color w:val="000000"/>
                <w:szCs w:val="21"/>
              </w:rPr>
              <w:t>286,976.00</w:t>
            </w:r>
          </w:p>
        </w:tc>
        <w:tc>
          <w:tcPr>
            <w:tcW w:w="2378" w:type="dxa"/>
            <w:vAlign w:val="center"/>
          </w:tcPr>
          <w:p w:rsidR="00854133" w:rsidRDefault="00581AA4">
            <w:pPr>
              <w:jc w:val="right"/>
            </w:pPr>
            <w:r>
              <w:rPr>
                <w:rFonts w:eastAsiaTheme="minorEastAsia"/>
                <w:color w:val="000000"/>
                <w:szCs w:val="21"/>
              </w:rPr>
              <w:t>1.18%</w:t>
            </w:r>
          </w:p>
        </w:tc>
      </w:tr>
      <w:tr w:rsidR="00854133">
        <w:tc>
          <w:tcPr>
            <w:tcW w:w="736" w:type="dxa"/>
            <w:vAlign w:val="center"/>
          </w:tcPr>
          <w:p w:rsidR="00854133" w:rsidRDefault="00581AA4">
            <w:pPr>
              <w:jc w:val="center"/>
            </w:pPr>
            <w:r>
              <w:rPr>
                <w:rFonts w:eastAsiaTheme="minorEastAsia"/>
                <w:color w:val="000000"/>
                <w:szCs w:val="21"/>
              </w:rPr>
              <w:t>6</w:t>
            </w:r>
          </w:p>
        </w:tc>
        <w:tc>
          <w:tcPr>
            <w:tcW w:w="3860" w:type="dxa"/>
            <w:vAlign w:val="center"/>
          </w:tcPr>
          <w:p w:rsidR="00854133" w:rsidRDefault="00581AA4">
            <w:pPr>
              <w:jc w:val="center"/>
            </w:pPr>
            <w:r>
              <w:rPr>
                <w:rFonts w:eastAsiaTheme="minorEastAsia"/>
                <w:color w:val="000000"/>
                <w:szCs w:val="21"/>
              </w:rPr>
              <w:t>孙丽娜</w:t>
            </w:r>
          </w:p>
        </w:tc>
        <w:tc>
          <w:tcPr>
            <w:tcW w:w="2610" w:type="dxa"/>
            <w:vAlign w:val="center"/>
          </w:tcPr>
          <w:p w:rsidR="00854133" w:rsidRDefault="00581AA4">
            <w:pPr>
              <w:jc w:val="right"/>
            </w:pPr>
            <w:r>
              <w:rPr>
                <w:rFonts w:eastAsiaTheme="minorEastAsia"/>
                <w:color w:val="000000"/>
                <w:szCs w:val="21"/>
              </w:rPr>
              <w:t>275,048.00</w:t>
            </w:r>
          </w:p>
        </w:tc>
        <w:tc>
          <w:tcPr>
            <w:tcW w:w="2378" w:type="dxa"/>
            <w:vAlign w:val="center"/>
          </w:tcPr>
          <w:p w:rsidR="00854133" w:rsidRDefault="00581AA4">
            <w:pPr>
              <w:jc w:val="right"/>
            </w:pPr>
            <w:r>
              <w:rPr>
                <w:rFonts w:eastAsiaTheme="minorEastAsia"/>
                <w:color w:val="000000"/>
                <w:szCs w:val="21"/>
              </w:rPr>
              <w:t>1.13%</w:t>
            </w:r>
          </w:p>
        </w:tc>
      </w:tr>
      <w:tr w:rsidR="00854133">
        <w:tc>
          <w:tcPr>
            <w:tcW w:w="736" w:type="dxa"/>
            <w:vAlign w:val="center"/>
          </w:tcPr>
          <w:p w:rsidR="00854133" w:rsidRDefault="00581AA4">
            <w:pPr>
              <w:jc w:val="center"/>
            </w:pPr>
            <w:r>
              <w:rPr>
                <w:rFonts w:eastAsiaTheme="minorEastAsia"/>
                <w:color w:val="000000"/>
                <w:szCs w:val="21"/>
              </w:rPr>
              <w:t>7</w:t>
            </w:r>
          </w:p>
        </w:tc>
        <w:tc>
          <w:tcPr>
            <w:tcW w:w="3860" w:type="dxa"/>
            <w:vAlign w:val="center"/>
          </w:tcPr>
          <w:p w:rsidR="00854133" w:rsidRDefault="00581AA4">
            <w:pPr>
              <w:jc w:val="center"/>
            </w:pPr>
            <w:r>
              <w:rPr>
                <w:rFonts w:eastAsiaTheme="minorEastAsia"/>
                <w:color w:val="000000"/>
                <w:szCs w:val="21"/>
              </w:rPr>
              <w:t>杨文娟</w:t>
            </w:r>
          </w:p>
        </w:tc>
        <w:tc>
          <w:tcPr>
            <w:tcW w:w="2610" w:type="dxa"/>
            <w:vAlign w:val="center"/>
          </w:tcPr>
          <w:p w:rsidR="00854133" w:rsidRDefault="00581AA4">
            <w:pPr>
              <w:jc w:val="right"/>
            </w:pPr>
            <w:r>
              <w:rPr>
                <w:rFonts w:eastAsiaTheme="minorEastAsia"/>
                <w:color w:val="000000"/>
                <w:szCs w:val="21"/>
              </w:rPr>
              <w:t>261,000.00</w:t>
            </w:r>
          </w:p>
        </w:tc>
        <w:tc>
          <w:tcPr>
            <w:tcW w:w="2378" w:type="dxa"/>
            <w:vAlign w:val="center"/>
          </w:tcPr>
          <w:p w:rsidR="00854133" w:rsidRDefault="00581AA4">
            <w:pPr>
              <w:jc w:val="right"/>
            </w:pPr>
            <w:r>
              <w:rPr>
                <w:rFonts w:eastAsiaTheme="minorEastAsia"/>
                <w:color w:val="000000"/>
                <w:szCs w:val="21"/>
              </w:rPr>
              <w:t>1.07%</w:t>
            </w:r>
          </w:p>
        </w:tc>
      </w:tr>
      <w:tr w:rsidR="00854133">
        <w:tc>
          <w:tcPr>
            <w:tcW w:w="736" w:type="dxa"/>
            <w:vAlign w:val="center"/>
          </w:tcPr>
          <w:p w:rsidR="00854133" w:rsidRDefault="00581AA4">
            <w:pPr>
              <w:jc w:val="center"/>
            </w:pPr>
            <w:r>
              <w:rPr>
                <w:rFonts w:eastAsiaTheme="minorEastAsia"/>
                <w:color w:val="000000"/>
                <w:szCs w:val="21"/>
              </w:rPr>
              <w:t>8</w:t>
            </w:r>
          </w:p>
        </w:tc>
        <w:tc>
          <w:tcPr>
            <w:tcW w:w="3860" w:type="dxa"/>
            <w:vAlign w:val="center"/>
          </w:tcPr>
          <w:p w:rsidR="00854133" w:rsidRDefault="00581AA4">
            <w:pPr>
              <w:jc w:val="center"/>
            </w:pPr>
            <w:r>
              <w:rPr>
                <w:rFonts w:eastAsiaTheme="minorEastAsia"/>
                <w:color w:val="000000"/>
                <w:szCs w:val="21"/>
              </w:rPr>
              <w:t>罗惠娟</w:t>
            </w:r>
          </w:p>
        </w:tc>
        <w:tc>
          <w:tcPr>
            <w:tcW w:w="2610" w:type="dxa"/>
            <w:vAlign w:val="center"/>
          </w:tcPr>
          <w:p w:rsidR="00854133" w:rsidRDefault="00581AA4">
            <w:pPr>
              <w:jc w:val="right"/>
            </w:pPr>
            <w:r>
              <w:rPr>
                <w:rFonts w:eastAsiaTheme="minorEastAsia"/>
                <w:color w:val="000000"/>
                <w:szCs w:val="21"/>
              </w:rPr>
              <w:t>223,126.00</w:t>
            </w:r>
          </w:p>
        </w:tc>
        <w:tc>
          <w:tcPr>
            <w:tcW w:w="2378" w:type="dxa"/>
            <w:vAlign w:val="center"/>
          </w:tcPr>
          <w:p w:rsidR="00854133" w:rsidRDefault="00581AA4">
            <w:pPr>
              <w:jc w:val="right"/>
            </w:pPr>
            <w:r>
              <w:rPr>
                <w:rFonts w:eastAsiaTheme="minorEastAsia"/>
                <w:color w:val="000000"/>
                <w:szCs w:val="21"/>
              </w:rPr>
              <w:t>0.91%</w:t>
            </w:r>
          </w:p>
        </w:tc>
      </w:tr>
      <w:tr w:rsidR="00854133">
        <w:tc>
          <w:tcPr>
            <w:tcW w:w="736" w:type="dxa"/>
            <w:vAlign w:val="center"/>
          </w:tcPr>
          <w:p w:rsidR="00854133" w:rsidRDefault="00581AA4">
            <w:pPr>
              <w:jc w:val="center"/>
            </w:pPr>
            <w:r>
              <w:rPr>
                <w:rFonts w:eastAsiaTheme="minorEastAsia"/>
                <w:color w:val="000000"/>
                <w:szCs w:val="21"/>
              </w:rPr>
              <w:t>9</w:t>
            </w:r>
          </w:p>
        </w:tc>
        <w:tc>
          <w:tcPr>
            <w:tcW w:w="3860" w:type="dxa"/>
            <w:vAlign w:val="center"/>
          </w:tcPr>
          <w:p w:rsidR="00854133" w:rsidRDefault="00581AA4">
            <w:pPr>
              <w:jc w:val="center"/>
            </w:pPr>
            <w:r>
              <w:rPr>
                <w:rFonts w:eastAsiaTheme="minorEastAsia"/>
                <w:color w:val="000000"/>
                <w:szCs w:val="21"/>
              </w:rPr>
              <w:t>谢新</w:t>
            </w:r>
          </w:p>
        </w:tc>
        <w:tc>
          <w:tcPr>
            <w:tcW w:w="2610" w:type="dxa"/>
            <w:vAlign w:val="center"/>
          </w:tcPr>
          <w:p w:rsidR="00854133" w:rsidRDefault="00581AA4">
            <w:pPr>
              <w:jc w:val="right"/>
            </w:pPr>
            <w:r>
              <w:rPr>
                <w:rFonts w:eastAsiaTheme="minorEastAsia"/>
                <w:color w:val="000000"/>
                <w:szCs w:val="21"/>
              </w:rPr>
              <w:t>223,066.00</w:t>
            </w:r>
          </w:p>
        </w:tc>
        <w:tc>
          <w:tcPr>
            <w:tcW w:w="2378" w:type="dxa"/>
            <w:vAlign w:val="center"/>
          </w:tcPr>
          <w:p w:rsidR="00854133" w:rsidRDefault="00581AA4">
            <w:pPr>
              <w:jc w:val="right"/>
            </w:pPr>
            <w:r>
              <w:rPr>
                <w:rFonts w:eastAsiaTheme="minorEastAsia"/>
                <w:color w:val="000000"/>
                <w:szCs w:val="21"/>
              </w:rPr>
              <w:t>0.91%</w:t>
            </w:r>
          </w:p>
        </w:tc>
      </w:tr>
      <w:tr w:rsidR="00854133">
        <w:tc>
          <w:tcPr>
            <w:tcW w:w="736" w:type="dxa"/>
            <w:vAlign w:val="center"/>
          </w:tcPr>
          <w:p w:rsidR="00854133" w:rsidRDefault="00581AA4">
            <w:pPr>
              <w:jc w:val="center"/>
            </w:pPr>
            <w:r>
              <w:rPr>
                <w:rFonts w:eastAsiaTheme="minorEastAsia"/>
                <w:color w:val="000000"/>
                <w:szCs w:val="21"/>
              </w:rPr>
              <w:t>10</w:t>
            </w:r>
          </w:p>
        </w:tc>
        <w:tc>
          <w:tcPr>
            <w:tcW w:w="3860" w:type="dxa"/>
            <w:vAlign w:val="center"/>
          </w:tcPr>
          <w:p w:rsidR="00854133" w:rsidRDefault="00581AA4">
            <w:pPr>
              <w:jc w:val="center"/>
            </w:pPr>
            <w:r>
              <w:rPr>
                <w:rFonts w:eastAsiaTheme="minorEastAsia"/>
                <w:color w:val="000000"/>
                <w:szCs w:val="21"/>
              </w:rPr>
              <w:t>王世法</w:t>
            </w:r>
          </w:p>
        </w:tc>
        <w:tc>
          <w:tcPr>
            <w:tcW w:w="2610" w:type="dxa"/>
            <w:vAlign w:val="center"/>
          </w:tcPr>
          <w:p w:rsidR="00854133" w:rsidRDefault="00581AA4">
            <w:pPr>
              <w:jc w:val="right"/>
            </w:pPr>
            <w:r>
              <w:rPr>
                <w:rFonts w:eastAsiaTheme="minorEastAsia"/>
                <w:color w:val="000000"/>
                <w:szCs w:val="21"/>
              </w:rPr>
              <w:t>221,900.00</w:t>
            </w:r>
          </w:p>
        </w:tc>
        <w:tc>
          <w:tcPr>
            <w:tcW w:w="2378" w:type="dxa"/>
            <w:vAlign w:val="center"/>
          </w:tcPr>
          <w:p w:rsidR="00854133" w:rsidRDefault="00581AA4">
            <w:pPr>
              <w:jc w:val="right"/>
            </w:pPr>
            <w:r>
              <w:rPr>
                <w:rFonts w:eastAsiaTheme="minorEastAsia"/>
                <w:color w:val="000000"/>
                <w:szCs w:val="21"/>
              </w:rPr>
              <w:t>0.91%</w:t>
            </w:r>
          </w:p>
        </w:tc>
      </w:tr>
    </w:tbl>
    <w:p w:rsidR="002716BD" w:rsidRPr="001412CA" w:rsidRDefault="00196BCF"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注：本表统计的上市基金前十名持有人均为场内持有人。</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06" w:name="_Toc390164837"/>
      <w:bookmarkStart w:id="307" w:name="_Toc48663441"/>
      <w:r w:rsidRPr="0087359D">
        <w:rPr>
          <w:rFonts w:ascii="宋体" w:hAnsi="宋体"/>
          <w:kern w:val="0"/>
          <w:sz w:val="21"/>
          <w:szCs w:val="21"/>
        </w:rPr>
        <w:t>8.3</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期末基金管理人的从业人员持有本基金的情况</w:t>
      </w:r>
      <w:bookmarkEnd w:id="299"/>
      <w:bookmarkEnd w:id="300"/>
      <w:bookmarkEnd w:id="301"/>
      <w:bookmarkEnd w:id="306"/>
      <w:bookmarkEnd w:id="307"/>
    </w:p>
    <w:tbl>
      <w:tblPr>
        <w:tblStyle w:val="af7"/>
        <w:tblW w:w="0" w:type="auto"/>
        <w:tblInd w:w="108" w:type="dxa"/>
        <w:tblLayout w:type="fixed"/>
        <w:tblLook w:val="04A0" w:firstRow="1" w:lastRow="0" w:firstColumn="1" w:lastColumn="0" w:noHBand="0" w:noVBand="1"/>
      </w:tblPr>
      <w:tblGrid>
        <w:gridCol w:w="2321"/>
        <w:gridCol w:w="2321"/>
        <w:gridCol w:w="2322"/>
        <w:gridCol w:w="2322"/>
      </w:tblGrid>
      <w:tr w:rsidR="00232443" w:rsidRPr="00C24ACA" w:rsidTr="005C3575">
        <w:tc>
          <w:tcPr>
            <w:tcW w:w="2321" w:type="dxa"/>
            <w:vAlign w:val="center"/>
          </w:tcPr>
          <w:p w:rsidR="00232443" w:rsidRPr="00C24ACA" w:rsidRDefault="00232443" w:rsidP="005C3575">
            <w:pPr>
              <w:pStyle w:val="a0"/>
              <w:ind w:firstLineChars="0" w:firstLine="0"/>
              <w:jc w:val="center"/>
              <w:rPr>
                <w:rFonts w:eastAsiaTheme="minorEastAsia"/>
                <w:szCs w:val="21"/>
              </w:rPr>
            </w:pPr>
            <w:bookmarkStart w:id="308" w:name="_Toc286911325"/>
            <w:bookmarkStart w:id="309" w:name="_Toc247957892"/>
            <w:r w:rsidRPr="00C24ACA">
              <w:rPr>
                <w:rFonts w:eastAsiaTheme="minorEastAsia"/>
                <w:szCs w:val="21"/>
              </w:rPr>
              <w:t>项目</w:t>
            </w:r>
          </w:p>
        </w:tc>
        <w:tc>
          <w:tcPr>
            <w:tcW w:w="2321"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份额级别</w:t>
            </w:r>
          </w:p>
        </w:tc>
        <w:tc>
          <w:tcPr>
            <w:tcW w:w="2322"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持有份额总数（份）</w:t>
            </w:r>
          </w:p>
        </w:tc>
        <w:tc>
          <w:tcPr>
            <w:tcW w:w="2322"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占基金总份额比例</w:t>
            </w:r>
          </w:p>
        </w:tc>
      </w:tr>
      <w:tr w:rsidR="00232443" w:rsidRPr="00C24ACA" w:rsidTr="005C3575">
        <w:tc>
          <w:tcPr>
            <w:tcW w:w="2321" w:type="dxa"/>
            <w:vMerge w:val="restart"/>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color w:val="000000"/>
                <w:szCs w:val="21"/>
              </w:rPr>
              <w:t>基金管理人所有从业人员持有本基金</w:t>
            </w:r>
          </w:p>
        </w:tc>
        <w:tc>
          <w:tcPr>
            <w:tcW w:w="2321" w:type="dxa"/>
            <w:vAlign w:val="center"/>
          </w:tcPr>
          <w:p w:rsidR="00232443" w:rsidRPr="00C24ACA" w:rsidRDefault="00232443" w:rsidP="005C3575">
            <w:pPr>
              <w:jc w:val="center"/>
              <w:rPr>
                <w:rFonts w:eastAsiaTheme="minorEastAsia"/>
                <w:color w:val="000000"/>
                <w:kern w:val="0"/>
                <w:szCs w:val="21"/>
              </w:rPr>
            </w:pPr>
            <w:r w:rsidRPr="00C24ACA">
              <w:rPr>
                <w:rFonts w:eastAsiaTheme="minorEastAsia"/>
                <w:szCs w:val="21"/>
              </w:rPr>
              <w:t>易方达黄金主题（</w:t>
            </w:r>
            <w:r w:rsidRPr="00C24ACA">
              <w:rPr>
                <w:rFonts w:eastAsiaTheme="minorEastAsia"/>
                <w:szCs w:val="21"/>
              </w:rPr>
              <w:t>QDII-LOF-FOF</w:t>
            </w:r>
            <w:r w:rsidRPr="00C24ACA">
              <w:rPr>
                <w:rFonts w:eastAsiaTheme="minorEastAsia"/>
                <w:szCs w:val="21"/>
              </w:rPr>
              <w:t>）</w:t>
            </w:r>
            <w:r w:rsidRPr="00C24ACA">
              <w:rPr>
                <w:rFonts w:eastAsiaTheme="minorEastAsia"/>
                <w:szCs w:val="21"/>
              </w:rPr>
              <w:t>A</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254,987.75</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0.0809%</w:t>
            </w:r>
          </w:p>
        </w:tc>
      </w:tr>
      <w:tr w:rsidR="00232443" w:rsidRPr="00C24ACA" w:rsidTr="005C3575">
        <w:tc>
          <w:tcPr>
            <w:tcW w:w="2321" w:type="dxa"/>
            <w:vMerge/>
          </w:tcPr>
          <w:p w:rsidR="00232443" w:rsidRPr="00C24ACA" w:rsidRDefault="00232443" w:rsidP="005C3575">
            <w:pPr>
              <w:pStyle w:val="a0"/>
              <w:ind w:firstLineChars="0" w:firstLine="0"/>
              <w:rPr>
                <w:rFonts w:eastAsiaTheme="minorEastAsia"/>
                <w:szCs w:val="21"/>
              </w:rPr>
            </w:pPr>
          </w:p>
        </w:tc>
        <w:tc>
          <w:tcPr>
            <w:tcW w:w="2321" w:type="dxa"/>
            <w:vAlign w:val="center"/>
          </w:tcPr>
          <w:p w:rsidR="00232443" w:rsidRPr="00C24ACA" w:rsidRDefault="00232443" w:rsidP="005C3575">
            <w:pPr>
              <w:jc w:val="center"/>
              <w:rPr>
                <w:rFonts w:eastAsiaTheme="minorEastAsia"/>
                <w:color w:val="000000"/>
                <w:kern w:val="0"/>
                <w:szCs w:val="21"/>
              </w:rPr>
            </w:pPr>
            <w:r w:rsidRPr="00C24ACA">
              <w:rPr>
                <w:rFonts w:eastAsiaTheme="minorEastAsia"/>
                <w:szCs w:val="21"/>
              </w:rPr>
              <w:t>易方达黄金主题（</w:t>
            </w:r>
            <w:r w:rsidRPr="00C24ACA">
              <w:rPr>
                <w:rFonts w:eastAsiaTheme="minorEastAsia"/>
                <w:szCs w:val="21"/>
              </w:rPr>
              <w:t>QDII-LOF-FOF</w:t>
            </w:r>
            <w:r w:rsidRPr="00C24ACA">
              <w:rPr>
                <w:rFonts w:eastAsiaTheme="minorEastAsia"/>
                <w:szCs w:val="21"/>
              </w:rPr>
              <w:t>）</w:t>
            </w:r>
            <w:r w:rsidRPr="00C24ACA">
              <w:rPr>
                <w:rFonts w:eastAsiaTheme="minorEastAsia"/>
                <w:szCs w:val="21"/>
              </w:rPr>
              <w:t>C</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4,730.93</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0.3615%</w:t>
            </w:r>
          </w:p>
        </w:tc>
      </w:tr>
      <w:tr w:rsidR="00232443" w:rsidRPr="00C24ACA" w:rsidTr="005C3575">
        <w:tc>
          <w:tcPr>
            <w:tcW w:w="2321" w:type="dxa"/>
            <w:vMerge/>
          </w:tcPr>
          <w:p w:rsidR="00232443" w:rsidRPr="00C24ACA" w:rsidRDefault="00232443" w:rsidP="005C3575">
            <w:pPr>
              <w:pStyle w:val="a0"/>
              <w:ind w:firstLineChars="0" w:firstLine="0"/>
              <w:rPr>
                <w:rFonts w:eastAsiaTheme="minorEastAsia"/>
                <w:szCs w:val="21"/>
              </w:rPr>
            </w:pPr>
          </w:p>
        </w:tc>
        <w:tc>
          <w:tcPr>
            <w:tcW w:w="2321" w:type="dxa"/>
            <w:vAlign w:val="center"/>
          </w:tcPr>
          <w:p w:rsidR="00232443" w:rsidRPr="00C24ACA" w:rsidRDefault="00232443" w:rsidP="005C3575">
            <w:pPr>
              <w:widowControl/>
              <w:jc w:val="center"/>
              <w:rPr>
                <w:rFonts w:eastAsiaTheme="minorEastAsia"/>
                <w:color w:val="000000"/>
                <w:kern w:val="0"/>
                <w:szCs w:val="21"/>
              </w:rPr>
            </w:pPr>
            <w:r w:rsidRPr="00C24ACA">
              <w:rPr>
                <w:rFonts w:eastAsiaTheme="minorEastAsia"/>
                <w:color w:val="000000"/>
                <w:kern w:val="0"/>
                <w:szCs w:val="21"/>
              </w:rPr>
              <w:t>合计</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259,718.68</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0.0820%</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注：基金管理人的从业人员持有的易方达黄金主题（</w:t>
      </w:r>
      <w:r w:rsidRPr="00C24ACA">
        <w:rPr>
          <w:rFonts w:eastAsiaTheme="minorEastAsia"/>
          <w:kern w:val="0"/>
          <w:szCs w:val="21"/>
        </w:rPr>
        <w:t>QDII-LOF-FOF</w:t>
      </w:r>
      <w:r w:rsidRPr="00C24ACA">
        <w:rPr>
          <w:rFonts w:eastAsiaTheme="minorEastAsia"/>
          <w:kern w:val="0"/>
          <w:szCs w:val="21"/>
        </w:rPr>
        <w:t>）</w:t>
      </w:r>
      <w:r w:rsidRPr="00C24ACA">
        <w:rPr>
          <w:rFonts w:eastAsiaTheme="minorEastAsia"/>
          <w:kern w:val="0"/>
          <w:szCs w:val="21"/>
        </w:rPr>
        <w:t>A</w:t>
      </w:r>
      <w:r w:rsidRPr="00C24ACA">
        <w:rPr>
          <w:rFonts w:eastAsiaTheme="minorEastAsia"/>
          <w:kern w:val="0"/>
          <w:szCs w:val="21"/>
        </w:rPr>
        <w:t>类份额含</w:t>
      </w:r>
      <w:r w:rsidRPr="00C24ACA">
        <w:rPr>
          <w:rFonts w:eastAsiaTheme="minorEastAsia"/>
          <w:kern w:val="0"/>
          <w:szCs w:val="21"/>
        </w:rPr>
        <w:t>A</w:t>
      </w:r>
      <w:r w:rsidRPr="00C24ACA">
        <w:rPr>
          <w:rFonts w:eastAsiaTheme="minorEastAsia"/>
          <w:kern w:val="0"/>
          <w:szCs w:val="21"/>
        </w:rPr>
        <w:t>类人民币份额、</w:t>
      </w:r>
      <w:r w:rsidRPr="00C24ACA">
        <w:rPr>
          <w:rFonts w:eastAsiaTheme="minorEastAsia"/>
          <w:kern w:val="0"/>
          <w:szCs w:val="21"/>
        </w:rPr>
        <w:t>A</w:t>
      </w:r>
      <w:r w:rsidRPr="00C24ACA">
        <w:rPr>
          <w:rFonts w:eastAsiaTheme="minorEastAsia"/>
          <w:kern w:val="0"/>
          <w:szCs w:val="21"/>
        </w:rPr>
        <w:t>类美元份额；易方达黄金主题（</w:t>
      </w:r>
      <w:r w:rsidRPr="00C24ACA">
        <w:rPr>
          <w:rFonts w:eastAsiaTheme="minorEastAsia"/>
          <w:kern w:val="0"/>
          <w:szCs w:val="21"/>
        </w:rPr>
        <w:t>QDII-LOF-FOF</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类份额含</w:t>
      </w:r>
      <w:r w:rsidRPr="00C24ACA">
        <w:rPr>
          <w:rFonts w:eastAsiaTheme="minorEastAsia"/>
          <w:kern w:val="0"/>
          <w:szCs w:val="21"/>
        </w:rPr>
        <w:t>C</w:t>
      </w:r>
      <w:r w:rsidRPr="00C24ACA">
        <w:rPr>
          <w:rFonts w:eastAsiaTheme="minorEastAsia"/>
          <w:kern w:val="0"/>
          <w:szCs w:val="21"/>
        </w:rPr>
        <w:t>类人民币份额及</w:t>
      </w:r>
      <w:r w:rsidRPr="00C24ACA">
        <w:rPr>
          <w:rFonts w:eastAsiaTheme="minorEastAsia"/>
          <w:kern w:val="0"/>
          <w:szCs w:val="21"/>
        </w:rPr>
        <w:t>C</w:t>
      </w:r>
      <w:r w:rsidRPr="00C24ACA">
        <w:rPr>
          <w:rFonts w:eastAsiaTheme="minorEastAsia"/>
          <w:kern w:val="0"/>
          <w:szCs w:val="21"/>
        </w:rPr>
        <w:t>类美元份额。</w:t>
      </w:r>
      <w:bookmarkEnd w:id="308"/>
      <w:bookmarkEnd w:id="309"/>
    </w:p>
    <w:p w:rsidR="000B6328" w:rsidRPr="00A317EA" w:rsidRDefault="00251D61" w:rsidP="00732F5C">
      <w:pPr>
        <w:pStyle w:val="20"/>
        <w:spacing w:beforeLines="100" w:before="312" w:after="0"/>
        <w:rPr>
          <w:rFonts w:ascii="Times New Roman" w:eastAsiaTheme="minorEastAsia" w:hAnsi="Times New Roman"/>
          <w:kern w:val="0"/>
          <w:sz w:val="21"/>
          <w:szCs w:val="21"/>
        </w:rPr>
      </w:pPr>
      <w:bookmarkStart w:id="310" w:name="_Toc48663442"/>
      <w:r w:rsidRPr="0087359D">
        <w:rPr>
          <w:rFonts w:ascii="宋体" w:hAnsi="宋体"/>
          <w:kern w:val="0"/>
          <w:sz w:val="21"/>
          <w:szCs w:val="21"/>
        </w:rPr>
        <w:t>8.4</w:t>
      </w:r>
      <w:r w:rsidR="00982AAE" w:rsidRPr="009A2157">
        <w:rPr>
          <w:rFonts w:ascii="Times New Roman" w:eastAsiaTheme="minorEastAsia" w:hAnsi="Times New Roman"/>
          <w:kern w:val="0"/>
          <w:sz w:val="21"/>
          <w:szCs w:val="21"/>
        </w:rPr>
        <w:t xml:space="preserve">   </w:t>
      </w:r>
      <w:r w:rsidR="000B6328" w:rsidRPr="00A317EA">
        <w:rPr>
          <w:rFonts w:ascii="Times New Roman" w:eastAsiaTheme="minorEastAsia" w:hAnsi="Times New Roman"/>
          <w:kern w:val="0"/>
          <w:sz w:val="21"/>
          <w:szCs w:val="21"/>
        </w:rPr>
        <w:t>期末基金管理人的从业人员持有本开放式基金份额总量区间的情况</w:t>
      </w:r>
      <w:bookmarkEnd w:id="3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232443" w:rsidRPr="00C24ACA" w:rsidTr="004322C7">
        <w:trPr>
          <w:trHeight w:val="285"/>
        </w:trPr>
        <w:tc>
          <w:tcPr>
            <w:tcW w:w="2548"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项目</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份额级别</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持有基金份额总量的数量区间（万份）</w:t>
            </w:r>
          </w:p>
        </w:tc>
      </w:tr>
      <w:tr w:rsidR="00232443" w:rsidRPr="00C24ACA" w:rsidTr="004322C7">
        <w:trPr>
          <w:trHeight w:val="285"/>
        </w:trPr>
        <w:tc>
          <w:tcPr>
            <w:tcW w:w="2548" w:type="dxa"/>
            <w:vMerge w:val="restart"/>
            <w:shd w:val="clear" w:color="auto" w:fill="auto"/>
            <w:tcMar>
              <w:top w:w="0" w:type="dxa"/>
              <w:left w:w="108" w:type="dxa"/>
              <w:bottom w:w="0" w:type="dxa"/>
              <w:right w:w="108" w:type="dxa"/>
            </w:tcMar>
            <w:vAlign w:val="center"/>
            <w:hideMark/>
          </w:tcPr>
          <w:p w:rsidR="00232443" w:rsidRPr="00C24ACA" w:rsidRDefault="00232443" w:rsidP="005C3575">
            <w:pPr>
              <w:widowControl/>
              <w:jc w:val="left"/>
              <w:rPr>
                <w:rFonts w:eastAsiaTheme="minorEastAsia"/>
                <w:kern w:val="0"/>
                <w:szCs w:val="21"/>
              </w:rPr>
            </w:pPr>
            <w:r w:rsidRPr="00C24ACA">
              <w:rPr>
                <w:rFonts w:eastAsiaTheme="minorEastAsia"/>
                <w:kern w:val="0"/>
                <w:szCs w:val="21"/>
              </w:rPr>
              <w:t>本公司高级管理人员、基金投资和研究部门负责人</w:t>
            </w:r>
            <w:r w:rsidRPr="00C24ACA">
              <w:rPr>
                <w:rFonts w:eastAsiaTheme="minor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易方达黄金主题（</w:t>
            </w:r>
            <w:r w:rsidRPr="00C24ACA">
              <w:rPr>
                <w:rFonts w:eastAsiaTheme="minorEastAsia"/>
                <w:kern w:val="0"/>
                <w:szCs w:val="21"/>
              </w:rPr>
              <w:t>QDII-LOF-FOF</w:t>
            </w:r>
            <w:r w:rsidRPr="00C24ACA">
              <w:rPr>
                <w:rFonts w:eastAsiaTheme="minorEastAsia"/>
                <w:kern w:val="0"/>
                <w:szCs w:val="21"/>
              </w:rPr>
              <w:t>）</w:t>
            </w:r>
            <w:r w:rsidRPr="00C24ACA">
              <w:rPr>
                <w:rFonts w:eastAsiaTheme="minorEastAsia"/>
                <w:kern w:val="0"/>
                <w:szCs w:val="21"/>
              </w:rPr>
              <w:t>A</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28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易方达黄金主题（</w:t>
            </w:r>
            <w:r w:rsidRPr="00C24ACA">
              <w:rPr>
                <w:rFonts w:eastAsiaTheme="minorEastAsia"/>
                <w:kern w:val="0"/>
                <w:szCs w:val="21"/>
              </w:rPr>
              <w:t>QDII-LOF-FOF</w:t>
            </w:r>
            <w:r w:rsidRPr="00C24ACA">
              <w:rPr>
                <w:rFonts w:eastAsiaTheme="minorEastAsia"/>
                <w:kern w:val="0"/>
                <w:szCs w:val="21"/>
              </w:rPr>
              <w:t>）</w:t>
            </w:r>
            <w:r w:rsidRPr="00C24ACA">
              <w:rPr>
                <w:rFonts w:eastAsiaTheme="minorEastAsia"/>
                <w:kern w:val="0"/>
                <w:szCs w:val="21"/>
              </w:rPr>
              <w:t>C</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28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合计</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285"/>
        </w:trPr>
        <w:tc>
          <w:tcPr>
            <w:tcW w:w="2548" w:type="dxa"/>
            <w:vMerge w:val="restart"/>
            <w:shd w:val="clear" w:color="auto" w:fill="auto"/>
            <w:tcMar>
              <w:top w:w="0" w:type="dxa"/>
              <w:left w:w="108" w:type="dxa"/>
              <w:bottom w:w="0" w:type="dxa"/>
              <w:right w:w="108" w:type="dxa"/>
            </w:tcMar>
            <w:vAlign w:val="center"/>
            <w:hideMark/>
          </w:tcPr>
          <w:p w:rsidR="00232443" w:rsidRPr="00C24ACA" w:rsidRDefault="00232443" w:rsidP="005C3575">
            <w:pPr>
              <w:widowControl/>
              <w:jc w:val="left"/>
              <w:rPr>
                <w:rFonts w:eastAsiaTheme="minorEastAsia"/>
                <w:kern w:val="0"/>
                <w:szCs w:val="21"/>
              </w:rPr>
            </w:pPr>
            <w:r w:rsidRPr="00C24ACA">
              <w:rPr>
                <w:rFonts w:eastAsiaTheme="minorEastAsia"/>
                <w:kern w:val="0"/>
                <w:szCs w:val="21"/>
              </w:rPr>
              <w:t>本基金基金经理</w:t>
            </w:r>
            <w:r w:rsidRPr="00C24ACA">
              <w:rPr>
                <w:rFonts w:eastAsiaTheme="minor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易方达黄金主题（</w:t>
            </w:r>
            <w:r w:rsidRPr="00C24ACA">
              <w:rPr>
                <w:rFonts w:eastAsiaTheme="minorEastAsia"/>
                <w:kern w:val="0"/>
                <w:szCs w:val="21"/>
              </w:rPr>
              <w:t>QDII-LOF-FOF</w:t>
            </w:r>
            <w:r w:rsidRPr="00C24ACA">
              <w:rPr>
                <w:rFonts w:eastAsiaTheme="minorEastAsia"/>
                <w:kern w:val="0"/>
                <w:szCs w:val="21"/>
              </w:rPr>
              <w:t>）</w:t>
            </w:r>
            <w:r w:rsidRPr="00C24ACA">
              <w:rPr>
                <w:rFonts w:eastAsiaTheme="minorEastAsia"/>
                <w:kern w:val="0"/>
                <w:szCs w:val="21"/>
              </w:rPr>
              <w:t>A</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52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易方达黄金主题（</w:t>
            </w:r>
            <w:r w:rsidRPr="00C24ACA">
              <w:rPr>
                <w:rFonts w:eastAsiaTheme="minorEastAsia"/>
                <w:kern w:val="0"/>
                <w:szCs w:val="21"/>
              </w:rPr>
              <w:t>QDII-LOF-FOF</w:t>
            </w:r>
            <w:r w:rsidRPr="00C24ACA">
              <w:rPr>
                <w:rFonts w:eastAsiaTheme="minorEastAsia"/>
                <w:kern w:val="0"/>
                <w:szCs w:val="21"/>
              </w:rPr>
              <w:t>）</w:t>
            </w:r>
            <w:r w:rsidRPr="00C24ACA">
              <w:rPr>
                <w:rFonts w:eastAsiaTheme="minorEastAsia"/>
                <w:kern w:val="0"/>
                <w:szCs w:val="21"/>
              </w:rPr>
              <w:t>C</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653"/>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合计</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bl>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11" w:name="_Toc225500053"/>
      <w:bookmarkStart w:id="312" w:name="_Toc352256009"/>
      <w:bookmarkStart w:id="313" w:name="_Toc352256077"/>
      <w:bookmarkStart w:id="314" w:name="_Toc352331255"/>
      <w:bookmarkStart w:id="315" w:name="_Toc390164839"/>
      <w:bookmarkStart w:id="316" w:name="_Toc48663443"/>
      <w:r w:rsidRPr="00A432E9">
        <w:rPr>
          <w:rFonts w:ascii="Times New Roman" w:hAnsi="Times New Roman"/>
          <w:bCs w:val="0"/>
          <w:color w:val="000000"/>
          <w:sz w:val="21"/>
          <w:szCs w:val="21"/>
        </w:rPr>
        <w:t>9</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开放式基金份额变动</w:t>
      </w:r>
      <w:bookmarkEnd w:id="311"/>
      <w:bookmarkEnd w:id="312"/>
      <w:bookmarkEnd w:id="313"/>
      <w:bookmarkEnd w:id="314"/>
      <w:bookmarkEnd w:id="315"/>
      <w:bookmarkEnd w:id="316"/>
    </w:p>
    <w:p w:rsidR="008A5A5D" w:rsidRPr="00C24ACA" w:rsidRDefault="008A5A5D" w:rsidP="002116B9">
      <w:pPr>
        <w:jc w:val="right"/>
        <w:rPr>
          <w:rFonts w:eastAsiaTheme="minorEastAsia"/>
          <w:szCs w:val="21"/>
        </w:rPr>
      </w:pPr>
      <w:r w:rsidRPr="00C24ACA">
        <w:rPr>
          <w:rFonts w:eastAsiaTheme="minorEastAsia"/>
          <w:szCs w:val="21"/>
        </w:rPr>
        <w:t>单位：份</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DE1120" w:rsidRPr="00C24ACA" w:rsidTr="005C3575">
        <w:tc>
          <w:tcPr>
            <w:tcW w:w="1771" w:type="pct"/>
            <w:vAlign w:val="center"/>
          </w:tcPr>
          <w:p w:rsidR="00DE1120" w:rsidRPr="00C24ACA" w:rsidRDefault="00DE1120" w:rsidP="005C3575">
            <w:pPr>
              <w:jc w:val="center"/>
              <w:rPr>
                <w:rFonts w:eastAsiaTheme="minorEastAsia"/>
                <w:szCs w:val="21"/>
              </w:rPr>
            </w:pPr>
            <w:r w:rsidRPr="00C24ACA">
              <w:rPr>
                <w:rFonts w:eastAsiaTheme="minorEastAsia"/>
                <w:szCs w:val="21"/>
              </w:rPr>
              <w:t>项目</w:t>
            </w:r>
          </w:p>
        </w:tc>
        <w:tc>
          <w:tcPr>
            <w:tcW w:w="1614" w:type="pct"/>
            <w:vAlign w:val="center"/>
          </w:tcPr>
          <w:p w:rsidR="00DE1120" w:rsidRPr="00C24ACA" w:rsidRDefault="00DE1120" w:rsidP="005C3575">
            <w:pPr>
              <w:jc w:val="center"/>
              <w:rPr>
                <w:rFonts w:eastAsiaTheme="minorEastAsia"/>
                <w:szCs w:val="21"/>
              </w:rPr>
            </w:pPr>
            <w:r w:rsidRPr="00C24ACA">
              <w:rPr>
                <w:rFonts w:eastAsiaTheme="minorEastAsia"/>
                <w:szCs w:val="21"/>
              </w:rPr>
              <w:t>易方达黄金主题（</w:t>
            </w:r>
            <w:r w:rsidRPr="00C24ACA">
              <w:rPr>
                <w:rFonts w:eastAsiaTheme="minorEastAsia"/>
                <w:szCs w:val="21"/>
              </w:rPr>
              <w:t>QDII-LOF-FOF</w:t>
            </w:r>
            <w:r w:rsidRPr="00C24ACA">
              <w:rPr>
                <w:rFonts w:eastAsiaTheme="minorEastAsia"/>
                <w:szCs w:val="21"/>
              </w:rPr>
              <w:t>）</w:t>
            </w:r>
            <w:r w:rsidRPr="00C24ACA">
              <w:rPr>
                <w:rFonts w:eastAsiaTheme="minorEastAsia"/>
                <w:szCs w:val="21"/>
              </w:rPr>
              <w:t>A</w:t>
            </w:r>
          </w:p>
        </w:tc>
        <w:tc>
          <w:tcPr>
            <w:tcW w:w="1615" w:type="pct"/>
            <w:vAlign w:val="center"/>
          </w:tcPr>
          <w:p w:rsidR="00DE1120" w:rsidRPr="00C24ACA" w:rsidRDefault="00DE1120" w:rsidP="005C3575">
            <w:pPr>
              <w:jc w:val="center"/>
              <w:rPr>
                <w:rFonts w:eastAsiaTheme="minorEastAsia"/>
                <w:szCs w:val="21"/>
              </w:rPr>
            </w:pPr>
            <w:r w:rsidRPr="00C24ACA">
              <w:rPr>
                <w:rFonts w:eastAsiaTheme="minorEastAsia"/>
                <w:szCs w:val="21"/>
              </w:rPr>
              <w:t>易方达黄金主题（</w:t>
            </w:r>
            <w:r w:rsidRPr="00C24ACA">
              <w:rPr>
                <w:rFonts w:eastAsiaTheme="minorEastAsia"/>
                <w:szCs w:val="21"/>
              </w:rPr>
              <w:t>QDII-LOF-FOF</w:t>
            </w:r>
            <w:r w:rsidRPr="00C24ACA">
              <w:rPr>
                <w:rFonts w:eastAsiaTheme="minorEastAsia"/>
                <w:szCs w:val="21"/>
              </w:rPr>
              <w:t>）</w:t>
            </w:r>
            <w:r w:rsidRPr="00C24ACA">
              <w:rPr>
                <w:rFonts w:eastAsiaTheme="minorEastAsia"/>
                <w:szCs w:val="21"/>
              </w:rPr>
              <w:t>C</w:t>
            </w:r>
          </w:p>
        </w:tc>
      </w:tr>
      <w:tr w:rsidR="00DE1120" w:rsidRPr="00C24ACA" w:rsidTr="005C3575">
        <w:tc>
          <w:tcPr>
            <w:tcW w:w="1771" w:type="pct"/>
          </w:tcPr>
          <w:p w:rsidR="00DE1120" w:rsidRPr="00C24ACA" w:rsidRDefault="00DE1120" w:rsidP="005C3575">
            <w:pPr>
              <w:rPr>
                <w:rFonts w:eastAsiaTheme="minorEastAsia"/>
                <w:szCs w:val="21"/>
              </w:rPr>
            </w:pPr>
            <w:r w:rsidRPr="00C24ACA">
              <w:rPr>
                <w:rFonts w:eastAsiaTheme="minorEastAsia"/>
                <w:szCs w:val="21"/>
              </w:rPr>
              <w:t>基金合同生效日（</w:t>
            </w:r>
            <w:r w:rsidRPr="00C24ACA">
              <w:rPr>
                <w:rFonts w:eastAsiaTheme="minorEastAsia"/>
                <w:szCs w:val="21"/>
              </w:rPr>
              <w:t>2011</w:t>
            </w:r>
            <w:r w:rsidRPr="00C24ACA">
              <w:rPr>
                <w:rFonts w:eastAsiaTheme="minorEastAsia"/>
                <w:szCs w:val="21"/>
              </w:rPr>
              <w:t>年</w:t>
            </w:r>
            <w:r w:rsidRPr="00C24ACA">
              <w:rPr>
                <w:rFonts w:eastAsiaTheme="minorEastAsia"/>
                <w:szCs w:val="21"/>
              </w:rPr>
              <w:t>5</w:t>
            </w:r>
            <w:r w:rsidRPr="00C24ACA">
              <w:rPr>
                <w:rFonts w:eastAsiaTheme="minorEastAsia"/>
                <w:szCs w:val="21"/>
              </w:rPr>
              <w:t>月</w:t>
            </w:r>
            <w:r w:rsidRPr="00C24ACA">
              <w:rPr>
                <w:rFonts w:eastAsiaTheme="minorEastAsia"/>
                <w:szCs w:val="21"/>
              </w:rPr>
              <w:t>6</w:t>
            </w:r>
            <w:r w:rsidRPr="00C24ACA">
              <w:rPr>
                <w:rFonts w:eastAsiaTheme="minorEastAsia"/>
                <w:szCs w:val="21"/>
              </w:rPr>
              <w:t>日）基金份额总额</w:t>
            </w:r>
          </w:p>
        </w:tc>
        <w:tc>
          <w:tcPr>
            <w:tcW w:w="1614" w:type="pct"/>
            <w:vAlign w:val="center"/>
          </w:tcPr>
          <w:p w:rsidR="00DE1120" w:rsidRPr="00C24ACA" w:rsidRDefault="00DE1120" w:rsidP="005C3575">
            <w:pPr>
              <w:jc w:val="right"/>
              <w:rPr>
                <w:rFonts w:eastAsiaTheme="minorEastAsia"/>
                <w:szCs w:val="21"/>
              </w:rPr>
            </w:pPr>
            <w:r w:rsidRPr="00C24ACA">
              <w:rPr>
                <w:rFonts w:eastAsiaTheme="minorEastAsia"/>
                <w:szCs w:val="21"/>
              </w:rPr>
              <w:t>2,657,035,909.18</w:t>
            </w:r>
          </w:p>
        </w:tc>
        <w:tc>
          <w:tcPr>
            <w:tcW w:w="1615" w:type="pct"/>
            <w:vAlign w:val="center"/>
          </w:tcPr>
          <w:p w:rsidR="00DE1120" w:rsidRPr="00C24ACA" w:rsidRDefault="00DE1120" w:rsidP="005C3575">
            <w:pPr>
              <w:jc w:val="right"/>
              <w:rPr>
                <w:rFonts w:eastAsiaTheme="minorEastAsia"/>
                <w:szCs w:val="21"/>
              </w:rPr>
            </w:pPr>
            <w:r w:rsidRPr="00C24ACA">
              <w:rPr>
                <w:rFonts w:eastAsiaTheme="minorEastAsia"/>
                <w:szCs w:val="21"/>
              </w:rPr>
              <w:t>-</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本报告期期初基金份额总额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428,703,387.26</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453,818.87</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本报告期基金总申购份额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115,561,285.03</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3,421,734.15</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减：本报告期基金总赎回份额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228,945,700.15</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2,567,034.22</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本报告期基金拆分变动份额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本报告期期末基金份额总额</w:t>
            </w:r>
          </w:p>
        </w:tc>
        <w:tc>
          <w:tcPr>
            <w:tcW w:w="1614" w:type="pct"/>
            <w:vAlign w:val="center"/>
          </w:tcPr>
          <w:p w:rsidR="00DE1120" w:rsidRPr="00C24ACA" w:rsidRDefault="00DE1120" w:rsidP="005C3575">
            <w:pPr>
              <w:jc w:val="right"/>
              <w:rPr>
                <w:rFonts w:eastAsiaTheme="minorEastAsia"/>
                <w:szCs w:val="21"/>
              </w:rPr>
            </w:pPr>
            <w:r w:rsidRPr="00C24ACA">
              <w:rPr>
                <w:rFonts w:eastAsiaTheme="minorEastAsia"/>
                <w:szCs w:val="21"/>
              </w:rPr>
              <w:t>315,318,972.14</w:t>
            </w:r>
          </w:p>
        </w:tc>
        <w:tc>
          <w:tcPr>
            <w:tcW w:w="1615" w:type="pct"/>
            <w:vAlign w:val="center"/>
          </w:tcPr>
          <w:p w:rsidR="00DE1120" w:rsidRPr="00C24ACA" w:rsidRDefault="00DE1120" w:rsidP="005C3575">
            <w:pPr>
              <w:jc w:val="right"/>
              <w:rPr>
                <w:rFonts w:eastAsiaTheme="minorEastAsia"/>
                <w:szCs w:val="21"/>
              </w:rPr>
            </w:pPr>
            <w:r w:rsidRPr="00C24ACA">
              <w:rPr>
                <w:rFonts w:eastAsiaTheme="minorEastAsia"/>
                <w:szCs w:val="21"/>
              </w:rPr>
              <w:t>1,308,518.80</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注：易方达黄金主题（</w:t>
      </w:r>
      <w:r w:rsidRPr="00C24ACA">
        <w:rPr>
          <w:rFonts w:eastAsiaTheme="minorEastAsia"/>
          <w:kern w:val="0"/>
          <w:szCs w:val="21"/>
        </w:rPr>
        <w:t>QDII-LOF-FOF</w:t>
      </w:r>
      <w:r w:rsidRPr="00C24ACA">
        <w:rPr>
          <w:rFonts w:eastAsiaTheme="minorEastAsia"/>
          <w:kern w:val="0"/>
          <w:szCs w:val="21"/>
        </w:rPr>
        <w:t>）</w:t>
      </w:r>
      <w:r w:rsidRPr="00C24ACA">
        <w:rPr>
          <w:rFonts w:eastAsiaTheme="minorEastAsia"/>
          <w:kern w:val="0"/>
          <w:szCs w:val="21"/>
        </w:rPr>
        <w:t>A</w:t>
      </w:r>
      <w:r w:rsidRPr="00C24ACA">
        <w:rPr>
          <w:rFonts w:eastAsiaTheme="minorEastAsia"/>
          <w:kern w:val="0"/>
          <w:szCs w:val="21"/>
        </w:rPr>
        <w:t>份额变动含</w:t>
      </w:r>
      <w:r w:rsidRPr="00C24ACA">
        <w:rPr>
          <w:rFonts w:eastAsiaTheme="minorEastAsia"/>
          <w:kern w:val="0"/>
          <w:szCs w:val="21"/>
        </w:rPr>
        <w:t>A</w:t>
      </w:r>
      <w:r w:rsidRPr="00C24ACA">
        <w:rPr>
          <w:rFonts w:eastAsiaTheme="minorEastAsia"/>
          <w:kern w:val="0"/>
          <w:szCs w:val="21"/>
        </w:rPr>
        <w:t>类人民币份额及</w:t>
      </w:r>
      <w:r w:rsidRPr="00C24ACA">
        <w:rPr>
          <w:rFonts w:eastAsiaTheme="minorEastAsia"/>
          <w:kern w:val="0"/>
          <w:szCs w:val="21"/>
        </w:rPr>
        <w:t>A</w:t>
      </w:r>
      <w:r w:rsidRPr="00C24ACA">
        <w:rPr>
          <w:rFonts w:eastAsiaTheme="minorEastAsia"/>
          <w:kern w:val="0"/>
          <w:szCs w:val="21"/>
        </w:rPr>
        <w:t>类美元份额；易方达黄金主题（</w:t>
      </w:r>
      <w:r w:rsidRPr="00C24ACA">
        <w:rPr>
          <w:rFonts w:eastAsiaTheme="minorEastAsia"/>
          <w:kern w:val="0"/>
          <w:szCs w:val="21"/>
        </w:rPr>
        <w:t>QDII-LOF-FOF</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份额变动含</w:t>
      </w:r>
      <w:r w:rsidRPr="00C24ACA">
        <w:rPr>
          <w:rFonts w:eastAsiaTheme="minorEastAsia"/>
          <w:kern w:val="0"/>
          <w:szCs w:val="21"/>
        </w:rPr>
        <w:t>C</w:t>
      </w:r>
      <w:r w:rsidRPr="00C24ACA">
        <w:rPr>
          <w:rFonts w:eastAsiaTheme="minorEastAsia"/>
          <w:kern w:val="0"/>
          <w:szCs w:val="21"/>
        </w:rPr>
        <w:t>类人民币份额及</w:t>
      </w:r>
      <w:r w:rsidRPr="00C24ACA">
        <w:rPr>
          <w:rFonts w:eastAsiaTheme="minorEastAsia"/>
          <w:kern w:val="0"/>
          <w:szCs w:val="21"/>
        </w:rPr>
        <w:t>C</w:t>
      </w:r>
      <w:r w:rsidRPr="00C24ACA">
        <w:rPr>
          <w:rFonts w:eastAsiaTheme="minorEastAsia"/>
          <w:kern w:val="0"/>
          <w:szCs w:val="21"/>
        </w:rPr>
        <w:t>类美元份额。</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17" w:name="_Toc225500054"/>
      <w:bookmarkStart w:id="318" w:name="_Toc352256010"/>
      <w:bookmarkStart w:id="319" w:name="_Toc352256078"/>
      <w:bookmarkStart w:id="320" w:name="_Toc352331256"/>
      <w:bookmarkStart w:id="321" w:name="_Toc390164840"/>
      <w:bookmarkStart w:id="322" w:name="_Toc48663444"/>
      <w:r w:rsidRPr="000C6CCD">
        <w:rPr>
          <w:rFonts w:ascii="宋体" w:hAnsi="宋体"/>
          <w:bCs w:val="0"/>
          <w:color w:val="000000"/>
          <w:sz w:val="21"/>
          <w:szCs w:val="21"/>
        </w:rPr>
        <w:t>10</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重大事件揭示</w:t>
      </w:r>
      <w:bookmarkEnd w:id="317"/>
      <w:bookmarkEnd w:id="318"/>
      <w:bookmarkEnd w:id="319"/>
      <w:bookmarkEnd w:id="320"/>
      <w:bookmarkEnd w:id="321"/>
      <w:bookmarkEnd w:id="322"/>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23" w:name="_Toc352256011"/>
      <w:bookmarkStart w:id="324" w:name="_Toc352256079"/>
      <w:bookmarkStart w:id="325" w:name="_Toc352331257"/>
      <w:bookmarkStart w:id="326" w:name="_Toc390164841"/>
      <w:bookmarkStart w:id="327" w:name="_Toc48663445"/>
      <w:r w:rsidRPr="0087359D">
        <w:rPr>
          <w:rFonts w:ascii="宋体" w:hAnsi="宋体"/>
          <w:kern w:val="0"/>
          <w:sz w:val="21"/>
          <w:szCs w:val="21"/>
        </w:rPr>
        <w:t>10.</w:t>
      </w:r>
      <w:r w:rsidR="00F0322F">
        <w:rPr>
          <w:rFonts w:ascii="宋体" w:hAnsi="宋体" w:hint="eastAsia"/>
          <w:kern w:val="0"/>
          <w:sz w:val="21"/>
          <w:szCs w:val="21"/>
        </w:rPr>
        <w:t>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基金份额持有人大会决议</w:t>
      </w:r>
      <w:bookmarkEnd w:id="323"/>
      <w:bookmarkEnd w:id="324"/>
      <w:bookmarkEnd w:id="325"/>
      <w:bookmarkEnd w:id="326"/>
      <w:bookmarkEnd w:id="327"/>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本报告期内未召开基金份额持有人大会。</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28" w:name="_Toc352256012"/>
      <w:bookmarkStart w:id="329" w:name="_Toc352256080"/>
      <w:bookmarkStart w:id="330" w:name="_Toc352331258"/>
      <w:bookmarkStart w:id="331" w:name="_Toc390164842"/>
      <w:bookmarkStart w:id="332" w:name="_Toc48663446"/>
      <w:r w:rsidRPr="0087359D">
        <w:rPr>
          <w:rFonts w:ascii="宋体" w:hAnsi="宋体"/>
          <w:kern w:val="0"/>
          <w:sz w:val="21"/>
          <w:szCs w:val="21"/>
        </w:rPr>
        <w:t>10.</w:t>
      </w:r>
      <w:r>
        <w:rPr>
          <w:rFonts w:ascii="宋体" w:hAnsi="宋体" w:hint="eastAsia"/>
          <w:kern w:val="0"/>
          <w:sz w:val="21"/>
          <w:szCs w:val="21"/>
        </w:rPr>
        <w:t>2</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基金管理人、基金托管人的专门基金托管部门的重大人事变动</w:t>
      </w:r>
      <w:bookmarkEnd w:id="328"/>
      <w:bookmarkEnd w:id="329"/>
      <w:bookmarkEnd w:id="330"/>
      <w:bookmarkEnd w:id="331"/>
      <w:bookmarkEnd w:id="332"/>
    </w:p>
    <w:p w:rsidR="00854133" w:rsidRDefault="00581AA4">
      <w:pPr>
        <w:widowControl/>
        <w:spacing w:line="360" w:lineRule="auto"/>
        <w:ind w:firstLineChars="200" w:firstLine="420"/>
        <w:rPr>
          <w:rFonts w:eastAsiaTheme="minorEastAsia"/>
          <w:kern w:val="0"/>
          <w:szCs w:val="21"/>
        </w:rPr>
      </w:pPr>
      <w:r>
        <w:rPr>
          <w:rFonts w:eastAsiaTheme="minorEastAsia"/>
          <w:kern w:val="0"/>
          <w:szCs w:val="21"/>
        </w:rPr>
        <w:t>本基金管理人于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22</w:t>
      </w:r>
      <w:r>
        <w:rPr>
          <w:rFonts w:eastAsiaTheme="minorEastAsia"/>
          <w:kern w:val="0"/>
          <w:szCs w:val="21"/>
        </w:rPr>
        <w:t>日发布公告，自</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22</w:t>
      </w:r>
      <w:r>
        <w:rPr>
          <w:rFonts w:eastAsiaTheme="minorEastAsia"/>
          <w:kern w:val="0"/>
          <w:szCs w:val="21"/>
        </w:rPr>
        <w:t>日起聘任张坤先生、陈丽园女士担任公司副总经理级高级管理人员。</w:t>
      </w:r>
    </w:p>
    <w:p w:rsidR="008A5A5D" w:rsidRPr="00C24ACA" w:rsidRDefault="008A5A5D" w:rsidP="008134C7">
      <w:pPr>
        <w:widowControl/>
        <w:spacing w:line="360" w:lineRule="auto"/>
        <w:ind w:firstLineChars="200" w:firstLine="420"/>
        <w:rPr>
          <w:rFonts w:eastAsiaTheme="minorEastAsia"/>
          <w:kern w:val="0"/>
          <w:szCs w:val="21"/>
        </w:rPr>
      </w:pPr>
      <w:r w:rsidRPr="00C24ACA">
        <w:rPr>
          <w:rFonts w:eastAsiaTheme="minorEastAsia"/>
          <w:kern w:val="0"/>
          <w:szCs w:val="21"/>
        </w:rPr>
        <w:t>本报告期内本基金托管人的专门基金托管部门未发生重大人事变动。</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33" w:name="_Toc352256013"/>
      <w:bookmarkStart w:id="334" w:name="_Toc352256081"/>
      <w:bookmarkStart w:id="335" w:name="_Toc352331259"/>
      <w:bookmarkStart w:id="336" w:name="_Toc390164843"/>
      <w:bookmarkStart w:id="337" w:name="_Toc48663447"/>
      <w:r w:rsidRPr="0087359D">
        <w:rPr>
          <w:rFonts w:ascii="宋体" w:hAnsi="宋体"/>
          <w:kern w:val="0"/>
          <w:sz w:val="21"/>
          <w:szCs w:val="21"/>
        </w:rPr>
        <w:t>10.</w:t>
      </w:r>
      <w:r>
        <w:rPr>
          <w:rFonts w:ascii="宋体" w:hAnsi="宋体" w:hint="eastAsia"/>
          <w:kern w:val="0"/>
          <w:sz w:val="21"/>
          <w:szCs w:val="21"/>
        </w:rPr>
        <w:t>3</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涉及基金管理人、基金财产、基金托管业务的诉讼</w:t>
      </w:r>
      <w:bookmarkEnd w:id="333"/>
      <w:bookmarkEnd w:id="334"/>
      <w:bookmarkEnd w:id="335"/>
      <w:bookmarkEnd w:id="336"/>
      <w:bookmarkEnd w:id="337"/>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本报告期内无涉及本基金管理人、基金财产、基金托管业务的诉讼事项。</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38" w:name="_Toc352256014"/>
      <w:bookmarkStart w:id="339" w:name="_Toc352256082"/>
      <w:bookmarkStart w:id="340" w:name="_Toc352331260"/>
      <w:bookmarkStart w:id="341" w:name="_Toc390164844"/>
      <w:bookmarkStart w:id="342" w:name="_Toc48663448"/>
      <w:r w:rsidRPr="0087359D">
        <w:rPr>
          <w:rFonts w:ascii="宋体" w:hAnsi="宋体"/>
          <w:kern w:val="0"/>
          <w:sz w:val="21"/>
          <w:szCs w:val="21"/>
        </w:rPr>
        <w:t>10.</w:t>
      </w:r>
      <w:r>
        <w:rPr>
          <w:rFonts w:ascii="宋体" w:hAnsi="宋体" w:hint="eastAsia"/>
          <w:kern w:val="0"/>
          <w:sz w:val="21"/>
          <w:szCs w:val="21"/>
        </w:rPr>
        <w:t>4</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基金投资策略的改变</w:t>
      </w:r>
      <w:bookmarkEnd w:id="338"/>
      <w:bookmarkEnd w:id="339"/>
      <w:bookmarkEnd w:id="340"/>
      <w:bookmarkEnd w:id="341"/>
      <w:bookmarkEnd w:id="342"/>
    </w:p>
    <w:p w:rsidR="00F0322F" w:rsidRPr="00F13227" w:rsidRDefault="008A5A5D" w:rsidP="00F0322F">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本报告期内本基金的投资策略未有重大变化。</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43" w:name="_Toc352256015"/>
      <w:bookmarkStart w:id="344" w:name="_Toc352256083"/>
      <w:bookmarkStart w:id="345" w:name="_Toc352331261"/>
      <w:bookmarkStart w:id="346" w:name="_Toc390164845"/>
      <w:bookmarkStart w:id="347" w:name="_Toc48663449"/>
      <w:r w:rsidRPr="0087359D">
        <w:rPr>
          <w:rFonts w:ascii="宋体" w:hAnsi="宋体"/>
          <w:kern w:val="0"/>
          <w:sz w:val="21"/>
          <w:szCs w:val="21"/>
        </w:rPr>
        <w:t>10.</w:t>
      </w:r>
      <w:r>
        <w:rPr>
          <w:rFonts w:ascii="宋体" w:hAnsi="宋体" w:hint="eastAsia"/>
          <w:kern w:val="0"/>
          <w:sz w:val="21"/>
          <w:szCs w:val="21"/>
        </w:rPr>
        <w:t>5</w:t>
      </w:r>
      <w:r w:rsidR="00982AAE" w:rsidRPr="009A2157">
        <w:rPr>
          <w:rFonts w:ascii="Times New Roman" w:eastAsiaTheme="minorEastAsia" w:hAnsi="Times New Roman"/>
          <w:kern w:val="0"/>
          <w:sz w:val="21"/>
          <w:szCs w:val="21"/>
        </w:rPr>
        <w:t xml:space="preserve">  </w:t>
      </w:r>
      <w:bookmarkEnd w:id="343"/>
      <w:bookmarkEnd w:id="344"/>
      <w:bookmarkEnd w:id="345"/>
      <w:bookmarkEnd w:id="346"/>
      <w:r w:rsidR="00973DE4" w:rsidRPr="0087410D">
        <w:rPr>
          <w:rFonts w:ascii="宋体" w:hAnsi="宋体" w:hint="eastAsia"/>
          <w:kern w:val="0"/>
          <w:sz w:val="21"/>
          <w:szCs w:val="21"/>
        </w:rPr>
        <w:t>为基金进行审计的会计师事务所情况</w:t>
      </w:r>
      <w:bookmarkEnd w:id="347"/>
    </w:p>
    <w:p w:rsidR="008A5A5D" w:rsidRPr="00C24ACA" w:rsidRDefault="008A5A5D" w:rsidP="001412CA">
      <w:pPr>
        <w:tabs>
          <w:tab w:val="left" w:pos="426"/>
        </w:tabs>
        <w:spacing w:line="360" w:lineRule="auto"/>
        <w:ind w:firstLineChars="200" w:firstLine="420"/>
        <w:jc w:val="left"/>
        <w:rPr>
          <w:rFonts w:eastAsiaTheme="minorEastAsia"/>
          <w:kern w:val="0"/>
          <w:szCs w:val="21"/>
        </w:rPr>
      </w:pPr>
      <w:bookmarkStart w:id="348" w:name="OLE_LINK3"/>
      <w:r w:rsidRPr="00C24ACA">
        <w:rPr>
          <w:rFonts w:eastAsiaTheme="minorEastAsia"/>
          <w:kern w:val="0"/>
          <w:szCs w:val="21"/>
        </w:rPr>
        <w:t>本报告期内本基金未改聘会计师事务所。</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49" w:name="_Toc352256016"/>
      <w:bookmarkStart w:id="350" w:name="_Toc352256084"/>
      <w:bookmarkStart w:id="351" w:name="_Toc352331262"/>
      <w:bookmarkStart w:id="352" w:name="_Toc390164846"/>
      <w:bookmarkStart w:id="353" w:name="_Toc48663450"/>
      <w:bookmarkEnd w:id="348"/>
      <w:r w:rsidRPr="0087359D">
        <w:rPr>
          <w:rFonts w:ascii="宋体" w:hAnsi="宋体"/>
          <w:kern w:val="0"/>
          <w:sz w:val="21"/>
          <w:szCs w:val="21"/>
        </w:rPr>
        <w:t>10.</w:t>
      </w:r>
      <w:r>
        <w:rPr>
          <w:rFonts w:ascii="宋体" w:hAnsi="宋体" w:hint="eastAsia"/>
          <w:kern w:val="0"/>
          <w:sz w:val="21"/>
          <w:szCs w:val="21"/>
        </w:rPr>
        <w:t>6</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管理人、托管人及其高级管理人员受稽查或处罚等情况</w:t>
      </w:r>
      <w:bookmarkEnd w:id="349"/>
      <w:bookmarkEnd w:id="350"/>
      <w:bookmarkEnd w:id="351"/>
      <w:bookmarkEnd w:id="352"/>
      <w:bookmarkEnd w:id="353"/>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本报告期内，本基金管理人和托管人托管业务部门及其相关高级管理人员未受到稽查或处罚。</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54" w:name="_Toc352256017"/>
      <w:bookmarkStart w:id="355" w:name="_Toc352256085"/>
      <w:bookmarkStart w:id="356" w:name="_Toc352331263"/>
      <w:bookmarkStart w:id="357" w:name="_Toc390164847"/>
      <w:bookmarkStart w:id="358" w:name="_Toc48663451"/>
      <w:r w:rsidRPr="0087359D">
        <w:rPr>
          <w:rFonts w:ascii="宋体" w:hAnsi="宋体"/>
          <w:kern w:val="0"/>
          <w:sz w:val="21"/>
          <w:szCs w:val="21"/>
        </w:rPr>
        <w:t>10.</w:t>
      </w:r>
      <w:r>
        <w:rPr>
          <w:rFonts w:ascii="宋体" w:hAnsi="宋体" w:hint="eastAsia"/>
          <w:kern w:val="0"/>
          <w:sz w:val="21"/>
          <w:szCs w:val="21"/>
        </w:rPr>
        <w:t>7</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基金租用证券公司交易单元的有关情况</w:t>
      </w:r>
      <w:bookmarkEnd w:id="354"/>
      <w:bookmarkEnd w:id="355"/>
      <w:bookmarkEnd w:id="356"/>
      <w:bookmarkEnd w:id="357"/>
      <w:bookmarkEnd w:id="358"/>
    </w:p>
    <w:p w:rsidR="008A5A5D" w:rsidRPr="00C24ACA" w:rsidRDefault="000D1F25" w:rsidP="00E92B70">
      <w:pPr>
        <w:spacing w:line="360" w:lineRule="auto"/>
        <w:rPr>
          <w:rFonts w:eastAsiaTheme="minorEastAsia"/>
          <w:b/>
          <w:szCs w:val="21"/>
        </w:rPr>
      </w:pPr>
      <w:bookmarkStart w:id="359" w:name="_Toc249760070"/>
      <w:r w:rsidRPr="00576CAF">
        <w:rPr>
          <w:rFonts w:eastAsiaTheme="minorEastAsia"/>
          <w:b/>
          <w:kern w:val="0"/>
          <w:szCs w:val="21"/>
        </w:rPr>
        <w:t>10</w:t>
      </w:r>
      <w:r>
        <w:rPr>
          <w:rFonts w:eastAsiaTheme="minorEastAsia"/>
          <w:b/>
          <w:szCs w:val="21"/>
        </w:rPr>
        <w:t>.</w:t>
      </w:r>
      <w:r>
        <w:rPr>
          <w:rFonts w:eastAsiaTheme="minorEastAsia" w:hint="eastAsia"/>
          <w:b/>
          <w:szCs w:val="21"/>
        </w:rPr>
        <w:t>7</w:t>
      </w:r>
      <w:r>
        <w:rPr>
          <w:rFonts w:eastAsiaTheme="minorEastAsia"/>
          <w:b/>
          <w:szCs w:val="21"/>
        </w:rPr>
        <w:t>.</w:t>
      </w:r>
      <w:r>
        <w:rPr>
          <w:rFonts w:eastAsiaTheme="minorEastAsia" w:hint="eastAsia"/>
          <w:b/>
          <w:szCs w:val="21"/>
        </w:rPr>
        <w:t>1</w:t>
      </w:r>
      <w:r w:rsidR="008A5A5D" w:rsidRPr="00C24ACA">
        <w:rPr>
          <w:rFonts w:eastAsiaTheme="minorEastAsia"/>
          <w:b/>
          <w:szCs w:val="21"/>
        </w:rPr>
        <w:t>基金租用证券公司交易单元进行股票投资及佣金支付情况</w:t>
      </w:r>
      <w:bookmarkEnd w:id="359"/>
    </w:p>
    <w:p w:rsidR="008A5A5D" w:rsidRPr="00C24ACA" w:rsidRDefault="008A5A5D" w:rsidP="008134C7">
      <w:pPr>
        <w:pStyle w:val="a0"/>
        <w:ind w:firstLineChars="2600" w:firstLine="5460"/>
        <w:jc w:val="right"/>
        <w:rPr>
          <w:rFonts w:eastAsiaTheme="minorEastAsia"/>
          <w:color w:val="000000"/>
          <w:szCs w:val="21"/>
        </w:rPr>
      </w:pPr>
      <w:r w:rsidRPr="00C24ACA">
        <w:rPr>
          <w:rFonts w:eastAsiaTheme="minor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8A5A5D" w:rsidRPr="00C24ACA" w:rsidTr="004A4847">
        <w:tc>
          <w:tcPr>
            <w:tcW w:w="1560" w:type="dxa"/>
            <w:vMerge w:val="restart"/>
            <w:vAlign w:val="center"/>
          </w:tcPr>
          <w:p w:rsidR="008A5A5D" w:rsidRPr="00C24ACA" w:rsidRDefault="008A5A5D" w:rsidP="004A4847">
            <w:pPr>
              <w:jc w:val="center"/>
              <w:rPr>
                <w:rFonts w:eastAsiaTheme="minorEastAsia"/>
                <w:color w:val="000000"/>
                <w:szCs w:val="21"/>
              </w:rPr>
            </w:pPr>
            <w:bookmarkStart w:id="360" w:name="_Toc249760071"/>
            <w:r w:rsidRPr="00C24ACA">
              <w:rPr>
                <w:rFonts w:eastAsiaTheme="minorEastAsia"/>
                <w:color w:val="000000"/>
                <w:szCs w:val="21"/>
              </w:rPr>
              <w:t>券商名称</w:t>
            </w:r>
          </w:p>
        </w:tc>
        <w:tc>
          <w:tcPr>
            <w:tcW w:w="780" w:type="dxa"/>
            <w:vMerge w:val="restart"/>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交易单元数量</w:t>
            </w:r>
          </w:p>
        </w:tc>
        <w:tc>
          <w:tcPr>
            <w:tcW w:w="2880"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股票交易</w:t>
            </w:r>
          </w:p>
        </w:tc>
        <w:tc>
          <w:tcPr>
            <w:tcW w:w="2700"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应支付该券商的佣金</w:t>
            </w:r>
          </w:p>
        </w:tc>
        <w:tc>
          <w:tcPr>
            <w:tcW w:w="1080" w:type="dxa"/>
            <w:vMerge w:val="restart"/>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备注</w:t>
            </w:r>
          </w:p>
        </w:tc>
      </w:tr>
      <w:tr w:rsidR="008A5A5D" w:rsidRPr="00C24ACA" w:rsidTr="004A4847">
        <w:tc>
          <w:tcPr>
            <w:tcW w:w="9000" w:type="dxa"/>
            <w:vMerge/>
            <w:vAlign w:val="center"/>
          </w:tcPr>
          <w:p w:rsidR="008A5A5D" w:rsidRPr="00C24ACA" w:rsidRDefault="008A5A5D" w:rsidP="004A4847">
            <w:pPr>
              <w:widowControl/>
              <w:jc w:val="left"/>
              <w:rPr>
                <w:rFonts w:eastAsiaTheme="minorEastAsia"/>
                <w:color w:val="000000"/>
                <w:szCs w:val="21"/>
              </w:rPr>
            </w:pPr>
          </w:p>
        </w:tc>
        <w:tc>
          <w:tcPr>
            <w:tcW w:w="780" w:type="dxa"/>
            <w:vMerge/>
            <w:vAlign w:val="center"/>
          </w:tcPr>
          <w:p w:rsidR="008A5A5D" w:rsidRPr="00C24ACA" w:rsidRDefault="008A5A5D" w:rsidP="004A4847">
            <w:pPr>
              <w:widowControl/>
              <w:jc w:val="left"/>
              <w:rPr>
                <w:rFonts w:eastAsiaTheme="minorEastAsia"/>
                <w:color w:val="000000"/>
                <w:szCs w:val="21"/>
              </w:rPr>
            </w:pPr>
          </w:p>
        </w:tc>
        <w:tc>
          <w:tcPr>
            <w:tcW w:w="180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成交金额</w:t>
            </w:r>
          </w:p>
        </w:tc>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占当期股票成交总额的比例</w:t>
            </w:r>
          </w:p>
        </w:tc>
        <w:tc>
          <w:tcPr>
            <w:tcW w:w="1620"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佣金</w:t>
            </w:r>
          </w:p>
        </w:tc>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占当期佣金总量的比例</w:t>
            </w:r>
          </w:p>
        </w:tc>
        <w:tc>
          <w:tcPr>
            <w:tcW w:w="1080" w:type="dxa"/>
            <w:vMerge/>
            <w:vAlign w:val="center"/>
          </w:tcPr>
          <w:p w:rsidR="008A5A5D" w:rsidRPr="00C24ACA" w:rsidRDefault="008A5A5D" w:rsidP="004A4847">
            <w:pPr>
              <w:widowControl/>
              <w:jc w:val="left"/>
              <w:rPr>
                <w:rFonts w:eastAsiaTheme="minorEastAsia"/>
                <w:color w:val="000000"/>
                <w:kern w:val="0"/>
                <w:szCs w:val="21"/>
              </w:rPr>
            </w:pPr>
          </w:p>
        </w:tc>
      </w:tr>
      <w:tr w:rsidR="00854133">
        <w:tc>
          <w:tcPr>
            <w:tcW w:w="1560" w:type="dxa"/>
            <w:vAlign w:val="center"/>
          </w:tcPr>
          <w:p w:rsidR="00854133" w:rsidRDefault="00581AA4">
            <w:pPr>
              <w:jc w:val="center"/>
            </w:pPr>
            <w:r>
              <w:rPr>
                <w:rFonts w:eastAsiaTheme="minorEastAsia"/>
                <w:color w:val="000000"/>
                <w:szCs w:val="21"/>
              </w:rPr>
              <w:t>Citigroup Global Markets Limited</w:t>
            </w:r>
          </w:p>
        </w:tc>
        <w:tc>
          <w:tcPr>
            <w:tcW w:w="780" w:type="dxa"/>
            <w:vAlign w:val="center"/>
          </w:tcPr>
          <w:p w:rsidR="00854133" w:rsidRDefault="00581AA4">
            <w:pPr>
              <w:jc w:val="right"/>
            </w:pPr>
            <w:r>
              <w:rPr>
                <w:rFonts w:eastAsiaTheme="minorEastAsia"/>
                <w:color w:val="000000"/>
                <w:szCs w:val="21"/>
              </w:rPr>
              <w:t>1</w:t>
            </w:r>
          </w:p>
        </w:tc>
        <w:tc>
          <w:tcPr>
            <w:tcW w:w="1800" w:type="dxa"/>
            <w:vAlign w:val="center"/>
          </w:tcPr>
          <w:p w:rsidR="00854133" w:rsidRDefault="00581AA4">
            <w:pPr>
              <w:jc w:val="right"/>
            </w:pPr>
            <w:r>
              <w:rPr>
                <w:rFonts w:eastAsiaTheme="minorEastAsia"/>
                <w:color w:val="000000"/>
                <w:szCs w:val="21"/>
              </w:rPr>
              <w:t>49,505,797.72</w:t>
            </w:r>
          </w:p>
        </w:tc>
        <w:tc>
          <w:tcPr>
            <w:tcW w:w="1080" w:type="dxa"/>
            <w:vAlign w:val="center"/>
          </w:tcPr>
          <w:p w:rsidR="00854133" w:rsidRDefault="00581AA4">
            <w:pPr>
              <w:jc w:val="right"/>
            </w:pPr>
            <w:r>
              <w:rPr>
                <w:rFonts w:eastAsiaTheme="minorEastAsia"/>
                <w:color w:val="000000"/>
                <w:szCs w:val="21"/>
              </w:rPr>
              <w:t>100.00%</w:t>
            </w:r>
          </w:p>
        </w:tc>
        <w:tc>
          <w:tcPr>
            <w:tcW w:w="1620" w:type="dxa"/>
            <w:vAlign w:val="center"/>
          </w:tcPr>
          <w:p w:rsidR="00854133" w:rsidRDefault="00581AA4">
            <w:pPr>
              <w:jc w:val="right"/>
            </w:pPr>
            <w:r>
              <w:rPr>
                <w:rFonts w:eastAsiaTheme="minorEastAsia"/>
                <w:color w:val="000000"/>
                <w:szCs w:val="21"/>
              </w:rPr>
              <w:t>227,563.21</w:t>
            </w:r>
          </w:p>
        </w:tc>
        <w:tc>
          <w:tcPr>
            <w:tcW w:w="1080" w:type="dxa"/>
            <w:vAlign w:val="center"/>
          </w:tcPr>
          <w:p w:rsidR="00854133" w:rsidRDefault="00581AA4">
            <w:pPr>
              <w:jc w:val="right"/>
            </w:pPr>
            <w:r>
              <w:rPr>
                <w:rFonts w:eastAsiaTheme="minorEastAsia"/>
                <w:color w:val="000000"/>
                <w:szCs w:val="21"/>
              </w:rPr>
              <w:t>50.73%</w:t>
            </w:r>
          </w:p>
        </w:tc>
        <w:tc>
          <w:tcPr>
            <w:tcW w:w="1080" w:type="dxa"/>
            <w:vAlign w:val="center"/>
          </w:tcPr>
          <w:p w:rsidR="00854133" w:rsidRDefault="00581AA4">
            <w:pPr>
              <w:jc w:val="left"/>
            </w:pPr>
            <w:r>
              <w:rPr>
                <w:rFonts w:eastAsiaTheme="minorEastAsia"/>
                <w:color w:val="000000"/>
                <w:szCs w:val="21"/>
              </w:rPr>
              <w:t>-</w:t>
            </w:r>
          </w:p>
        </w:tc>
      </w:tr>
      <w:tr w:rsidR="00854133">
        <w:tc>
          <w:tcPr>
            <w:tcW w:w="1560" w:type="dxa"/>
            <w:vAlign w:val="center"/>
          </w:tcPr>
          <w:p w:rsidR="00854133" w:rsidRDefault="00581AA4">
            <w:pPr>
              <w:jc w:val="center"/>
            </w:pPr>
            <w:r>
              <w:rPr>
                <w:rFonts w:eastAsiaTheme="minorEastAsia"/>
                <w:color w:val="000000"/>
                <w:szCs w:val="21"/>
              </w:rPr>
              <w:t>Morgan Stanley &amp; Co. International PLC</w:t>
            </w:r>
          </w:p>
        </w:tc>
        <w:tc>
          <w:tcPr>
            <w:tcW w:w="780" w:type="dxa"/>
            <w:vAlign w:val="center"/>
          </w:tcPr>
          <w:p w:rsidR="00854133" w:rsidRDefault="00581AA4">
            <w:pPr>
              <w:jc w:val="right"/>
            </w:pPr>
            <w:r>
              <w:rPr>
                <w:rFonts w:eastAsiaTheme="minorEastAsia"/>
                <w:color w:val="000000"/>
                <w:szCs w:val="21"/>
              </w:rPr>
              <w:t>1</w:t>
            </w:r>
          </w:p>
        </w:tc>
        <w:tc>
          <w:tcPr>
            <w:tcW w:w="180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right"/>
            </w:pPr>
            <w:r>
              <w:rPr>
                <w:rFonts w:eastAsiaTheme="minorEastAsia"/>
                <w:color w:val="000000"/>
                <w:szCs w:val="21"/>
              </w:rPr>
              <w:t>-</w:t>
            </w:r>
          </w:p>
        </w:tc>
        <w:tc>
          <w:tcPr>
            <w:tcW w:w="1620" w:type="dxa"/>
            <w:vAlign w:val="center"/>
          </w:tcPr>
          <w:p w:rsidR="00854133" w:rsidRDefault="00581AA4">
            <w:pPr>
              <w:jc w:val="right"/>
            </w:pPr>
            <w:r>
              <w:rPr>
                <w:rFonts w:eastAsiaTheme="minorEastAsia"/>
                <w:color w:val="000000"/>
                <w:szCs w:val="21"/>
              </w:rPr>
              <w:t>40,528.58</w:t>
            </w:r>
          </w:p>
        </w:tc>
        <w:tc>
          <w:tcPr>
            <w:tcW w:w="1080" w:type="dxa"/>
            <w:vAlign w:val="center"/>
          </w:tcPr>
          <w:p w:rsidR="00854133" w:rsidRDefault="00581AA4">
            <w:pPr>
              <w:jc w:val="right"/>
            </w:pPr>
            <w:r>
              <w:rPr>
                <w:rFonts w:eastAsiaTheme="minorEastAsia"/>
                <w:color w:val="000000"/>
                <w:szCs w:val="21"/>
              </w:rPr>
              <w:t>9.03%</w:t>
            </w:r>
          </w:p>
        </w:tc>
        <w:tc>
          <w:tcPr>
            <w:tcW w:w="1080" w:type="dxa"/>
            <w:vAlign w:val="center"/>
          </w:tcPr>
          <w:p w:rsidR="00854133" w:rsidRDefault="00581AA4">
            <w:pPr>
              <w:jc w:val="left"/>
            </w:pPr>
            <w:r>
              <w:rPr>
                <w:rFonts w:eastAsiaTheme="minorEastAsia"/>
                <w:color w:val="000000"/>
                <w:szCs w:val="21"/>
              </w:rPr>
              <w:t>-</w:t>
            </w:r>
          </w:p>
        </w:tc>
      </w:tr>
      <w:tr w:rsidR="00854133">
        <w:tc>
          <w:tcPr>
            <w:tcW w:w="1560" w:type="dxa"/>
            <w:vAlign w:val="center"/>
          </w:tcPr>
          <w:p w:rsidR="00854133" w:rsidRDefault="00581AA4">
            <w:pPr>
              <w:jc w:val="center"/>
            </w:pPr>
            <w:r>
              <w:rPr>
                <w:rFonts w:eastAsiaTheme="minorEastAsia"/>
                <w:color w:val="000000"/>
                <w:szCs w:val="21"/>
              </w:rPr>
              <w:t>Credit Suisse (Hong Kong) Limited</w:t>
            </w:r>
          </w:p>
        </w:tc>
        <w:tc>
          <w:tcPr>
            <w:tcW w:w="780" w:type="dxa"/>
            <w:vAlign w:val="center"/>
          </w:tcPr>
          <w:p w:rsidR="00854133" w:rsidRDefault="00581AA4">
            <w:pPr>
              <w:jc w:val="right"/>
            </w:pPr>
            <w:r>
              <w:rPr>
                <w:rFonts w:eastAsiaTheme="minorEastAsia"/>
                <w:color w:val="000000"/>
                <w:szCs w:val="21"/>
              </w:rPr>
              <w:t>1</w:t>
            </w:r>
          </w:p>
        </w:tc>
        <w:tc>
          <w:tcPr>
            <w:tcW w:w="180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right"/>
            </w:pPr>
            <w:r>
              <w:rPr>
                <w:rFonts w:eastAsiaTheme="minorEastAsia"/>
                <w:color w:val="000000"/>
                <w:szCs w:val="21"/>
              </w:rPr>
              <w:t>-</w:t>
            </w:r>
          </w:p>
        </w:tc>
        <w:tc>
          <w:tcPr>
            <w:tcW w:w="1620" w:type="dxa"/>
            <w:vAlign w:val="center"/>
          </w:tcPr>
          <w:p w:rsidR="00854133" w:rsidRDefault="00581AA4">
            <w:pPr>
              <w:jc w:val="right"/>
            </w:pPr>
            <w:r>
              <w:rPr>
                <w:rFonts w:eastAsiaTheme="minorEastAsia"/>
                <w:color w:val="000000"/>
                <w:szCs w:val="21"/>
              </w:rPr>
              <w:t>140,527.82</w:t>
            </w:r>
          </w:p>
        </w:tc>
        <w:tc>
          <w:tcPr>
            <w:tcW w:w="1080" w:type="dxa"/>
            <w:vAlign w:val="center"/>
          </w:tcPr>
          <w:p w:rsidR="00854133" w:rsidRDefault="00581AA4">
            <w:pPr>
              <w:jc w:val="right"/>
            </w:pPr>
            <w:r>
              <w:rPr>
                <w:rFonts w:eastAsiaTheme="minorEastAsia"/>
                <w:color w:val="000000"/>
                <w:szCs w:val="21"/>
              </w:rPr>
              <w:t>31.32%</w:t>
            </w:r>
          </w:p>
        </w:tc>
        <w:tc>
          <w:tcPr>
            <w:tcW w:w="1080" w:type="dxa"/>
            <w:vAlign w:val="center"/>
          </w:tcPr>
          <w:p w:rsidR="00854133" w:rsidRDefault="00581AA4">
            <w:pPr>
              <w:jc w:val="left"/>
            </w:pPr>
            <w:r>
              <w:rPr>
                <w:rFonts w:eastAsiaTheme="minorEastAsia"/>
                <w:color w:val="000000"/>
                <w:szCs w:val="21"/>
              </w:rPr>
              <w:t>-</w:t>
            </w:r>
          </w:p>
        </w:tc>
      </w:tr>
      <w:tr w:rsidR="00854133">
        <w:tc>
          <w:tcPr>
            <w:tcW w:w="1560" w:type="dxa"/>
            <w:vAlign w:val="center"/>
          </w:tcPr>
          <w:p w:rsidR="00854133" w:rsidRDefault="00581AA4">
            <w:pPr>
              <w:jc w:val="center"/>
            </w:pPr>
            <w:r>
              <w:rPr>
                <w:rFonts w:eastAsiaTheme="minorEastAsia"/>
                <w:color w:val="000000"/>
                <w:szCs w:val="21"/>
              </w:rPr>
              <w:t>Goldman Sachs</w:t>
            </w:r>
          </w:p>
        </w:tc>
        <w:tc>
          <w:tcPr>
            <w:tcW w:w="780" w:type="dxa"/>
            <w:vAlign w:val="center"/>
          </w:tcPr>
          <w:p w:rsidR="00854133" w:rsidRDefault="00581AA4">
            <w:pPr>
              <w:jc w:val="right"/>
            </w:pPr>
            <w:r>
              <w:rPr>
                <w:rFonts w:eastAsiaTheme="minorEastAsia"/>
                <w:color w:val="000000"/>
                <w:szCs w:val="21"/>
              </w:rPr>
              <w:t>1</w:t>
            </w:r>
          </w:p>
        </w:tc>
        <w:tc>
          <w:tcPr>
            <w:tcW w:w="180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right"/>
            </w:pPr>
            <w:r>
              <w:rPr>
                <w:rFonts w:eastAsiaTheme="minorEastAsia"/>
                <w:color w:val="000000"/>
                <w:szCs w:val="21"/>
              </w:rPr>
              <w:t>-</w:t>
            </w:r>
          </w:p>
        </w:tc>
        <w:tc>
          <w:tcPr>
            <w:tcW w:w="1620" w:type="dxa"/>
            <w:vAlign w:val="center"/>
          </w:tcPr>
          <w:p w:rsidR="00854133" w:rsidRDefault="00581AA4">
            <w:pPr>
              <w:jc w:val="right"/>
            </w:pPr>
            <w:r>
              <w:rPr>
                <w:rFonts w:eastAsiaTheme="minorEastAsia"/>
                <w:color w:val="000000"/>
                <w:szCs w:val="21"/>
              </w:rPr>
              <w:t>39,993.96</w:t>
            </w:r>
          </w:p>
        </w:tc>
        <w:tc>
          <w:tcPr>
            <w:tcW w:w="1080" w:type="dxa"/>
            <w:vAlign w:val="center"/>
          </w:tcPr>
          <w:p w:rsidR="00854133" w:rsidRDefault="00581AA4">
            <w:pPr>
              <w:jc w:val="right"/>
            </w:pPr>
            <w:r>
              <w:rPr>
                <w:rFonts w:eastAsiaTheme="minorEastAsia"/>
                <w:color w:val="000000"/>
                <w:szCs w:val="21"/>
              </w:rPr>
              <w:t>8.92%</w:t>
            </w:r>
          </w:p>
        </w:tc>
        <w:tc>
          <w:tcPr>
            <w:tcW w:w="1080" w:type="dxa"/>
            <w:vAlign w:val="center"/>
          </w:tcPr>
          <w:p w:rsidR="00854133" w:rsidRDefault="00581AA4">
            <w:pPr>
              <w:jc w:val="left"/>
            </w:pPr>
            <w:r>
              <w:rPr>
                <w:rFonts w:eastAsiaTheme="minorEastAsia"/>
                <w:color w:val="000000"/>
                <w:szCs w:val="21"/>
              </w:rPr>
              <w:t>-</w:t>
            </w:r>
          </w:p>
        </w:tc>
      </w:tr>
      <w:tr w:rsidR="00854133">
        <w:tc>
          <w:tcPr>
            <w:tcW w:w="1560" w:type="dxa"/>
            <w:vAlign w:val="center"/>
          </w:tcPr>
          <w:p w:rsidR="00854133" w:rsidRDefault="00581AA4">
            <w:pPr>
              <w:jc w:val="center"/>
            </w:pPr>
            <w:r>
              <w:rPr>
                <w:rFonts w:eastAsiaTheme="minorEastAsia"/>
                <w:color w:val="000000"/>
                <w:szCs w:val="21"/>
              </w:rPr>
              <w:t>China Merchants Securities (HK) Co Ltd</w:t>
            </w:r>
          </w:p>
        </w:tc>
        <w:tc>
          <w:tcPr>
            <w:tcW w:w="780" w:type="dxa"/>
            <w:vAlign w:val="center"/>
          </w:tcPr>
          <w:p w:rsidR="00854133" w:rsidRDefault="00581AA4">
            <w:pPr>
              <w:jc w:val="right"/>
            </w:pPr>
            <w:r>
              <w:rPr>
                <w:rFonts w:eastAsiaTheme="minorEastAsia"/>
                <w:color w:val="000000"/>
                <w:szCs w:val="21"/>
              </w:rPr>
              <w:t>1</w:t>
            </w:r>
          </w:p>
        </w:tc>
        <w:tc>
          <w:tcPr>
            <w:tcW w:w="180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right"/>
            </w:pPr>
            <w:r>
              <w:rPr>
                <w:rFonts w:eastAsiaTheme="minorEastAsia"/>
                <w:color w:val="000000"/>
                <w:szCs w:val="21"/>
              </w:rPr>
              <w:t>-</w:t>
            </w:r>
          </w:p>
        </w:tc>
        <w:tc>
          <w:tcPr>
            <w:tcW w:w="162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left"/>
            </w:pPr>
            <w:r>
              <w:rPr>
                <w:rFonts w:eastAsiaTheme="minorEastAsia"/>
                <w:color w:val="000000"/>
                <w:szCs w:val="21"/>
              </w:rPr>
              <w:t>-</w:t>
            </w:r>
          </w:p>
        </w:tc>
      </w:tr>
      <w:tr w:rsidR="00854133">
        <w:tc>
          <w:tcPr>
            <w:tcW w:w="1560" w:type="dxa"/>
            <w:vAlign w:val="center"/>
          </w:tcPr>
          <w:p w:rsidR="00854133" w:rsidRDefault="00581AA4">
            <w:pPr>
              <w:jc w:val="center"/>
            </w:pPr>
            <w:r>
              <w:rPr>
                <w:rFonts w:eastAsiaTheme="minorEastAsia"/>
                <w:color w:val="000000"/>
                <w:szCs w:val="21"/>
              </w:rPr>
              <w:t>UBS Securities Asia Limited</w:t>
            </w:r>
          </w:p>
        </w:tc>
        <w:tc>
          <w:tcPr>
            <w:tcW w:w="780" w:type="dxa"/>
            <w:vAlign w:val="center"/>
          </w:tcPr>
          <w:p w:rsidR="00854133" w:rsidRDefault="00581AA4">
            <w:pPr>
              <w:jc w:val="right"/>
            </w:pPr>
            <w:r>
              <w:rPr>
                <w:rFonts w:eastAsiaTheme="minorEastAsia"/>
                <w:color w:val="000000"/>
                <w:szCs w:val="21"/>
              </w:rPr>
              <w:t>1</w:t>
            </w:r>
          </w:p>
        </w:tc>
        <w:tc>
          <w:tcPr>
            <w:tcW w:w="180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right"/>
            </w:pPr>
            <w:r>
              <w:rPr>
                <w:rFonts w:eastAsiaTheme="minorEastAsia"/>
                <w:color w:val="000000"/>
                <w:szCs w:val="21"/>
              </w:rPr>
              <w:t>-</w:t>
            </w:r>
          </w:p>
        </w:tc>
        <w:tc>
          <w:tcPr>
            <w:tcW w:w="162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left"/>
            </w:pPr>
            <w:r>
              <w:rPr>
                <w:rFonts w:eastAsiaTheme="minorEastAsia"/>
                <w:color w:val="000000"/>
                <w:szCs w:val="21"/>
              </w:rPr>
              <w:t>-</w:t>
            </w:r>
          </w:p>
        </w:tc>
      </w:tr>
      <w:tr w:rsidR="00854133">
        <w:tc>
          <w:tcPr>
            <w:tcW w:w="1560" w:type="dxa"/>
            <w:vAlign w:val="center"/>
          </w:tcPr>
          <w:p w:rsidR="00854133" w:rsidRDefault="00581AA4">
            <w:pPr>
              <w:jc w:val="center"/>
            </w:pPr>
            <w:r>
              <w:rPr>
                <w:rFonts w:eastAsiaTheme="minorEastAsia"/>
                <w:color w:val="000000"/>
                <w:szCs w:val="21"/>
              </w:rPr>
              <w:t>Deutsche Bank AG London</w:t>
            </w:r>
          </w:p>
        </w:tc>
        <w:tc>
          <w:tcPr>
            <w:tcW w:w="780" w:type="dxa"/>
            <w:vAlign w:val="center"/>
          </w:tcPr>
          <w:p w:rsidR="00854133" w:rsidRDefault="00581AA4">
            <w:pPr>
              <w:jc w:val="right"/>
            </w:pPr>
            <w:r>
              <w:rPr>
                <w:rFonts w:eastAsiaTheme="minorEastAsia"/>
                <w:color w:val="000000"/>
                <w:szCs w:val="21"/>
              </w:rPr>
              <w:t>1</w:t>
            </w:r>
          </w:p>
        </w:tc>
        <w:tc>
          <w:tcPr>
            <w:tcW w:w="180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right"/>
            </w:pPr>
            <w:r>
              <w:rPr>
                <w:rFonts w:eastAsiaTheme="minorEastAsia"/>
                <w:color w:val="000000"/>
                <w:szCs w:val="21"/>
              </w:rPr>
              <w:t>-</w:t>
            </w:r>
          </w:p>
        </w:tc>
        <w:tc>
          <w:tcPr>
            <w:tcW w:w="162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left"/>
            </w:pPr>
            <w:r>
              <w:rPr>
                <w:rFonts w:eastAsiaTheme="minorEastAsia"/>
                <w:color w:val="000000"/>
                <w:szCs w:val="21"/>
              </w:rPr>
              <w:t>-</w:t>
            </w:r>
          </w:p>
        </w:tc>
      </w:tr>
      <w:tr w:rsidR="00854133">
        <w:tc>
          <w:tcPr>
            <w:tcW w:w="1560" w:type="dxa"/>
            <w:vAlign w:val="center"/>
          </w:tcPr>
          <w:p w:rsidR="00854133" w:rsidRDefault="00581AA4">
            <w:pPr>
              <w:jc w:val="center"/>
            </w:pPr>
            <w:r>
              <w:rPr>
                <w:rFonts w:eastAsiaTheme="minorEastAsia"/>
                <w:color w:val="000000"/>
                <w:szCs w:val="21"/>
              </w:rPr>
              <w:t>CLSA Limited</w:t>
            </w:r>
          </w:p>
        </w:tc>
        <w:tc>
          <w:tcPr>
            <w:tcW w:w="780" w:type="dxa"/>
            <w:vAlign w:val="center"/>
          </w:tcPr>
          <w:p w:rsidR="00854133" w:rsidRDefault="00581AA4">
            <w:pPr>
              <w:jc w:val="right"/>
            </w:pPr>
            <w:r>
              <w:rPr>
                <w:rFonts w:eastAsiaTheme="minorEastAsia"/>
                <w:color w:val="000000"/>
                <w:szCs w:val="21"/>
              </w:rPr>
              <w:t>1</w:t>
            </w:r>
          </w:p>
        </w:tc>
        <w:tc>
          <w:tcPr>
            <w:tcW w:w="180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right"/>
            </w:pPr>
            <w:r>
              <w:rPr>
                <w:rFonts w:eastAsiaTheme="minorEastAsia"/>
                <w:color w:val="000000"/>
                <w:szCs w:val="21"/>
              </w:rPr>
              <w:t>-</w:t>
            </w:r>
          </w:p>
        </w:tc>
        <w:tc>
          <w:tcPr>
            <w:tcW w:w="162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left"/>
            </w:pPr>
            <w:r>
              <w:rPr>
                <w:rFonts w:eastAsiaTheme="minorEastAsia"/>
                <w:color w:val="000000"/>
                <w:szCs w:val="21"/>
              </w:rPr>
              <w:t>-</w:t>
            </w:r>
          </w:p>
        </w:tc>
      </w:tr>
      <w:tr w:rsidR="00854133">
        <w:tc>
          <w:tcPr>
            <w:tcW w:w="1560" w:type="dxa"/>
            <w:vAlign w:val="center"/>
          </w:tcPr>
          <w:p w:rsidR="00854133" w:rsidRDefault="00581AA4">
            <w:pPr>
              <w:jc w:val="center"/>
            </w:pPr>
            <w:r>
              <w:rPr>
                <w:rFonts w:eastAsiaTheme="minorEastAsia"/>
                <w:color w:val="000000"/>
                <w:szCs w:val="21"/>
              </w:rPr>
              <w:t>Nomura Asset Management HongKong Limited</w:t>
            </w:r>
          </w:p>
        </w:tc>
        <w:tc>
          <w:tcPr>
            <w:tcW w:w="780" w:type="dxa"/>
            <w:vAlign w:val="center"/>
          </w:tcPr>
          <w:p w:rsidR="00854133" w:rsidRDefault="00581AA4">
            <w:pPr>
              <w:jc w:val="right"/>
            </w:pPr>
            <w:r>
              <w:rPr>
                <w:rFonts w:eastAsiaTheme="minorEastAsia"/>
                <w:color w:val="000000"/>
                <w:szCs w:val="21"/>
              </w:rPr>
              <w:t>1</w:t>
            </w:r>
          </w:p>
        </w:tc>
        <w:tc>
          <w:tcPr>
            <w:tcW w:w="180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right"/>
            </w:pPr>
            <w:r>
              <w:rPr>
                <w:rFonts w:eastAsiaTheme="minorEastAsia"/>
                <w:color w:val="000000"/>
                <w:szCs w:val="21"/>
              </w:rPr>
              <w:t>-</w:t>
            </w:r>
          </w:p>
        </w:tc>
        <w:tc>
          <w:tcPr>
            <w:tcW w:w="162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left"/>
            </w:pPr>
            <w:r>
              <w:rPr>
                <w:rFonts w:eastAsiaTheme="minorEastAsia"/>
                <w:color w:val="000000"/>
                <w:szCs w:val="21"/>
              </w:rPr>
              <w:t>-</w:t>
            </w:r>
          </w:p>
        </w:tc>
      </w:tr>
      <w:tr w:rsidR="00854133">
        <w:tc>
          <w:tcPr>
            <w:tcW w:w="1560" w:type="dxa"/>
            <w:vAlign w:val="center"/>
          </w:tcPr>
          <w:p w:rsidR="00854133" w:rsidRDefault="00581AA4">
            <w:pPr>
              <w:jc w:val="center"/>
            </w:pPr>
            <w:r>
              <w:rPr>
                <w:rFonts w:eastAsiaTheme="minorEastAsia"/>
                <w:color w:val="000000"/>
                <w:szCs w:val="21"/>
              </w:rPr>
              <w:t>Knight Capital Europe Limited</w:t>
            </w:r>
          </w:p>
        </w:tc>
        <w:tc>
          <w:tcPr>
            <w:tcW w:w="780" w:type="dxa"/>
            <w:vAlign w:val="center"/>
          </w:tcPr>
          <w:p w:rsidR="00854133" w:rsidRDefault="00581AA4">
            <w:pPr>
              <w:jc w:val="right"/>
            </w:pPr>
            <w:r>
              <w:rPr>
                <w:rFonts w:eastAsiaTheme="minorEastAsia"/>
                <w:color w:val="000000"/>
                <w:szCs w:val="21"/>
              </w:rPr>
              <w:t>1</w:t>
            </w:r>
          </w:p>
        </w:tc>
        <w:tc>
          <w:tcPr>
            <w:tcW w:w="180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right"/>
            </w:pPr>
            <w:r>
              <w:rPr>
                <w:rFonts w:eastAsiaTheme="minorEastAsia"/>
                <w:color w:val="000000"/>
                <w:szCs w:val="21"/>
              </w:rPr>
              <w:t>-</w:t>
            </w:r>
          </w:p>
        </w:tc>
        <w:tc>
          <w:tcPr>
            <w:tcW w:w="162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left"/>
            </w:pPr>
            <w:r>
              <w:rPr>
                <w:rFonts w:eastAsiaTheme="minorEastAsia"/>
                <w:color w:val="000000"/>
                <w:szCs w:val="21"/>
              </w:rPr>
              <w:t>-</w:t>
            </w:r>
          </w:p>
        </w:tc>
      </w:tr>
      <w:tr w:rsidR="00854133">
        <w:tc>
          <w:tcPr>
            <w:tcW w:w="1560" w:type="dxa"/>
            <w:vAlign w:val="center"/>
          </w:tcPr>
          <w:p w:rsidR="00854133" w:rsidRDefault="00581AA4">
            <w:pPr>
              <w:jc w:val="center"/>
            </w:pPr>
            <w:r>
              <w:rPr>
                <w:rFonts w:eastAsiaTheme="minorEastAsia"/>
                <w:color w:val="000000"/>
                <w:szCs w:val="21"/>
              </w:rPr>
              <w:t>Shenyin Wanguo Securities HK Ltd</w:t>
            </w:r>
          </w:p>
        </w:tc>
        <w:tc>
          <w:tcPr>
            <w:tcW w:w="780" w:type="dxa"/>
            <w:vAlign w:val="center"/>
          </w:tcPr>
          <w:p w:rsidR="00854133" w:rsidRDefault="00581AA4">
            <w:pPr>
              <w:jc w:val="right"/>
            </w:pPr>
            <w:r>
              <w:rPr>
                <w:rFonts w:eastAsiaTheme="minorEastAsia"/>
                <w:color w:val="000000"/>
                <w:szCs w:val="21"/>
              </w:rPr>
              <w:t>1</w:t>
            </w:r>
          </w:p>
        </w:tc>
        <w:tc>
          <w:tcPr>
            <w:tcW w:w="180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right"/>
            </w:pPr>
            <w:r>
              <w:rPr>
                <w:rFonts w:eastAsiaTheme="minorEastAsia"/>
                <w:color w:val="000000"/>
                <w:szCs w:val="21"/>
              </w:rPr>
              <w:t>-</w:t>
            </w:r>
          </w:p>
        </w:tc>
        <w:tc>
          <w:tcPr>
            <w:tcW w:w="162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right"/>
            </w:pPr>
            <w:r>
              <w:rPr>
                <w:rFonts w:eastAsiaTheme="minorEastAsia"/>
                <w:color w:val="000000"/>
                <w:szCs w:val="21"/>
              </w:rPr>
              <w:t>-</w:t>
            </w:r>
          </w:p>
        </w:tc>
        <w:tc>
          <w:tcPr>
            <w:tcW w:w="1080" w:type="dxa"/>
            <w:vAlign w:val="center"/>
          </w:tcPr>
          <w:p w:rsidR="00854133" w:rsidRDefault="00581AA4">
            <w:pPr>
              <w:jc w:val="left"/>
            </w:pPr>
            <w:r>
              <w:rPr>
                <w:rFonts w:eastAsiaTheme="minorEastAsia"/>
                <w:color w:val="000000"/>
                <w:szCs w:val="21"/>
              </w:rPr>
              <w:t>-</w:t>
            </w:r>
          </w:p>
        </w:tc>
      </w:tr>
    </w:tbl>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a</w:t>
      </w:r>
      <w:r>
        <w:rPr>
          <w:rFonts w:eastAsiaTheme="minorEastAsia"/>
          <w:kern w:val="0"/>
          <w:szCs w:val="21"/>
        </w:rPr>
        <w:t>）本报告期内本基金无减少交易账户，无新增交易账户。</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b</w:t>
      </w:r>
      <w:r>
        <w:rPr>
          <w:rFonts w:eastAsiaTheme="minorEastAsia"/>
          <w:kern w:val="0"/>
          <w:szCs w:val="21"/>
        </w:rPr>
        <w:t>）本基金管理人负责选择证券经营机构，并在该机构开立交易账户。基金交易账户的开立标准如下：</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1</w:t>
      </w:r>
      <w:r>
        <w:rPr>
          <w:rFonts w:eastAsiaTheme="minorEastAsia"/>
          <w:kern w:val="0"/>
          <w:szCs w:val="21"/>
        </w:rPr>
        <w:t>）交易执行能力。主要指证券经营机构能否对投资指令进行有效地执行，以及能否取得较高质量的成交结果；</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2</w:t>
      </w:r>
      <w:r>
        <w:rPr>
          <w:rFonts w:eastAsiaTheme="minorEastAsia"/>
          <w:kern w:val="0"/>
          <w:szCs w:val="21"/>
        </w:rPr>
        <w:t>）研究报告质量。主要指证券经营机构能否提供高质量的宏观经济研究、行业研究及市场走向、个股分析报告和专题研究报告等；</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3</w:t>
      </w:r>
      <w:r>
        <w:rPr>
          <w:rFonts w:eastAsiaTheme="minorEastAsia"/>
          <w:kern w:val="0"/>
          <w:szCs w:val="21"/>
        </w:rPr>
        <w:t>）提供研究服务的质量。主要包括协助安排上市公司调研、研究资料共享、路演服务、日常沟通交流、接受委托研究的服务质量等方面；</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4</w:t>
      </w:r>
      <w:r>
        <w:rPr>
          <w:rFonts w:eastAsiaTheme="minorEastAsia"/>
          <w:kern w:val="0"/>
          <w:szCs w:val="21"/>
        </w:rPr>
        <w:t>）法规监管资讯服务。主要包括境外投资法律规定、交易监管规则、信息披露、个人利益冲突、税收等资讯的提供与培训；</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5</w:t>
      </w:r>
      <w:r>
        <w:rPr>
          <w:rFonts w:eastAsiaTheme="minorEastAsia"/>
          <w:kern w:val="0"/>
          <w:szCs w:val="21"/>
        </w:rPr>
        <w:t>）价值贡献。主要是指证券经营机构对公司研究团队、投资团队在业务能力提升上所做的培训服务、对公司投资提升所作出的贡献；</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6</w:t>
      </w:r>
      <w:r>
        <w:rPr>
          <w:rFonts w:eastAsiaTheme="minorEastAsia"/>
          <w:kern w:val="0"/>
          <w:szCs w:val="21"/>
        </w:rPr>
        <w:t>）其他因素。主要是证券经营机构的财务状况、经营行为规范、风险管理机制、近年内有无重大违规行为等。</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c</w:t>
      </w:r>
      <w:r>
        <w:rPr>
          <w:rFonts w:eastAsiaTheme="minorEastAsia"/>
          <w:kern w:val="0"/>
          <w:szCs w:val="21"/>
        </w:rPr>
        <w:t>）基金交易账户的选择程序如下：</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1</w:t>
      </w:r>
      <w:r>
        <w:rPr>
          <w:rFonts w:eastAsiaTheme="minorEastAsia"/>
          <w:kern w:val="0"/>
          <w:szCs w:val="21"/>
        </w:rPr>
        <w:t>）本基金管理人根据上述标准考察后确定选用交易账户的证券经营机构。</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2</w:t>
      </w:r>
      <w:r w:rsidRPr="00C24ACA">
        <w:rPr>
          <w:rFonts w:eastAsiaTheme="minorEastAsia"/>
          <w:kern w:val="0"/>
          <w:szCs w:val="21"/>
        </w:rPr>
        <w:t>）基金管理人与所选定的证券经营机构办理开立交易账户事宜。</w:t>
      </w:r>
    </w:p>
    <w:p w:rsidR="008A5A5D" w:rsidRPr="00C24ACA" w:rsidRDefault="000D1F25" w:rsidP="00732F5C">
      <w:pPr>
        <w:spacing w:beforeLines="100" w:before="312" w:line="360" w:lineRule="auto"/>
        <w:rPr>
          <w:rFonts w:eastAsiaTheme="minorEastAsia"/>
          <w:b/>
          <w:szCs w:val="21"/>
        </w:rPr>
      </w:pPr>
      <w:r w:rsidRPr="00576CAF">
        <w:rPr>
          <w:rFonts w:eastAsiaTheme="minorEastAsia"/>
          <w:b/>
          <w:kern w:val="0"/>
          <w:szCs w:val="21"/>
        </w:rPr>
        <w:t>10</w:t>
      </w:r>
      <w:r>
        <w:rPr>
          <w:rFonts w:eastAsiaTheme="minorEastAsia"/>
          <w:b/>
          <w:szCs w:val="21"/>
        </w:rPr>
        <w:t>.</w:t>
      </w:r>
      <w:r>
        <w:rPr>
          <w:rFonts w:eastAsiaTheme="minorEastAsia" w:hint="eastAsia"/>
          <w:b/>
          <w:szCs w:val="21"/>
        </w:rPr>
        <w:t>7</w:t>
      </w:r>
      <w:r>
        <w:rPr>
          <w:rFonts w:eastAsiaTheme="minorEastAsia"/>
          <w:b/>
          <w:szCs w:val="21"/>
        </w:rPr>
        <w:t>.</w:t>
      </w:r>
      <w:r>
        <w:rPr>
          <w:rFonts w:eastAsiaTheme="minorEastAsia" w:hint="eastAsia"/>
          <w:b/>
          <w:szCs w:val="21"/>
        </w:rPr>
        <w:t>2</w:t>
      </w:r>
      <w:r w:rsidR="008A5A5D" w:rsidRPr="00C24ACA">
        <w:rPr>
          <w:rFonts w:eastAsiaTheme="minorEastAsia"/>
          <w:b/>
          <w:szCs w:val="21"/>
        </w:rPr>
        <w:t>基金租用证券公司交易单元进行其他证券投资的情况</w:t>
      </w:r>
      <w:bookmarkEnd w:id="360"/>
    </w:p>
    <w:p w:rsidR="008A5A5D" w:rsidRPr="00C24ACA" w:rsidRDefault="008A5A5D" w:rsidP="002116B9">
      <w:pPr>
        <w:wordWrap w:val="0"/>
        <w:ind w:firstLine="420"/>
        <w:jc w:val="right"/>
        <w:rPr>
          <w:rFonts w:eastAsiaTheme="minorEastAsia"/>
          <w:color w:val="000000"/>
          <w:szCs w:val="21"/>
        </w:rPr>
      </w:pPr>
      <w:r w:rsidRPr="00C24ACA">
        <w:rPr>
          <w:rFonts w:eastAsiaTheme="minorEastAsia"/>
          <w:szCs w:val="21"/>
        </w:rPr>
        <w:t>金额单位：人民币元</w:t>
      </w:r>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709"/>
        <w:gridCol w:w="1276"/>
        <w:gridCol w:w="763"/>
        <w:gridCol w:w="1260"/>
        <w:gridCol w:w="724"/>
        <w:gridCol w:w="1440"/>
        <w:gridCol w:w="781"/>
        <w:gridCol w:w="1181"/>
      </w:tblGrid>
      <w:tr w:rsidR="00762C75" w:rsidRPr="00C24ACA" w:rsidTr="00762C75">
        <w:tc>
          <w:tcPr>
            <w:tcW w:w="709" w:type="dxa"/>
            <w:vMerge w:val="restart"/>
            <w:vAlign w:val="center"/>
          </w:tcPr>
          <w:p w:rsidR="00762C75" w:rsidRPr="00C24ACA" w:rsidRDefault="00762C75" w:rsidP="004A4847">
            <w:pPr>
              <w:jc w:val="center"/>
              <w:rPr>
                <w:rFonts w:eastAsiaTheme="minorEastAsia"/>
                <w:color w:val="000000"/>
                <w:kern w:val="0"/>
                <w:szCs w:val="21"/>
              </w:rPr>
            </w:pPr>
            <w:r w:rsidRPr="00C24ACA">
              <w:rPr>
                <w:rFonts w:eastAsiaTheme="minorEastAsia"/>
                <w:color w:val="000000"/>
                <w:szCs w:val="21"/>
              </w:rPr>
              <w:t>券商名称</w:t>
            </w:r>
          </w:p>
        </w:tc>
        <w:tc>
          <w:tcPr>
            <w:tcW w:w="1985" w:type="dxa"/>
            <w:gridSpan w:val="2"/>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债券交易</w:t>
            </w:r>
          </w:p>
        </w:tc>
        <w:tc>
          <w:tcPr>
            <w:tcW w:w="2023" w:type="dxa"/>
            <w:gridSpan w:val="2"/>
            <w:vAlign w:val="center"/>
          </w:tcPr>
          <w:p w:rsidR="00762C75" w:rsidRPr="00C24ACA" w:rsidRDefault="005A7B0E" w:rsidP="004A4847">
            <w:pPr>
              <w:jc w:val="center"/>
              <w:rPr>
                <w:rFonts w:eastAsiaTheme="minorEastAsia"/>
                <w:color w:val="000000"/>
                <w:szCs w:val="21"/>
              </w:rPr>
            </w:pPr>
            <w:r>
              <w:rPr>
                <w:rFonts w:eastAsiaTheme="minorEastAsia" w:hint="eastAsia"/>
                <w:color w:val="000000"/>
                <w:szCs w:val="21"/>
              </w:rPr>
              <w:t>债券</w:t>
            </w:r>
            <w:r w:rsidR="00762C75" w:rsidRPr="00C24ACA">
              <w:rPr>
                <w:rFonts w:eastAsiaTheme="minorEastAsia"/>
                <w:color w:val="000000"/>
                <w:szCs w:val="21"/>
              </w:rPr>
              <w:t>回购交易</w:t>
            </w:r>
          </w:p>
        </w:tc>
        <w:tc>
          <w:tcPr>
            <w:tcW w:w="2164" w:type="dxa"/>
            <w:gridSpan w:val="2"/>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权证交易</w:t>
            </w:r>
          </w:p>
        </w:tc>
        <w:tc>
          <w:tcPr>
            <w:tcW w:w="1962" w:type="dxa"/>
            <w:gridSpan w:val="2"/>
          </w:tcPr>
          <w:p w:rsidR="00762C75" w:rsidRPr="00C24ACA" w:rsidRDefault="00AF0AFC" w:rsidP="004A4847">
            <w:pPr>
              <w:jc w:val="center"/>
              <w:rPr>
                <w:rFonts w:eastAsiaTheme="minorEastAsia"/>
                <w:color w:val="000000"/>
                <w:szCs w:val="21"/>
              </w:rPr>
            </w:pPr>
            <w:r w:rsidRPr="00C24ACA">
              <w:rPr>
                <w:rFonts w:eastAsiaTheme="minorEastAsia"/>
                <w:color w:val="000000"/>
                <w:szCs w:val="21"/>
              </w:rPr>
              <w:t>基金交易</w:t>
            </w:r>
          </w:p>
        </w:tc>
      </w:tr>
      <w:tr w:rsidR="00762C75" w:rsidRPr="00C24ACA" w:rsidTr="00762C75">
        <w:tc>
          <w:tcPr>
            <w:tcW w:w="709" w:type="dxa"/>
            <w:vMerge/>
            <w:vAlign w:val="center"/>
          </w:tcPr>
          <w:p w:rsidR="00762C75" w:rsidRPr="00C24ACA" w:rsidRDefault="00762C75" w:rsidP="004A4847">
            <w:pPr>
              <w:widowControl/>
              <w:jc w:val="left"/>
              <w:rPr>
                <w:rFonts w:eastAsiaTheme="minorEastAsia"/>
                <w:color w:val="000000"/>
                <w:kern w:val="0"/>
                <w:szCs w:val="21"/>
              </w:rPr>
            </w:pPr>
          </w:p>
        </w:tc>
        <w:tc>
          <w:tcPr>
            <w:tcW w:w="709"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276"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占当期债券成交总额的比例</w:t>
            </w:r>
          </w:p>
        </w:tc>
        <w:tc>
          <w:tcPr>
            <w:tcW w:w="763"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260"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w:t>
            </w:r>
            <w:r w:rsidR="005A7B0E">
              <w:rPr>
                <w:rFonts w:eastAsiaTheme="minorEastAsia" w:hint="eastAsia"/>
                <w:color w:val="000000"/>
                <w:szCs w:val="21"/>
              </w:rPr>
              <w:t>债券</w:t>
            </w:r>
            <w:r w:rsidRPr="00C24ACA">
              <w:rPr>
                <w:rFonts w:eastAsiaTheme="minorEastAsia"/>
                <w:color w:val="000000"/>
                <w:szCs w:val="21"/>
              </w:rPr>
              <w:t>回购成交总额的比例</w:t>
            </w:r>
          </w:p>
        </w:tc>
        <w:tc>
          <w:tcPr>
            <w:tcW w:w="724"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440"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占当期权证成交总额的比例</w:t>
            </w:r>
          </w:p>
        </w:tc>
        <w:tc>
          <w:tcPr>
            <w:tcW w:w="781" w:type="dxa"/>
            <w:vAlign w:val="center"/>
          </w:tcPr>
          <w:p w:rsidR="00762C75" w:rsidRPr="00C24ACA" w:rsidRDefault="00762C75" w:rsidP="00B03EF5">
            <w:pPr>
              <w:jc w:val="center"/>
              <w:rPr>
                <w:rFonts w:eastAsiaTheme="minorEastAsia"/>
                <w:color w:val="000000"/>
                <w:szCs w:val="21"/>
              </w:rPr>
            </w:pPr>
            <w:r w:rsidRPr="00C24ACA">
              <w:rPr>
                <w:rFonts w:eastAsiaTheme="minorEastAsia"/>
                <w:color w:val="000000"/>
                <w:szCs w:val="21"/>
              </w:rPr>
              <w:t>成交金额</w:t>
            </w:r>
          </w:p>
        </w:tc>
        <w:tc>
          <w:tcPr>
            <w:tcW w:w="1181" w:type="dxa"/>
            <w:vAlign w:val="center"/>
          </w:tcPr>
          <w:p w:rsidR="00762C75" w:rsidRPr="00C24ACA" w:rsidRDefault="00762C75" w:rsidP="00511FD1">
            <w:pPr>
              <w:jc w:val="center"/>
              <w:rPr>
                <w:rFonts w:eastAsiaTheme="minorEastAsia"/>
                <w:color w:val="000000"/>
                <w:szCs w:val="21"/>
              </w:rPr>
            </w:pPr>
            <w:r w:rsidRPr="00C24ACA">
              <w:rPr>
                <w:rFonts w:eastAsiaTheme="minorEastAsia"/>
                <w:color w:val="000000"/>
                <w:szCs w:val="21"/>
              </w:rPr>
              <w:t>占当期</w:t>
            </w:r>
            <w:r w:rsidR="00511FD1" w:rsidRPr="00C24ACA">
              <w:rPr>
                <w:rFonts w:eastAsiaTheme="minorEastAsia"/>
                <w:color w:val="000000"/>
                <w:szCs w:val="21"/>
              </w:rPr>
              <w:t>基金</w:t>
            </w:r>
            <w:r w:rsidRPr="00C24ACA">
              <w:rPr>
                <w:rFonts w:eastAsiaTheme="minorEastAsia"/>
                <w:color w:val="000000"/>
                <w:szCs w:val="21"/>
              </w:rPr>
              <w:t>成交总额的比例</w:t>
            </w:r>
          </w:p>
        </w:tc>
      </w:tr>
      <w:tr w:rsidR="00854133">
        <w:tc>
          <w:tcPr>
            <w:tcW w:w="709" w:type="dxa"/>
            <w:vAlign w:val="center"/>
          </w:tcPr>
          <w:p w:rsidR="00854133" w:rsidRDefault="00581AA4">
            <w:pPr>
              <w:jc w:val="left"/>
            </w:pPr>
            <w:r>
              <w:rPr>
                <w:rFonts w:eastAsiaTheme="minorEastAsia"/>
                <w:color w:val="000000"/>
                <w:szCs w:val="21"/>
              </w:rPr>
              <w:t>Citigroup Global Markets Limited</w:t>
            </w:r>
          </w:p>
        </w:tc>
        <w:tc>
          <w:tcPr>
            <w:tcW w:w="709" w:type="dxa"/>
            <w:vAlign w:val="center"/>
          </w:tcPr>
          <w:p w:rsidR="00854133" w:rsidRDefault="00581AA4">
            <w:pPr>
              <w:jc w:val="right"/>
            </w:pPr>
            <w:r>
              <w:rPr>
                <w:rFonts w:eastAsiaTheme="minorEastAsia"/>
                <w:color w:val="000000"/>
                <w:szCs w:val="21"/>
              </w:rPr>
              <w:t>-</w:t>
            </w:r>
          </w:p>
        </w:tc>
        <w:tc>
          <w:tcPr>
            <w:tcW w:w="1276" w:type="dxa"/>
            <w:vAlign w:val="center"/>
          </w:tcPr>
          <w:p w:rsidR="00854133" w:rsidRDefault="00581AA4">
            <w:pPr>
              <w:jc w:val="right"/>
            </w:pPr>
            <w:r>
              <w:rPr>
                <w:rFonts w:eastAsiaTheme="minorEastAsia"/>
                <w:color w:val="000000"/>
                <w:szCs w:val="21"/>
              </w:rPr>
              <w:t>-</w:t>
            </w:r>
          </w:p>
        </w:tc>
        <w:tc>
          <w:tcPr>
            <w:tcW w:w="763" w:type="dxa"/>
            <w:vAlign w:val="center"/>
          </w:tcPr>
          <w:p w:rsidR="00854133" w:rsidRDefault="00581AA4">
            <w:pPr>
              <w:jc w:val="right"/>
            </w:pPr>
            <w:r>
              <w:rPr>
                <w:rFonts w:eastAsiaTheme="minorEastAsia"/>
                <w:color w:val="000000"/>
                <w:szCs w:val="21"/>
              </w:rPr>
              <w:t>-</w:t>
            </w:r>
          </w:p>
        </w:tc>
        <w:tc>
          <w:tcPr>
            <w:tcW w:w="1260" w:type="dxa"/>
            <w:vAlign w:val="center"/>
          </w:tcPr>
          <w:p w:rsidR="00854133" w:rsidRDefault="00581AA4">
            <w:pPr>
              <w:jc w:val="right"/>
            </w:pPr>
            <w:r>
              <w:rPr>
                <w:rFonts w:eastAsiaTheme="minorEastAsia"/>
                <w:color w:val="000000"/>
                <w:szCs w:val="21"/>
              </w:rPr>
              <w:t>-</w:t>
            </w:r>
          </w:p>
        </w:tc>
        <w:tc>
          <w:tcPr>
            <w:tcW w:w="724" w:type="dxa"/>
            <w:vAlign w:val="center"/>
          </w:tcPr>
          <w:p w:rsidR="00854133" w:rsidRDefault="00581AA4">
            <w:pPr>
              <w:jc w:val="right"/>
            </w:pPr>
            <w:r>
              <w:rPr>
                <w:rFonts w:eastAsiaTheme="minorEastAsia"/>
                <w:color w:val="000000"/>
                <w:szCs w:val="21"/>
              </w:rPr>
              <w:t>-</w:t>
            </w:r>
          </w:p>
        </w:tc>
        <w:tc>
          <w:tcPr>
            <w:tcW w:w="1440" w:type="dxa"/>
            <w:vAlign w:val="center"/>
          </w:tcPr>
          <w:p w:rsidR="00854133" w:rsidRDefault="00581AA4">
            <w:pPr>
              <w:jc w:val="right"/>
            </w:pPr>
            <w:r>
              <w:rPr>
                <w:rFonts w:eastAsiaTheme="minorEastAsia"/>
                <w:color w:val="000000"/>
                <w:szCs w:val="21"/>
              </w:rPr>
              <w:t>-</w:t>
            </w:r>
          </w:p>
        </w:tc>
        <w:tc>
          <w:tcPr>
            <w:tcW w:w="781" w:type="dxa"/>
            <w:vAlign w:val="center"/>
          </w:tcPr>
          <w:p w:rsidR="00854133" w:rsidRDefault="00581AA4">
            <w:pPr>
              <w:jc w:val="right"/>
            </w:pPr>
            <w:r>
              <w:rPr>
                <w:rFonts w:eastAsiaTheme="minorEastAsia"/>
                <w:color w:val="000000"/>
                <w:szCs w:val="21"/>
              </w:rPr>
              <w:t>518,972,272.64</w:t>
            </w:r>
          </w:p>
        </w:tc>
        <w:tc>
          <w:tcPr>
            <w:tcW w:w="1181" w:type="dxa"/>
            <w:vAlign w:val="center"/>
          </w:tcPr>
          <w:p w:rsidR="00854133" w:rsidRDefault="00581AA4">
            <w:pPr>
              <w:jc w:val="right"/>
            </w:pPr>
            <w:r>
              <w:rPr>
                <w:rFonts w:eastAsiaTheme="minorEastAsia"/>
                <w:color w:val="000000"/>
                <w:szCs w:val="21"/>
              </w:rPr>
              <w:t>61.00%</w:t>
            </w:r>
          </w:p>
        </w:tc>
      </w:tr>
      <w:tr w:rsidR="00854133">
        <w:tc>
          <w:tcPr>
            <w:tcW w:w="709" w:type="dxa"/>
            <w:vAlign w:val="center"/>
          </w:tcPr>
          <w:p w:rsidR="00854133" w:rsidRDefault="00581AA4">
            <w:pPr>
              <w:jc w:val="left"/>
            </w:pPr>
            <w:r>
              <w:rPr>
                <w:rFonts w:eastAsiaTheme="minorEastAsia"/>
                <w:color w:val="000000"/>
                <w:szCs w:val="21"/>
              </w:rPr>
              <w:t>Morgan Stanley &amp; Co. International PLC</w:t>
            </w:r>
          </w:p>
        </w:tc>
        <w:tc>
          <w:tcPr>
            <w:tcW w:w="709" w:type="dxa"/>
            <w:vAlign w:val="center"/>
          </w:tcPr>
          <w:p w:rsidR="00854133" w:rsidRDefault="00581AA4">
            <w:pPr>
              <w:jc w:val="right"/>
            </w:pPr>
            <w:r>
              <w:rPr>
                <w:rFonts w:eastAsiaTheme="minorEastAsia"/>
                <w:color w:val="000000"/>
                <w:szCs w:val="21"/>
              </w:rPr>
              <w:t>-</w:t>
            </w:r>
          </w:p>
        </w:tc>
        <w:tc>
          <w:tcPr>
            <w:tcW w:w="1276" w:type="dxa"/>
            <w:vAlign w:val="center"/>
          </w:tcPr>
          <w:p w:rsidR="00854133" w:rsidRDefault="00581AA4">
            <w:pPr>
              <w:jc w:val="right"/>
            </w:pPr>
            <w:r>
              <w:rPr>
                <w:rFonts w:eastAsiaTheme="minorEastAsia"/>
                <w:color w:val="000000"/>
                <w:szCs w:val="21"/>
              </w:rPr>
              <w:t>-</w:t>
            </w:r>
          </w:p>
        </w:tc>
        <w:tc>
          <w:tcPr>
            <w:tcW w:w="763" w:type="dxa"/>
            <w:vAlign w:val="center"/>
          </w:tcPr>
          <w:p w:rsidR="00854133" w:rsidRDefault="00581AA4">
            <w:pPr>
              <w:jc w:val="right"/>
            </w:pPr>
            <w:r>
              <w:rPr>
                <w:rFonts w:eastAsiaTheme="minorEastAsia"/>
                <w:color w:val="000000"/>
                <w:szCs w:val="21"/>
              </w:rPr>
              <w:t>-</w:t>
            </w:r>
          </w:p>
        </w:tc>
        <w:tc>
          <w:tcPr>
            <w:tcW w:w="1260" w:type="dxa"/>
            <w:vAlign w:val="center"/>
          </w:tcPr>
          <w:p w:rsidR="00854133" w:rsidRDefault="00581AA4">
            <w:pPr>
              <w:jc w:val="right"/>
            </w:pPr>
            <w:r>
              <w:rPr>
                <w:rFonts w:eastAsiaTheme="minorEastAsia"/>
                <w:color w:val="000000"/>
                <w:szCs w:val="21"/>
              </w:rPr>
              <w:t>-</w:t>
            </w:r>
          </w:p>
        </w:tc>
        <w:tc>
          <w:tcPr>
            <w:tcW w:w="724" w:type="dxa"/>
            <w:vAlign w:val="center"/>
          </w:tcPr>
          <w:p w:rsidR="00854133" w:rsidRDefault="00581AA4">
            <w:pPr>
              <w:jc w:val="right"/>
            </w:pPr>
            <w:r>
              <w:rPr>
                <w:rFonts w:eastAsiaTheme="minorEastAsia"/>
                <w:color w:val="000000"/>
                <w:szCs w:val="21"/>
              </w:rPr>
              <w:t>-</w:t>
            </w:r>
          </w:p>
        </w:tc>
        <w:tc>
          <w:tcPr>
            <w:tcW w:w="1440" w:type="dxa"/>
            <w:vAlign w:val="center"/>
          </w:tcPr>
          <w:p w:rsidR="00854133" w:rsidRDefault="00581AA4">
            <w:pPr>
              <w:jc w:val="right"/>
            </w:pPr>
            <w:r>
              <w:rPr>
                <w:rFonts w:eastAsiaTheme="minorEastAsia"/>
                <w:color w:val="000000"/>
                <w:szCs w:val="21"/>
              </w:rPr>
              <w:t>-</w:t>
            </w:r>
          </w:p>
        </w:tc>
        <w:tc>
          <w:tcPr>
            <w:tcW w:w="781" w:type="dxa"/>
            <w:vAlign w:val="center"/>
          </w:tcPr>
          <w:p w:rsidR="00854133" w:rsidRDefault="00581AA4">
            <w:pPr>
              <w:jc w:val="right"/>
            </w:pPr>
            <w:r>
              <w:rPr>
                <w:rFonts w:eastAsiaTheme="minorEastAsia"/>
                <w:color w:val="000000"/>
                <w:szCs w:val="21"/>
              </w:rPr>
              <w:t>72,876,028.19</w:t>
            </w:r>
          </w:p>
        </w:tc>
        <w:tc>
          <w:tcPr>
            <w:tcW w:w="1181" w:type="dxa"/>
            <w:vAlign w:val="center"/>
          </w:tcPr>
          <w:p w:rsidR="00854133" w:rsidRDefault="00581AA4">
            <w:pPr>
              <w:jc w:val="right"/>
            </w:pPr>
            <w:r>
              <w:rPr>
                <w:rFonts w:eastAsiaTheme="minorEastAsia"/>
                <w:color w:val="000000"/>
                <w:szCs w:val="21"/>
              </w:rPr>
              <w:t>8.57%</w:t>
            </w:r>
          </w:p>
        </w:tc>
      </w:tr>
      <w:tr w:rsidR="00854133">
        <w:tc>
          <w:tcPr>
            <w:tcW w:w="709" w:type="dxa"/>
            <w:vAlign w:val="center"/>
          </w:tcPr>
          <w:p w:rsidR="00854133" w:rsidRDefault="00581AA4">
            <w:pPr>
              <w:jc w:val="left"/>
            </w:pPr>
            <w:r>
              <w:rPr>
                <w:rFonts w:eastAsiaTheme="minorEastAsia"/>
                <w:color w:val="000000"/>
                <w:szCs w:val="21"/>
              </w:rPr>
              <w:t>Credit Suisse (Hong Kong) Limited</w:t>
            </w:r>
          </w:p>
        </w:tc>
        <w:tc>
          <w:tcPr>
            <w:tcW w:w="709" w:type="dxa"/>
            <w:vAlign w:val="center"/>
          </w:tcPr>
          <w:p w:rsidR="00854133" w:rsidRDefault="00581AA4">
            <w:pPr>
              <w:jc w:val="right"/>
            </w:pPr>
            <w:r>
              <w:rPr>
                <w:rFonts w:eastAsiaTheme="minorEastAsia"/>
                <w:color w:val="000000"/>
                <w:szCs w:val="21"/>
              </w:rPr>
              <w:t>-</w:t>
            </w:r>
          </w:p>
        </w:tc>
        <w:tc>
          <w:tcPr>
            <w:tcW w:w="1276" w:type="dxa"/>
            <w:vAlign w:val="center"/>
          </w:tcPr>
          <w:p w:rsidR="00854133" w:rsidRDefault="00581AA4">
            <w:pPr>
              <w:jc w:val="right"/>
            </w:pPr>
            <w:r>
              <w:rPr>
                <w:rFonts w:eastAsiaTheme="minorEastAsia"/>
                <w:color w:val="000000"/>
                <w:szCs w:val="21"/>
              </w:rPr>
              <w:t>-</w:t>
            </w:r>
          </w:p>
        </w:tc>
        <w:tc>
          <w:tcPr>
            <w:tcW w:w="763" w:type="dxa"/>
            <w:vAlign w:val="center"/>
          </w:tcPr>
          <w:p w:rsidR="00854133" w:rsidRDefault="00581AA4">
            <w:pPr>
              <w:jc w:val="right"/>
            </w:pPr>
            <w:r>
              <w:rPr>
                <w:rFonts w:eastAsiaTheme="minorEastAsia"/>
                <w:color w:val="000000"/>
                <w:szCs w:val="21"/>
              </w:rPr>
              <w:t>-</w:t>
            </w:r>
          </w:p>
        </w:tc>
        <w:tc>
          <w:tcPr>
            <w:tcW w:w="1260" w:type="dxa"/>
            <w:vAlign w:val="center"/>
          </w:tcPr>
          <w:p w:rsidR="00854133" w:rsidRDefault="00581AA4">
            <w:pPr>
              <w:jc w:val="right"/>
            </w:pPr>
            <w:r>
              <w:rPr>
                <w:rFonts w:eastAsiaTheme="minorEastAsia"/>
                <w:color w:val="000000"/>
                <w:szCs w:val="21"/>
              </w:rPr>
              <w:t>-</w:t>
            </w:r>
          </w:p>
        </w:tc>
        <w:tc>
          <w:tcPr>
            <w:tcW w:w="724" w:type="dxa"/>
            <w:vAlign w:val="center"/>
          </w:tcPr>
          <w:p w:rsidR="00854133" w:rsidRDefault="00581AA4">
            <w:pPr>
              <w:jc w:val="right"/>
            </w:pPr>
            <w:r>
              <w:rPr>
                <w:rFonts w:eastAsiaTheme="minorEastAsia"/>
                <w:color w:val="000000"/>
                <w:szCs w:val="21"/>
              </w:rPr>
              <w:t>-</w:t>
            </w:r>
          </w:p>
        </w:tc>
        <w:tc>
          <w:tcPr>
            <w:tcW w:w="1440" w:type="dxa"/>
            <w:vAlign w:val="center"/>
          </w:tcPr>
          <w:p w:rsidR="00854133" w:rsidRDefault="00581AA4">
            <w:pPr>
              <w:jc w:val="right"/>
            </w:pPr>
            <w:r>
              <w:rPr>
                <w:rFonts w:eastAsiaTheme="minorEastAsia"/>
                <w:color w:val="000000"/>
                <w:szCs w:val="21"/>
              </w:rPr>
              <w:t>-</w:t>
            </w:r>
          </w:p>
        </w:tc>
        <w:tc>
          <w:tcPr>
            <w:tcW w:w="781" w:type="dxa"/>
            <w:vAlign w:val="center"/>
          </w:tcPr>
          <w:p w:rsidR="00854133" w:rsidRDefault="00581AA4">
            <w:pPr>
              <w:jc w:val="right"/>
            </w:pPr>
            <w:r>
              <w:rPr>
                <w:rFonts w:eastAsiaTheme="minorEastAsia"/>
                <w:color w:val="000000"/>
                <w:szCs w:val="21"/>
              </w:rPr>
              <w:t>209,000,325.62</w:t>
            </w:r>
          </w:p>
        </w:tc>
        <w:tc>
          <w:tcPr>
            <w:tcW w:w="1181" w:type="dxa"/>
            <w:vAlign w:val="center"/>
          </w:tcPr>
          <w:p w:rsidR="00854133" w:rsidRDefault="00581AA4">
            <w:pPr>
              <w:jc w:val="right"/>
            </w:pPr>
            <w:r>
              <w:rPr>
                <w:rFonts w:eastAsiaTheme="minorEastAsia"/>
                <w:color w:val="000000"/>
                <w:szCs w:val="21"/>
              </w:rPr>
              <w:t>24.56%</w:t>
            </w:r>
          </w:p>
        </w:tc>
      </w:tr>
      <w:tr w:rsidR="00854133">
        <w:tc>
          <w:tcPr>
            <w:tcW w:w="709" w:type="dxa"/>
            <w:vAlign w:val="center"/>
          </w:tcPr>
          <w:p w:rsidR="00854133" w:rsidRDefault="00581AA4">
            <w:pPr>
              <w:jc w:val="left"/>
            </w:pPr>
            <w:r>
              <w:rPr>
                <w:rFonts w:eastAsiaTheme="minorEastAsia"/>
                <w:color w:val="000000"/>
                <w:szCs w:val="21"/>
              </w:rPr>
              <w:t>Goldman Sachs</w:t>
            </w:r>
          </w:p>
        </w:tc>
        <w:tc>
          <w:tcPr>
            <w:tcW w:w="709" w:type="dxa"/>
            <w:vAlign w:val="center"/>
          </w:tcPr>
          <w:p w:rsidR="00854133" w:rsidRDefault="00581AA4">
            <w:pPr>
              <w:jc w:val="right"/>
            </w:pPr>
            <w:r>
              <w:rPr>
                <w:rFonts w:eastAsiaTheme="minorEastAsia"/>
                <w:color w:val="000000"/>
                <w:szCs w:val="21"/>
              </w:rPr>
              <w:t>-</w:t>
            </w:r>
          </w:p>
        </w:tc>
        <w:tc>
          <w:tcPr>
            <w:tcW w:w="1276" w:type="dxa"/>
            <w:vAlign w:val="center"/>
          </w:tcPr>
          <w:p w:rsidR="00854133" w:rsidRDefault="00581AA4">
            <w:pPr>
              <w:jc w:val="right"/>
            </w:pPr>
            <w:r>
              <w:rPr>
                <w:rFonts w:eastAsiaTheme="minorEastAsia"/>
                <w:color w:val="000000"/>
                <w:szCs w:val="21"/>
              </w:rPr>
              <w:t>-</w:t>
            </w:r>
          </w:p>
        </w:tc>
        <w:tc>
          <w:tcPr>
            <w:tcW w:w="763" w:type="dxa"/>
            <w:vAlign w:val="center"/>
          </w:tcPr>
          <w:p w:rsidR="00854133" w:rsidRDefault="00581AA4">
            <w:pPr>
              <w:jc w:val="right"/>
            </w:pPr>
            <w:r>
              <w:rPr>
                <w:rFonts w:eastAsiaTheme="minorEastAsia"/>
                <w:color w:val="000000"/>
                <w:szCs w:val="21"/>
              </w:rPr>
              <w:t>-</w:t>
            </w:r>
          </w:p>
        </w:tc>
        <w:tc>
          <w:tcPr>
            <w:tcW w:w="1260" w:type="dxa"/>
            <w:vAlign w:val="center"/>
          </w:tcPr>
          <w:p w:rsidR="00854133" w:rsidRDefault="00581AA4">
            <w:pPr>
              <w:jc w:val="right"/>
            </w:pPr>
            <w:r>
              <w:rPr>
                <w:rFonts w:eastAsiaTheme="minorEastAsia"/>
                <w:color w:val="000000"/>
                <w:szCs w:val="21"/>
              </w:rPr>
              <w:t>-</w:t>
            </w:r>
          </w:p>
        </w:tc>
        <w:tc>
          <w:tcPr>
            <w:tcW w:w="724" w:type="dxa"/>
            <w:vAlign w:val="center"/>
          </w:tcPr>
          <w:p w:rsidR="00854133" w:rsidRDefault="00581AA4">
            <w:pPr>
              <w:jc w:val="right"/>
            </w:pPr>
            <w:r>
              <w:rPr>
                <w:rFonts w:eastAsiaTheme="minorEastAsia"/>
                <w:color w:val="000000"/>
                <w:szCs w:val="21"/>
              </w:rPr>
              <w:t>-</w:t>
            </w:r>
          </w:p>
        </w:tc>
        <w:tc>
          <w:tcPr>
            <w:tcW w:w="1440" w:type="dxa"/>
            <w:vAlign w:val="center"/>
          </w:tcPr>
          <w:p w:rsidR="00854133" w:rsidRDefault="00581AA4">
            <w:pPr>
              <w:jc w:val="right"/>
            </w:pPr>
            <w:r>
              <w:rPr>
                <w:rFonts w:eastAsiaTheme="minorEastAsia"/>
                <w:color w:val="000000"/>
                <w:szCs w:val="21"/>
              </w:rPr>
              <w:t>-</w:t>
            </w:r>
          </w:p>
        </w:tc>
        <w:tc>
          <w:tcPr>
            <w:tcW w:w="781" w:type="dxa"/>
            <w:vAlign w:val="center"/>
          </w:tcPr>
          <w:p w:rsidR="00854133" w:rsidRDefault="00581AA4">
            <w:pPr>
              <w:jc w:val="right"/>
            </w:pPr>
            <w:r>
              <w:rPr>
                <w:rFonts w:eastAsiaTheme="minorEastAsia"/>
                <w:color w:val="000000"/>
                <w:szCs w:val="21"/>
              </w:rPr>
              <w:t>49,992,551.79</w:t>
            </w:r>
          </w:p>
        </w:tc>
        <w:tc>
          <w:tcPr>
            <w:tcW w:w="1181" w:type="dxa"/>
            <w:vAlign w:val="center"/>
          </w:tcPr>
          <w:p w:rsidR="00854133" w:rsidRDefault="00581AA4">
            <w:pPr>
              <w:jc w:val="right"/>
            </w:pPr>
            <w:r>
              <w:rPr>
                <w:rFonts w:eastAsiaTheme="minorEastAsia"/>
                <w:color w:val="000000"/>
                <w:szCs w:val="21"/>
              </w:rPr>
              <w:t>5.88%</w:t>
            </w:r>
          </w:p>
        </w:tc>
      </w:tr>
      <w:tr w:rsidR="00854133">
        <w:tc>
          <w:tcPr>
            <w:tcW w:w="709" w:type="dxa"/>
            <w:vAlign w:val="center"/>
          </w:tcPr>
          <w:p w:rsidR="00854133" w:rsidRDefault="00581AA4">
            <w:pPr>
              <w:jc w:val="left"/>
            </w:pPr>
            <w:r>
              <w:rPr>
                <w:rFonts w:eastAsiaTheme="minorEastAsia"/>
                <w:color w:val="000000"/>
                <w:szCs w:val="21"/>
              </w:rPr>
              <w:t>China Merchants Securities (HK) Co Ltd</w:t>
            </w:r>
          </w:p>
        </w:tc>
        <w:tc>
          <w:tcPr>
            <w:tcW w:w="709" w:type="dxa"/>
            <w:vAlign w:val="center"/>
          </w:tcPr>
          <w:p w:rsidR="00854133" w:rsidRDefault="00581AA4">
            <w:pPr>
              <w:jc w:val="right"/>
            </w:pPr>
            <w:r>
              <w:rPr>
                <w:rFonts w:eastAsiaTheme="minorEastAsia"/>
                <w:color w:val="000000"/>
                <w:szCs w:val="21"/>
              </w:rPr>
              <w:t>-</w:t>
            </w:r>
          </w:p>
        </w:tc>
        <w:tc>
          <w:tcPr>
            <w:tcW w:w="1276" w:type="dxa"/>
            <w:vAlign w:val="center"/>
          </w:tcPr>
          <w:p w:rsidR="00854133" w:rsidRDefault="00581AA4">
            <w:pPr>
              <w:jc w:val="right"/>
            </w:pPr>
            <w:r>
              <w:rPr>
                <w:rFonts w:eastAsiaTheme="minorEastAsia"/>
                <w:color w:val="000000"/>
                <w:szCs w:val="21"/>
              </w:rPr>
              <w:t>-</w:t>
            </w:r>
          </w:p>
        </w:tc>
        <w:tc>
          <w:tcPr>
            <w:tcW w:w="763" w:type="dxa"/>
            <w:vAlign w:val="center"/>
          </w:tcPr>
          <w:p w:rsidR="00854133" w:rsidRDefault="00581AA4">
            <w:pPr>
              <w:jc w:val="right"/>
            </w:pPr>
            <w:r>
              <w:rPr>
                <w:rFonts w:eastAsiaTheme="minorEastAsia"/>
                <w:color w:val="000000"/>
                <w:szCs w:val="21"/>
              </w:rPr>
              <w:t>-</w:t>
            </w:r>
          </w:p>
        </w:tc>
        <w:tc>
          <w:tcPr>
            <w:tcW w:w="1260" w:type="dxa"/>
            <w:vAlign w:val="center"/>
          </w:tcPr>
          <w:p w:rsidR="00854133" w:rsidRDefault="00581AA4">
            <w:pPr>
              <w:jc w:val="right"/>
            </w:pPr>
            <w:r>
              <w:rPr>
                <w:rFonts w:eastAsiaTheme="minorEastAsia"/>
                <w:color w:val="000000"/>
                <w:szCs w:val="21"/>
              </w:rPr>
              <w:t>-</w:t>
            </w:r>
          </w:p>
        </w:tc>
        <w:tc>
          <w:tcPr>
            <w:tcW w:w="724" w:type="dxa"/>
            <w:vAlign w:val="center"/>
          </w:tcPr>
          <w:p w:rsidR="00854133" w:rsidRDefault="00581AA4">
            <w:pPr>
              <w:jc w:val="right"/>
            </w:pPr>
            <w:r>
              <w:rPr>
                <w:rFonts w:eastAsiaTheme="minorEastAsia"/>
                <w:color w:val="000000"/>
                <w:szCs w:val="21"/>
              </w:rPr>
              <w:t>-</w:t>
            </w:r>
          </w:p>
        </w:tc>
        <w:tc>
          <w:tcPr>
            <w:tcW w:w="1440" w:type="dxa"/>
            <w:vAlign w:val="center"/>
          </w:tcPr>
          <w:p w:rsidR="00854133" w:rsidRDefault="00581AA4">
            <w:pPr>
              <w:jc w:val="right"/>
            </w:pPr>
            <w:r>
              <w:rPr>
                <w:rFonts w:eastAsiaTheme="minorEastAsia"/>
                <w:color w:val="000000"/>
                <w:szCs w:val="21"/>
              </w:rPr>
              <w:t>-</w:t>
            </w:r>
          </w:p>
        </w:tc>
        <w:tc>
          <w:tcPr>
            <w:tcW w:w="781" w:type="dxa"/>
            <w:vAlign w:val="center"/>
          </w:tcPr>
          <w:p w:rsidR="00854133" w:rsidRDefault="00581AA4">
            <w:pPr>
              <w:jc w:val="right"/>
            </w:pPr>
            <w:r>
              <w:rPr>
                <w:rFonts w:eastAsiaTheme="minorEastAsia"/>
                <w:color w:val="000000"/>
                <w:szCs w:val="21"/>
              </w:rPr>
              <w:t>-</w:t>
            </w:r>
          </w:p>
        </w:tc>
        <w:tc>
          <w:tcPr>
            <w:tcW w:w="1181" w:type="dxa"/>
            <w:vAlign w:val="center"/>
          </w:tcPr>
          <w:p w:rsidR="00854133" w:rsidRDefault="00581AA4">
            <w:pPr>
              <w:jc w:val="right"/>
            </w:pPr>
            <w:r>
              <w:rPr>
                <w:rFonts w:eastAsiaTheme="minorEastAsia"/>
                <w:color w:val="000000"/>
                <w:szCs w:val="21"/>
              </w:rPr>
              <w:t>-</w:t>
            </w:r>
          </w:p>
        </w:tc>
      </w:tr>
      <w:tr w:rsidR="00854133">
        <w:tc>
          <w:tcPr>
            <w:tcW w:w="709" w:type="dxa"/>
            <w:vAlign w:val="center"/>
          </w:tcPr>
          <w:p w:rsidR="00854133" w:rsidRDefault="00581AA4">
            <w:pPr>
              <w:jc w:val="left"/>
            </w:pPr>
            <w:r>
              <w:rPr>
                <w:rFonts w:eastAsiaTheme="minorEastAsia"/>
                <w:color w:val="000000"/>
                <w:szCs w:val="21"/>
              </w:rPr>
              <w:t>UBS Securities Asia Limited</w:t>
            </w:r>
          </w:p>
        </w:tc>
        <w:tc>
          <w:tcPr>
            <w:tcW w:w="709" w:type="dxa"/>
            <w:vAlign w:val="center"/>
          </w:tcPr>
          <w:p w:rsidR="00854133" w:rsidRDefault="00581AA4">
            <w:pPr>
              <w:jc w:val="right"/>
            </w:pPr>
            <w:r>
              <w:rPr>
                <w:rFonts w:eastAsiaTheme="minorEastAsia"/>
                <w:color w:val="000000"/>
                <w:szCs w:val="21"/>
              </w:rPr>
              <w:t>-</w:t>
            </w:r>
          </w:p>
        </w:tc>
        <w:tc>
          <w:tcPr>
            <w:tcW w:w="1276" w:type="dxa"/>
            <w:vAlign w:val="center"/>
          </w:tcPr>
          <w:p w:rsidR="00854133" w:rsidRDefault="00581AA4">
            <w:pPr>
              <w:jc w:val="right"/>
            </w:pPr>
            <w:r>
              <w:rPr>
                <w:rFonts w:eastAsiaTheme="minorEastAsia"/>
                <w:color w:val="000000"/>
                <w:szCs w:val="21"/>
              </w:rPr>
              <w:t>-</w:t>
            </w:r>
          </w:p>
        </w:tc>
        <w:tc>
          <w:tcPr>
            <w:tcW w:w="763" w:type="dxa"/>
            <w:vAlign w:val="center"/>
          </w:tcPr>
          <w:p w:rsidR="00854133" w:rsidRDefault="00581AA4">
            <w:pPr>
              <w:jc w:val="right"/>
            </w:pPr>
            <w:r>
              <w:rPr>
                <w:rFonts w:eastAsiaTheme="minorEastAsia"/>
                <w:color w:val="000000"/>
                <w:szCs w:val="21"/>
              </w:rPr>
              <w:t>-</w:t>
            </w:r>
          </w:p>
        </w:tc>
        <w:tc>
          <w:tcPr>
            <w:tcW w:w="1260" w:type="dxa"/>
            <w:vAlign w:val="center"/>
          </w:tcPr>
          <w:p w:rsidR="00854133" w:rsidRDefault="00581AA4">
            <w:pPr>
              <w:jc w:val="right"/>
            </w:pPr>
            <w:r>
              <w:rPr>
                <w:rFonts w:eastAsiaTheme="minorEastAsia"/>
                <w:color w:val="000000"/>
                <w:szCs w:val="21"/>
              </w:rPr>
              <w:t>-</w:t>
            </w:r>
          </w:p>
        </w:tc>
        <w:tc>
          <w:tcPr>
            <w:tcW w:w="724" w:type="dxa"/>
            <w:vAlign w:val="center"/>
          </w:tcPr>
          <w:p w:rsidR="00854133" w:rsidRDefault="00581AA4">
            <w:pPr>
              <w:jc w:val="right"/>
            </w:pPr>
            <w:r>
              <w:rPr>
                <w:rFonts w:eastAsiaTheme="minorEastAsia"/>
                <w:color w:val="000000"/>
                <w:szCs w:val="21"/>
              </w:rPr>
              <w:t>-</w:t>
            </w:r>
          </w:p>
        </w:tc>
        <w:tc>
          <w:tcPr>
            <w:tcW w:w="1440" w:type="dxa"/>
            <w:vAlign w:val="center"/>
          </w:tcPr>
          <w:p w:rsidR="00854133" w:rsidRDefault="00581AA4">
            <w:pPr>
              <w:jc w:val="right"/>
            </w:pPr>
            <w:r>
              <w:rPr>
                <w:rFonts w:eastAsiaTheme="minorEastAsia"/>
                <w:color w:val="000000"/>
                <w:szCs w:val="21"/>
              </w:rPr>
              <w:t>-</w:t>
            </w:r>
          </w:p>
        </w:tc>
        <w:tc>
          <w:tcPr>
            <w:tcW w:w="781" w:type="dxa"/>
            <w:vAlign w:val="center"/>
          </w:tcPr>
          <w:p w:rsidR="00854133" w:rsidRDefault="00581AA4">
            <w:pPr>
              <w:jc w:val="right"/>
            </w:pPr>
            <w:r>
              <w:rPr>
                <w:rFonts w:eastAsiaTheme="minorEastAsia"/>
                <w:color w:val="000000"/>
                <w:szCs w:val="21"/>
              </w:rPr>
              <w:t>-</w:t>
            </w:r>
          </w:p>
        </w:tc>
        <w:tc>
          <w:tcPr>
            <w:tcW w:w="1181" w:type="dxa"/>
            <w:vAlign w:val="center"/>
          </w:tcPr>
          <w:p w:rsidR="00854133" w:rsidRDefault="00581AA4">
            <w:pPr>
              <w:jc w:val="right"/>
            </w:pPr>
            <w:r>
              <w:rPr>
                <w:rFonts w:eastAsiaTheme="minorEastAsia"/>
                <w:color w:val="000000"/>
                <w:szCs w:val="21"/>
              </w:rPr>
              <w:t>-</w:t>
            </w:r>
          </w:p>
        </w:tc>
      </w:tr>
      <w:tr w:rsidR="00854133">
        <w:tc>
          <w:tcPr>
            <w:tcW w:w="709" w:type="dxa"/>
            <w:vAlign w:val="center"/>
          </w:tcPr>
          <w:p w:rsidR="00854133" w:rsidRDefault="00581AA4">
            <w:pPr>
              <w:jc w:val="left"/>
            </w:pPr>
            <w:r>
              <w:rPr>
                <w:rFonts w:eastAsiaTheme="minorEastAsia"/>
                <w:color w:val="000000"/>
                <w:szCs w:val="21"/>
              </w:rPr>
              <w:t>Deutsche Bank AG London</w:t>
            </w:r>
          </w:p>
        </w:tc>
        <w:tc>
          <w:tcPr>
            <w:tcW w:w="709" w:type="dxa"/>
            <w:vAlign w:val="center"/>
          </w:tcPr>
          <w:p w:rsidR="00854133" w:rsidRDefault="00581AA4">
            <w:pPr>
              <w:jc w:val="right"/>
            </w:pPr>
            <w:r>
              <w:rPr>
                <w:rFonts w:eastAsiaTheme="minorEastAsia"/>
                <w:color w:val="000000"/>
                <w:szCs w:val="21"/>
              </w:rPr>
              <w:t>-</w:t>
            </w:r>
          </w:p>
        </w:tc>
        <w:tc>
          <w:tcPr>
            <w:tcW w:w="1276" w:type="dxa"/>
            <w:vAlign w:val="center"/>
          </w:tcPr>
          <w:p w:rsidR="00854133" w:rsidRDefault="00581AA4">
            <w:pPr>
              <w:jc w:val="right"/>
            </w:pPr>
            <w:r>
              <w:rPr>
                <w:rFonts w:eastAsiaTheme="minorEastAsia"/>
                <w:color w:val="000000"/>
                <w:szCs w:val="21"/>
              </w:rPr>
              <w:t>-</w:t>
            </w:r>
          </w:p>
        </w:tc>
        <w:tc>
          <w:tcPr>
            <w:tcW w:w="763" w:type="dxa"/>
            <w:vAlign w:val="center"/>
          </w:tcPr>
          <w:p w:rsidR="00854133" w:rsidRDefault="00581AA4">
            <w:pPr>
              <w:jc w:val="right"/>
            </w:pPr>
            <w:r>
              <w:rPr>
                <w:rFonts w:eastAsiaTheme="minorEastAsia"/>
                <w:color w:val="000000"/>
                <w:szCs w:val="21"/>
              </w:rPr>
              <w:t>-</w:t>
            </w:r>
          </w:p>
        </w:tc>
        <w:tc>
          <w:tcPr>
            <w:tcW w:w="1260" w:type="dxa"/>
            <w:vAlign w:val="center"/>
          </w:tcPr>
          <w:p w:rsidR="00854133" w:rsidRDefault="00581AA4">
            <w:pPr>
              <w:jc w:val="right"/>
            </w:pPr>
            <w:r>
              <w:rPr>
                <w:rFonts w:eastAsiaTheme="minorEastAsia"/>
                <w:color w:val="000000"/>
                <w:szCs w:val="21"/>
              </w:rPr>
              <w:t>-</w:t>
            </w:r>
          </w:p>
        </w:tc>
        <w:tc>
          <w:tcPr>
            <w:tcW w:w="724" w:type="dxa"/>
            <w:vAlign w:val="center"/>
          </w:tcPr>
          <w:p w:rsidR="00854133" w:rsidRDefault="00581AA4">
            <w:pPr>
              <w:jc w:val="right"/>
            </w:pPr>
            <w:r>
              <w:rPr>
                <w:rFonts w:eastAsiaTheme="minorEastAsia"/>
                <w:color w:val="000000"/>
                <w:szCs w:val="21"/>
              </w:rPr>
              <w:t>-</w:t>
            </w:r>
          </w:p>
        </w:tc>
        <w:tc>
          <w:tcPr>
            <w:tcW w:w="1440" w:type="dxa"/>
            <w:vAlign w:val="center"/>
          </w:tcPr>
          <w:p w:rsidR="00854133" w:rsidRDefault="00581AA4">
            <w:pPr>
              <w:jc w:val="right"/>
            </w:pPr>
            <w:r>
              <w:rPr>
                <w:rFonts w:eastAsiaTheme="minorEastAsia"/>
                <w:color w:val="000000"/>
                <w:szCs w:val="21"/>
              </w:rPr>
              <w:t>-</w:t>
            </w:r>
          </w:p>
        </w:tc>
        <w:tc>
          <w:tcPr>
            <w:tcW w:w="781" w:type="dxa"/>
            <w:vAlign w:val="center"/>
          </w:tcPr>
          <w:p w:rsidR="00854133" w:rsidRDefault="00581AA4">
            <w:pPr>
              <w:jc w:val="right"/>
            </w:pPr>
            <w:r>
              <w:rPr>
                <w:rFonts w:eastAsiaTheme="minorEastAsia"/>
                <w:color w:val="000000"/>
                <w:szCs w:val="21"/>
              </w:rPr>
              <w:t>-</w:t>
            </w:r>
          </w:p>
        </w:tc>
        <w:tc>
          <w:tcPr>
            <w:tcW w:w="1181" w:type="dxa"/>
            <w:vAlign w:val="center"/>
          </w:tcPr>
          <w:p w:rsidR="00854133" w:rsidRDefault="00581AA4">
            <w:pPr>
              <w:jc w:val="right"/>
            </w:pPr>
            <w:r>
              <w:rPr>
                <w:rFonts w:eastAsiaTheme="minorEastAsia"/>
                <w:color w:val="000000"/>
                <w:szCs w:val="21"/>
              </w:rPr>
              <w:t>-</w:t>
            </w:r>
          </w:p>
        </w:tc>
      </w:tr>
      <w:tr w:rsidR="00854133">
        <w:tc>
          <w:tcPr>
            <w:tcW w:w="709" w:type="dxa"/>
            <w:vAlign w:val="center"/>
          </w:tcPr>
          <w:p w:rsidR="00854133" w:rsidRDefault="00581AA4">
            <w:pPr>
              <w:jc w:val="left"/>
            </w:pPr>
            <w:r>
              <w:rPr>
                <w:rFonts w:eastAsiaTheme="minorEastAsia"/>
                <w:color w:val="000000"/>
                <w:szCs w:val="21"/>
              </w:rPr>
              <w:t>CLSA Limited</w:t>
            </w:r>
          </w:p>
        </w:tc>
        <w:tc>
          <w:tcPr>
            <w:tcW w:w="709" w:type="dxa"/>
            <w:vAlign w:val="center"/>
          </w:tcPr>
          <w:p w:rsidR="00854133" w:rsidRDefault="00581AA4">
            <w:pPr>
              <w:jc w:val="right"/>
            </w:pPr>
            <w:r>
              <w:rPr>
                <w:rFonts w:eastAsiaTheme="minorEastAsia"/>
                <w:color w:val="000000"/>
                <w:szCs w:val="21"/>
              </w:rPr>
              <w:t>-</w:t>
            </w:r>
          </w:p>
        </w:tc>
        <w:tc>
          <w:tcPr>
            <w:tcW w:w="1276" w:type="dxa"/>
            <w:vAlign w:val="center"/>
          </w:tcPr>
          <w:p w:rsidR="00854133" w:rsidRDefault="00581AA4">
            <w:pPr>
              <w:jc w:val="right"/>
            </w:pPr>
            <w:r>
              <w:rPr>
                <w:rFonts w:eastAsiaTheme="minorEastAsia"/>
                <w:color w:val="000000"/>
                <w:szCs w:val="21"/>
              </w:rPr>
              <w:t>-</w:t>
            </w:r>
          </w:p>
        </w:tc>
        <w:tc>
          <w:tcPr>
            <w:tcW w:w="763" w:type="dxa"/>
            <w:vAlign w:val="center"/>
          </w:tcPr>
          <w:p w:rsidR="00854133" w:rsidRDefault="00581AA4">
            <w:pPr>
              <w:jc w:val="right"/>
            </w:pPr>
            <w:r>
              <w:rPr>
                <w:rFonts w:eastAsiaTheme="minorEastAsia"/>
                <w:color w:val="000000"/>
                <w:szCs w:val="21"/>
              </w:rPr>
              <w:t>-</w:t>
            </w:r>
          </w:p>
        </w:tc>
        <w:tc>
          <w:tcPr>
            <w:tcW w:w="1260" w:type="dxa"/>
            <w:vAlign w:val="center"/>
          </w:tcPr>
          <w:p w:rsidR="00854133" w:rsidRDefault="00581AA4">
            <w:pPr>
              <w:jc w:val="right"/>
            </w:pPr>
            <w:r>
              <w:rPr>
                <w:rFonts w:eastAsiaTheme="minorEastAsia"/>
                <w:color w:val="000000"/>
                <w:szCs w:val="21"/>
              </w:rPr>
              <w:t>-</w:t>
            </w:r>
          </w:p>
        </w:tc>
        <w:tc>
          <w:tcPr>
            <w:tcW w:w="724" w:type="dxa"/>
            <w:vAlign w:val="center"/>
          </w:tcPr>
          <w:p w:rsidR="00854133" w:rsidRDefault="00581AA4">
            <w:pPr>
              <w:jc w:val="right"/>
            </w:pPr>
            <w:r>
              <w:rPr>
                <w:rFonts w:eastAsiaTheme="minorEastAsia"/>
                <w:color w:val="000000"/>
                <w:szCs w:val="21"/>
              </w:rPr>
              <w:t>-</w:t>
            </w:r>
          </w:p>
        </w:tc>
        <w:tc>
          <w:tcPr>
            <w:tcW w:w="1440" w:type="dxa"/>
            <w:vAlign w:val="center"/>
          </w:tcPr>
          <w:p w:rsidR="00854133" w:rsidRDefault="00581AA4">
            <w:pPr>
              <w:jc w:val="right"/>
            </w:pPr>
            <w:r>
              <w:rPr>
                <w:rFonts w:eastAsiaTheme="minorEastAsia"/>
                <w:color w:val="000000"/>
                <w:szCs w:val="21"/>
              </w:rPr>
              <w:t>-</w:t>
            </w:r>
          </w:p>
        </w:tc>
        <w:tc>
          <w:tcPr>
            <w:tcW w:w="781" w:type="dxa"/>
            <w:vAlign w:val="center"/>
          </w:tcPr>
          <w:p w:rsidR="00854133" w:rsidRDefault="00581AA4">
            <w:pPr>
              <w:jc w:val="right"/>
            </w:pPr>
            <w:r>
              <w:rPr>
                <w:rFonts w:eastAsiaTheme="minorEastAsia"/>
                <w:color w:val="000000"/>
                <w:szCs w:val="21"/>
              </w:rPr>
              <w:t>-</w:t>
            </w:r>
          </w:p>
        </w:tc>
        <w:tc>
          <w:tcPr>
            <w:tcW w:w="1181" w:type="dxa"/>
            <w:vAlign w:val="center"/>
          </w:tcPr>
          <w:p w:rsidR="00854133" w:rsidRDefault="00581AA4">
            <w:pPr>
              <w:jc w:val="right"/>
            </w:pPr>
            <w:r>
              <w:rPr>
                <w:rFonts w:eastAsiaTheme="minorEastAsia"/>
                <w:color w:val="000000"/>
                <w:szCs w:val="21"/>
              </w:rPr>
              <w:t>-</w:t>
            </w:r>
          </w:p>
        </w:tc>
      </w:tr>
      <w:tr w:rsidR="00854133">
        <w:tc>
          <w:tcPr>
            <w:tcW w:w="709" w:type="dxa"/>
            <w:vAlign w:val="center"/>
          </w:tcPr>
          <w:p w:rsidR="00854133" w:rsidRDefault="00581AA4">
            <w:pPr>
              <w:jc w:val="left"/>
            </w:pPr>
            <w:r>
              <w:rPr>
                <w:rFonts w:eastAsiaTheme="minorEastAsia"/>
                <w:color w:val="000000"/>
                <w:szCs w:val="21"/>
              </w:rPr>
              <w:t>Nomura Asset Management HongKong Limited</w:t>
            </w:r>
          </w:p>
        </w:tc>
        <w:tc>
          <w:tcPr>
            <w:tcW w:w="709" w:type="dxa"/>
            <w:vAlign w:val="center"/>
          </w:tcPr>
          <w:p w:rsidR="00854133" w:rsidRDefault="00581AA4">
            <w:pPr>
              <w:jc w:val="right"/>
            </w:pPr>
            <w:r>
              <w:rPr>
                <w:rFonts w:eastAsiaTheme="minorEastAsia"/>
                <w:color w:val="000000"/>
                <w:szCs w:val="21"/>
              </w:rPr>
              <w:t>-</w:t>
            </w:r>
          </w:p>
        </w:tc>
        <w:tc>
          <w:tcPr>
            <w:tcW w:w="1276" w:type="dxa"/>
            <w:vAlign w:val="center"/>
          </w:tcPr>
          <w:p w:rsidR="00854133" w:rsidRDefault="00581AA4">
            <w:pPr>
              <w:jc w:val="right"/>
            </w:pPr>
            <w:r>
              <w:rPr>
                <w:rFonts w:eastAsiaTheme="minorEastAsia"/>
                <w:color w:val="000000"/>
                <w:szCs w:val="21"/>
              </w:rPr>
              <w:t>-</w:t>
            </w:r>
          </w:p>
        </w:tc>
        <w:tc>
          <w:tcPr>
            <w:tcW w:w="763" w:type="dxa"/>
            <w:vAlign w:val="center"/>
          </w:tcPr>
          <w:p w:rsidR="00854133" w:rsidRDefault="00581AA4">
            <w:pPr>
              <w:jc w:val="right"/>
            </w:pPr>
            <w:r>
              <w:rPr>
                <w:rFonts w:eastAsiaTheme="minorEastAsia"/>
                <w:color w:val="000000"/>
                <w:szCs w:val="21"/>
              </w:rPr>
              <w:t>-</w:t>
            </w:r>
          </w:p>
        </w:tc>
        <w:tc>
          <w:tcPr>
            <w:tcW w:w="1260" w:type="dxa"/>
            <w:vAlign w:val="center"/>
          </w:tcPr>
          <w:p w:rsidR="00854133" w:rsidRDefault="00581AA4">
            <w:pPr>
              <w:jc w:val="right"/>
            </w:pPr>
            <w:r>
              <w:rPr>
                <w:rFonts w:eastAsiaTheme="minorEastAsia"/>
                <w:color w:val="000000"/>
                <w:szCs w:val="21"/>
              </w:rPr>
              <w:t>-</w:t>
            </w:r>
          </w:p>
        </w:tc>
        <w:tc>
          <w:tcPr>
            <w:tcW w:w="724" w:type="dxa"/>
            <w:vAlign w:val="center"/>
          </w:tcPr>
          <w:p w:rsidR="00854133" w:rsidRDefault="00581AA4">
            <w:pPr>
              <w:jc w:val="right"/>
            </w:pPr>
            <w:r>
              <w:rPr>
                <w:rFonts w:eastAsiaTheme="minorEastAsia"/>
                <w:color w:val="000000"/>
                <w:szCs w:val="21"/>
              </w:rPr>
              <w:t>-</w:t>
            </w:r>
          </w:p>
        </w:tc>
        <w:tc>
          <w:tcPr>
            <w:tcW w:w="1440" w:type="dxa"/>
            <w:vAlign w:val="center"/>
          </w:tcPr>
          <w:p w:rsidR="00854133" w:rsidRDefault="00581AA4">
            <w:pPr>
              <w:jc w:val="right"/>
            </w:pPr>
            <w:r>
              <w:rPr>
                <w:rFonts w:eastAsiaTheme="minorEastAsia"/>
                <w:color w:val="000000"/>
                <w:szCs w:val="21"/>
              </w:rPr>
              <w:t>-</w:t>
            </w:r>
          </w:p>
        </w:tc>
        <w:tc>
          <w:tcPr>
            <w:tcW w:w="781" w:type="dxa"/>
            <w:vAlign w:val="center"/>
          </w:tcPr>
          <w:p w:rsidR="00854133" w:rsidRDefault="00581AA4">
            <w:pPr>
              <w:jc w:val="right"/>
            </w:pPr>
            <w:r>
              <w:rPr>
                <w:rFonts w:eastAsiaTheme="minorEastAsia"/>
                <w:color w:val="000000"/>
                <w:szCs w:val="21"/>
              </w:rPr>
              <w:t>-</w:t>
            </w:r>
          </w:p>
        </w:tc>
        <w:tc>
          <w:tcPr>
            <w:tcW w:w="1181" w:type="dxa"/>
            <w:vAlign w:val="center"/>
          </w:tcPr>
          <w:p w:rsidR="00854133" w:rsidRDefault="00581AA4">
            <w:pPr>
              <w:jc w:val="right"/>
            </w:pPr>
            <w:r>
              <w:rPr>
                <w:rFonts w:eastAsiaTheme="minorEastAsia"/>
                <w:color w:val="000000"/>
                <w:szCs w:val="21"/>
              </w:rPr>
              <w:t>-</w:t>
            </w:r>
          </w:p>
        </w:tc>
      </w:tr>
      <w:tr w:rsidR="00854133">
        <w:tc>
          <w:tcPr>
            <w:tcW w:w="709" w:type="dxa"/>
            <w:vAlign w:val="center"/>
          </w:tcPr>
          <w:p w:rsidR="00854133" w:rsidRDefault="00581AA4">
            <w:pPr>
              <w:jc w:val="left"/>
            </w:pPr>
            <w:r>
              <w:rPr>
                <w:rFonts w:eastAsiaTheme="minorEastAsia"/>
                <w:color w:val="000000"/>
                <w:szCs w:val="21"/>
              </w:rPr>
              <w:t>Knight Capital Europe Limited</w:t>
            </w:r>
          </w:p>
        </w:tc>
        <w:tc>
          <w:tcPr>
            <w:tcW w:w="709" w:type="dxa"/>
            <w:vAlign w:val="center"/>
          </w:tcPr>
          <w:p w:rsidR="00854133" w:rsidRDefault="00581AA4">
            <w:pPr>
              <w:jc w:val="right"/>
            </w:pPr>
            <w:r>
              <w:rPr>
                <w:rFonts w:eastAsiaTheme="minorEastAsia"/>
                <w:color w:val="000000"/>
                <w:szCs w:val="21"/>
              </w:rPr>
              <w:t>-</w:t>
            </w:r>
          </w:p>
        </w:tc>
        <w:tc>
          <w:tcPr>
            <w:tcW w:w="1276" w:type="dxa"/>
            <w:vAlign w:val="center"/>
          </w:tcPr>
          <w:p w:rsidR="00854133" w:rsidRDefault="00581AA4">
            <w:pPr>
              <w:jc w:val="right"/>
            </w:pPr>
            <w:r>
              <w:rPr>
                <w:rFonts w:eastAsiaTheme="minorEastAsia"/>
                <w:color w:val="000000"/>
                <w:szCs w:val="21"/>
              </w:rPr>
              <w:t>-</w:t>
            </w:r>
          </w:p>
        </w:tc>
        <w:tc>
          <w:tcPr>
            <w:tcW w:w="763" w:type="dxa"/>
            <w:vAlign w:val="center"/>
          </w:tcPr>
          <w:p w:rsidR="00854133" w:rsidRDefault="00581AA4">
            <w:pPr>
              <w:jc w:val="right"/>
            </w:pPr>
            <w:r>
              <w:rPr>
                <w:rFonts w:eastAsiaTheme="minorEastAsia"/>
                <w:color w:val="000000"/>
                <w:szCs w:val="21"/>
              </w:rPr>
              <w:t>-</w:t>
            </w:r>
          </w:p>
        </w:tc>
        <w:tc>
          <w:tcPr>
            <w:tcW w:w="1260" w:type="dxa"/>
            <w:vAlign w:val="center"/>
          </w:tcPr>
          <w:p w:rsidR="00854133" w:rsidRDefault="00581AA4">
            <w:pPr>
              <w:jc w:val="right"/>
            </w:pPr>
            <w:r>
              <w:rPr>
                <w:rFonts w:eastAsiaTheme="minorEastAsia"/>
                <w:color w:val="000000"/>
                <w:szCs w:val="21"/>
              </w:rPr>
              <w:t>-</w:t>
            </w:r>
          </w:p>
        </w:tc>
        <w:tc>
          <w:tcPr>
            <w:tcW w:w="724" w:type="dxa"/>
            <w:vAlign w:val="center"/>
          </w:tcPr>
          <w:p w:rsidR="00854133" w:rsidRDefault="00581AA4">
            <w:pPr>
              <w:jc w:val="right"/>
            </w:pPr>
            <w:r>
              <w:rPr>
                <w:rFonts w:eastAsiaTheme="minorEastAsia"/>
                <w:color w:val="000000"/>
                <w:szCs w:val="21"/>
              </w:rPr>
              <w:t>-</w:t>
            </w:r>
          </w:p>
        </w:tc>
        <w:tc>
          <w:tcPr>
            <w:tcW w:w="1440" w:type="dxa"/>
            <w:vAlign w:val="center"/>
          </w:tcPr>
          <w:p w:rsidR="00854133" w:rsidRDefault="00581AA4">
            <w:pPr>
              <w:jc w:val="right"/>
            </w:pPr>
            <w:r>
              <w:rPr>
                <w:rFonts w:eastAsiaTheme="minorEastAsia"/>
                <w:color w:val="000000"/>
                <w:szCs w:val="21"/>
              </w:rPr>
              <w:t>-</w:t>
            </w:r>
          </w:p>
        </w:tc>
        <w:tc>
          <w:tcPr>
            <w:tcW w:w="781" w:type="dxa"/>
            <w:vAlign w:val="center"/>
          </w:tcPr>
          <w:p w:rsidR="00854133" w:rsidRDefault="00581AA4">
            <w:pPr>
              <w:jc w:val="right"/>
            </w:pPr>
            <w:r>
              <w:rPr>
                <w:rFonts w:eastAsiaTheme="minorEastAsia"/>
                <w:color w:val="000000"/>
                <w:szCs w:val="21"/>
              </w:rPr>
              <w:t>-</w:t>
            </w:r>
          </w:p>
        </w:tc>
        <w:tc>
          <w:tcPr>
            <w:tcW w:w="1181" w:type="dxa"/>
            <w:vAlign w:val="center"/>
          </w:tcPr>
          <w:p w:rsidR="00854133" w:rsidRDefault="00581AA4">
            <w:pPr>
              <w:jc w:val="right"/>
            </w:pPr>
            <w:r>
              <w:rPr>
                <w:rFonts w:eastAsiaTheme="minorEastAsia"/>
                <w:color w:val="000000"/>
                <w:szCs w:val="21"/>
              </w:rPr>
              <w:t>-</w:t>
            </w:r>
          </w:p>
        </w:tc>
      </w:tr>
      <w:tr w:rsidR="00854133">
        <w:tc>
          <w:tcPr>
            <w:tcW w:w="709" w:type="dxa"/>
            <w:vAlign w:val="center"/>
          </w:tcPr>
          <w:p w:rsidR="00854133" w:rsidRDefault="00581AA4">
            <w:pPr>
              <w:jc w:val="left"/>
            </w:pPr>
            <w:r>
              <w:rPr>
                <w:rFonts w:eastAsiaTheme="minorEastAsia"/>
                <w:color w:val="000000"/>
                <w:szCs w:val="21"/>
              </w:rPr>
              <w:t>Shenyin Wanguo Securities HK Ltd</w:t>
            </w:r>
          </w:p>
        </w:tc>
        <w:tc>
          <w:tcPr>
            <w:tcW w:w="709" w:type="dxa"/>
            <w:vAlign w:val="center"/>
          </w:tcPr>
          <w:p w:rsidR="00854133" w:rsidRDefault="00581AA4">
            <w:pPr>
              <w:jc w:val="right"/>
            </w:pPr>
            <w:r>
              <w:rPr>
                <w:rFonts w:eastAsiaTheme="minorEastAsia"/>
                <w:color w:val="000000"/>
                <w:szCs w:val="21"/>
              </w:rPr>
              <w:t>-</w:t>
            </w:r>
          </w:p>
        </w:tc>
        <w:tc>
          <w:tcPr>
            <w:tcW w:w="1276" w:type="dxa"/>
            <w:vAlign w:val="center"/>
          </w:tcPr>
          <w:p w:rsidR="00854133" w:rsidRDefault="00581AA4">
            <w:pPr>
              <w:jc w:val="right"/>
            </w:pPr>
            <w:r>
              <w:rPr>
                <w:rFonts w:eastAsiaTheme="minorEastAsia"/>
                <w:color w:val="000000"/>
                <w:szCs w:val="21"/>
              </w:rPr>
              <w:t>-</w:t>
            </w:r>
          </w:p>
        </w:tc>
        <w:tc>
          <w:tcPr>
            <w:tcW w:w="763" w:type="dxa"/>
            <w:vAlign w:val="center"/>
          </w:tcPr>
          <w:p w:rsidR="00854133" w:rsidRDefault="00581AA4">
            <w:pPr>
              <w:jc w:val="right"/>
            </w:pPr>
            <w:r>
              <w:rPr>
                <w:rFonts w:eastAsiaTheme="minorEastAsia"/>
                <w:color w:val="000000"/>
                <w:szCs w:val="21"/>
              </w:rPr>
              <w:t>-</w:t>
            </w:r>
          </w:p>
        </w:tc>
        <w:tc>
          <w:tcPr>
            <w:tcW w:w="1260" w:type="dxa"/>
            <w:vAlign w:val="center"/>
          </w:tcPr>
          <w:p w:rsidR="00854133" w:rsidRDefault="00581AA4">
            <w:pPr>
              <w:jc w:val="right"/>
            </w:pPr>
            <w:r>
              <w:rPr>
                <w:rFonts w:eastAsiaTheme="minorEastAsia"/>
                <w:color w:val="000000"/>
                <w:szCs w:val="21"/>
              </w:rPr>
              <w:t>-</w:t>
            </w:r>
          </w:p>
        </w:tc>
        <w:tc>
          <w:tcPr>
            <w:tcW w:w="724" w:type="dxa"/>
            <w:vAlign w:val="center"/>
          </w:tcPr>
          <w:p w:rsidR="00854133" w:rsidRDefault="00581AA4">
            <w:pPr>
              <w:jc w:val="right"/>
            </w:pPr>
            <w:r>
              <w:rPr>
                <w:rFonts w:eastAsiaTheme="minorEastAsia"/>
                <w:color w:val="000000"/>
                <w:szCs w:val="21"/>
              </w:rPr>
              <w:t>-</w:t>
            </w:r>
          </w:p>
        </w:tc>
        <w:tc>
          <w:tcPr>
            <w:tcW w:w="1440" w:type="dxa"/>
            <w:vAlign w:val="center"/>
          </w:tcPr>
          <w:p w:rsidR="00854133" w:rsidRDefault="00581AA4">
            <w:pPr>
              <w:jc w:val="right"/>
            </w:pPr>
            <w:r>
              <w:rPr>
                <w:rFonts w:eastAsiaTheme="minorEastAsia"/>
                <w:color w:val="000000"/>
                <w:szCs w:val="21"/>
              </w:rPr>
              <w:t>-</w:t>
            </w:r>
          </w:p>
        </w:tc>
        <w:tc>
          <w:tcPr>
            <w:tcW w:w="781" w:type="dxa"/>
            <w:vAlign w:val="center"/>
          </w:tcPr>
          <w:p w:rsidR="00854133" w:rsidRDefault="00581AA4">
            <w:pPr>
              <w:jc w:val="right"/>
            </w:pPr>
            <w:r>
              <w:rPr>
                <w:rFonts w:eastAsiaTheme="minorEastAsia"/>
                <w:color w:val="000000"/>
                <w:szCs w:val="21"/>
              </w:rPr>
              <w:t>-</w:t>
            </w:r>
          </w:p>
        </w:tc>
        <w:tc>
          <w:tcPr>
            <w:tcW w:w="1181" w:type="dxa"/>
            <w:vAlign w:val="center"/>
          </w:tcPr>
          <w:p w:rsidR="00854133" w:rsidRDefault="00581AA4">
            <w:pPr>
              <w:jc w:val="right"/>
            </w:pPr>
            <w:r>
              <w:rPr>
                <w:rFonts w:eastAsiaTheme="minorEastAsia"/>
                <w:color w:val="000000"/>
                <w:szCs w:val="21"/>
              </w:rPr>
              <w:t>-</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61" w:name="_Toc352256018"/>
      <w:bookmarkStart w:id="362" w:name="_Toc352256086"/>
      <w:bookmarkStart w:id="363" w:name="_Toc352331264"/>
      <w:bookmarkStart w:id="364" w:name="_Toc390164848"/>
      <w:bookmarkStart w:id="365" w:name="_Toc48663452"/>
      <w:r w:rsidRPr="0087359D">
        <w:rPr>
          <w:rFonts w:ascii="宋体" w:hAnsi="宋体"/>
          <w:kern w:val="0"/>
          <w:sz w:val="21"/>
          <w:szCs w:val="21"/>
        </w:rPr>
        <w:t>10.8</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其他重大事件</w:t>
      </w:r>
      <w:bookmarkEnd w:id="361"/>
      <w:bookmarkEnd w:id="362"/>
      <w:bookmarkEnd w:id="363"/>
      <w:bookmarkEnd w:id="364"/>
      <w:bookmarkEnd w:id="365"/>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8A5A5D" w:rsidRPr="00C24ACA" w:rsidTr="004A4847">
        <w:tc>
          <w:tcPr>
            <w:tcW w:w="7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序号</w:t>
            </w:r>
          </w:p>
        </w:tc>
        <w:tc>
          <w:tcPr>
            <w:tcW w:w="43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公告事项</w:t>
            </w:r>
          </w:p>
        </w:tc>
        <w:tc>
          <w:tcPr>
            <w:tcW w:w="25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法定披露方式</w:t>
            </w:r>
          </w:p>
        </w:tc>
        <w:tc>
          <w:tcPr>
            <w:tcW w:w="144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法定披露日期</w:t>
            </w:r>
          </w:p>
        </w:tc>
      </w:tr>
      <w:tr w:rsidR="00854133">
        <w:tc>
          <w:tcPr>
            <w:tcW w:w="720" w:type="dxa"/>
            <w:vAlign w:val="center"/>
          </w:tcPr>
          <w:p w:rsidR="00854133" w:rsidRDefault="00581AA4">
            <w:pPr>
              <w:jc w:val="center"/>
            </w:pPr>
            <w:r>
              <w:rPr>
                <w:rFonts w:eastAsiaTheme="minorEastAsia"/>
                <w:color w:val="000000"/>
                <w:szCs w:val="21"/>
              </w:rPr>
              <w:t>1</w:t>
            </w:r>
          </w:p>
        </w:tc>
        <w:tc>
          <w:tcPr>
            <w:tcW w:w="4320" w:type="dxa"/>
            <w:vAlign w:val="center"/>
          </w:tcPr>
          <w:p w:rsidR="00854133" w:rsidRDefault="00581AA4">
            <w:pPr>
              <w:jc w:val="left"/>
            </w:pPr>
            <w:r>
              <w:rPr>
                <w:rFonts w:eastAsiaTheme="minorEastAsia"/>
                <w:color w:val="000000"/>
                <w:szCs w:val="21"/>
              </w:rPr>
              <w:t>易方达基金管理有限公司旗下部分开放式基金参加中国农业银行费率优惠活动的公告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2020-01-06</w:t>
            </w:r>
          </w:p>
        </w:tc>
      </w:tr>
      <w:tr w:rsidR="00854133">
        <w:tc>
          <w:tcPr>
            <w:tcW w:w="720" w:type="dxa"/>
            <w:vAlign w:val="center"/>
          </w:tcPr>
          <w:p w:rsidR="00854133" w:rsidRDefault="00581AA4">
            <w:pPr>
              <w:jc w:val="center"/>
            </w:pPr>
            <w:r>
              <w:rPr>
                <w:rFonts w:eastAsiaTheme="minorEastAsia"/>
                <w:color w:val="000000"/>
                <w:szCs w:val="21"/>
              </w:rPr>
              <w:t>2</w:t>
            </w:r>
          </w:p>
        </w:tc>
        <w:tc>
          <w:tcPr>
            <w:tcW w:w="4320" w:type="dxa"/>
            <w:vAlign w:val="center"/>
          </w:tcPr>
          <w:p w:rsidR="00854133" w:rsidRDefault="00581AA4">
            <w:pPr>
              <w:jc w:val="left"/>
            </w:pPr>
            <w:r>
              <w:rPr>
                <w:rFonts w:eastAsiaTheme="minorEastAsia"/>
                <w:color w:val="000000"/>
                <w:szCs w:val="21"/>
              </w:rPr>
              <w:t>易方达黄金主题证券投资基金（</w:t>
            </w:r>
            <w:r>
              <w:rPr>
                <w:rFonts w:eastAsiaTheme="minorEastAsia"/>
                <w:color w:val="000000"/>
                <w:szCs w:val="21"/>
              </w:rPr>
              <w:t>LOF</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1</w:t>
            </w:r>
            <w:r>
              <w:rPr>
                <w:rFonts w:eastAsiaTheme="minorEastAsia"/>
                <w:color w:val="000000"/>
                <w:szCs w:val="21"/>
              </w:rPr>
              <w:t>月</w:t>
            </w:r>
            <w:r>
              <w:rPr>
                <w:rFonts w:eastAsiaTheme="minorEastAsia"/>
                <w:color w:val="000000"/>
                <w:szCs w:val="21"/>
              </w:rPr>
              <w:t>20</w:t>
            </w:r>
            <w:r>
              <w:rPr>
                <w:rFonts w:eastAsiaTheme="minorEastAsia"/>
                <w:color w:val="000000"/>
                <w:szCs w:val="21"/>
              </w:rPr>
              <w:t>日暂停申购、赎回、定期定额投资业务的公告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2020-01-15</w:t>
            </w:r>
          </w:p>
        </w:tc>
      </w:tr>
      <w:tr w:rsidR="00854133">
        <w:tc>
          <w:tcPr>
            <w:tcW w:w="720" w:type="dxa"/>
            <w:vAlign w:val="center"/>
          </w:tcPr>
          <w:p w:rsidR="00854133" w:rsidRDefault="00581AA4">
            <w:pPr>
              <w:jc w:val="center"/>
            </w:pPr>
            <w:r>
              <w:rPr>
                <w:rFonts w:eastAsiaTheme="minorEastAsia"/>
                <w:color w:val="000000"/>
                <w:szCs w:val="21"/>
              </w:rPr>
              <w:t>3</w:t>
            </w:r>
          </w:p>
        </w:tc>
        <w:tc>
          <w:tcPr>
            <w:tcW w:w="4320" w:type="dxa"/>
            <w:vAlign w:val="center"/>
          </w:tcPr>
          <w:p w:rsidR="00854133" w:rsidRDefault="00581AA4">
            <w:pPr>
              <w:jc w:val="left"/>
            </w:pPr>
            <w:r>
              <w:rPr>
                <w:rFonts w:eastAsiaTheme="minorEastAsia"/>
                <w:color w:val="000000"/>
                <w:szCs w:val="21"/>
              </w:rPr>
              <w:t>易方达基金管理有限公司旗下基金</w:t>
            </w:r>
            <w:r>
              <w:rPr>
                <w:rFonts w:eastAsiaTheme="minorEastAsia"/>
                <w:color w:val="000000"/>
                <w:szCs w:val="21"/>
              </w:rPr>
              <w:t>2019</w:t>
            </w:r>
            <w:r>
              <w:rPr>
                <w:rFonts w:eastAsiaTheme="minorEastAsia"/>
                <w:color w:val="000000"/>
                <w:szCs w:val="21"/>
              </w:rPr>
              <w:t>年第</w:t>
            </w:r>
            <w:r>
              <w:rPr>
                <w:rFonts w:eastAsiaTheme="minorEastAsia"/>
                <w:color w:val="000000"/>
                <w:szCs w:val="21"/>
              </w:rPr>
              <w:t>4</w:t>
            </w:r>
            <w:r>
              <w:rPr>
                <w:rFonts w:eastAsiaTheme="minorEastAsia"/>
                <w:color w:val="000000"/>
                <w:szCs w:val="21"/>
              </w:rPr>
              <w:t>季度报告提示性公告</w:t>
            </w:r>
          </w:p>
        </w:tc>
        <w:tc>
          <w:tcPr>
            <w:tcW w:w="2520" w:type="dxa"/>
            <w:vAlign w:val="center"/>
          </w:tcPr>
          <w:p w:rsidR="00854133" w:rsidRDefault="00581AA4">
            <w:pPr>
              <w:jc w:val="left"/>
            </w:pPr>
            <w:r>
              <w:rPr>
                <w:rFonts w:eastAsiaTheme="minorEastAsia"/>
                <w:color w:val="000000"/>
                <w:szCs w:val="21"/>
              </w:rPr>
              <w:t>证券时报</w:t>
            </w:r>
          </w:p>
        </w:tc>
        <w:tc>
          <w:tcPr>
            <w:tcW w:w="1440" w:type="dxa"/>
            <w:vAlign w:val="center"/>
          </w:tcPr>
          <w:p w:rsidR="00854133" w:rsidRDefault="00581AA4">
            <w:pPr>
              <w:jc w:val="center"/>
            </w:pPr>
            <w:r>
              <w:rPr>
                <w:rFonts w:eastAsiaTheme="minorEastAsia"/>
                <w:color w:val="000000"/>
                <w:szCs w:val="21"/>
              </w:rPr>
              <w:t>2020-01-18</w:t>
            </w:r>
          </w:p>
        </w:tc>
      </w:tr>
      <w:tr w:rsidR="00854133">
        <w:tc>
          <w:tcPr>
            <w:tcW w:w="720" w:type="dxa"/>
            <w:vAlign w:val="center"/>
          </w:tcPr>
          <w:p w:rsidR="00854133" w:rsidRDefault="00581AA4">
            <w:pPr>
              <w:jc w:val="center"/>
            </w:pPr>
            <w:r>
              <w:rPr>
                <w:rFonts w:eastAsiaTheme="minorEastAsia"/>
                <w:color w:val="000000"/>
                <w:szCs w:val="21"/>
              </w:rPr>
              <w:t>4</w:t>
            </w:r>
          </w:p>
        </w:tc>
        <w:tc>
          <w:tcPr>
            <w:tcW w:w="4320" w:type="dxa"/>
            <w:vAlign w:val="center"/>
          </w:tcPr>
          <w:p w:rsidR="00854133" w:rsidRDefault="00581AA4">
            <w:pPr>
              <w:jc w:val="left"/>
            </w:pPr>
            <w:r>
              <w:rPr>
                <w:rFonts w:eastAsiaTheme="minorEastAsia"/>
                <w:color w:val="000000"/>
                <w:szCs w:val="21"/>
              </w:rPr>
              <w:t>易方达基金管理有限公司旗下部分开放式基金参加泉州银行费率优惠活动的公告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2020-01-23</w:t>
            </w:r>
          </w:p>
        </w:tc>
      </w:tr>
      <w:tr w:rsidR="00854133">
        <w:tc>
          <w:tcPr>
            <w:tcW w:w="720" w:type="dxa"/>
            <w:vAlign w:val="center"/>
          </w:tcPr>
          <w:p w:rsidR="00854133" w:rsidRDefault="00581AA4">
            <w:pPr>
              <w:jc w:val="center"/>
            </w:pPr>
            <w:r>
              <w:rPr>
                <w:rFonts w:eastAsiaTheme="minorEastAsia"/>
                <w:color w:val="000000"/>
                <w:szCs w:val="21"/>
              </w:rPr>
              <w:t>5</w:t>
            </w:r>
          </w:p>
        </w:tc>
        <w:tc>
          <w:tcPr>
            <w:tcW w:w="4320" w:type="dxa"/>
            <w:vAlign w:val="center"/>
          </w:tcPr>
          <w:p w:rsidR="00854133" w:rsidRDefault="00581AA4">
            <w:pPr>
              <w:jc w:val="left"/>
            </w:pPr>
            <w:r>
              <w:rPr>
                <w:rFonts w:eastAsiaTheme="minorEastAsia"/>
                <w:color w:val="000000"/>
                <w:szCs w:val="21"/>
              </w:rPr>
              <w:t>易方达基金管理有限公司关于旗下基金</w:t>
            </w:r>
            <w:r>
              <w:rPr>
                <w:rFonts w:eastAsiaTheme="minorEastAsia"/>
                <w:color w:val="000000"/>
                <w:szCs w:val="21"/>
              </w:rPr>
              <w:t>2020</w:t>
            </w:r>
            <w:r>
              <w:rPr>
                <w:rFonts w:eastAsiaTheme="minorEastAsia"/>
                <w:color w:val="000000"/>
                <w:szCs w:val="21"/>
              </w:rPr>
              <w:t>年</w:t>
            </w:r>
            <w:r>
              <w:rPr>
                <w:rFonts w:eastAsiaTheme="minorEastAsia"/>
                <w:color w:val="000000"/>
                <w:szCs w:val="21"/>
              </w:rPr>
              <w:t>1</w:t>
            </w:r>
            <w:r>
              <w:rPr>
                <w:rFonts w:eastAsiaTheme="minorEastAsia"/>
                <w:color w:val="000000"/>
                <w:szCs w:val="21"/>
              </w:rPr>
              <w:t>月</w:t>
            </w:r>
            <w:r>
              <w:rPr>
                <w:rFonts w:eastAsiaTheme="minorEastAsia"/>
                <w:color w:val="000000"/>
                <w:szCs w:val="21"/>
              </w:rPr>
              <w:t>31</w:t>
            </w:r>
            <w:r>
              <w:rPr>
                <w:rFonts w:eastAsiaTheme="minorEastAsia"/>
                <w:color w:val="000000"/>
                <w:szCs w:val="21"/>
              </w:rPr>
              <w:t>日不开放申购、赎回、转换、定期定额投资等业务的提示性公告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2020-01-30</w:t>
            </w:r>
          </w:p>
        </w:tc>
      </w:tr>
      <w:tr w:rsidR="00854133">
        <w:tc>
          <w:tcPr>
            <w:tcW w:w="720" w:type="dxa"/>
            <w:vAlign w:val="center"/>
          </w:tcPr>
          <w:p w:rsidR="00854133" w:rsidRDefault="00581AA4">
            <w:pPr>
              <w:jc w:val="center"/>
            </w:pPr>
            <w:r>
              <w:rPr>
                <w:rFonts w:eastAsiaTheme="minorEastAsia"/>
                <w:color w:val="000000"/>
                <w:szCs w:val="21"/>
              </w:rPr>
              <w:t>6</w:t>
            </w:r>
          </w:p>
        </w:tc>
        <w:tc>
          <w:tcPr>
            <w:tcW w:w="4320" w:type="dxa"/>
            <w:vAlign w:val="center"/>
          </w:tcPr>
          <w:p w:rsidR="00854133" w:rsidRDefault="00581AA4">
            <w:pPr>
              <w:jc w:val="left"/>
            </w:pPr>
            <w:r>
              <w:rPr>
                <w:rFonts w:eastAsiaTheme="minorEastAsia"/>
                <w:color w:val="000000"/>
                <w:szCs w:val="21"/>
              </w:rPr>
              <w:t>易方达基金管理有限公司及全资子公司投资旗下基金相关事宜的公告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2020-02-04</w:t>
            </w:r>
          </w:p>
        </w:tc>
      </w:tr>
      <w:tr w:rsidR="00854133">
        <w:tc>
          <w:tcPr>
            <w:tcW w:w="720" w:type="dxa"/>
            <w:vAlign w:val="center"/>
          </w:tcPr>
          <w:p w:rsidR="00854133" w:rsidRDefault="00581AA4">
            <w:pPr>
              <w:jc w:val="center"/>
            </w:pPr>
            <w:r>
              <w:rPr>
                <w:rFonts w:eastAsiaTheme="minorEastAsia"/>
                <w:color w:val="000000"/>
                <w:szCs w:val="21"/>
              </w:rPr>
              <w:t>7</w:t>
            </w:r>
          </w:p>
        </w:tc>
        <w:tc>
          <w:tcPr>
            <w:tcW w:w="4320" w:type="dxa"/>
            <w:vAlign w:val="center"/>
          </w:tcPr>
          <w:p w:rsidR="00854133" w:rsidRDefault="00581AA4">
            <w:pPr>
              <w:jc w:val="left"/>
            </w:pPr>
            <w:r>
              <w:rPr>
                <w:rFonts w:eastAsiaTheme="minorEastAsia"/>
                <w:color w:val="000000"/>
                <w:szCs w:val="21"/>
              </w:rPr>
              <w:t>易方达黄金主题证券投资基金（</w:t>
            </w:r>
            <w:r>
              <w:rPr>
                <w:rFonts w:eastAsiaTheme="minorEastAsia"/>
                <w:color w:val="000000"/>
                <w:szCs w:val="21"/>
              </w:rPr>
              <w:t>LOF</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2</w:t>
            </w:r>
            <w:r>
              <w:rPr>
                <w:rFonts w:eastAsiaTheme="minorEastAsia"/>
                <w:color w:val="000000"/>
                <w:szCs w:val="21"/>
              </w:rPr>
              <w:t>月</w:t>
            </w:r>
            <w:r>
              <w:rPr>
                <w:rFonts w:eastAsiaTheme="minorEastAsia"/>
                <w:color w:val="000000"/>
                <w:szCs w:val="21"/>
              </w:rPr>
              <w:t>17</w:t>
            </w:r>
            <w:r>
              <w:rPr>
                <w:rFonts w:eastAsiaTheme="minorEastAsia"/>
                <w:color w:val="000000"/>
                <w:szCs w:val="21"/>
              </w:rPr>
              <w:t>日暂停申购、赎回、定期定额投资业务的公告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2020-02-12</w:t>
            </w:r>
          </w:p>
        </w:tc>
      </w:tr>
      <w:tr w:rsidR="00854133">
        <w:tc>
          <w:tcPr>
            <w:tcW w:w="720" w:type="dxa"/>
            <w:vAlign w:val="center"/>
          </w:tcPr>
          <w:p w:rsidR="00854133" w:rsidRDefault="00581AA4">
            <w:pPr>
              <w:jc w:val="center"/>
            </w:pPr>
            <w:r>
              <w:rPr>
                <w:rFonts w:eastAsiaTheme="minorEastAsia"/>
                <w:color w:val="000000"/>
                <w:szCs w:val="21"/>
              </w:rPr>
              <w:t>8</w:t>
            </w:r>
          </w:p>
        </w:tc>
        <w:tc>
          <w:tcPr>
            <w:tcW w:w="4320" w:type="dxa"/>
            <w:vAlign w:val="center"/>
          </w:tcPr>
          <w:p w:rsidR="00854133" w:rsidRDefault="00581AA4">
            <w:pPr>
              <w:jc w:val="left"/>
            </w:pPr>
            <w:r>
              <w:rPr>
                <w:rFonts w:eastAsiaTheme="minorEastAsia"/>
                <w:color w:val="000000"/>
                <w:szCs w:val="21"/>
              </w:rPr>
              <w:t>易方达基金管理有限公司旗下部分开放式基金增加好买基金为销售机构的公告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2020-03-02</w:t>
            </w:r>
          </w:p>
        </w:tc>
      </w:tr>
      <w:tr w:rsidR="00854133">
        <w:tc>
          <w:tcPr>
            <w:tcW w:w="720" w:type="dxa"/>
            <w:vAlign w:val="center"/>
          </w:tcPr>
          <w:p w:rsidR="00854133" w:rsidRDefault="00581AA4">
            <w:pPr>
              <w:jc w:val="center"/>
            </w:pPr>
            <w:r>
              <w:rPr>
                <w:rFonts w:eastAsiaTheme="minorEastAsia"/>
                <w:color w:val="000000"/>
                <w:szCs w:val="21"/>
              </w:rPr>
              <w:t>9</w:t>
            </w:r>
          </w:p>
        </w:tc>
        <w:tc>
          <w:tcPr>
            <w:tcW w:w="4320" w:type="dxa"/>
            <w:vAlign w:val="center"/>
          </w:tcPr>
          <w:p w:rsidR="00854133" w:rsidRDefault="00581AA4">
            <w:pPr>
              <w:jc w:val="left"/>
            </w:pPr>
            <w:r>
              <w:rPr>
                <w:rFonts w:eastAsiaTheme="minorEastAsia"/>
                <w:color w:val="000000"/>
                <w:szCs w:val="21"/>
              </w:rPr>
              <w:t>易方达基金管理有限公司旗下部分开放式基金参加中金公司费率优惠活动的公告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2020-03-05</w:t>
            </w:r>
          </w:p>
        </w:tc>
      </w:tr>
      <w:tr w:rsidR="00854133">
        <w:tc>
          <w:tcPr>
            <w:tcW w:w="720" w:type="dxa"/>
            <w:vAlign w:val="center"/>
          </w:tcPr>
          <w:p w:rsidR="00854133" w:rsidRDefault="00581AA4">
            <w:pPr>
              <w:jc w:val="center"/>
            </w:pPr>
            <w:r>
              <w:rPr>
                <w:rFonts w:eastAsiaTheme="minorEastAsia"/>
                <w:color w:val="000000"/>
                <w:szCs w:val="21"/>
              </w:rPr>
              <w:t>10</w:t>
            </w:r>
          </w:p>
        </w:tc>
        <w:tc>
          <w:tcPr>
            <w:tcW w:w="4320" w:type="dxa"/>
            <w:vAlign w:val="center"/>
          </w:tcPr>
          <w:p w:rsidR="00854133" w:rsidRDefault="00581AA4">
            <w:pPr>
              <w:jc w:val="left"/>
            </w:pPr>
            <w:r>
              <w:rPr>
                <w:rFonts w:eastAsiaTheme="minorEastAsia"/>
                <w:color w:val="000000"/>
                <w:szCs w:val="21"/>
              </w:rPr>
              <w:t>易方达黄金主题证券投资基金（</w:t>
            </w:r>
            <w:r>
              <w:rPr>
                <w:rFonts w:eastAsiaTheme="minorEastAsia"/>
                <w:color w:val="000000"/>
                <w:szCs w:val="21"/>
              </w:rPr>
              <w:t>LOF</w:t>
            </w:r>
            <w:r>
              <w:rPr>
                <w:rFonts w:eastAsiaTheme="minorEastAsia"/>
                <w:color w:val="000000"/>
                <w:szCs w:val="21"/>
              </w:rPr>
              <w:t>）暂停大额申购业务的公告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2020-03-10</w:t>
            </w:r>
          </w:p>
        </w:tc>
      </w:tr>
      <w:tr w:rsidR="00854133">
        <w:tc>
          <w:tcPr>
            <w:tcW w:w="720" w:type="dxa"/>
            <w:vAlign w:val="center"/>
          </w:tcPr>
          <w:p w:rsidR="00854133" w:rsidRDefault="00581AA4">
            <w:pPr>
              <w:jc w:val="center"/>
            </w:pPr>
            <w:r>
              <w:rPr>
                <w:rFonts w:eastAsiaTheme="minorEastAsia"/>
                <w:color w:val="000000"/>
                <w:szCs w:val="21"/>
              </w:rPr>
              <w:t>11</w:t>
            </w:r>
          </w:p>
        </w:tc>
        <w:tc>
          <w:tcPr>
            <w:tcW w:w="4320" w:type="dxa"/>
            <w:vAlign w:val="center"/>
          </w:tcPr>
          <w:p w:rsidR="00854133" w:rsidRDefault="00581AA4">
            <w:pPr>
              <w:jc w:val="left"/>
            </w:pPr>
            <w:r>
              <w:rPr>
                <w:rFonts w:eastAsiaTheme="minorEastAsia"/>
                <w:color w:val="000000"/>
                <w:szCs w:val="21"/>
              </w:rPr>
              <w:t>易方达基金管理有限公司旗下部分开放式基金参加百度百盈费率优惠活动的公告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2020-03-10</w:t>
            </w:r>
          </w:p>
        </w:tc>
      </w:tr>
      <w:tr w:rsidR="00854133">
        <w:tc>
          <w:tcPr>
            <w:tcW w:w="720" w:type="dxa"/>
            <w:vAlign w:val="center"/>
          </w:tcPr>
          <w:p w:rsidR="00854133" w:rsidRDefault="00581AA4">
            <w:pPr>
              <w:jc w:val="center"/>
            </w:pPr>
            <w:r>
              <w:rPr>
                <w:rFonts w:eastAsiaTheme="minorEastAsia"/>
                <w:color w:val="000000"/>
                <w:szCs w:val="21"/>
              </w:rPr>
              <w:t>12</w:t>
            </w:r>
          </w:p>
        </w:tc>
        <w:tc>
          <w:tcPr>
            <w:tcW w:w="4320" w:type="dxa"/>
            <w:vAlign w:val="center"/>
          </w:tcPr>
          <w:p w:rsidR="00854133" w:rsidRDefault="00581AA4">
            <w:pPr>
              <w:jc w:val="left"/>
            </w:pPr>
            <w:r>
              <w:rPr>
                <w:rFonts w:eastAsiaTheme="minorEastAsia"/>
                <w:color w:val="000000"/>
                <w:szCs w:val="21"/>
              </w:rPr>
              <w:t>易方达黄金主题证券投资基金（</w:t>
            </w:r>
            <w:r>
              <w:rPr>
                <w:rFonts w:eastAsiaTheme="minorEastAsia"/>
                <w:color w:val="000000"/>
                <w:szCs w:val="21"/>
              </w:rPr>
              <w:t>LOF</w:t>
            </w:r>
            <w:r>
              <w:rPr>
                <w:rFonts w:eastAsiaTheme="minorEastAsia"/>
                <w:color w:val="000000"/>
                <w:szCs w:val="21"/>
              </w:rPr>
              <w:t>）暂停申购及定期定额投资业务的公告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2020-03-11</w:t>
            </w:r>
          </w:p>
        </w:tc>
      </w:tr>
      <w:tr w:rsidR="00854133">
        <w:tc>
          <w:tcPr>
            <w:tcW w:w="720" w:type="dxa"/>
            <w:vAlign w:val="center"/>
          </w:tcPr>
          <w:p w:rsidR="00854133" w:rsidRDefault="00581AA4">
            <w:pPr>
              <w:jc w:val="center"/>
            </w:pPr>
            <w:r>
              <w:rPr>
                <w:rFonts w:eastAsiaTheme="minorEastAsia"/>
                <w:color w:val="000000"/>
                <w:szCs w:val="21"/>
              </w:rPr>
              <w:t>13</w:t>
            </w:r>
          </w:p>
        </w:tc>
        <w:tc>
          <w:tcPr>
            <w:tcW w:w="4320" w:type="dxa"/>
            <w:vAlign w:val="center"/>
          </w:tcPr>
          <w:p w:rsidR="00854133" w:rsidRDefault="00581AA4">
            <w:pPr>
              <w:jc w:val="left"/>
            </w:pPr>
            <w:r>
              <w:rPr>
                <w:rFonts w:eastAsiaTheme="minorEastAsia"/>
                <w:color w:val="000000"/>
                <w:szCs w:val="21"/>
              </w:rPr>
              <w:t>易方达黄金主题证券投资基金（</w:t>
            </w:r>
            <w:r>
              <w:rPr>
                <w:rFonts w:eastAsiaTheme="minorEastAsia"/>
                <w:color w:val="000000"/>
                <w:szCs w:val="21"/>
              </w:rPr>
              <w:t>LOF</w:t>
            </w:r>
            <w:r>
              <w:rPr>
                <w:rFonts w:eastAsiaTheme="minorEastAsia"/>
                <w:color w:val="000000"/>
                <w:szCs w:val="21"/>
              </w:rPr>
              <w:t>）恢复申购、定期定额投资业务并暂停大额申购业务的公告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2020-03-19</w:t>
            </w:r>
          </w:p>
        </w:tc>
      </w:tr>
      <w:tr w:rsidR="00854133">
        <w:tc>
          <w:tcPr>
            <w:tcW w:w="720" w:type="dxa"/>
            <w:vAlign w:val="center"/>
          </w:tcPr>
          <w:p w:rsidR="00854133" w:rsidRDefault="00581AA4">
            <w:pPr>
              <w:jc w:val="center"/>
            </w:pPr>
            <w:r>
              <w:rPr>
                <w:rFonts w:eastAsiaTheme="minorEastAsia"/>
                <w:color w:val="000000"/>
                <w:szCs w:val="21"/>
              </w:rPr>
              <w:t>14</w:t>
            </w:r>
          </w:p>
        </w:tc>
        <w:tc>
          <w:tcPr>
            <w:tcW w:w="4320" w:type="dxa"/>
            <w:vAlign w:val="center"/>
          </w:tcPr>
          <w:p w:rsidR="00854133" w:rsidRDefault="00581AA4">
            <w:pPr>
              <w:jc w:val="left"/>
            </w:pPr>
            <w:r>
              <w:rPr>
                <w:rFonts w:eastAsiaTheme="minorEastAsia"/>
                <w:color w:val="000000"/>
                <w:szCs w:val="21"/>
              </w:rPr>
              <w:t>易方达基金管理有限公司旗下基金</w:t>
            </w:r>
            <w:r>
              <w:rPr>
                <w:rFonts w:eastAsiaTheme="minorEastAsia"/>
                <w:color w:val="000000"/>
                <w:szCs w:val="21"/>
              </w:rPr>
              <w:t>2019</w:t>
            </w:r>
            <w:r>
              <w:rPr>
                <w:rFonts w:eastAsiaTheme="minorEastAsia"/>
                <w:color w:val="000000"/>
                <w:szCs w:val="21"/>
              </w:rPr>
              <w:t>年年度报告提示性公告</w:t>
            </w:r>
          </w:p>
        </w:tc>
        <w:tc>
          <w:tcPr>
            <w:tcW w:w="2520" w:type="dxa"/>
            <w:vAlign w:val="center"/>
          </w:tcPr>
          <w:p w:rsidR="00854133" w:rsidRDefault="00581AA4">
            <w:pPr>
              <w:jc w:val="left"/>
            </w:pPr>
            <w:r>
              <w:rPr>
                <w:rFonts w:eastAsiaTheme="minorEastAsia"/>
                <w:color w:val="000000"/>
                <w:szCs w:val="21"/>
              </w:rPr>
              <w:t>证券时报</w:t>
            </w:r>
          </w:p>
        </w:tc>
        <w:tc>
          <w:tcPr>
            <w:tcW w:w="1440" w:type="dxa"/>
            <w:vAlign w:val="center"/>
          </w:tcPr>
          <w:p w:rsidR="00854133" w:rsidRDefault="00581AA4">
            <w:pPr>
              <w:jc w:val="center"/>
            </w:pPr>
            <w:r>
              <w:rPr>
                <w:rFonts w:eastAsiaTheme="minorEastAsia"/>
                <w:color w:val="000000"/>
                <w:szCs w:val="21"/>
              </w:rPr>
              <w:t>2020-03-31</w:t>
            </w:r>
          </w:p>
        </w:tc>
      </w:tr>
      <w:tr w:rsidR="00854133">
        <w:tc>
          <w:tcPr>
            <w:tcW w:w="720" w:type="dxa"/>
            <w:vAlign w:val="center"/>
          </w:tcPr>
          <w:p w:rsidR="00854133" w:rsidRDefault="00581AA4">
            <w:pPr>
              <w:jc w:val="center"/>
            </w:pPr>
            <w:r>
              <w:rPr>
                <w:rFonts w:eastAsiaTheme="minorEastAsia"/>
                <w:color w:val="000000"/>
                <w:szCs w:val="21"/>
              </w:rPr>
              <w:t>15</w:t>
            </w:r>
          </w:p>
        </w:tc>
        <w:tc>
          <w:tcPr>
            <w:tcW w:w="4320" w:type="dxa"/>
            <w:vAlign w:val="center"/>
          </w:tcPr>
          <w:p w:rsidR="00854133" w:rsidRDefault="00581AA4">
            <w:pPr>
              <w:jc w:val="left"/>
            </w:pPr>
            <w:r>
              <w:rPr>
                <w:rFonts w:eastAsiaTheme="minorEastAsia"/>
                <w:color w:val="000000"/>
                <w:szCs w:val="21"/>
              </w:rPr>
              <w:t>易方达黄金主题证券投资基金（</w:t>
            </w:r>
            <w:r>
              <w:rPr>
                <w:rFonts w:eastAsiaTheme="minorEastAsia"/>
                <w:color w:val="000000"/>
                <w:szCs w:val="21"/>
              </w:rPr>
              <w:t>LOF</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4</w:t>
            </w:r>
            <w:r>
              <w:rPr>
                <w:rFonts w:eastAsiaTheme="minorEastAsia"/>
                <w:color w:val="000000"/>
                <w:szCs w:val="21"/>
              </w:rPr>
              <w:t>月</w:t>
            </w:r>
            <w:r>
              <w:rPr>
                <w:rFonts w:eastAsiaTheme="minorEastAsia"/>
                <w:color w:val="000000"/>
                <w:szCs w:val="21"/>
              </w:rPr>
              <w:t>10</w:t>
            </w:r>
            <w:r>
              <w:rPr>
                <w:rFonts w:eastAsiaTheme="minorEastAsia"/>
                <w:color w:val="000000"/>
                <w:szCs w:val="21"/>
              </w:rPr>
              <w:t>日暂停申购、赎回、定期定额投资业务的公告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2020-04-07</w:t>
            </w:r>
          </w:p>
        </w:tc>
      </w:tr>
      <w:tr w:rsidR="00854133">
        <w:tc>
          <w:tcPr>
            <w:tcW w:w="720" w:type="dxa"/>
            <w:vAlign w:val="center"/>
          </w:tcPr>
          <w:p w:rsidR="00854133" w:rsidRDefault="00581AA4">
            <w:pPr>
              <w:jc w:val="center"/>
            </w:pPr>
            <w:r>
              <w:rPr>
                <w:rFonts w:eastAsiaTheme="minorEastAsia"/>
                <w:color w:val="000000"/>
                <w:szCs w:val="21"/>
              </w:rPr>
              <w:t>16</w:t>
            </w:r>
          </w:p>
        </w:tc>
        <w:tc>
          <w:tcPr>
            <w:tcW w:w="4320" w:type="dxa"/>
            <w:vAlign w:val="center"/>
          </w:tcPr>
          <w:p w:rsidR="00854133" w:rsidRDefault="00581AA4">
            <w:pPr>
              <w:jc w:val="left"/>
            </w:pPr>
            <w:r>
              <w:rPr>
                <w:rFonts w:eastAsiaTheme="minorEastAsia"/>
                <w:color w:val="000000"/>
                <w:szCs w:val="21"/>
              </w:rPr>
              <w:t>易方达基金管理有限公司关于提醒投资者及时提供或更新身份信息资料的公告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2020-04-10</w:t>
            </w:r>
          </w:p>
        </w:tc>
      </w:tr>
      <w:tr w:rsidR="00854133">
        <w:tc>
          <w:tcPr>
            <w:tcW w:w="720" w:type="dxa"/>
            <w:vAlign w:val="center"/>
          </w:tcPr>
          <w:p w:rsidR="00854133" w:rsidRDefault="00581AA4">
            <w:pPr>
              <w:jc w:val="center"/>
            </w:pPr>
            <w:r>
              <w:rPr>
                <w:rFonts w:eastAsiaTheme="minorEastAsia"/>
                <w:color w:val="000000"/>
                <w:szCs w:val="21"/>
              </w:rPr>
              <w:t>17</w:t>
            </w:r>
          </w:p>
        </w:tc>
        <w:tc>
          <w:tcPr>
            <w:tcW w:w="4320" w:type="dxa"/>
            <w:vAlign w:val="center"/>
          </w:tcPr>
          <w:p w:rsidR="00854133" w:rsidRDefault="00581AA4">
            <w:pPr>
              <w:jc w:val="left"/>
            </w:pPr>
            <w:r>
              <w:rPr>
                <w:rFonts w:eastAsiaTheme="minorEastAsia"/>
                <w:color w:val="000000"/>
                <w:szCs w:val="21"/>
              </w:rPr>
              <w:t>易方达基金管理有限公司旗下部分开放式基金参加诺亚正行费率优惠活动的公告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2020-04-17</w:t>
            </w:r>
          </w:p>
        </w:tc>
      </w:tr>
      <w:tr w:rsidR="00854133">
        <w:tc>
          <w:tcPr>
            <w:tcW w:w="720" w:type="dxa"/>
            <w:vAlign w:val="center"/>
          </w:tcPr>
          <w:p w:rsidR="00854133" w:rsidRDefault="00581AA4">
            <w:pPr>
              <w:jc w:val="center"/>
            </w:pPr>
            <w:r>
              <w:rPr>
                <w:rFonts w:eastAsiaTheme="minorEastAsia"/>
                <w:color w:val="000000"/>
                <w:szCs w:val="21"/>
              </w:rPr>
              <w:t>18</w:t>
            </w:r>
          </w:p>
        </w:tc>
        <w:tc>
          <w:tcPr>
            <w:tcW w:w="4320" w:type="dxa"/>
            <w:vAlign w:val="center"/>
          </w:tcPr>
          <w:p w:rsidR="00854133" w:rsidRDefault="00581AA4">
            <w:pPr>
              <w:jc w:val="left"/>
            </w:pPr>
            <w:r>
              <w:rPr>
                <w:rFonts w:eastAsiaTheme="minorEastAsia"/>
                <w:color w:val="000000"/>
                <w:szCs w:val="21"/>
              </w:rPr>
              <w:t>易方达基金管理有限公司旗下部分开放式基金增加平安银行为销售机构、参加平安银行费率优惠活动的公告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2020-04-20</w:t>
            </w:r>
          </w:p>
        </w:tc>
      </w:tr>
      <w:tr w:rsidR="00854133">
        <w:tc>
          <w:tcPr>
            <w:tcW w:w="720" w:type="dxa"/>
            <w:vAlign w:val="center"/>
          </w:tcPr>
          <w:p w:rsidR="00854133" w:rsidRDefault="00581AA4">
            <w:pPr>
              <w:jc w:val="center"/>
            </w:pPr>
            <w:r>
              <w:rPr>
                <w:rFonts w:eastAsiaTheme="minorEastAsia"/>
                <w:color w:val="000000"/>
                <w:szCs w:val="21"/>
              </w:rPr>
              <w:t>19</w:t>
            </w:r>
          </w:p>
        </w:tc>
        <w:tc>
          <w:tcPr>
            <w:tcW w:w="4320" w:type="dxa"/>
            <w:vAlign w:val="center"/>
          </w:tcPr>
          <w:p w:rsidR="00854133" w:rsidRDefault="00581AA4">
            <w:pPr>
              <w:jc w:val="left"/>
            </w:pPr>
            <w:r>
              <w:rPr>
                <w:rFonts w:eastAsiaTheme="minorEastAsia"/>
                <w:color w:val="000000"/>
                <w:szCs w:val="21"/>
              </w:rPr>
              <w:t>易方达基金管理有限公司旗下基金</w:t>
            </w:r>
            <w:r>
              <w:rPr>
                <w:rFonts w:eastAsiaTheme="minorEastAsia"/>
                <w:color w:val="000000"/>
                <w:szCs w:val="21"/>
              </w:rPr>
              <w:t>2020</w:t>
            </w:r>
            <w:r>
              <w:rPr>
                <w:rFonts w:eastAsiaTheme="minorEastAsia"/>
                <w:color w:val="000000"/>
                <w:szCs w:val="21"/>
              </w:rPr>
              <w:t>年第</w:t>
            </w:r>
            <w:r>
              <w:rPr>
                <w:rFonts w:eastAsiaTheme="minorEastAsia"/>
                <w:color w:val="000000"/>
                <w:szCs w:val="21"/>
              </w:rPr>
              <w:t>1</w:t>
            </w:r>
            <w:r>
              <w:rPr>
                <w:rFonts w:eastAsiaTheme="minorEastAsia"/>
                <w:color w:val="000000"/>
                <w:szCs w:val="21"/>
              </w:rPr>
              <w:t>季度报告提示性公告</w:t>
            </w:r>
          </w:p>
        </w:tc>
        <w:tc>
          <w:tcPr>
            <w:tcW w:w="2520" w:type="dxa"/>
            <w:vAlign w:val="center"/>
          </w:tcPr>
          <w:p w:rsidR="00854133" w:rsidRDefault="00581AA4">
            <w:pPr>
              <w:jc w:val="left"/>
            </w:pPr>
            <w:r>
              <w:rPr>
                <w:rFonts w:eastAsiaTheme="minorEastAsia"/>
                <w:color w:val="000000"/>
                <w:szCs w:val="21"/>
              </w:rPr>
              <w:t>证券时报</w:t>
            </w:r>
          </w:p>
        </w:tc>
        <w:tc>
          <w:tcPr>
            <w:tcW w:w="1440" w:type="dxa"/>
            <w:vAlign w:val="center"/>
          </w:tcPr>
          <w:p w:rsidR="00854133" w:rsidRDefault="00581AA4">
            <w:pPr>
              <w:jc w:val="center"/>
            </w:pPr>
            <w:r>
              <w:rPr>
                <w:rFonts w:eastAsiaTheme="minorEastAsia"/>
                <w:color w:val="000000"/>
                <w:szCs w:val="21"/>
              </w:rPr>
              <w:t>2020-04-21</w:t>
            </w:r>
          </w:p>
        </w:tc>
      </w:tr>
      <w:tr w:rsidR="00854133">
        <w:tc>
          <w:tcPr>
            <w:tcW w:w="720" w:type="dxa"/>
            <w:vAlign w:val="center"/>
          </w:tcPr>
          <w:p w:rsidR="00854133" w:rsidRDefault="00581AA4">
            <w:pPr>
              <w:jc w:val="center"/>
            </w:pPr>
            <w:r>
              <w:rPr>
                <w:rFonts w:eastAsiaTheme="minorEastAsia"/>
                <w:color w:val="000000"/>
                <w:szCs w:val="21"/>
              </w:rPr>
              <w:t>20</w:t>
            </w:r>
          </w:p>
        </w:tc>
        <w:tc>
          <w:tcPr>
            <w:tcW w:w="4320" w:type="dxa"/>
            <w:vAlign w:val="center"/>
          </w:tcPr>
          <w:p w:rsidR="00854133" w:rsidRDefault="00581AA4">
            <w:pPr>
              <w:jc w:val="left"/>
            </w:pPr>
            <w:r>
              <w:rPr>
                <w:rFonts w:eastAsiaTheme="minorEastAsia"/>
                <w:color w:val="000000"/>
                <w:szCs w:val="21"/>
              </w:rPr>
              <w:t>易方达基金管理有限公司旗下部分开放式基金参加国联证券费率优惠活动的公告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2020-04-22</w:t>
            </w:r>
          </w:p>
        </w:tc>
      </w:tr>
      <w:tr w:rsidR="00854133">
        <w:tc>
          <w:tcPr>
            <w:tcW w:w="720" w:type="dxa"/>
            <w:vAlign w:val="center"/>
          </w:tcPr>
          <w:p w:rsidR="00854133" w:rsidRDefault="00581AA4">
            <w:pPr>
              <w:jc w:val="center"/>
            </w:pPr>
            <w:r>
              <w:rPr>
                <w:rFonts w:eastAsiaTheme="minorEastAsia"/>
                <w:color w:val="000000"/>
                <w:szCs w:val="21"/>
              </w:rPr>
              <w:t>21</w:t>
            </w:r>
          </w:p>
        </w:tc>
        <w:tc>
          <w:tcPr>
            <w:tcW w:w="4320" w:type="dxa"/>
            <w:vAlign w:val="center"/>
          </w:tcPr>
          <w:p w:rsidR="00854133" w:rsidRDefault="00581AA4">
            <w:pPr>
              <w:jc w:val="left"/>
            </w:pPr>
            <w:r>
              <w:rPr>
                <w:rFonts w:eastAsiaTheme="minorEastAsia"/>
                <w:color w:val="000000"/>
                <w:szCs w:val="21"/>
              </w:rPr>
              <w:t>易方达基金管理有限公司旗下部分开放式基金参加中金公司申购费率优惠活动的公告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2020-05-14</w:t>
            </w:r>
          </w:p>
        </w:tc>
      </w:tr>
      <w:tr w:rsidR="00854133">
        <w:tc>
          <w:tcPr>
            <w:tcW w:w="720" w:type="dxa"/>
            <w:vAlign w:val="center"/>
          </w:tcPr>
          <w:p w:rsidR="00854133" w:rsidRDefault="00581AA4">
            <w:pPr>
              <w:jc w:val="center"/>
            </w:pPr>
            <w:r>
              <w:rPr>
                <w:rFonts w:eastAsiaTheme="minorEastAsia"/>
                <w:color w:val="000000"/>
                <w:szCs w:val="21"/>
              </w:rPr>
              <w:t>22</w:t>
            </w:r>
          </w:p>
        </w:tc>
        <w:tc>
          <w:tcPr>
            <w:tcW w:w="4320" w:type="dxa"/>
            <w:vAlign w:val="center"/>
          </w:tcPr>
          <w:p w:rsidR="00854133" w:rsidRDefault="00581AA4">
            <w:pPr>
              <w:jc w:val="left"/>
            </w:pPr>
            <w:r>
              <w:rPr>
                <w:rFonts w:eastAsiaTheme="minorEastAsia"/>
                <w:color w:val="000000"/>
                <w:szCs w:val="21"/>
              </w:rPr>
              <w:t>易方达黄金主题证券投资基金（</w:t>
            </w:r>
            <w:r>
              <w:rPr>
                <w:rFonts w:eastAsiaTheme="minorEastAsia"/>
                <w:color w:val="000000"/>
                <w:szCs w:val="21"/>
              </w:rPr>
              <w:t>LOF</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5</w:t>
            </w:r>
            <w:r>
              <w:rPr>
                <w:rFonts w:eastAsiaTheme="minorEastAsia"/>
                <w:color w:val="000000"/>
                <w:szCs w:val="21"/>
              </w:rPr>
              <w:t>月</w:t>
            </w:r>
            <w:r>
              <w:rPr>
                <w:rFonts w:eastAsiaTheme="minorEastAsia"/>
                <w:color w:val="000000"/>
                <w:szCs w:val="21"/>
              </w:rPr>
              <w:t>25</w:t>
            </w:r>
            <w:r>
              <w:rPr>
                <w:rFonts w:eastAsiaTheme="minorEastAsia"/>
                <w:color w:val="000000"/>
                <w:szCs w:val="21"/>
              </w:rPr>
              <w:t>日暂停申购、赎回、定期定额投资业务的公告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2020-05-20</w:t>
            </w:r>
          </w:p>
        </w:tc>
      </w:tr>
      <w:tr w:rsidR="00854133">
        <w:tc>
          <w:tcPr>
            <w:tcW w:w="720" w:type="dxa"/>
            <w:vAlign w:val="center"/>
          </w:tcPr>
          <w:p w:rsidR="00854133" w:rsidRDefault="00581AA4">
            <w:pPr>
              <w:jc w:val="center"/>
            </w:pPr>
            <w:r>
              <w:rPr>
                <w:rFonts w:eastAsiaTheme="minorEastAsia"/>
                <w:color w:val="000000"/>
                <w:szCs w:val="21"/>
              </w:rPr>
              <w:t>23</w:t>
            </w:r>
          </w:p>
        </w:tc>
        <w:tc>
          <w:tcPr>
            <w:tcW w:w="4320" w:type="dxa"/>
            <w:vAlign w:val="center"/>
          </w:tcPr>
          <w:p w:rsidR="00854133" w:rsidRDefault="00581AA4">
            <w:pPr>
              <w:jc w:val="left"/>
            </w:pPr>
            <w:r>
              <w:rPr>
                <w:rFonts w:eastAsiaTheme="minorEastAsia"/>
                <w:color w:val="000000"/>
                <w:szCs w:val="21"/>
              </w:rPr>
              <w:t>易方达基金管理有限公司旗下部分开放式基金参加华夏财富费率优惠活动的公告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2020-05-23</w:t>
            </w:r>
          </w:p>
        </w:tc>
      </w:tr>
      <w:tr w:rsidR="00854133">
        <w:tc>
          <w:tcPr>
            <w:tcW w:w="720" w:type="dxa"/>
            <w:vAlign w:val="center"/>
          </w:tcPr>
          <w:p w:rsidR="00854133" w:rsidRDefault="00581AA4">
            <w:pPr>
              <w:jc w:val="center"/>
            </w:pPr>
            <w:r>
              <w:rPr>
                <w:rFonts w:eastAsiaTheme="minorEastAsia"/>
                <w:color w:val="000000"/>
                <w:szCs w:val="21"/>
              </w:rPr>
              <w:t>24</w:t>
            </w:r>
          </w:p>
        </w:tc>
        <w:tc>
          <w:tcPr>
            <w:tcW w:w="4320" w:type="dxa"/>
            <w:vAlign w:val="center"/>
          </w:tcPr>
          <w:p w:rsidR="00854133" w:rsidRDefault="00581AA4">
            <w:pPr>
              <w:jc w:val="left"/>
            </w:pPr>
            <w:r>
              <w:rPr>
                <w:rFonts w:eastAsiaTheme="minorEastAsia"/>
                <w:color w:val="000000"/>
                <w:szCs w:val="21"/>
              </w:rPr>
              <w:t>易方达基金管理有限公司关于暂停上海朝阳永续基金销售有限公司办理旗下基金相关销售业务的公告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2020-06-03</w:t>
            </w:r>
          </w:p>
        </w:tc>
      </w:tr>
      <w:tr w:rsidR="00854133">
        <w:tc>
          <w:tcPr>
            <w:tcW w:w="720" w:type="dxa"/>
            <w:vAlign w:val="center"/>
          </w:tcPr>
          <w:p w:rsidR="00854133" w:rsidRDefault="00581AA4">
            <w:pPr>
              <w:jc w:val="center"/>
            </w:pPr>
            <w:r>
              <w:rPr>
                <w:rFonts w:eastAsiaTheme="minorEastAsia"/>
                <w:color w:val="000000"/>
                <w:szCs w:val="21"/>
              </w:rPr>
              <w:t>25</w:t>
            </w:r>
          </w:p>
        </w:tc>
        <w:tc>
          <w:tcPr>
            <w:tcW w:w="4320" w:type="dxa"/>
            <w:vAlign w:val="center"/>
          </w:tcPr>
          <w:p w:rsidR="00854133" w:rsidRDefault="00581AA4">
            <w:pPr>
              <w:jc w:val="left"/>
            </w:pPr>
            <w:r>
              <w:rPr>
                <w:rFonts w:eastAsiaTheme="minorEastAsia"/>
                <w:color w:val="000000"/>
                <w:szCs w:val="21"/>
              </w:rPr>
              <w:t>易方达基金管理有限公司关于调整旗下部分开放式基金在招商银行最低定期定额投资金额限制的公告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2020-06-04</w:t>
            </w:r>
          </w:p>
        </w:tc>
      </w:tr>
      <w:tr w:rsidR="00854133">
        <w:tc>
          <w:tcPr>
            <w:tcW w:w="720" w:type="dxa"/>
            <w:vAlign w:val="center"/>
          </w:tcPr>
          <w:p w:rsidR="00854133" w:rsidRDefault="00581AA4">
            <w:pPr>
              <w:jc w:val="center"/>
            </w:pPr>
            <w:r>
              <w:rPr>
                <w:rFonts w:eastAsiaTheme="minorEastAsia"/>
                <w:color w:val="000000"/>
                <w:szCs w:val="21"/>
              </w:rPr>
              <w:t>26</w:t>
            </w:r>
          </w:p>
        </w:tc>
        <w:tc>
          <w:tcPr>
            <w:tcW w:w="4320" w:type="dxa"/>
            <w:vAlign w:val="center"/>
          </w:tcPr>
          <w:p w:rsidR="00854133" w:rsidRDefault="00581AA4">
            <w:pPr>
              <w:jc w:val="left"/>
            </w:pPr>
            <w:r>
              <w:rPr>
                <w:rFonts w:eastAsiaTheme="minorEastAsia"/>
                <w:color w:val="000000"/>
                <w:szCs w:val="21"/>
              </w:rPr>
              <w:t>易方达基金管理有限公司高级管理人员变更公告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2020-06-22</w:t>
            </w:r>
          </w:p>
        </w:tc>
      </w:tr>
      <w:tr w:rsidR="00854133">
        <w:tc>
          <w:tcPr>
            <w:tcW w:w="720" w:type="dxa"/>
            <w:vAlign w:val="center"/>
          </w:tcPr>
          <w:p w:rsidR="00854133" w:rsidRDefault="00581AA4">
            <w:pPr>
              <w:jc w:val="center"/>
            </w:pPr>
            <w:r>
              <w:rPr>
                <w:rFonts w:eastAsiaTheme="minorEastAsia"/>
                <w:color w:val="000000"/>
                <w:szCs w:val="21"/>
              </w:rPr>
              <w:t>27</w:t>
            </w:r>
          </w:p>
        </w:tc>
        <w:tc>
          <w:tcPr>
            <w:tcW w:w="4320" w:type="dxa"/>
            <w:vAlign w:val="center"/>
          </w:tcPr>
          <w:p w:rsidR="00854133" w:rsidRDefault="00581AA4">
            <w:pPr>
              <w:jc w:val="left"/>
            </w:pPr>
            <w:r>
              <w:rPr>
                <w:rFonts w:eastAsiaTheme="minorEastAsia"/>
                <w:color w:val="000000"/>
                <w:szCs w:val="21"/>
              </w:rPr>
              <w:t>易方达基金管理有限公司旗下部分开放式基金增加天天基金为销售机构的公告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2020-06-23</w:t>
            </w:r>
          </w:p>
        </w:tc>
      </w:tr>
      <w:tr w:rsidR="00854133">
        <w:tc>
          <w:tcPr>
            <w:tcW w:w="720" w:type="dxa"/>
            <w:vAlign w:val="center"/>
          </w:tcPr>
          <w:p w:rsidR="00854133" w:rsidRDefault="00581AA4">
            <w:pPr>
              <w:jc w:val="center"/>
            </w:pPr>
            <w:r>
              <w:rPr>
                <w:rFonts w:eastAsiaTheme="minorEastAsia"/>
                <w:color w:val="000000"/>
                <w:szCs w:val="21"/>
              </w:rPr>
              <w:t>28</w:t>
            </w:r>
          </w:p>
        </w:tc>
        <w:tc>
          <w:tcPr>
            <w:tcW w:w="4320" w:type="dxa"/>
            <w:vAlign w:val="center"/>
          </w:tcPr>
          <w:p w:rsidR="00854133" w:rsidRDefault="00581AA4">
            <w:pPr>
              <w:jc w:val="left"/>
            </w:pPr>
            <w:r>
              <w:rPr>
                <w:rFonts w:eastAsiaTheme="minorEastAsia"/>
                <w:color w:val="000000"/>
                <w:szCs w:val="21"/>
              </w:rPr>
              <w:t>易方达黄金主题证券投资基金（</w:t>
            </w:r>
            <w:r>
              <w:rPr>
                <w:rFonts w:eastAsiaTheme="minorEastAsia"/>
                <w:color w:val="000000"/>
                <w:szCs w:val="21"/>
              </w:rPr>
              <w:t>LOF</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7</w:t>
            </w:r>
            <w:r>
              <w:rPr>
                <w:rFonts w:eastAsiaTheme="minorEastAsia"/>
                <w:color w:val="000000"/>
                <w:szCs w:val="21"/>
              </w:rPr>
              <w:t>月</w:t>
            </w:r>
            <w:r>
              <w:rPr>
                <w:rFonts w:eastAsiaTheme="minorEastAsia"/>
                <w:color w:val="000000"/>
                <w:szCs w:val="21"/>
              </w:rPr>
              <w:t>3</w:t>
            </w:r>
            <w:r>
              <w:rPr>
                <w:rFonts w:eastAsiaTheme="minorEastAsia"/>
                <w:color w:val="000000"/>
                <w:szCs w:val="21"/>
              </w:rPr>
              <w:t>日暂停申购、赎回、定期定额投资业务的公告</w:t>
            </w:r>
          </w:p>
        </w:tc>
        <w:tc>
          <w:tcPr>
            <w:tcW w:w="2520" w:type="dxa"/>
            <w:vAlign w:val="center"/>
          </w:tcPr>
          <w:p w:rsidR="00854133" w:rsidRDefault="00581AA4">
            <w:pPr>
              <w:jc w:val="left"/>
            </w:pPr>
            <w:r>
              <w:rPr>
                <w:rFonts w:eastAsiaTheme="minorEastAsia"/>
                <w:color w:val="000000"/>
                <w:szCs w:val="21"/>
              </w:rPr>
              <w:t>证券时报、基金管理人网站及中国证监会基金电子披露网站</w:t>
            </w:r>
          </w:p>
        </w:tc>
        <w:tc>
          <w:tcPr>
            <w:tcW w:w="1440" w:type="dxa"/>
            <w:vAlign w:val="center"/>
          </w:tcPr>
          <w:p w:rsidR="00854133" w:rsidRDefault="00581AA4">
            <w:pPr>
              <w:jc w:val="center"/>
            </w:pPr>
            <w:r>
              <w:rPr>
                <w:rFonts w:eastAsiaTheme="minorEastAsia"/>
                <w:color w:val="000000"/>
                <w:szCs w:val="21"/>
              </w:rPr>
              <w:t>2020-06-30</w:t>
            </w:r>
          </w:p>
        </w:tc>
      </w:tr>
    </w:tbl>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66" w:name="_Toc225500055"/>
      <w:bookmarkStart w:id="367" w:name="_Toc352256020"/>
      <w:bookmarkStart w:id="368" w:name="_Toc352256088"/>
      <w:bookmarkStart w:id="369" w:name="_Toc352331266"/>
      <w:bookmarkStart w:id="370" w:name="_Toc390164850"/>
      <w:bookmarkStart w:id="371" w:name="_Toc48663453"/>
      <w:r w:rsidRPr="000C6CCD">
        <w:rPr>
          <w:rFonts w:ascii="宋体" w:hAnsi="宋体"/>
          <w:bCs w:val="0"/>
          <w:color w:val="000000"/>
          <w:sz w:val="21"/>
          <w:szCs w:val="21"/>
        </w:rPr>
        <w:t>11</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备查文件目录</w:t>
      </w:r>
      <w:bookmarkEnd w:id="366"/>
      <w:bookmarkEnd w:id="367"/>
      <w:bookmarkEnd w:id="368"/>
      <w:bookmarkEnd w:id="369"/>
      <w:bookmarkEnd w:id="370"/>
      <w:bookmarkEnd w:id="371"/>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72" w:name="_Toc352256021"/>
      <w:bookmarkStart w:id="373" w:name="_Toc352256089"/>
      <w:bookmarkStart w:id="374" w:name="_Toc352331267"/>
      <w:bookmarkStart w:id="375" w:name="_Toc390164851"/>
      <w:bookmarkStart w:id="376" w:name="_Toc48663454"/>
      <w:r w:rsidRPr="0087359D">
        <w:rPr>
          <w:rFonts w:ascii="宋体" w:hAnsi="宋体"/>
          <w:kern w:val="0"/>
          <w:sz w:val="21"/>
          <w:szCs w:val="21"/>
        </w:rPr>
        <w:t>11.1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备查文件目录</w:t>
      </w:r>
      <w:bookmarkEnd w:id="372"/>
      <w:bookmarkEnd w:id="373"/>
      <w:bookmarkEnd w:id="374"/>
      <w:bookmarkEnd w:id="375"/>
      <w:bookmarkEnd w:id="376"/>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1. </w:t>
      </w:r>
      <w:r>
        <w:rPr>
          <w:rFonts w:eastAsiaTheme="minorEastAsia"/>
          <w:kern w:val="0"/>
          <w:szCs w:val="21"/>
        </w:rPr>
        <w:t>中国证监会核准易方达黄金主题证券投资基金（</w:t>
      </w:r>
      <w:r>
        <w:rPr>
          <w:rFonts w:eastAsiaTheme="minorEastAsia"/>
          <w:kern w:val="0"/>
          <w:szCs w:val="21"/>
        </w:rPr>
        <w:t>LOF</w:t>
      </w:r>
      <w:r>
        <w:rPr>
          <w:rFonts w:eastAsiaTheme="minorEastAsia"/>
          <w:kern w:val="0"/>
          <w:szCs w:val="21"/>
        </w:rPr>
        <w:t>）募集的文件；</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2.</w:t>
      </w:r>
      <w:r>
        <w:rPr>
          <w:rFonts w:eastAsiaTheme="minorEastAsia"/>
          <w:kern w:val="0"/>
          <w:szCs w:val="21"/>
        </w:rPr>
        <w:t>《易方达黄金主题证券投资基金（</w:t>
      </w:r>
      <w:r>
        <w:rPr>
          <w:rFonts w:eastAsiaTheme="minorEastAsia"/>
          <w:kern w:val="0"/>
          <w:szCs w:val="21"/>
        </w:rPr>
        <w:t>LOF</w:t>
      </w:r>
      <w:r>
        <w:rPr>
          <w:rFonts w:eastAsiaTheme="minorEastAsia"/>
          <w:kern w:val="0"/>
          <w:szCs w:val="21"/>
        </w:rPr>
        <w:t>）基金合同》；</w:t>
      </w:r>
    </w:p>
    <w:p w:rsidR="00854133" w:rsidRDefault="00581AA4">
      <w:pPr>
        <w:tabs>
          <w:tab w:val="left" w:pos="426"/>
        </w:tabs>
        <w:spacing w:line="360" w:lineRule="auto"/>
        <w:ind w:firstLineChars="200" w:firstLine="420"/>
        <w:jc w:val="left"/>
        <w:rPr>
          <w:rFonts w:eastAsiaTheme="minorEastAsia"/>
          <w:kern w:val="0"/>
          <w:szCs w:val="21"/>
        </w:rPr>
      </w:pPr>
      <w:r>
        <w:rPr>
          <w:rFonts w:eastAsiaTheme="minorEastAsia"/>
          <w:kern w:val="0"/>
          <w:szCs w:val="21"/>
        </w:rPr>
        <w:t>3.</w:t>
      </w:r>
      <w:r>
        <w:rPr>
          <w:rFonts w:eastAsiaTheme="minorEastAsia"/>
          <w:kern w:val="0"/>
          <w:szCs w:val="21"/>
        </w:rPr>
        <w:t>《易方达黄金主题证券投资基金（</w:t>
      </w:r>
      <w:r>
        <w:rPr>
          <w:rFonts w:eastAsiaTheme="minorEastAsia"/>
          <w:kern w:val="0"/>
          <w:szCs w:val="21"/>
        </w:rPr>
        <w:t>LOF</w:t>
      </w:r>
      <w:r>
        <w:rPr>
          <w:rFonts w:eastAsiaTheme="minorEastAsia"/>
          <w:kern w:val="0"/>
          <w:szCs w:val="21"/>
        </w:rPr>
        <w:t>）托管协议》；</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 xml:space="preserve">4. </w:t>
      </w:r>
      <w:r w:rsidRPr="00C24ACA">
        <w:rPr>
          <w:rFonts w:eastAsiaTheme="minorEastAsia"/>
          <w:kern w:val="0"/>
          <w:szCs w:val="21"/>
        </w:rPr>
        <w:t>基金管理人业务资格批件和营业执照。</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77" w:name="_Toc352256022"/>
      <w:bookmarkStart w:id="378" w:name="_Toc352256090"/>
      <w:bookmarkStart w:id="379" w:name="_Toc352331268"/>
      <w:bookmarkStart w:id="380" w:name="_Toc390164852"/>
      <w:bookmarkStart w:id="381" w:name="_Toc48663455"/>
      <w:r w:rsidRPr="0087359D">
        <w:rPr>
          <w:rFonts w:ascii="宋体" w:hAnsi="宋体"/>
          <w:kern w:val="0"/>
          <w:sz w:val="21"/>
          <w:szCs w:val="21"/>
        </w:rPr>
        <w:t>11.2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存放地点</w:t>
      </w:r>
      <w:bookmarkEnd w:id="377"/>
      <w:bookmarkEnd w:id="378"/>
      <w:bookmarkEnd w:id="379"/>
      <w:bookmarkEnd w:id="380"/>
      <w:bookmarkEnd w:id="381"/>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广州市天河区珠江新城珠江东路</w:t>
      </w:r>
      <w:r w:rsidRPr="00C24ACA">
        <w:rPr>
          <w:rFonts w:eastAsiaTheme="minorEastAsia"/>
          <w:kern w:val="0"/>
          <w:szCs w:val="21"/>
        </w:rPr>
        <w:t>30</w:t>
      </w:r>
      <w:r w:rsidRPr="00C24ACA">
        <w:rPr>
          <w:rFonts w:eastAsiaTheme="minorEastAsia"/>
          <w:kern w:val="0"/>
          <w:szCs w:val="21"/>
        </w:rPr>
        <w:t>号广州银行大厦</w:t>
      </w:r>
      <w:r w:rsidRPr="00C24ACA">
        <w:rPr>
          <w:rFonts w:eastAsiaTheme="minorEastAsia"/>
          <w:kern w:val="0"/>
          <w:szCs w:val="21"/>
        </w:rPr>
        <w:t>40-43</w:t>
      </w:r>
      <w:r w:rsidRPr="00C24ACA">
        <w:rPr>
          <w:rFonts w:eastAsiaTheme="minorEastAsia"/>
          <w:kern w:val="0"/>
          <w:szCs w:val="21"/>
        </w:rPr>
        <w:t>楼。</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82" w:name="_Toc352256023"/>
      <w:bookmarkStart w:id="383" w:name="_Toc352256091"/>
      <w:bookmarkStart w:id="384" w:name="_Toc352331269"/>
      <w:bookmarkStart w:id="385" w:name="_Toc390164853"/>
      <w:bookmarkStart w:id="386" w:name="_Toc48663456"/>
      <w:r w:rsidRPr="0087359D">
        <w:rPr>
          <w:rFonts w:ascii="宋体" w:hAnsi="宋体"/>
          <w:kern w:val="0"/>
          <w:sz w:val="21"/>
          <w:szCs w:val="21"/>
        </w:rPr>
        <w:t>11.3</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查阅方式</w:t>
      </w:r>
      <w:bookmarkEnd w:id="382"/>
      <w:bookmarkEnd w:id="383"/>
      <w:bookmarkEnd w:id="384"/>
      <w:bookmarkEnd w:id="385"/>
      <w:bookmarkEnd w:id="386"/>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投资者可在营业时间免费查阅，也可按工本费购买复印件。</w:t>
      </w: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2116B9">
      <w:pPr>
        <w:spacing w:line="360" w:lineRule="auto"/>
        <w:ind w:left="840"/>
        <w:jc w:val="right"/>
        <w:rPr>
          <w:rFonts w:eastAsiaTheme="minorEastAsia"/>
          <w:b/>
          <w:bCs/>
          <w:szCs w:val="21"/>
        </w:rPr>
      </w:pPr>
      <w:r w:rsidRPr="00C24ACA">
        <w:rPr>
          <w:rFonts w:eastAsiaTheme="minorEastAsia"/>
          <w:b/>
          <w:bCs/>
          <w:szCs w:val="21"/>
        </w:rPr>
        <w:t>易方达基金管理有限公司</w:t>
      </w:r>
    </w:p>
    <w:p w:rsidR="008A5A5D" w:rsidRPr="00C24ACA" w:rsidRDefault="00025106" w:rsidP="002116B9">
      <w:pPr>
        <w:spacing w:line="360" w:lineRule="auto"/>
        <w:ind w:left="840"/>
        <w:jc w:val="right"/>
        <w:rPr>
          <w:rFonts w:eastAsiaTheme="minorEastAsia"/>
          <w:b/>
          <w:bCs/>
          <w:szCs w:val="21"/>
        </w:rPr>
      </w:pPr>
      <w:r w:rsidRPr="00C24ACA">
        <w:rPr>
          <w:rFonts w:eastAsiaTheme="minorEastAsia"/>
          <w:b/>
          <w:bCs/>
          <w:szCs w:val="21"/>
        </w:rPr>
        <w:t>二〇二〇年八月二十八日</w:t>
      </w:r>
      <w:bookmarkEnd w:id="0"/>
    </w:p>
    <w:sectPr w:rsidR="008A5A5D" w:rsidRPr="00C24ACA" w:rsidSect="00937AC9">
      <w:footerReference w:type="even"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D43" w:rsidRDefault="00166D43">
      <w:r>
        <w:separator/>
      </w:r>
    </w:p>
  </w:endnote>
  <w:endnote w:type="continuationSeparator" w:id="0">
    <w:p w:rsidR="00166D43" w:rsidRDefault="00166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CEC" w:rsidRPr="00FF5BA7" w:rsidRDefault="00D93CEC" w:rsidP="008134C7">
    <w:pPr>
      <w:pStyle w:val="a7"/>
      <w:ind w:right="360"/>
      <w:jc w:val="center"/>
      <w:rPr>
        <w:sz w:val="21"/>
        <w:szCs w:val="21"/>
      </w:rPr>
    </w:pPr>
    <w:r w:rsidRPr="00FF5BA7">
      <w:rPr>
        <w:rFonts w:hint="eastAsia"/>
        <w:kern w:val="0"/>
        <w:sz w:val="21"/>
        <w:szCs w:val="21"/>
      </w:rPr>
      <w:t>第</w:t>
    </w:r>
    <w:r w:rsidRPr="00FF5BA7">
      <w:rPr>
        <w:kern w:val="0"/>
        <w:sz w:val="21"/>
        <w:szCs w:val="21"/>
      </w:rPr>
      <w:fldChar w:fldCharType="begin"/>
    </w:r>
    <w:r w:rsidRPr="00FF5BA7">
      <w:rPr>
        <w:kern w:val="0"/>
        <w:sz w:val="21"/>
        <w:szCs w:val="21"/>
      </w:rPr>
      <w:instrText xml:space="preserve"> PAGE </w:instrText>
    </w:r>
    <w:r w:rsidRPr="00FF5BA7">
      <w:rPr>
        <w:kern w:val="0"/>
        <w:sz w:val="21"/>
        <w:szCs w:val="21"/>
      </w:rPr>
      <w:fldChar w:fldCharType="separate"/>
    </w:r>
    <w:r w:rsidR="00D64F49">
      <w:rPr>
        <w:noProof/>
        <w:kern w:val="0"/>
        <w:sz w:val="21"/>
        <w:szCs w:val="21"/>
      </w:rPr>
      <w:t>52</w:t>
    </w:r>
    <w:r w:rsidRPr="00FF5BA7">
      <w:rPr>
        <w:kern w:val="0"/>
        <w:sz w:val="21"/>
        <w:szCs w:val="21"/>
      </w:rPr>
      <w:fldChar w:fldCharType="end"/>
    </w:r>
    <w:r w:rsidRPr="00FF5BA7">
      <w:rPr>
        <w:rFonts w:hint="eastAsia"/>
        <w:kern w:val="0"/>
        <w:sz w:val="21"/>
        <w:szCs w:val="21"/>
      </w:rPr>
      <w:t>页，共</w:t>
    </w:r>
    <w:r w:rsidRPr="00FF5BA7">
      <w:rPr>
        <w:kern w:val="0"/>
        <w:sz w:val="21"/>
        <w:szCs w:val="21"/>
      </w:rPr>
      <w:fldChar w:fldCharType="begin"/>
    </w:r>
    <w:r w:rsidRPr="00FF5BA7">
      <w:rPr>
        <w:kern w:val="0"/>
        <w:sz w:val="21"/>
        <w:szCs w:val="21"/>
      </w:rPr>
      <w:instrText xml:space="preserve"> NUMPAGES </w:instrText>
    </w:r>
    <w:r w:rsidRPr="00FF5BA7">
      <w:rPr>
        <w:kern w:val="0"/>
        <w:sz w:val="21"/>
        <w:szCs w:val="21"/>
      </w:rPr>
      <w:fldChar w:fldCharType="separate"/>
    </w:r>
    <w:r w:rsidR="00D64F49">
      <w:rPr>
        <w:noProof/>
        <w:kern w:val="0"/>
        <w:sz w:val="21"/>
        <w:szCs w:val="21"/>
      </w:rPr>
      <w:t>52</w:t>
    </w:r>
    <w:r w:rsidRPr="00FF5BA7">
      <w:rPr>
        <w:kern w:val="0"/>
        <w:sz w:val="21"/>
        <w:szCs w:val="21"/>
      </w:rPr>
      <w:fldChar w:fldCharType="end"/>
    </w:r>
    <w:r w:rsidRPr="00FF5BA7">
      <w:rPr>
        <w:rFonts w:hint="eastAsia"/>
        <w:kern w:val="0"/>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CEC" w:rsidRDefault="00D93CEC" w:rsidP="00C03B3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D93CEC" w:rsidRDefault="00D93CEC" w:rsidP="00C03B3A">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D43" w:rsidRDefault="00166D43">
      <w:r>
        <w:separator/>
      </w:r>
    </w:p>
  </w:footnote>
  <w:footnote w:type="continuationSeparator" w:id="0">
    <w:p w:rsidR="00166D43" w:rsidRDefault="00166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CEC" w:rsidRPr="007018D6" w:rsidRDefault="00D93CEC" w:rsidP="009D66C1">
    <w:pPr>
      <w:pStyle w:val="aa"/>
      <w:pBdr>
        <w:bottom w:val="single" w:sz="6" w:space="0" w:color="auto"/>
      </w:pBdr>
      <w:jc w:val="right"/>
    </w:pPr>
    <w:r w:rsidRPr="007018D6">
      <w:t>易方达黄金主题证券投资基金（</w:t>
    </w:r>
    <w:r w:rsidRPr="007018D6">
      <w:t>LOF</w:t>
    </w:r>
    <w:r w:rsidRPr="007018D6">
      <w:t>）</w:t>
    </w:r>
    <w:r w:rsidRPr="007018D6">
      <w:t>2020</w:t>
    </w:r>
    <w:r w:rsidRPr="007018D6">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213"/>
    <w:rsid w:val="000019B6"/>
    <w:rsid w:val="00001B33"/>
    <w:rsid w:val="00001B39"/>
    <w:rsid w:val="00002644"/>
    <w:rsid w:val="00002FDA"/>
    <w:rsid w:val="00003577"/>
    <w:rsid w:val="0000403B"/>
    <w:rsid w:val="00004337"/>
    <w:rsid w:val="00005172"/>
    <w:rsid w:val="0000551D"/>
    <w:rsid w:val="00005911"/>
    <w:rsid w:val="00005C09"/>
    <w:rsid w:val="00005D29"/>
    <w:rsid w:val="000061CF"/>
    <w:rsid w:val="000102A7"/>
    <w:rsid w:val="00010918"/>
    <w:rsid w:val="00010A83"/>
    <w:rsid w:val="00010A8E"/>
    <w:rsid w:val="00010AC3"/>
    <w:rsid w:val="00010C1F"/>
    <w:rsid w:val="00010F11"/>
    <w:rsid w:val="00011081"/>
    <w:rsid w:val="00011EB5"/>
    <w:rsid w:val="0001280C"/>
    <w:rsid w:val="00013749"/>
    <w:rsid w:val="00013CAE"/>
    <w:rsid w:val="00015C4F"/>
    <w:rsid w:val="00015E54"/>
    <w:rsid w:val="000162AF"/>
    <w:rsid w:val="00016604"/>
    <w:rsid w:val="00016CEB"/>
    <w:rsid w:val="00016F07"/>
    <w:rsid w:val="00017581"/>
    <w:rsid w:val="0001767C"/>
    <w:rsid w:val="00020583"/>
    <w:rsid w:val="00020644"/>
    <w:rsid w:val="00021813"/>
    <w:rsid w:val="00021DD4"/>
    <w:rsid w:val="000221FE"/>
    <w:rsid w:val="00022F8F"/>
    <w:rsid w:val="00023BE7"/>
    <w:rsid w:val="00024491"/>
    <w:rsid w:val="0002453B"/>
    <w:rsid w:val="000246E6"/>
    <w:rsid w:val="00024C15"/>
    <w:rsid w:val="00024C62"/>
    <w:rsid w:val="00024CA0"/>
    <w:rsid w:val="00025106"/>
    <w:rsid w:val="00025805"/>
    <w:rsid w:val="000262B0"/>
    <w:rsid w:val="000274FE"/>
    <w:rsid w:val="000276C9"/>
    <w:rsid w:val="00027CFC"/>
    <w:rsid w:val="00027F5F"/>
    <w:rsid w:val="0003228A"/>
    <w:rsid w:val="000322D5"/>
    <w:rsid w:val="0003271C"/>
    <w:rsid w:val="000327EA"/>
    <w:rsid w:val="00032ADD"/>
    <w:rsid w:val="00032FE1"/>
    <w:rsid w:val="000331EA"/>
    <w:rsid w:val="00033E6C"/>
    <w:rsid w:val="00033EC1"/>
    <w:rsid w:val="00034BA5"/>
    <w:rsid w:val="000358FE"/>
    <w:rsid w:val="00036C37"/>
    <w:rsid w:val="00036CFB"/>
    <w:rsid w:val="00037267"/>
    <w:rsid w:val="000378BC"/>
    <w:rsid w:val="00037CF2"/>
    <w:rsid w:val="00037FCF"/>
    <w:rsid w:val="000400FF"/>
    <w:rsid w:val="0004087B"/>
    <w:rsid w:val="00040DAC"/>
    <w:rsid w:val="000415E6"/>
    <w:rsid w:val="00041BC8"/>
    <w:rsid w:val="000421B8"/>
    <w:rsid w:val="000429DF"/>
    <w:rsid w:val="00042AAD"/>
    <w:rsid w:val="000430CA"/>
    <w:rsid w:val="0004381B"/>
    <w:rsid w:val="00043ABF"/>
    <w:rsid w:val="00044158"/>
    <w:rsid w:val="000445E4"/>
    <w:rsid w:val="000471B4"/>
    <w:rsid w:val="00050260"/>
    <w:rsid w:val="0005049D"/>
    <w:rsid w:val="000510AB"/>
    <w:rsid w:val="000514E0"/>
    <w:rsid w:val="00052E9B"/>
    <w:rsid w:val="00053091"/>
    <w:rsid w:val="0005346A"/>
    <w:rsid w:val="000534CD"/>
    <w:rsid w:val="00053758"/>
    <w:rsid w:val="00053EED"/>
    <w:rsid w:val="00053F17"/>
    <w:rsid w:val="0005448A"/>
    <w:rsid w:val="00055AF1"/>
    <w:rsid w:val="00056F23"/>
    <w:rsid w:val="000573B5"/>
    <w:rsid w:val="00060423"/>
    <w:rsid w:val="00060597"/>
    <w:rsid w:val="00060A2C"/>
    <w:rsid w:val="00060CB4"/>
    <w:rsid w:val="00061167"/>
    <w:rsid w:val="00062997"/>
    <w:rsid w:val="00062D12"/>
    <w:rsid w:val="00063D34"/>
    <w:rsid w:val="00063FEA"/>
    <w:rsid w:val="000642EA"/>
    <w:rsid w:val="000643C3"/>
    <w:rsid w:val="0006475F"/>
    <w:rsid w:val="00064AE3"/>
    <w:rsid w:val="00064FC8"/>
    <w:rsid w:val="00066524"/>
    <w:rsid w:val="000671A3"/>
    <w:rsid w:val="00067CC5"/>
    <w:rsid w:val="00070CD1"/>
    <w:rsid w:val="00071022"/>
    <w:rsid w:val="000710CD"/>
    <w:rsid w:val="0007171B"/>
    <w:rsid w:val="000717A1"/>
    <w:rsid w:val="000726C0"/>
    <w:rsid w:val="00072DE0"/>
    <w:rsid w:val="00073DB1"/>
    <w:rsid w:val="00073F87"/>
    <w:rsid w:val="00076397"/>
    <w:rsid w:val="000764CB"/>
    <w:rsid w:val="00076CC5"/>
    <w:rsid w:val="000801F4"/>
    <w:rsid w:val="00080423"/>
    <w:rsid w:val="0008141B"/>
    <w:rsid w:val="00081A3D"/>
    <w:rsid w:val="00081D05"/>
    <w:rsid w:val="00082038"/>
    <w:rsid w:val="0008226A"/>
    <w:rsid w:val="00083BAF"/>
    <w:rsid w:val="00083C9A"/>
    <w:rsid w:val="00084ADE"/>
    <w:rsid w:val="0008506D"/>
    <w:rsid w:val="00085E0F"/>
    <w:rsid w:val="00085F3E"/>
    <w:rsid w:val="000861D6"/>
    <w:rsid w:val="0008624A"/>
    <w:rsid w:val="000863CA"/>
    <w:rsid w:val="00086622"/>
    <w:rsid w:val="000866EC"/>
    <w:rsid w:val="000869C6"/>
    <w:rsid w:val="00087011"/>
    <w:rsid w:val="000874BC"/>
    <w:rsid w:val="00087CF7"/>
    <w:rsid w:val="00087D8D"/>
    <w:rsid w:val="0009000C"/>
    <w:rsid w:val="000902FA"/>
    <w:rsid w:val="000908ED"/>
    <w:rsid w:val="0009091B"/>
    <w:rsid w:val="00090D5E"/>
    <w:rsid w:val="000917D5"/>
    <w:rsid w:val="000919B7"/>
    <w:rsid w:val="00093E08"/>
    <w:rsid w:val="00094876"/>
    <w:rsid w:val="000951F7"/>
    <w:rsid w:val="00095912"/>
    <w:rsid w:val="00095CE0"/>
    <w:rsid w:val="00096933"/>
    <w:rsid w:val="00096995"/>
    <w:rsid w:val="00096B18"/>
    <w:rsid w:val="00097013"/>
    <w:rsid w:val="00097230"/>
    <w:rsid w:val="000A010B"/>
    <w:rsid w:val="000A1448"/>
    <w:rsid w:val="000A1B79"/>
    <w:rsid w:val="000A1BFB"/>
    <w:rsid w:val="000A2779"/>
    <w:rsid w:val="000A3022"/>
    <w:rsid w:val="000A38DE"/>
    <w:rsid w:val="000A457E"/>
    <w:rsid w:val="000A4672"/>
    <w:rsid w:val="000A4FEF"/>
    <w:rsid w:val="000A53FD"/>
    <w:rsid w:val="000A549A"/>
    <w:rsid w:val="000A578A"/>
    <w:rsid w:val="000A6557"/>
    <w:rsid w:val="000A72F2"/>
    <w:rsid w:val="000B0C56"/>
    <w:rsid w:val="000B1EA7"/>
    <w:rsid w:val="000B2714"/>
    <w:rsid w:val="000B2B57"/>
    <w:rsid w:val="000B2C8D"/>
    <w:rsid w:val="000B36CC"/>
    <w:rsid w:val="000B3E43"/>
    <w:rsid w:val="000B417C"/>
    <w:rsid w:val="000B4365"/>
    <w:rsid w:val="000B5CC0"/>
    <w:rsid w:val="000B6328"/>
    <w:rsid w:val="000B682A"/>
    <w:rsid w:val="000B6D23"/>
    <w:rsid w:val="000C01F9"/>
    <w:rsid w:val="000C05AB"/>
    <w:rsid w:val="000C0871"/>
    <w:rsid w:val="000C0CA5"/>
    <w:rsid w:val="000C0F55"/>
    <w:rsid w:val="000C127D"/>
    <w:rsid w:val="000C15BE"/>
    <w:rsid w:val="000C1723"/>
    <w:rsid w:val="000C1B20"/>
    <w:rsid w:val="000C224F"/>
    <w:rsid w:val="000C2BDC"/>
    <w:rsid w:val="000C3FD9"/>
    <w:rsid w:val="000C4107"/>
    <w:rsid w:val="000C45E7"/>
    <w:rsid w:val="000C45F5"/>
    <w:rsid w:val="000C5E98"/>
    <w:rsid w:val="000C5F67"/>
    <w:rsid w:val="000C698D"/>
    <w:rsid w:val="000C6CCD"/>
    <w:rsid w:val="000C705C"/>
    <w:rsid w:val="000C7AE4"/>
    <w:rsid w:val="000D01F4"/>
    <w:rsid w:val="000D0B89"/>
    <w:rsid w:val="000D1497"/>
    <w:rsid w:val="000D1519"/>
    <w:rsid w:val="000D1F25"/>
    <w:rsid w:val="000D3145"/>
    <w:rsid w:val="000D36D1"/>
    <w:rsid w:val="000D4AAD"/>
    <w:rsid w:val="000D52DC"/>
    <w:rsid w:val="000D6054"/>
    <w:rsid w:val="000D619B"/>
    <w:rsid w:val="000D788B"/>
    <w:rsid w:val="000E1057"/>
    <w:rsid w:val="000E148A"/>
    <w:rsid w:val="000E28C9"/>
    <w:rsid w:val="000E34ED"/>
    <w:rsid w:val="000E4456"/>
    <w:rsid w:val="000E458D"/>
    <w:rsid w:val="000E56C3"/>
    <w:rsid w:val="000E6184"/>
    <w:rsid w:val="000E67FE"/>
    <w:rsid w:val="000E6DA9"/>
    <w:rsid w:val="000E7C24"/>
    <w:rsid w:val="000E7E16"/>
    <w:rsid w:val="000F0C0A"/>
    <w:rsid w:val="000F175F"/>
    <w:rsid w:val="000F17D1"/>
    <w:rsid w:val="000F1913"/>
    <w:rsid w:val="000F1B87"/>
    <w:rsid w:val="000F1EE4"/>
    <w:rsid w:val="000F2C75"/>
    <w:rsid w:val="000F3506"/>
    <w:rsid w:val="000F350C"/>
    <w:rsid w:val="000F3D90"/>
    <w:rsid w:val="000F4232"/>
    <w:rsid w:val="000F4DB9"/>
    <w:rsid w:val="000F593E"/>
    <w:rsid w:val="000F60F3"/>
    <w:rsid w:val="000F60FF"/>
    <w:rsid w:val="000F6198"/>
    <w:rsid w:val="000F635F"/>
    <w:rsid w:val="000F6C61"/>
    <w:rsid w:val="00100C12"/>
    <w:rsid w:val="001013A8"/>
    <w:rsid w:val="00102CC8"/>
    <w:rsid w:val="001030B5"/>
    <w:rsid w:val="0010352B"/>
    <w:rsid w:val="001049B6"/>
    <w:rsid w:val="00104A39"/>
    <w:rsid w:val="00104DE3"/>
    <w:rsid w:val="001051C6"/>
    <w:rsid w:val="00105211"/>
    <w:rsid w:val="0010577B"/>
    <w:rsid w:val="00105C9C"/>
    <w:rsid w:val="001069ED"/>
    <w:rsid w:val="00106A87"/>
    <w:rsid w:val="00106C1F"/>
    <w:rsid w:val="00107C33"/>
    <w:rsid w:val="001116BA"/>
    <w:rsid w:val="0011177A"/>
    <w:rsid w:val="0011179E"/>
    <w:rsid w:val="00111C71"/>
    <w:rsid w:val="00113B73"/>
    <w:rsid w:val="001141C0"/>
    <w:rsid w:val="001150A3"/>
    <w:rsid w:val="00115AD8"/>
    <w:rsid w:val="00116B10"/>
    <w:rsid w:val="00116E31"/>
    <w:rsid w:val="00120169"/>
    <w:rsid w:val="00120E31"/>
    <w:rsid w:val="00120EED"/>
    <w:rsid w:val="001212B4"/>
    <w:rsid w:val="00121A03"/>
    <w:rsid w:val="0012304E"/>
    <w:rsid w:val="0012380F"/>
    <w:rsid w:val="001239C8"/>
    <w:rsid w:val="00123A56"/>
    <w:rsid w:val="00124099"/>
    <w:rsid w:val="0012415D"/>
    <w:rsid w:val="001248EF"/>
    <w:rsid w:val="001257C7"/>
    <w:rsid w:val="0012593C"/>
    <w:rsid w:val="00126502"/>
    <w:rsid w:val="00126AF2"/>
    <w:rsid w:val="00126DDF"/>
    <w:rsid w:val="001270BF"/>
    <w:rsid w:val="00127BAC"/>
    <w:rsid w:val="00127FF5"/>
    <w:rsid w:val="00130386"/>
    <w:rsid w:val="00130590"/>
    <w:rsid w:val="00130C28"/>
    <w:rsid w:val="00131EC2"/>
    <w:rsid w:val="0013226C"/>
    <w:rsid w:val="00132E82"/>
    <w:rsid w:val="0013374F"/>
    <w:rsid w:val="00135467"/>
    <w:rsid w:val="00136211"/>
    <w:rsid w:val="001364D3"/>
    <w:rsid w:val="001366C4"/>
    <w:rsid w:val="0013686A"/>
    <w:rsid w:val="00136BE0"/>
    <w:rsid w:val="0013718B"/>
    <w:rsid w:val="00137BB5"/>
    <w:rsid w:val="00137BB9"/>
    <w:rsid w:val="00137D50"/>
    <w:rsid w:val="00140038"/>
    <w:rsid w:val="001412CA"/>
    <w:rsid w:val="00142280"/>
    <w:rsid w:val="0014241E"/>
    <w:rsid w:val="001424C6"/>
    <w:rsid w:val="00142A56"/>
    <w:rsid w:val="001432A7"/>
    <w:rsid w:val="00143BE5"/>
    <w:rsid w:val="00144280"/>
    <w:rsid w:val="00144AAD"/>
    <w:rsid w:val="00144DF5"/>
    <w:rsid w:val="001455C7"/>
    <w:rsid w:val="00145A97"/>
    <w:rsid w:val="00145B50"/>
    <w:rsid w:val="00145CAE"/>
    <w:rsid w:val="00146485"/>
    <w:rsid w:val="0014666D"/>
    <w:rsid w:val="00146835"/>
    <w:rsid w:val="00146A28"/>
    <w:rsid w:val="00146FBA"/>
    <w:rsid w:val="00147492"/>
    <w:rsid w:val="0015080E"/>
    <w:rsid w:val="00150AD6"/>
    <w:rsid w:val="0015173F"/>
    <w:rsid w:val="00151B23"/>
    <w:rsid w:val="001529AD"/>
    <w:rsid w:val="00152B88"/>
    <w:rsid w:val="0015328C"/>
    <w:rsid w:val="001535AE"/>
    <w:rsid w:val="00153B40"/>
    <w:rsid w:val="00153B9D"/>
    <w:rsid w:val="00153BCF"/>
    <w:rsid w:val="00154ADA"/>
    <w:rsid w:val="00154B08"/>
    <w:rsid w:val="00154C44"/>
    <w:rsid w:val="0015531A"/>
    <w:rsid w:val="00155875"/>
    <w:rsid w:val="001558FD"/>
    <w:rsid w:val="00155A35"/>
    <w:rsid w:val="00157418"/>
    <w:rsid w:val="00157B5A"/>
    <w:rsid w:val="0016050B"/>
    <w:rsid w:val="00161476"/>
    <w:rsid w:val="0016380C"/>
    <w:rsid w:val="00163816"/>
    <w:rsid w:val="00163B27"/>
    <w:rsid w:val="0016425E"/>
    <w:rsid w:val="00164BF7"/>
    <w:rsid w:val="00165317"/>
    <w:rsid w:val="001657AB"/>
    <w:rsid w:val="00166D43"/>
    <w:rsid w:val="0016725E"/>
    <w:rsid w:val="0017073D"/>
    <w:rsid w:val="001707EF"/>
    <w:rsid w:val="00170D38"/>
    <w:rsid w:val="00171484"/>
    <w:rsid w:val="0017173B"/>
    <w:rsid w:val="00171BAD"/>
    <w:rsid w:val="00171F2C"/>
    <w:rsid w:val="001731C7"/>
    <w:rsid w:val="00173AF1"/>
    <w:rsid w:val="001744B4"/>
    <w:rsid w:val="001751EF"/>
    <w:rsid w:val="001756A1"/>
    <w:rsid w:val="001761EE"/>
    <w:rsid w:val="00176D47"/>
    <w:rsid w:val="00176EAA"/>
    <w:rsid w:val="00177030"/>
    <w:rsid w:val="0017725A"/>
    <w:rsid w:val="0017747A"/>
    <w:rsid w:val="00177C4B"/>
    <w:rsid w:val="00177F6A"/>
    <w:rsid w:val="00182708"/>
    <w:rsid w:val="00182A38"/>
    <w:rsid w:val="00182BB8"/>
    <w:rsid w:val="0018325A"/>
    <w:rsid w:val="00183BA8"/>
    <w:rsid w:val="00183D7A"/>
    <w:rsid w:val="00183F2D"/>
    <w:rsid w:val="00184CAE"/>
    <w:rsid w:val="00186199"/>
    <w:rsid w:val="00186F7A"/>
    <w:rsid w:val="00187CB2"/>
    <w:rsid w:val="00190AE2"/>
    <w:rsid w:val="00190E27"/>
    <w:rsid w:val="001928F7"/>
    <w:rsid w:val="00192AD3"/>
    <w:rsid w:val="00193182"/>
    <w:rsid w:val="00193575"/>
    <w:rsid w:val="0019389D"/>
    <w:rsid w:val="00193B62"/>
    <w:rsid w:val="00194537"/>
    <w:rsid w:val="00194F79"/>
    <w:rsid w:val="0019563C"/>
    <w:rsid w:val="001956CA"/>
    <w:rsid w:val="00195B79"/>
    <w:rsid w:val="00196BCF"/>
    <w:rsid w:val="00197CE2"/>
    <w:rsid w:val="001A02F4"/>
    <w:rsid w:val="001A088E"/>
    <w:rsid w:val="001A0AD5"/>
    <w:rsid w:val="001A0F4A"/>
    <w:rsid w:val="001A19C2"/>
    <w:rsid w:val="001A1B13"/>
    <w:rsid w:val="001A1D38"/>
    <w:rsid w:val="001A21A9"/>
    <w:rsid w:val="001A2A97"/>
    <w:rsid w:val="001A364F"/>
    <w:rsid w:val="001A39B7"/>
    <w:rsid w:val="001A3EE4"/>
    <w:rsid w:val="001A42FA"/>
    <w:rsid w:val="001A4AEC"/>
    <w:rsid w:val="001A5051"/>
    <w:rsid w:val="001A58FE"/>
    <w:rsid w:val="001A59D8"/>
    <w:rsid w:val="001A5FA6"/>
    <w:rsid w:val="001A644F"/>
    <w:rsid w:val="001A668F"/>
    <w:rsid w:val="001A71CC"/>
    <w:rsid w:val="001A7F30"/>
    <w:rsid w:val="001B017D"/>
    <w:rsid w:val="001B2F0C"/>
    <w:rsid w:val="001B30CA"/>
    <w:rsid w:val="001B3513"/>
    <w:rsid w:val="001B353A"/>
    <w:rsid w:val="001B3D3E"/>
    <w:rsid w:val="001B3F69"/>
    <w:rsid w:val="001B4CEC"/>
    <w:rsid w:val="001B50CD"/>
    <w:rsid w:val="001B52FE"/>
    <w:rsid w:val="001B7890"/>
    <w:rsid w:val="001C005A"/>
    <w:rsid w:val="001C00CF"/>
    <w:rsid w:val="001C0806"/>
    <w:rsid w:val="001C1110"/>
    <w:rsid w:val="001C156D"/>
    <w:rsid w:val="001C1C77"/>
    <w:rsid w:val="001C2F9C"/>
    <w:rsid w:val="001C3399"/>
    <w:rsid w:val="001C37F6"/>
    <w:rsid w:val="001C4928"/>
    <w:rsid w:val="001C4D9F"/>
    <w:rsid w:val="001C4EB6"/>
    <w:rsid w:val="001C5289"/>
    <w:rsid w:val="001C6288"/>
    <w:rsid w:val="001C67A1"/>
    <w:rsid w:val="001C7C6D"/>
    <w:rsid w:val="001C7E6F"/>
    <w:rsid w:val="001D0538"/>
    <w:rsid w:val="001D0634"/>
    <w:rsid w:val="001D0D6A"/>
    <w:rsid w:val="001D0F6A"/>
    <w:rsid w:val="001D21BC"/>
    <w:rsid w:val="001D2230"/>
    <w:rsid w:val="001D2D34"/>
    <w:rsid w:val="001D2E47"/>
    <w:rsid w:val="001D2FA5"/>
    <w:rsid w:val="001D35E0"/>
    <w:rsid w:val="001D5016"/>
    <w:rsid w:val="001D5045"/>
    <w:rsid w:val="001D5281"/>
    <w:rsid w:val="001D5494"/>
    <w:rsid w:val="001D5A44"/>
    <w:rsid w:val="001D6213"/>
    <w:rsid w:val="001D6BEF"/>
    <w:rsid w:val="001D724B"/>
    <w:rsid w:val="001D730C"/>
    <w:rsid w:val="001E03BE"/>
    <w:rsid w:val="001E07AE"/>
    <w:rsid w:val="001E09F9"/>
    <w:rsid w:val="001E0AAA"/>
    <w:rsid w:val="001E0F28"/>
    <w:rsid w:val="001E0F82"/>
    <w:rsid w:val="001E11D3"/>
    <w:rsid w:val="001E15F1"/>
    <w:rsid w:val="001E1C4F"/>
    <w:rsid w:val="001E1C7C"/>
    <w:rsid w:val="001E2332"/>
    <w:rsid w:val="001E287E"/>
    <w:rsid w:val="001E2A6A"/>
    <w:rsid w:val="001E3BB1"/>
    <w:rsid w:val="001E3DC2"/>
    <w:rsid w:val="001E49F3"/>
    <w:rsid w:val="001E56FF"/>
    <w:rsid w:val="001E5C6B"/>
    <w:rsid w:val="001E6862"/>
    <w:rsid w:val="001E6EBF"/>
    <w:rsid w:val="001F0307"/>
    <w:rsid w:val="001F03E1"/>
    <w:rsid w:val="001F0DE9"/>
    <w:rsid w:val="001F147B"/>
    <w:rsid w:val="001F221F"/>
    <w:rsid w:val="001F2246"/>
    <w:rsid w:val="001F3CC6"/>
    <w:rsid w:val="001F3F50"/>
    <w:rsid w:val="001F4530"/>
    <w:rsid w:val="001F489E"/>
    <w:rsid w:val="001F5CE2"/>
    <w:rsid w:val="001F5DBA"/>
    <w:rsid w:val="001F5DE3"/>
    <w:rsid w:val="001F5F74"/>
    <w:rsid w:val="002000DE"/>
    <w:rsid w:val="002010DE"/>
    <w:rsid w:val="00201962"/>
    <w:rsid w:val="00201B58"/>
    <w:rsid w:val="00201DDA"/>
    <w:rsid w:val="00202968"/>
    <w:rsid w:val="00202C32"/>
    <w:rsid w:val="00203940"/>
    <w:rsid w:val="00203973"/>
    <w:rsid w:val="00203AEF"/>
    <w:rsid w:val="00206D74"/>
    <w:rsid w:val="002075E2"/>
    <w:rsid w:val="00207E26"/>
    <w:rsid w:val="002116B9"/>
    <w:rsid w:val="00211A26"/>
    <w:rsid w:val="00212249"/>
    <w:rsid w:val="002125F7"/>
    <w:rsid w:val="00212901"/>
    <w:rsid w:val="00213709"/>
    <w:rsid w:val="0021397C"/>
    <w:rsid w:val="00214463"/>
    <w:rsid w:val="00214756"/>
    <w:rsid w:val="00215CF2"/>
    <w:rsid w:val="00215D9F"/>
    <w:rsid w:val="00216310"/>
    <w:rsid w:val="00216BCE"/>
    <w:rsid w:val="00216D8F"/>
    <w:rsid w:val="00217867"/>
    <w:rsid w:val="00220542"/>
    <w:rsid w:val="00220D7F"/>
    <w:rsid w:val="002210EB"/>
    <w:rsid w:val="00221174"/>
    <w:rsid w:val="00222DE3"/>
    <w:rsid w:val="002233F0"/>
    <w:rsid w:val="0022498A"/>
    <w:rsid w:val="00225756"/>
    <w:rsid w:val="00225ADC"/>
    <w:rsid w:val="00225CEB"/>
    <w:rsid w:val="0022692D"/>
    <w:rsid w:val="00227ABF"/>
    <w:rsid w:val="002318F3"/>
    <w:rsid w:val="00232443"/>
    <w:rsid w:val="00232763"/>
    <w:rsid w:val="00232F17"/>
    <w:rsid w:val="0023323F"/>
    <w:rsid w:val="00233A86"/>
    <w:rsid w:val="00234202"/>
    <w:rsid w:val="00235842"/>
    <w:rsid w:val="002359EB"/>
    <w:rsid w:val="002363AB"/>
    <w:rsid w:val="00236412"/>
    <w:rsid w:val="00236933"/>
    <w:rsid w:val="0023727B"/>
    <w:rsid w:val="00237579"/>
    <w:rsid w:val="00237675"/>
    <w:rsid w:val="00237C6D"/>
    <w:rsid w:val="0024096B"/>
    <w:rsid w:val="00241582"/>
    <w:rsid w:val="00241B45"/>
    <w:rsid w:val="00241D0E"/>
    <w:rsid w:val="002424D7"/>
    <w:rsid w:val="0024260D"/>
    <w:rsid w:val="00242657"/>
    <w:rsid w:val="002428F6"/>
    <w:rsid w:val="00242FA2"/>
    <w:rsid w:val="00243C23"/>
    <w:rsid w:val="0024402C"/>
    <w:rsid w:val="00244D4F"/>
    <w:rsid w:val="00245012"/>
    <w:rsid w:val="0024504E"/>
    <w:rsid w:val="00245761"/>
    <w:rsid w:val="00245F01"/>
    <w:rsid w:val="0024651F"/>
    <w:rsid w:val="00247729"/>
    <w:rsid w:val="0025158D"/>
    <w:rsid w:val="00251C7E"/>
    <w:rsid w:val="00251D61"/>
    <w:rsid w:val="00252697"/>
    <w:rsid w:val="0025281A"/>
    <w:rsid w:val="00253D3C"/>
    <w:rsid w:val="00254022"/>
    <w:rsid w:val="002544D7"/>
    <w:rsid w:val="00254C82"/>
    <w:rsid w:val="00255292"/>
    <w:rsid w:val="002561CC"/>
    <w:rsid w:val="002571F0"/>
    <w:rsid w:val="00257578"/>
    <w:rsid w:val="00257CCE"/>
    <w:rsid w:val="00260200"/>
    <w:rsid w:val="00260B06"/>
    <w:rsid w:val="00260BFB"/>
    <w:rsid w:val="00260DA3"/>
    <w:rsid w:val="00261D93"/>
    <w:rsid w:val="00261E92"/>
    <w:rsid w:val="00262029"/>
    <w:rsid w:val="00262553"/>
    <w:rsid w:val="002631B5"/>
    <w:rsid w:val="00263BBD"/>
    <w:rsid w:val="002648D8"/>
    <w:rsid w:val="00265AFB"/>
    <w:rsid w:val="00267EE3"/>
    <w:rsid w:val="00267F59"/>
    <w:rsid w:val="002700E9"/>
    <w:rsid w:val="00270CE9"/>
    <w:rsid w:val="002716BD"/>
    <w:rsid w:val="0027235A"/>
    <w:rsid w:val="00273CDB"/>
    <w:rsid w:val="00273F86"/>
    <w:rsid w:val="002741BE"/>
    <w:rsid w:val="002752EA"/>
    <w:rsid w:val="00275882"/>
    <w:rsid w:val="00275D56"/>
    <w:rsid w:val="00275EAD"/>
    <w:rsid w:val="00276B03"/>
    <w:rsid w:val="00276C3A"/>
    <w:rsid w:val="002773FB"/>
    <w:rsid w:val="002774F0"/>
    <w:rsid w:val="00277722"/>
    <w:rsid w:val="00280A4F"/>
    <w:rsid w:val="002813C5"/>
    <w:rsid w:val="0028284A"/>
    <w:rsid w:val="00282C23"/>
    <w:rsid w:val="0028315D"/>
    <w:rsid w:val="00283885"/>
    <w:rsid w:val="002839A4"/>
    <w:rsid w:val="0028459B"/>
    <w:rsid w:val="00284C5F"/>
    <w:rsid w:val="0028507E"/>
    <w:rsid w:val="00286183"/>
    <w:rsid w:val="0028658C"/>
    <w:rsid w:val="002873F0"/>
    <w:rsid w:val="00287762"/>
    <w:rsid w:val="00287B8D"/>
    <w:rsid w:val="00290793"/>
    <w:rsid w:val="002915FE"/>
    <w:rsid w:val="002916E3"/>
    <w:rsid w:val="002916F1"/>
    <w:rsid w:val="00291A70"/>
    <w:rsid w:val="00291A85"/>
    <w:rsid w:val="00291F6F"/>
    <w:rsid w:val="0029379A"/>
    <w:rsid w:val="00293C97"/>
    <w:rsid w:val="002942CB"/>
    <w:rsid w:val="00294C7F"/>
    <w:rsid w:val="00294D8F"/>
    <w:rsid w:val="00295D5A"/>
    <w:rsid w:val="002964F9"/>
    <w:rsid w:val="0029690F"/>
    <w:rsid w:val="002969CC"/>
    <w:rsid w:val="00297D85"/>
    <w:rsid w:val="002A07F4"/>
    <w:rsid w:val="002A090A"/>
    <w:rsid w:val="002A0B47"/>
    <w:rsid w:val="002A1381"/>
    <w:rsid w:val="002A1C58"/>
    <w:rsid w:val="002A1F14"/>
    <w:rsid w:val="002A2678"/>
    <w:rsid w:val="002A2E01"/>
    <w:rsid w:val="002A32E5"/>
    <w:rsid w:val="002A34B9"/>
    <w:rsid w:val="002A398F"/>
    <w:rsid w:val="002A3DFD"/>
    <w:rsid w:val="002A46A7"/>
    <w:rsid w:val="002A4F2C"/>
    <w:rsid w:val="002A525F"/>
    <w:rsid w:val="002A5C6B"/>
    <w:rsid w:val="002A5D31"/>
    <w:rsid w:val="002A5E63"/>
    <w:rsid w:val="002A714F"/>
    <w:rsid w:val="002A75D7"/>
    <w:rsid w:val="002B09C0"/>
    <w:rsid w:val="002B1851"/>
    <w:rsid w:val="002B1EC9"/>
    <w:rsid w:val="002B27FF"/>
    <w:rsid w:val="002B2B42"/>
    <w:rsid w:val="002B2F4E"/>
    <w:rsid w:val="002B5C8E"/>
    <w:rsid w:val="002B6688"/>
    <w:rsid w:val="002B6793"/>
    <w:rsid w:val="002B7562"/>
    <w:rsid w:val="002B780B"/>
    <w:rsid w:val="002B7D25"/>
    <w:rsid w:val="002C03E0"/>
    <w:rsid w:val="002C1260"/>
    <w:rsid w:val="002C1726"/>
    <w:rsid w:val="002C21A6"/>
    <w:rsid w:val="002C26D5"/>
    <w:rsid w:val="002C5777"/>
    <w:rsid w:val="002C5889"/>
    <w:rsid w:val="002C5909"/>
    <w:rsid w:val="002C5B7A"/>
    <w:rsid w:val="002C65FA"/>
    <w:rsid w:val="002C661D"/>
    <w:rsid w:val="002C7C89"/>
    <w:rsid w:val="002D1A0F"/>
    <w:rsid w:val="002D1A88"/>
    <w:rsid w:val="002D22BF"/>
    <w:rsid w:val="002D237C"/>
    <w:rsid w:val="002D32E3"/>
    <w:rsid w:val="002D33F1"/>
    <w:rsid w:val="002D353D"/>
    <w:rsid w:val="002D4733"/>
    <w:rsid w:val="002D528B"/>
    <w:rsid w:val="002D52AD"/>
    <w:rsid w:val="002D58D8"/>
    <w:rsid w:val="002D5EB1"/>
    <w:rsid w:val="002D7777"/>
    <w:rsid w:val="002D77FF"/>
    <w:rsid w:val="002D7BFF"/>
    <w:rsid w:val="002E0394"/>
    <w:rsid w:val="002E0644"/>
    <w:rsid w:val="002E0FEB"/>
    <w:rsid w:val="002E171B"/>
    <w:rsid w:val="002E1BCA"/>
    <w:rsid w:val="002E204F"/>
    <w:rsid w:val="002E2625"/>
    <w:rsid w:val="002E319D"/>
    <w:rsid w:val="002E372D"/>
    <w:rsid w:val="002E3CD4"/>
    <w:rsid w:val="002E4AD5"/>
    <w:rsid w:val="002E4C2D"/>
    <w:rsid w:val="002E72C5"/>
    <w:rsid w:val="002F0F79"/>
    <w:rsid w:val="002F100F"/>
    <w:rsid w:val="002F19F9"/>
    <w:rsid w:val="002F1C9E"/>
    <w:rsid w:val="002F1EB2"/>
    <w:rsid w:val="002F2450"/>
    <w:rsid w:val="002F280E"/>
    <w:rsid w:val="002F2CBB"/>
    <w:rsid w:val="002F324A"/>
    <w:rsid w:val="002F3470"/>
    <w:rsid w:val="002F3709"/>
    <w:rsid w:val="002F3A6C"/>
    <w:rsid w:val="002F4296"/>
    <w:rsid w:val="002F5777"/>
    <w:rsid w:val="002F60EA"/>
    <w:rsid w:val="002F62F1"/>
    <w:rsid w:val="002F680E"/>
    <w:rsid w:val="002F7330"/>
    <w:rsid w:val="00300816"/>
    <w:rsid w:val="00300951"/>
    <w:rsid w:val="00300E8A"/>
    <w:rsid w:val="00301185"/>
    <w:rsid w:val="0030216B"/>
    <w:rsid w:val="003023C9"/>
    <w:rsid w:val="003029E6"/>
    <w:rsid w:val="00302CA8"/>
    <w:rsid w:val="00302DE9"/>
    <w:rsid w:val="00303EA9"/>
    <w:rsid w:val="00304860"/>
    <w:rsid w:val="00304E23"/>
    <w:rsid w:val="00305084"/>
    <w:rsid w:val="00305871"/>
    <w:rsid w:val="00305BCF"/>
    <w:rsid w:val="00306026"/>
    <w:rsid w:val="00306408"/>
    <w:rsid w:val="0030682A"/>
    <w:rsid w:val="00306B13"/>
    <w:rsid w:val="00307249"/>
    <w:rsid w:val="00307E35"/>
    <w:rsid w:val="00311D61"/>
    <w:rsid w:val="00312C47"/>
    <w:rsid w:val="00312DAE"/>
    <w:rsid w:val="003132DB"/>
    <w:rsid w:val="00313336"/>
    <w:rsid w:val="003137CA"/>
    <w:rsid w:val="00313918"/>
    <w:rsid w:val="003153CB"/>
    <w:rsid w:val="00316012"/>
    <w:rsid w:val="003166DE"/>
    <w:rsid w:val="00316B8C"/>
    <w:rsid w:val="00316BA5"/>
    <w:rsid w:val="003171A3"/>
    <w:rsid w:val="00317226"/>
    <w:rsid w:val="00317528"/>
    <w:rsid w:val="003201F9"/>
    <w:rsid w:val="003204E9"/>
    <w:rsid w:val="0032050A"/>
    <w:rsid w:val="00320AF3"/>
    <w:rsid w:val="00320B7B"/>
    <w:rsid w:val="00320DAB"/>
    <w:rsid w:val="0032160D"/>
    <w:rsid w:val="00321618"/>
    <w:rsid w:val="00321E8C"/>
    <w:rsid w:val="00321FDA"/>
    <w:rsid w:val="00322318"/>
    <w:rsid w:val="00322A86"/>
    <w:rsid w:val="00323041"/>
    <w:rsid w:val="00323AE8"/>
    <w:rsid w:val="00323B32"/>
    <w:rsid w:val="00324548"/>
    <w:rsid w:val="0032494A"/>
    <w:rsid w:val="003251F4"/>
    <w:rsid w:val="00325408"/>
    <w:rsid w:val="0032555D"/>
    <w:rsid w:val="00326927"/>
    <w:rsid w:val="003273A3"/>
    <w:rsid w:val="003277CD"/>
    <w:rsid w:val="003303E3"/>
    <w:rsid w:val="00330651"/>
    <w:rsid w:val="00331A88"/>
    <w:rsid w:val="003329EA"/>
    <w:rsid w:val="00332C6E"/>
    <w:rsid w:val="00332D73"/>
    <w:rsid w:val="0033368C"/>
    <w:rsid w:val="003338BE"/>
    <w:rsid w:val="00336AA2"/>
    <w:rsid w:val="00337271"/>
    <w:rsid w:val="00337B1B"/>
    <w:rsid w:val="00337ED3"/>
    <w:rsid w:val="003405DA"/>
    <w:rsid w:val="003407A5"/>
    <w:rsid w:val="00340CBC"/>
    <w:rsid w:val="003410A1"/>
    <w:rsid w:val="00341188"/>
    <w:rsid w:val="0034147B"/>
    <w:rsid w:val="003424CB"/>
    <w:rsid w:val="003439DB"/>
    <w:rsid w:val="00344FBE"/>
    <w:rsid w:val="00346759"/>
    <w:rsid w:val="00350238"/>
    <w:rsid w:val="00350315"/>
    <w:rsid w:val="0035109C"/>
    <w:rsid w:val="00351752"/>
    <w:rsid w:val="00351F0A"/>
    <w:rsid w:val="00352648"/>
    <w:rsid w:val="003532D4"/>
    <w:rsid w:val="00353AC6"/>
    <w:rsid w:val="00353E6B"/>
    <w:rsid w:val="003542B7"/>
    <w:rsid w:val="0035432B"/>
    <w:rsid w:val="00354765"/>
    <w:rsid w:val="00354E10"/>
    <w:rsid w:val="003574C8"/>
    <w:rsid w:val="0035753E"/>
    <w:rsid w:val="00357B15"/>
    <w:rsid w:val="00357BB3"/>
    <w:rsid w:val="003602EA"/>
    <w:rsid w:val="00360F81"/>
    <w:rsid w:val="00361E7E"/>
    <w:rsid w:val="00363564"/>
    <w:rsid w:val="003648F2"/>
    <w:rsid w:val="00364FA1"/>
    <w:rsid w:val="00366B02"/>
    <w:rsid w:val="003671F5"/>
    <w:rsid w:val="003700E2"/>
    <w:rsid w:val="00370348"/>
    <w:rsid w:val="00370AA4"/>
    <w:rsid w:val="003711F2"/>
    <w:rsid w:val="003717FC"/>
    <w:rsid w:val="00371FF4"/>
    <w:rsid w:val="003723C2"/>
    <w:rsid w:val="0037275D"/>
    <w:rsid w:val="00372797"/>
    <w:rsid w:val="003736DD"/>
    <w:rsid w:val="003745EC"/>
    <w:rsid w:val="003746F1"/>
    <w:rsid w:val="0037470E"/>
    <w:rsid w:val="00374D1B"/>
    <w:rsid w:val="00375CC4"/>
    <w:rsid w:val="00376103"/>
    <w:rsid w:val="003767B3"/>
    <w:rsid w:val="00376B49"/>
    <w:rsid w:val="00376FC5"/>
    <w:rsid w:val="003771E2"/>
    <w:rsid w:val="00377520"/>
    <w:rsid w:val="00380273"/>
    <w:rsid w:val="00380404"/>
    <w:rsid w:val="00380D36"/>
    <w:rsid w:val="00380F49"/>
    <w:rsid w:val="003819F9"/>
    <w:rsid w:val="00381AE2"/>
    <w:rsid w:val="003822D3"/>
    <w:rsid w:val="0038480C"/>
    <w:rsid w:val="00384DC9"/>
    <w:rsid w:val="0038566E"/>
    <w:rsid w:val="00385C66"/>
    <w:rsid w:val="00385EDA"/>
    <w:rsid w:val="00386630"/>
    <w:rsid w:val="00386A6C"/>
    <w:rsid w:val="00390379"/>
    <w:rsid w:val="00390741"/>
    <w:rsid w:val="003909FB"/>
    <w:rsid w:val="00390B25"/>
    <w:rsid w:val="00390DD9"/>
    <w:rsid w:val="00390DDD"/>
    <w:rsid w:val="003921B9"/>
    <w:rsid w:val="00392AE5"/>
    <w:rsid w:val="003933F1"/>
    <w:rsid w:val="003936AD"/>
    <w:rsid w:val="003937F7"/>
    <w:rsid w:val="00393A83"/>
    <w:rsid w:val="003955D3"/>
    <w:rsid w:val="00395809"/>
    <w:rsid w:val="00395CAA"/>
    <w:rsid w:val="00395F75"/>
    <w:rsid w:val="00395F76"/>
    <w:rsid w:val="00396588"/>
    <w:rsid w:val="00396863"/>
    <w:rsid w:val="00396F0A"/>
    <w:rsid w:val="00397156"/>
    <w:rsid w:val="00397960"/>
    <w:rsid w:val="00397D91"/>
    <w:rsid w:val="003A0663"/>
    <w:rsid w:val="003A10D5"/>
    <w:rsid w:val="003A1660"/>
    <w:rsid w:val="003A1FE0"/>
    <w:rsid w:val="003A2C23"/>
    <w:rsid w:val="003A3BC4"/>
    <w:rsid w:val="003A458A"/>
    <w:rsid w:val="003A551D"/>
    <w:rsid w:val="003A647F"/>
    <w:rsid w:val="003A6B26"/>
    <w:rsid w:val="003A7E6F"/>
    <w:rsid w:val="003B05F2"/>
    <w:rsid w:val="003B0F3D"/>
    <w:rsid w:val="003B2040"/>
    <w:rsid w:val="003B23CB"/>
    <w:rsid w:val="003B2F13"/>
    <w:rsid w:val="003B3353"/>
    <w:rsid w:val="003B405E"/>
    <w:rsid w:val="003B446F"/>
    <w:rsid w:val="003B4712"/>
    <w:rsid w:val="003B47EB"/>
    <w:rsid w:val="003B48BA"/>
    <w:rsid w:val="003B4F62"/>
    <w:rsid w:val="003B57D3"/>
    <w:rsid w:val="003B59CA"/>
    <w:rsid w:val="003B6067"/>
    <w:rsid w:val="003B632D"/>
    <w:rsid w:val="003B6AA4"/>
    <w:rsid w:val="003C0135"/>
    <w:rsid w:val="003C018A"/>
    <w:rsid w:val="003C05AF"/>
    <w:rsid w:val="003C08E3"/>
    <w:rsid w:val="003C09B5"/>
    <w:rsid w:val="003C0B69"/>
    <w:rsid w:val="003C0F62"/>
    <w:rsid w:val="003C1176"/>
    <w:rsid w:val="003C1D9A"/>
    <w:rsid w:val="003C1F58"/>
    <w:rsid w:val="003C3232"/>
    <w:rsid w:val="003C36E1"/>
    <w:rsid w:val="003C48B1"/>
    <w:rsid w:val="003C57A7"/>
    <w:rsid w:val="003C5C2B"/>
    <w:rsid w:val="003C6943"/>
    <w:rsid w:val="003C6BD2"/>
    <w:rsid w:val="003C7294"/>
    <w:rsid w:val="003C792F"/>
    <w:rsid w:val="003C7ABD"/>
    <w:rsid w:val="003C7B20"/>
    <w:rsid w:val="003C7C3D"/>
    <w:rsid w:val="003D08F8"/>
    <w:rsid w:val="003D124B"/>
    <w:rsid w:val="003D18F3"/>
    <w:rsid w:val="003D21FB"/>
    <w:rsid w:val="003D2CC1"/>
    <w:rsid w:val="003D33F2"/>
    <w:rsid w:val="003D3725"/>
    <w:rsid w:val="003D4FFC"/>
    <w:rsid w:val="003D51ED"/>
    <w:rsid w:val="003D535A"/>
    <w:rsid w:val="003D569B"/>
    <w:rsid w:val="003D73EF"/>
    <w:rsid w:val="003D78B5"/>
    <w:rsid w:val="003E0204"/>
    <w:rsid w:val="003E0918"/>
    <w:rsid w:val="003E099F"/>
    <w:rsid w:val="003E244F"/>
    <w:rsid w:val="003E37AE"/>
    <w:rsid w:val="003E5165"/>
    <w:rsid w:val="003E62A6"/>
    <w:rsid w:val="003E648D"/>
    <w:rsid w:val="003E6731"/>
    <w:rsid w:val="003E695F"/>
    <w:rsid w:val="003E6C9B"/>
    <w:rsid w:val="003E6D39"/>
    <w:rsid w:val="003E709C"/>
    <w:rsid w:val="003E712E"/>
    <w:rsid w:val="003E726D"/>
    <w:rsid w:val="003E7B89"/>
    <w:rsid w:val="003F0AEC"/>
    <w:rsid w:val="003F0B30"/>
    <w:rsid w:val="003F0FA3"/>
    <w:rsid w:val="003F276B"/>
    <w:rsid w:val="003F2EA5"/>
    <w:rsid w:val="003F4241"/>
    <w:rsid w:val="003F4B8A"/>
    <w:rsid w:val="003F62BB"/>
    <w:rsid w:val="003F6FEC"/>
    <w:rsid w:val="003F7C45"/>
    <w:rsid w:val="00400241"/>
    <w:rsid w:val="0040132C"/>
    <w:rsid w:val="0040145D"/>
    <w:rsid w:val="004016C4"/>
    <w:rsid w:val="00401D95"/>
    <w:rsid w:val="0040231A"/>
    <w:rsid w:val="00403562"/>
    <w:rsid w:val="004049BD"/>
    <w:rsid w:val="00404EB5"/>
    <w:rsid w:val="00405085"/>
    <w:rsid w:val="00405D28"/>
    <w:rsid w:val="0040629D"/>
    <w:rsid w:val="004066FC"/>
    <w:rsid w:val="00407481"/>
    <w:rsid w:val="00407753"/>
    <w:rsid w:val="00407C10"/>
    <w:rsid w:val="00407E90"/>
    <w:rsid w:val="004113B4"/>
    <w:rsid w:val="00413323"/>
    <w:rsid w:val="00413B17"/>
    <w:rsid w:val="004141C0"/>
    <w:rsid w:val="00414503"/>
    <w:rsid w:val="00414827"/>
    <w:rsid w:val="004153B3"/>
    <w:rsid w:val="00415772"/>
    <w:rsid w:val="004161F8"/>
    <w:rsid w:val="004163FD"/>
    <w:rsid w:val="0041683D"/>
    <w:rsid w:val="00416C10"/>
    <w:rsid w:val="00417976"/>
    <w:rsid w:val="00417A0E"/>
    <w:rsid w:val="0042053A"/>
    <w:rsid w:val="004213D6"/>
    <w:rsid w:val="00421425"/>
    <w:rsid w:val="00421B37"/>
    <w:rsid w:val="004222D0"/>
    <w:rsid w:val="00422440"/>
    <w:rsid w:val="00422916"/>
    <w:rsid w:val="00423BA3"/>
    <w:rsid w:val="00424213"/>
    <w:rsid w:val="00424EF3"/>
    <w:rsid w:val="0042551C"/>
    <w:rsid w:val="004267DB"/>
    <w:rsid w:val="004268BB"/>
    <w:rsid w:val="00426A4B"/>
    <w:rsid w:val="00427130"/>
    <w:rsid w:val="00427704"/>
    <w:rsid w:val="00427AA3"/>
    <w:rsid w:val="00427BFF"/>
    <w:rsid w:val="00430724"/>
    <w:rsid w:val="0043097C"/>
    <w:rsid w:val="00431047"/>
    <w:rsid w:val="00431B86"/>
    <w:rsid w:val="004322C7"/>
    <w:rsid w:val="00432E06"/>
    <w:rsid w:val="00433065"/>
    <w:rsid w:val="004332B5"/>
    <w:rsid w:val="00433EED"/>
    <w:rsid w:val="00436196"/>
    <w:rsid w:val="004375A2"/>
    <w:rsid w:val="00437C96"/>
    <w:rsid w:val="004408EC"/>
    <w:rsid w:val="004416A4"/>
    <w:rsid w:val="00441ABA"/>
    <w:rsid w:val="00441E6A"/>
    <w:rsid w:val="00442AEE"/>
    <w:rsid w:val="00443C8F"/>
    <w:rsid w:val="00444C60"/>
    <w:rsid w:val="00444E35"/>
    <w:rsid w:val="0044502D"/>
    <w:rsid w:val="00445F6B"/>
    <w:rsid w:val="0044755D"/>
    <w:rsid w:val="00447CEF"/>
    <w:rsid w:val="00447E28"/>
    <w:rsid w:val="00450BA9"/>
    <w:rsid w:val="00450F23"/>
    <w:rsid w:val="004515EB"/>
    <w:rsid w:val="0045169A"/>
    <w:rsid w:val="00452481"/>
    <w:rsid w:val="004528FA"/>
    <w:rsid w:val="00453DC8"/>
    <w:rsid w:val="00455165"/>
    <w:rsid w:val="004576F7"/>
    <w:rsid w:val="00457804"/>
    <w:rsid w:val="00460AEF"/>
    <w:rsid w:val="00460C52"/>
    <w:rsid w:val="00461108"/>
    <w:rsid w:val="0046209A"/>
    <w:rsid w:val="00462279"/>
    <w:rsid w:val="004626CD"/>
    <w:rsid w:val="00463182"/>
    <w:rsid w:val="004646BF"/>
    <w:rsid w:val="00464744"/>
    <w:rsid w:val="0046535F"/>
    <w:rsid w:val="004665A8"/>
    <w:rsid w:val="004665E3"/>
    <w:rsid w:val="0046760F"/>
    <w:rsid w:val="00471935"/>
    <w:rsid w:val="0047237D"/>
    <w:rsid w:val="00472561"/>
    <w:rsid w:val="004731F1"/>
    <w:rsid w:val="00473AE0"/>
    <w:rsid w:val="00473EB5"/>
    <w:rsid w:val="00474021"/>
    <w:rsid w:val="004743F8"/>
    <w:rsid w:val="0047456B"/>
    <w:rsid w:val="00475251"/>
    <w:rsid w:val="00475D19"/>
    <w:rsid w:val="00477400"/>
    <w:rsid w:val="0048088E"/>
    <w:rsid w:val="00480BC8"/>
    <w:rsid w:val="00481265"/>
    <w:rsid w:val="004814BF"/>
    <w:rsid w:val="00482649"/>
    <w:rsid w:val="00483630"/>
    <w:rsid w:val="004836EA"/>
    <w:rsid w:val="00483A13"/>
    <w:rsid w:val="00483F72"/>
    <w:rsid w:val="00485215"/>
    <w:rsid w:val="00485340"/>
    <w:rsid w:val="0048587E"/>
    <w:rsid w:val="00485B57"/>
    <w:rsid w:val="00486200"/>
    <w:rsid w:val="004868C8"/>
    <w:rsid w:val="00486C9C"/>
    <w:rsid w:val="00486D6A"/>
    <w:rsid w:val="00487815"/>
    <w:rsid w:val="00487830"/>
    <w:rsid w:val="00487C2B"/>
    <w:rsid w:val="004900FF"/>
    <w:rsid w:val="00490561"/>
    <w:rsid w:val="0049125B"/>
    <w:rsid w:val="004914B6"/>
    <w:rsid w:val="00491C58"/>
    <w:rsid w:val="00491FAB"/>
    <w:rsid w:val="00492081"/>
    <w:rsid w:val="0049227D"/>
    <w:rsid w:val="0049297D"/>
    <w:rsid w:val="004929F2"/>
    <w:rsid w:val="00492F1A"/>
    <w:rsid w:val="00492F5E"/>
    <w:rsid w:val="00493E9D"/>
    <w:rsid w:val="00495A03"/>
    <w:rsid w:val="00495E28"/>
    <w:rsid w:val="00497079"/>
    <w:rsid w:val="00497450"/>
    <w:rsid w:val="00497F49"/>
    <w:rsid w:val="004A1135"/>
    <w:rsid w:val="004A1BBA"/>
    <w:rsid w:val="004A23C2"/>
    <w:rsid w:val="004A2F25"/>
    <w:rsid w:val="004A3336"/>
    <w:rsid w:val="004A3E3C"/>
    <w:rsid w:val="004A4069"/>
    <w:rsid w:val="004A42E5"/>
    <w:rsid w:val="004A455B"/>
    <w:rsid w:val="004A4847"/>
    <w:rsid w:val="004A484E"/>
    <w:rsid w:val="004A5562"/>
    <w:rsid w:val="004A6513"/>
    <w:rsid w:val="004A7CCE"/>
    <w:rsid w:val="004B0440"/>
    <w:rsid w:val="004B0E6D"/>
    <w:rsid w:val="004B16E8"/>
    <w:rsid w:val="004B19EA"/>
    <w:rsid w:val="004B202D"/>
    <w:rsid w:val="004B2CA5"/>
    <w:rsid w:val="004B412E"/>
    <w:rsid w:val="004B5B92"/>
    <w:rsid w:val="004B5DB7"/>
    <w:rsid w:val="004B6250"/>
    <w:rsid w:val="004B66F3"/>
    <w:rsid w:val="004B68EC"/>
    <w:rsid w:val="004B759C"/>
    <w:rsid w:val="004B76B1"/>
    <w:rsid w:val="004C0057"/>
    <w:rsid w:val="004C02E0"/>
    <w:rsid w:val="004C030A"/>
    <w:rsid w:val="004C0541"/>
    <w:rsid w:val="004C07EB"/>
    <w:rsid w:val="004C0BBF"/>
    <w:rsid w:val="004C1D08"/>
    <w:rsid w:val="004C1D55"/>
    <w:rsid w:val="004C2836"/>
    <w:rsid w:val="004C2C46"/>
    <w:rsid w:val="004C405B"/>
    <w:rsid w:val="004C47DF"/>
    <w:rsid w:val="004C54CA"/>
    <w:rsid w:val="004C686E"/>
    <w:rsid w:val="004C6CE2"/>
    <w:rsid w:val="004C7214"/>
    <w:rsid w:val="004C7235"/>
    <w:rsid w:val="004C753B"/>
    <w:rsid w:val="004C7955"/>
    <w:rsid w:val="004D0213"/>
    <w:rsid w:val="004D047F"/>
    <w:rsid w:val="004D0B63"/>
    <w:rsid w:val="004D0FA5"/>
    <w:rsid w:val="004D1529"/>
    <w:rsid w:val="004D29F1"/>
    <w:rsid w:val="004D29F3"/>
    <w:rsid w:val="004D2E04"/>
    <w:rsid w:val="004D2F51"/>
    <w:rsid w:val="004D3D96"/>
    <w:rsid w:val="004D40BB"/>
    <w:rsid w:val="004D4854"/>
    <w:rsid w:val="004D4EA1"/>
    <w:rsid w:val="004D5316"/>
    <w:rsid w:val="004D575C"/>
    <w:rsid w:val="004D650F"/>
    <w:rsid w:val="004D679F"/>
    <w:rsid w:val="004D7269"/>
    <w:rsid w:val="004D74EE"/>
    <w:rsid w:val="004D7F01"/>
    <w:rsid w:val="004E0140"/>
    <w:rsid w:val="004E08FC"/>
    <w:rsid w:val="004E0B6E"/>
    <w:rsid w:val="004E2133"/>
    <w:rsid w:val="004E2BD2"/>
    <w:rsid w:val="004E34BB"/>
    <w:rsid w:val="004E37C3"/>
    <w:rsid w:val="004E395B"/>
    <w:rsid w:val="004E3A3B"/>
    <w:rsid w:val="004E3C7D"/>
    <w:rsid w:val="004E4CD7"/>
    <w:rsid w:val="004E5EDB"/>
    <w:rsid w:val="004E60FB"/>
    <w:rsid w:val="004E73A5"/>
    <w:rsid w:val="004E758A"/>
    <w:rsid w:val="004F09DD"/>
    <w:rsid w:val="004F1C42"/>
    <w:rsid w:val="004F23CE"/>
    <w:rsid w:val="004F2C5A"/>
    <w:rsid w:val="004F3870"/>
    <w:rsid w:val="004F3E01"/>
    <w:rsid w:val="004F3E31"/>
    <w:rsid w:val="004F409E"/>
    <w:rsid w:val="004F4541"/>
    <w:rsid w:val="004F4601"/>
    <w:rsid w:val="004F779C"/>
    <w:rsid w:val="004F7846"/>
    <w:rsid w:val="005000A6"/>
    <w:rsid w:val="005000D4"/>
    <w:rsid w:val="005004EE"/>
    <w:rsid w:val="005007AB"/>
    <w:rsid w:val="0050087E"/>
    <w:rsid w:val="00500B1E"/>
    <w:rsid w:val="00500B24"/>
    <w:rsid w:val="00500C17"/>
    <w:rsid w:val="005027F4"/>
    <w:rsid w:val="005036C2"/>
    <w:rsid w:val="0050492E"/>
    <w:rsid w:val="005051C9"/>
    <w:rsid w:val="00505E48"/>
    <w:rsid w:val="00506389"/>
    <w:rsid w:val="005067F4"/>
    <w:rsid w:val="00506FF7"/>
    <w:rsid w:val="0051084C"/>
    <w:rsid w:val="00510A69"/>
    <w:rsid w:val="00510CAF"/>
    <w:rsid w:val="0051114C"/>
    <w:rsid w:val="00511597"/>
    <w:rsid w:val="0051164A"/>
    <w:rsid w:val="00511915"/>
    <w:rsid w:val="005119A4"/>
    <w:rsid w:val="00511AC6"/>
    <w:rsid w:val="00511FD1"/>
    <w:rsid w:val="00512235"/>
    <w:rsid w:val="005128C5"/>
    <w:rsid w:val="00512905"/>
    <w:rsid w:val="00512D8B"/>
    <w:rsid w:val="00512E85"/>
    <w:rsid w:val="005136C7"/>
    <w:rsid w:val="0051478B"/>
    <w:rsid w:val="00514C1C"/>
    <w:rsid w:val="0051524F"/>
    <w:rsid w:val="0051559D"/>
    <w:rsid w:val="0051566A"/>
    <w:rsid w:val="00515D7B"/>
    <w:rsid w:val="00515DD8"/>
    <w:rsid w:val="005166E9"/>
    <w:rsid w:val="00516C92"/>
    <w:rsid w:val="00517917"/>
    <w:rsid w:val="0052009E"/>
    <w:rsid w:val="005200F7"/>
    <w:rsid w:val="00520AB5"/>
    <w:rsid w:val="00520D7F"/>
    <w:rsid w:val="00521596"/>
    <w:rsid w:val="00522066"/>
    <w:rsid w:val="005222FA"/>
    <w:rsid w:val="005247B4"/>
    <w:rsid w:val="00525059"/>
    <w:rsid w:val="00525740"/>
    <w:rsid w:val="00525E59"/>
    <w:rsid w:val="005278EE"/>
    <w:rsid w:val="00530A21"/>
    <w:rsid w:val="005310DD"/>
    <w:rsid w:val="00531851"/>
    <w:rsid w:val="005318CC"/>
    <w:rsid w:val="0053199E"/>
    <w:rsid w:val="00531D65"/>
    <w:rsid w:val="005321E1"/>
    <w:rsid w:val="00532255"/>
    <w:rsid w:val="00532FAE"/>
    <w:rsid w:val="005334E4"/>
    <w:rsid w:val="005349B1"/>
    <w:rsid w:val="00535AA4"/>
    <w:rsid w:val="00535DA3"/>
    <w:rsid w:val="005364A6"/>
    <w:rsid w:val="005364AE"/>
    <w:rsid w:val="0053652C"/>
    <w:rsid w:val="0053659B"/>
    <w:rsid w:val="005368A0"/>
    <w:rsid w:val="005374BC"/>
    <w:rsid w:val="0054069B"/>
    <w:rsid w:val="00540EC2"/>
    <w:rsid w:val="0054101E"/>
    <w:rsid w:val="005427DC"/>
    <w:rsid w:val="00543177"/>
    <w:rsid w:val="00543188"/>
    <w:rsid w:val="005432F0"/>
    <w:rsid w:val="00543367"/>
    <w:rsid w:val="00543741"/>
    <w:rsid w:val="0054384E"/>
    <w:rsid w:val="00543BFA"/>
    <w:rsid w:val="0054655E"/>
    <w:rsid w:val="00546601"/>
    <w:rsid w:val="00546A60"/>
    <w:rsid w:val="00547D9C"/>
    <w:rsid w:val="00547DA1"/>
    <w:rsid w:val="005501BC"/>
    <w:rsid w:val="0055068D"/>
    <w:rsid w:val="00551276"/>
    <w:rsid w:val="00551AB1"/>
    <w:rsid w:val="00551BAB"/>
    <w:rsid w:val="00551C53"/>
    <w:rsid w:val="0055221B"/>
    <w:rsid w:val="005526DC"/>
    <w:rsid w:val="005535B7"/>
    <w:rsid w:val="00554BFC"/>
    <w:rsid w:val="00554CAC"/>
    <w:rsid w:val="0055513C"/>
    <w:rsid w:val="005553C4"/>
    <w:rsid w:val="005558FA"/>
    <w:rsid w:val="0055637C"/>
    <w:rsid w:val="00556B00"/>
    <w:rsid w:val="0055753F"/>
    <w:rsid w:val="00557618"/>
    <w:rsid w:val="00557782"/>
    <w:rsid w:val="00560866"/>
    <w:rsid w:val="00560C90"/>
    <w:rsid w:val="00560C94"/>
    <w:rsid w:val="00560FD5"/>
    <w:rsid w:val="0056101E"/>
    <w:rsid w:val="00561C0A"/>
    <w:rsid w:val="00562765"/>
    <w:rsid w:val="0056283B"/>
    <w:rsid w:val="0056291C"/>
    <w:rsid w:val="00563E82"/>
    <w:rsid w:val="00564289"/>
    <w:rsid w:val="005643FD"/>
    <w:rsid w:val="005646BB"/>
    <w:rsid w:val="005647F9"/>
    <w:rsid w:val="00564B19"/>
    <w:rsid w:val="00564C4B"/>
    <w:rsid w:val="0056586F"/>
    <w:rsid w:val="00565A63"/>
    <w:rsid w:val="00566588"/>
    <w:rsid w:val="0056662E"/>
    <w:rsid w:val="00566A26"/>
    <w:rsid w:val="00566F23"/>
    <w:rsid w:val="00566F6B"/>
    <w:rsid w:val="00567012"/>
    <w:rsid w:val="00567BA7"/>
    <w:rsid w:val="00567EA5"/>
    <w:rsid w:val="0057004B"/>
    <w:rsid w:val="00570514"/>
    <w:rsid w:val="005705B3"/>
    <w:rsid w:val="00571111"/>
    <w:rsid w:val="00571A41"/>
    <w:rsid w:val="0057216B"/>
    <w:rsid w:val="005721D0"/>
    <w:rsid w:val="0057275D"/>
    <w:rsid w:val="00572919"/>
    <w:rsid w:val="00572C41"/>
    <w:rsid w:val="0057329C"/>
    <w:rsid w:val="00573AD5"/>
    <w:rsid w:val="00573D1A"/>
    <w:rsid w:val="00574103"/>
    <w:rsid w:val="00574DA2"/>
    <w:rsid w:val="00575B68"/>
    <w:rsid w:val="00575DA6"/>
    <w:rsid w:val="00576423"/>
    <w:rsid w:val="00577104"/>
    <w:rsid w:val="0057737F"/>
    <w:rsid w:val="005800A9"/>
    <w:rsid w:val="00580488"/>
    <w:rsid w:val="005805A0"/>
    <w:rsid w:val="0058074D"/>
    <w:rsid w:val="00580FD1"/>
    <w:rsid w:val="00581A62"/>
    <w:rsid w:val="00581AA4"/>
    <w:rsid w:val="00582FAD"/>
    <w:rsid w:val="00583489"/>
    <w:rsid w:val="0058391F"/>
    <w:rsid w:val="00583A80"/>
    <w:rsid w:val="00584188"/>
    <w:rsid w:val="00584E33"/>
    <w:rsid w:val="00585432"/>
    <w:rsid w:val="00585AD4"/>
    <w:rsid w:val="00585E5C"/>
    <w:rsid w:val="00586819"/>
    <w:rsid w:val="00586E9A"/>
    <w:rsid w:val="00587419"/>
    <w:rsid w:val="00590D38"/>
    <w:rsid w:val="00590FE4"/>
    <w:rsid w:val="00591D9C"/>
    <w:rsid w:val="0059282D"/>
    <w:rsid w:val="005932C1"/>
    <w:rsid w:val="00593440"/>
    <w:rsid w:val="005936BF"/>
    <w:rsid w:val="00593DE5"/>
    <w:rsid w:val="0059592B"/>
    <w:rsid w:val="00596617"/>
    <w:rsid w:val="00596CC4"/>
    <w:rsid w:val="00597057"/>
    <w:rsid w:val="005973A6"/>
    <w:rsid w:val="005975DC"/>
    <w:rsid w:val="00597AAB"/>
    <w:rsid w:val="00597D8B"/>
    <w:rsid w:val="005A0742"/>
    <w:rsid w:val="005A19CD"/>
    <w:rsid w:val="005A1C30"/>
    <w:rsid w:val="005A1CC6"/>
    <w:rsid w:val="005A31C9"/>
    <w:rsid w:val="005A3295"/>
    <w:rsid w:val="005A46FF"/>
    <w:rsid w:val="005A4AFF"/>
    <w:rsid w:val="005A65F0"/>
    <w:rsid w:val="005A7758"/>
    <w:rsid w:val="005A7B0E"/>
    <w:rsid w:val="005A7DB8"/>
    <w:rsid w:val="005B011E"/>
    <w:rsid w:val="005B028B"/>
    <w:rsid w:val="005B0764"/>
    <w:rsid w:val="005B2E84"/>
    <w:rsid w:val="005B352F"/>
    <w:rsid w:val="005B36DA"/>
    <w:rsid w:val="005B3E66"/>
    <w:rsid w:val="005B3FE8"/>
    <w:rsid w:val="005B436C"/>
    <w:rsid w:val="005B477E"/>
    <w:rsid w:val="005B4F97"/>
    <w:rsid w:val="005B50B0"/>
    <w:rsid w:val="005B52A4"/>
    <w:rsid w:val="005B5CA4"/>
    <w:rsid w:val="005B6E01"/>
    <w:rsid w:val="005B7476"/>
    <w:rsid w:val="005B7688"/>
    <w:rsid w:val="005B7849"/>
    <w:rsid w:val="005B7B0E"/>
    <w:rsid w:val="005C0DFA"/>
    <w:rsid w:val="005C0FF0"/>
    <w:rsid w:val="005C219B"/>
    <w:rsid w:val="005C3575"/>
    <w:rsid w:val="005C462C"/>
    <w:rsid w:val="005C492F"/>
    <w:rsid w:val="005C4B4C"/>
    <w:rsid w:val="005C5409"/>
    <w:rsid w:val="005C55EF"/>
    <w:rsid w:val="005C55F1"/>
    <w:rsid w:val="005C5D9A"/>
    <w:rsid w:val="005C628C"/>
    <w:rsid w:val="005C6765"/>
    <w:rsid w:val="005C69AC"/>
    <w:rsid w:val="005C722E"/>
    <w:rsid w:val="005C7576"/>
    <w:rsid w:val="005C7759"/>
    <w:rsid w:val="005C7AD4"/>
    <w:rsid w:val="005D01A4"/>
    <w:rsid w:val="005D0376"/>
    <w:rsid w:val="005D0B13"/>
    <w:rsid w:val="005D0B95"/>
    <w:rsid w:val="005D15AE"/>
    <w:rsid w:val="005D1A7B"/>
    <w:rsid w:val="005D1EDD"/>
    <w:rsid w:val="005D456F"/>
    <w:rsid w:val="005D45B3"/>
    <w:rsid w:val="005D4AB3"/>
    <w:rsid w:val="005D4CEB"/>
    <w:rsid w:val="005D5344"/>
    <w:rsid w:val="005D5DA8"/>
    <w:rsid w:val="005D61EB"/>
    <w:rsid w:val="005E0AE0"/>
    <w:rsid w:val="005E518C"/>
    <w:rsid w:val="005E5F9A"/>
    <w:rsid w:val="005E6628"/>
    <w:rsid w:val="005E77F2"/>
    <w:rsid w:val="005F02B8"/>
    <w:rsid w:val="005F043C"/>
    <w:rsid w:val="005F0444"/>
    <w:rsid w:val="005F04E6"/>
    <w:rsid w:val="005F1138"/>
    <w:rsid w:val="005F13C8"/>
    <w:rsid w:val="005F17EC"/>
    <w:rsid w:val="005F1C2F"/>
    <w:rsid w:val="005F2F3F"/>
    <w:rsid w:val="005F39D5"/>
    <w:rsid w:val="005F3AB5"/>
    <w:rsid w:val="005F3E05"/>
    <w:rsid w:val="005F3E08"/>
    <w:rsid w:val="005F43B9"/>
    <w:rsid w:val="005F4BBF"/>
    <w:rsid w:val="005F55D6"/>
    <w:rsid w:val="005F5CA9"/>
    <w:rsid w:val="005F68CB"/>
    <w:rsid w:val="005F6BDE"/>
    <w:rsid w:val="005F7C62"/>
    <w:rsid w:val="005F7F90"/>
    <w:rsid w:val="00600242"/>
    <w:rsid w:val="00601974"/>
    <w:rsid w:val="00602652"/>
    <w:rsid w:val="00602B51"/>
    <w:rsid w:val="006033E3"/>
    <w:rsid w:val="00605FC7"/>
    <w:rsid w:val="00606218"/>
    <w:rsid w:val="00606CA3"/>
    <w:rsid w:val="00606E91"/>
    <w:rsid w:val="00607018"/>
    <w:rsid w:val="006077ED"/>
    <w:rsid w:val="00607C5F"/>
    <w:rsid w:val="00610954"/>
    <w:rsid w:val="00610CBE"/>
    <w:rsid w:val="00610E1F"/>
    <w:rsid w:val="0061321C"/>
    <w:rsid w:val="00614C5C"/>
    <w:rsid w:val="00614CA1"/>
    <w:rsid w:val="00615C2C"/>
    <w:rsid w:val="00616D42"/>
    <w:rsid w:val="00617297"/>
    <w:rsid w:val="0062038A"/>
    <w:rsid w:val="006203A8"/>
    <w:rsid w:val="00620E59"/>
    <w:rsid w:val="00621132"/>
    <w:rsid w:val="00622656"/>
    <w:rsid w:val="00622A77"/>
    <w:rsid w:val="00622C05"/>
    <w:rsid w:val="0062386E"/>
    <w:rsid w:val="00623D9A"/>
    <w:rsid w:val="00623F01"/>
    <w:rsid w:val="006242FB"/>
    <w:rsid w:val="00624738"/>
    <w:rsid w:val="0062670B"/>
    <w:rsid w:val="00626E2D"/>
    <w:rsid w:val="006272DE"/>
    <w:rsid w:val="00627A55"/>
    <w:rsid w:val="00627D94"/>
    <w:rsid w:val="00630490"/>
    <w:rsid w:val="006304D3"/>
    <w:rsid w:val="00630A33"/>
    <w:rsid w:val="00630AB9"/>
    <w:rsid w:val="00630B42"/>
    <w:rsid w:val="006310FC"/>
    <w:rsid w:val="006313B1"/>
    <w:rsid w:val="00631688"/>
    <w:rsid w:val="006316A4"/>
    <w:rsid w:val="006320D8"/>
    <w:rsid w:val="00632540"/>
    <w:rsid w:val="00632E88"/>
    <w:rsid w:val="0063454C"/>
    <w:rsid w:val="00634DBB"/>
    <w:rsid w:val="00635744"/>
    <w:rsid w:val="00635EA5"/>
    <w:rsid w:val="00637C26"/>
    <w:rsid w:val="00640732"/>
    <w:rsid w:val="006413B3"/>
    <w:rsid w:val="0064185E"/>
    <w:rsid w:val="00642072"/>
    <w:rsid w:val="00642088"/>
    <w:rsid w:val="00643DBD"/>
    <w:rsid w:val="006440ED"/>
    <w:rsid w:val="0064467C"/>
    <w:rsid w:val="00644F1E"/>
    <w:rsid w:val="00645213"/>
    <w:rsid w:val="00645293"/>
    <w:rsid w:val="006468CB"/>
    <w:rsid w:val="006469D9"/>
    <w:rsid w:val="00646CF8"/>
    <w:rsid w:val="00650A2D"/>
    <w:rsid w:val="00651B78"/>
    <w:rsid w:val="00652263"/>
    <w:rsid w:val="0065238F"/>
    <w:rsid w:val="00652881"/>
    <w:rsid w:val="00652985"/>
    <w:rsid w:val="006533AE"/>
    <w:rsid w:val="00653C38"/>
    <w:rsid w:val="006551AE"/>
    <w:rsid w:val="00657424"/>
    <w:rsid w:val="00661974"/>
    <w:rsid w:val="006623E2"/>
    <w:rsid w:val="006624E3"/>
    <w:rsid w:val="00663E63"/>
    <w:rsid w:val="006640F9"/>
    <w:rsid w:val="00664551"/>
    <w:rsid w:val="00664685"/>
    <w:rsid w:val="00664B95"/>
    <w:rsid w:val="00665D5F"/>
    <w:rsid w:val="00665FB2"/>
    <w:rsid w:val="006676A0"/>
    <w:rsid w:val="006703A4"/>
    <w:rsid w:val="006704F3"/>
    <w:rsid w:val="00670857"/>
    <w:rsid w:val="00670E4B"/>
    <w:rsid w:val="00671124"/>
    <w:rsid w:val="006727B0"/>
    <w:rsid w:val="00672C9E"/>
    <w:rsid w:val="0067307E"/>
    <w:rsid w:val="0067333F"/>
    <w:rsid w:val="006739C0"/>
    <w:rsid w:val="00673F6D"/>
    <w:rsid w:val="00674850"/>
    <w:rsid w:val="00675116"/>
    <w:rsid w:val="00675D03"/>
    <w:rsid w:val="00676016"/>
    <w:rsid w:val="00676462"/>
    <w:rsid w:val="00676EA7"/>
    <w:rsid w:val="006805DF"/>
    <w:rsid w:val="00681B97"/>
    <w:rsid w:val="00682EC2"/>
    <w:rsid w:val="00683F61"/>
    <w:rsid w:val="00686A36"/>
    <w:rsid w:val="00687AD5"/>
    <w:rsid w:val="00687FBD"/>
    <w:rsid w:val="0069211A"/>
    <w:rsid w:val="00692775"/>
    <w:rsid w:val="00692B81"/>
    <w:rsid w:val="00692C4F"/>
    <w:rsid w:val="00693B90"/>
    <w:rsid w:val="00693F2C"/>
    <w:rsid w:val="006949D2"/>
    <w:rsid w:val="00694C5F"/>
    <w:rsid w:val="00695204"/>
    <w:rsid w:val="00695251"/>
    <w:rsid w:val="006953EF"/>
    <w:rsid w:val="00695689"/>
    <w:rsid w:val="00695ADE"/>
    <w:rsid w:val="00695C0D"/>
    <w:rsid w:val="00695CAE"/>
    <w:rsid w:val="00696356"/>
    <w:rsid w:val="006968EA"/>
    <w:rsid w:val="00696CA0"/>
    <w:rsid w:val="0069787A"/>
    <w:rsid w:val="00697C5C"/>
    <w:rsid w:val="006A015D"/>
    <w:rsid w:val="006A0D5F"/>
    <w:rsid w:val="006A28BF"/>
    <w:rsid w:val="006A2EA3"/>
    <w:rsid w:val="006A303F"/>
    <w:rsid w:val="006A3CC1"/>
    <w:rsid w:val="006A3F9D"/>
    <w:rsid w:val="006A4899"/>
    <w:rsid w:val="006A62E1"/>
    <w:rsid w:val="006A6566"/>
    <w:rsid w:val="006A72C6"/>
    <w:rsid w:val="006A7310"/>
    <w:rsid w:val="006B02DA"/>
    <w:rsid w:val="006B08FB"/>
    <w:rsid w:val="006B0A5A"/>
    <w:rsid w:val="006B14BF"/>
    <w:rsid w:val="006B2065"/>
    <w:rsid w:val="006B275B"/>
    <w:rsid w:val="006B2D79"/>
    <w:rsid w:val="006B2F8B"/>
    <w:rsid w:val="006B30BF"/>
    <w:rsid w:val="006B38C6"/>
    <w:rsid w:val="006B3940"/>
    <w:rsid w:val="006B45A6"/>
    <w:rsid w:val="006B47D3"/>
    <w:rsid w:val="006B62F0"/>
    <w:rsid w:val="006B6C6B"/>
    <w:rsid w:val="006C09B6"/>
    <w:rsid w:val="006C111B"/>
    <w:rsid w:val="006C168D"/>
    <w:rsid w:val="006C2BF5"/>
    <w:rsid w:val="006C48EF"/>
    <w:rsid w:val="006C4A40"/>
    <w:rsid w:val="006C4E56"/>
    <w:rsid w:val="006C5CE0"/>
    <w:rsid w:val="006C5E49"/>
    <w:rsid w:val="006C5EDB"/>
    <w:rsid w:val="006C61CD"/>
    <w:rsid w:val="006C642C"/>
    <w:rsid w:val="006C6FC6"/>
    <w:rsid w:val="006C7462"/>
    <w:rsid w:val="006C78D5"/>
    <w:rsid w:val="006C7BB9"/>
    <w:rsid w:val="006C7D50"/>
    <w:rsid w:val="006D02D9"/>
    <w:rsid w:val="006D141C"/>
    <w:rsid w:val="006D1994"/>
    <w:rsid w:val="006D2425"/>
    <w:rsid w:val="006D2CF3"/>
    <w:rsid w:val="006D2D08"/>
    <w:rsid w:val="006D2F35"/>
    <w:rsid w:val="006D3228"/>
    <w:rsid w:val="006D349E"/>
    <w:rsid w:val="006D3B4D"/>
    <w:rsid w:val="006D41EF"/>
    <w:rsid w:val="006D53AA"/>
    <w:rsid w:val="006D6993"/>
    <w:rsid w:val="006D70F0"/>
    <w:rsid w:val="006D78AA"/>
    <w:rsid w:val="006E0D09"/>
    <w:rsid w:val="006E1F1D"/>
    <w:rsid w:val="006E241F"/>
    <w:rsid w:val="006E24EE"/>
    <w:rsid w:val="006E25BD"/>
    <w:rsid w:val="006E3379"/>
    <w:rsid w:val="006E34B7"/>
    <w:rsid w:val="006E36B8"/>
    <w:rsid w:val="006E3874"/>
    <w:rsid w:val="006E5585"/>
    <w:rsid w:val="006E5842"/>
    <w:rsid w:val="006E59EA"/>
    <w:rsid w:val="006E5BAC"/>
    <w:rsid w:val="006E5E32"/>
    <w:rsid w:val="006E62D5"/>
    <w:rsid w:val="006E633A"/>
    <w:rsid w:val="006E6A14"/>
    <w:rsid w:val="006E6B16"/>
    <w:rsid w:val="006E6DE8"/>
    <w:rsid w:val="006E780C"/>
    <w:rsid w:val="006F0823"/>
    <w:rsid w:val="006F0BA7"/>
    <w:rsid w:val="006F0EB9"/>
    <w:rsid w:val="006F0F01"/>
    <w:rsid w:val="006F174D"/>
    <w:rsid w:val="006F1F41"/>
    <w:rsid w:val="006F3222"/>
    <w:rsid w:val="006F32EF"/>
    <w:rsid w:val="006F3615"/>
    <w:rsid w:val="006F3788"/>
    <w:rsid w:val="006F3C54"/>
    <w:rsid w:val="006F4CD8"/>
    <w:rsid w:val="006F53D9"/>
    <w:rsid w:val="006F5812"/>
    <w:rsid w:val="006F609A"/>
    <w:rsid w:val="006F6E7A"/>
    <w:rsid w:val="006F7FDA"/>
    <w:rsid w:val="007004DC"/>
    <w:rsid w:val="00701093"/>
    <w:rsid w:val="007018D6"/>
    <w:rsid w:val="007022C4"/>
    <w:rsid w:val="007026E9"/>
    <w:rsid w:val="00703C8B"/>
    <w:rsid w:val="00703E8A"/>
    <w:rsid w:val="00704372"/>
    <w:rsid w:val="00704F60"/>
    <w:rsid w:val="00706045"/>
    <w:rsid w:val="00706EA3"/>
    <w:rsid w:val="007078BE"/>
    <w:rsid w:val="00710BF6"/>
    <w:rsid w:val="00711522"/>
    <w:rsid w:val="007118A6"/>
    <w:rsid w:val="007124FE"/>
    <w:rsid w:val="00712533"/>
    <w:rsid w:val="00713186"/>
    <w:rsid w:val="00713757"/>
    <w:rsid w:val="00713758"/>
    <w:rsid w:val="007137D8"/>
    <w:rsid w:val="00714064"/>
    <w:rsid w:val="00715517"/>
    <w:rsid w:val="00716A38"/>
    <w:rsid w:val="00717772"/>
    <w:rsid w:val="00717BDC"/>
    <w:rsid w:val="007200E5"/>
    <w:rsid w:val="00720622"/>
    <w:rsid w:val="00720C17"/>
    <w:rsid w:val="00721AF1"/>
    <w:rsid w:val="0072280F"/>
    <w:rsid w:val="00722B5E"/>
    <w:rsid w:val="007230F1"/>
    <w:rsid w:val="007235F5"/>
    <w:rsid w:val="00723B2C"/>
    <w:rsid w:val="007253CC"/>
    <w:rsid w:val="00725668"/>
    <w:rsid w:val="00726F5A"/>
    <w:rsid w:val="0072708F"/>
    <w:rsid w:val="00730172"/>
    <w:rsid w:val="00730E81"/>
    <w:rsid w:val="00731000"/>
    <w:rsid w:val="00731204"/>
    <w:rsid w:val="007319BC"/>
    <w:rsid w:val="0073222B"/>
    <w:rsid w:val="00732582"/>
    <w:rsid w:val="00732D1D"/>
    <w:rsid w:val="00732F5C"/>
    <w:rsid w:val="007332C4"/>
    <w:rsid w:val="00733C68"/>
    <w:rsid w:val="00734381"/>
    <w:rsid w:val="00735EAA"/>
    <w:rsid w:val="00736034"/>
    <w:rsid w:val="0073681C"/>
    <w:rsid w:val="0073725B"/>
    <w:rsid w:val="00737E96"/>
    <w:rsid w:val="00740189"/>
    <w:rsid w:val="0074033C"/>
    <w:rsid w:val="0074050E"/>
    <w:rsid w:val="0074065B"/>
    <w:rsid w:val="00740B66"/>
    <w:rsid w:val="00741AF8"/>
    <w:rsid w:val="00741EBE"/>
    <w:rsid w:val="00742112"/>
    <w:rsid w:val="00742181"/>
    <w:rsid w:val="00742218"/>
    <w:rsid w:val="007424EC"/>
    <w:rsid w:val="00742728"/>
    <w:rsid w:val="00742AB8"/>
    <w:rsid w:val="00742EDA"/>
    <w:rsid w:val="007440FA"/>
    <w:rsid w:val="00744201"/>
    <w:rsid w:val="00745FCE"/>
    <w:rsid w:val="00746130"/>
    <w:rsid w:val="00746A40"/>
    <w:rsid w:val="00746E6A"/>
    <w:rsid w:val="00747598"/>
    <w:rsid w:val="00750358"/>
    <w:rsid w:val="007520A3"/>
    <w:rsid w:val="00752529"/>
    <w:rsid w:val="007526F5"/>
    <w:rsid w:val="00754717"/>
    <w:rsid w:val="00754836"/>
    <w:rsid w:val="00754FB9"/>
    <w:rsid w:val="00755CDF"/>
    <w:rsid w:val="00756868"/>
    <w:rsid w:val="00757042"/>
    <w:rsid w:val="007573AF"/>
    <w:rsid w:val="00757588"/>
    <w:rsid w:val="00757635"/>
    <w:rsid w:val="007578C3"/>
    <w:rsid w:val="00757A4C"/>
    <w:rsid w:val="00760895"/>
    <w:rsid w:val="00762144"/>
    <w:rsid w:val="0076230F"/>
    <w:rsid w:val="00762ABF"/>
    <w:rsid w:val="00762C75"/>
    <w:rsid w:val="00762F29"/>
    <w:rsid w:val="00764A94"/>
    <w:rsid w:val="00764B26"/>
    <w:rsid w:val="00764EA6"/>
    <w:rsid w:val="0076511D"/>
    <w:rsid w:val="007651A9"/>
    <w:rsid w:val="007651E5"/>
    <w:rsid w:val="0076524F"/>
    <w:rsid w:val="00765584"/>
    <w:rsid w:val="007665B2"/>
    <w:rsid w:val="00766B12"/>
    <w:rsid w:val="007670DC"/>
    <w:rsid w:val="00767356"/>
    <w:rsid w:val="00770F2A"/>
    <w:rsid w:val="0077111A"/>
    <w:rsid w:val="00771F95"/>
    <w:rsid w:val="0077213A"/>
    <w:rsid w:val="007721E2"/>
    <w:rsid w:val="00772272"/>
    <w:rsid w:val="0077369F"/>
    <w:rsid w:val="0077463A"/>
    <w:rsid w:val="00774AB3"/>
    <w:rsid w:val="00774D0F"/>
    <w:rsid w:val="00774D7B"/>
    <w:rsid w:val="007756ED"/>
    <w:rsid w:val="0077589D"/>
    <w:rsid w:val="0077617F"/>
    <w:rsid w:val="00776A3D"/>
    <w:rsid w:val="0077707A"/>
    <w:rsid w:val="007776BF"/>
    <w:rsid w:val="00780B65"/>
    <w:rsid w:val="007819A1"/>
    <w:rsid w:val="00782B2A"/>
    <w:rsid w:val="00783BA5"/>
    <w:rsid w:val="00784F9E"/>
    <w:rsid w:val="0078533C"/>
    <w:rsid w:val="007857FB"/>
    <w:rsid w:val="007863A3"/>
    <w:rsid w:val="007870FC"/>
    <w:rsid w:val="00787CD0"/>
    <w:rsid w:val="00787FF8"/>
    <w:rsid w:val="007905A2"/>
    <w:rsid w:val="00791053"/>
    <w:rsid w:val="00791261"/>
    <w:rsid w:val="007918FE"/>
    <w:rsid w:val="00791A3A"/>
    <w:rsid w:val="007922B8"/>
    <w:rsid w:val="0079262D"/>
    <w:rsid w:val="00792A53"/>
    <w:rsid w:val="00793DAA"/>
    <w:rsid w:val="00794196"/>
    <w:rsid w:val="00794C47"/>
    <w:rsid w:val="00794FFF"/>
    <w:rsid w:val="007957C3"/>
    <w:rsid w:val="00795F07"/>
    <w:rsid w:val="007965E4"/>
    <w:rsid w:val="007969C0"/>
    <w:rsid w:val="00796D4D"/>
    <w:rsid w:val="007971B8"/>
    <w:rsid w:val="00797637"/>
    <w:rsid w:val="007979F5"/>
    <w:rsid w:val="007A0018"/>
    <w:rsid w:val="007A0ADE"/>
    <w:rsid w:val="007A1B35"/>
    <w:rsid w:val="007A3680"/>
    <w:rsid w:val="007A3BCD"/>
    <w:rsid w:val="007A5214"/>
    <w:rsid w:val="007A5357"/>
    <w:rsid w:val="007A59B8"/>
    <w:rsid w:val="007A65AF"/>
    <w:rsid w:val="007A7682"/>
    <w:rsid w:val="007A7F38"/>
    <w:rsid w:val="007A7F42"/>
    <w:rsid w:val="007B0E14"/>
    <w:rsid w:val="007B2862"/>
    <w:rsid w:val="007B2FD8"/>
    <w:rsid w:val="007B3968"/>
    <w:rsid w:val="007B3B0A"/>
    <w:rsid w:val="007B45AF"/>
    <w:rsid w:val="007B4DD0"/>
    <w:rsid w:val="007B611E"/>
    <w:rsid w:val="007B662A"/>
    <w:rsid w:val="007B684F"/>
    <w:rsid w:val="007B6A73"/>
    <w:rsid w:val="007B71DC"/>
    <w:rsid w:val="007B758B"/>
    <w:rsid w:val="007B7743"/>
    <w:rsid w:val="007C04F4"/>
    <w:rsid w:val="007C0CFB"/>
    <w:rsid w:val="007C2139"/>
    <w:rsid w:val="007C27DE"/>
    <w:rsid w:val="007C299E"/>
    <w:rsid w:val="007C2DFD"/>
    <w:rsid w:val="007C3C64"/>
    <w:rsid w:val="007C3F97"/>
    <w:rsid w:val="007C525F"/>
    <w:rsid w:val="007C5321"/>
    <w:rsid w:val="007C5E8A"/>
    <w:rsid w:val="007C5F4B"/>
    <w:rsid w:val="007C6AAB"/>
    <w:rsid w:val="007C6DDF"/>
    <w:rsid w:val="007C6EA8"/>
    <w:rsid w:val="007C7B84"/>
    <w:rsid w:val="007C7E09"/>
    <w:rsid w:val="007D1FE9"/>
    <w:rsid w:val="007D28C9"/>
    <w:rsid w:val="007D3009"/>
    <w:rsid w:val="007D326B"/>
    <w:rsid w:val="007D38F0"/>
    <w:rsid w:val="007D3CC8"/>
    <w:rsid w:val="007D430A"/>
    <w:rsid w:val="007D47FB"/>
    <w:rsid w:val="007D4DD3"/>
    <w:rsid w:val="007D4F6E"/>
    <w:rsid w:val="007D5362"/>
    <w:rsid w:val="007D576A"/>
    <w:rsid w:val="007D5AA3"/>
    <w:rsid w:val="007D62F9"/>
    <w:rsid w:val="007D63A4"/>
    <w:rsid w:val="007D6542"/>
    <w:rsid w:val="007D7313"/>
    <w:rsid w:val="007E1AA2"/>
    <w:rsid w:val="007E1EE3"/>
    <w:rsid w:val="007E1F2C"/>
    <w:rsid w:val="007E2429"/>
    <w:rsid w:val="007E2793"/>
    <w:rsid w:val="007E279D"/>
    <w:rsid w:val="007E2D69"/>
    <w:rsid w:val="007E3B9A"/>
    <w:rsid w:val="007E46E8"/>
    <w:rsid w:val="007E470F"/>
    <w:rsid w:val="007E4C1F"/>
    <w:rsid w:val="007E500F"/>
    <w:rsid w:val="007E55C0"/>
    <w:rsid w:val="007F01DE"/>
    <w:rsid w:val="007F0759"/>
    <w:rsid w:val="007F0BCC"/>
    <w:rsid w:val="007F0D5B"/>
    <w:rsid w:val="007F156E"/>
    <w:rsid w:val="007F1C97"/>
    <w:rsid w:val="007F1CF3"/>
    <w:rsid w:val="007F25C0"/>
    <w:rsid w:val="007F30BB"/>
    <w:rsid w:val="007F3368"/>
    <w:rsid w:val="007F3D6A"/>
    <w:rsid w:val="007F4C96"/>
    <w:rsid w:val="007F5F52"/>
    <w:rsid w:val="007F672A"/>
    <w:rsid w:val="007F6A1D"/>
    <w:rsid w:val="007F6A4B"/>
    <w:rsid w:val="007F77C6"/>
    <w:rsid w:val="007F79D4"/>
    <w:rsid w:val="008003A1"/>
    <w:rsid w:val="008006B7"/>
    <w:rsid w:val="00800FDB"/>
    <w:rsid w:val="00802081"/>
    <w:rsid w:val="008020F6"/>
    <w:rsid w:val="0080298E"/>
    <w:rsid w:val="00802F04"/>
    <w:rsid w:val="00803833"/>
    <w:rsid w:val="00804316"/>
    <w:rsid w:val="008044F8"/>
    <w:rsid w:val="00804B55"/>
    <w:rsid w:val="008050BC"/>
    <w:rsid w:val="00805D3E"/>
    <w:rsid w:val="00806461"/>
    <w:rsid w:val="008064C1"/>
    <w:rsid w:val="00806635"/>
    <w:rsid w:val="0081096D"/>
    <w:rsid w:val="00810EAD"/>
    <w:rsid w:val="00811833"/>
    <w:rsid w:val="008134C7"/>
    <w:rsid w:val="00814BDE"/>
    <w:rsid w:val="00814DBC"/>
    <w:rsid w:val="008159A9"/>
    <w:rsid w:val="008174D4"/>
    <w:rsid w:val="0082002E"/>
    <w:rsid w:val="0082083C"/>
    <w:rsid w:val="00820C54"/>
    <w:rsid w:val="00820F37"/>
    <w:rsid w:val="00820FE6"/>
    <w:rsid w:val="00821A66"/>
    <w:rsid w:val="00822476"/>
    <w:rsid w:val="008227FB"/>
    <w:rsid w:val="00822882"/>
    <w:rsid w:val="00822A1E"/>
    <w:rsid w:val="00822A2A"/>
    <w:rsid w:val="008238C7"/>
    <w:rsid w:val="008247D0"/>
    <w:rsid w:val="00825268"/>
    <w:rsid w:val="0082529F"/>
    <w:rsid w:val="0082571C"/>
    <w:rsid w:val="00825B94"/>
    <w:rsid w:val="00825BB4"/>
    <w:rsid w:val="00825F68"/>
    <w:rsid w:val="008273D2"/>
    <w:rsid w:val="00830544"/>
    <w:rsid w:val="00830E92"/>
    <w:rsid w:val="00831151"/>
    <w:rsid w:val="00831CAC"/>
    <w:rsid w:val="008320ED"/>
    <w:rsid w:val="00832A0F"/>
    <w:rsid w:val="008353D5"/>
    <w:rsid w:val="00835408"/>
    <w:rsid w:val="008358A2"/>
    <w:rsid w:val="008359DA"/>
    <w:rsid w:val="00837CEF"/>
    <w:rsid w:val="00837E2F"/>
    <w:rsid w:val="00840035"/>
    <w:rsid w:val="00842661"/>
    <w:rsid w:val="008428A9"/>
    <w:rsid w:val="00842D1E"/>
    <w:rsid w:val="00844112"/>
    <w:rsid w:val="008444D6"/>
    <w:rsid w:val="008456C9"/>
    <w:rsid w:val="00845CE1"/>
    <w:rsid w:val="0084611D"/>
    <w:rsid w:val="00846177"/>
    <w:rsid w:val="008462E0"/>
    <w:rsid w:val="0084654D"/>
    <w:rsid w:val="00846C9F"/>
    <w:rsid w:val="00847BD6"/>
    <w:rsid w:val="00850137"/>
    <w:rsid w:val="00850C62"/>
    <w:rsid w:val="00852B48"/>
    <w:rsid w:val="00854133"/>
    <w:rsid w:val="0085474D"/>
    <w:rsid w:val="008550E7"/>
    <w:rsid w:val="00856481"/>
    <w:rsid w:val="00856484"/>
    <w:rsid w:val="008567A2"/>
    <w:rsid w:val="00856E6C"/>
    <w:rsid w:val="008578A7"/>
    <w:rsid w:val="00857DE1"/>
    <w:rsid w:val="00860793"/>
    <w:rsid w:val="00862636"/>
    <w:rsid w:val="00863011"/>
    <w:rsid w:val="0086340E"/>
    <w:rsid w:val="00863C5B"/>
    <w:rsid w:val="00863D2E"/>
    <w:rsid w:val="00864E32"/>
    <w:rsid w:val="00865075"/>
    <w:rsid w:val="00865B2B"/>
    <w:rsid w:val="00865E2D"/>
    <w:rsid w:val="0086615F"/>
    <w:rsid w:val="0086748F"/>
    <w:rsid w:val="00870FBB"/>
    <w:rsid w:val="00871A0D"/>
    <w:rsid w:val="00871B95"/>
    <w:rsid w:val="008720A7"/>
    <w:rsid w:val="00872757"/>
    <w:rsid w:val="00872CE4"/>
    <w:rsid w:val="0087359D"/>
    <w:rsid w:val="0087391D"/>
    <w:rsid w:val="00873AA4"/>
    <w:rsid w:val="00873CA8"/>
    <w:rsid w:val="00873F3E"/>
    <w:rsid w:val="00873F5D"/>
    <w:rsid w:val="0087507A"/>
    <w:rsid w:val="0087570C"/>
    <w:rsid w:val="008773BA"/>
    <w:rsid w:val="00877B62"/>
    <w:rsid w:val="00881015"/>
    <w:rsid w:val="008810B0"/>
    <w:rsid w:val="00881665"/>
    <w:rsid w:val="008819B6"/>
    <w:rsid w:val="00881AAC"/>
    <w:rsid w:val="00882C04"/>
    <w:rsid w:val="008836B7"/>
    <w:rsid w:val="00883F7C"/>
    <w:rsid w:val="008841D3"/>
    <w:rsid w:val="008843CB"/>
    <w:rsid w:val="00884987"/>
    <w:rsid w:val="00884BE0"/>
    <w:rsid w:val="0088684C"/>
    <w:rsid w:val="00887BF9"/>
    <w:rsid w:val="00887DE6"/>
    <w:rsid w:val="00890FFF"/>
    <w:rsid w:val="0089214A"/>
    <w:rsid w:val="00892226"/>
    <w:rsid w:val="008922FA"/>
    <w:rsid w:val="00892D3E"/>
    <w:rsid w:val="008936DC"/>
    <w:rsid w:val="00893784"/>
    <w:rsid w:val="00893E53"/>
    <w:rsid w:val="008945EB"/>
    <w:rsid w:val="00894C2A"/>
    <w:rsid w:val="008964A8"/>
    <w:rsid w:val="0089690B"/>
    <w:rsid w:val="00896A5F"/>
    <w:rsid w:val="0089728F"/>
    <w:rsid w:val="008976C0"/>
    <w:rsid w:val="00897708"/>
    <w:rsid w:val="00897D88"/>
    <w:rsid w:val="008A14C7"/>
    <w:rsid w:val="008A17AF"/>
    <w:rsid w:val="008A1F98"/>
    <w:rsid w:val="008A2C65"/>
    <w:rsid w:val="008A2F16"/>
    <w:rsid w:val="008A36AE"/>
    <w:rsid w:val="008A3B1C"/>
    <w:rsid w:val="008A48C3"/>
    <w:rsid w:val="008A4E18"/>
    <w:rsid w:val="008A520C"/>
    <w:rsid w:val="008A5493"/>
    <w:rsid w:val="008A596C"/>
    <w:rsid w:val="008A5A5D"/>
    <w:rsid w:val="008A64C4"/>
    <w:rsid w:val="008A6789"/>
    <w:rsid w:val="008A6BF7"/>
    <w:rsid w:val="008A6CC1"/>
    <w:rsid w:val="008A7011"/>
    <w:rsid w:val="008A72FB"/>
    <w:rsid w:val="008A7F03"/>
    <w:rsid w:val="008B009C"/>
    <w:rsid w:val="008B1823"/>
    <w:rsid w:val="008B1B4E"/>
    <w:rsid w:val="008B24DC"/>
    <w:rsid w:val="008B2BDF"/>
    <w:rsid w:val="008B4198"/>
    <w:rsid w:val="008B586A"/>
    <w:rsid w:val="008B6651"/>
    <w:rsid w:val="008B6E16"/>
    <w:rsid w:val="008B7110"/>
    <w:rsid w:val="008B7A20"/>
    <w:rsid w:val="008C0DF9"/>
    <w:rsid w:val="008C2029"/>
    <w:rsid w:val="008C267C"/>
    <w:rsid w:val="008C2E44"/>
    <w:rsid w:val="008C3427"/>
    <w:rsid w:val="008C381D"/>
    <w:rsid w:val="008C3BC2"/>
    <w:rsid w:val="008C4413"/>
    <w:rsid w:val="008C4F76"/>
    <w:rsid w:val="008C55AD"/>
    <w:rsid w:val="008C6127"/>
    <w:rsid w:val="008C61D6"/>
    <w:rsid w:val="008C649D"/>
    <w:rsid w:val="008C64F1"/>
    <w:rsid w:val="008C69DE"/>
    <w:rsid w:val="008C6E7E"/>
    <w:rsid w:val="008C7163"/>
    <w:rsid w:val="008C7C1A"/>
    <w:rsid w:val="008D0DC1"/>
    <w:rsid w:val="008D1326"/>
    <w:rsid w:val="008D191C"/>
    <w:rsid w:val="008D1BB0"/>
    <w:rsid w:val="008D20FF"/>
    <w:rsid w:val="008D24F5"/>
    <w:rsid w:val="008D2B9A"/>
    <w:rsid w:val="008D396D"/>
    <w:rsid w:val="008D3DE6"/>
    <w:rsid w:val="008D4223"/>
    <w:rsid w:val="008D44CC"/>
    <w:rsid w:val="008D46E3"/>
    <w:rsid w:val="008D4CED"/>
    <w:rsid w:val="008D50F9"/>
    <w:rsid w:val="008D5CAF"/>
    <w:rsid w:val="008D6709"/>
    <w:rsid w:val="008E083A"/>
    <w:rsid w:val="008E12AD"/>
    <w:rsid w:val="008E21BC"/>
    <w:rsid w:val="008E22FF"/>
    <w:rsid w:val="008E2450"/>
    <w:rsid w:val="008E32E5"/>
    <w:rsid w:val="008E3453"/>
    <w:rsid w:val="008E3F27"/>
    <w:rsid w:val="008E47EF"/>
    <w:rsid w:val="008E4E6E"/>
    <w:rsid w:val="008E5DB7"/>
    <w:rsid w:val="008E61EB"/>
    <w:rsid w:val="008E7896"/>
    <w:rsid w:val="008E79C7"/>
    <w:rsid w:val="008E7B6F"/>
    <w:rsid w:val="008E7C05"/>
    <w:rsid w:val="008E7C9D"/>
    <w:rsid w:val="008E7D8A"/>
    <w:rsid w:val="008F14C7"/>
    <w:rsid w:val="008F1707"/>
    <w:rsid w:val="008F1E9E"/>
    <w:rsid w:val="008F2165"/>
    <w:rsid w:val="008F2477"/>
    <w:rsid w:val="008F3879"/>
    <w:rsid w:val="008F3B3C"/>
    <w:rsid w:val="008F4668"/>
    <w:rsid w:val="008F48E1"/>
    <w:rsid w:val="008F4C10"/>
    <w:rsid w:val="008F5442"/>
    <w:rsid w:val="008F653E"/>
    <w:rsid w:val="008F7328"/>
    <w:rsid w:val="008F7769"/>
    <w:rsid w:val="008F7ACC"/>
    <w:rsid w:val="009004FE"/>
    <w:rsid w:val="00900924"/>
    <w:rsid w:val="009010F0"/>
    <w:rsid w:val="00901162"/>
    <w:rsid w:val="00901B53"/>
    <w:rsid w:val="0090223A"/>
    <w:rsid w:val="009028E2"/>
    <w:rsid w:val="00902AAB"/>
    <w:rsid w:val="00902EDD"/>
    <w:rsid w:val="009039FE"/>
    <w:rsid w:val="00903E9A"/>
    <w:rsid w:val="00905404"/>
    <w:rsid w:val="00906478"/>
    <w:rsid w:val="00906753"/>
    <w:rsid w:val="00907264"/>
    <w:rsid w:val="00907488"/>
    <w:rsid w:val="0090765F"/>
    <w:rsid w:val="00907DE6"/>
    <w:rsid w:val="00910642"/>
    <w:rsid w:val="00911305"/>
    <w:rsid w:val="00912590"/>
    <w:rsid w:val="009125B5"/>
    <w:rsid w:val="00913200"/>
    <w:rsid w:val="00914EAB"/>
    <w:rsid w:val="009152D8"/>
    <w:rsid w:val="009154FD"/>
    <w:rsid w:val="00915A1D"/>
    <w:rsid w:val="0092042F"/>
    <w:rsid w:val="009208DC"/>
    <w:rsid w:val="009221F1"/>
    <w:rsid w:val="00922567"/>
    <w:rsid w:val="009228DB"/>
    <w:rsid w:val="00922B68"/>
    <w:rsid w:val="00922D49"/>
    <w:rsid w:val="009236B9"/>
    <w:rsid w:val="00925E37"/>
    <w:rsid w:val="00925EDD"/>
    <w:rsid w:val="00925F20"/>
    <w:rsid w:val="00926C1A"/>
    <w:rsid w:val="00927899"/>
    <w:rsid w:val="00927D0E"/>
    <w:rsid w:val="009309DA"/>
    <w:rsid w:val="00930E47"/>
    <w:rsid w:val="00930E85"/>
    <w:rsid w:val="00931040"/>
    <w:rsid w:val="00931663"/>
    <w:rsid w:val="00931D22"/>
    <w:rsid w:val="00932CC7"/>
    <w:rsid w:val="00935306"/>
    <w:rsid w:val="00935CDE"/>
    <w:rsid w:val="0093605E"/>
    <w:rsid w:val="00936688"/>
    <w:rsid w:val="00936F09"/>
    <w:rsid w:val="00937683"/>
    <w:rsid w:val="00937AC9"/>
    <w:rsid w:val="00937CFA"/>
    <w:rsid w:val="00937FC6"/>
    <w:rsid w:val="00940291"/>
    <w:rsid w:val="009406B3"/>
    <w:rsid w:val="00942286"/>
    <w:rsid w:val="00942EFD"/>
    <w:rsid w:val="00942F30"/>
    <w:rsid w:val="00943748"/>
    <w:rsid w:val="00943AB7"/>
    <w:rsid w:val="00943CEE"/>
    <w:rsid w:val="009444F4"/>
    <w:rsid w:val="00944674"/>
    <w:rsid w:val="00945727"/>
    <w:rsid w:val="00945CC4"/>
    <w:rsid w:val="00945CF5"/>
    <w:rsid w:val="0094691C"/>
    <w:rsid w:val="00947C95"/>
    <w:rsid w:val="00947EED"/>
    <w:rsid w:val="009500A1"/>
    <w:rsid w:val="009502B0"/>
    <w:rsid w:val="0095037E"/>
    <w:rsid w:val="00951D97"/>
    <w:rsid w:val="00952230"/>
    <w:rsid w:val="00952AAD"/>
    <w:rsid w:val="00953B2B"/>
    <w:rsid w:val="00954567"/>
    <w:rsid w:val="009547B3"/>
    <w:rsid w:val="00954A89"/>
    <w:rsid w:val="00954DE0"/>
    <w:rsid w:val="00955B17"/>
    <w:rsid w:val="00956671"/>
    <w:rsid w:val="009568D4"/>
    <w:rsid w:val="00956EEA"/>
    <w:rsid w:val="00957466"/>
    <w:rsid w:val="009576F7"/>
    <w:rsid w:val="00960646"/>
    <w:rsid w:val="00960722"/>
    <w:rsid w:val="00961356"/>
    <w:rsid w:val="00962401"/>
    <w:rsid w:val="00962510"/>
    <w:rsid w:val="0096260B"/>
    <w:rsid w:val="0096275C"/>
    <w:rsid w:val="009627FF"/>
    <w:rsid w:val="0096290F"/>
    <w:rsid w:val="00962A27"/>
    <w:rsid w:val="00962B9D"/>
    <w:rsid w:val="00962EDC"/>
    <w:rsid w:val="00964E3D"/>
    <w:rsid w:val="009664D5"/>
    <w:rsid w:val="009668A9"/>
    <w:rsid w:val="00966E6A"/>
    <w:rsid w:val="009670C1"/>
    <w:rsid w:val="00970C69"/>
    <w:rsid w:val="00971262"/>
    <w:rsid w:val="00971F1C"/>
    <w:rsid w:val="009720F0"/>
    <w:rsid w:val="0097211D"/>
    <w:rsid w:val="009724F9"/>
    <w:rsid w:val="0097263C"/>
    <w:rsid w:val="00972DF9"/>
    <w:rsid w:val="00972E10"/>
    <w:rsid w:val="009738AD"/>
    <w:rsid w:val="00973DE4"/>
    <w:rsid w:val="00974694"/>
    <w:rsid w:val="009746CA"/>
    <w:rsid w:val="00974E7C"/>
    <w:rsid w:val="00976F71"/>
    <w:rsid w:val="00977134"/>
    <w:rsid w:val="00980013"/>
    <w:rsid w:val="0098010E"/>
    <w:rsid w:val="009801B9"/>
    <w:rsid w:val="0098028A"/>
    <w:rsid w:val="0098030F"/>
    <w:rsid w:val="00980E65"/>
    <w:rsid w:val="0098122D"/>
    <w:rsid w:val="00981963"/>
    <w:rsid w:val="00982AAE"/>
    <w:rsid w:val="009831B9"/>
    <w:rsid w:val="00983A16"/>
    <w:rsid w:val="00983C82"/>
    <w:rsid w:val="009844D6"/>
    <w:rsid w:val="00984520"/>
    <w:rsid w:val="00985337"/>
    <w:rsid w:val="0098545C"/>
    <w:rsid w:val="00985F36"/>
    <w:rsid w:val="009862F1"/>
    <w:rsid w:val="00986F70"/>
    <w:rsid w:val="009871EA"/>
    <w:rsid w:val="00987CEA"/>
    <w:rsid w:val="00991675"/>
    <w:rsid w:val="00992BA2"/>
    <w:rsid w:val="00992F83"/>
    <w:rsid w:val="0099344F"/>
    <w:rsid w:val="00993577"/>
    <w:rsid w:val="00993A3C"/>
    <w:rsid w:val="00994633"/>
    <w:rsid w:val="0099508A"/>
    <w:rsid w:val="009967D7"/>
    <w:rsid w:val="009974EB"/>
    <w:rsid w:val="00997A12"/>
    <w:rsid w:val="009A0C49"/>
    <w:rsid w:val="009A1126"/>
    <w:rsid w:val="009A1CB4"/>
    <w:rsid w:val="009A2157"/>
    <w:rsid w:val="009A439E"/>
    <w:rsid w:val="009A5564"/>
    <w:rsid w:val="009A5C33"/>
    <w:rsid w:val="009A7469"/>
    <w:rsid w:val="009B07EE"/>
    <w:rsid w:val="009B1584"/>
    <w:rsid w:val="009B1B32"/>
    <w:rsid w:val="009B21CA"/>
    <w:rsid w:val="009B2648"/>
    <w:rsid w:val="009B424E"/>
    <w:rsid w:val="009B4317"/>
    <w:rsid w:val="009B4EBB"/>
    <w:rsid w:val="009B529C"/>
    <w:rsid w:val="009B5FA5"/>
    <w:rsid w:val="009B61B2"/>
    <w:rsid w:val="009B679E"/>
    <w:rsid w:val="009B7332"/>
    <w:rsid w:val="009B7420"/>
    <w:rsid w:val="009B7B09"/>
    <w:rsid w:val="009B7B46"/>
    <w:rsid w:val="009C0294"/>
    <w:rsid w:val="009C03E5"/>
    <w:rsid w:val="009C08B6"/>
    <w:rsid w:val="009C0920"/>
    <w:rsid w:val="009C12C3"/>
    <w:rsid w:val="009C1928"/>
    <w:rsid w:val="009C196C"/>
    <w:rsid w:val="009C1B5C"/>
    <w:rsid w:val="009C1FD2"/>
    <w:rsid w:val="009C36E6"/>
    <w:rsid w:val="009C3730"/>
    <w:rsid w:val="009C37BD"/>
    <w:rsid w:val="009C3888"/>
    <w:rsid w:val="009C3AAC"/>
    <w:rsid w:val="009C4D19"/>
    <w:rsid w:val="009C5F6C"/>
    <w:rsid w:val="009C5FDB"/>
    <w:rsid w:val="009C693E"/>
    <w:rsid w:val="009C6B2C"/>
    <w:rsid w:val="009C6ED6"/>
    <w:rsid w:val="009C70CB"/>
    <w:rsid w:val="009C7623"/>
    <w:rsid w:val="009C7D89"/>
    <w:rsid w:val="009C7E41"/>
    <w:rsid w:val="009D07C7"/>
    <w:rsid w:val="009D14EB"/>
    <w:rsid w:val="009D1B18"/>
    <w:rsid w:val="009D1E70"/>
    <w:rsid w:val="009D1EA4"/>
    <w:rsid w:val="009D27AA"/>
    <w:rsid w:val="009D2BFD"/>
    <w:rsid w:val="009D2FF8"/>
    <w:rsid w:val="009D3F20"/>
    <w:rsid w:val="009D428F"/>
    <w:rsid w:val="009D4991"/>
    <w:rsid w:val="009D597B"/>
    <w:rsid w:val="009D5A89"/>
    <w:rsid w:val="009D5BB5"/>
    <w:rsid w:val="009D6657"/>
    <w:rsid w:val="009D66C1"/>
    <w:rsid w:val="009D696D"/>
    <w:rsid w:val="009D6993"/>
    <w:rsid w:val="009D6ED2"/>
    <w:rsid w:val="009D78A3"/>
    <w:rsid w:val="009D7DB4"/>
    <w:rsid w:val="009E0603"/>
    <w:rsid w:val="009E08B3"/>
    <w:rsid w:val="009E0F1A"/>
    <w:rsid w:val="009E140D"/>
    <w:rsid w:val="009E43DD"/>
    <w:rsid w:val="009E4465"/>
    <w:rsid w:val="009E5318"/>
    <w:rsid w:val="009E6401"/>
    <w:rsid w:val="009E6C54"/>
    <w:rsid w:val="009E72E8"/>
    <w:rsid w:val="009F04C8"/>
    <w:rsid w:val="009F0812"/>
    <w:rsid w:val="009F0E02"/>
    <w:rsid w:val="009F1B6A"/>
    <w:rsid w:val="009F2408"/>
    <w:rsid w:val="009F248B"/>
    <w:rsid w:val="009F2A25"/>
    <w:rsid w:val="009F3A1A"/>
    <w:rsid w:val="009F4C7D"/>
    <w:rsid w:val="009F5235"/>
    <w:rsid w:val="009F531A"/>
    <w:rsid w:val="009F5EB9"/>
    <w:rsid w:val="009F6344"/>
    <w:rsid w:val="009F6550"/>
    <w:rsid w:val="009F6B65"/>
    <w:rsid w:val="009F786E"/>
    <w:rsid w:val="009F7B30"/>
    <w:rsid w:val="00A00817"/>
    <w:rsid w:val="00A00902"/>
    <w:rsid w:val="00A0098B"/>
    <w:rsid w:val="00A01A28"/>
    <w:rsid w:val="00A0294E"/>
    <w:rsid w:val="00A0327A"/>
    <w:rsid w:val="00A039FF"/>
    <w:rsid w:val="00A04524"/>
    <w:rsid w:val="00A046F6"/>
    <w:rsid w:val="00A05758"/>
    <w:rsid w:val="00A05ACE"/>
    <w:rsid w:val="00A06DBC"/>
    <w:rsid w:val="00A10C6C"/>
    <w:rsid w:val="00A114B9"/>
    <w:rsid w:val="00A11895"/>
    <w:rsid w:val="00A1211A"/>
    <w:rsid w:val="00A139BF"/>
    <w:rsid w:val="00A13A2E"/>
    <w:rsid w:val="00A13A65"/>
    <w:rsid w:val="00A13A67"/>
    <w:rsid w:val="00A14589"/>
    <w:rsid w:val="00A14AE3"/>
    <w:rsid w:val="00A151A0"/>
    <w:rsid w:val="00A16675"/>
    <w:rsid w:val="00A218AC"/>
    <w:rsid w:val="00A21955"/>
    <w:rsid w:val="00A22BB6"/>
    <w:rsid w:val="00A22CD6"/>
    <w:rsid w:val="00A234EC"/>
    <w:rsid w:val="00A24128"/>
    <w:rsid w:val="00A2417A"/>
    <w:rsid w:val="00A25642"/>
    <w:rsid w:val="00A26668"/>
    <w:rsid w:val="00A2681F"/>
    <w:rsid w:val="00A27804"/>
    <w:rsid w:val="00A317EA"/>
    <w:rsid w:val="00A320F6"/>
    <w:rsid w:val="00A3276D"/>
    <w:rsid w:val="00A330B0"/>
    <w:rsid w:val="00A334D1"/>
    <w:rsid w:val="00A34029"/>
    <w:rsid w:val="00A34257"/>
    <w:rsid w:val="00A34426"/>
    <w:rsid w:val="00A346FC"/>
    <w:rsid w:val="00A34F44"/>
    <w:rsid w:val="00A34F72"/>
    <w:rsid w:val="00A35CDF"/>
    <w:rsid w:val="00A3655D"/>
    <w:rsid w:val="00A36822"/>
    <w:rsid w:val="00A36AB5"/>
    <w:rsid w:val="00A374FD"/>
    <w:rsid w:val="00A3754B"/>
    <w:rsid w:val="00A402DD"/>
    <w:rsid w:val="00A4069E"/>
    <w:rsid w:val="00A40BBF"/>
    <w:rsid w:val="00A411D1"/>
    <w:rsid w:val="00A432E9"/>
    <w:rsid w:val="00A43389"/>
    <w:rsid w:val="00A434A7"/>
    <w:rsid w:val="00A43687"/>
    <w:rsid w:val="00A43E71"/>
    <w:rsid w:val="00A4526F"/>
    <w:rsid w:val="00A454C0"/>
    <w:rsid w:val="00A45753"/>
    <w:rsid w:val="00A457B8"/>
    <w:rsid w:val="00A46E47"/>
    <w:rsid w:val="00A479DC"/>
    <w:rsid w:val="00A47B15"/>
    <w:rsid w:val="00A5094A"/>
    <w:rsid w:val="00A51708"/>
    <w:rsid w:val="00A52F84"/>
    <w:rsid w:val="00A533CC"/>
    <w:rsid w:val="00A54284"/>
    <w:rsid w:val="00A5465A"/>
    <w:rsid w:val="00A54FB5"/>
    <w:rsid w:val="00A552C0"/>
    <w:rsid w:val="00A55BFA"/>
    <w:rsid w:val="00A56B05"/>
    <w:rsid w:val="00A56C06"/>
    <w:rsid w:val="00A56E50"/>
    <w:rsid w:val="00A57678"/>
    <w:rsid w:val="00A57972"/>
    <w:rsid w:val="00A579F5"/>
    <w:rsid w:val="00A57F07"/>
    <w:rsid w:val="00A57F83"/>
    <w:rsid w:val="00A60E2F"/>
    <w:rsid w:val="00A6199F"/>
    <w:rsid w:val="00A627AD"/>
    <w:rsid w:val="00A63246"/>
    <w:rsid w:val="00A63284"/>
    <w:rsid w:val="00A63458"/>
    <w:rsid w:val="00A634AE"/>
    <w:rsid w:val="00A6372D"/>
    <w:rsid w:val="00A64CB8"/>
    <w:rsid w:val="00A64E3E"/>
    <w:rsid w:val="00A66065"/>
    <w:rsid w:val="00A66D10"/>
    <w:rsid w:val="00A67018"/>
    <w:rsid w:val="00A671D2"/>
    <w:rsid w:val="00A67289"/>
    <w:rsid w:val="00A672F3"/>
    <w:rsid w:val="00A673DC"/>
    <w:rsid w:val="00A7076E"/>
    <w:rsid w:val="00A709BE"/>
    <w:rsid w:val="00A70D85"/>
    <w:rsid w:val="00A7162E"/>
    <w:rsid w:val="00A72D71"/>
    <w:rsid w:val="00A73112"/>
    <w:rsid w:val="00A73617"/>
    <w:rsid w:val="00A747D2"/>
    <w:rsid w:val="00A7511E"/>
    <w:rsid w:val="00A75123"/>
    <w:rsid w:val="00A753C0"/>
    <w:rsid w:val="00A75705"/>
    <w:rsid w:val="00A75F35"/>
    <w:rsid w:val="00A765A9"/>
    <w:rsid w:val="00A77BF3"/>
    <w:rsid w:val="00A77C69"/>
    <w:rsid w:val="00A812B1"/>
    <w:rsid w:val="00A82C61"/>
    <w:rsid w:val="00A8301B"/>
    <w:rsid w:val="00A83049"/>
    <w:rsid w:val="00A83945"/>
    <w:rsid w:val="00A83953"/>
    <w:rsid w:val="00A83CD7"/>
    <w:rsid w:val="00A8400B"/>
    <w:rsid w:val="00A8416A"/>
    <w:rsid w:val="00A846DA"/>
    <w:rsid w:val="00A853D8"/>
    <w:rsid w:val="00A8661E"/>
    <w:rsid w:val="00A8695A"/>
    <w:rsid w:val="00A86ACF"/>
    <w:rsid w:val="00A8708E"/>
    <w:rsid w:val="00A903B6"/>
    <w:rsid w:val="00A90F4F"/>
    <w:rsid w:val="00A919AD"/>
    <w:rsid w:val="00A91F90"/>
    <w:rsid w:val="00A92507"/>
    <w:rsid w:val="00A92579"/>
    <w:rsid w:val="00A92EF7"/>
    <w:rsid w:val="00A936F9"/>
    <w:rsid w:val="00A947AA"/>
    <w:rsid w:val="00A94888"/>
    <w:rsid w:val="00A94990"/>
    <w:rsid w:val="00A9681C"/>
    <w:rsid w:val="00A96867"/>
    <w:rsid w:val="00A96B3D"/>
    <w:rsid w:val="00A97141"/>
    <w:rsid w:val="00A97820"/>
    <w:rsid w:val="00A97A4E"/>
    <w:rsid w:val="00A97E07"/>
    <w:rsid w:val="00AA1B53"/>
    <w:rsid w:val="00AA1DEA"/>
    <w:rsid w:val="00AA256D"/>
    <w:rsid w:val="00AA311D"/>
    <w:rsid w:val="00AA3556"/>
    <w:rsid w:val="00AA35FD"/>
    <w:rsid w:val="00AA364F"/>
    <w:rsid w:val="00AA3DB7"/>
    <w:rsid w:val="00AA41D3"/>
    <w:rsid w:val="00AA46A1"/>
    <w:rsid w:val="00AA554C"/>
    <w:rsid w:val="00AA694F"/>
    <w:rsid w:val="00AA712F"/>
    <w:rsid w:val="00AB0039"/>
    <w:rsid w:val="00AB0D96"/>
    <w:rsid w:val="00AB15A3"/>
    <w:rsid w:val="00AB177A"/>
    <w:rsid w:val="00AB216D"/>
    <w:rsid w:val="00AB21AA"/>
    <w:rsid w:val="00AB2F94"/>
    <w:rsid w:val="00AB3012"/>
    <w:rsid w:val="00AB321C"/>
    <w:rsid w:val="00AB3CED"/>
    <w:rsid w:val="00AB473F"/>
    <w:rsid w:val="00AB4C91"/>
    <w:rsid w:val="00AB4E3B"/>
    <w:rsid w:val="00AB5381"/>
    <w:rsid w:val="00AB5CBB"/>
    <w:rsid w:val="00AB688F"/>
    <w:rsid w:val="00AB75EA"/>
    <w:rsid w:val="00AB7AA2"/>
    <w:rsid w:val="00AB7D15"/>
    <w:rsid w:val="00AC03D8"/>
    <w:rsid w:val="00AC0A22"/>
    <w:rsid w:val="00AC1028"/>
    <w:rsid w:val="00AC1515"/>
    <w:rsid w:val="00AC1F41"/>
    <w:rsid w:val="00AC2234"/>
    <w:rsid w:val="00AC3FF3"/>
    <w:rsid w:val="00AC4938"/>
    <w:rsid w:val="00AC4A34"/>
    <w:rsid w:val="00AC4BC1"/>
    <w:rsid w:val="00AC5029"/>
    <w:rsid w:val="00AC5715"/>
    <w:rsid w:val="00AC7D8D"/>
    <w:rsid w:val="00AD04BD"/>
    <w:rsid w:val="00AD0765"/>
    <w:rsid w:val="00AD0F00"/>
    <w:rsid w:val="00AD14B8"/>
    <w:rsid w:val="00AD296B"/>
    <w:rsid w:val="00AD299E"/>
    <w:rsid w:val="00AD312A"/>
    <w:rsid w:val="00AD5374"/>
    <w:rsid w:val="00AD55A8"/>
    <w:rsid w:val="00AD5A2E"/>
    <w:rsid w:val="00AD5CA4"/>
    <w:rsid w:val="00AD6076"/>
    <w:rsid w:val="00AD634F"/>
    <w:rsid w:val="00AD6591"/>
    <w:rsid w:val="00AD6A91"/>
    <w:rsid w:val="00AD6EE3"/>
    <w:rsid w:val="00AD7214"/>
    <w:rsid w:val="00AE04DB"/>
    <w:rsid w:val="00AE0C58"/>
    <w:rsid w:val="00AE0E09"/>
    <w:rsid w:val="00AE103C"/>
    <w:rsid w:val="00AE1066"/>
    <w:rsid w:val="00AE14DD"/>
    <w:rsid w:val="00AE1A2D"/>
    <w:rsid w:val="00AE2CB7"/>
    <w:rsid w:val="00AE2FA5"/>
    <w:rsid w:val="00AE3215"/>
    <w:rsid w:val="00AE3A4F"/>
    <w:rsid w:val="00AE4518"/>
    <w:rsid w:val="00AE49D9"/>
    <w:rsid w:val="00AE4C42"/>
    <w:rsid w:val="00AE5D7F"/>
    <w:rsid w:val="00AE7140"/>
    <w:rsid w:val="00AE79F0"/>
    <w:rsid w:val="00AF07B0"/>
    <w:rsid w:val="00AF0AFC"/>
    <w:rsid w:val="00AF109C"/>
    <w:rsid w:val="00AF1752"/>
    <w:rsid w:val="00AF2896"/>
    <w:rsid w:val="00AF3F1D"/>
    <w:rsid w:val="00AF42FC"/>
    <w:rsid w:val="00AF4AC5"/>
    <w:rsid w:val="00AF4C2C"/>
    <w:rsid w:val="00AF597D"/>
    <w:rsid w:val="00AF6EC1"/>
    <w:rsid w:val="00AF7416"/>
    <w:rsid w:val="00AF784D"/>
    <w:rsid w:val="00AF7CE9"/>
    <w:rsid w:val="00B00331"/>
    <w:rsid w:val="00B00E46"/>
    <w:rsid w:val="00B01102"/>
    <w:rsid w:val="00B014A1"/>
    <w:rsid w:val="00B01A80"/>
    <w:rsid w:val="00B03EF5"/>
    <w:rsid w:val="00B046AF"/>
    <w:rsid w:val="00B06036"/>
    <w:rsid w:val="00B061F5"/>
    <w:rsid w:val="00B07C27"/>
    <w:rsid w:val="00B07DDE"/>
    <w:rsid w:val="00B07FB2"/>
    <w:rsid w:val="00B10017"/>
    <w:rsid w:val="00B1004A"/>
    <w:rsid w:val="00B101CE"/>
    <w:rsid w:val="00B10DE1"/>
    <w:rsid w:val="00B10FF8"/>
    <w:rsid w:val="00B11E02"/>
    <w:rsid w:val="00B12F0D"/>
    <w:rsid w:val="00B13A85"/>
    <w:rsid w:val="00B13BC7"/>
    <w:rsid w:val="00B13CD4"/>
    <w:rsid w:val="00B153D8"/>
    <w:rsid w:val="00B154DE"/>
    <w:rsid w:val="00B155FF"/>
    <w:rsid w:val="00B15814"/>
    <w:rsid w:val="00B16B91"/>
    <w:rsid w:val="00B17B14"/>
    <w:rsid w:val="00B20203"/>
    <w:rsid w:val="00B203C4"/>
    <w:rsid w:val="00B20863"/>
    <w:rsid w:val="00B20CDD"/>
    <w:rsid w:val="00B20E37"/>
    <w:rsid w:val="00B21584"/>
    <w:rsid w:val="00B21F27"/>
    <w:rsid w:val="00B224DF"/>
    <w:rsid w:val="00B22683"/>
    <w:rsid w:val="00B22BC9"/>
    <w:rsid w:val="00B22E81"/>
    <w:rsid w:val="00B232FE"/>
    <w:rsid w:val="00B23996"/>
    <w:rsid w:val="00B23A8A"/>
    <w:rsid w:val="00B23BBE"/>
    <w:rsid w:val="00B23CB2"/>
    <w:rsid w:val="00B240CC"/>
    <w:rsid w:val="00B24E14"/>
    <w:rsid w:val="00B2561A"/>
    <w:rsid w:val="00B256C1"/>
    <w:rsid w:val="00B25A64"/>
    <w:rsid w:val="00B25A79"/>
    <w:rsid w:val="00B25B94"/>
    <w:rsid w:val="00B26E97"/>
    <w:rsid w:val="00B26EB9"/>
    <w:rsid w:val="00B271F2"/>
    <w:rsid w:val="00B277C4"/>
    <w:rsid w:val="00B31884"/>
    <w:rsid w:val="00B31D19"/>
    <w:rsid w:val="00B32155"/>
    <w:rsid w:val="00B32396"/>
    <w:rsid w:val="00B32AB3"/>
    <w:rsid w:val="00B32DAE"/>
    <w:rsid w:val="00B33825"/>
    <w:rsid w:val="00B34BB2"/>
    <w:rsid w:val="00B34E7C"/>
    <w:rsid w:val="00B35AF6"/>
    <w:rsid w:val="00B36228"/>
    <w:rsid w:val="00B366A3"/>
    <w:rsid w:val="00B368EA"/>
    <w:rsid w:val="00B3741E"/>
    <w:rsid w:val="00B37EEF"/>
    <w:rsid w:val="00B41344"/>
    <w:rsid w:val="00B418AD"/>
    <w:rsid w:val="00B41DAD"/>
    <w:rsid w:val="00B4229C"/>
    <w:rsid w:val="00B42F1A"/>
    <w:rsid w:val="00B43790"/>
    <w:rsid w:val="00B4430B"/>
    <w:rsid w:val="00B443D9"/>
    <w:rsid w:val="00B44531"/>
    <w:rsid w:val="00B445EA"/>
    <w:rsid w:val="00B46587"/>
    <w:rsid w:val="00B47AD2"/>
    <w:rsid w:val="00B47CF7"/>
    <w:rsid w:val="00B50686"/>
    <w:rsid w:val="00B50C50"/>
    <w:rsid w:val="00B50ED1"/>
    <w:rsid w:val="00B513C0"/>
    <w:rsid w:val="00B52CF8"/>
    <w:rsid w:val="00B53708"/>
    <w:rsid w:val="00B53DCB"/>
    <w:rsid w:val="00B5428F"/>
    <w:rsid w:val="00B54370"/>
    <w:rsid w:val="00B54DEA"/>
    <w:rsid w:val="00B54FDF"/>
    <w:rsid w:val="00B55185"/>
    <w:rsid w:val="00B55C03"/>
    <w:rsid w:val="00B55F0B"/>
    <w:rsid w:val="00B5695D"/>
    <w:rsid w:val="00B56A70"/>
    <w:rsid w:val="00B602D5"/>
    <w:rsid w:val="00B60638"/>
    <w:rsid w:val="00B606F8"/>
    <w:rsid w:val="00B60A44"/>
    <w:rsid w:val="00B616D5"/>
    <w:rsid w:val="00B61872"/>
    <w:rsid w:val="00B61923"/>
    <w:rsid w:val="00B621D6"/>
    <w:rsid w:val="00B63AF2"/>
    <w:rsid w:val="00B64278"/>
    <w:rsid w:val="00B65747"/>
    <w:rsid w:val="00B65D6F"/>
    <w:rsid w:val="00B65FAD"/>
    <w:rsid w:val="00B66174"/>
    <w:rsid w:val="00B661B5"/>
    <w:rsid w:val="00B67B37"/>
    <w:rsid w:val="00B67C23"/>
    <w:rsid w:val="00B7079B"/>
    <w:rsid w:val="00B70BE5"/>
    <w:rsid w:val="00B70DC7"/>
    <w:rsid w:val="00B721A4"/>
    <w:rsid w:val="00B72B5B"/>
    <w:rsid w:val="00B72EFF"/>
    <w:rsid w:val="00B73AA7"/>
    <w:rsid w:val="00B73C25"/>
    <w:rsid w:val="00B73DCE"/>
    <w:rsid w:val="00B746E4"/>
    <w:rsid w:val="00B74A6F"/>
    <w:rsid w:val="00B74D64"/>
    <w:rsid w:val="00B750C2"/>
    <w:rsid w:val="00B75411"/>
    <w:rsid w:val="00B7546A"/>
    <w:rsid w:val="00B756CB"/>
    <w:rsid w:val="00B75735"/>
    <w:rsid w:val="00B77142"/>
    <w:rsid w:val="00B77746"/>
    <w:rsid w:val="00B8010E"/>
    <w:rsid w:val="00B80879"/>
    <w:rsid w:val="00B80A2C"/>
    <w:rsid w:val="00B80D3B"/>
    <w:rsid w:val="00B8135C"/>
    <w:rsid w:val="00B814BB"/>
    <w:rsid w:val="00B81730"/>
    <w:rsid w:val="00B81F60"/>
    <w:rsid w:val="00B82123"/>
    <w:rsid w:val="00B823D4"/>
    <w:rsid w:val="00B82BEC"/>
    <w:rsid w:val="00B8314A"/>
    <w:rsid w:val="00B841AC"/>
    <w:rsid w:val="00B844A6"/>
    <w:rsid w:val="00B85873"/>
    <w:rsid w:val="00B85E95"/>
    <w:rsid w:val="00B865B0"/>
    <w:rsid w:val="00B865DC"/>
    <w:rsid w:val="00B86E3A"/>
    <w:rsid w:val="00B870E8"/>
    <w:rsid w:val="00B874E9"/>
    <w:rsid w:val="00B875E3"/>
    <w:rsid w:val="00B87ACB"/>
    <w:rsid w:val="00B87C29"/>
    <w:rsid w:val="00B90780"/>
    <w:rsid w:val="00B90968"/>
    <w:rsid w:val="00B918BB"/>
    <w:rsid w:val="00B91A15"/>
    <w:rsid w:val="00B91BC2"/>
    <w:rsid w:val="00B9240D"/>
    <w:rsid w:val="00B93E0B"/>
    <w:rsid w:val="00B94855"/>
    <w:rsid w:val="00B94960"/>
    <w:rsid w:val="00B9543E"/>
    <w:rsid w:val="00B96F6E"/>
    <w:rsid w:val="00B9702A"/>
    <w:rsid w:val="00B979D4"/>
    <w:rsid w:val="00BA027A"/>
    <w:rsid w:val="00BA0703"/>
    <w:rsid w:val="00BA22A8"/>
    <w:rsid w:val="00BA309F"/>
    <w:rsid w:val="00BA3B8F"/>
    <w:rsid w:val="00BA3E48"/>
    <w:rsid w:val="00BA4905"/>
    <w:rsid w:val="00BA4BD3"/>
    <w:rsid w:val="00BA5B51"/>
    <w:rsid w:val="00BA6120"/>
    <w:rsid w:val="00BA6E49"/>
    <w:rsid w:val="00BB0187"/>
    <w:rsid w:val="00BB0C2D"/>
    <w:rsid w:val="00BB0E56"/>
    <w:rsid w:val="00BB1473"/>
    <w:rsid w:val="00BB1EB3"/>
    <w:rsid w:val="00BB2678"/>
    <w:rsid w:val="00BB3077"/>
    <w:rsid w:val="00BB31D5"/>
    <w:rsid w:val="00BB33A8"/>
    <w:rsid w:val="00BB3927"/>
    <w:rsid w:val="00BB3D8C"/>
    <w:rsid w:val="00BB4B39"/>
    <w:rsid w:val="00BB4E17"/>
    <w:rsid w:val="00BB53AF"/>
    <w:rsid w:val="00BB5BDF"/>
    <w:rsid w:val="00BB5C26"/>
    <w:rsid w:val="00BB64B7"/>
    <w:rsid w:val="00BB6591"/>
    <w:rsid w:val="00BB6A40"/>
    <w:rsid w:val="00BC013A"/>
    <w:rsid w:val="00BC12F7"/>
    <w:rsid w:val="00BC162A"/>
    <w:rsid w:val="00BC2343"/>
    <w:rsid w:val="00BC2A29"/>
    <w:rsid w:val="00BC2BE7"/>
    <w:rsid w:val="00BC2E1B"/>
    <w:rsid w:val="00BC3F52"/>
    <w:rsid w:val="00BC43D7"/>
    <w:rsid w:val="00BC4ED3"/>
    <w:rsid w:val="00BC5824"/>
    <w:rsid w:val="00BC6B20"/>
    <w:rsid w:val="00BC702F"/>
    <w:rsid w:val="00BC7377"/>
    <w:rsid w:val="00BD0707"/>
    <w:rsid w:val="00BD0ECF"/>
    <w:rsid w:val="00BD13C1"/>
    <w:rsid w:val="00BD30C8"/>
    <w:rsid w:val="00BD38F4"/>
    <w:rsid w:val="00BD3EB4"/>
    <w:rsid w:val="00BD4C5B"/>
    <w:rsid w:val="00BD4F01"/>
    <w:rsid w:val="00BD5359"/>
    <w:rsid w:val="00BD556E"/>
    <w:rsid w:val="00BD5C65"/>
    <w:rsid w:val="00BD7906"/>
    <w:rsid w:val="00BD7BCC"/>
    <w:rsid w:val="00BE0557"/>
    <w:rsid w:val="00BE16E9"/>
    <w:rsid w:val="00BE1E11"/>
    <w:rsid w:val="00BE2730"/>
    <w:rsid w:val="00BE2A17"/>
    <w:rsid w:val="00BE2D83"/>
    <w:rsid w:val="00BE31BE"/>
    <w:rsid w:val="00BE3A1D"/>
    <w:rsid w:val="00BE3ABB"/>
    <w:rsid w:val="00BE3B92"/>
    <w:rsid w:val="00BE487E"/>
    <w:rsid w:val="00BE528E"/>
    <w:rsid w:val="00BE6018"/>
    <w:rsid w:val="00BE7086"/>
    <w:rsid w:val="00BE7278"/>
    <w:rsid w:val="00BF1F57"/>
    <w:rsid w:val="00BF20FD"/>
    <w:rsid w:val="00BF2239"/>
    <w:rsid w:val="00BF22C6"/>
    <w:rsid w:val="00BF27DD"/>
    <w:rsid w:val="00BF34C2"/>
    <w:rsid w:val="00BF3804"/>
    <w:rsid w:val="00BF3B4E"/>
    <w:rsid w:val="00BF3B89"/>
    <w:rsid w:val="00BF4086"/>
    <w:rsid w:val="00BF426C"/>
    <w:rsid w:val="00BF4594"/>
    <w:rsid w:val="00BF58D0"/>
    <w:rsid w:val="00BF6027"/>
    <w:rsid w:val="00BF6702"/>
    <w:rsid w:val="00BF7561"/>
    <w:rsid w:val="00BF7952"/>
    <w:rsid w:val="00BF7D6A"/>
    <w:rsid w:val="00C0021D"/>
    <w:rsid w:val="00C00300"/>
    <w:rsid w:val="00C0068D"/>
    <w:rsid w:val="00C00A6C"/>
    <w:rsid w:val="00C00B8B"/>
    <w:rsid w:val="00C013E1"/>
    <w:rsid w:val="00C01611"/>
    <w:rsid w:val="00C02BDB"/>
    <w:rsid w:val="00C02D59"/>
    <w:rsid w:val="00C02FE3"/>
    <w:rsid w:val="00C030B6"/>
    <w:rsid w:val="00C03284"/>
    <w:rsid w:val="00C03591"/>
    <w:rsid w:val="00C03B3A"/>
    <w:rsid w:val="00C03CD4"/>
    <w:rsid w:val="00C04694"/>
    <w:rsid w:val="00C04C52"/>
    <w:rsid w:val="00C050C4"/>
    <w:rsid w:val="00C050D7"/>
    <w:rsid w:val="00C05B5F"/>
    <w:rsid w:val="00C10086"/>
    <w:rsid w:val="00C104CC"/>
    <w:rsid w:val="00C11153"/>
    <w:rsid w:val="00C11521"/>
    <w:rsid w:val="00C142AD"/>
    <w:rsid w:val="00C142C1"/>
    <w:rsid w:val="00C14A30"/>
    <w:rsid w:val="00C152FE"/>
    <w:rsid w:val="00C15D1B"/>
    <w:rsid w:val="00C16739"/>
    <w:rsid w:val="00C168DD"/>
    <w:rsid w:val="00C176CC"/>
    <w:rsid w:val="00C20E37"/>
    <w:rsid w:val="00C21031"/>
    <w:rsid w:val="00C221B9"/>
    <w:rsid w:val="00C225EA"/>
    <w:rsid w:val="00C226E6"/>
    <w:rsid w:val="00C22CCE"/>
    <w:rsid w:val="00C232BC"/>
    <w:rsid w:val="00C23BA2"/>
    <w:rsid w:val="00C2485F"/>
    <w:rsid w:val="00C248B1"/>
    <w:rsid w:val="00C24ACA"/>
    <w:rsid w:val="00C24B63"/>
    <w:rsid w:val="00C256C3"/>
    <w:rsid w:val="00C262A0"/>
    <w:rsid w:val="00C26A4E"/>
    <w:rsid w:val="00C271D2"/>
    <w:rsid w:val="00C31195"/>
    <w:rsid w:val="00C31774"/>
    <w:rsid w:val="00C3180E"/>
    <w:rsid w:val="00C32AF2"/>
    <w:rsid w:val="00C33051"/>
    <w:rsid w:val="00C33204"/>
    <w:rsid w:val="00C338EB"/>
    <w:rsid w:val="00C34389"/>
    <w:rsid w:val="00C3465D"/>
    <w:rsid w:val="00C347D5"/>
    <w:rsid w:val="00C35C57"/>
    <w:rsid w:val="00C379E9"/>
    <w:rsid w:val="00C37C29"/>
    <w:rsid w:val="00C37EDC"/>
    <w:rsid w:val="00C403CD"/>
    <w:rsid w:val="00C4082B"/>
    <w:rsid w:val="00C40ECA"/>
    <w:rsid w:val="00C411AC"/>
    <w:rsid w:val="00C41B04"/>
    <w:rsid w:val="00C42041"/>
    <w:rsid w:val="00C42949"/>
    <w:rsid w:val="00C42BD9"/>
    <w:rsid w:val="00C43934"/>
    <w:rsid w:val="00C43935"/>
    <w:rsid w:val="00C439FB"/>
    <w:rsid w:val="00C43AA8"/>
    <w:rsid w:val="00C43F23"/>
    <w:rsid w:val="00C441A4"/>
    <w:rsid w:val="00C452E1"/>
    <w:rsid w:val="00C45C1B"/>
    <w:rsid w:val="00C463C9"/>
    <w:rsid w:val="00C47648"/>
    <w:rsid w:val="00C47852"/>
    <w:rsid w:val="00C50011"/>
    <w:rsid w:val="00C51827"/>
    <w:rsid w:val="00C5254B"/>
    <w:rsid w:val="00C53973"/>
    <w:rsid w:val="00C5569A"/>
    <w:rsid w:val="00C55D39"/>
    <w:rsid w:val="00C55FBF"/>
    <w:rsid w:val="00C57E68"/>
    <w:rsid w:val="00C601C9"/>
    <w:rsid w:val="00C6038C"/>
    <w:rsid w:val="00C616D0"/>
    <w:rsid w:val="00C623C6"/>
    <w:rsid w:val="00C62C8A"/>
    <w:rsid w:val="00C631D3"/>
    <w:rsid w:val="00C631E8"/>
    <w:rsid w:val="00C645E6"/>
    <w:rsid w:val="00C64813"/>
    <w:rsid w:val="00C64D82"/>
    <w:rsid w:val="00C64FBC"/>
    <w:rsid w:val="00C65A83"/>
    <w:rsid w:val="00C66A00"/>
    <w:rsid w:val="00C66CBE"/>
    <w:rsid w:val="00C67118"/>
    <w:rsid w:val="00C67276"/>
    <w:rsid w:val="00C67DDD"/>
    <w:rsid w:val="00C70139"/>
    <w:rsid w:val="00C7072A"/>
    <w:rsid w:val="00C7191D"/>
    <w:rsid w:val="00C72603"/>
    <w:rsid w:val="00C728C2"/>
    <w:rsid w:val="00C72C6F"/>
    <w:rsid w:val="00C73BE3"/>
    <w:rsid w:val="00C74453"/>
    <w:rsid w:val="00C7473A"/>
    <w:rsid w:val="00C750E4"/>
    <w:rsid w:val="00C75AB0"/>
    <w:rsid w:val="00C75EDE"/>
    <w:rsid w:val="00C76166"/>
    <w:rsid w:val="00C76B7B"/>
    <w:rsid w:val="00C76BBD"/>
    <w:rsid w:val="00C76DE2"/>
    <w:rsid w:val="00C772BA"/>
    <w:rsid w:val="00C77555"/>
    <w:rsid w:val="00C7770C"/>
    <w:rsid w:val="00C802D1"/>
    <w:rsid w:val="00C8036C"/>
    <w:rsid w:val="00C80CD8"/>
    <w:rsid w:val="00C80F23"/>
    <w:rsid w:val="00C81151"/>
    <w:rsid w:val="00C82AC2"/>
    <w:rsid w:val="00C82CC6"/>
    <w:rsid w:val="00C839CB"/>
    <w:rsid w:val="00C841CE"/>
    <w:rsid w:val="00C84593"/>
    <w:rsid w:val="00C850A3"/>
    <w:rsid w:val="00C85C32"/>
    <w:rsid w:val="00C85D4F"/>
    <w:rsid w:val="00C85F45"/>
    <w:rsid w:val="00C86C8C"/>
    <w:rsid w:val="00C87473"/>
    <w:rsid w:val="00C87568"/>
    <w:rsid w:val="00C87FD0"/>
    <w:rsid w:val="00C902C8"/>
    <w:rsid w:val="00C903E7"/>
    <w:rsid w:val="00C90DB6"/>
    <w:rsid w:val="00C92603"/>
    <w:rsid w:val="00C93649"/>
    <w:rsid w:val="00C9394F"/>
    <w:rsid w:val="00C93B1A"/>
    <w:rsid w:val="00C95E97"/>
    <w:rsid w:val="00C96D24"/>
    <w:rsid w:val="00C96F5F"/>
    <w:rsid w:val="00C97055"/>
    <w:rsid w:val="00C97D41"/>
    <w:rsid w:val="00CA0351"/>
    <w:rsid w:val="00CA1E82"/>
    <w:rsid w:val="00CA2B4F"/>
    <w:rsid w:val="00CA30C3"/>
    <w:rsid w:val="00CA3549"/>
    <w:rsid w:val="00CA5927"/>
    <w:rsid w:val="00CA5D23"/>
    <w:rsid w:val="00CA635E"/>
    <w:rsid w:val="00CA6BB0"/>
    <w:rsid w:val="00CA70CE"/>
    <w:rsid w:val="00CA79EC"/>
    <w:rsid w:val="00CB002C"/>
    <w:rsid w:val="00CB1E4B"/>
    <w:rsid w:val="00CB259F"/>
    <w:rsid w:val="00CB389B"/>
    <w:rsid w:val="00CB39C2"/>
    <w:rsid w:val="00CB45FC"/>
    <w:rsid w:val="00CB4C8C"/>
    <w:rsid w:val="00CB4E90"/>
    <w:rsid w:val="00CB5850"/>
    <w:rsid w:val="00CB5C99"/>
    <w:rsid w:val="00CB633B"/>
    <w:rsid w:val="00CB6782"/>
    <w:rsid w:val="00CB6E3E"/>
    <w:rsid w:val="00CB72CD"/>
    <w:rsid w:val="00CC080A"/>
    <w:rsid w:val="00CC09EB"/>
    <w:rsid w:val="00CC0D0F"/>
    <w:rsid w:val="00CC1275"/>
    <w:rsid w:val="00CC12EE"/>
    <w:rsid w:val="00CC1A4D"/>
    <w:rsid w:val="00CC3588"/>
    <w:rsid w:val="00CC5767"/>
    <w:rsid w:val="00CC5D2F"/>
    <w:rsid w:val="00CC667C"/>
    <w:rsid w:val="00CC68CC"/>
    <w:rsid w:val="00CC6CB9"/>
    <w:rsid w:val="00CC701E"/>
    <w:rsid w:val="00CC7735"/>
    <w:rsid w:val="00CC7CAD"/>
    <w:rsid w:val="00CD0310"/>
    <w:rsid w:val="00CD0D09"/>
    <w:rsid w:val="00CD268B"/>
    <w:rsid w:val="00CD2E48"/>
    <w:rsid w:val="00CD4826"/>
    <w:rsid w:val="00CD4E19"/>
    <w:rsid w:val="00CD6219"/>
    <w:rsid w:val="00CD700F"/>
    <w:rsid w:val="00CD70EB"/>
    <w:rsid w:val="00CD7319"/>
    <w:rsid w:val="00CD7BA2"/>
    <w:rsid w:val="00CD7DF8"/>
    <w:rsid w:val="00CE04BC"/>
    <w:rsid w:val="00CE0A6E"/>
    <w:rsid w:val="00CE148E"/>
    <w:rsid w:val="00CE208D"/>
    <w:rsid w:val="00CE242D"/>
    <w:rsid w:val="00CE2453"/>
    <w:rsid w:val="00CE356D"/>
    <w:rsid w:val="00CE3FA4"/>
    <w:rsid w:val="00CE44F8"/>
    <w:rsid w:val="00CE485F"/>
    <w:rsid w:val="00CE5277"/>
    <w:rsid w:val="00CE58F6"/>
    <w:rsid w:val="00CE5B4D"/>
    <w:rsid w:val="00CE6358"/>
    <w:rsid w:val="00CE6686"/>
    <w:rsid w:val="00CE6E97"/>
    <w:rsid w:val="00CE7868"/>
    <w:rsid w:val="00CE789A"/>
    <w:rsid w:val="00CE7968"/>
    <w:rsid w:val="00CE796C"/>
    <w:rsid w:val="00CF0DB0"/>
    <w:rsid w:val="00CF1B70"/>
    <w:rsid w:val="00CF1DD1"/>
    <w:rsid w:val="00CF2161"/>
    <w:rsid w:val="00CF2307"/>
    <w:rsid w:val="00CF26AE"/>
    <w:rsid w:val="00CF2D54"/>
    <w:rsid w:val="00CF311F"/>
    <w:rsid w:val="00CF44D0"/>
    <w:rsid w:val="00CF5047"/>
    <w:rsid w:val="00D007BA"/>
    <w:rsid w:val="00D01344"/>
    <w:rsid w:val="00D01B90"/>
    <w:rsid w:val="00D024CD"/>
    <w:rsid w:val="00D02C7C"/>
    <w:rsid w:val="00D034DA"/>
    <w:rsid w:val="00D03538"/>
    <w:rsid w:val="00D0421D"/>
    <w:rsid w:val="00D046FD"/>
    <w:rsid w:val="00D047F7"/>
    <w:rsid w:val="00D049B8"/>
    <w:rsid w:val="00D04C8A"/>
    <w:rsid w:val="00D04EB2"/>
    <w:rsid w:val="00D0516C"/>
    <w:rsid w:val="00D05B56"/>
    <w:rsid w:val="00D05BBE"/>
    <w:rsid w:val="00D05C2F"/>
    <w:rsid w:val="00D05EE7"/>
    <w:rsid w:val="00D068D0"/>
    <w:rsid w:val="00D06FE0"/>
    <w:rsid w:val="00D07307"/>
    <w:rsid w:val="00D076A9"/>
    <w:rsid w:val="00D07754"/>
    <w:rsid w:val="00D078D1"/>
    <w:rsid w:val="00D07B2E"/>
    <w:rsid w:val="00D10824"/>
    <w:rsid w:val="00D1188B"/>
    <w:rsid w:val="00D1293B"/>
    <w:rsid w:val="00D129A8"/>
    <w:rsid w:val="00D12FB9"/>
    <w:rsid w:val="00D13431"/>
    <w:rsid w:val="00D135F2"/>
    <w:rsid w:val="00D13D00"/>
    <w:rsid w:val="00D147C0"/>
    <w:rsid w:val="00D15696"/>
    <w:rsid w:val="00D15C51"/>
    <w:rsid w:val="00D16C68"/>
    <w:rsid w:val="00D17FDD"/>
    <w:rsid w:val="00D200BD"/>
    <w:rsid w:val="00D201AA"/>
    <w:rsid w:val="00D204A7"/>
    <w:rsid w:val="00D20AA5"/>
    <w:rsid w:val="00D20DC4"/>
    <w:rsid w:val="00D21059"/>
    <w:rsid w:val="00D22399"/>
    <w:rsid w:val="00D26223"/>
    <w:rsid w:val="00D2662C"/>
    <w:rsid w:val="00D27FA3"/>
    <w:rsid w:val="00D30711"/>
    <w:rsid w:val="00D316D2"/>
    <w:rsid w:val="00D3176C"/>
    <w:rsid w:val="00D31B3F"/>
    <w:rsid w:val="00D31DE7"/>
    <w:rsid w:val="00D321AF"/>
    <w:rsid w:val="00D3249F"/>
    <w:rsid w:val="00D33751"/>
    <w:rsid w:val="00D34AB9"/>
    <w:rsid w:val="00D35D4A"/>
    <w:rsid w:val="00D36F6E"/>
    <w:rsid w:val="00D372B0"/>
    <w:rsid w:val="00D37343"/>
    <w:rsid w:val="00D376AD"/>
    <w:rsid w:val="00D41E6A"/>
    <w:rsid w:val="00D42034"/>
    <w:rsid w:val="00D4205E"/>
    <w:rsid w:val="00D44EB8"/>
    <w:rsid w:val="00D464AE"/>
    <w:rsid w:val="00D47399"/>
    <w:rsid w:val="00D47BB2"/>
    <w:rsid w:val="00D47D04"/>
    <w:rsid w:val="00D5056A"/>
    <w:rsid w:val="00D510A0"/>
    <w:rsid w:val="00D51F73"/>
    <w:rsid w:val="00D527EE"/>
    <w:rsid w:val="00D5286F"/>
    <w:rsid w:val="00D529C4"/>
    <w:rsid w:val="00D53929"/>
    <w:rsid w:val="00D539B5"/>
    <w:rsid w:val="00D539D0"/>
    <w:rsid w:val="00D53F2B"/>
    <w:rsid w:val="00D540DC"/>
    <w:rsid w:val="00D54CA4"/>
    <w:rsid w:val="00D55616"/>
    <w:rsid w:val="00D5574C"/>
    <w:rsid w:val="00D55DAC"/>
    <w:rsid w:val="00D561C5"/>
    <w:rsid w:val="00D5636F"/>
    <w:rsid w:val="00D57FDF"/>
    <w:rsid w:val="00D6153F"/>
    <w:rsid w:val="00D61982"/>
    <w:rsid w:val="00D61A2D"/>
    <w:rsid w:val="00D61EA9"/>
    <w:rsid w:val="00D61EFF"/>
    <w:rsid w:val="00D62655"/>
    <w:rsid w:val="00D6267A"/>
    <w:rsid w:val="00D62998"/>
    <w:rsid w:val="00D636B6"/>
    <w:rsid w:val="00D6468E"/>
    <w:rsid w:val="00D647DE"/>
    <w:rsid w:val="00D64F49"/>
    <w:rsid w:val="00D6501F"/>
    <w:rsid w:val="00D65347"/>
    <w:rsid w:val="00D6575E"/>
    <w:rsid w:val="00D67D12"/>
    <w:rsid w:val="00D700D9"/>
    <w:rsid w:val="00D70309"/>
    <w:rsid w:val="00D705FF"/>
    <w:rsid w:val="00D70B0C"/>
    <w:rsid w:val="00D70DE6"/>
    <w:rsid w:val="00D7145C"/>
    <w:rsid w:val="00D7332F"/>
    <w:rsid w:val="00D744BC"/>
    <w:rsid w:val="00D7585A"/>
    <w:rsid w:val="00D7604B"/>
    <w:rsid w:val="00D7751E"/>
    <w:rsid w:val="00D77C53"/>
    <w:rsid w:val="00D77E96"/>
    <w:rsid w:val="00D80618"/>
    <w:rsid w:val="00D8068C"/>
    <w:rsid w:val="00D807DF"/>
    <w:rsid w:val="00D81006"/>
    <w:rsid w:val="00D82339"/>
    <w:rsid w:val="00D82494"/>
    <w:rsid w:val="00D82696"/>
    <w:rsid w:val="00D82FF2"/>
    <w:rsid w:val="00D830B9"/>
    <w:rsid w:val="00D83774"/>
    <w:rsid w:val="00D83C1D"/>
    <w:rsid w:val="00D84A4B"/>
    <w:rsid w:val="00D84E83"/>
    <w:rsid w:val="00D8555A"/>
    <w:rsid w:val="00D85631"/>
    <w:rsid w:val="00D85D98"/>
    <w:rsid w:val="00D85F8D"/>
    <w:rsid w:val="00D879CB"/>
    <w:rsid w:val="00D87C11"/>
    <w:rsid w:val="00D90A81"/>
    <w:rsid w:val="00D90B7D"/>
    <w:rsid w:val="00D90B81"/>
    <w:rsid w:val="00D90CC7"/>
    <w:rsid w:val="00D90DCE"/>
    <w:rsid w:val="00D92168"/>
    <w:rsid w:val="00D9231C"/>
    <w:rsid w:val="00D92356"/>
    <w:rsid w:val="00D92A5E"/>
    <w:rsid w:val="00D935BD"/>
    <w:rsid w:val="00D93CEC"/>
    <w:rsid w:val="00D93EEC"/>
    <w:rsid w:val="00D940B5"/>
    <w:rsid w:val="00D953F2"/>
    <w:rsid w:val="00D9582D"/>
    <w:rsid w:val="00D95CB0"/>
    <w:rsid w:val="00D9654F"/>
    <w:rsid w:val="00D966FE"/>
    <w:rsid w:val="00D977C0"/>
    <w:rsid w:val="00D97E14"/>
    <w:rsid w:val="00DA00A3"/>
    <w:rsid w:val="00DA13F3"/>
    <w:rsid w:val="00DA2DE3"/>
    <w:rsid w:val="00DA3633"/>
    <w:rsid w:val="00DA400B"/>
    <w:rsid w:val="00DA4130"/>
    <w:rsid w:val="00DA4909"/>
    <w:rsid w:val="00DA5999"/>
    <w:rsid w:val="00DA6443"/>
    <w:rsid w:val="00DA6B5E"/>
    <w:rsid w:val="00DA7146"/>
    <w:rsid w:val="00DA716A"/>
    <w:rsid w:val="00DA7B82"/>
    <w:rsid w:val="00DB02ED"/>
    <w:rsid w:val="00DB02EE"/>
    <w:rsid w:val="00DB0843"/>
    <w:rsid w:val="00DB1F4F"/>
    <w:rsid w:val="00DB2CD0"/>
    <w:rsid w:val="00DB37EE"/>
    <w:rsid w:val="00DB401F"/>
    <w:rsid w:val="00DB4450"/>
    <w:rsid w:val="00DB4EE7"/>
    <w:rsid w:val="00DB5102"/>
    <w:rsid w:val="00DB521D"/>
    <w:rsid w:val="00DB5971"/>
    <w:rsid w:val="00DB5D51"/>
    <w:rsid w:val="00DB5F53"/>
    <w:rsid w:val="00DB6E27"/>
    <w:rsid w:val="00DB7B69"/>
    <w:rsid w:val="00DC0A2F"/>
    <w:rsid w:val="00DC0DBE"/>
    <w:rsid w:val="00DC1C8F"/>
    <w:rsid w:val="00DC1F57"/>
    <w:rsid w:val="00DC234A"/>
    <w:rsid w:val="00DC35DD"/>
    <w:rsid w:val="00DC41E4"/>
    <w:rsid w:val="00DC496E"/>
    <w:rsid w:val="00DC5116"/>
    <w:rsid w:val="00DC59DF"/>
    <w:rsid w:val="00DC7C77"/>
    <w:rsid w:val="00DC7FD5"/>
    <w:rsid w:val="00DD02FF"/>
    <w:rsid w:val="00DD0925"/>
    <w:rsid w:val="00DD24F9"/>
    <w:rsid w:val="00DD26EC"/>
    <w:rsid w:val="00DD2C06"/>
    <w:rsid w:val="00DD2DFB"/>
    <w:rsid w:val="00DD3604"/>
    <w:rsid w:val="00DD36B0"/>
    <w:rsid w:val="00DD3F4D"/>
    <w:rsid w:val="00DD6F2E"/>
    <w:rsid w:val="00DD72E1"/>
    <w:rsid w:val="00DD7848"/>
    <w:rsid w:val="00DD796C"/>
    <w:rsid w:val="00DD7EA2"/>
    <w:rsid w:val="00DE00F2"/>
    <w:rsid w:val="00DE1120"/>
    <w:rsid w:val="00DE117F"/>
    <w:rsid w:val="00DE22D3"/>
    <w:rsid w:val="00DE2D17"/>
    <w:rsid w:val="00DE353C"/>
    <w:rsid w:val="00DE401C"/>
    <w:rsid w:val="00DE549C"/>
    <w:rsid w:val="00DE5510"/>
    <w:rsid w:val="00DE5954"/>
    <w:rsid w:val="00DE5EC7"/>
    <w:rsid w:val="00DE6E2F"/>
    <w:rsid w:val="00DE6F47"/>
    <w:rsid w:val="00DE7D13"/>
    <w:rsid w:val="00DE7DD2"/>
    <w:rsid w:val="00DF1EAE"/>
    <w:rsid w:val="00DF2AF6"/>
    <w:rsid w:val="00DF2B22"/>
    <w:rsid w:val="00DF3816"/>
    <w:rsid w:val="00DF3818"/>
    <w:rsid w:val="00DF3F94"/>
    <w:rsid w:val="00DF4369"/>
    <w:rsid w:val="00DF4B8D"/>
    <w:rsid w:val="00DF55FC"/>
    <w:rsid w:val="00DF5970"/>
    <w:rsid w:val="00DF5B14"/>
    <w:rsid w:val="00DF63FA"/>
    <w:rsid w:val="00DF66E2"/>
    <w:rsid w:val="00E001FD"/>
    <w:rsid w:val="00E00A1C"/>
    <w:rsid w:val="00E00D60"/>
    <w:rsid w:val="00E01250"/>
    <w:rsid w:val="00E012CC"/>
    <w:rsid w:val="00E0147A"/>
    <w:rsid w:val="00E01EC7"/>
    <w:rsid w:val="00E01ECC"/>
    <w:rsid w:val="00E0220A"/>
    <w:rsid w:val="00E0220E"/>
    <w:rsid w:val="00E02961"/>
    <w:rsid w:val="00E02A1E"/>
    <w:rsid w:val="00E02B71"/>
    <w:rsid w:val="00E02DEB"/>
    <w:rsid w:val="00E03999"/>
    <w:rsid w:val="00E0399E"/>
    <w:rsid w:val="00E039F9"/>
    <w:rsid w:val="00E042A1"/>
    <w:rsid w:val="00E05E82"/>
    <w:rsid w:val="00E069E3"/>
    <w:rsid w:val="00E07425"/>
    <w:rsid w:val="00E1043E"/>
    <w:rsid w:val="00E104FA"/>
    <w:rsid w:val="00E1082A"/>
    <w:rsid w:val="00E10956"/>
    <w:rsid w:val="00E10B68"/>
    <w:rsid w:val="00E110B5"/>
    <w:rsid w:val="00E11166"/>
    <w:rsid w:val="00E12818"/>
    <w:rsid w:val="00E12887"/>
    <w:rsid w:val="00E12D39"/>
    <w:rsid w:val="00E13182"/>
    <w:rsid w:val="00E13426"/>
    <w:rsid w:val="00E141AF"/>
    <w:rsid w:val="00E14523"/>
    <w:rsid w:val="00E14972"/>
    <w:rsid w:val="00E14A89"/>
    <w:rsid w:val="00E14CB9"/>
    <w:rsid w:val="00E151F2"/>
    <w:rsid w:val="00E15383"/>
    <w:rsid w:val="00E15C82"/>
    <w:rsid w:val="00E1738C"/>
    <w:rsid w:val="00E17797"/>
    <w:rsid w:val="00E17C9D"/>
    <w:rsid w:val="00E201C0"/>
    <w:rsid w:val="00E21ABD"/>
    <w:rsid w:val="00E22775"/>
    <w:rsid w:val="00E22D28"/>
    <w:rsid w:val="00E22F81"/>
    <w:rsid w:val="00E22F87"/>
    <w:rsid w:val="00E230E3"/>
    <w:rsid w:val="00E23C97"/>
    <w:rsid w:val="00E244B0"/>
    <w:rsid w:val="00E24727"/>
    <w:rsid w:val="00E24D5F"/>
    <w:rsid w:val="00E250DB"/>
    <w:rsid w:val="00E265A7"/>
    <w:rsid w:val="00E26FC5"/>
    <w:rsid w:val="00E27B80"/>
    <w:rsid w:val="00E30EDF"/>
    <w:rsid w:val="00E31B43"/>
    <w:rsid w:val="00E31FBA"/>
    <w:rsid w:val="00E326D0"/>
    <w:rsid w:val="00E33513"/>
    <w:rsid w:val="00E33A4F"/>
    <w:rsid w:val="00E33F3E"/>
    <w:rsid w:val="00E341E5"/>
    <w:rsid w:val="00E34315"/>
    <w:rsid w:val="00E35FBC"/>
    <w:rsid w:val="00E36AAE"/>
    <w:rsid w:val="00E37198"/>
    <w:rsid w:val="00E3774C"/>
    <w:rsid w:val="00E41013"/>
    <w:rsid w:val="00E41313"/>
    <w:rsid w:val="00E41773"/>
    <w:rsid w:val="00E41ACD"/>
    <w:rsid w:val="00E42FE6"/>
    <w:rsid w:val="00E43B4A"/>
    <w:rsid w:val="00E44D25"/>
    <w:rsid w:val="00E44E78"/>
    <w:rsid w:val="00E45C40"/>
    <w:rsid w:val="00E460B6"/>
    <w:rsid w:val="00E46BD2"/>
    <w:rsid w:val="00E46CF3"/>
    <w:rsid w:val="00E473D4"/>
    <w:rsid w:val="00E474CF"/>
    <w:rsid w:val="00E513F6"/>
    <w:rsid w:val="00E519A7"/>
    <w:rsid w:val="00E51A4C"/>
    <w:rsid w:val="00E51EC6"/>
    <w:rsid w:val="00E5203E"/>
    <w:rsid w:val="00E52F3B"/>
    <w:rsid w:val="00E52F80"/>
    <w:rsid w:val="00E53BEE"/>
    <w:rsid w:val="00E53D94"/>
    <w:rsid w:val="00E53DEA"/>
    <w:rsid w:val="00E5424B"/>
    <w:rsid w:val="00E544BA"/>
    <w:rsid w:val="00E55B64"/>
    <w:rsid w:val="00E573EF"/>
    <w:rsid w:val="00E616DB"/>
    <w:rsid w:val="00E62442"/>
    <w:rsid w:val="00E627A4"/>
    <w:rsid w:val="00E62A5E"/>
    <w:rsid w:val="00E630ED"/>
    <w:rsid w:val="00E6395F"/>
    <w:rsid w:val="00E6437C"/>
    <w:rsid w:val="00E65237"/>
    <w:rsid w:val="00E66367"/>
    <w:rsid w:val="00E67862"/>
    <w:rsid w:val="00E67ADD"/>
    <w:rsid w:val="00E70ACF"/>
    <w:rsid w:val="00E70D46"/>
    <w:rsid w:val="00E712A9"/>
    <w:rsid w:val="00E713BC"/>
    <w:rsid w:val="00E72444"/>
    <w:rsid w:val="00E726A8"/>
    <w:rsid w:val="00E72D3D"/>
    <w:rsid w:val="00E72E07"/>
    <w:rsid w:val="00E72EAD"/>
    <w:rsid w:val="00E7410F"/>
    <w:rsid w:val="00E74EC5"/>
    <w:rsid w:val="00E75161"/>
    <w:rsid w:val="00E76B86"/>
    <w:rsid w:val="00E773F4"/>
    <w:rsid w:val="00E8000D"/>
    <w:rsid w:val="00E809F3"/>
    <w:rsid w:val="00E80C21"/>
    <w:rsid w:val="00E820BD"/>
    <w:rsid w:val="00E8227B"/>
    <w:rsid w:val="00E8342F"/>
    <w:rsid w:val="00E84210"/>
    <w:rsid w:val="00E844CD"/>
    <w:rsid w:val="00E847A7"/>
    <w:rsid w:val="00E84FE5"/>
    <w:rsid w:val="00E860D6"/>
    <w:rsid w:val="00E86682"/>
    <w:rsid w:val="00E86E79"/>
    <w:rsid w:val="00E87EC9"/>
    <w:rsid w:val="00E9048D"/>
    <w:rsid w:val="00E906B4"/>
    <w:rsid w:val="00E9095B"/>
    <w:rsid w:val="00E9145E"/>
    <w:rsid w:val="00E91B24"/>
    <w:rsid w:val="00E91B2B"/>
    <w:rsid w:val="00E91D76"/>
    <w:rsid w:val="00E926B8"/>
    <w:rsid w:val="00E927BF"/>
    <w:rsid w:val="00E92920"/>
    <w:rsid w:val="00E92B70"/>
    <w:rsid w:val="00E92EEF"/>
    <w:rsid w:val="00E936DA"/>
    <w:rsid w:val="00E9399B"/>
    <w:rsid w:val="00E939A7"/>
    <w:rsid w:val="00E94008"/>
    <w:rsid w:val="00E94762"/>
    <w:rsid w:val="00E94884"/>
    <w:rsid w:val="00E94BDB"/>
    <w:rsid w:val="00E95208"/>
    <w:rsid w:val="00E956BA"/>
    <w:rsid w:val="00E96B52"/>
    <w:rsid w:val="00EA0018"/>
    <w:rsid w:val="00EA08BE"/>
    <w:rsid w:val="00EA0A85"/>
    <w:rsid w:val="00EA14B0"/>
    <w:rsid w:val="00EA2244"/>
    <w:rsid w:val="00EA4DDC"/>
    <w:rsid w:val="00EA6FA7"/>
    <w:rsid w:val="00EB067F"/>
    <w:rsid w:val="00EB150C"/>
    <w:rsid w:val="00EB17BE"/>
    <w:rsid w:val="00EB1A1B"/>
    <w:rsid w:val="00EB1F02"/>
    <w:rsid w:val="00EB2A00"/>
    <w:rsid w:val="00EB2E64"/>
    <w:rsid w:val="00EB2FEF"/>
    <w:rsid w:val="00EB3290"/>
    <w:rsid w:val="00EB3F7A"/>
    <w:rsid w:val="00EB46B9"/>
    <w:rsid w:val="00EB57EA"/>
    <w:rsid w:val="00EB5BC5"/>
    <w:rsid w:val="00EB6212"/>
    <w:rsid w:val="00EB6BB5"/>
    <w:rsid w:val="00EB6E30"/>
    <w:rsid w:val="00EB6FD5"/>
    <w:rsid w:val="00EB73BC"/>
    <w:rsid w:val="00EB7618"/>
    <w:rsid w:val="00EB7A2E"/>
    <w:rsid w:val="00EB7B51"/>
    <w:rsid w:val="00EB7F93"/>
    <w:rsid w:val="00EC086C"/>
    <w:rsid w:val="00EC1720"/>
    <w:rsid w:val="00EC2DB7"/>
    <w:rsid w:val="00EC337D"/>
    <w:rsid w:val="00EC42D0"/>
    <w:rsid w:val="00EC5256"/>
    <w:rsid w:val="00EC549A"/>
    <w:rsid w:val="00EC57B0"/>
    <w:rsid w:val="00EC5D33"/>
    <w:rsid w:val="00EC638F"/>
    <w:rsid w:val="00EC68BF"/>
    <w:rsid w:val="00EC7927"/>
    <w:rsid w:val="00ED095E"/>
    <w:rsid w:val="00ED1A0B"/>
    <w:rsid w:val="00ED27DD"/>
    <w:rsid w:val="00ED312F"/>
    <w:rsid w:val="00ED31E5"/>
    <w:rsid w:val="00ED4E9C"/>
    <w:rsid w:val="00ED5162"/>
    <w:rsid w:val="00ED697C"/>
    <w:rsid w:val="00EE06CA"/>
    <w:rsid w:val="00EE1E0C"/>
    <w:rsid w:val="00EE43AD"/>
    <w:rsid w:val="00EE4874"/>
    <w:rsid w:val="00EE48D6"/>
    <w:rsid w:val="00EE4A6E"/>
    <w:rsid w:val="00EE4BAB"/>
    <w:rsid w:val="00EE4D3B"/>
    <w:rsid w:val="00EE511D"/>
    <w:rsid w:val="00EE6FC6"/>
    <w:rsid w:val="00EE7922"/>
    <w:rsid w:val="00EE79A6"/>
    <w:rsid w:val="00EF11DF"/>
    <w:rsid w:val="00EF130D"/>
    <w:rsid w:val="00EF2E26"/>
    <w:rsid w:val="00EF30E0"/>
    <w:rsid w:val="00EF3A81"/>
    <w:rsid w:val="00EF3D05"/>
    <w:rsid w:val="00EF42CF"/>
    <w:rsid w:val="00EF45D8"/>
    <w:rsid w:val="00EF5403"/>
    <w:rsid w:val="00EF567D"/>
    <w:rsid w:val="00EF5B08"/>
    <w:rsid w:val="00EF5F11"/>
    <w:rsid w:val="00EF6111"/>
    <w:rsid w:val="00EF6CFA"/>
    <w:rsid w:val="00F005A0"/>
    <w:rsid w:val="00F01835"/>
    <w:rsid w:val="00F01891"/>
    <w:rsid w:val="00F01DE9"/>
    <w:rsid w:val="00F0229D"/>
    <w:rsid w:val="00F02B1B"/>
    <w:rsid w:val="00F0322F"/>
    <w:rsid w:val="00F032BB"/>
    <w:rsid w:val="00F032C8"/>
    <w:rsid w:val="00F03522"/>
    <w:rsid w:val="00F03567"/>
    <w:rsid w:val="00F03DD3"/>
    <w:rsid w:val="00F04BBE"/>
    <w:rsid w:val="00F0580C"/>
    <w:rsid w:val="00F06616"/>
    <w:rsid w:val="00F07485"/>
    <w:rsid w:val="00F07EDE"/>
    <w:rsid w:val="00F10BC6"/>
    <w:rsid w:val="00F11352"/>
    <w:rsid w:val="00F11AD0"/>
    <w:rsid w:val="00F12313"/>
    <w:rsid w:val="00F13D34"/>
    <w:rsid w:val="00F14308"/>
    <w:rsid w:val="00F14602"/>
    <w:rsid w:val="00F1498D"/>
    <w:rsid w:val="00F14DDF"/>
    <w:rsid w:val="00F152AD"/>
    <w:rsid w:val="00F15BA3"/>
    <w:rsid w:val="00F15D52"/>
    <w:rsid w:val="00F165B7"/>
    <w:rsid w:val="00F1722F"/>
    <w:rsid w:val="00F20C9C"/>
    <w:rsid w:val="00F21827"/>
    <w:rsid w:val="00F21A00"/>
    <w:rsid w:val="00F2285F"/>
    <w:rsid w:val="00F23155"/>
    <w:rsid w:val="00F23EE4"/>
    <w:rsid w:val="00F24236"/>
    <w:rsid w:val="00F24E0E"/>
    <w:rsid w:val="00F2525F"/>
    <w:rsid w:val="00F25504"/>
    <w:rsid w:val="00F25707"/>
    <w:rsid w:val="00F26693"/>
    <w:rsid w:val="00F26A13"/>
    <w:rsid w:val="00F26CEB"/>
    <w:rsid w:val="00F27D3B"/>
    <w:rsid w:val="00F30F7A"/>
    <w:rsid w:val="00F31261"/>
    <w:rsid w:val="00F31334"/>
    <w:rsid w:val="00F31BB3"/>
    <w:rsid w:val="00F31C67"/>
    <w:rsid w:val="00F323C3"/>
    <w:rsid w:val="00F32A15"/>
    <w:rsid w:val="00F32C93"/>
    <w:rsid w:val="00F32EE6"/>
    <w:rsid w:val="00F32F3C"/>
    <w:rsid w:val="00F339EC"/>
    <w:rsid w:val="00F3414F"/>
    <w:rsid w:val="00F3443B"/>
    <w:rsid w:val="00F34FDD"/>
    <w:rsid w:val="00F35279"/>
    <w:rsid w:val="00F35CC2"/>
    <w:rsid w:val="00F35F1A"/>
    <w:rsid w:val="00F36130"/>
    <w:rsid w:val="00F36278"/>
    <w:rsid w:val="00F3644F"/>
    <w:rsid w:val="00F36B71"/>
    <w:rsid w:val="00F373AE"/>
    <w:rsid w:val="00F37D22"/>
    <w:rsid w:val="00F4032F"/>
    <w:rsid w:val="00F40360"/>
    <w:rsid w:val="00F40444"/>
    <w:rsid w:val="00F40CE6"/>
    <w:rsid w:val="00F40EC2"/>
    <w:rsid w:val="00F41B59"/>
    <w:rsid w:val="00F42099"/>
    <w:rsid w:val="00F423BD"/>
    <w:rsid w:val="00F42AFB"/>
    <w:rsid w:val="00F42ED8"/>
    <w:rsid w:val="00F431C5"/>
    <w:rsid w:val="00F432FF"/>
    <w:rsid w:val="00F433C2"/>
    <w:rsid w:val="00F4457F"/>
    <w:rsid w:val="00F44B9C"/>
    <w:rsid w:val="00F456D2"/>
    <w:rsid w:val="00F45B08"/>
    <w:rsid w:val="00F46431"/>
    <w:rsid w:val="00F46523"/>
    <w:rsid w:val="00F469AD"/>
    <w:rsid w:val="00F4715C"/>
    <w:rsid w:val="00F47C9F"/>
    <w:rsid w:val="00F5070F"/>
    <w:rsid w:val="00F50CE8"/>
    <w:rsid w:val="00F51361"/>
    <w:rsid w:val="00F52330"/>
    <w:rsid w:val="00F525CE"/>
    <w:rsid w:val="00F54603"/>
    <w:rsid w:val="00F54772"/>
    <w:rsid w:val="00F54869"/>
    <w:rsid w:val="00F556B2"/>
    <w:rsid w:val="00F55E6D"/>
    <w:rsid w:val="00F56024"/>
    <w:rsid w:val="00F565E8"/>
    <w:rsid w:val="00F56CB4"/>
    <w:rsid w:val="00F5754B"/>
    <w:rsid w:val="00F576DE"/>
    <w:rsid w:val="00F57747"/>
    <w:rsid w:val="00F578BC"/>
    <w:rsid w:val="00F633F1"/>
    <w:rsid w:val="00F63BF7"/>
    <w:rsid w:val="00F6453E"/>
    <w:rsid w:val="00F65215"/>
    <w:rsid w:val="00F655C6"/>
    <w:rsid w:val="00F65617"/>
    <w:rsid w:val="00F65A88"/>
    <w:rsid w:val="00F66494"/>
    <w:rsid w:val="00F700B9"/>
    <w:rsid w:val="00F7011F"/>
    <w:rsid w:val="00F710BE"/>
    <w:rsid w:val="00F71BF5"/>
    <w:rsid w:val="00F72016"/>
    <w:rsid w:val="00F72C08"/>
    <w:rsid w:val="00F72DAD"/>
    <w:rsid w:val="00F736D2"/>
    <w:rsid w:val="00F74CEE"/>
    <w:rsid w:val="00F7564C"/>
    <w:rsid w:val="00F76220"/>
    <w:rsid w:val="00F769BE"/>
    <w:rsid w:val="00F7735C"/>
    <w:rsid w:val="00F77BD5"/>
    <w:rsid w:val="00F82E6B"/>
    <w:rsid w:val="00F83662"/>
    <w:rsid w:val="00F838C0"/>
    <w:rsid w:val="00F85F83"/>
    <w:rsid w:val="00F86374"/>
    <w:rsid w:val="00F86739"/>
    <w:rsid w:val="00F87E7F"/>
    <w:rsid w:val="00F90D75"/>
    <w:rsid w:val="00F91049"/>
    <w:rsid w:val="00F912FD"/>
    <w:rsid w:val="00F91D43"/>
    <w:rsid w:val="00F92B65"/>
    <w:rsid w:val="00F9367F"/>
    <w:rsid w:val="00F9512B"/>
    <w:rsid w:val="00F95411"/>
    <w:rsid w:val="00F9619C"/>
    <w:rsid w:val="00F96339"/>
    <w:rsid w:val="00F9759C"/>
    <w:rsid w:val="00F97859"/>
    <w:rsid w:val="00F97973"/>
    <w:rsid w:val="00F97B71"/>
    <w:rsid w:val="00FA06A3"/>
    <w:rsid w:val="00FA0E23"/>
    <w:rsid w:val="00FA230F"/>
    <w:rsid w:val="00FA2CFC"/>
    <w:rsid w:val="00FA2DDA"/>
    <w:rsid w:val="00FA34CA"/>
    <w:rsid w:val="00FA3E3E"/>
    <w:rsid w:val="00FA4A55"/>
    <w:rsid w:val="00FA4D4F"/>
    <w:rsid w:val="00FA54E8"/>
    <w:rsid w:val="00FA5FE8"/>
    <w:rsid w:val="00FA668B"/>
    <w:rsid w:val="00FA67CF"/>
    <w:rsid w:val="00FA7659"/>
    <w:rsid w:val="00FA7F6F"/>
    <w:rsid w:val="00FB10EC"/>
    <w:rsid w:val="00FB2D17"/>
    <w:rsid w:val="00FB2F69"/>
    <w:rsid w:val="00FB368B"/>
    <w:rsid w:val="00FB3A3A"/>
    <w:rsid w:val="00FB3D98"/>
    <w:rsid w:val="00FB4217"/>
    <w:rsid w:val="00FB4379"/>
    <w:rsid w:val="00FB45FF"/>
    <w:rsid w:val="00FB4C09"/>
    <w:rsid w:val="00FB55D8"/>
    <w:rsid w:val="00FB5D97"/>
    <w:rsid w:val="00FB61EA"/>
    <w:rsid w:val="00FB6C7A"/>
    <w:rsid w:val="00FB732E"/>
    <w:rsid w:val="00FB79F7"/>
    <w:rsid w:val="00FC09E7"/>
    <w:rsid w:val="00FC1CA5"/>
    <w:rsid w:val="00FC1D8E"/>
    <w:rsid w:val="00FC24EB"/>
    <w:rsid w:val="00FC2733"/>
    <w:rsid w:val="00FC2979"/>
    <w:rsid w:val="00FC5041"/>
    <w:rsid w:val="00FC5407"/>
    <w:rsid w:val="00FC6D6C"/>
    <w:rsid w:val="00FC6E91"/>
    <w:rsid w:val="00FC71A8"/>
    <w:rsid w:val="00FD1BEF"/>
    <w:rsid w:val="00FD1C3C"/>
    <w:rsid w:val="00FD24F6"/>
    <w:rsid w:val="00FD2DB1"/>
    <w:rsid w:val="00FD38A8"/>
    <w:rsid w:val="00FD3A23"/>
    <w:rsid w:val="00FD5348"/>
    <w:rsid w:val="00FD6AC8"/>
    <w:rsid w:val="00FD6ADD"/>
    <w:rsid w:val="00FE06DF"/>
    <w:rsid w:val="00FE0A6C"/>
    <w:rsid w:val="00FE1727"/>
    <w:rsid w:val="00FE1738"/>
    <w:rsid w:val="00FE225B"/>
    <w:rsid w:val="00FE3638"/>
    <w:rsid w:val="00FE3EA1"/>
    <w:rsid w:val="00FE4818"/>
    <w:rsid w:val="00FE4CA4"/>
    <w:rsid w:val="00FE5AE4"/>
    <w:rsid w:val="00FE5D80"/>
    <w:rsid w:val="00FE637F"/>
    <w:rsid w:val="00FE64EE"/>
    <w:rsid w:val="00FE73F7"/>
    <w:rsid w:val="00FE745E"/>
    <w:rsid w:val="00FE7865"/>
    <w:rsid w:val="00FF05DE"/>
    <w:rsid w:val="00FF06C4"/>
    <w:rsid w:val="00FF0BB0"/>
    <w:rsid w:val="00FF1342"/>
    <w:rsid w:val="00FF1513"/>
    <w:rsid w:val="00FF1577"/>
    <w:rsid w:val="00FF17DD"/>
    <w:rsid w:val="00FF2145"/>
    <w:rsid w:val="00FF314D"/>
    <w:rsid w:val="00FF3334"/>
    <w:rsid w:val="00FF50AB"/>
    <w:rsid w:val="00FF54A3"/>
    <w:rsid w:val="00FF5733"/>
    <w:rsid w:val="00FF59BE"/>
    <w:rsid w:val="00FF5BA7"/>
    <w:rsid w:val="00FF6267"/>
    <w:rsid w:val="00FF64CC"/>
    <w:rsid w:val="00FF6ADB"/>
    <w:rsid w:val="00FF6C36"/>
    <w:rsid w:val="00FF6F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0B9DC40F-514C-4B2A-BBCF-AAFCA33F8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paragraph" w:styleId="40">
    <w:name w:val="heading 4"/>
    <w:basedOn w:val="a"/>
    <w:next w:val="a"/>
    <w:link w:val="4Char"/>
    <w:unhideWhenUsed/>
    <w:qFormat/>
    <w:locked/>
    <w:rsid w:val="0091064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4">
    <w:name w:val="Balloon Text"/>
    <w:basedOn w:val="a"/>
    <w:link w:val="Char"/>
    <w:uiPriority w:val="99"/>
    <w:semiHidden/>
    <w:rsid w:val="00FB732E"/>
    <w:rPr>
      <w:sz w:val="18"/>
      <w:szCs w:val="18"/>
    </w:rPr>
  </w:style>
  <w:style w:type="character" w:customStyle="1" w:styleId="Char">
    <w:name w:val="批注框文本 Char"/>
    <w:link w:val="a4"/>
    <w:uiPriority w:val="99"/>
    <w:semiHidden/>
    <w:locked/>
    <w:rsid w:val="006D141C"/>
    <w:rPr>
      <w:rFonts w:cs="Times New Roman"/>
      <w:kern w:val="2"/>
      <w:sz w:val="18"/>
      <w:szCs w:val="18"/>
    </w:rPr>
  </w:style>
  <w:style w:type="paragraph" w:styleId="a0">
    <w:name w:val="Normal Indent"/>
    <w:basedOn w:val="a"/>
    <w:uiPriority w:val="99"/>
    <w:rsid w:val="00FB732E"/>
    <w:pPr>
      <w:ind w:firstLineChars="200" w:firstLine="420"/>
    </w:pPr>
  </w:style>
  <w:style w:type="paragraph" w:styleId="a5">
    <w:name w:val="Body Text Indent"/>
    <w:basedOn w:val="a"/>
    <w:link w:val="Char0"/>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0">
    <w:name w:val="正文文本缩进 Char"/>
    <w:link w:val="a5"/>
    <w:uiPriority w:val="99"/>
    <w:locked/>
    <w:rsid w:val="006D141C"/>
    <w:rPr>
      <w:rFonts w:ascii="Arial Unicode MS" w:eastAsia="Times New Roman" w:hAnsi="Arial Unicode MS" w:cs="Arial Unicode MS"/>
      <w:sz w:val="24"/>
      <w:szCs w:val="24"/>
    </w:rPr>
  </w:style>
  <w:style w:type="paragraph" w:styleId="a6">
    <w:name w:val="Plain Text"/>
    <w:basedOn w:val="a"/>
    <w:link w:val="Char1"/>
    <w:uiPriority w:val="99"/>
    <w:rsid w:val="00FB732E"/>
    <w:rPr>
      <w:rFonts w:ascii="宋体" w:hAnsi="Courier New"/>
      <w:szCs w:val="21"/>
    </w:rPr>
  </w:style>
  <w:style w:type="character" w:customStyle="1" w:styleId="Char1">
    <w:name w:val="纯文本 Char"/>
    <w:link w:val="a6"/>
    <w:uiPriority w:val="99"/>
    <w:locked/>
    <w:rsid w:val="00586E9A"/>
    <w:rPr>
      <w:rFonts w:ascii="宋体" w:hAnsi="Courier New"/>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7">
    <w:name w:val="footer"/>
    <w:basedOn w:val="a"/>
    <w:link w:val="Char2"/>
    <w:uiPriority w:val="99"/>
    <w:rsid w:val="00FB732E"/>
    <w:pPr>
      <w:tabs>
        <w:tab w:val="center" w:pos="4153"/>
        <w:tab w:val="right" w:pos="8306"/>
      </w:tabs>
      <w:snapToGrid w:val="0"/>
      <w:jc w:val="left"/>
    </w:pPr>
    <w:rPr>
      <w:sz w:val="18"/>
      <w:szCs w:val="18"/>
    </w:rPr>
  </w:style>
  <w:style w:type="character" w:customStyle="1" w:styleId="Char2">
    <w:name w:val="页脚 Char"/>
    <w:link w:val="a7"/>
    <w:uiPriority w:val="99"/>
    <w:locked/>
    <w:rsid w:val="006D141C"/>
    <w:rPr>
      <w:rFonts w:cs="Times New Roman"/>
      <w:kern w:val="2"/>
      <w:sz w:val="18"/>
      <w:szCs w:val="18"/>
    </w:rPr>
  </w:style>
  <w:style w:type="character" w:styleId="a8">
    <w:name w:val="page number"/>
    <w:uiPriority w:val="99"/>
    <w:rsid w:val="00FB732E"/>
    <w:rPr>
      <w:rFonts w:cs="Times New Roman"/>
    </w:rPr>
  </w:style>
  <w:style w:type="character" w:styleId="a9">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a">
    <w:name w:val="header"/>
    <w:basedOn w:val="a"/>
    <w:link w:val="Char3"/>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3">
    <w:name w:val="页眉 Char"/>
    <w:link w:val="aa"/>
    <w:uiPriority w:val="99"/>
    <w:locked/>
    <w:rsid w:val="006D141C"/>
    <w:rPr>
      <w:rFonts w:cs="Times New Roman"/>
      <w:kern w:val="2"/>
      <w:sz w:val="18"/>
      <w:szCs w:val="18"/>
    </w:rPr>
  </w:style>
  <w:style w:type="character" w:styleId="ab">
    <w:name w:val="FollowedHyperlink"/>
    <w:uiPriority w:val="99"/>
    <w:rsid w:val="00FB732E"/>
    <w:rPr>
      <w:rFonts w:cs="Times New Roman"/>
      <w:color w:val="800080"/>
      <w:u w:val="single"/>
    </w:rPr>
  </w:style>
  <w:style w:type="paragraph" w:styleId="ac">
    <w:name w:val="List"/>
    <w:basedOn w:val="ad"/>
    <w:uiPriority w:val="99"/>
    <w:rsid w:val="00FB732E"/>
    <w:pPr>
      <w:spacing w:after="220" w:line="220" w:lineRule="atLeast"/>
      <w:ind w:left="1440" w:hanging="360"/>
    </w:pPr>
    <w:rPr>
      <w:szCs w:val="20"/>
    </w:rPr>
  </w:style>
  <w:style w:type="paragraph" w:styleId="ad">
    <w:name w:val="Body Text"/>
    <w:basedOn w:val="a"/>
    <w:link w:val="Char4"/>
    <w:uiPriority w:val="99"/>
    <w:rsid w:val="00FB732E"/>
    <w:pPr>
      <w:spacing w:after="120"/>
    </w:pPr>
  </w:style>
  <w:style w:type="character" w:customStyle="1" w:styleId="Char4">
    <w:name w:val="正文文本 Char"/>
    <w:link w:val="ad"/>
    <w:uiPriority w:val="99"/>
    <w:locked/>
    <w:rsid w:val="006D141C"/>
    <w:rPr>
      <w:rFonts w:cs="Times New Roman"/>
      <w:kern w:val="2"/>
      <w:sz w:val="24"/>
      <w:szCs w:val="24"/>
    </w:rPr>
  </w:style>
  <w:style w:type="paragraph" w:styleId="ae">
    <w:name w:val="Date"/>
    <w:basedOn w:val="a"/>
    <w:next w:val="a"/>
    <w:link w:val="Char5"/>
    <w:uiPriority w:val="99"/>
    <w:rsid w:val="00FB732E"/>
    <w:rPr>
      <w:sz w:val="24"/>
      <w:szCs w:val="20"/>
    </w:rPr>
  </w:style>
  <w:style w:type="character" w:customStyle="1" w:styleId="Char5">
    <w:name w:val="日期 Char"/>
    <w:link w:val="ae"/>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semiHidden/>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link w:val="2Char1"/>
    <w:autoRedefine/>
    <w:uiPriority w:val="39"/>
    <w:qFormat/>
    <w:rsid w:val="003D3725"/>
    <w:pPr>
      <w:tabs>
        <w:tab w:val="left" w:pos="1260"/>
        <w:tab w:val="right" w:leader="dot" w:pos="9072"/>
      </w:tabs>
      <w:ind w:leftChars="200" w:left="20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937FC6"/>
    <w:pPr>
      <w:tabs>
        <w:tab w:val="left" w:pos="420"/>
        <w:tab w:val="right" w:leader="dot" w:pos="9072"/>
      </w:tabs>
    </w:pPr>
  </w:style>
  <w:style w:type="paragraph" w:styleId="32">
    <w:name w:val="toc 3"/>
    <w:basedOn w:val="a"/>
    <w:next w:val="a"/>
    <w:autoRedefine/>
    <w:uiPriority w:val="99"/>
    <w:semiHidden/>
    <w:qFormat/>
    <w:rsid w:val="003D3725"/>
    <w:pPr>
      <w:ind w:leftChars="400" w:left="40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styleId="TOC">
    <w:name w:val="TOC Heading"/>
    <w:basedOn w:val="1"/>
    <w:next w:val="a"/>
    <w:uiPriority w:val="99"/>
    <w:qFormat/>
    <w:rsid w:val="00B60A44"/>
    <w:pPr>
      <w:keepNext/>
      <w:keepLines/>
      <w:spacing w:before="480" w:line="276" w:lineRule="auto"/>
      <w:outlineLvl w:val="9"/>
    </w:pPr>
    <w:rPr>
      <w:rFonts w:ascii="Cambria" w:hAnsi="Cambria"/>
      <w:b/>
      <w:bCs/>
      <w:color w:val="365F91"/>
      <w:sz w:val="28"/>
      <w:szCs w:val="28"/>
      <w:lang w:val="en-US"/>
    </w:rPr>
  </w:style>
  <w:style w:type="numbering" w:customStyle="1" w:styleId="5">
    <w:name w:val="样式5"/>
    <w:rsid w:val="00CB660F"/>
    <w:pPr>
      <w:numPr>
        <w:numId w:val="8"/>
      </w:numPr>
    </w:pPr>
  </w:style>
  <w:style w:type="numbering" w:customStyle="1" w:styleId="3">
    <w:name w:val="样式3"/>
    <w:rsid w:val="00CB660F"/>
    <w:pPr>
      <w:numPr>
        <w:numId w:val="7"/>
      </w:numPr>
    </w:pPr>
  </w:style>
  <w:style w:type="numbering" w:customStyle="1" w:styleId="4">
    <w:name w:val="样式4"/>
    <w:rsid w:val="00CB660F"/>
    <w:pPr>
      <w:numPr>
        <w:numId w:val="9"/>
      </w:numPr>
    </w:pPr>
  </w:style>
  <w:style w:type="numbering" w:customStyle="1" w:styleId="2">
    <w:name w:val="样式2"/>
    <w:rsid w:val="00CB660F"/>
    <w:pPr>
      <w:numPr>
        <w:numId w:val="16"/>
      </w:numPr>
    </w:pPr>
  </w:style>
  <w:style w:type="character" w:styleId="af8">
    <w:name w:val="Strong"/>
    <w:basedOn w:val="a1"/>
    <w:uiPriority w:val="22"/>
    <w:qFormat/>
    <w:locked/>
    <w:rsid w:val="00490561"/>
    <w:rPr>
      <w:b/>
      <w:bCs/>
    </w:rPr>
  </w:style>
  <w:style w:type="paragraph" w:customStyle="1" w:styleId="af9">
    <w:name w:val="目录模式"/>
    <w:basedOn w:val="22"/>
    <w:link w:val="Charb"/>
    <w:qFormat/>
    <w:rsid w:val="00F655C6"/>
    <w:rPr>
      <w:rFonts w:ascii="宋体" w:hAnsi="宋体"/>
      <w:noProof/>
      <w:szCs w:val="24"/>
    </w:rPr>
  </w:style>
  <w:style w:type="paragraph" w:customStyle="1" w:styleId="12">
    <w:name w:val="样式1"/>
    <w:basedOn w:val="22"/>
    <w:link w:val="1Char0"/>
    <w:autoRedefine/>
    <w:qFormat/>
    <w:rsid w:val="00F655C6"/>
    <w:rPr>
      <w:rFonts w:ascii="宋体" w:hAnsi="宋体"/>
      <w:noProof/>
      <w:szCs w:val="24"/>
    </w:rPr>
  </w:style>
  <w:style w:type="character" w:customStyle="1" w:styleId="2Char1">
    <w:name w:val="目录 2 Char"/>
    <w:basedOn w:val="a1"/>
    <w:link w:val="22"/>
    <w:uiPriority w:val="99"/>
    <w:rsid w:val="003D3725"/>
    <w:rPr>
      <w:sz w:val="21"/>
      <w:szCs w:val="21"/>
    </w:rPr>
  </w:style>
  <w:style w:type="character" w:customStyle="1" w:styleId="Charb">
    <w:name w:val="目录模式 Char"/>
    <w:basedOn w:val="2Char1"/>
    <w:link w:val="af9"/>
    <w:rsid w:val="00F655C6"/>
    <w:rPr>
      <w:rFonts w:ascii="宋体" w:hAnsi="宋体"/>
      <w:noProof/>
      <w:sz w:val="24"/>
      <w:szCs w:val="24"/>
    </w:rPr>
  </w:style>
  <w:style w:type="character" w:customStyle="1" w:styleId="1Char0">
    <w:name w:val="样式1 Char"/>
    <w:basedOn w:val="2Char1"/>
    <w:link w:val="12"/>
    <w:rsid w:val="00F655C6"/>
    <w:rPr>
      <w:rFonts w:ascii="宋体" w:hAnsi="宋体"/>
      <w:noProof/>
      <w:sz w:val="24"/>
      <w:szCs w:val="24"/>
    </w:rPr>
  </w:style>
  <w:style w:type="character" w:customStyle="1" w:styleId="4Char">
    <w:name w:val="标题 4 Char"/>
    <w:basedOn w:val="a1"/>
    <w:link w:val="40"/>
    <w:rsid w:val="00910642"/>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45285">
      <w:bodyDiv w:val="1"/>
      <w:marLeft w:val="0"/>
      <w:marRight w:val="0"/>
      <w:marTop w:val="0"/>
      <w:marBottom w:val="0"/>
      <w:divBdr>
        <w:top w:val="none" w:sz="0" w:space="0" w:color="auto"/>
        <w:left w:val="none" w:sz="0" w:space="0" w:color="auto"/>
        <w:bottom w:val="none" w:sz="0" w:space="0" w:color="auto"/>
        <w:right w:val="none" w:sz="0" w:space="0" w:color="auto"/>
      </w:divBdr>
    </w:div>
    <w:div w:id="79330798">
      <w:bodyDiv w:val="1"/>
      <w:marLeft w:val="0"/>
      <w:marRight w:val="0"/>
      <w:marTop w:val="0"/>
      <w:marBottom w:val="0"/>
      <w:divBdr>
        <w:top w:val="none" w:sz="0" w:space="0" w:color="auto"/>
        <w:left w:val="none" w:sz="0" w:space="0" w:color="auto"/>
        <w:bottom w:val="none" w:sz="0" w:space="0" w:color="auto"/>
        <w:right w:val="none" w:sz="0" w:space="0" w:color="auto"/>
      </w:divBdr>
    </w:div>
    <w:div w:id="213123387">
      <w:marLeft w:val="0"/>
      <w:marRight w:val="0"/>
      <w:marTop w:val="0"/>
      <w:marBottom w:val="0"/>
      <w:divBdr>
        <w:top w:val="none" w:sz="0" w:space="0" w:color="auto"/>
        <w:left w:val="none" w:sz="0" w:space="0" w:color="auto"/>
        <w:bottom w:val="none" w:sz="0" w:space="0" w:color="auto"/>
        <w:right w:val="none" w:sz="0" w:space="0" w:color="auto"/>
      </w:divBdr>
    </w:div>
    <w:div w:id="213123388">
      <w:marLeft w:val="0"/>
      <w:marRight w:val="0"/>
      <w:marTop w:val="0"/>
      <w:marBottom w:val="0"/>
      <w:divBdr>
        <w:top w:val="none" w:sz="0" w:space="0" w:color="auto"/>
        <w:left w:val="none" w:sz="0" w:space="0" w:color="auto"/>
        <w:bottom w:val="none" w:sz="0" w:space="0" w:color="auto"/>
        <w:right w:val="none" w:sz="0" w:space="0" w:color="auto"/>
      </w:divBdr>
    </w:div>
    <w:div w:id="213123389">
      <w:marLeft w:val="0"/>
      <w:marRight w:val="0"/>
      <w:marTop w:val="0"/>
      <w:marBottom w:val="0"/>
      <w:divBdr>
        <w:top w:val="none" w:sz="0" w:space="0" w:color="auto"/>
        <w:left w:val="none" w:sz="0" w:space="0" w:color="auto"/>
        <w:bottom w:val="none" w:sz="0" w:space="0" w:color="auto"/>
        <w:right w:val="none" w:sz="0" w:space="0" w:color="auto"/>
      </w:divBdr>
    </w:div>
    <w:div w:id="213123390">
      <w:marLeft w:val="0"/>
      <w:marRight w:val="0"/>
      <w:marTop w:val="0"/>
      <w:marBottom w:val="0"/>
      <w:divBdr>
        <w:top w:val="none" w:sz="0" w:space="0" w:color="auto"/>
        <w:left w:val="none" w:sz="0" w:space="0" w:color="auto"/>
        <w:bottom w:val="none" w:sz="0" w:space="0" w:color="auto"/>
        <w:right w:val="none" w:sz="0" w:space="0" w:color="auto"/>
      </w:divBdr>
    </w:div>
    <w:div w:id="213123391">
      <w:marLeft w:val="0"/>
      <w:marRight w:val="0"/>
      <w:marTop w:val="0"/>
      <w:marBottom w:val="0"/>
      <w:divBdr>
        <w:top w:val="none" w:sz="0" w:space="0" w:color="auto"/>
        <w:left w:val="none" w:sz="0" w:space="0" w:color="auto"/>
        <w:bottom w:val="none" w:sz="0" w:space="0" w:color="auto"/>
        <w:right w:val="none" w:sz="0" w:space="0" w:color="auto"/>
      </w:divBdr>
    </w:div>
    <w:div w:id="213123392">
      <w:marLeft w:val="0"/>
      <w:marRight w:val="0"/>
      <w:marTop w:val="0"/>
      <w:marBottom w:val="0"/>
      <w:divBdr>
        <w:top w:val="none" w:sz="0" w:space="0" w:color="auto"/>
        <w:left w:val="none" w:sz="0" w:space="0" w:color="auto"/>
        <w:bottom w:val="none" w:sz="0" w:space="0" w:color="auto"/>
        <w:right w:val="none" w:sz="0" w:space="0" w:color="auto"/>
      </w:divBdr>
    </w:div>
    <w:div w:id="213123393">
      <w:marLeft w:val="0"/>
      <w:marRight w:val="0"/>
      <w:marTop w:val="0"/>
      <w:marBottom w:val="0"/>
      <w:divBdr>
        <w:top w:val="none" w:sz="0" w:space="0" w:color="auto"/>
        <w:left w:val="none" w:sz="0" w:space="0" w:color="auto"/>
        <w:bottom w:val="none" w:sz="0" w:space="0" w:color="auto"/>
        <w:right w:val="none" w:sz="0" w:space="0" w:color="auto"/>
      </w:divBdr>
    </w:div>
    <w:div w:id="213123394">
      <w:marLeft w:val="0"/>
      <w:marRight w:val="0"/>
      <w:marTop w:val="0"/>
      <w:marBottom w:val="0"/>
      <w:divBdr>
        <w:top w:val="none" w:sz="0" w:space="0" w:color="auto"/>
        <w:left w:val="none" w:sz="0" w:space="0" w:color="auto"/>
        <w:bottom w:val="none" w:sz="0" w:space="0" w:color="auto"/>
        <w:right w:val="none" w:sz="0" w:space="0" w:color="auto"/>
      </w:divBdr>
    </w:div>
    <w:div w:id="213123395">
      <w:marLeft w:val="0"/>
      <w:marRight w:val="0"/>
      <w:marTop w:val="0"/>
      <w:marBottom w:val="0"/>
      <w:divBdr>
        <w:top w:val="none" w:sz="0" w:space="0" w:color="auto"/>
        <w:left w:val="none" w:sz="0" w:space="0" w:color="auto"/>
        <w:bottom w:val="none" w:sz="0" w:space="0" w:color="auto"/>
        <w:right w:val="none" w:sz="0" w:space="0" w:color="auto"/>
      </w:divBdr>
    </w:div>
    <w:div w:id="213123396">
      <w:marLeft w:val="0"/>
      <w:marRight w:val="0"/>
      <w:marTop w:val="0"/>
      <w:marBottom w:val="0"/>
      <w:divBdr>
        <w:top w:val="none" w:sz="0" w:space="0" w:color="auto"/>
        <w:left w:val="none" w:sz="0" w:space="0" w:color="auto"/>
        <w:bottom w:val="none" w:sz="0" w:space="0" w:color="auto"/>
        <w:right w:val="none" w:sz="0" w:space="0" w:color="auto"/>
      </w:divBdr>
    </w:div>
    <w:div w:id="213123397">
      <w:marLeft w:val="0"/>
      <w:marRight w:val="0"/>
      <w:marTop w:val="0"/>
      <w:marBottom w:val="0"/>
      <w:divBdr>
        <w:top w:val="none" w:sz="0" w:space="0" w:color="auto"/>
        <w:left w:val="none" w:sz="0" w:space="0" w:color="auto"/>
        <w:bottom w:val="none" w:sz="0" w:space="0" w:color="auto"/>
        <w:right w:val="none" w:sz="0" w:space="0" w:color="auto"/>
      </w:divBdr>
    </w:div>
    <w:div w:id="213123398">
      <w:marLeft w:val="0"/>
      <w:marRight w:val="0"/>
      <w:marTop w:val="0"/>
      <w:marBottom w:val="0"/>
      <w:divBdr>
        <w:top w:val="none" w:sz="0" w:space="0" w:color="auto"/>
        <w:left w:val="none" w:sz="0" w:space="0" w:color="auto"/>
        <w:bottom w:val="none" w:sz="0" w:space="0" w:color="auto"/>
        <w:right w:val="none" w:sz="0" w:space="0" w:color="auto"/>
      </w:divBdr>
    </w:div>
    <w:div w:id="213123399">
      <w:marLeft w:val="0"/>
      <w:marRight w:val="0"/>
      <w:marTop w:val="0"/>
      <w:marBottom w:val="0"/>
      <w:divBdr>
        <w:top w:val="none" w:sz="0" w:space="0" w:color="auto"/>
        <w:left w:val="none" w:sz="0" w:space="0" w:color="auto"/>
        <w:bottom w:val="none" w:sz="0" w:space="0" w:color="auto"/>
        <w:right w:val="none" w:sz="0" w:space="0" w:color="auto"/>
      </w:divBdr>
    </w:div>
    <w:div w:id="213123400">
      <w:marLeft w:val="0"/>
      <w:marRight w:val="0"/>
      <w:marTop w:val="0"/>
      <w:marBottom w:val="0"/>
      <w:divBdr>
        <w:top w:val="none" w:sz="0" w:space="0" w:color="auto"/>
        <w:left w:val="none" w:sz="0" w:space="0" w:color="auto"/>
        <w:bottom w:val="none" w:sz="0" w:space="0" w:color="auto"/>
        <w:right w:val="none" w:sz="0" w:space="0" w:color="auto"/>
      </w:divBdr>
    </w:div>
    <w:div w:id="213123401">
      <w:marLeft w:val="0"/>
      <w:marRight w:val="0"/>
      <w:marTop w:val="0"/>
      <w:marBottom w:val="0"/>
      <w:divBdr>
        <w:top w:val="none" w:sz="0" w:space="0" w:color="auto"/>
        <w:left w:val="none" w:sz="0" w:space="0" w:color="auto"/>
        <w:bottom w:val="none" w:sz="0" w:space="0" w:color="auto"/>
        <w:right w:val="none" w:sz="0" w:space="0" w:color="auto"/>
      </w:divBdr>
    </w:div>
    <w:div w:id="213123402">
      <w:marLeft w:val="0"/>
      <w:marRight w:val="0"/>
      <w:marTop w:val="0"/>
      <w:marBottom w:val="0"/>
      <w:divBdr>
        <w:top w:val="none" w:sz="0" w:space="0" w:color="auto"/>
        <w:left w:val="none" w:sz="0" w:space="0" w:color="auto"/>
        <w:bottom w:val="none" w:sz="0" w:space="0" w:color="auto"/>
        <w:right w:val="none" w:sz="0" w:space="0" w:color="auto"/>
      </w:divBdr>
    </w:div>
    <w:div w:id="213123403">
      <w:marLeft w:val="0"/>
      <w:marRight w:val="0"/>
      <w:marTop w:val="0"/>
      <w:marBottom w:val="0"/>
      <w:divBdr>
        <w:top w:val="none" w:sz="0" w:space="0" w:color="auto"/>
        <w:left w:val="none" w:sz="0" w:space="0" w:color="auto"/>
        <w:bottom w:val="none" w:sz="0" w:space="0" w:color="auto"/>
        <w:right w:val="none" w:sz="0" w:space="0" w:color="auto"/>
      </w:divBdr>
    </w:div>
    <w:div w:id="213123404">
      <w:marLeft w:val="0"/>
      <w:marRight w:val="0"/>
      <w:marTop w:val="0"/>
      <w:marBottom w:val="0"/>
      <w:divBdr>
        <w:top w:val="none" w:sz="0" w:space="0" w:color="auto"/>
        <w:left w:val="none" w:sz="0" w:space="0" w:color="auto"/>
        <w:bottom w:val="none" w:sz="0" w:space="0" w:color="auto"/>
        <w:right w:val="none" w:sz="0" w:space="0" w:color="auto"/>
      </w:divBdr>
    </w:div>
    <w:div w:id="213123405">
      <w:marLeft w:val="0"/>
      <w:marRight w:val="0"/>
      <w:marTop w:val="0"/>
      <w:marBottom w:val="0"/>
      <w:divBdr>
        <w:top w:val="none" w:sz="0" w:space="0" w:color="auto"/>
        <w:left w:val="none" w:sz="0" w:space="0" w:color="auto"/>
        <w:bottom w:val="none" w:sz="0" w:space="0" w:color="auto"/>
        <w:right w:val="none" w:sz="0" w:space="0" w:color="auto"/>
      </w:divBdr>
    </w:div>
    <w:div w:id="213123406">
      <w:marLeft w:val="0"/>
      <w:marRight w:val="0"/>
      <w:marTop w:val="0"/>
      <w:marBottom w:val="0"/>
      <w:divBdr>
        <w:top w:val="none" w:sz="0" w:space="0" w:color="auto"/>
        <w:left w:val="none" w:sz="0" w:space="0" w:color="auto"/>
        <w:bottom w:val="none" w:sz="0" w:space="0" w:color="auto"/>
        <w:right w:val="none" w:sz="0" w:space="0" w:color="auto"/>
      </w:divBdr>
    </w:div>
    <w:div w:id="213123407">
      <w:marLeft w:val="0"/>
      <w:marRight w:val="0"/>
      <w:marTop w:val="0"/>
      <w:marBottom w:val="0"/>
      <w:divBdr>
        <w:top w:val="none" w:sz="0" w:space="0" w:color="auto"/>
        <w:left w:val="none" w:sz="0" w:space="0" w:color="auto"/>
        <w:bottom w:val="none" w:sz="0" w:space="0" w:color="auto"/>
        <w:right w:val="none" w:sz="0" w:space="0" w:color="auto"/>
      </w:divBdr>
    </w:div>
    <w:div w:id="213123408">
      <w:marLeft w:val="0"/>
      <w:marRight w:val="0"/>
      <w:marTop w:val="0"/>
      <w:marBottom w:val="0"/>
      <w:divBdr>
        <w:top w:val="none" w:sz="0" w:space="0" w:color="auto"/>
        <w:left w:val="none" w:sz="0" w:space="0" w:color="auto"/>
        <w:bottom w:val="none" w:sz="0" w:space="0" w:color="auto"/>
        <w:right w:val="none" w:sz="0" w:space="0" w:color="auto"/>
      </w:divBdr>
    </w:div>
    <w:div w:id="213123409">
      <w:marLeft w:val="0"/>
      <w:marRight w:val="0"/>
      <w:marTop w:val="0"/>
      <w:marBottom w:val="0"/>
      <w:divBdr>
        <w:top w:val="none" w:sz="0" w:space="0" w:color="auto"/>
        <w:left w:val="none" w:sz="0" w:space="0" w:color="auto"/>
        <w:bottom w:val="none" w:sz="0" w:space="0" w:color="auto"/>
        <w:right w:val="none" w:sz="0" w:space="0" w:color="auto"/>
      </w:divBdr>
    </w:div>
    <w:div w:id="213123410">
      <w:marLeft w:val="0"/>
      <w:marRight w:val="0"/>
      <w:marTop w:val="0"/>
      <w:marBottom w:val="0"/>
      <w:divBdr>
        <w:top w:val="none" w:sz="0" w:space="0" w:color="auto"/>
        <w:left w:val="none" w:sz="0" w:space="0" w:color="auto"/>
        <w:bottom w:val="none" w:sz="0" w:space="0" w:color="auto"/>
        <w:right w:val="none" w:sz="0" w:space="0" w:color="auto"/>
      </w:divBdr>
    </w:div>
    <w:div w:id="213123411">
      <w:marLeft w:val="0"/>
      <w:marRight w:val="0"/>
      <w:marTop w:val="0"/>
      <w:marBottom w:val="0"/>
      <w:divBdr>
        <w:top w:val="none" w:sz="0" w:space="0" w:color="auto"/>
        <w:left w:val="none" w:sz="0" w:space="0" w:color="auto"/>
        <w:bottom w:val="none" w:sz="0" w:space="0" w:color="auto"/>
        <w:right w:val="none" w:sz="0" w:space="0" w:color="auto"/>
      </w:divBdr>
    </w:div>
    <w:div w:id="213123412">
      <w:marLeft w:val="0"/>
      <w:marRight w:val="0"/>
      <w:marTop w:val="0"/>
      <w:marBottom w:val="0"/>
      <w:divBdr>
        <w:top w:val="none" w:sz="0" w:space="0" w:color="auto"/>
        <w:left w:val="none" w:sz="0" w:space="0" w:color="auto"/>
        <w:bottom w:val="none" w:sz="0" w:space="0" w:color="auto"/>
        <w:right w:val="none" w:sz="0" w:space="0" w:color="auto"/>
      </w:divBdr>
      <w:divsChild>
        <w:div w:id="213123536">
          <w:marLeft w:val="0"/>
          <w:marRight w:val="0"/>
          <w:marTop w:val="0"/>
          <w:marBottom w:val="0"/>
          <w:divBdr>
            <w:top w:val="none" w:sz="0" w:space="0" w:color="auto"/>
            <w:left w:val="none" w:sz="0" w:space="0" w:color="auto"/>
            <w:bottom w:val="none" w:sz="0" w:space="0" w:color="auto"/>
            <w:right w:val="none" w:sz="0" w:space="0" w:color="auto"/>
          </w:divBdr>
        </w:div>
      </w:divsChild>
    </w:div>
    <w:div w:id="213123413">
      <w:marLeft w:val="0"/>
      <w:marRight w:val="0"/>
      <w:marTop w:val="0"/>
      <w:marBottom w:val="0"/>
      <w:divBdr>
        <w:top w:val="none" w:sz="0" w:space="0" w:color="auto"/>
        <w:left w:val="none" w:sz="0" w:space="0" w:color="auto"/>
        <w:bottom w:val="none" w:sz="0" w:space="0" w:color="auto"/>
        <w:right w:val="none" w:sz="0" w:space="0" w:color="auto"/>
      </w:divBdr>
    </w:div>
    <w:div w:id="213123414">
      <w:marLeft w:val="0"/>
      <w:marRight w:val="0"/>
      <w:marTop w:val="0"/>
      <w:marBottom w:val="0"/>
      <w:divBdr>
        <w:top w:val="none" w:sz="0" w:space="0" w:color="auto"/>
        <w:left w:val="none" w:sz="0" w:space="0" w:color="auto"/>
        <w:bottom w:val="none" w:sz="0" w:space="0" w:color="auto"/>
        <w:right w:val="none" w:sz="0" w:space="0" w:color="auto"/>
      </w:divBdr>
    </w:div>
    <w:div w:id="213123415">
      <w:marLeft w:val="0"/>
      <w:marRight w:val="0"/>
      <w:marTop w:val="0"/>
      <w:marBottom w:val="0"/>
      <w:divBdr>
        <w:top w:val="none" w:sz="0" w:space="0" w:color="auto"/>
        <w:left w:val="none" w:sz="0" w:space="0" w:color="auto"/>
        <w:bottom w:val="none" w:sz="0" w:space="0" w:color="auto"/>
        <w:right w:val="none" w:sz="0" w:space="0" w:color="auto"/>
      </w:divBdr>
    </w:div>
    <w:div w:id="213123416">
      <w:marLeft w:val="0"/>
      <w:marRight w:val="0"/>
      <w:marTop w:val="0"/>
      <w:marBottom w:val="0"/>
      <w:divBdr>
        <w:top w:val="none" w:sz="0" w:space="0" w:color="auto"/>
        <w:left w:val="none" w:sz="0" w:space="0" w:color="auto"/>
        <w:bottom w:val="none" w:sz="0" w:space="0" w:color="auto"/>
        <w:right w:val="none" w:sz="0" w:space="0" w:color="auto"/>
      </w:divBdr>
    </w:div>
    <w:div w:id="213123417">
      <w:marLeft w:val="0"/>
      <w:marRight w:val="0"/>
      <w:marTop w:val="0"/>
      <w:marBottom w:val="0"/>
      <w:divBdr>
        <w:top w:val="none" w:sz="0" w:space="0" w:color="auto"/>
        <w:left w:val="none" w:sz="0" w:space="0" w:color="auto"/>
        <w:bottom w:val="none" w:sz="0" w:space="0" w:color="auto"/>
        <w:right w:val="none" w:sz="0" w:space="0" w:color="auto"/>
      </w:divBdr>
    </w:div>
    <w:div w:id="213123418">
      <w:marLeft w:val="0"/>
      <w:marRight w:val="0"/>
      <w:marTop w:val="0"/>
      <w:marBottom w:val="0"/>
      <w:divBdr>
        <w:top w:val="none" w:sz="0" w:space="0" w:color="auto"/>
        <w:left w:val="none" w:sz="0" w:space="0" w:color="auto"/>
        <w:bottom w:val="none" w:sz="0" w:space="0" w:color="auto"/>
        <w:right w:val="none" w:sz="0" w:space="0" w:color="auto"/>
      </w:divBdr>
    </w:div>
    <w:div w:id="213123419">
      <w:marLeft w:val="0"/>
      <w:marRight w:val="0"/>
      <w:marTop w:val="0"/>
      <w:marBottom w:val="0"/>
      <w:divBdr>
        <w:top w:val="none" w:sz="0" w:space="0" w:color="auto"/>
        <w:left w:val="none" w:sz="0" w:space="0" w:color="auto"/>
        <w:bottom w:val="none" w:sz="0" w:space="0" w:color="auto"/>
        <w:right w:val="none" w:sz="0" w:space="0" w:color="auto"/>
      </w:divBdr>
    </w:div>
    <w:div w:id="213123420">
      <w:marLeft w:val="0"/>
      <w:marRight w:val="0"/>
      <w:marTop w:val="0"/>
      <w:marBottom w:val="0"/>
      <w:divBdr>
        <w:top w:val="none" w:sz="0" w:space="0" w:color="auto"/>
        <w:left w:val="none" w:sz="0" w:space="0" w:color="auto"/>
        <w:bottom w:val="none" w:sz="0" w:space="0" w:color="auto"/>
        <w:right w:val="none" w:sz="0" w:space="0" w:color="auto"/>
      </w:divBdr>
    </w:div>
    <w:div w:id="213123421">
      <w:marLeft w:val="0"/>
      <w:marRight w:val="0"/>
      <w:marTop w:val="0"/>
      <w:marBottom w:val="0"/>
      <w:divBdr>
        <w:top w:val="none" w:sz="0" w:space="0" w:color="auto"/>
        <w:left w:val="none" w:sz="0" w:space="0" w:color="auto"/>
        <w:bottom w:val="none" w:sz="0" w:space="0" w:color="auto"/>
        <w:right w:val="none" w:sz="0" w:space="0" w:color="auto"/>
      </w:divBdr>
    </w:div>
    <w:div w:id="213123422">
      <w:marLeft w:val="0"/>
      <w:marRight w:val="0"/>
      <w:marTop w:val="0"/>
      <w:marBottom w:val="0"/>
      <w:divBdr>
        <w:top w:val="none" w:sz="0" w:space="0" w:color="auto"/>
        <w:left w:val="none" w:sz="0" w:space="0" w:color="auto"/>
        <w:bottom w:val="none" w:sz="0" w:space="0" w:color="auto"/>
        <w:right w:val="none" w:sz="0" w:space="0" w:color="auto"/>
      </w:divBdr>
    </w:div>
    <w:div w:id="213123423">
      <w:marLeft w:val="0"/>
      <w:marRight w:val="0"/>
      <w:marTop w:val="0"/>
      <w:marBottom w:val="0"/>
      <w:divBdr>
        <w:top w:val="none" w:sz="0" w:space="0" w:color="auto"/>
        <w:left w:val="none" w:sz="0" w:space="0" w:color="auto"/>
        <w:bottom w:val="none" w:sz="0" w:space="0" w:color="auto"/>
        <w:right w:val="none" w:sz="0" w:space="0" w:color="auto"/>
      </w:divBdr>
    </w:div>
    <w:div w:id="213123424">
      <w:marLeft w:val="0"/>
      <w:marRight w:val="0"/>
      <w:marTop w:val="0"/>
      <w:marBottom w:val="0"/>
      <w:divBdr>
        <w:top w:val="none" w:sz="0" w:space="0" w:color="auto"/>
        <w:left w:val="none" w:sz="0" w:space="0" w:color="auto"/>
        <w:bottom w:val="none" w:sz="0" w:space="0" w:color="auto"/>
        <w:right w:val="none" w:sz="0" w:space="0" w:color="auto"/>
      </w:divBdr>
    </w:div>
    <w:div w:id="213123425">
      <w:marLeft w:val="0"/>
      <w:marRight w:val="0"/>
      <w:marTop w:val="0"/>
      <w:marBottom w:val="0"/>
      <w:divBdr>
        <w:top w:val="none" w:sz="0" w:space="0" w:color="auto"/>
        <w:left w:val="none" w:sz="0" w:space="0" w:color="auto"/>
        <w:bottom w:val="none" w:sz="0" w:space="0" w:color="auto"/>
        <w:right w:val="none" w:sz="0" w:space="0" w:color="auto"/>
      </w:divBdr>
    </w:div>
    <w:div w:id="213123426">
      <w:marLeft w:val="0"/>
      <w:marRight w:val="0"/>
      <w:marTop w:val="0"/>
      <w:marBottom w:val="0"/>
      <w:divBdr>
        <w:top w:val="none" w:sz="0" w:space="0" w:color="auto"/>
        <w:left w:val="none" w:sz="0" w:space="0" w:color="auto"/>
        <w:bottom w:val="none" w:sz="0" w:space="0" w:color="auto"/>
        <w:right w:val="none" w:sz="0" w:space="0" w:color="auto"/>
      </w:divBdr>
    </w:div>
    <w:div w:id="213123427">
      <w:marLeft w:val="0"/>
      <w:marRight w:val="0"/>
      <w:marTop w:val="0"/>
      <w:marBottom w:val="0"/>
      <w:divBdr>
        <w:top w:val="none" w:sz="0" w:space="0" w:color="auto"/>
        <w:left w:val="none" w:sz="0" w:space="0" w:color="auto"/>
        <w:bottom w:val="none" w:sz="0" w:space="0" w:color="auto"/>
        <w:right w:val="none" w:sz="0" w:space="0" w:color="auto"/>
      </w:divBdr>
    </w:div>
    <w:div w:id="213123428">
      <w:marLeft w:val="0"/>
      <w:marRight w:val="0"/>
      <w:marTop w:val="0"/>
      <w:marBottom w:val="0"/>
      <w:divBdr>
        <w:top w:val="none" w:sz="0" w:space="0" w:color="auto"/>
        <w:left w:val="none" w:sz="0" w:space="0" w:color="auto"/>
        <w:bottom w:val="none" w:sz="0" w:space="0" w:color="auto"/>
        <w:right w:val="none" w:sz="0" w:space="0" w:color="auto"/>
      </w:divBdr>
    </w:div>
    <w:div w:id="213123429">
      <w:marLeft w:val="0"/>
      <w:marRight w:val="0"/>
      <w:marTop w:val="0"/>
      <w:marBottom w:val="0"/>
      <w:divBdr>
        <w:top w:val="none" w:sz="0" w:space="0" w:color="auto"/>
        <w:left w:val="none" w:sz="0" w:space="0" w:color="auto"/>
        <w:bottom w:val="none" w:sz="0" w:space="0" w:color="auto"/>
        <w:right w:val="none" w:sz="0" w:space="0" w:color="auto"/>
      </w:divBdr>
    </w:div>
    <w:div w:id="213123430">
      <w:marLeft w:val="0"/>
      <w:marRight w:val="0"/>
      <w:marTop w:val="0"/>
      <w:marBottom w:val="0"/>
      <w:divBdr>
        <w:top w:val="none" w:sz="0" w:space="0" w:color="auto"/>
        <w:left w:val="none" w:sz="0" w:space="0" w:color="auto"/>
        <w:bottom w:val="none" w:sz="0" w:space="0" w:color="auto"/>
        <w:right w:val="none" w:sz="0" w:space="0" w:color="auto"/>
      </w:divBdr>
    </w:div>
    <w:div w:id="213123431">
      <w:marLeft w:val="0"/>
      <w:marRight w:val="0"/>
      <w:marTop w:val="0"/>
      <w:marBottom w:val="0"/>
      <w:divBdr>
        <w:top w:val="none" w:sz="0" w:space="0" w:color="auto"/>
        <w:left w:val="none" w:sz="0" w:space="0" w:color="auto"/>
        <w:bottom w:val="none" w:sz="0" w:space="0" w:color="auto"/>
        <w:right w:val="none" w:sz="0" w:space="0" w:color="auto"/>
      </w:divBdr>
    </w:div>
    <w:div w:id="213123432">
      <w:marLeft w:val="0"/>
      <w:marRight w:val="0"/>
      <w:marTop w:val="0"/>
      <w:marBottom w:val="0"/>
      <w:divBdr>
        <w:top w:val="none" w:sz="0" w:space="0" w:color="auto"/>
        <w:left w:val="none" w:sz="0" w:space="0" w:color="auto"/>
        <w:bottom w:val="none" w:sz="0" w:space="0" w:color="auto"/>
        <w:right w:val="none" w:sz="0" w:space="0" w:color="auto"/>
      </w:divBdr>
    </w:div>
    <w:div w:id="213123433">
      <w:marLeft w:val="0"/>
      <w:marRight w:val="0"/>
      <w:marTop w:val="0"/>
      <w:marBottom w:val="0"/>
      <w:divBdr>
        <w:top w:val="none" w:sz="0" w:space="0" w:color="auto"/>
        <w:left w:val="none" w:sz="0" w:space="0" w:color="auto"/>
        <w:bottom w:val="none" w:sz="0" w:space="0" w:color="auto"/>
        <w:right w:val="none" w:sz="0" w:space="0" w:color="auto"/>
      </w:divBdr>
    </w:div>
    <w:div w:id="213123434">
      <w:marLeft w:val="0"/>
      <w:marRight w:val="0"/>
      <w:marTop w:val="0"/>
      <w:marBottom w:val="0"/>
      <w:divBdr>
        <w:top w:val="none" w:sz="0" w:space="0" w:color="auto"/>
        <w:left w:val="none" w:sz="0" w:space="0" w:color="auto"/>
        <w:bottom w:val="none" w:sz="0" w:space="0" w:color="auto"/>
        <w:right w:val="none" w:sz="0" w:space="0" w:color="auto"/>
      </w:divBdr>
    </w:div>
    <w:div w:id="213123435">
      <w:marLeft w:val="0"/>
      <w:marRight w:val="0"/>
      <w:marTop w:val="0"/>
      <w:marBottom w:val="0"/>
      <w:divBdr>
        <w:top w:val="none" w:sz="0" w:space="0" w:color="auto"/>
        <w:left w:val="none" w:sz="0" w:space="0" w:color="auto"/>
        <w:bottom w:val="none" w:sz="0" w:space="0" w:color="auto"/>
        <w:right w:val="none" w:sz="0" w:space="0" w:color="auto"/>
      </w:divBdr>
    </w:div>
    <w:div w:id="213123436">
      <w:marLeft w:val="0"/>
      <w:marRight w:val="0"/>
      <w:marTop w:val="0"/>
      <w:marBottom w:val="0"/>
      <w:divBdr>
        <w:top w:val="none" w:sz="0" w:space="0" w:color="auto"/>
        <w:left w:val="none" w:sz="0" w:space="0" w:color="auto"/>
        <w:bottom w:val="none" w:sz="0" w:space="0" w:color="auto"/>
        <w:right w:val="none" w:sz="0" w:space="0" w:color="auto"/>
      </w:divBdr>
    </w:div>
    <w:div w:id="213123437">
      <w:marLeft w:val="0"/>
      <w:marRight w:val="0"/>
      <w:marTop w:val="0"/>
      <w:marBottom w:val="0"/>
      <w:divBdr>
        <w:top w:val="none" w:sz="0" w:space="0" w:color="auto"/>
        <w:left w:val="none" w:sz="0" w:space="0" w:color="auto"/>
        <w:bottom w:val="none" w:sz="0" w:space="0" w:color="auto"/>
        <w:right w:val="none" w:sz="0" w:space="0" w:color="auto"/>
      </w:divBdr>
    </w:div>
    <w:div w:id="213123438">
      <w:marLeft w:val="0"/>
      <w:marRight w:val="0"/>
      <w:marTop w:val="0"/>
      <w:marBottom w:val="0"/>
      <w:divBdr>
        <w:top w:val="none" w:sz="0" w:space="0" w:color="auto"/>
        <w:left w:val="none" w:sz="0" w:space="0" w:color="auto"/>
        <w:bottom w:val="none" w:sz="0" w:space="0" w:color="auto"/>
        <w:right w:val="none" w:sz="0" w:space="0" w:color="auto"/>
      </w:divBdr>
    </w:div>
    <w:div w:id="213123439">
      <w:marLeft w:val="0"/>
      <w:marRight w:val="0"/>
      <w:marTop w:val="0"/>
      <w:marBottom w:val="0"/>
      <w:divBdr>
        <w:top w:val="none" w:sz="0" w:space="0" w:color="auto"/>
        <w:left w:val="none" w:sz="0" w:space="0" w:color="auto"/>
        <w:bottom w:val="none" w:sz="0" w:space="0" w:color="auto"/>
        <w:right w:val="none" w:sz="0" w:space="0" w:color="auto"/>
      </w:divBdr>
    </w:div>
    <w:div w:id="213123440">
      <w:marLeft w:val="0"/>
      <w:marRight w:val="0"/>
      <w:marTop w:val="0"/>
      <w:marBottom w:val="0"/>
      <w:divBdr>
        <w:top w:val="none" w:sz="0" w:space="0" w:color="auto"/>
        <w:left w:val="none" w:sz="0" w:space="0" w:color="auto"/>
        <w:bottom w:val="none" w:sz="0" w:space="0" w:color="auto"/>
        <w:right w:val="none" w:sz="0" w:space="0" w:color="auto"/>
      </w:divBdr>
    </w:div>
    <w:div w:id="213123441">
      <w:marLeft w:val="0"/>
      <w:marRight w:val="0"/>
      <w:marTop w:val="0"/>
      <w:marBottom w:val="0"/>
      <w:divBdr>
        <w:top w:val="none" w:sz="0" w:space="0" w:color="auto"/>
        <w:left w:val="none" w:sz="0" w:space="0" w:color="auto"/>
        <w:bottom w:val="none" w:sz="0" w:space="0" w:color="auto"/>
        <w:right w:val="none" w:sz="0" w:space="0" w:color="auto"/>
      </w:divBdr>
    </w:div>
    <w:div w:id="213123442">
      <w:marLeft w:val="0"/>
      <w:marRight w:val="0"/>
      <w:marTop w:val="0"/>
      <w:marBottom w:val="0"/>
      <w:divBdr>
        <w:top w:val="none" w:sz="0" w:space="0" w:color="auto"/>
        <w:left w:val="none" w:sz="0" w:space="0" w:color="auto"/>
        <w:bottom w:val="none" w:sz="0" w:space="0" w:color="auto"/>
        <w:right w:val="none" w:sz="0" w:space="0" w:color="auto"/>
      </w:divBdr>
    </w:div>
    <w:div w:id="213123443">
      <w:marLeft w:val="0"/>
      <w:marRight w:val="0"/>
      <w:marTop w:val="0"/>
      <w:marBottom w:val="0"/>
      <w:divBdr>
        <w:top w:val="none" w:sz="0" w:space="0" w:color="auto"/>
        <w:left w:val="none" w:sz="0" w:space="0" w:color="auto"/>
        <w:bottom w:val="none" w:sz="0" w:space="0" w:color="auto"/>
        <w:right w:val="none" w:sz="0" w:space="0" w:color="auto"/>
      </w:divBdr>
    </w:div>
    <w:div w:id="213123444">
      <w:marLeft w:val="0"/>
      <w:marRight w:val="0"/>
      <w:marTop w:val="0"/>
      <w:marBottom w:val="0"/>
      <w:divBdr>
        <w:top w:val="none" w:sz="0" w:space="0" w:color="auto"/>
        <w:left w:val="none" w:sz="0" w:space="0" w:color="auto"/>
        <w:bottom w:val="none" w:sz="0" w:space="0" w:color="auto"/>
        <w:right w:val="none" w:sz="0" w:space="0" w:color="auto"/>
      </w:divBdr>
    </w:div>
    <w:div w:id="213123445">
      <w:marLeft w:val="0"/>
      <w:marRight w:val="0"/>
      <w:marTop w:val="0"/>
      <w:marBottom w:val="0"/>
      <w:divBdr>
        <w:top w:val="none" w:sz="0" w:space="0" w:color="auto"/>
        <w:left w:val="none" w:sz="0" w:space="0" w:color="auto"/>
        <w:bottom w:val="none" w:sz="0" w:space="0" w:color="auto"/>
        <w:right w:val="none" w:sz="0" w:space="0" w:color="auto"/>
      </w:divBdr>
    </w:div>
    <w:div w:id="213123446">
      <w:marLeft w:val="0"/>
      <w:marRight w:val="0"/>
      <w:marTop w:val="0"/>
      <w:marBottom w:val="0"/>
      <w:divBdr>
        <w:top w:val="none" w:sz="0" w:space="0" w:color="auto"/>
        <w:left w:val="none" w:sz="0" w:space="0" w:color="auto"/>
        <w:bottom w:val="none" w:sz="0" w:space="0" w:color="auto"/>
        <w:right w:val="none" w:sz="0" w:space="0" w:color="auto"/>
      </w:divBdr>
    </w:div>
    <w:div w:id="213123447">
      <w:marLeft w:val="0"/>
      <w:marRight w:val="0"/>
      <w:marTop w:val="0"/>
      <w:marBottom w:val="0"/>
      <w:divBdr>
        <w:top w:val="none" w:sz="0" w:space="0" w:color="auto"/>
        <w:left w:val="none" w:sz="0" w:space="0" w:color="auto"/>
        <w:bottom w:val="none" w:sz="0" w:space="0" w:color="auto"/>
        <w:right w:val="none" w:sz="0" w:space="0" w:color="auto"/>
      </w:divBdr>
    </w:div>
    <w:div w:id="213123448">
      <w:marLeft w:val="0"/>
      <w:marRight w:val="0"/>
      <w:marTop w:val="0"/>
      <w:marBottom w:val="0"/>
      <w:divBdr>
        <w:top w:val="none" w:sz="0" w:space="0" w:color="auto"/>
        <w:left w:val="none" w:sz="0" w:space="0" w:color="auto"/>
        <w:bottom w:val="none" w:sz="0" w:space="0" w:color="auto"/>
        <w:right w:val="none" w:sz="0" w:space="0" w:color="auto"/>
      </w:divBdr>
    </w:div>
    <w:div w:id="213123449">
      <w:marLeft w:val="0"/>
      <w:marRight w:val="0"/>
      <w:marTop w:val="0"/>
      <w:marBottom w:val="0"/>
      <w:divBdr>
        <w:top w:val="none" w:sz="0" w:space="0" w:color="auto"/>
        <w:left w:val="none" w:sz="0" w:space="0" w:color="auto"/>
        <w:bottom w:val="none" w:sz="0" w:space="0" w:color="auto"/>
        <w:right w:val="none" w:sz="0" w:space="0" w:color="auto"/>
      </w:divBdr>
    </w:div>
    <w:div w:id="213123450">
      <w:marLeft w:val="0"/>
      <w:marRight w:val="0"/>
      <w:marTop w:val="0"/>
      <w:marBottom w:val="0"/>
      <w:divBdr>
        <w:top w:val="none" w:sz="0" w:space="0" w:color="auto"/>
        <w:left w:val="none" w:sz="0" w:space="0" w:color="auto"/>
        <w:bottom w:val="none" w:sz="0" w:space="0" w:color="auto"/>
        <w:right w:val="none" w:sz="0" w:space="0" w:color="auto"/>
      </w:divBdr>
    </w:div>
    <w:div w:id="213123451">
      <w:marLeft w:val="0"/>
      <w:marRight w:val="0"/>
      <w:marTop w:val="0"/>
      <w:marBottom w:val="0"/>
      <w:divBdr>
        <w:top w:val="none" w:sz="0" w:space="0" w:color="auto"/>
        <w:left w:val="none" w:sz="0" w:space="0" w:color="auto"/>
        <w:bottom w:val="none" w:sz="0" w:space="0" w:color="auto"/>
        <w:right w:val="none" w:sz="0" w:space="0" w:color="auto"/>
      </w:divBdr>
    </w:div>
    <w:div w:id="213123452">
      <w:marLeft w:val="0"/>
      <w:marRight w:val="0"/>
      <w:marTop w:val="0"/>
      <w:marBottom w:val="0"/>
      <w:divBdr>
        <w:top w:val="none" w:sz="0" w:space="0" w:color="auto"/>
        <w:left w:val="none" w:sz="0" w:space="0" w:color="auto"/>
        <w:bottom w:val="none" w:sz="0" w:space="0" w:color="auto"/>
        <w:right w:val="none" w:sz="0" w:space="0" w:color="auto"/>
      </w:divBdr>
    </w:div>
    <w:div w:id="213123453">
      <w:marLeft w:val="0"/>
      <w:marRight w:val="0"/>
      <w:marTop w:val="0"/>
      <w:marBottom w:val="0"/>
      <w:divBdr>
        <w:top w:val="none" w:sz="0" w:space="0" w:color="auto"/>
        <w:left w:val="none" w:sz="0" w:space="0" w:color="auto"/>
        <w:bottom w:val="none" w:sz="0" w:space="0" w:color="auto"/>
        <w:right w:val="none" w:sz="0" w:space="0" w:color="auto"/>
      </w:divBdr>
    </w:div>
    <w:div w:id="213123454">
      <w:marLeft w:val="0"/>
      <w:marRight w:val="0"/>
      <w:marTop w:val="0"/>
      <w:marBottom w:val="0"/>
      <w:divBdr>
        <w:top w:val="none" w:sz="0" w:space="0" w:color="auto"/>
        <w:left w:val="none" w:sz="0" w:space="0" w:color="auto"/>
        <w:bottom w:val="none" w:sz="0" w:space="0" w:color="auto"/>
        <w:right w:val="none" w:sz="0" w:space="0" w:color="auto"/>
      </w:divBdr>
    </w:div>
    <w:div w:id="213123455">
      <w:marLeft w:val="0"/>
      <w:marRight w:val="0"/>
      <w:marTop w:val="0"/>
      <w:marBottom w:val="0"/>
      <w:divBdr>
        <w:top w:val="none" w:sz="0" w:space="0" w:color="auto"/>
        <w:left w:val="none" w:sz="0" w:space="0" w:color="auto"/>
        <w:bottom w:val="none" w:sz="0" w:space="0" w:color="auto"/>
        <w:right w:val="none" w:sz="0" w:space="0" w:color="auto"/>
      </w:divBdr>
    </w:div>
    <w:div w:id="213123456">
      <w:marLeft w:val="0"/>
      <w:marRight w:val="0"/>
      <w:marTop w:val="0"/>
      <w:marBottom w:val="0"/>
      <w:divBdr>
        <w:top w:val="none" w:sz="0" w:space="0" w:color="auto"/>
        <w:left w:val="none" w:sz="0" w:space="0" w:color="auto"/>
        <w:bottom w:val="none" w:sz="0" w:space="0" w:color="auto"/>
        <w:right w:val="none" w:sz="0" w:space="0" w:color="auto"/>
      </w:divBdr>
    </w:div>
    <w:div w:id="213123457">
      <w:marLeft w:val="0"/>
      <w:marRight w:val="0"/>
      <w:marTop w:val="0"/>
      <w:marBottom w:val="0"/>
      <w:divBdr>
        <w:top w:val="none" w:sz="0" w:space="0" w:color="auto"/>
        <w:left w:val="none" w:sz="0" w:space="0" w:color="auto"/>
        <w:bottom w:val="none" w:sz="0" w:space="0" w:color="auto"/>
        <w:right w:val="none" w:sz="0" w:space="0" w:color="auto"/>
      </w:divBdr>
    </w:div>
    <w:div w:id="213123458">
      <w:marLeft w:val="0"/>
      <w:marRight w:val="0"/>
      <w:marTop w:val="0"/>
      <w:marBottom w:val="0"/>
      <w:divBdr>
        <w:top w:val="none" w:sz="0" w:space="0" w:color="auto"/>
        <w:left w:val="none" w:sz="0" w:space="0" w:color="auto"/>
        <w:bottom w:val="none" w:sz="0" w:space="0" w:color="auto"/>
        <w:right w:val="none" w:sz="0" w:space="0" w:color="auto"/>
      </w:divBdr>
    </w:div>
    <w:div w:id="213123459">
      <w:marLeft w:val="0"/>
      <w:marRight w:val="0"/>
      <w:marTop w:val="0"/>
      <w:marBottom w:val="0"/>
      <w:divBdr>
        <w:top w:val="none" w:sz="0" w:space="0" w:color="auto"/>
        <w:left w:val="none" w:sz="0" w:space="0" w:color="auto"/>
        <w:bottom w:val="none" w:sz="0" w:space="0" w:color="auto"/>
        <w:right w:val="none" w:sz="0" w:space="0" w:color="auto"/>
      </w:divBdr>
    </w:div>
    <w:div w:id="213123460">
      <w:marLeft w:val="0"/>
      <w:marRight w:val="0"/>
      <w:marTop w:val="0"/>
      <w:marBottom w:val="0"/>
      <w:divBdr>
        <w:top w:val="none" w:sz="0" w:space="0" w:color="auto"/>
        <w:left w:val="none" w:sz="0" w:space="0" w:color="auto"/>
        <w:bottom w:val="none" w:sz="0" w:space="0" w:color="auto"/>
        <w:right w:val="none" w:sz="0" w:space="0" w:color="auto"/>
      </w:divBdr>
    </w:div>
    <w:div w:id="213123461">
      <w:marLeft w:val="0"/>
      <w:marRight w:val="0"/>
      <w:marTop w:val="0"/>
      <w:marBottom w:val="0"/>
      <w:divBdr>
        <w:top w:val="none" w:sz="0" w:space="0" w:color="auto"/>
        <w:left w:val="none" w:sz="0" w:space="0" w:color="auto"/>
        <w:bottom w:val="none" w:sz="0" w:space="0" w:color="auto"/>
        <w:right w:val="none" w:sz="0" w:space="0" w:color="auto"/>
      </w:divBdr>
    </w:div>
    <w:div w:id="213123462">
      <w:marLeft w:val="0"/>
      <w:marRight w:val="0"/>
      <w:marTop w:val="0"/>
      <w:marBottom w:val="0"/>
      <w:divBdr>
        <w:top w:val="none" w:sz="0" w:space="0" w:color="auto"/>
        <w:left w:val="none" w:sz="0" w:space="0" w:color="auto"/>
        <w:bottom w:val="none" w:sz="0" w:space="0" w:color="auto"/>
        <w:right w:val="none" w:sz="0" w:space="0" w:color="auto"/>
      </w:divBdr>
    </w:div>
    <w:div w:id="213123463">
      <w:marLeft w:val="0"/>
      <w:marRight w:val="0"/>
      <w:marTop w:val="0"/>
      <w:marBottom w:val="0"/>
      <w:divBdr>
        <w:top w:val="none" w:sz="0" w:space="0" w:color="auto"/>
        <w:left w:val="none" w:sz="0" w:space="0" w:color="auto"/>
        <w:bottom w:val="none" w:sz="0" w:space="0" w:color="auto"/>
        <w:right w:val="none" w:sz="0" w:space="0" w:color="auto"/>
      </w:divBdr>
    </w:div>
    <w:div w:id="213123464">
      <w:marLeft w:val="0"/>
      <w:marRight w:val="0"/>
      <w:marTop w:val="0"/>
      <w:marBottom w:val="0"/>
      <w:divBdr>
        <w:top w:val="none" w:sz="0" w:space="0" w:color="auto"/>
        <w:left w:val="none" w:sz="0" w:space="0" w:color="auto"/>
        <w:bottom w:val="none" w:sz="0" w:space="0" w:color="auto"/>
        <w:right w:val="none" w:sz="0" w:space="0" w:color="auto"/>
      </w:divBdr>
    </w:div>
    <w:div w:id="213123465">
      <w:marLeft w:val="0"/>
      <w:marRight w:val="0"/>
      <w:marTop w:val="0"/>
      <w:marBottom w:val="0"/>
      <w:divBdr>
        <w:top w:val="none" w:sz="0" w:space="0" w:color="auto"/>
        <w:left w:val="none" w:sz="0" w:space="0" w:color="auto"/>
        <w:bottom w:val="none" w:sz="0" w:space="0" w:color="auto"/>
        <w:right w:val="none" w:sz="0" w:space="0" w:color="auto"/>
      </w:divBdr>
    </w:div>
    <w:div w:id="213123466">
      <w:marLeft w:val="0"/>
      <w:marRight w:val="0"/>
      <w:marTop w:val="0"/>
      <w:marBottom w:val="0"/>
      <w:divBdr>
        <w:top w:val="none" w:sz="0" w:space="0" w:color="auto"/>
        <w:left w:val="none" w:sz="0" w:space="0" w:color="auto"/>
        <w:bottom w:val="none" w:sz="0" w:space="0" w:color="auto"/>
        <w:right w:val="none" w:sz="0" w:space="0" w:color="auto"/>
      </w:divBdr>
    </w:div>
    <w:div w:id="213123467">
      <w:marLeft w:val="0"/>
      <w:marRight w:val="0"/>
      <w:marTop w:val="0"/>
      <w:marBottom w:val="0"/>
      <w:divBdr>
        <w:top w:val="none" w:sz="0" w:space="0" w:color="auto"/>
        <w:left w:val="none" w:sz="0" w:space="0" w:color="auto"/>
        <w:bottom w:val="none" w:sz="0" w:space="0" w:color="auto"/>
        <w:right w:val="none" w:sz="0" w:space="0" w:color="auto"/>
      </w:divBdr>
    </w:div>
    <w:div w:id="213123468">
      <w:marLeft w:val="0"/>
      <w:marRight w:val="0"/>
      <w:marTop w:val="0"/>
      <w:marBottom w:val="0"/>
      <w:divBdr>
        <w:top w:val="none" w:sz="0" w:space="0" w:color="auto"/>
        <w:left w:val="none" w:sz="0" w:space="0" w:color="auto"/>
        <w:bottom w:val="none" w:sz="0" w:space="0" w:color="auto"/>
        <w:right w:val="none" w:sz="0" w:space="0" w:color="auto"/>
      </w:divBdr>
    </w:div>
    <w:div w:id="213123469">
      <w:marLeft w:val="0"/>
      <w:marRight w:val="0"/>
      <w:marTop w:val="0"/>
      <w:marBottom w:val="0"/>
      <w:divBdr>
        <w:top w:val="none" w:sz="0" w:space="0" w:color="auto"/>
        <w:left w:val="none" w:sz="0" w:space="0" w:color="auto"/>
        <w:bottom w:val="none" w:sz="0" w:space="0" w:color="auto"/>
        <w:right w:val="none" w:sz="0" w:space="0" w:color="auto"/>
      </w:divBdr>
    </w:div>
    <w:div w:id="213123470">
      <w:marLeft w:val="0"/>
      <w:marRight w:val="0"/>
      <w:marTop w:val="0"/>
      <w:marBottom w:val="0"/>
      <w:divBdr>
        <w:top w:val="none" w:sz="0" w:space="0" w:color="auto"/>
        <w:left w:val="none" w:sz="0" w:space="0" w:color="auto"/>
        <w:bottom w:val="none" w:sz="0" w:space="0" w:color="auto"/>
        <w:right w:val="none" w:sz="0" w:space="0" w:color="auto"/>
      </w:divBdr>
    </w:div>
    <w:div w:id="213123471">
      <w:marLeft w:val="0"/>
      <w:marRight w:val="0"/>
      <w:marTop w:val="0"/>
      <w:marBottom w:val="0"/>
      <w:divBdr>
        <w:top w:val="none" w:sz="0" w:space="0" w:color="auto"/>
        <w:left w:val="none" w:sz="0" w:space="0" w:color="auto"/>
        <w:bottom w:val="none" w:sz="0" w:space="0" w:color="auto"/>
        <w:right w:val="none" w:sz="0" w:space="0" w:color="auto"/>
      </w:divBdr>
    </w:div>
    <w:div w:id="213123472">
      <w:marLeft w:val="0"/>
      <w:marRight w:val="0"/>
      <w:marTop w:val="0"/>
      <w:marBottom w:val="0"/>
      <w:divBdr>
        <w:top w:val="none" w:sz="0" w:space="0" w:color="auto"/>
        <w:left w:val="none" w:sz="0" w:space="0" w:color="auto"/>
        <w:bottom w:val="none" w:sz="0" w:space="0" w:color="auto"/>
        <w:right w:val="none" w:sz="0" w:space="0" w:color="auto"/>
      </w:divBdr>
    </w:div>
    <w:div w:id="213123473">
      <w:marLeft w:val="0"/>
      <w:marRight w:val="0"/>
      <w:marTop w:val="0"/>
      <w:marBottom w:val="0"/>
      <w:divBdr>
        <w:top w:val="none" w:sz="0" w:space="0" w:color="auto"/>
        <w:left w:val="none" w:sz="0" w:space="0" w:color="auto"/>
        <w:bottom w:val="none" w:sz="0" w:space="0" w:color="auto"/>
        <w:right w:val="none" w:sz="0" w:space="0" w:color="auto"/>
      </w:divBdr>
    </w:div>
    <w:div w:id="213123474">
      <w:marLeft w:val="0"/>
      <w:marRight w:val="0"/>
      <w:marTop w:val="0"/>
      <w:marBottom w:val="0"/>
      <w:divBdr>
        <w:top w:val="none" w:sz="0" w:space="0" w:color="auto"/>
        <w:left w:val="none" w:sz="0" w:space="0" w:color="auto"/>
        <w:bottom w:val="none" w:sz="0" w:space="0" w:color="auto"/>
        <w:right w:val="none" w:sz="0" w:space="0" w:color="auto"/>
      </w:divBdr>
    </w:div>
    <w:div w:id="213123475">
      <w:marLeft w:val="0"/>
      <w:marRight w:val="0"/>
      <w:marTop w:val="0"/>
      <w:marBottom w:val="0"/>
      <w:divBdr>
        <w:top w:val="none" w:sz="0" w:space="0" w:color="auto"/>
        <w:left w:val="none" w:sz="0" w:space="0" w:color="auto"/>
        <w:bottom w:val="none" w:sz="0" w:space="0" w:color="auto"/>
        <w:right w:val="none" w:sz="0" w:space="0" w:color="auto"/>
      </w:divBdr>
    </w:div>
    <w:div w:id="213123476">
      <w:marLeft w:val="0"/>
      <w:marRight w:val="0"/>
      <w:marTop w:val="0"/>
      <w:marBottom w:val="0"/>
      <w:divBdr>
        <w:top w:val="none" w:sz="0" w:space="0" w:color="auto"/>
        <w:left w:val="none" w:sz="0" w:space="0" w:color="auto"/>
        <w:bottom w:val="none" w:sz="0" w:space="0" w:color="auto"/>
        <w:right w:val="none" w:sz="0" w:space="0" w:color="auto"/>
      </w:divBdr>
    </w:div>
    <w:div w:id="213123477">
      <w:marLeft w:val="0"/>
      <w:marRight w:val="0"/>
      <w:marTop w:val="0"/>
      <w:marBottom w:val="0"/>
      <w:divBdr>
        <w:top w:val="none" w:sz="0" w:space="0" w:color="auto"/>
        <w:left w:val="none" w:sz="0" w:space="0" w:color="auto"/>
        <w:bottom w:val="none" w:sz="0" w:space="0" w:color="auto"/>
        <w:right w:val="none" w:sz="0" w:space="0" w:color="auto"/>
      </w:divBdr>
    </w:div>
    <w:div w:id="213123478">
      <w:marLeft w:val="0"/>
      <w:marRight w:val="0"/>
      <w:marTop w:val="0"/>
      <w:marBottom w:val="0"/>
      <w:divBdr>
        <w:top w:val="none" w:sz="0" w:space="0" w:color="auto"/>
        <w:left w:val="none" w:sz="0" w:space="0" w:color="auto"/>
        <w:bottom w:val="none" w:sz="0" w:space="0" w:color="auto"/>
        <w:right w:val="none" w:sz="0" w:space="0" w:color="auto"/>
      </w:divBdr>
    </w:div>
    <w:div w:id="213123479">
      <w:marLeft w:val="0"/>
      <w:marRight w:val="0"/>
      <w:marTop w:val="0"/>
      <w:marBottom w:val="0"/>
      <w:divBdr>
        <w:top w:val="none" w:sz="0" w:space="0" w:color="auto"/>
        <w:left w:val="none" w:sz="0" w:space="0" w:color="auto"/>
        <w:bottom w:val="none" w:sz="0" w:space="0" w:color="auto"/>
        <w:right w:val="none" w:sz="0" w:space="0" w:color="auto"/>
      </w:divBdr>
    </w:div>
    <w:div w:id="213123480">
      <w:marLeft w:val="0"/>
      <w:marRight w:val="0"/>
      <w:marTop w:val="0"/>
      <w:marBottom w:val="0"/>
      <w:divBdr>
        <w:top w:val="none" w:sz="0" w:space="0" w:color="auto"/>
        <w:left w:val="none" w:sz="0" w:space="0" w:color="auto"/>
        <w:bottom w:val="none" w:sz="0" w:space="0" w:color="auto"/>
        <w:right w:val="none" w:sz="0" w:space="0" w:color="auto"/>
      </w:divBdr>
    </w:div>
    <w:div w:id="213123481">
      <w:marLeft w:val="0"/>
      <w:marRight w:val="0"/>
      <w:marTop w:val="0"/>
      <w:marBottom w:val="0"/>
      <w:divBdr>
        <w:top w:val="none" w:sz="0" w:space="0" w:color="auto"/>
        <w:left w:val="none" w:sz="0" w:space="0" w:color="auto"/>
        <w:bottom w:val="none" w:sz="0" w:space="0" w:color="auto"/>
        <w:right w:val="none" w:sz="0" w:space="0" w:color="auto"/>
      </w:divBdr>
    </w:div>
    <w:div w:id="213123482">
      <w:marLeft w:val="0"/>
      <w:marRight w:val="0"/>
      <w:marTop w:val="0"/>
      <w:marBottom w:val="0"/>
      <w:divBdr>
        <w:top w:val="none" w:sz="0" w:space="0" w:color="auto"/>
        <w:left w:val="none" w:sz="0" w:space="0" w:color="auto"/>
        <w:bottom w:val="none" w:sz="0" w:space="0" w:color="auto"/>
        <w:right w:val="none" w:sz="0" w:space="0" w:color="auto"/>
      </w:divBdr>
    </w:div>
    <w:div w:id="213123483">
      <w:marLeft w:val="0"/>
      <w:marRight w:val="0"/>
      <w:marTop w:val="0"/>
      <w:marBottom w:val="0"/>
      <w:divBdr>
        <w:top w:val="none" w:sz="0" w:space="0" w:color="auto"/>
        <w:left w:val="none" w:sz="0" w:space="0" w:color="auto"/>
        <w:bottom w:val="none" w:sz="0" w:space="0" w:color="auto"/>
        <w:right w:val="none" w:sz="0" w:space="0" w:color="auto"/>
      </w:divBdr>
    </w:div>
    <w:div w:id="213123484">
      <w:marLeft w:val="0"/>
      <w:marRight w:val="0"/>
      <w:marTop w:val="0"/>
      <w:marBottom w:val="0"/>
      <w:divBdr>
        <w:top w:val="none" w:sz="0" w:space="0" w:color="auto"/>
        <w:left w:val="none" w:sz="0" w:space="0" w:color="auto"/>
        <w:bottom w:val="none" w:sz="0" w:space="0" w:color="auto"/>
        <w:right w:val="none" w:sz="0" w:space="0" w:color="auto"/>
      </w:divBdr>
    </w:div>
    <w:div w:id="213123485">
      <w:marLeft w:val="0"/>
      <w:marRight w:val="0"/>
      <w:marTop w:val="0"/>
      <w:marBottom w:val="0"/>
      <w:divBdr>
        <w:top w:val="none" w:sz="0" w:space="0" w:color="auto"/>
        <w:left w:val="none" w:sz="0" w:space="0" w:color="auto"/>
        <w:bottom w:val="none" w:sz="0" w:space="0" w:color="auto"/>
        <w:right w:val="none" w:sz="0" w:space="0" w:color="auto"/>
      </w:divBdr>
    </w:div>
    <w:div w:id="213123486">
      <w:marLeft w:val="0"/>
      <w:marRight w:val="0"/>
      <w:marTop w:val="0"/>
      <w:marBottom w:val="0"/>
      <w:divBdr>
        <w:top w:val="none" w:sz="0" w:space="0" w:color="auto"/>
        <w:left w:val="none" w:sz="0" w:space="0" w:color="auto"/>
        <w:bottom w:val="none" w:sz="0" w:space="0" w:color="auto"/>
        <w:right w:val="none" w:sz="0" w:space="0" w:color="auto"/>
      </w:divBdr>
    </w:div>
    <w:div w:id="213123487">
      <w:marLeft w:val="0"/>
      <w:marRight w:val="0"/>
      <w:marTop w:val="0"/>
      <w:marBottom w:val="0"/>
      <w:divBdr>
        <w:top w:val="none" w:sz="0" w:space="0" w:color="auto"/>
        <w:left w:val="none" w:sz="0" w:space="0" w:color="auto"/>
        <w:bottom w:val="none" w:sz="0" w:space="0" w:color="auto"/>
        <w:right w:val="none" w:sz="0" w:space="0" w:color="auto"/>
      </w:divBdr>
    </w:div>
    <w:div w:id="213123488">
      <w:marLeft w:val="0"/>
      <w:marRight w:val="0"/>
      <w:marTop w:val="0"/>
      <w:marBottom w:val="0"/>
      <w:divBdr>
        <w:top w:val="none" w:sz="0" w:space="0" w:color="auto"/>
        <w:left w:val="none" w:sz="0" w:space="0" w:color="auto"/>
        <w:bottom w:val="none" w:sz="0" w:space="0" w:color="auto"/>
        <w:right w:val="none" w:sz="0" w:space="0" w:color="auto"/>
      </w:divBdr>
    </w:div>
    <w:div w:id="213123489">
      <w:marLeft w:val="0"/>
      <w:marRight w:val="0"/>
      <w:marTop w:val="0"/>
      <w:marBottom w:val="0"/>
      <w:divBdr>
        <w:top w:val="none" w:sz="0" w:space="0" w:color="auto"/>
        <w:left w:val="none" w:sz="0" w:space="0" w:color="auto"/>
        <w:bottom w:val="none" w:sz="0" w:space="0" w:color="auto"/>
        <w:right w:val="none" w:sz="0" w:space="0" w:color="auto"/>
      </w:divBdr>
    </w:div>
    <w:div w:id="213123490">
      <w:marLeft w:val="0"/>
      <w:marRight w:val="0"/>
      <w:marTop w:val="0"/>
      <w:marBottom w:val="0"/>
      <w:divBdr>
        <w:top w:val="none" w:sz="0" w:space="0" w:color="auto"/>
        <w:left w:val="none" w:sz="0" w:space="0" w:color="auto"/>
        <w:bottom w:val="none" w:sz="0" w:space="0" w:color="auto"/>
        <w:right w:val="none" w:sz="0" w:space="0" w:color="auto"/>
      </w:divBdr>
    </w:div>
    <w:div w:id="213123491">
      <w:marLeft w:val="0"/>
      <w:marRight w:val="0"/>
      <w:marTop w:val="0"/>
      <w:marBottom w:val="0"/>
      <w:divBdr>
        <w:top w:val="none" w:sz="0" w:space="0" w:color="auto"/>
        <w:left w:val="none" w:sz="0" w:space="0" w:color="auto"/>
        <w:bottom w:val="none" w:sz="0" w:space="0" w:color="auto"/>
        <w:right w:val="none" w:sz="0" w:space="0" w:color="auto"/>
      </w:divBdr>
    </w:div>
    <w:div w:id="213123492">
      <w:marLeft w:val="0"/>
      <w:marRight w:val="0"/>
      <w:marTop w:val="0"/>
      <w:marBottom w:val="0"/>
      <w:divBdr>
        <w:top w:val="none" w:sz="0" w:space="0" w:color="auto"/>
        <w:left w:val="none" w:sz="0" w:space="0" w:color="auto"/>
        <w:bottom w:val="none" w:sz="0" w:space="0" w:color="auto"/>
        <w:right w:val="none" w:sz="0" w:space="0" w:color="auto"/>
      </w:divBdr>
    </w:div>
    <w:div w:id="213123493">
      <w:marLeft w:val="0"/>
      <w:marRight w:val="0"/>
      <w:marTop w:val="0"/>
      <w:marBottom w:val="0"/>
      <w:divBdr>
        <w:top w:val="none" w:sz="0" w:space="0" w:color="auto"/>
        <w:left w:val="none" w:sz="0" w:space="0" w:color="auto"/>
        <w:bottom w:val="none" w:sz="0" w:space="0" w:color="auto"/>
        <w:right w:val="none" w:sz="0" w:space="0" w:color="auto"/>
      </w:divBdr>
    </w:div>
    <w:div w:id="213123494">
      <w:marLeft w:val="0"/>
      <w:marRight w:val="0"/>
      <w:marTop w:val="0"/>
      <w:marBottom w:val="0"/>
      <w:divBdr>
        <w:top w:val="none" w:sz="0" w:space="0" w:color="auto"/>
        <w:left w:val="none" w:sz="0" w:space="0" w:color="auto"/>
        <w:bottom w:val="none" w:sz="0" w:space="0" w:color="auto"/>
        <w:right w:val="none" w:sz="0" w:space="0" w:color="auto"/>
      </w:divBdr>
    </w:div>
    <w:div w:id="213123495">
      <w:marLeft w:val="0"/>
      <w:marRight w:val="0"/>
      <w:marTop w:val="0"/>
      <w:marBottom w:val="0"/>
      <w:divBdr>
        <w:top w:val="none" w:sz="0" w:space="0" w:color="auto"/>
        <w:left w:val="none" w:sz="0" w:space="0" w:color="auto"/>
        <w:bottom w:val="none" w:sz="0" w:space="0" w:color="auto"/>
        <w:right w:val="none" w:sz="0" w:space="0" w:color="auto"/>
      </w:divBdr>
    </w:div>
    <w:div w:id="213123496">
      <w:marLeft w:val="0"/>
      <w:marRight w:val="0"/>
      <w:marTop w:val="0"/>
      <w:marBottom w:val="0"/>
      <w:divBdr>
        <w:top w:val="none" w:sz="0" w:space="0" w:color="auto"/>
        <w:left w:val="none" w:sz="0" w:space="0" w:color="auto"/>
        <w:bottom w:val="none" w:sz="0" w:space="0" w:color="auto"/>
        <w:right w:val="none" w:sz="0" w:space="0" w:color="auto"/>
      </w:divBdr>
    </w:div>
    <w:div w:id="213123497">
      <w:marLeft w:val="0"/>
      <w:marRight w:val="0"/>
      <w:marTop w:val="0"/>
      <w:marBottom w:val="0"/>
      <w:divBdr>
        <w:top w:val="none" w:sz="0" w:space="0" w:color="auto"/>
        <w:left w:val="none" w:sz="0" w:space="0" w:color="auto"/>
        <w:bottom w:val="none" w:sz="0" w:space="0" w:color="auto"/>
        <w:right w:val="none" w:sz="0" w:space="0" w:color="auto"/>
      </w:divBdr>
    </w:div>
    <w:div w:id="213123498">
      <w:marLeft w:val="0"/>
      <w:marRight w:val="0"/>
      <w:marTop w:val="0"/>
      <w:marBottom w:val="0"/>
      <w:divBdr>
        <w:top w:val="none" w:sz="0" w:space="0" w:color="auto"/>
        <w:left w:val="none" w:sz="0" w:space="0" w:color="auto"/>
        <w:bottom w:val="none" w:sz="0" w:space="0" w:color="auto"/>
        <w:right w:val="none" w:sz="0" w:space="0" w:color="auto"/>
      </w:divBdr>
    </w:div>
    <w:div w:id="213123499">
      <w:marLeft w:val="0"/>
      <w:marRight w:val="0"/>
      <w:marTop w:val="0"/>
      <w:marBottom w:val="0"/>
      <w:divBdr>
        <w:top w:val="none" w:sz="0" w:space="0" w:color="auto"/>
        <w:left w:val="none" w:sz="0" w:space="0" w:color="auto"/>
        <w:bottom w:val="none" w:sz="0" w:space="0" w:color="auto"/>
        <w:right w:val="none" w:sz="0" w:space="0" w:color="auto"/>
      </w:divBdr>
    </w:div>
    <w:div w:id="213123500">
      <w:marLeft w:val="0"/>
      <w:marRight w:val="0"/>
      <w:marTop w:val="0"/>
      <w:marBottom w:val="0"/>
      <w:divBdr>
        <w:top w:val="none" w:sz="0" w:space="0" w:color="auto"/>
        <w:left w:val="none" w:sz="0" w:space="0" w:color="auto"/>
        <w:bottom w:val="none" w:sz="0" w:space="0" w:color="auto"/>
        <w:right w:val="none" w:sz="0" w:space="0" w:color="auto"/>
      </w:divBdr>
    </w:div>
    <w:div w:id="213123501">
      <w:marLeft w:val="0"/>
      <w:marRight w:val="0"/>
      <w:marTop w:val="0"/>
      <w:marBottom w:val="0"/>
      <w:divBdr>
        <w:top w:val="none" w:sz="0" w:space="0" w:color="auto"/>
        <w:left w:val="none" w:sz="0" w:space="0" w:color="auto"/>
        <w:bottom w:val="none" w:sz="0" w:space="0" w:color="auto"/>
        <w:right w:val="none" w:sz="0" w:space="0" w:color="auto"/>
      </w:divBdr>
    </w:div>
    <w:div w:id="213123502">
      <w:marLeft w:val="0"/>
      <w:marRight w:val="0"/>
      <w:marTop w:val="0"/>
      <w:marBottom w:val="0"/>
      <w:divBdr>
        <w:top w:val="none" w:sz="0" w:space="0" w:color="auto"/>
        <w:left w:val="none" w:sz="0" w:space="0" w:color="auto"/>
        <w:bottom w:val="none" w:sz="0" w:space="0" w:color="auto"/>
        <w:right w:val="none" w:sz="0" w:space="0" w:color="auto"/>
      </w:divBdr>
    </w:div>
    <w:div w:id="213123503">
      <w:marLeft w:val="0"/>
      <w:marRight w:val="0"/>
      <w:marTop w:val="0"/>
      <w:marBottom w:val="0"/>
      <w:divBdr>
        <w:top w:val="none" w:sz="0" w:space="0" w:color="auto"/>
        <w:left w:val="none" w:sz="0" w:space="0" w:color="auto"/>
        <w:bottom w:val="none" w:sz="0" w:space="0" w:color="auto"/>
        <w:right w:val="none" w:sz="0" w:space="0" w:color="auto"/>
      </w:divBdr>
    </w:div>
    <w:div w:id="213123504">
      <w:marLeft w:val="0"/>
      <w:marRight w:val="0"/>
      <w:marTop w:val="0"/>
      <w:marBottom w:val="0"/>
      <w:divBdr>
        <w:top w:val="none" w:sz="0" w:space="0" w:color="auto"/>
        <w:left w:val="none" w:sz="0" w:space="0" w:color="auto"/>
        <w:bottom w:val="none" w:sz="0" w:space="0" w:color="auto"/>
        <w:right w:val="none" w:sz="0" w:space="0" w:color="auto"/>
      </w:divBdr>
    </w:div>
    <w:div w:id="213123505">
      <w:marLeft w:val="0"/>
      <w:marRight w:val="0"/>
      <w:marTop w:val="0"/>
      <w:marBottom w:val="0"/>
      <w:divBdr>
        <w:top w:val="none" w:sz="0" w:space="0" w:color="auto"/>
        <w:left w:val="none" w:sz="0" w:space="0" w:color="auto"/>
        <w:bottom w:val="none" w:sz="0" w:space="0" w:color="auto"/>
        <w:right w:val="none" w:sz="0" w:space="0" w:color="auto"/>
      </w:divBdr>
    </w:div>
    <w:div w:id="213123506">
      <w:marLeft w:val="0"/>
      <w:marRight w:val="0"/>
      <w:marTop w:val="0"/>
      <w:marBottom w:val="0"/>
      <w:divBdr>
        <w:top w:val="none" w:sz="0" w:space="0" w:color="auto"/>
        <w:left w:val="none" w:sz="0" w:space="0" w:color="auto"/>
        <w:bottom w:val="none" w:sz="0" w:space="0" w:color="auto"/>
        <w:right w:val="none" w:sz="0" w:space="0" w:color="auto"/>
      </w:divBdr>
    </w:div>
    <w:div w:id="213123507">
      <w:marLeft w:val="0"/>
      <w:marRight w:val="0"/>
      <w:marTop w:val="0"/>
      <w:marBottom w:val="0"/>
      <w:divBdr>
        <w:top w:val="none" w:sz="0" w:space="0" w:color="auto"/>
        <w:left w:val="none" w:sz="0" w:space="0" w:color="auto"/>
        <w:bottom w:val="none" w:sz="0" w:space="0" w:color="auto"/>
        <w:right w:val="none" w:sz="0" w:space="0" w:color="auto"/>
      </w:divBdr>
    </w:div>
    <w:div w:id="213123508">
      <w:marLeft w:val="0"/>
      <w:marRight w:val="0"/>
      <w:marTop w:val="0"/>
      <w:marBottom w:val="0"/>
      <w:divBdr>
        <w:top w:val="none" w:sz="0" w:space="0" w:color="auto"/>
        <w:left w:val="none" w:sz="0" w:space="0" w:color="auto"/>
        <w:bottom w:val="none" w:sz="0" w:space="0" w:color="auto"/>
        <w:right w:val="none" w:sz="0" w:space="0" w:color="auto"/>
      </w:divBdr>
    </w:div>
    <w:div w:id="213123509">
      <w:marLeft w:val="0"/>
      <w:marRight w:val="0"/>
      <w:marTop w:val="0"/>
      <w:marBottom w:val="0"/>
      <w:divBdr>
        <w:top w:val="none" w:sz="0" w:space="0" w:color="auto"/>
        <w:left w:val="none" w:sz="0" w:space="0" w:color="auto"/>
        <w:bottom w:val="none" w:sz="0" w:space="0" w:color="auto"/>
        <w:right w:val="none" w:sz="0" w:space="0" w:color="auto"/>
      </w:divBdr>
    </w:div>
    <w:div w:id="213123510">
      <w:marLeft w:val="0"/>
      <w:marRight w:val="0"/>
      <w:marTop w:val="0"/>
      <w:marBottom w:val="0"/>
      <w:divBdr>
        <w:top w:val="none" w:sz="0" w:space="0" w:color="auto"/>
        <w:left w:val="none" w:sz="0" w:space="0" w:color="auto"/>
        <w:bottom w:val="none" w:sz="0" w:space="0" w:color="auto"/>
        <w:right w:val="none" w:sz="0" w:space="0" w:color="auto"/>
      </w:divBdr>
    </w:div>
    <w:div w:id="213123511">
      <w:marLeft w:val="0"/>
      <w:marRight w:val="0"/>
      <w:marTop w:val="0"/>
      <w:marBottom w:val="0"/>
      <w:divBdr>
        <w:top w:val="none" w:sz="0" w:space="0" w:color="auto"/>
        <w:left w:val="none" w:sz="0" w:space="0" w:color="auto"/>
        <w:bottom w:val="none" w:sz="0" w:space="0" w:color="auto"/>
        <w:right w:val="none" w:sz="0" w:space="0" w:color="auto"/>
      </w:divBdr>
    </w:div>
    <w:div w:id="213123512">
      <w:marLeft w:val="0"/>
      <w:marRight w:val="0"/>
      <w:marTop w:val="0"/>
      <w:marBottom w:val="0"/>
      <w:divBdr>
        <w:top w:val="none" w:sz="0" w:space="0" w:color="auto"/>
        <w:left w:val="none" w:sz="0" w:space="0" w:color="auto"/>
        <w:bottom w:val="none" w:sz="0" w:space="0" w:color="auto"/>
        <w:right w:val="none" w:sz="0" w:space="0" w:color="auto"/>
      </w:divBdr>
    </w:div>
    <w:div w:id="213123513">
      <w:marLeft w:val="0"/>
      <w:marRight w:val="0"/>
      <w:marTop w:val="0"/>
      <w:marBottom w:val="0"/>
      <w:divBdr>
        <w:top w:val="none" w:sz="0" w:space="0" w:color="auto"/>
        <w:left w:val="none" w:sz="0" w:space="0" w:color="auto"/>
        <w:bottom w:val="none" w:sz="0" w:space="0" w:color="auto"/>
        <w:right w:val="none" w:sz="0" w:space="0" w:color="auto"/>
      </w:divBdr>
    </w:div>
    <w:div w:id="213123514">
      <w:marLeft w:val="0"/>
      <w:marRight w:val="0"/>
      <w:marTop w:val="0"/>
      <w:marBottom w:val="0"/>
      <w:divBdr>
        <w:top w:val="none" w:sz="0" w:space="0" w:color="auto"/>
        <w:left w:val="none" w:sz="0" w:space="0" w:color="auto"/>
        <w:bottom w:val="none" w:sz="0" w:space="0" w:color="auto"/>
        <w:right w:val="none" w:sz="0" w:space="0" w:color="auto"/>
      </w:divBdr>
    </w:div>
    <w:div w:id="213123515">
      <w:marLeft w:val="0"/>
      <w:marRight w:val="0"/>
      <w:marTop w:val="0"/>
      <w:marBottom w:val="0"/>
      <w:divBdr>
        <w:top w:val="none" w:sz="0" w:space="0" w:color="auto"/>
        <w:left w:val="none" w:sz="0" w:space="0" w:color="auto"/>
        <w:bottom w:val="none" w:sz="0" w:space="0" w:color="auto"/>
        <w:right w:val="none" w:sz="0" w:space="0" w:color="auto"/>
      </w:divBdr>
    </w:div>
    <w:div w:id="213123516">
      <w:marLeft w:val="0"/>
      <w:marRight w:val="0"/>
      <w:marTop w:val="0"/>
      <w:marBottom w:val="0"/>
      <w:divBdr>
        <w:top w:val="none" w:sz="0" w:space="0" w:color="auto"/>
        <w:left w:val="none" w:sz="0" w:space="0" w:color="auto"/>
        <w:bottom w:val="none" w:sz="0" w:space="0" w:color="auto"/>
        <w:right w:val="none" w:sz="0" w:space="0" w:color="auto"/>
      </w:divBdr>
    </w:div>
    <w:div w:id="213123517">
      <w:marLeft w:val="0"/>
      <w:marRight w:val="0"/>
      <w:marTop w:val="0"/>
      <w:marBottom w:val="0"/>
      <w:divBdr>
        <w:top w:val="none" w:sz="0" w:space="0" w:color="auto"/>
        <w:left w:val="none" w:sz="0" w:space="0" w:color="auto"/>
        <w:bottom w:val="none" w:sz="0" w:space="0" w:color="auto"/>
        <w:right w:val="none" w:sz="0" w:space="0" w:color="auto"/>
      </w:divBdr>
    </w:div>
    <w:div w:id="213123518">
      <w:marLeft w:val="0"/>
      <w:marRight w:val="0"/>
      <w:marTop w:val="0"/>
      <w:marBottom w:val="0"/>
      <w:divBdr>
        <w:top w:val="none" w:sz="0" w:space="0" w:color="auto"/>
        <w:left w:val="none" w:sz="0" w:space="0" w:color="auto"/>
        <w:bottom w:val="none" w:sz="0" w:space="0" w:color="auto"/>
        <w:right w:val="none" w:sz="0" w:space="0" w:color="auto"/>
      </w:divBdr>
    </w:div>
    <w:div w:id="213123519">
      <w:marLeft w:val="0"/>
      <w:marRight w:val="0"/>
      <w:marTop w:val="0"/>
      <w:marBottom w:val="0"/>
      <w:divBdr>
        <w:top w:val="none" w:sz="0" w:space="0" w:color="auto"/>
        <w:left w:val="none" w:sz="0" w:space="0" w:color="auto"/>
        <w:bottom w:val="none" w:sz="0" w:space="0" w:color="auto"/>
        <w:right w:val="none" w:sz="0" w:space="0" w:color="auto"/>
      </w:divBdr>
    </w:div>
    <w:div w:id="213123520">
      <w:marLeft w:val="0"/>
      <w:marRight w:val="0"/>
      <w:marTop w:val="0"/>
      <w:marBottom w:val="0"/>
      <w:divBdr>
        <w:top w:val="none" w:sz="0" w:space="0" w:color="auto"/>
        <w:left w:val="none" w:sz="0" w:space="0" w:color="auto"/>
        <w:bottom w:val="none" w:sz="0" w:space="0" w:color="auto"/>
        <w:right w:val="none" w:sz="0" w:space="0" w:color="auto"/>
      </w:divBdr>
    </w:div>
    <w:div w:id="213123521">
      <w:marLeft w:val="0"/>
      <w:marRight w:val="0"/>
      <w:marTop w:val="0"/>
      <w:marBottom w:val="0"/>
      <w:divBdr>
        <w:top w:val="none" w:sz="0" w:space="0" w:color="auto"/>
        <w:left w:val="none" w:sz="0" w:space="0" w:color="auto"/>
        <w:bottom w:val="none" w:sz="0" w:space="0" w:color="auto"/>
        <w:right w:val="none" w:sz="0" w:space="0" w:color="auto"/>
      </w:divBdr>
    </w:div>
    <w:div w:id="213123522">
      <w:marLeft w:val="0"/>
      <w:marRight w:val="0"/>
      <w:marTop w:val="0"/>
      <w:marBottom w:val="0"/>
      <w:divBdr>
        <w:top w:val="none" w:sz="0" w:space="0" w:color="auto"/>
        <w:left w:val="none" w:sz="0" w:space="0" w:color="auto"/>
        <w:bottom w:val="none" w:sz="0" w:space="0" w:color="auto"/>
        <w:right w:val="none" w:sz="0" w:space="0" w:color="auto"/>
      </w:divBdr>
    </w:div>
    <w:div w:id="213123523">
      <w:marLeft w:val="0"/>
      <w:marRight w:val="0"/>
      <w:marTop w:val="0"/>
      <w:marBottom w:val="0"/>
      <w:divBdr>
        <w:top w:val="none" w:sz="0" w:space="0" w:color="auto"/>
        <w:left w:val="none" w:sz="0" w:space="0" w:color="auto"/>
        <w:bottom w:val="none" w:sz="0" w:space="0" w:color="auto"/>
        <w:right w:val="none" w:sz="0" w:space="0" w:color="auto"/>
      </w:divBdr>
    </w:div>
    <w:div w:id="213123525">
      <w:marLeft w:val="0"/>
      <w:marRight w:val="0"/>
      <w:marTop w:val="0"/>
      <w:marBottom w:val="0"/>
      <w:divBdr>
        <w:top w:val="none" w:sz="0" w:space="0" w:color="auto"/>
        <w:left w:val="none" w:sz="0" w:space="0" w:color="auto"/>
        <w:bottom w:val="none" w:sz="0" w:space="0" w:color="auto"/>
        <w:right w:val="none" w:sz="0" w:space="0" w:color="auto"/>
      </w:divBdr>
    </w:div>
    <w:div w:id="213123526">
      <w:marLeft w:val="0"/>
      <w:marRight w:val="0"/>
      <w:marTop w:val="0"/>
      <w:marBottom w:val="0"/>
      <w:divBdr>
        <w:top w:val="none" w:sz="0" w:space="0" w:color="auto"/>
        <w:left w:val="none" w:sz="0" w:space="0" w:color="auto"/>
        <w:bottom w:val="none" w:sz="0" w:space="0" w:color="auto"/>
        <w:right w:val="none" w:sz="0" w:space="0" w:color="auto"/>
      </w:divBdr>
    </w:div>
    <w:div w:id="213123527">
      <w:marLeft w:val="0"/>
      <w:marRight w:val="0"/>
      <w:marTop w:val="0"/>
      <w:marBottom w:val="0"/>
      <w:divBdr>
        <w:top w:val="none" w:sz="0" w:space="0" w:color="auto"/>
        <w:left w:val="none" w:sz="0" w:space="0" w:color="auto"/>
        <w:bottom w:val="none" w:sz="0" w:space="0" w:color="auto"/>
        <w:right w:val="none" w:sz="0" w:space="0" w:color="auto"/>
      </w:divBdr>
    </w:div>
    <w:div w:id="213123528">
      <w:marLeft w:val="0"/>
      <w:marRight w:val="0"/>
      <w:marTop w:val="0"/>
      <w:marBottom w:val="0"/>
      <w:divBdr>
        <w:top w:val="none" w:sz="0" w:space="0" w:color="auto"/>
        <w:left w:val="none" w:sz="0" w:space="0" w:color="auto"/>
        <w:bottom w:val="none" w:sz="0" w:space="0" w:color="auto"/>
        <w:right w:val="none" w:sz="0" w:space="0" w:color="auto"/>
      </w:divBdr>
    </w:div>
    <w:div w:id="213123529">
      <w:marLeft w:val="0"/>
      <w:marRight w:val="0"/>
      <w:marTop w:val="0"/>
      <w:marBottom w:val="0"/>
      <w:divBdr>
        <w:top w:val="none" w:sz="0" w:space="0" w:color="auto"/>
        <w:left w:val="none" w:sz="0" w:space="0" w:color="auto"/>
        <w:bottom w:val="none" w:sz="0" w:space="0" w:color="auto"/>
        <w:right w:val="none" w:sz="0" w:space="0" w:color="auto"/>
      </w:divBdr>
    </w:div>
    <w:div w:id="213123530">
      <w:marLeft w:val="0"/>
      <w:marRight w:val="0"/>
      <w:marTop w:val="0"/>
      <w:marBottom w:val="0"/>
      <w:divBdr>
        <w:top w:val="none" w:sz="0" w:space="0" w:color="auto"/>
        <w:left w:val="none" w:sz="0" w:space="0" w:color="auto"/>
        <w:bottom w:val="none" w:sz="0" w:space="0" w:color="auto"/>
        <w:right w:val="none" w:sz="0" w:space="0" w:color="auto"/>
      </w:divBdr>
    </w:div>
    <w:div w:id="213123531">
      <w:marLeft w:val="0"/>
      <w:marRight w:val="0"/>
      <w:marTop w:val="0"/>
      <w:marBottom w:val="0"/>
      <w:divBdr>
        <w:top w:val="none" w:sz="0" w:space="0" w:color="auto"/>
        <w:left w:val="none" w:sz="0" w:space="0" w:color="auto"/>
        <w:bottom w:val="none" w:sz="0" w:space="0" w:color="auto"/>
        <w:right w:val="none" w:sz="0" w:space="0" w:color="auto"/>
      </w:divBdr>
    </w:div>
    <w:div w:id="213123532">
      <w:marLeft w:val="0"/>
      <w:marRight w:val="0"/>
      <w:marTop w:val="0"/>
      <w:marBottom w:val="0"/>
      <w:divBdr>
        <w:top w:val="none" w:sz="0" w:space="0" w:color="auto"/>
        <w:left w:val="none" w:sz="0" w:space="0" w:color="auto"/>
        <w:bottom w:val="none" w:sz="0" w:space="0" w:color="auto"/>
        <w:right w:val="none" w:sz="0" w:space="0" w:color="auto"/>
      </w:divBdr>
    </w:div>
    <w:div w:id="213123533">
      <w:marLeft w:val="0"/>
      <w:marRight w:val="0"/>
      <w:marTop w:val="0"/>
      <w:marBottom w:val="0"/>
      <w:divBdr>
        <w:top w:val="none" w:sz="0" w:space="0" w:color="auto"/>
        <w:left w:val="none" w:sz="0" w:space="0" w:color="auto"/>
        <w:bottom w:val="none" w:sz="0" w:space="0" w:color="auto"/>
        <w:right w:val="none" w:sz="0" w:space="0" w:color="auto"/>
      </w:divBdr>
    </w:div>
    <w:div w:id="213123534">
      <w:marLeft w:val="0"/>
      <w:marRight w:val="0"/>
      <w:marTop w:val="0"/>
      <w:marBottom w:val="0"/>
      <w:divBdr>
        <w:top w:val="none" w:sz="0" w:space="0" w:color="auto"/>
        <w:left w:val="none" w:sz="0" w:space="0" w:color="auto"/>
        <w:bottom w:val="none" w:sz="0" w:space="0" w:color="auto"/>
        <w:right w:val="none" w:sz="0" w:space="0" w:color="auto"/>
      </w:divBdr>
    </w:div>
    <w:div w:id="213123535">
      <w:marLeft w:val="0"/>
      <w:marRight w:val="0"/>
      <w:marTop w:val="0"/>
      <w:marBottom w:val="0"/>
      <w:divBdr>
        <w:top w:val="none" w:sz="0" w:space="0" w:color="auto"/>
        <w:left w:val="none" w:sz="0" w:space="0" w:color="auto"/>
        <w:bottom w:val="none" w:sz="0" w:space="0" w:color="auto"/>
        <w:right w:val="none" w:sz="0" w:space="0" w:color="auto"/>
      </w:divBdr>
    </w:div>
    <w:div w:id="213123537">
      <w:marLeft w:val="0"/>
      <w:marRight w:val="0"/>
      <w:marTop w:val="0"/>
      <w:marBottom w:val="0"/>
      <w:divBdr>
        <w:top w:val="none" w:sz="0" w:space="0" w:color="auto"/>
        <w:left w:val="none" w:sz="0" w:space="0" w:color="auto"/>
        <w:bottom w:val="none" w:sz="0" w:space="0" w:color="auto"/>
        <w:right w:val="none" w:sz="0" w:space="0" w:color="auto"/>
      </w:divBdr>
    </w:div>
    <w:div w:id="213123538">
      <w:marLeft w:val="0"/>
      <w:marRight w:val="0"/>
      <w:marTop w:val="0"/>
      <w:marBottom w:val="0"/>
      <w:divBdr>
        <w:top w:val="none" w:sz="0" w:space="0" w:color="auto"/>
        <w:left w:val="none" w:sz="0" w:space="0" w:color="auto"/>
        <w:bottom w:val="none" w:sz="0" w:space="0" w:color="auto"/>
        <w:right w:val="none" w:sz="0" w:space="0" w:color="auto"/>
      </w:divBdr>
    </w:div>
    <w:div w:id="213123539">
      <w:marLeft w:val="0"/>
      <w:marRight w:val="0"/>
      <w:marTop w:val="0"/>
      <w:marBottom w:val="0"/>
      <w:divBdr>
        <w:top w:val="none" w:sz="0" w:space="0" w:color="auto"/>
        <w:left w:val="none" w:sz="0" w:space="0" w:color="auto"/>
        <w:bottom w:val="none" w:sz="0" w:space="0" w:color="auto"/>
        <w:right w:val="none" w:sz="0" w:space="0" w:color="auto"/>
      </w:divBdr>
    </w:div>
    <w:div w:id="213123540">
      <w:marLeft w:val="0"/>
      <w:marRight w:val="0"/>
      <w:marTop w:val="0"/>
      <w:marBottom w:val="0"/>
      <w:divBdr>
        <w:top w:val="none" w:sz="0" w:space="0" w:color="auto"/>
        <w:left w:val="none" w:sz="0" w:space="0" w:color="auto"/>
        <w:bottom w:val="none" w:sz="0" w:space="0" w:color="auto"/>
        <w:right w:val="none" w:sz="0" w:space="0" w:color="auto"/>
      </w:divBdr>
    </w:div>
    <w:div w:id="213123541">
      <w:marLeft w:val="0"/>
      <w:marRight w:val="0"/>
      <w:marTop w:val="0"/>
      <w:marBottom w:val="0"/>
      <w:divBdr>
        <w:top w:val="none" w:sz="0" w:space="0" w:color="auto"/>
        <w:left w:val="none" w:sz="0" w:space="0" w:color="auto"/>
        <w:bottom w:val="none" w:sz="0" w:space="0" w:color="auto"/>
        <w:right w:val="none" w:sz="0" w:space="0" w:color="auto"/>
      </w:divBdr>
    </w:div>
    <w:div w:id="213123542">
      <w:marLeft w:val="0"/>
      <w:marRight w:val="0"/>
      <w:marTop w:val="0"/>
      <w:marBottom w:val="0"/>
      <w:divBdr>
        <w:top w:val="none" w:sz="0" w:space="0" w:color="auto"/>
        <w:left w:val="none" w:sz="0" w:space="0" w:color="auto"/>
        <w:bottom w:val="none" w:sz="0" w:space="0" w:color="auto"/>
        <w:right w:val="none" w:sz="0" w:space="0" w:color="auto"/>
      </w:divBdr>
    </w:div>
    <w:div w:id="213123543">
      <w:marLeft w:val="0"/>
      <w:marRight w:val="0"/>
      <w:marTop w:val="0"/>
      <w:marBottom w:val="0"/>
      <w:divBdr>
        <w:top w:val="none" w:sz="0" w:space="0" w:color="auto"/>
        <w:left w:val="none" w:sz="0" w:space="0" w:color="auto"/>
        <w:bottom w:val="none" w:sz="0" w:space="0" w:color="auto"/>
        <w:right w:val="none" w:sz="0" w:space="0" w:color="auto"/>
      </w:divBdr>
    </w:div>
    <w:div w:id="213123544">
      <w:marLeft w:val="0"/>
      <w:marRight w:val="0"/>
      <w:marTop w:val="0"/>
      <w:marBottom w:val="0"/>
      <w:divBdr>
        <w:top w:val="none" w:sz="0" w:space="0" w:color="auto"/>
        <w:left w:val="none" w:sz="0" w:space="0" w:color="auto"/>
        <w:bottom w:val="none" w:sz="0" w:space="0" w:color="auto"/>
        <w:right w:val="none" w:sz="0" w:space="0" w:color="auto"/>
      </w:divBdr>
    </w:div>
    <w:div w:id="213123545">
      <w:marLeft w:val="0"/>
      <w:marRight w:val="0"/>
      <w:marTop w:val="0"/>
      <w:marBottom w:val="0"/>
      <w:divBdr>
        <w:top w:val="none" w:sz="0" w:space="0" w:color="auto"/>
        <w:left w:val="none" w:sz="0" w:space="0" w:color="auto"/>
        <w:bottom w:val="none" w:sz="0" w:space="0" w:color="auto"/>
        <w:right w:val="none" w:sz="0" w:space="0" w:color="auto"/>
      </w:divBdr>
    </w:div>
    <w:div w:id="213123546">
      <w:marLeft w:val="0"/>
      <w:marRight w:val="0"/>
      <w:marTop w:val="0"/>
      <w:marBottom w:val="0"/>
      <w:divBdr>
        <w:top w:val="none" w:sz="0" w:space="0" w:color="auto"/>
        <w:left w:val="none" w:sz="0" w:space="0" w:color="auto"/>
        <w:bottom w:val="none" w:sz="0" w:space="0" w:color="auto"/>
        <w:right w:val="none" w:sz="0" w:space="0" w:color="auto"/>
      </w:divBdr>
    </w:div>
    <w:div w:id="213123547">
      <w:marLeft w:val="0"/>
      <w:marRight w:val="0"/>
      <w:marTop w:val="0"/>
      <w:marBottom w:val="0"/>
      <w:divBdr>
        <w:top w:val="none" w:sz="0" w:space="0" w:color="auto"/>
        <w:left w:val="none" w:sz="0" w:space="0" w:color="auto"/>
        <w:bottom w:val="none" w:sz="0" w:space="0" w:color="auto"/>
        <w:right w:val="none" w:sz="0" w:space="0" w:color="auto"/>
      </w:divBdr>
    </w:div>
    <w:div w:id="213123548">
      <w:marLeft w:val="0"/>
      <w:marRight w:val="0"/>
      <w:marTop w:val="0"/>
      <w:marBottom w:val="0"/>
      <w:divBdr>
        <w:top w:val="none" w:sz="0" w:space="0" w:color="auto"/>
        <w:left w:val="none" w:sz="0" w:space="0" w:color="auto"/>
        <w:bottom w:val="none" w:sz="0" w:space="0" w:color="auto"/>
        <w:right w:val="none" w:sz="0" w:space="0" w:color="auto"/>
      </w:divBdr>
    </w:div>
    <w:div w:id="213123549">
      <w:marLeft w:val="0"/>
      <w:marRight w:val="0"/>
      <w:marTop w:val="0"/>
      <w:marBottom w:val="0"/>
      <w:divBdr>
        <w:top w:val="none" w:sz="0" w:space="0" w:color="auto"/>
        <w:left w:val="none" w:sz="0" w:space="0" w:color="auto"/>
        <w:bottom w:val="none" w:sz="0" w:space="0" w:color="auto"/>
        <w:right w:val="none" w:sz="0" w:space="0" w:color="auto"/>
      </w:divBdr>
    </w:div>
    <w:div w:id="213123550">
      <w:marLeft w:val="0"/>
      <w:marRight w:val="0"/>
      <w:marTop w:val="0"/>
      <w:marBottom w:val="0"/>
      <w:divBdr>
        <w:top w:val="none" w:sz="0" w:space="0" w:color="auto"/>
        <w:left w:val="none" w:sz="0" w:space="0" w:color="auto"/>
        <w:bottom w:val="none" w:sz="0" w:space="0" w:color="auto"/>
        <w:right w:val="none" w:sz="0" w:space="0" w:color="auto"/>
      </w:divBdr>
    </w:div>
    <w:div w:id="213123551">
      <w:marLeft w:val="0"/>
      <w:marRight w:val="0"/>
      <w:marTop w:val="0"/>
      <w:marBottom w:val="0"/>
      <w:divBdr>
        <w:top w:val="none" w:sz="0" w:space="0" w:color="auto"/>
        <w:left w:val="none" w:sz="0" w:space="0" w:color="auto"/>
        <w:bottom w:val="none" w:sz="0" w:space="0" w:color="auto"/>
        <w:right w:val="none" w:sz="0" w:space="0" w:color="auto"/>
      </w:divBdr>
    </w:div>
    <w:div w:id="213123552">
      <w:marLeft w:val="0"/>
      <w:marRight w:val="0"/>
      <w:marTop w:val="0"/>
      <w:marBottom w:val="0"/>
      <w:divBdr>
        <w:top w:val="none" w:sz="0" w:space="0" w:color="auto"/>
        <w:left w:val="none" w:sz="0" w:space="0" w:color="auto"/>
        <w:bottom w:val="none" w:sz="0" w:space="0" w:color="auto"/>
        <w:right w:val="none" w:sz="0" w:space="0" w:color="auto"/>
      </w:divBdr>
    </w:div>
    <w:div w:id="213123553">
      <w:marLeft w:val="0"/>
      <w:marRight w:val="0"/>
      <w:marTop w:val="0"/>
      <w:marBottom w:val="0"/>
      <w:divBdr>
        <w:top w:val="none" w:sz="0" w:space="0" w:color="auto"/>
        <w:left w:val="none" w:sz="0" w:space="0" w:color="auto"/>
        <w:bottom w:val="none" w:sz="0" w:space="0" w:color="auto"/>
        <w:right w:val="none" w:sz="0" w:space="0" w:color="auto"/>
      </w:divBdr>
    </w:div>
    <w:div w:id="213123554">
      <w:marLeft w:val="0"/>
      <w:marRight w:val="0"/>
      <w:marTop w:val="0"/>
      <w:marBottom w:val="0"/>
      <w:divBdr>
        <w:top w:val="none" w:sz="0" w:space="0" w:color="auto"/>
        <w:left w:val="none" w:sz="0" w:space="0" w:color="auto"/>
        <w:bottom w:val="none" w:sz="0" w:space="0" w:color="auto"/>
        <w:right w:val="none" w:sz="0" w:space="0" w:color="auto"/>
      </w:divBdr>
    </w:div>
    <w:div w:id="213123555">
      <w:marLeft w:val="0"/>
      <w:marRight w:val="0"/>
      <w:marTop w:val="0"/>
      <w:marBottom w:val="0"/>
      <w:divBdr>
        <w:top w:val="none" w:sz="0" w:space="0" w:color="auto"/>
        <w:left w:val="none" w:sz="0" w:space="0" w:color="auto"/>
        <w:bottom w:val="none" w:sz="0" w:space="0" w:color="auto"/>
        <w:right w:val="none" w:sz="0" w:space="0" w:color="auto"/>
      </w:divBdr>
    </w:div>
    <w:div w:id="213123556">
      <w:marLeft w:val="0"/>
      <w:marRight w:val="0"/>
      <w:marTop w:val="0"/>
      <w:marBottom w:val="0"/>
      <w:divBdr>
        <w:top w:val="none" w:sz="0" w:space="0" w:color="auto"/>
        <w:left w:val="none" w:sz="0" w:space="0" w:color="auto"/>
        <w:bottom w:val="none" w:sz="0" w:space="0" w:color="auto"/>
        <w:right w:val="none" w:sz="0" w:space="0" w:color="auto"/>
      </w:divBdr>
    </w:div>
    <w:div w:id="213123557">
      <w:marLeft w:val="0"/>
      <w:marRight w:val="0"/>
      <w:marTop w:val="0"/>
      <w:marBottom w:val="0"/>
      <w:divBdr>
        <w:top w:val="none" w:sz="0" w:space="0" w:color="auto"/>
        <w:left w:val="none" w:sz="0" w:space="0" w:color="auto"/>
        <w:bottom w:val="none" w:sz="0" w:space="0" w:color="auto"/>
        <w:right w:val="none" w:sz="0" w:space="0" w:color="auto"/>
      </w:divBdr>
    </w:div>
    <w:div w:id="213123558">
      <w:marLeft w:val="0"/>
      <w:marRight w:val="0"/>
      <w:marTop w:val="0"/>
      <w:marBottom w:val="0"/>
      <w:divBdr>
        <w:top w:val="none" w:sz="0" w:space="0" w:color="auto"/>
        <w:left w:val="none" w:sz="0" w:space="0" w:color="auto"/>
        <w:bottom w:val="none" w:sz="0" w:space="0" w:color="auto"/>
        <w:right w:val="none" w:sz="0" w:space="0" w:color="auto"/>
      </w:divBdr>
    </w:div>
    <w:div w:id="213123559">
      <w:marLeft w:val="0"/>
      <w:marRight w:val="0"/>
      <w:marTop w:val="0"/>
      <w:marBottom w:val="0"/>
      <w:divBdr>
        <w:top w:val="none" w:sz="0" w:space="0" w:color="auto"/>
        <w:left w:val="none" w:sz="0" w:space="0" w:color="auto"/>
        <w:bottom w:val="none" w:sz="0" w:space="0" w:color="auto"/>
        <w:right w:val="none" w:sz="0" w:space="0" w:color="auto"/>
      </w:divBdr>
    </w:div>
    <w:div w:id="213123560">
      <w:marLeft w:val="0"/>
      <w:marRight w:val="0"/>
      <w:marTop w:val="0"/>
      <w:marBottom w:val="0"/>
      <w:divBdr>
        <w:top w:val="none" w:sz="0" w:space="0" w:color="auto"/>
        <w:left w:val="none" w:sz="0" w:space="0" w:color="auto"/>
        <w:bottom w:val="none" w:sz="0" w:space="0" w:color="auto"/>
        <w:right w:val="none" w:sz="0" w:space="0" w:color="auto"/>
      </w:divBdr>
    </w:div>
    <w:div w:id="213123561">
      <w:marLeft w:val="0"/>
      <w:marRight w:val="0"/>
      <w:marTop w:val="0"/>
      <w:marBottom w:val="0"/>
      <w:divBdr>
        <w:top w:val="none" w:sz="0" w:space="0" w:color="auto"/>
        <w:left w:val="none" w:sz="0" w:space="0" w:color="auto"/>
        <w:bottom w:val="none" w:sz="0" w:space="0" w:color="auto"/>
        <w:right w:val="none" w:sz="0" w:space="0" w:color="auto"/>
      </w:divBdr>
    </w:div>
    <w:div w:id="213123562">
      <w:marLeft w:val="0"/>
      <w:marRight w:val="0"/>
      <w:marTop w:val="0"/>
      <w:marBottom w:val="0"/>
      <w:divBdr>
        <w:top w:val="none" w:sz="0" w:space="0" w:color="auto"/>
        <w:left w:val="none" w:sz="0" w:space="0" w:color="auto"/>
        <w:bottom w:val="none" w:sz="0" w:space="0" w:color="auto"/>
        <w:right w:val="none" w:sz="0" w:space="0" w:color="auto"/>
      </w:divBdr>
    </w:div>
    <w:div w:id="213123563">
      <w:marLeft w:val="0"/>
      <w:marRight w:val="0"/>
      <w:marTop w:val="0"/>
      <w:marBottom w:val="0"/>
      <w:divBdr>
        <w:top w:val="none" w:sz="0" w:space="0" w:color="auto"/>
        <w:left w:val="none" w:sz="0" w:space="0" w:color="auto"/>
        <w:bottom w:val="none" w:sz="0" w:space="0" w:color="auto"/>
        <w:right w:val="none" w:sz="0" w:space="0" w:color="auto"/>
      </w:divBdr>
    </w:div>
    <w:div w:id="213123564">
      <w:marLeft w:val="0"/>
      <w:marRight w:val="0"/>
      <w:marTop w:val="0"/>
      <w:marBottom w:val="0"/>
      <w:divBdr>
        <w:top w:val="none" w:sz="0" w:space="0" w:color="auto"/>
        <w:left w:val="none" w:sz="0" w:space="0" w:color="auto"/>
        <w:bottom w:val="none" w:sz="0" w:space="0" w:color="auto"/>
        <w:right w:val="none" w:sz="0" w:space="0" w:color="auto"/>
      </w:divBdr>
    </w:div>
    <w:div w:id="213123565">
      <w:marLeft w:val="0"/>
      <w:marRight w:val="0"/>
      <w:marTop w:val="0"/>
      <w:marBottom w:val="0"/>
      <w:divBdr>
        <w:top w:val="none" w:sz="0" w:space="0" w:color="auto"/>
        <w:left w:val="none" w:sz="0" w:space="0" w:color="auto"/>
        <w:bottom w:val="none" w:sz="0" w:space="0" w:color="auto"/>
        <w:right w:val="none" w:sz="0" w:space="0" w:color="auto"/>
      </w:divBdr>
    </w:div>
    <w:div w:id="213123566">
      <w:marLeft w:val="0"/>
      <w:marRight w:val="0"/>
      <w:marTop w:val="0"/>
      <w:marBottom w:val="0"/>
      <w:divBdr>
        <w:top w:val="none" w:sz="0" w:space="0" w:color="auto"/>
        <w:left w:val="none" w:sz="0" w:space="0" w:color="auto"/>
        <w:bottom w:val="none" w:sz="0" w:space="0" w:color="auto"/>
        <w:right w:val="none" w:sz="0" w:space="0" w:color="auto"/>
      </w:divBdr>
    </w:div>
    <w:div w:id="213123567">
      <w:marLeft w:val="0"/>
      <w:marRight w:val="0"/>
      <w:marTop w:val="0"/>
      <w:marBottom w:val="0"/>
      <w:divBdr>
        <w:top w:val="none" w:sz="0" w:space="0" w:color="auto"/>
        <w:left w:val="none" w:sz="0" w:space="0" w:color="auto"/>
        <w:bottom w:val="none" w:sz="0" w:space="0" w:color="auto"/>
        <w:right w:val="none" w:sz="0" w:space="0" w:color="auto"/>
      </w:divBdr>
    </w:div>
    <w:div w:id="213123568">
      <w:marLeft w:val="0"/>
      <w:marRight w:val="0"/>
      <w:marTop w:val="0"/>
      <w:marBottom w:val="0"/>
      <w:divBdr>
        <w:top w:val="none" w:sz="0" w:space="0" w:color="auto"/>
        <w:left w:val="none" w:sz="0" w:space="0" w:color="auto"/>
        <w:bottom w:val="none" w:sz="0" w:space="0" w:color="auto"/>
        <w:right w:val="none" w:sz="0" w:space="0" w:color="auto"/>
      </w:divBdr>
    </w:div>
    <w:div w:id="213123569">
      <w:marLeft w:val="0"/>
      <w:marRight w:val="0"/>
      <w:marTop w:val="0"/>
      <w:marBottom w:val="0"/>
      <w:divBdr>
        <w:top w:val="none" w:sz="0" w:space="0" w:color="auto"/>
        <w:left w:val="none" w:sz="0" w:space="0" w:color="auto"/>
        <w:bottom w:val="none" w:sz="0" w:space="0" w:color="auto"/>
        <w:right w:val="none" w:sz="0" w:space="0" w:color="auto"/>
      </w:divBdr>
    </w:div>
    <w:div w:id="213123570">
      <w:marLeft w:val="0"/>
      <w:marRight w:val="0"/>
      <w:marTop w:val="0"/>
      <w:marBottom w:val="0"/>
      <w:divBdr>
        <w:top w:val="none" w:sz="0" w:space="0" w:color="auto"/>
        <w:left w:val="none" w:sz="0" w:space="0" w:color="auto"/>
        <w:bottom w:val="none" w:sz="0" w:space="0" w:color="auto"/>
        <w:right w:val="none" w:sz="0" w:space="0" w:color="auto"/>
      </w:divBdr>
    </w:div>
    <w:div w:id="213123571">
      <w:marLeft w:val="0"/>
      <w:marRight w:val="0"/>
      <w:marTop w:val="0"/>
      <w:marBottom w:val="0"/>
      <w:divBdr>
        <w:top w:val="none" w:sz="0" w:space="0" w:color="auto"/>
        <w:left w:val="none" w:sz="0" w:space="0" w:color="auto"/>
        <w:bottom w:val="none" w:sz="0" w:space="0" w:color="auto"/>
        <w:right w:val="none" w:sz="0" w:space="0" w:color="auto"/>
      </w:divBdr>
    </w:div>
    <w:div w:id="213123572">
      <w:marLeft w:val="0"/>
      <w:marRight w:val="0"/>
      <w:marTop w:val="0"/>
      <w:marBottom w:val="0"/>
      <w:divBdr>
        <w:top w:val="none" w:sz="0" w:space="0" w:color="auto"/>
        <w:left w:val="none" w:sz="0" w:space="0" w:color="auto"/>
        <w:bottom w:val="none" w:sz="0" w:space="0" w:color="auto"/>
        <w:right w:val="none" w:sz="0" w:space="0" w:color="auto"/>
      </w:divBdr>
    </w:div>
    <w:div w:id="213123573">
      <w:marLeft w:val="0"/>
      <w:marRight w:val="0"/>
      <w:marTop w:val="0"/>
      <w:marBottom w:val="0"/>
      <w:divBdr>
        <w:top w:val="none" w:sz="0" w:space="0" w:color="auto"/>
        <w:left w:val="none" w:sz="0" w:space="0" w:color="auto"/>
        <w:bottom w:val="none" w:sz="0" w:space="0" w:color="auto"/>
        <w:right w:val="none" w:sz="0" w:space="0" w:color="auto"/>
      </w:divBdr>
    </w:div>
    <w:div w:id="213123574">
      <w:marLeft w:val="0"/>
      <w:marRight w:val="0"/>
      <w:marTop w:val="0"/>
      <w:marBottom w:val="0"/>
      <w:divBdr>
        <w:top w:val="none" w:sz="0" w:space="0" w:color="auto"/>
        <w:left w:val="none" w:sz="0" w:space="0" w:color="auto"/>
        <w:bottom w:val="none" w:sz="0" w:space="0" w:color="auto"/>
        <w:right w:val="none" w:sz="0" w:space="0" w:color="auto"/>
      </w:divBdr>
    </w:div>
    <w:div w:id="213123575">
      <w:marLeft w:val="0"/>
      <w:marRight w:val="0"/>
      <w:marTop w:val="0"/>
      <w:marBottom w:val="0"/>
      <w:divBdr>
        <w:top w:val="none" w:sz="0" w:space="0" w:color="auto"/>
        <w:left w:val="none" w:sz="0" w:space="0" w:color="auto"/>
        <w:bottom w:val="none" w:sz="0" w:space="0" w:color="auto"/>
        <w:right w:val="none" w:sz="0" w:space="0" w:color="auto"/>
      </w:divBdr>
    </w:div>
    <w:div w:id="213123576">
      <w:marLeft w:val="0"/>
      <w:marRight w:val="0"/>
      <w:marTop w:val="0"/>
      <w:marBottom w:val="0"/>
      <w:divBdr>
        <w:top w:val="none" w:sz="0" w:space="0" w:color="auto"/>
        <w:left w:val="none" w:sz="0" w:space="0" w:color="auto"/>
        <w:bottom w:val="none" w:sz="0" w:space="0" w:color="auto"/>
        <w:right w:val="none" w:sz="0" w:space="0" w:color="auto"/>
      </w:divBdr>
    </w:div>
    <w:div w:id="213123577">
      <w:marLeft w:val="0"/>
      <w:marRight w:val="0"/>
      <w:marTop w:val="0"/>
      <w:marBottom w:val="0"/>
      <w:divBdr>
        <w:top w:val="none" w:sz="0" w:space="0" w:color="auto"/>
        <w:left w:val="none" w:sz="0" w:space="0" w:color="auto"/>
        <w:bottom w:val="none" w:sz="0" w:space="0" w:color="auto"/>
        <w:right w:val="none" w:sz="0" w:space="0" w:color="auto"/>
      </w:divBdr>
    </w:div>
    <w:div w:id="213123578">
      <w:marLeft w:val="0"/>
      <w:marRight w:val="0"/>
      <w:marTop w:val="0"/>
      <w:marBottom w:val="0"/>
      <w:divBdr>
        <w:top w:val="none" w:sz="0" w:space="0" w:color="auto"/>
        <w:left w:val="none" w:sz="0" w:space="0" w:color="auto"/>
        <w:bottom w:val="none" w:sz="0" w:space="0" w:color="auto"/>
        <w:right w:val="none" w:sz="0" w:space="0" w:color="auto"/>
      </w:divBdr>
    </w:div>
    <w:div w:id="213123579">
      <w:marLeft w:val="0"/>
      <w:marRight w:val="0"/>
      <w:marTop w:val="0"/>
      <w:marBottom w:val="0"/>
      <w:divBdr>
        <w:top w:val="none" w:sz="0" w:space="0" w:color="auto"/>
        <w:left w:val="none" w:sz="0" w:space="0" w:color="auto"/>
        <w:bottom w:val="none" w:sz="0" w:space="0" w:color="auto"/>
        <w:right w:val="none" w:sz="0" w:space="0" w:color="auto"/>
      </w:divBdr>
    </w:div>
    <w:div w:id="213123580">
      <w:marLeft w:val="0"/>
      <w:marRight w:val="0"/>
      <w:marTop w:val="0"/>
      <w:marBottom w:val="0"/>
      <w:divBdr>
        <w:top w:val="none" w:sz="0" w:space="0" w:color="auto"/>
        <w:left w:val="none" w:sz="0" w:space="0" w:color="auto"/>
        <w:bottom w:val="none" w:sz="0" w:space="0" w:color="auto"/>
        <w:right w:val="none" w:sz="0" w:space="0" w:color="auto"/>
      </w:divBdr>
    </w:div>
    <w:div w:id="213123581">
      <w:marLeft w:val="0"/>
      <w:marRight w:val="0"/>
      <w:marTop w:val="0"/>
      <w:marBottom w:val="0"/>
      <w:divBdr>
        <w:top w:val="none" w:sz="0" w:space="0" w:color="auto"/>
        <w:left w:val="none" w:sz="0" w:space="0" w:color="auto"/>
        <w:bottom w:val="none" w:sz="0" w:space="0" w:color="auto"/>
        <w:right w:val="none" w:sz="0" w:space="0" w:color="auto"/>
      </w:divBdr>
    </w:div>
    <w:div w:id="213123582">
      <w:marLeft w:val="0"/>
      <w:marRight w:val="0"/>
      <w:marTop w:val="0"/>
      <w:marBottom w:val="0"/>
      <w:divBdr>
        <w:top w:val="none" w:sz="0" w:space="0" w:color="auto"/>
        <w:left w:val="none" w:sz="0" w:space="0" w:color="auto"/>
        <w:bottom w:val="none" w:sz="0" w:space="0" w:color="auto"/>
        <w:right w:val="none" w:sz="0" w:space="0" w:color="auto"/>
      </w:divBdr>
    </w:div>
    <w:div w:id="213123583">
      <w:marLeft w:val="0"/>
      <w:marRight w:val="0"/>
      <w:marTop w:val="0"/>
      <w:marBottom w:val="0"/>
      <w:divBdr>
        <w:top w:val="none" w:sz="0" w:space="0" w:color="auto"/>
        <w:left w:val="none" w:sz="0" w:space="0" w:color="auto"/>
        <w:bottom w:val="none" w:sz="0" w:space="0" w:color="auto"/>
        <w:right w:val="none" w:sz="0" w:space="0" w:color="auto"/>
      </w:divBdr>
    </w:div>
    <w:div w:id="213123584">
      <w:marLeft w:val="0"/>
      <w:marRight w:val="0"/>
      <w:marTop w:val="0"/>
      <w:marBottom w:val="0"/>
      <w:divBdr>
        <w:top w:val="none" w:sz="0" w:space="0" w:color="auto"/>
        <w:left w:val="none" w:sz="0" w:space="0" w:color="auto"/>
        <w:bottom w:val="none" w:sz="0" w:space="0" w:color="auto"/>
        <w:right w:val="none" w:sz="0" w:space="0" w:color="auto"/>
      </w:divBdr>
    </w:div>
    <w:div w:id="213123585">
      <w:marLeft w:val="0"/>
      <w:marRight w:val="0"/>
      <w:marTop w:val="0"/>
      <w:marBottom w:val="0"/>
      <w:divBdr>
        <w:top w:val="none" w:sz="0" w:space="0" w:color="auto"/>
        <w:left w:val="none" w:sz="0" w:space="0" w:color="auto"/>
        <w:bottom w:val="none" w:sz="0" w:space="0" w:color="auto"/>
        <w:right w:val="none" w:sz="0" w:space="0" w:color="auto"/>
      </w:divBdr>
    </w:div>
    <w:div w:id="213123586">
      <w:marLeft w:val="0"/>
      <w:marRight w:val="0"/>
      <w:marTop w:val="0"/>
      <w:marBottom w:val="0"/>
      <w:divBdr>
        <w:top w:val="none" w:sz="0" w:space="0" w:color="auto"/>
        <w:left w:val="none" w:sz="0" w:space="0" w:color="auto"/>
        <w:bottom w:val="none" w:sz="0" w:space="0" w:color="auto"/>
        <w:right w:val="none" w:sz="0" w:space="0" w:color="auto"/>
      </w:divBdr>
    </w:div>
    <w:div w:id="213123587">
      <w:marLeft w:val="0"/>
      <w:marRight w:val="0"/>
      <w:marTop w:val="0"/>
      <w:marBottom w:val="0"/>
      <w:divBdr>
        <w:top w:val="none" w:sz="0" w:space="0" w:color="auto"/>
        <w:left w:val="none" w:sz="0" w:space="0" w:color="auto"/>
        <w:bottom w:val="none" w:sz="0" w:space="0" w:color="auto"/>
        <w:right w:val="none" w:sz="0" w:space="0" w:color="auto"/>
      </w:divBdr>
      <w:divsChild>
        <w:div w:id="213123524">
          <w:marLeft w:val="0"/>
          <w:marRight w:val="0"/>
          <w:marTop w:val="0"/>
          <w:marBottom w:val="0"/>
          <w:divBdr>
            <w:top w:val="none" w:sz="0" w:space="0" w:color="auto"/>
            <w:left w:val="none" w:sz="0" w:space="0" w:color="auto"/>
            <w:bottom w:val="none" w:sz="0" w:space="0" w:color="auto"/>
            <w:right w:val="none" w:sz="0" w:space="0" w:color="auto"/>
          </w:divBdr>
        </w:div>
      </w:divsChild>
    </w:div>
    <w:div w:id="213123588">
      <w:marLeft w:val="0"/>
      <w:marRight w:val="0"/>
      <w:marTop w:val="0"/>
      <w:marBottom w:val="0"/>
      <w:divBdr>
        <w:top w:val="none" w:sz="0" w:space="0" w:color="auto"/>
        <w:left w:val="none" w:sz="0" w:space="0" w:color="auto"/>
        <w:bottom w:val="none" w:sz="0" w:space="0" w:color="auto"/>
        <w:right w:val="none" w:sz="0" w:space="0" w:color="auto"/>
      </w:divBdr>
    </w:div>
    <w:div w:id="213123589">
      <w:marLeft w:val="0"/>
      <w:marRight w:val="0"/>
      <w:marTop w:val="0"/>
      <w:marBottom w:val="0"/>
      <w:divBdr>
        <w:top w:val="none" w:sz="0" w:space="0" w:color="auto"/>
        <w:left w:val="none" w:sz="0" w:space="0" w:color="auto"/>
        <w:bottom w:val="none" w:sz="0" w:space="0" w:color="auto"/>
        <w:right w:val="none" w:sz="0" w:space="0" w:color="auto"/>
      </w:divBdr>
    </w:div>
    <w:div w:id="213123590">
      <w:marLeft w:val="0"/>
      <w:marRight w:val="0"/>
      <w:marTop w:val="0"/>
      <w:marBottom w:val="0"/>
      <w:divBdr>
        <w:top w:val="none" w:sz="0" w:space="0" w:color="auto"/>
        <w:left w:val="none" w:sz="0" w:space="0" w:color="auto"/>
        <w:bottom w:val="none" w:sz="0" w:space="0" w:color="auto"/>
        <w:right w:val="none" w:sz="0" w:space="0" w:color="auto"/>
      </w:divBdr>
    </w:div>
    <w:div w:id="213123591">
      <w:marLeft w:val="0"/>
      <w:marRight w:val="0"/>
      <w:marTop w:val="0"/>
      <w:marBottom w:val="0"/>
      <w:divBdr>
        <w:top w:val="none" w:sz="0" w:space="0" w:color="auto"/>
        <w:left w:val="none" w:sz="0" w:space="0" w:color="auto"/>
        <w:bottom w:val="none" w:sz="0" w:space="0" w:color="auto"/>
        <w:right w:val="none" w:sz="0" w:space="0" w:color="auto"/>
      </w:divBdr>
    </w:div>
    <w:div w:id="213123592">
      <w:marLeft w:val="0"/>
      <w:marRight w:val="0"/>
      <w:marTop w:val="0"/>
      <w:marBottom w:val="0"/>
      <w:divBdr>
        <w:top w:val="none" w:sz="0" w:space="0" w:color="auto"/>
        <w:left w:val="none" w:sz="0" w:space="0" w:color="auto"/>
        <w:bottom w:val="none" w:sz="0" w:space="0" w:color="auto"/>
        <w:right w:val="none" w:sz="0" w:space="0" w:color="auto"/>
      </w:divBdr>
    </w:div>
    <w:div w:id="213123593">
      <w:marLeft w:val="0"/>
      <w:marRight w:val="0"/>
      <w:marTop w:val="0"/>
      <w:marBottom w:val="0"/>
      <w:divBdr>
        <w:top w:val="none" w:sz="0" w:space="0" w:color="auto"/>
        <w:left w:val="none" w:sz="0" w:space="0" w:color="auto"/>
        <w:bottom w:val="none" w:sz="0" w:space="0" w:color="auto"/>
        <w:right w:val="none" w:sz="0" w:space="0" w:color="auto"/>
      </w:divBdr>
    </w:div>
    <w:div w:id="213123594">
      <w:marLeft w:val="0"/>
      <w:marRight w:val="0"/>
      <w:marTop w:val="0"/>
      <w:marBottom w:val="0"/>
      <w:divBdr>
        <w:top w:val="none" w:sz="0" w:space="0" w:color="auto"/>
        <w:left w:val="none" w:sz="0" w:space="0" w:color="auto"/>
        <w:bottom w:val="none" w:sz="0" w:space="0" w:color="auto"/>
        <w:right w:val="none" w:sz="0" w:space="0" w:color="auto"/>
      </w:divBdr>
    </w:div>
    <w:div w:id="213123595">
      <w:marLeft w:val="0"/>
      <w:marRight w:val="0"/>
      <w:marTop w:val="0"/>
      <w:marBottom w:val="0"/>
      <w:divBdr>
        <w:top w:val="none" w:sz="0" w:space="0" w:color="auto"/>
        <w:left w:val="none" w:sz="0" w:space="0" w:color="auto"/>
        <w:bottom w:val="none" w:sz="0" w:space="0" w:color="auto"/>
        <w:right w:val="none" w:sz="0" w:space="0" w:color="auto"/>
      </w:divBdr>
    </w:div>
    <w:div w:id="213123596">
      <w:marLeft w:val="0"/>
      <w:marRight w:val="0"/>
      <w:marTop w:val="0"/>
      <w:marBottom w:val="0"/>
      <w:divBdr>
        <w:top w:val="none" w:sz="0" w:space="0" w:color="auto"/>
        <w:left w:val="none" w:sz="0" w:space="0" w:color="auto"/>
        <w:bottom w:val="none" w:sz="0" w:space="0" w:color="auto"/>
        <w:right w:val="none" w:sz="0" w:space="0" w:color="auto"/>
      </w:divBdr>
    </w:div>
    <w:div w:id="213123597">
      <w:marLeft w:val="0"/>
      <w:marRight w:val="0"/>
      <w:marTop w:val="0"/>
      <w:marBottom w:val="0"/>
      <w:divBdr>
        <w:top w:val="none" w:sz="0" w:space="0" w:color="auto"/>
        <w:left w:val="none" w:sz="0" w:space="0" w:color="auto"/>
        <w:bottom w:val="none" w:sz="0" w:space="0" w:color="auto"/>
        <w:right w:val="none" w:sz="0" w:space="0" w:color="auto"/>
      </w:divBdr>
    </w:div>
    <w:div w:id="213123598">
      <w:marLeft w:val="0"/>
      <w:marRight w:val="0"/>
      <w:marTop w:val="0"/>
      <w:marBottom w:val="0"/>
      <w:divBdr>
        <w:top w:val="none" w:sz="0" w:space="0" w:color="auto"/>
        <w:left w:val="none" w:sz="0" w:space="0" w:color="auto"/>
        <w:bottom w:val="none" w:sz="0" w:space="0" w:color="auto"/>
        <w:right w:val="none" w:sz="0" w:space="0" w:color="auto"/>
      </w:divBdr>
    </w:div>
    <w:div w:id="213123599">
      <w:marLeft w:val="0"/>
      <w:marRight w:val="0"/>
      <w:marTop w:val="0"/>
      <w:marBottom w:val="0"/>
      <w:divBdr>
        <w:top w:val="none" w:sz="0" w:space="0" w:color="auto"/>
        <w:left w:val="none" w:sz="0" w:space="0" w:color="auto"/>
        <w:bottom w:val="none" w:sz="0" w:space="0" w:color="auto"/>
        <w:right w:val="none" w:sz="0" w:space="0" w:color="auto"/>
      </w:divBdr>
    </w:div>
    <w:div w:id="213123600">
      <w:marLeft w:val="0"/>
      <w:marRight w:val="0"/>
      <w:marTop w:val="0"/>
      <w:marBottom w:val="0"/>
      <w:divBdr>
        <w:top w:val="none" w:sz="0" w:space="0" w:color="auto"/>
        <w:left w:val="none" w:sz="0" w:space="0" w:color="auto"/>
        <w:bottom w:val="none" w:sz="0" w:space="0" w:color="auto"/>
        <w:right w:val="none" w:sz="0" w:space="0" w:color="auto"/>
      </w:divBdr>
    </w:div>
    <w:div w:id="213123601">
      <w:marLeft w:val="0"/>
      <w:marRight w:val="0"/>
      <w:marTop w:val="0"/>
      <w:marBottom w:val="0"/>
      <w:divBdr>
        <w:top w:val="none" w:sz="0" w:space="0" w:color="auto"/>
        <w:left w:val="none" w:sz="0" w:space="0" w:color="auto"/>
        <w:bottom w:val="none" w:sz="0" w:space="0" w:color="auto"/>
        <w:right w:val="none" w:sz="0" w:space="0" w:color="auto"/>
      </w:divBdr>
    </w:div>
    <w:div w:id="213123602">
      <w:marLeft w:val="0"/>
      <w:marRight w:val="0"/>
      <w:marTop w:val="0"/>
      <w:marBottom w:val="0"/>
      <w:divBdr>
        <w:top w:val="none" w:sz="0" w:space="0" w:color="auto"/>
        <w:left w:val="none" w:sz="0" w:space="0" w:color="auto"/>
        <w:bottom w:val="none" w:sz="0" w:space="0" w:color="auto"/>
        <w:right w:val="none" w:sz="0" w:space="0" w:color="auto"/>
      </w:divBdr>
    </w:div>
    <w:div w:id="213123603">
      <w:marLeft w:val="0"/>
      <w:marRight w:val="0"/>
      <w:marTop w:val="0"/>
      <w:marBottom w:val="0"/>
      <w:divBdr>
        <w:top w:val="none" w:sz="0" w:space="0" w:color="auto"/>
        <w:left w:val="none" w:sz="0" w:space="0" w:color="auto"/>
        <w:bottom w:val="none" w:sz="0" w:space="0" w:color="auto"/>
        <w:right w:val="none" w:sz="0" w:space="0" w:color="auto"/>
      </w:divBdr>
    </w:div>
    <w:div w:id="213123604">
      <w:marLeft w:val="0"/>
      <w:marRight w:val="0"/>
      <w:marTop w:val="0"/>
      <w:marBottom w:val="0"/>
      <w:divBdr>
        <w:top w:val="none" w:sz="0" w:space="0" w:color="auto"/>
        <w:left w:val="none" w:sz="0" w:space="0" w:color="auto"/>
        <w:bottom w:val="none" w:sz="0" w:space="0" w:color="auto"/>
        <w:right w:val="none" w:sz="0" w:space="0" w:color="auto"/>
      </w:divBdr>
    </w:div>
    <w:div w:id="213123605">
      <w:marLeft w:val="0"/>
      <w:marRight w:val="0"/>
      <w:marTop w:val="0"/>
      <w:marBottom w:val="0"/>
      <w:divBdr>
        <w:top w:val="none" w:sz="0" w:space="0" w:color="auto"/>
        <w:left w:val="none" w:sz="0" w:space="0" w:color="auto"/>
        <w:bottom w:val="none" w:sz="0" w:space="0" w:color="auto"/>
        <w:right w:val="none" w:sz="0" w:space="0" w:color="auto"/>
      </w:divBdr>
    </w:div>
    <w:div w:id="213123606">
      <w:marLeft w:val="0"/>
      <w:marRight w:val="0"/>
      <w:marTop w:val="0"/>
      <w:marBottom w:val="0"/>
      <w:divBdr>
        <w:top w:val="none" w:sz="0" w:space="0" w:color="auto"/>
        <w:left w:val="none" w:sz="0" w:space="0" w:color="auto"/>
        <w:bottom w:val="none" w:sz="0" w:space="0" w:color="auto"/>
        <w:right w:val="none" w:sz="0" w:space="0" w:color="auto"/>
      </w:divBdr>
    </w:div>
    <w:div w:id="213123607">
      <w:marLeft w:val="0"/>
      <w:marRight w:val="0"/>
      <w:marTop w:val="0"/>
      <w:marBottom w:val="0"/>
      <w:divBdr>
        <w:top w:val="none" w:sz="0" w:space="0" w:color="auto"/>
        <w:left w:val="none" w:sz="0" w:space="0" w:color="auto"/>
        <w:bottom w:val="none" w:sz="0" w:space="0" w:color="auto"/>
        <w:right w:val="none" w:sz="0" w:space="0" w:color="auto"/>
      </w:divBdr>
    </w:div>
    <w:div w:id="213123608">
      <w:marLeft w:val="0"/>
      <w:marRight w:val="0"/>
      <w:marTop w:val="0"/>
      <w:marBottom w:val="0"/>
      <w:divBdr>
        <w:top w:val="none" w:sz="0" w:space="0" w:color="auto"/>
        <w:left w:val="none" w:sz="0" w:space="0" w:color="auto"/>
        <w:bottom w:val="none" w:sz="0" w:space="0" w:color="auto"/>
        <w:right w:val="none" w:sz="0" w:space="0" w:color="auto"/>
      </w:divBdr>
    </w:div>
    <w:div w:id="213123609">
      <w:marLeft w:val="0"/>
      <w:marRight w:val="0"/>
      <w:marTop w:val="0"/>
      <w:marBottom w:val="0"/>
      <w:divBdr>
        <w:top w:val="none" w:sz="0" w:space="0" w:color="auto"/>
        <w:left w:val="none" w:sz="0" w:space="0" w:color="auto"/>
        <w:bottom w:val="none" w:sz="0" w:space="0" w:color="auto"/>
        <w:right w:val="none" w:sz="0" w:space="0" w:color="auto"/>
      </w:divBdr>
    </w:div>
    <w:div w:id="213123610">
      <w:marLeft w:val="0"/>
      <w:marRight w:val="0"/>
      <w:marTop w:val="0"/>
      <w:marBottom w:val="0"/>
      <w:divBdr>
        <w:top w:val="none" w:sz="0" w:space="0" w:color="auto"/>
        <w:left w:val="none" w:sz="0" w:space="0" w:color="auto"/>
        <w:bottom w:val="none" w:sz="0" w:space="0" w:color="auto"/>
        <w:right w:val="none" w:sz="0" w:space="0" w:color="auto"/>
      </w:divBdr>
    </w:div>
    <w:div w:id="213123611">
      <w:marLeft w:val="0"/>
      <w:marRight w:val="0"/>
      <w:marTop w:val="0"/>
      <w:marBottom w:val="0"/>
      <w:divBdr>
        <w:top w:val="none" w:sz="0" w:space="0" w:color="auto"/>
        <w:left w:val="none" w:sz="0" w:space="0" w:color="auto"/>
        <w:bottom w:val="none" w:sz="0" w:space="0" w:color="auto"/>
        <w:right w:val="none" w:sz="0" w:space="0" w:color="auto"/>
      </w:divBdr>
    </w:div>
    <w:div w:id="213123612">
      <w:marLeft w:val="0"/>
      <w:marRight w:val="0"/>
      <w:marTop w:val="0"/>
      <w:marBottom w:val="0"/>
      <w:divBdr>
        <w:top w:val="none" w:sz="0" w:space="0" w:color="auto"/>
        <w:left w:val="none" w:sz="0" w:space="0" w:color="auto"/>
        <w:bottom w:val="none" w:sz="0" w:space="0" w:color="auto"/>
        <w:right w:val="none" w:sz="0" w:space="0" w:color="auto"/>
      </w:divBdr>
    </w:div>
    <w:div w:id="213123613">
      <w:marLeft w:val="0"/>
      <w:marRight w:val="0"/>
      <w:marTop w:val="0"/>
      <w:marBottom w:val="0"/>
      <w:divBdr>
        <w:top w:val="none" w:sz="0" w:space="0" w:color="auto"/>
        <w:left w:val="none" w:sz="0" w:space="0" w:color="auto"/>
        <w:bottom w:val="none" w:sz="0" w:space="0" w:color="auto"/>
        <w:right w:val="none" w:sz="0" w:space="0" w:color="auto"/>
      </w:divBdr>
    </w:div>
    <w:div w:id="213123614">
      <w:marLeft w:val="0"/>
      <w:marRight w:val="0"/>
      <w:marTop w:val="0"/>
      <w:marBottom w:val="0"/>
      <w:divBdr>
        <w:top w:val="none" w:sz="0" w:space="0" w:color="auto"/>
        <w:left w:val="none" w:sz="0" w:space="0" w:color="auto"/>
        <w:bottom w:val="none" w:sz="0" w:space="0" w:color="auto"/>
        <w:right w:val="none" w:sz="0" w:space="0" w:color="auto"/>
      </w:divBdr>
    </w:div>
    <w:div w:id="213123615">
      <w:marLeft w:val="0"/>
      <w:marRight w:val="0"/>
      <w:marTop w:val="0"/>
      <w:marBottom w:val="0"/>
      <w:divBdr>
        <w:top w:val="none" w:sz="0" w:space="0" w:color="auto"/>
        <w:left w:val="none" w:sz="0" w:space="0" w:color="auto"/>
        <w:bottom w:val="none" w:sz="0" w:space="0" w:color="auto"/>
        <w:right w:val="none" w:sz="0" w:space="0" w:color="auto"/>
      </w:divBdr>
    </w:div>
    <w:div w:id="213123616">
      <w:marLeft w:val="0"/>
      <w:marRight w:val="0"/>
      <w:marTop w:val="0"/>
      <w:marBottom w:val="0"/>
      <w:divBdr>
        <w:top w:val="none" w:sz="0" w:space="0" w:color="auto"/>
        <w:left w:val="none" w:sz="0" w:space="0" w:color="auto"/>
        <w:bottom w:val="none" w:sz="0" w:space="0" w:color="auto"/>
        <w:right w:val="none" w:sz="0" w:space="0" w:color="auto"/>
      </w:divBdr>
    </w:div>
    <w:div w:id="213123617">
      <w:marLeft w:val="0"/>
      <w:marRight w:val="0"/>
      <w:marTop w:val="0"/>
      <w:marBottom w:val="0"/>
      <w:divBdr>
        <w:top w:val="none" w:sz="0" w:space="0" w:color="auto"/>
        <w:left w:val="none" w:sz="0" w:space="0" w:color="auto"/>
        <w:bottom w:val="none" w:sz="0" w:space="0" w:color="auto"/>
        <w:right w:val="none" w:sz="0" w:space="0" w:color="auto"/>
      </w:divBdr>
    </w:div>
    <w:div w:id="213123618">
      <w:marLeft w:val="0"/>
      <w:marRight w:val="0"/>
      <w:marTop w:val="0"/>
      <w:marBottom w:val="0"/>
      <w:divBdr>
        <w:top w:val="none" w:sz="0" w:space="0" w:color="auto"/>
        <w:left w:val="none" w:sz="0" w:space="0" w:color="auto"/>
        <w:bottom w:val="none" w:sz="0" w:space="0" w:color="auto"/>
        <w:right w:val="none" w:sz="0" w:space="0" w:color="auto"/>
      </w:divBdr>
    </w:div>
    <w:div w:id="213123619">
      <w:marLeft w:val="0"/>
      <w:marRight w:val="0"/>
      <w:marTop w:val="0"/>
      <w:marBottom w:val="0"/>
      <w:divBdr>
        <w:top w:val="none" w:sz="0" w:space="0" w:color="auto"/>
        <w:left w:val="none" w:sz="0" w:space="0" w:color="auto"/>
        <w:bottom w:val="none" w:sz="0" w:space="0" w:color="auto"/>
        <w:right w:val="none" w:sz="0" w:space="0" w:color="auto"/>
      </w:divBdr>
    </w:div>
    <w:div w:id="213123620">
      <w:marLeft w:val="0"/>
      <w:marRight w:val="0"/>
      <w:marTop w:val="0"/>
      <w:marBottom w:val="0"/>
      <w:divBdr>
        <w:top w:val="none" w:sz="0" w:space="0" w:color="auto"/>
        <w:left w:val="none" w:sz="0" w:space="0" w:color="auto"/>
        <w:bottom w:val="none" w:sz="0" w:space="0" w:color="auto"/>
        <w:right w:val="none" w:sz="0" w:space="0" w:color="auto"/>
      </w:divBdr>
    </w:div>
    <w:div w:id="213123621">
      <w:marLeft w:val="0"/>
      <w:marRight w:val="0"/>
      <w:marTop w:val="0"/>
      <w:marBottom w:val="0"/>
      <w:divBdr>
        <w:top w:val="none" w:sz="0" w:space="0" w:color="auto"/>
        <w:left w:val="none" w:sz="0" w:space="0" w:color="auto"/>
        <w:bottom w:val="none" w:sz="0" w:space="0" w:color="auto"/>
        <w:right w:val="none" w:sz="0" w:space="0" w:color="auto"/>
      </w:divBdr>
    </w:div>
    <w:div w:id="213123622">
      <w:marLeft w:val="0"/>
      <w:marRight w:val="0"/>
      <w:marTop w:val="0"/>
      <w:marBottom w:val="0"/>
      <w:divBdr>
        <w:top w:val="none" w:sz="0" w:space="0" w:color="auto"/>
        <w:left w:val="none" w:sz="0" w:space="0" w:color="auto"/>
        <w:bottom w:val="none" w:sz="0" w:space="0" w:color="auto"/>
        <w:right w:val="none" w:sz="0" w:space="0" w:color="auto"/>
      </w:divBdr>
    </w:div>
    <w:div w:id="213123623">
      <w:marLeft w:val="0"/>
      <w:marRight w:val="0"/>
      <w:marTop w:val="0"/>
      <w:marBottom w:val="0"/>
      <w:divBdr>
        <w:top w:val="none" w:sz="0" w:space="0" w:color="auto"/>
        <w:left w:val="none" w:sz="0" w:space="0" w:color="auto"/>
        <w:bottom w:val="none" w:sz="0" w:space="0" w:color="auto"/>
        <w:right w:val="none" w:sz="0" w:space="0" w:color="auto"/>
      </w:divBdr>
    </w:div>
    <w:div w:id="213123624">
      <w:marLeft w:val="0"/>
      <w:marRight w:val="0"/>
      <w:marTop w:val="0"/>
      <w:marBottom w:val="0"/>
      <w:divBdr>
        <w:top w:val="none" w:sz="0" w:space="0" w:color="auto"/>
        <w:left w:val="none" w:sz="0" w:space="0" w:color="auto"/>
        <w:bottom w:val="none" w:sz="0" w:space="0" w:color="auto"/>
        <w:right w:val="none" w:sz="0" w:space="0" w:color="auto"/>
      </w:divBdr>
    </w:div>
    <w:div w:id="213123625">
      <w:marLeft w:val="0"/>
      <w:marRight w:val="0"/>
      <w:marTop w:val="0"/>
      <w:marBottom w:val="0"/>
      <w:divBdr>
        <w:top w:val="none" w:sz="0" w:space="0" w:color="auto"/>
        <w:left w:val="none" w:sz="0" w:space="0" w:color="auto"/>
        <w:bottom w:val="none" w:sz="0" w:space="0" w:color="auto"/>
        <w:right w:val="none" w:sz="0" w:space="0" w:color="auto"/>
      </w:divBdr>
    </w:div>
    <w:div w:id="213123626">
      <w:marLeft w:val="0"/>
      <w:marRight w:val="0"/>
      <w:marTop w:val="0"/>
      <w:marBottom w:val="0"/>
      <w:divBdr>
        <w:top w:val="none" w:sz="0" w:space="0" w:color="auto"/>
        <w:left w:val="none" w:sz="0" w:space="0" w:color="auto"/>
        <w:bottom w:val="none" w:sz="0" w:space="0" w:color="auto"/>
        <w:right w:val="none" w:sz="0" w:space="0" w:color="auto"/>
      </w:divBdr>
    </w:div>
    <w:div w:id="213123627">
      <w:marLeft w:val="0"/>
      <w:marRight w:val="0"/>
      <w:marTop w:val="0"/>
      <w:marBottom w:val="0"/>
      <w:divBdr>
        <w:top w:val="none" w:sz="0" w:space="0" w:color="auto"/>
        <w:left w:val="none" w:sz="0" w:space="0" w:color="auto"/>
        <w:bottom w:val="none" w:sz="0" w:space="0" w:color="auto"/>
        <w:right w:val="none" w:sz="0" w:space="0" w:color="auto"/>
      </w:divBdr>
    </w:div>
    <w:div w:id="213123628">
      <w:marLeft w:val="0"/>
      <w:marRight w:val="0"/>
      <w:marTop w:val="0"/>
      <w:marBottom w:val="0"/>
      <w:divBdr>
        <w:top w:val="none" w:sz="0" w:space="0" w:color="auto"/>
        <w:left w:val="none" w:sz="0" w:space="0" w:color="auto"/>
        <w:bottom w:val="none" w:sz="0" w:space="0" w:color="auto"/>
        <w:right w:val="none" w:sz="0" w:space="0" w:color="auto"/>
      </w:divBdr>
    </w:div>
    <w:div w:id="213123629">
      <w:marLeft w:val="0"/>
      <w:marRight w:val="0"/>
      <w:marTop w:val="0"/>
      <w:marBottom w:val="0"/>
      <w:divBdr>
        <w:top w:val="none" w:sz="0" w:space="0" w:color="auto"/>
        <w:left w:val="none" w:sz="0" w:space="0" w:color="auto"/>
        <w:bottom w:val="none" w:sz="0" w:space="0" w:color="auto"/>
        <w:right w:val="none" w:sz="0" w:space="0" w:color="auto"/>
      </w:divBdr>
    </w:div>
    <w:div w:id="213123630">
      <w:marLeft w:val="0"/>
      <w:marRight w:val="0"/>
      <w:marTop w:val="0"/>
      <w:marBottom w:val="0"/>
      <w:divBdr>
        <w:top w:val="none" w:sz="0" w:space="0" w:color="auto"/>
        <w:left w:val="none" w:sz="0" w:space="0" w:color="auto"/>
        <w:bottom w:val="none" w:sz="0" w:space="0" w:color="auto"/>
        <w:right w:val="none" w:sz="0" w:space="0" w:color="auto"/>
      </w:divBdr>
    </w:div>
    <w:div w:id="213123631">
      <w:marLeft w:val="0"/>
      <w:marRight w:val="0"/>
      <w:marTop w:val="0"/>
      <w:marBottom w:val="0"/>
      <w:divBdr>
        <w:top w:val="none" w:sz="0" w:space="0" w:color="auto"/>
        <w:left w:val="none" w:sz="0" w:space="0" w:color="auto"/>
        <w:bottom w:val="none" w:sz="0" w:space="0" w:color="auto"/>
        <w:right w:val="none" w:sz="0" w:space="0" w:color="auto"/>
      </w:divBdr>
    </w:div>
    <w:div w:id="213123632">
      <w:marLeft w:val="0"/>
      <w:marRight w:val="0"/>
      <w:marTop w:val="0"/>
      <w:marBottom w:val="0"/>
      <w:divBdr>
        <w:top w:val="none" w:sz="0" w:space="0" w:color="auto"/>
        <w:left w:val="none" w:sz="0" w:space="0" w:color="auto"/>
        <w:bottom w:val="none" w:sz="0" w:space="0" w:color="auto"/>
        <w:right w:val="none" w:sz="0" w:space="0" w:color="auto"/>
      </w:divBdr>
    </w:div>
    <w:div w:id="213123633">
      <w:marLeft w:val="0"/>
      <w:marRight w:val="0"/>
      <w:marTop w:val="0"/>
      <w:marBottom w:val="0"/>
      <w:divBdr>
        <w:top w:val="none" w:sz="0" w:space="0" w:color="auto"/>
        <w:left w:val="none" w:sz="0" w:space="0" w:color="auto"/>
        <w:bottom w:val="none" w:sz="0" w:space="0" w:color="auto"/>
        <w:right w:val="none" w:sz="0" w:space="0" w:color="auto"/>
      </w:divBdr>
    </w:div>
    <w:div w:id="213123634">
      <w:marLeft w:val="0"/>
      <w:marRight w:val="0"/>
      <w:marTop w:val="0"/>
      <w:marBottom w:val="0"/>
      <w:divBdr>
        <w:top w:val="none" w:sz="0" w:space="0" w:color="auto"/>
        <w:left w:val="none" w:sz="0" w:space="0" w:color="auto"/>
        <w:bottom w:val="none" w:sz="0" w:space="0" w:color="auto"/>
        <w:right w:val="none" w:sz="0" w:space="0" w:color="auto"/>
      </w:divBdr>
    </w:div>
    <w:div w:id="213123635">
      <w:marLeft w:val="0"/>
      <w:marRight w:val="0"/>
      <w:marTop w:val="0"/>
      <w:marBottom w:val="0"/>
      <w:divBdr>
        <w:top w:val="none" w:sz="0" w:space="0" w:color="auto"/>
        <w:left w:val="none" w:sz="0" w:space="0" w:color="auto"/>
        <w:bottom w:val="none" w:sz="0" w:space="0" w:color="auto"/>
        <w:right w:val="none" w:sz="0" w:space="0" w:color="auto"/>
      </w:divBdr>
    </w:div>
    <w:div w:id="213123636">
      <w:marLeft w:val="0"/>
      <w:marRight w:val="0"/>
      <w:marTop w:val="0"/>
      <w:marBottom w:val="0"/>
      <w:divBdr>
        <w:top w:val="none" w:sz="0" w:space="0" w:color="auto"/>
        <w:left w:val="none" w:sz="0" w:space="0" w:color="auto"/>
        <w:bottom w:val="none" w:sz="0" w:space="0" w:color="auto"/>
        <w:right w:val="none" w:sz="0" w:space="0" w:color="auto"/>
      </w:divBdr>
    </w:div>
    <w:div w:id="213123637">
      <w:marLeft w:val="0"/>
      <w:marRight w:val="0"/>
      <w:marTop w:val="0"/>
      <w:marBottom w:val="0"/>
      <w:divBdr>
        <w:top w:val="none" w:sz="0" w:space="0" w:color="auto"/>
        <w:left w:val="none" w:sz="0" w:space="0" w:color="auto"/>
        <w:bottom w:val="none" w:sz="0" w:space="0" w:color="auto"/>
        <w:right w:val="none" w:sz="0" w:space="0" w:color="auto"/>
      </w:divBdr>
    </w:div>
    <w:div w:id="213123638">
      <w:marLeft w:val="0"/>
      <w:marRight w:val="0"/>
      <w:marTop w:val="0"/>
      <w:marBottom w:val="0"/>
      <w:divBdr>
        <w:top w:val="none" w:sz="0" w:space="0" w:color="auto"/>
        <w:left w:val="none" w:sz="0" w:space="0" w:color="auto"/>
        <w:bottom w:val="none" w:sz="0" w:space="0" w:color="auto"/>
        <w:right w:val="none" w:sz="0" w:space="0" w:color="auto"/>
      </w:divBdr>
    </w:div>
    <w:div w:id="273754158">
      <w:bodyDiv w:val="1"/>
      <w:marLeft w:val="0"/>
      <w:marRight w:val="0"/>
      <w:marTop w:val="0"/>
      <w:marBottom w:val="0"/>
      <w:divBdr>
        <w:top w:val="none" w:sz="0" w:space="0" w:color="auto"/>
        <w:left w:val="none" w:sz="0" w:space="0" w:color="auto"/>
        <w:bottom w:val="none" w:sz="0" w:space="0" w:color="auto"/>
        <w:right w:val="none" w:sz="0" w:space="0" w:color="auto"/>
      </w:divBdr>
    </w:div>
    <w:div w:id="322703213">
      <w:bodyDiv w:val="1"/>
      <w:marLeft w:val="0"/>
      <w:marRight w:val="0"/>
      <w:marTop w:val="0"/>
      <w:marBottom w:val="0"/>
      <w:divBdr>
        <w:top w:val="none" w:sz="0" w:space="0" w:color="auto"/>
        <w:left w:val="none" w:sz="0" w:space="0" w:color="auto"/>
        <w:bottom w:val="none" w:sz="0" w:space="0" w:color="auto"/>
        <w:right w:val="none" w:sz="0" w:space="0" w:color="auto"/>
      </w:divBdr>
    </w:div>
    <w:div w:id="644042538">
      <w:bodyDiv w:val="1"/>
      <w:marLeft w:val="0"/>
      <w:marRight w:val="0"/>
      <w:marTop w:val="0"/>
      <w:marBottom w:val="0"/>
      <w:divBdr>
        <w:top w:val="none" w:sz="0" w:space="0" w:color="auto"/>
        <w:left w:val="none" w:sz="0" w:space="0" w:color="auto"/>
        <w:bottom w:val="none" w:sz="0" w:space="0" w:color="auto"/>
        <w:right w:val="none" w:sz="0" w:space="0" w:color="auto"/>
      </w:divBdr>
    </w:div>
    <w:div w:id="670062225">
      <w:bodyDiv w:val="1"/>
      <w:marLeft w:val="0"/>
      <w:marRight w:val="0"/>
      <w:marTop w:val="0"/>
      <w:marBottom w:val="0"/>
      <w:divBdr>
        <w:top w:val="none" w:sz="0" w:space="0" w:color="auto"/>
        <w:left w:val="none" w:sz="0" w:space="0" w:color="auto"/>
        <w:bottom w:val="none" w:sz="0" w:space="0" w:color="auto"/>
        <w:right w:val="none" w:sz="0" w:space="0" w:color="auto"/>
      </w:divBdr>
    </w:div>
    <w:div w:id="1005747553">
      <w:bodyDiv w:val="1"/>
      <w:marLeft w:val="0"/>
      <w:marRight w:val="0"/>
      <w:marTop w:val="0"/>
      <w:marBottom w:val="0"/>
      <w:divBdr>
        <w:top w:val="none" w:sz="0" w:space="0" w:color="auto"/>
        <w:left w:val="none" w:sz="0" w:space="0" w:color="auto"/>
        <w:bottom w:val="none" w:sz="0" w:space="0" w:color="auto"/>
        <w:right w:val="none" w:sz="0" w:space="0" w:color="auto"/>
      </w:divBdr>
    </w:div>
    <w:div w:id="1114250943">
      <w:bodyDiv w:val="1"/>
      <w:marLeft w:val="0"/>
      <w:marRight w:val="0"/>
      <w:marTop w:val="0"/>
      <w:marBottom w:val="0"/>
      <w:divBdr>
        <w:top w:val="none" w:sz="0" w:space="0" w:color="auto"/>
        <w:left w:val="none" w:sz="0" w:space="0" w:color="auto"/>
        <w:bottom w:val="none" w:sz="0" w:space="0" w:color="auto"/>
        <w:right w:val="none" w:sz="0" w:space="0" w:color="auto"/>
      </w:divBdr>
    </w:div>
    <w:div w:id="1115947171">
      <w:bodyDiv w:val="1"/>
      <w:marLeft w:val="0"/>
      <w:marRight w:val="0"/>
      <w:marTop w:val="0"/>
      <w:marBottom w:val="0"/>
      <w:divBdr>
        <w:top w:val="none" w:sz="0" w:space="0" w:color="auto"/>
        <w:left w:val="none" w:sz="0" w:space="0" w:color="auto"/>
        <w:bottom w:val="none" w:sz="0" w:space="0" w:color="auto"/>
        <w:right w:val="none" w:sz="0" w:space="0" w:color="auto"/>
      </w:divBdr>
    </w:div>
    <w:div w:id="1117068689">
      <w:bodyDiv w:val="1"/>
      <w:marLeft w:val="0"/>
      <w:marRight w:val="0"/>
      <w:marTop w:val="0"/>
      <w:marBottom w:val="0"/>
      <w:divBdr>
        <w:top w:val="none" w:sz="0" w:space="0" w:color="auto"/>
        <w:left w:val="none" w:sz="0" w:space="0" w:color="auto"/>
        <w:bottom w:val="none" w:sz="0" w:space="0" w:color="auto"/>
        <w:right w:val="none" w:sz="0" w:space="0" w:color="auto"/>
      </w:divBdr>
    </w:div>
    <w:div w:id="1170172822">
      <w:bodyDiv w:val="1"/>
      <w:marLeft w:val="0"/>
      <w:marRight w:val="0"/>
      <w:marTop w:val="0"/>
      <w:marBottom w:val="0"/>
      <w:divBdr>
        <w:top w:val="none" w:sz="0" w:space="0" w:color="auto"/>
        <w:left w:val="none" w:sz="0" w:space="0" w:color="auto"/>
        <w:bottom w:val="none" w:sz="0" w:space="0" w:color="auto"/>
        <w:right w:val="none" w:sz="0" w:space="0" w:color="auto"/>
      </w:divBdr>
    </w:div>
    <w:div w:id="1210190248">
      <w:bodyDiv w:val="1"/>
      <w:marLeft w:val="0"/>
      <w:marRight w:val="0"/>
      <w:marTop w:val="0"/>
      <w:marBottom w:val="0"/>
      <w:divBdr>
        <w:top w:val="none" w:sz="0" w:space="0" w:color="auto"/>
        <w:left w:val="none" w:sz="0" w:space="0" w:color="auto"/>
        <w:bottom w:val="none" w:sz="0" w:space="0" w:color="auto"/>
        <w:right w:val="none" w:sz="0" w:space="0" w:color="auto"/>
      </w:divBdr>
    </w:div>
    <w:div w:id="1289781119">
      <w:bodyDiv w:val="1"/>
      <w:marLeft w:val="0"/>
      <w:marRight w:val="0"/>
      <w:marTop w:val="0"/>
      <w:marBottom w:val="0"/>
      <w:divBdr>
        <w:top w:val="none" w:sz="0" w:space="0" w:color="auto"/>
        <w:left w:val="none" w:sz="0" w:space="0" w:color="auto"/>
        <w:bottom w:val="none" w:sz="0" w:space="0" w:color="auto"/>
        <w:right w:val="none" w:sz="0" w:space="0" w:color="auto"/>
      </w:divBdr>
    </w:div>
    <w:div w:id="1530484841">
      <w:bodyDiv w:val="1"/>
      <w:marLeft w:val="0"/>
      <w:marRight w:val="0"/>
      <w:marTop w:val="0"/>
      <w:marBottom w:val="0"/>
      <w:divBdr>
        <w:top w:val="none" w:sz="0" w:space="0" w:color="auto"/>
        <w:left w:val="none" w:sz="0" w:space="0" w:color="auto"/>
        <w:bottom w:val="none" w:sz="0" w:space="0" w:color="auto"/>
        <w:right w:val="none" w:sz="0" w:space="0" w:color="auto"/>
      </w:divBdr>
    </w:div>
    <w:div w:id="1549417623">
      <w:bodyDiv w:val="1"/>
      <w:marLeft w:val="0"/>
      <w:marRight w:val="0"/>
      <w:marTop w:val="0"/>
      <w:marBottom w:val="0"/>
      <w:divBdr>
        <w:top w:val="none" w:sz="0" w:space="0" w:color="auto"/>
        <w:left w:val="none" w:sz="0" w:space="0" w:color="auto"/>
        <w:bottom w:val="none" w:sz="0" w:space="0" w:color="auto"/>
        <w:right w:val="none" w:sz="0" w:space="0" w:color="auto"/>
      </w:divBdr>
    </w:div>
    <w:div w:id="1556355356">
      <w:bodyDiv w:val="1"/>
      <w:marLeft w:val="0"/>
      <w:marRight w:val="0"/>
      <w:marTop w:val="0"/>
      <w:marBottom w:val="0"/>
      <w:divBdr>
        <w:top w:val="none" w:sz="0" w:space="0" w:color="auto"/>
        <w:left w:val="none" w:sz="0" w:space="0" w:color="auto"/>
        <w:bottom w:val="none" w:sz="0" w:space="0" w:color="auto"/>
        <w:right w:val="none" w:sz="0" w:space="0" w:color="auto"/>
      </w:divBdr>
    </w:div>
    <w:div w:id="1630475139">
      <w:bodyDiv w:val="1"/>
      <w:marLeft w:val="0"/>
      <w:marRight w:val="0"/>
      <w:marTop w:val="0"/>
      <w:marBottom w:val="0"/>
      <w:divBdr>
        <w:top w:val="none" w:sz="0" w:space="0" w:color="auto"/>
        <w:left w:val="none" w:sz="0" w:space="0" w:color="auto"/>
        <w:bottom w:val="none" w:sz="0" w:space="0" w:color="auto"/>
        <w:right w:val="none" w:sz="0" w:space="0" w:color="auto"/>
      </w:divBdr>
    </w:div>
    <w:div w:id="1782407786">
      <w:bodyDiv w:val="1"/>
      <w:marLeft w:val="180"/>
      <w:marRight w:val="180"/>
      <w:marTop w:val="180"/>
      <w:marBottom w:val="180"/>
      <w:divBdr>
        <w:top w:val="none" w:sz="0" w:space="0" w:color="auto"/>
        <w:left w:val="none" w:sz="0" w:space="0" w:color="auto"/>
        <w:bottom w:val="none" w:sz="0" w:space="0" w:color="auto"/>
        <w:right w:val="none" w:sz="0" w:space="0" w:color="auto"/>
      </w:divBdr>
      <w:divsChild>
        <w:div w:id="776758508">
          <w:marLeft w:val="0"/>
          <w:marRight w:val="0"/>
          <w:marTop w:val="0"/>
          <w:marBottom w:val="0"/>
          <w:divBdr>
            <w:top w:val="none" w:sz="0" w:space="0" w:color="auto"/>
            <w:left w:val="none" w:sz="0" w:space="0" w:color="auto"/>
            <w:bottom w:val="none" w:sz="0" w:space="0" w:color="auto"/>
            <w:right w:val="none" w:sz="0" w:space="0" w:color="auto"/>
          </w:divBdr>
        </w:div>
      </w:divsChild>
    </w:div>
    <w:div w:id="1875339606">
      <w:bodyDiv w:val="1"/>
      <w:marLeft w:val="0"/>
      <w:marRight w:val="0"/>
      <w:marTop w:val="0"/>
      <w:marBottom w:val="0"/>
      <w:divBdr>
        <w:top w:val="none" w:sz="0" w:space="0" w:color="auto"/>
        <w:left w:val="none" w:sz="0" w:space="0" w:color="auto"/>
        <w:bottom w:val="none" w:sz="0" w:space="0" w:color="auto"/>
        <w:right w:val="none" w:sz="0" w:space="0" w:color="auto"/>
      </w:divBdr>
    </w:div>
    <w:div w:id="191077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DA669-372A-4904-B8FE-D0E46C129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6572</Words>
  <Characters>37463</Characters>
  <Application>Microsoft Office Word</Application>
  <DocSecurity>0</DocSecurity>
  <Lines>312</Lines>
  <Paragraphs>87</Paragraphs>
  <ScaleCrop>false</ScaleCrop>
  <Company/>
  <LinksUpToDate>false</LinksUpToDate>
  <CharactersWithSpaces>43948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2020-08-17T12:20:00Z</dcterms:created>
  <dcterms:modified xsi:type="dcterms:W3CDTF">2020-08-18T06:50:00Z</dcterms:modified>
</cp:coreProperties>
</file>