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A5D" w:rsidRPr="00862636" w:rsidRDefault="008A5A5D" w:rsidP="006D141C">
      <w:pPr>
        <w:autoSpaceDE w:val="0"/>
        <w:autoSpaceDN w:val="0"/>
        <w:adjustRightInd w:val="0"/>
        <w:spacing w:line="360" w:lineRule="auto"/>
        <w:jc w:val="left"/>
        <w:rPr>
          <w:rFonts w:eastAsiaTheme="minorEastAsia"/>
          <w:color w:val="000000"/>
          <w:kern w:val="0"/>
          <w:szCs w:val="21"/>
        </w:rPr>
      </w:pPr>
      <w:bookmarkStart w:id="0" w:name="_GoBack"/>
    </w:p>
    <w:p w:rsidR="008A5A5D" w:rsidRPr="00862636" w:rsidRDefault="008A5A5D" w:rsidP="006D141C">
      <w:pPr>
        <w:autoSpaceDE w:val="0"/>
        <w:autoSpaceDN w:val="0"/>
        <w:adjustRightInd w:val="0"/>
        <w:spacing w:line="360" w:lineRule="auto"/>
        <w:jc w:val="left"/>
        <w:rPr>
          <w:rFonts w:eastAsiaTheme="minorEastAsia"/>
          <w:color w:val="000000"/>
          <w:kern w:val="0"/>
          <w:szCs w:val="21"/>
        </w:rPr>
      </w:pPr>
    </w:p>
    <w:p w:rsidR="006A28BF" w:rsidRPr="00862636" w:rsidRDefault="006A28BF" w:rsidP="006D141C">
      <w:pPr>
        <w:autoSpaceDE w:val="0"/>
        <w:autoSpaceDN w:val="0"/>
        <w:adjustRightInd w:val="0"/>
        <w:spacing w:line="360" w:lineRule="auto"/>
        <w:jc w:val="left"/>
        <w:rPr>
          <w:rFonts w:eastAsiaTheme="minorEastAsia"/>
          <w:color w:val="000000"/>
          <w:kern w:val="0"/>
          <w:szCs w:val="21"/>
        </w:rPr>
      </w:pPr>
    </w:p>
    <w:p w:rsidR="008A5A5D" w:rsidRPr="00862636" w:rsidRDefault="008A5A5D" w:rsidP="006D141C">
      <w:pPr>
        <w:autoSpaceDE w:val="0"/>
        <w:autoSpaceDN w:val="0"/>
        <w:adjustRightInd w:val="0"/>
        <w:spacing w:line="360" w:lineRule="auto"/>
        <w:jc w:val="left"/>
        <w:rPr>
          <w:rStyle w:val="af8"/>
          <w:rFonts w:eastAsiaTheme="minorEastAsia"/>
          <w:szCs w:val="21"/>
        </w:rPr>
      </w:pPr>
    </w:p>
    <w:p w:rsidR="008A5A5D" w:rsidRPr="00307E35" w:rsidRDefault="008A5A5D" w:rsidP="00F07EDE">
      <w:pPr>
        <w:spacing w:line="360" w:lineRule="auto"/>
        <w:jc w:val="center"/>
        <w:rPr>
          <w:b/>
          <w:sz w:val="44"/>
          <w:szCs w:val="44"/>
        </w:rPr>
      </w:pPr>
      <w:bookmarkStart w:id="1" w:name="_Toc352254876"/>
      <w:bookmarkStart w:id="2" w:name="_Toc352255956"/>
      <w:bookmarkStart w:id="3" w:name="_Toc352256024"/>
      <w:bookmarkStart w:id="4" w:name="_Toc352256201"/>
      <w:bookmarkStart w:id="5" w:name="_Toc352331202"/>
      <w:r w:rsidRPr="00307E35">
        <w:rPr>
          <w:b/>
          <w:sz w:val="44"/>
          <w:szCs w:val="44"/>
        </w:rPr>
        <w:t>易方达标普全球高端消费品指数增强型证券投资基金</w:t>
      </w:r>
      <w:bookmarkEnd w:id="1"/>
      <w:bookmarkEnd w:id="2"/>
      <w:bookmarkEnd w:id="3"/>
      <w:bookmarkEnd w:id="4"/>
      <w:bookmarkEnd w:id="5"/>
    </w:p>
    <w:p w:rsidR="008A5A5D" w:rsidRPr="00307E35" w:rsidRDefault="008A5A5D" w:rsidP="00F07EDE">
      <w:pPr>
        <w:spacing w:line="360" w:lineRule="auto"/>
        <w:jc w:val="center"/>
        <w:rPr>
          <w:b/>
          <w:sz w:val="44"/>
          <w:szCs w:val="44"/>
        </w:rPr>
      </w:pPr>
      <w:bookmarkStart w:id="6" w:name="_Toc352254877"/>
      <w:bookmarkStart w:id="7" w:name="_Toc352255957"/>
      <w:bookmarkStart w:id="8" w:name="_Toc352256025"/>
      <w:bookmarkStart w:id="9" w:name="_Toc352256202"/>
      <w:bookmarkStart w:id="10" w:name="_Toc352331203"/>
      <w:r w:rsidRPr="00307E35">
        <w:rPr>
          <w:b/>
          <w:sz w:val="44"/>
          <w:szCs w:val="44"/>
        </w:rPr>
        <w:t>2020</w:t>
      </w:r>
      <w:r w:rsidRPr="00307E35">
        <w:rPr>
          <w:b/>
          <w:sz w:val="44"/>
          <w:szCs w:val="44"/>
        </w:rPr>
        <w:t>年中期报告</w:t>
      </w:r>
      <w:bookmarkEnd w:id="6"/>
      <w:bookmarkEnd w:id="7"/>
      <w:bookmarkEnd w:id="8"/>
      <w:bookmarkEnd w:id="9"/>
      <w:bookmarkEnd w:id="10"/>
    </w:p>
    <w:p w:rsidR="008A5A5D" w:rsidRPr="00307E35" w:rsidRDefault="00146FBA" w:rsidP="00F07EDE">
      <w:pPr>
        <w:spacing w:line="360" w:lineRule="auto"/>
        <w:jc w:val="center"/>
        <w:rPr>
          <w:b/>
          <w:sz w:val="44"/>
          <w:szCs w:val="44"/>
        </w:rPr>
      </w:pPr>
      <w:r w:rsidRPr="00307E35">
        <w:rPr>
          <w:b/>
          <w:sz w:val="44"/>
          <w:szCs w:val="44"/>
        </w:rPr>
        <w:t>2020</w:t>
      </w:r>
      <w:r w:rsidRPr="00307E35">
        <w:rPr>
          <w:b/>
          <w:sz w:val="44"/>
          <w:szCs w:val="44"/>
        </w:rPr>
        <w:t>年</w:t>
      </w:r>
      <w:r w:rsidRPr="00307E35">
        <w:rPr>
          <w:b/>
          <w:sz w:val="44"/>
          <w:szCs w:val="44"/>
        </w:rPr>
        <w:t>6</w:t>
      </w:r>
      <w:r w:rsidRPr="00307E35">
        <w:rPr>
          <w:b/>
          <w:sz w:val="44"/>
          <w:szCs w:val="44"/>
        </w:rPr>
        <w:t>月</w:t>
      </w:r>
      <w:r w:rsidRPr="00307E35">
        <w:rPr>
          <w:b/>
          <w:sz w:val="44"/>
          <w:szCs w:val="44"/>
        </w:rPr>
        <w:t>30</w:t>
      </w:r>
      <w:r w:rsidRPr="00307E35">
        <w:rPr>
          <w:b/>
          <w:sz w:val="44"/>
          <w:szCs w:val="44"/>
        </w:rPr>
        <w:t>日</w:t>
      </w:r>
    </w:p>
    <w:p w:rsidR="008A5A5D" w:rsidRPr="008134C7" w:rsidRDefault="008A5A5D" w:rsidP="006D141C">
      <w:pPr>
        <w:spacing w:line="360" w:lineRule="auto"/>
        <w:jc w:val="center"/>
        <w:rPr>
          <w:rStyle w:val="af8"/>
          <w:rFonts w:eastAsiaTheme="minorEastAsia"/>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rPr>
          <w:rFonts w:eastAsiaTheme="minorEastAsia"/>
          <w:b/>
          <w:color w:val="000000"/>
          <w:sz w:val="24"/>
        </w:rPr>
      </w:pP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基金管理人：易方达基金管理有限公司</w:t>
      </w: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基金托管人：中国银行股份有限公司</w:t>
      </w:r>
    </w:p>
    <w:p w:rsidR="008A5A5D" w:rsidRPr="00862636"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送出日期：二〇二〇年八月二十八日</w:t>
      </w:r>
    </w:p>
    <w:p w:rsidR="008A5A5D" w:rsidRPr="00862636" w:rsidRDefault="008A5A5D" w:rsidP="00F07EDE">
      <w:pPr>
        <w:spacing w:line="288" w:lineRule="auto"/>
        <w:ind w:firstLineChars="900" w:firstLine="1897"/>
        <w:rPr>
          <w:rFonts w:eastAsiaTheme="minorEastAsia"/>
          <w:b/>
          <w:color w:val="000000"/>
          <w:szCs w:val="21"/>
        </w:rPr>
        <w:sectPr w:rsidR="008A5A5D" w:rsidRPr="00862636">
          <w:headerReference w:type="default" r:id="rId8"/>
          <w:footerReference w:type="default" r:id="rId9"/>
          <w:pgSz w:w="11926" w:h="15840"/>
          <w:pgMar w:top="1418" w:right="1418" w:bottom="851" w:left="1418" w:header="851" w:footer="992" w:gutter="0"/>
          <w:cols w:space="720"/>
        </w:sectPr>
      </w:pPr>
    </w:p>
    <w:p w:rsidR="00937FC6" w:rsidRPr="00A432E9" w:rsidRDefault="00937FC6"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1" w:name="_Toc225498243"/>
      <w:bookmarkStart w:id="12" w:name="_Toc352255958"/>
      <w:bookmarkStart w:id="13" w:name="_Toc352256026"/>
      <w:bookmarkStart w:id="14" w:name="_Toc352331204"/>
      <w:bookmarkStart w:id="15" w:name="_Toc48662894"/>
      <w:r w:rsidRPr="000C6CCD">
        <w:rPr>
          <w:rFonts w:ascii="宋体" w:hAnsi="宋体"/>
          <w:bCs w:val="0"/>
          <w:color w:val="000000"/>
          <w:sz w:val="21"/>
          <w:szCs w:val="21"/>
        </w:rPr>
        <w:lastRenderedPageBreak/>
        <w:t>1</w:t>
      </w:r>
      <w:r w:rsidR="000C6CCD">
        <w:rPr>
          <w:rFonts w:ascii="Times New Roman" w:hAnsi="Times New Roman"/>
          <w:bCs w:val="0"/>
          <w:color w:val="000000"/>
          <w:sz w:val="21"/>
          <w:szCs w:val="21"/>
        </w:rPr>
        <w:t xml:space="preserve">    </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重要提示及目录</w:t>
      </w:r>
      <w:bookmarkEnd w:id="11"/>
      <w:bookmarkEnd w:id="12"/>
      <w:bookmarkEnd w:id="13"/>
      <w:bookmarkEnd w:id="14"/>
      <w:bookmarkEnd w:id="15"/>
    </w:p>
    <w:p w:rsidR="00C24ACA" w:rsidRPr="00A432E9" w:rsidRDefault="00C24ACA" w:rsidP="00732F5C">
      <w:pPr>
        <w:pStyle w:val="20"/>
        <w:spacing w:beforeLines="100" w:before="312" w:after="0"/>
        <w:rPr>
          <w:rFonts w:ascii="Times New Roman" w:eastAsiaTheme="minorEastAsia" w:hAnsi="Times New Roman"/>
          <w:kern w:val="0"/>
          <w:sz w:val="21"/>
          <w:szCs w:val="21"/>
        </w:rPr>
      </w:pPr>
      <w:bookmarkStart w:id="16" w:name="_Toc352255959"/>
      <w:bookmarkStart w:id="17" w:name="_Toc352256027"/>
      <w:bookmarkStart w:id="18" w:name="_Toc352331205"/>
      <w:bookmarkStart w:id="19" w:name="_Toc48662895"/>
      <w:r w:rsidRPr="0087359D">
        <w:rPr>
          <w:rFonts w:ascii="宋体" w:hAnsi="宋体"/>
          <w:kern w:val="0"/>
          <w:sz w:val="21"/>
          <w:szCs w:val="21"/>
        </w:rPr>
        <w:t>1.1</w:t>
      </w:r>
      <w:r w:rsidR="009A2157" w:rsidRPr="009A2157">
        <w:rPr>
          <w:rFonts w:ascii="Times New Roman" w:eastAsiaTheme="minorEastAsia" w:hAnsi="Times New Roman"/>
          <w:kern w:val="0"/>
          <w:sz w:val="21"/>
          <w:szCs w:val="21"/>
        </w:rPr>
        <w:t xml:space="preserve">   </w:t>
      </w:r>
      <w:r w:rsidRPr="00A432E9">
        <w:rPr>
          <w:rFonts w:ascii="Times New Roman" w:eastAsiaTheme="minorEastAsia" w:hAnsi="Times New Roman" w:hint="eastAsia"/>
          <w:kern w:val="0"/>
          <w:sz w:val="21"/>
          <w:szCs w:val="21"/>
        </w:rPr>
        <w:t>重要提示</w:t>
      </w:r>
      <w:bookmarkEnd w:id="16"/>
      <w:bookmarkEnd w:id="17"/>
      <w:bookmarkEnd w:id="18"/>
      <w:bookmarkEnd w:id="19"/>
    </w:p>
    <w:p w:rsidR="00BB5C1E" w:rsidRDefault="00AF434F">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BB5C1E" w:rsidRDefault="00AF434F">
      <w:pPr>
        <w:spacing w:line="360" w:lineRule="auto"/>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BB5C1E" w:rsidRDefault="00AF434F">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BB5C1E" w:rsidRDefault="00AF434F">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BB5C1E" w:rsidRDefault="00AF434F">
      <w:pPr>
        <w:spacing w:line="360" w:lineRule="auto"/>
        <w:ind w:firstLineChars="200" w:firstLine="420"/>
        <w:rPr>
          <w:szCs w:val="21"/>
        </w:rPr>
      </w:pPr>
      <w:r>
        <w:rPr>
          <w:color w:val="000000"/>
          <w:szCs w:val="21"/>
        </w:rPr>
        <w:t>本报告中财务资料未经审计。</w:t>
      </w:r>
      <w:r>
        <w:rPr>
          <w:color w:val="000000"/>
          <w:szCs w:val="21"/>
        </w:rPr>
        <w:t xml:space="preserve"> </w:t>
      </w:r>
    </w:p>
    <w:p w:rsidR="00C24ACA" w:rsidRPr="00C24ACA" w:rsidRDefault="00C24ACA" w:rsidP="001412CA">
      <w:pPr>
        <w:spacing w:line="360" w:lineRule="auto"/>
        <w:ind w:firstLineChars="200" w:firstLine="420"/>
        <w:rPr>
          <w:szCs w:val="21"/>
        </w:rPr>
      </w:pPr>
      <w:r w:rsidRPr="00C24ACA">
        <w:rPr>
          <w:color w:val="000000"/>
          <w:szCs w:val="21"/>
        </w:rPr>
        <w:t>本报告期自</w:t>
      </w:r>
      <w:r w:rsidRPr="00C24ACA">
        <w:rPr>
          <w:color w:val="000000"/>
          <w:szCs w:val="21"/>
        </w:rPr>
        <w:t>2020</w:t>
      </w:r>
      <w:r w:rsidRPr="00C24ACA">
        <w:rPr>
          <w:color w:val="000000"/>
          <w:szCs w:val="21"/>
        </w:rPr>
        <w:t>年</w:t>
      </w:r>
      <w:r w:rsidRPr="00C24ACA">
        <w:rPr>
          <w:color w:val="000000"/>
          <w:szCs w:val="21"/>
        </w:rPr>
        <w:t>1</w:t>
      </w:r>
      <w:r w:rsidRPr="00C24ACA">
        <w:rPr>
          <w:color w:val="000000"/>
          <w:szCs w:val="21"/>
        </w:rPr>
        <w:t>月</w:t>
      </w:r>
      <w:r w:rsidRPr="00C24ACA">
        <w:rPr>
          <w:color w:val="000000"/>
          <w:szCs w:val="21"/>
        </w:rPr>
        <w:t>1</w:t>
      </w:r>
      <w:r w:rsidRPr="00C24ACA">
        <w:rPr>
          <w:color w:val="000000"/>
          <w:szCs w:val="21"/>
        </w:rPr>
        <w:t>日起至</w:t>
      </w:r>
      <w:r w:rsidRPr="00C24ACA">
        <w:rPr>
          <w:color w:val="000000"/>
          <w:szCs w:val="21"/>
        </w:rPr>
        <w:t>6</w:t>
      </w:r>
      <w:r w:rsidRPr="00C24ACA">
        <w:rPr>
          <w:color w:val="000000"/>
          <w:szCs w:val="21"/>
        </w:rPr>
        <w:t>月</w:t>
      </w:r>
      <w:r w:rsidRPr="00C24ACA">
        <w:rPr>
          <w:color w:val="000000"/>
          <w:szCs w:val="21"/>
        </w:rPr>
        <w:t>30</w:t>
      </w:r>
      <w:r w:rsidRPr="00C24ACA">
        <w:rPr>
          <w:color w:val="000000"/>
          <w:szCs w:val="21"/>
        </w:rPr>
        <w:t>日止。</w:t>
      </w:r>
    </w:p>
    <w:p w:rsidR="00937FC6" w:rsidRPr="00C24ACA" w:rsidRDefault="00871A0D" w:rsidP="00732F5C">
      <w:pPr>
        <w:pStyle w:val="20"/>
        <w:spacing w:beforeLines="100" w:before="312" w:after="0"/>
        <w:rPr>
          <w:rFonts w:eastAsiaTheme="minorEastAsia"/>
          <w:b w:val="0"/>
          <w:szCs w:val="21"/>
        </w:rPr>
      </w:pPr>
      <w:r w:rsidRPr="00C24ACA">
        <w:rPr>
          <w:rFonts w:eastAsiaTheme="minorEastAsia"/>
          <w:szCs w:val="21"/>
        </w:rPr>
        <w:br w:type="page"/>
      </w:r>
      <w:bookmarkStart w:id="20" w:name="_Toc48662896"/>
      <w:r w:rsidR="00937FC6" w:rsidRPr="00E141AF">
        <w:rPr>
          <w:rFonts w:ascii="宋体" w:hAnsi="宋体"/>
          <w:kern w:val="0"/>
          <w:sz w:val="21"/>
          <w:szCs w:val="21"/>
        </w:rPr>
        <w:lastRenderedPageBreak/>
        <w:t>1.2</w:t>
      </w:r>
      <w:r w:rsidR="00257CCE" w:rsidRPr="00257CCE">
        <w:rPr>
          <w:rFonts w:ascii="宋体" w:hAnsi="宋体"/>
          <w:kern w:val="0"/>
          <w:sz w:val="21"/>
          <w:szCs w:val="21"/>
        </w:rPr>
        <w:t xml:space="preserve">   </w:t>
      </w:r>
      <w:r w:rsidR="00937FC6" w:rsidRPr="00E141AF">
        <w:rPr>
          <w:rFonts w:ascii="宋体" w:hAnsi="宋体"/>
          <w:kern w:val="0"/>
          <w:sz w:val="21"/>
          <w:szCs w:val="21"/>
        </w:rPr>
        <w:t>目录</w:t>
      </w:r>
      <w:bookmarkEnd w:id="20"/>
    </w:p>
    <w:p w:rsidR="00D41B36" w:rsidRDefault="00955B17">
      <w:pPr>
        <w:pStyle w:val="22"/>
        <w:ind w:left="420"/>
        <w:rPr>
          <w:rFonts w:asciiTheme="minorHAnsi" w:eastAsiaTheme="minorEastAsia" w:hAnsiTheme="minorHAnsi" w:cstheme="minorBidi"/>
          <w:noProof/>
          <w:kern w:val="2"/>
          <w:szCs w:val="22"/>
        </w:rPr>
      </w:pPr>
      <w:r w:rsidRPr="006F3222">
        <w:rPr>
          <w:rFonts w:eastAsiaTheme="minorEastAsia"/>
        </w:rPr>
        <w:fldChar w:fldCharType="begin"/>
      </w:r>
      <w:r w:rsidR="00937FC6" w:rsidRPr="006F3222">
        <w:rPr>
          <w:rFonts w:eastAsiaTheme="minorEastAsia"/>
        </w:rPr>
        <w:instrText xml:space="preserve"> TOC \o "1-3" \h \z \u </w:instrText>
      </w:r>
      <w:r w:rsidRPr="006F3222">
        <w:rPr>
          <w:rFonts w:eastAsiaTheme="minorEastAsia"/>
        </w:rPr>
        <w:fldChar w:fldCharType="separate"/>
      </w:r>
      <w:hyperlink w:anchor="_Toc48662894" w:history="1">
        <w:r w:rsidR="00D41B36" w:rsidRPr="00F26DB1">
          <w:rPr>
            <w:rStyle w:val="a9"/>
            <w:rFonts w:ascii="宋体" w:hAnsi="宋体"/>
            <w:noProof/>
          </w:rPr>
          <w:t>1</w:t>
        </w:r>
        <w:r w:rsidR="00D41B36" w:rsidRPr="00F26DB1">
          <w:rPr>
            <w:rStyle w:val="a9"/>
            <w:noProof/>
          </w:rPr>
          <w:t xml:space="preserve">     </w:t>
        </w:r>
        <w:r w:rsidR="00D41B36" w:rsidRPr="00F26DB1">
          <w:rPr>
            <w:rStyle w:val="a9"/>
            <w:rFonts w:hint="eastAsia"/>
            <w:noProof/>
          </w:rPr>
          <w:t>重要提示及目录</w:t>
        </w:r>
        <w:r w:rsidR="00D41B36">
          <w:rPr>
            <w:noProof/>
            <w:webHidden/>
          </w:rPr>
          <w:tab/>
        </w:r>
        <w:r w:rsidR="00D41B36">
          <w:rPr>
            <w:noProof/>
            <w:webHidden/>
          </w:rPr>
          <w:fldChar w:fldCharType="begin"/>
        </w:r>
        <w:r w:rsidR="00D41B36">
          <w:rPr>
            <w:noProof/>
            <w:webHidden/>
          </w:rPr>
          <w:instrText xml:space="preserve"> PAGEREF _Toc48662894 \h </w:instrText>
        </w:r>
        <w:r w:rsidR="00D41B36">
          <w:rPr>
            <w:noProof/>
            <w:webHidden/>
          </w:rPr>
        </w:r>
        <w:r w:rsidR="00D41B36">
          <w:rPr>
            <w:noProof/>
            <w:webHidden/>
          </w:rPr>
          <w:fldChar w:fldCharType="separate"/>
        </w:r>
        <w:r w:rsidR="00D41B36">
          <w:rPr>
            <w:noProof/>
            <w:webHidden/>
          </w:rPr>
          <w:t>2</w:t>
        </w:r>
        <w:r w:rsidR="00D41B36">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895" w:history="1">
        <w:r w:rsidRPr="00F26DB1">
          <w:rPr>
            <w:rStyle w:val="a9"/>
            <w:rFonts w:ascii="宋体" w:hAnsi="宋体"/>
            <w:noProof/>
          </w:rPr>
          <w:t>1.1</w:t>
        </w:r>
        <w:r w:rsidRPr="00F26DB1">
          <w:rPr>
            <w:rStyle w:val="a9"/>
            <w:noProof/>
          </w:rPr>
          <w:t xml:space="preserve">   </w:t>
        </w:r>
        <w:r w:rsidRPr="00F26DB1">
          <w:rPr>
            <w:rStyle w:val="a9"/>
            <w:rFonts w:hint="eastAsia"/>
            <w:noProof/>
          </w:rPr>
          <w:t>重要提示</w:t>
        </w:r>
        <w:r>
          <w:rPr>
            <w:noProof/>
            <w:webHidden/>
          </w:rPr>
          <w:tab/>
        </w:r>
        <w:r>
          <w:rPr>
            <w:noProof/>
            <w:webHidden/>
          </w:rPr>
          <w:fldChar w:fldCharType="begin"/>
        </w:r>
        <w:r>
          <w:rPr>
            <w:noProof/>
            <w:webHidden/>
          </w:rPr>
          <w:instrText xml:space="preserve"> PAGEREF _Toc48662895 \h </w:instrText>
        </w:r>
        <w:r>
          <w:rPr>
            <w:noProof/>
            <w:webHidden/>
          </w:rPr>
        </w:r>
        <w:r>
          <w:rPr>
            <w:noProof/>
            <w:webHidden/>
          </w:rPr>
          <w:fldChar w:fldCharType="separate"/>
        </w:r>
        <w:r>
          <w:rPr>
            <w:noProof/>
            <w:webHidden/>
          </w:rPr>
          <w:t>2</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896" w:history="1">
        <w:r w:rsidRPr="00F26DB1">
          <w:rPr>
            <w:rStyle w:val="a9"/>
            <w:rFonts w:ascii="宋体" w:hAnsi="宋体"/>
            <w:noProof/>
          </w:rPr>
          <w:t xml:space="preserve">1.2   </w:t>
        </w:r>
        <w:r w:rsidRPr="00F26DB1">
          <w:rPr>
            <w:rStyle w:val="a9"/>
            <w:rFonts w:ascii="宋体" w:hAnsi="宋体" w:hint="eastAsia"/>
            <w:noProof/>
          </w:rPr>
          <w:t>目录</w:t>
        </w:r>
        <w:r>
          <w:rPr>
            <w:noProof/>
            <w:webHidden/>
          </w:rPr>
          <w:tab/>
        </w:r>
        <w:r>
          <w:rPr>
            <w:noProof/>
            <w:webHidden/>
          </w:rPr>
          <w:fldChar w:fldCharType="begin"/>
        </w:r>
        <w:r>
          <w:rPr>
            <w:noProof/>
            <w:webHidden/>
          </w:rPr>
          <w:instrText xml:space="preserve"> PAGEREF _Toc48662896 \h </w:instrText>
        </w:r>
        <w:r>
          <w:rPr>
            <w:noProof/>
            <w:webHidden/>
          </w:rPr>
        </w:r>
        <w:r>
          <w:rPr>
            <w:noProof/>
            <w:webHidden/>
          </w:rPr>
          <w:fldChar w:fldCharType="separate"/>
        </w:r>
        <w:r>
          <w:rPr>
            <w:noProof/>
            <w:webHidden/>
          </w:rPr>
          <w:t>3</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897" w:history="1">
        <w:r w:rsidRPr="00F26DB1">
          <w:rPr>
            <w:rStyle w:val="a9"/>
            <w:rFonts w:ascii="宋体" w:hAnsi="宋体"/>
            <w:noProof/>
          </w:rPr>
          <w:t>2</w:t>
        </w:r>
        <w:r w:rsidRPr="00F26DB1">
          <w:rPr>
            <w:rStyle w:val="a9"/>
            <w:noProof/>
          </w:rPr>
          <w:t xml:space="preserve">     </w:t>
        </w:r>
        <w:r w:rsidRPr="00F26DB1">
          <w:rPr>
            <w:rStyle w:val="a9"/>
            <w:rFonts w:hint="eastAsia"/>
            <w:noProof/>
          </w:rPr>
          <w:t>基金简介</w:t>
        </w:r>
        <w:r>
          <w:rPr>
            <w:noProof/>
            <w:webHidden/>
          </w:rPr>
          <w:tab/>
        </w:r>
        <w:r>
          <w:rPr>
            <w:noProof/>
            <w:webHidden/>
          </w:rPr>
          <w:fldChar w:fldCharType="begin"/>
        </w:r>
        <w:r>
          <w:rPr>
            <w:noProof/>
            <w:webHidden/>
          </w:rPr>
          <w:instrText xml:space="preserve"> PAGEREF _Toc48662897 \h </w:instrText>
        </w:r>
        <w:r>
          <w:rPr>
            <w:noProof/>
            <w:webHidden/>
          </w:rPr>
        </w:r>
        <w:r>
          <w:rPr>
            <w:noProof/>
            <w:webHidden/>
          </w:rPr>
          <w:fldChar w:fldCharType="separate"/>
        </w:r>
        <w:r>
          <w:rPr>
            <w:noProof/>
            <w:webHidden/>
          </w:rPr>
          <w:t>5</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898" w:history="1">
        <w:r w:rsidRPr="00F26DB1">
          <w:rPr>
            <w:rStyle w:val="a9"/>
            <w:rFonts w:ascii="宋体" w:hAnsi="宋体"/>
            <w:noProof/>
          </w:rPr>
          <w:t>2.1</w:t>
        </w:r>
        <w:r w:rsidRPr="00F26DB1">
          <w:rPr>
            <w:rStyle w:val="a9"/>
            <w:noProof/>
          </w:rPr>
          <w:t xml:space="preserve">   </w:t>
        </w:r>
        <w:r w:rsidRPr="00F26DB1">
          <w:rPr>
            <w:rStyle w:val="a9"/>
            <w:rFonts w:hint="eastAsia"/>
            <w:noProof/>
          </w:rPr>
          <w:t>基金基本情况</w:t>
        </w:r>
        <w:r>
          <w:rPr>
            <w:noProof/>
            <w:webHidden/>
          </w:rPr>
          <w:tab/>
        </w:r>
        <w:r>
          <w:rPr>
            <w:noProof/>
            <w:webHidden/>
          </w:rPr>
          <w:fldChar w:fldCharType="begin"/>
        </w:r>
        <w:r>
          <w:rPr>
            <w:noProof/>
            <w:webHidden/>
          </w:rPr>
          <w:instrText xml:space="preserve"> PAGEREF _Toc48662898 \h </w:instrText>
        </w:r>
        <w:r>
          <w:rPr>
            <w:noProof/>
            <w:webHidden/>
          </w:rPr>
        </w:r>
        <w:r>
          <w:rPr>
            <w:noProof/>
            <w:webHidden/>
          </w:rPr>
          <w:fldChar w:fldCharType="separate"/>
        </w:r>
        <w:r>
          <w:rPr>
            <w:noProof/>
            <w:webHidden/>
          </w:rPr>
          <w:t>5</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899" w:history="1">
        <w:r w:rsidRPr="00F26DB1">
          <w:rPr>
            <w:rStyle w:val="a9"/>
            <w:rFonts w:ascii="宋体" w:hAnsi="宋体"/>
            <w:noProof/>
          </w:rPr>
          <w:t>2.2</w:t>
        </w:r>
        <w:r w:rsidRPr="00F26DB1">
          <w:rPr>
            <w:rStyle w:val="a9"/>
            <w:noProof/>
          </w:rPr>
          <w:t xml:space="preserve">   </w:t>
        </w:r>
        <w:r w:rsidRPr="00F26DB1">
          <w:rPr>
            <w:rStyle w:val="a9"/>
            <w:rFonts w:hint="eastAsia"/>
            <w:noProof/>
          </w:rPr>
          <w:t>基金产品说明</w:t>
        </w:r>
        <w:r>
          <w:rPr>
            <w:noProof/>
            <w:webHidden/>
          </w:rPr>
          <w:tab/>
        </w:r>
        <w:r>
          <w:rPr>
            <w:noProof/>
            <w:webHidden/>
          </w:rPr>
          <w:fldChar w:fldCharType="begin"/>
        </w:r>
        <w:r>
          <w:rPr>
            <w:noProof/>
            <w:webHidden/>
          </w:rPr>
          <w:instrText xml:space="preserve"> PAGEREF _Toc48662899 \h </w:instrText>
        </w:r>
        <w:r>
          <w:rPr>
            <w:noProof/>
            <w:webHidden/>
          </w:rPr>
        </w:r>
        <w:r>
          <w:rPr>
            <w:noProof/>
            <w:webHidden/>
          </w:rPr>
          <w:fldChar w:fldCharType="separate"/>
        </w:r>
        <w:r>
          <w:rPr>
            <w:noProof/>
            <w:webHidden/>
          </w:rPr>
          <w:t>5</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00" w:history="1">
        <w:r w:rsidRPr="00F26DB1">
          <w:rPr>
            <w:rStyle w:val="a9"/>
            <w:rFonts w:ascii="宋体" w:hAnsi="宋体"/>
            <w:noProof/>
          </w:rPr>
          <w:t>2.3</w:t>
        </w:r>
        <w:r w:rsidRPr="00F26DB1">
          <w:rPr>
            <w:rStyle w:val="a9"/>
            <w:noProof/>
          </w:rPr>
          <w:t xml:space="preserve">   </w:t>
        </w:r>
        <w:r w:rsidRPr="00F26DB1">
          <w:rPr>
            <w:rStyle w:val="a9"/>
            <w:rFonts w:hint="eastAsia"/>
            <w:noProof/>
          </w:rPr>
          <w:t>基金管理人和基金托管人</w:t>
        </w:r>
        <w:r>
          <w:rPr>
            <w:noProof/>
            <w:webHidden/>
          </w:rPr>
          <w:tab/>
        </w:r>
        <w:r>
          <w:rPr>
            <w:noProof/>
            <w:webHidden/>
          </w:rPr>
          <w:fldChar w:fldCharType="begin"/>
        </w:r>
        <w:r>
          <w:rPr>
            <w:noProof/>
            <w:webHidden/>
          </w:rPr>
          <w:instrText xml:space="preserve"> PAGEREF _Toc48662900 \h </w:instrText>
        </w:r>
        <w:r>
          <w:rPr>
            <w:noProof/>
            <w:webHidden/>
          </w:rPr>
        </w:r>
        <w:r>
          <w:rPr>
            <w:noProof/>
            <w:webHidden/>
          </w:rPr>
          <w:fldChar w:fldCharType="separate"/>
        </w:r>
        <w:r>
          <w:rPr>
            <w:noProof/>
            <w:webHidden/>
          </w:rPr>
          <w:t>5</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01" w:history="1">
        <w:r w:rsidRPr="00F26DB1">
          <w:rPr>
            <w:rStyle w:val="a9"/>
            <w:rFonts w:ascii="宋体" w:hAnsi="宋体"/>
            <w:noProof/>
          </w:rPr>
          <w:t>2.4</w:t>
        </w:r>
        <w:r w:rsidRPr="00F26DB1">
          <w:rPr>
            <w:rStyle w:val="a9"/>
            <w:noProof/>
          </w:rPr>
          <w:t xml:space="preserve">   </w:t>
        </w:r>
        <w:r w:rsidRPr="00F26DB1">
          <w:rPr>
            <w:rStyle w:val="a9"/>
            <w:rFonts w:hint="eastAsia"/>
            <w:noProof/>
          </w:rPr>
          <w:t>境外投资顾问和境外资产托管人</w:t>
        </w:r>
        <w:r>
          <w:rPr>
            <w:noProof/>
            <w:webHidden/>
          </w:rPr>
          <w:tab/>
        </w:r>
        <w:r>
          <w:rPr>
            <w:noProof/>
            <w:webHidden/>
          </w:rPr>
          <w:fldChar w:fldCharType="begin"/>
        </w:r>
        <w:r>
          <w:rPr>
            <w:noProof/>
            <w:webHidden/>
          </w:rPr>
          <w:instrText xml:space="preserve"> PAGEREF _Toc48662901 \h </w:instrText>
        </w:r>
        <w:r>
          <w:rPr>
            <w:noProof/>
            <w:webHidden/>
          </w:rPr>
        </w:r>
        <w:r>
          <w:rPr>
            <w:noProof/>
            <w:webHidden/>
          </w:rPr>
          <w:fldChar w:fldCharType="separate"/>
        </w:r>
        <w:r>
          <w:rPr>
            <w:noProof/>
            <w:webHidden/>
          </w:rPr>
          <w:t>6</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02" w:history="1">
        <w:r w:rsidRPr="00F26DB1">
          <w:rPr>
            <w:rStyle w:val="a9"/>
            <w:rFonts w:ascii="宋体" w:hAnsi="宋体"/>
            <w:noProof/>
          </w:rPr>
          <w:t>2.5</w:t>
        </w:r>
        <w:r w:rsidRPr="00F26DB1">
          <w:rPr>
            <w:rStyle w:val="a9"/>
            <w:noProof/>
          </w:rPr>
          <w:t xml:space="preserve">   </w:t>
        </w:r>
        <w:r w:rsidRPr="00F26DB1">
          <w:rPr>
            <w:rStyle w:val="a9"/>
            <w:rFonts w:hint="eastAsia"/>
            <w:noProof/>
          </w:rPr>
          <w:t>信息披露方式</w:t>
        </w:r>
        <w:r>
          <w:rPr>
            <w:noProof/>
            <w:webHidden/>
          </w:rPr>
          <w:tab/>
        </w:r>
        <w:r>
          <w:rPr>
            <w:noProof/>
            <w:webHidden/>
          </w:rPr>
          <w:fldChar w:fldCharType="begin"/>
        </w:r>
        <w:r>
          <w:rPr>
            <w:noProof/>
            <w:webHidden/>
          </w:rPr>
          <w:instrText xml:space="preserve"> PAGEREF _Toc48662902 \h </w:instrText>
        </w:r>
        <w:r>
          <w:rPr>
            <w:noProof/>
            <w:webHidden/>
          </w:rPr>
        </w:r>
        <w:r>
          <w:rPr>
            <w:noProof/>
            <w:webHidden/>
          </w:rPr>
          <w:fldChar w:fldCharType="separate"/>
        </w:r>
        <w:r>
          <w:rPr>
            <w:noProof/>
            <w:webHidden/>
          </w:rPr>
          <w:t>6</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03" w:history="1">
        <w:r w:rsidRPr="00F26DB1">
          <w:rPr>
            <w:rStyle w:val="a9"/>
            <w:rFonts w:ascii="宋体" w:hAnsi="宋体"/>
            <w:noProof/>
          </w:rPr>
          <w:t>2.6</w:t>
        </w:r>
        <w:r w:rsidRPr="00F26DB1">
          <w:rPr>
            <w:rStyle w:val="a9"/>
            <w:noProof/>
          </w:rPr>
          <w:t xml:space="preserve">   </w:t>
        </w:r>
        <w:r w:rsidRPr="00F26DB1">
          <w:rPr>
            <w:rStyle w:val="a9"/>
            <w:rFonts w:hint="eastAsia"/>
            <w:noProof/>
          </w:rPr>
          <w:t>其他相关资料</w:t>
        </w:r>
        <w:r>
          <w:rPr>
            <w:noProof/>
            <w:webHidden/>
          </w:rPr>
          <w:tab/>
        </w:r>
        <w:r>
          <w:rPr>
            <w:noProof/>
            <w:webHidden/>
          </w:rPr>
          <w:fldChar w:fldCharType="begin"/>
        </w:r>
        <w:r>
          <w:rPr>
            <w:noProof/>
            <w:webHidden/>
          </w:rPr>
          <w:instrText xml:space="preserve"> PAGEREF _Toc48662903 \h </w:instrText>
        </w:r>
        <w:r>
          <w:rPr>
            <w:noProof/>
            <w:webHidden/>
          </w:rPr>
        </w:r>
        <w:r>
          <w:rPr>
            <w:noProof/>
            <w:webHidden/>
          </w:rPr>
          <w:fldChar w:fldCharType="separate"/>
        </w:r>
        <w:r>
          <w:rPr>
            <w:noProof/>
            <w:webHidden/>
          </w:rPr>
          <w:t>6</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04" w:history="1">
        <w:r w:rsidRPr="00F26DB1">
          <w:rPr>
            <w:rStyle w:val="a9"/>
            <w:rFonts w:ascii="宋体" w:hAnsi="宋体"/>
            <w:noProof/>
          </w:rPr>
          <w:t>3</w:t>
        </w:r>
        <w:r w:rsidRPr="00F26DB1">
          <w:rPr>
            <w:rStyle w:val="a9"/>
            <w:noProof/>
          </w:rPr>
          <w:t xml:space="preserve">     </w:t>
        </w:r>
        <w:r w:rsidRPr="00F26DB1">
          <w:rPr>
            <w:rStyle w:val="a9"/>
            <w:rFonts w:hint="eastAsia"/>
            <w:noProof/>
          </w:rPr>
          <w:t>主要财务指标和基金净值表现</w:t>
        </w:r>
        <w:r>
          <w:rPr>
            <w:noProof/>
            <w:webHidden/>
          </w:rPr>
          <w:tab/>
        </w:r>
        <w:r>
          <w:rPr>
            <w:noProof/>
            <w:webHidden/>
          </w:rPr>
          <w:fldChar w:fldCharType="begin"/>
        </w:r>
        <w:r>
          <w:rPr>
            <w:noProof/>
            <w:webHidden/>
          </w:rPr>
          <w:instrText xml:space="preserve"> PAGEREF _Toc48662904 \h </w:instrText>
        </w:r>
        <w:r>
          <w:rPr>
            <w:noProof/>
            <w:webHidden/>
          </w:rPr>
        </w:r>
        <w:r>
          <w:rPr>
            <w:noProof/>
            <w:webHidden/>
          </w:rPr>
          <w:fldChar w:fldCharType="separate"/>
        </w:r>
        <w:r>
          <w:rPr>
            <w:noProof/>
            <w:webHidden/>
          </w:rPr>
          <w:t>7</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05" w:history="1">
        <w:r w:rsidRPr="00F26DB1">
          <w:rPr>
            <w:rStyle w:val="a9"/>
            <w:rFonts w:ascii="宋体" w:hAnsi="宋体"/>
            <w:noProof/>
          </w:rPr>
          <w:t>3.1</w:t>
        </w:r>
        <w:r w:rsidRPr="00F26DB1">
          <w:rPr>
            <w:rStyle w:val="a9"/>
            <w:noProof/>
          </w:rPr>
          <w:t xml:space="preserve">   </w:t>
        </w:r>
        <w:r w:rsidRPr="00F26DB1">
          <w:rPr>
            <w:rStyle w:val="a9"/>
            <w:rFonts w:hint="eastAsia"/>
            <w:noProof/>
          </w:rPr>
          <w:t>主要会计数据和财务指标</w:t>
        </w:r>
        <w:r>
          <w:rPr>
            <w:noProof/>
            <w:webHidden/>
          </w:rPr>
          <w:tab/>
        </w:r>
        <w:r>
          <w:rPr>
            <w:noProof/>
            <w:webHidden/>
          </w:rPr>
          <w:fldChar w:fldCharType="begin"/>
        </w:r>
        <w:r>
          <w:rPr>
            <w:noProof/>
            <w:webHidden/>
          </w:rPr>
          <w:instrText xml:space="preserve"> PAGEREF _Toc48662905 \h </w:instrText>
        </w:r>
        <w:r>
          <w:rPr>
            <w:noProof/>
            <w:webHidden/>
          </w:rPr>
        </w:r>
        <w:r>
          <w:rPr>
            <w:noProof/>
            <w:webHidden/>
          </w:rPr>
          <w:fldChar w:fldCharType="separate"/>
        </w:r>
        <w:r>
          <w:rPr>
            <w:noProof/>
            <w:webHidden/>
          </w:rPr>
          <w:t>7</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06" w:history="1">
        <w:r w:rsidRPr="00F26DB1">
          <w:rPr>
            <w:rStyle w:val="a9"/>
            <w:rFonts w:ascii="宋体" w:hAnsi="宋体"/>
            <w:noProof/>
          </w:rPr>
          <w:t>3.2</w:t>
        </w:r>
        <w:r w:rsidRPr="00F26DB1">
          <w:rPr>
            <w:rStyle w:val="a9"/>
            <w:noProof/>
          </w:rPr>
          <w:t xml:space="preserve">   </w:t>
        </w:r>
        <w:r w:rsidRPr="00F26DB1">
          <w:rPr>
            <w:rStyle w:val="a9"/>
            <w:rFonts w:hint="eastAsia"/>
            <w:noProof/>
          </w:rPr>
          <w:t>基金净值表现</w:t>
        </w:r>
        <w:r>
          <w:rPr>
            <w:noProof/>
            <w:webHidden/>
          </w:rPr>
          <w:tab/>
        </w:r>
        <w:r>
          <w:rPr>
            <w:noProof/>
            <w:webHidden/>
          </w:rPr>
          <w:fldChar w:fldCharType="begin"/>
        </w:r>
        <w:r>
          <w:rPr>
            <w:noProof/>
            <w:webHidden/>
          </w:rPr>
          <w:instrText xml:space="preserve"> PAGEREF _Toc48662906 \h </w:instrText>
        </w:r>
        <w:r>
          <w:rPr>
            <w:noProof/>
            <w:webHidden/>
          </w:rPr>
        </w:r>
        <w:r>
          <w:rPr>
            <w:noProof/>
            <w:webHidden/>
          </w:rPr>
          <w:fldChar w:fldCharType="separate"/>
        </w:r>
        <w:r>
          <w:rPr>
            <w:noProof/>
            <w:webHidden/>
          </w:rPr>
          <w:t>7</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07" w:history="1">
        <w:r w:rsidRPr="00F26DB1">
          <w:rPr>
            <w:rStyle w:val="a9"/>
            <w:rFonts w:ascii="宋体" w:hAnsi="宋体"/>
            <w:noProof/>
          </w:rPr>
          <w:t>4</w:t>
        </w:r>
        <w:r w:rsidRPr="00F26DB1">
          <w:rPr>
            <w:rStyle w:val="a9"/>
            <w:noProof/>
          </w:rPr>
          <w:t xml:space="preserve">     </w:t>
        </w:r>
        <w:r w:rsidRPr="00F26DB1">
          <w:rPr>
            <w:rStyle w:val="a9"/>
            <w:rFonts w:hint="eastAsia"/>
            <w:noProof/>
          </w:rPr>
          <w:t>管理人报告</w:t>
        </w:r>
        <w:r>
          <w:rPr>
            <w:noProof/>
            <w:webHidden/>
          </w:rPr>
          <w:tab/>
        </w:r>
        <w:r>
          <w:rPr>
            <w:noProof/>
            <w:webHidden/>
          </w:rPr>
          <w:fldChar w:fldCharType="begin"/>
        </w:r>
        <w:r>
          <w:rPr>
            <w:noProof/>
            <w:webHidden/>
          </w:rPr>
          <w:instrText xml:space="preserve"> PAGEREF _Toc48662907 \h </w:instrText>
        </w:r>
        <w:r>
          <w:rPr>
            <w:noProof/>
            <w:webHidden/>
          </w:rPr>
        </w:r>
        <w:r>
          <w:rPr>
            <w:noProof/>
            <w:webHidden/>
          </w:rPr>
          <w:fldChar w:fldCharType="separate"/>
        </w:r>
        <w:r>
          <w:rPr>
            <w:noProof/>
            <w:webHidden/>
          </w:rPr>
          <w:t>10</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08" w:history="1">
        <w:r w:rsidRPr="00F26DB1">
          <w:rPr>
            <w:rStyle w:val="a9"/>
            <w:rFonts w:ascii="宋体" w:hAnsi="宋体"/>
            <w:noProof/>
          </w:rPr>
          <w:t>4.1</w:t>
        </w:r>
        <w:r w:rsidRPr="00F26DB1">
          <w:rPr>
            <w:rStyle w:val="a9"/>
            <w:noProof/>
          </w:rPr>
          <w:t xml:space="preserve">   </w:t>
        </w:r>
        <w:r w:rsidRPr="00F26DB1">
          <w:rPr>
            <w:rStyle w:val="a9"/>
            <w:rFonts w:hint="eastAsia"/>
            <w:noProof/>
          </w:rPr>
          <w:t>基金管理人及基金经理情况</w:t>
        </w:r>
        <w:r>
          <w:rPr>
            <w:noProof/>
            <w:webHidden/>
          </w:rPr>
          <w:tab/>
        </w:r>
        <w:r>
          <w:rPr>
            <w:noProof/>
            <w:webHidden/>
          </w:rPr>
          <w:fldChar w:fldCharType="begin"/>
        </w:r>
        <w:r>
          <w:rPr>
            <w:noProof/>
            <w:webHidden/>
          </w:rPr>
          <w:instrText xml:space="preserve"> PAGEREF _Toc48662908 \h </w:instrText>
        </w:r>
        <w:r>
          <w:rPr>
            <w:noProof/>
            <w:webHidden/>
          </w:rPr>
        </w:r>
        <w:r>
          <w:rPr>
            <w:noProof/>
            <w:webHidden/>
          </w:rPr>
          <w:fldChar w:fldCharType="separate"/>
        </w:r>
        <w:r>
          <w:rPr>
            <w:noProof/>
            <w:webHidden/>
          </w:rPr>
          <w:t>10</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09" w:history="1">
        <w:r w:rsidRPr="00F26DB1">
          <w:rPr>
            <w:rStyle w:val="a9"/>
            <w:rFonts w:ascii="宋体" w:hAnsi="宋体"/>
            <w:noProof/>
          </w:rPr>
          <w:t>4.2</w:t>
        </w:r>
        <w:r w:rsidRPr="00F26DB1">
          <w:rPr>
            <w:rStyle w:val="a9"/>
            <w:noProof/>
          </w:rPr>
          <w:t xml:space="preserve">   </w:t>
        </w:r>
        <w:r w:rsidRPr="00F26DB1">
          <w:rPr>
            <w:rStyle w:val="a9"/>
            <w:rFonts w:hint="eastAsia"/>
            <w:noProof/>
          </w:rPr>
          <w:t>境外投资顾问为本基金提供投资建议的主要成员简介</w:t>
        </w:r>
        <w:r>
          <w:rPr>
            <w:noProof/>
            <w:webHidden/>
          </w:rPr>
          <w:tab/>
        </w:r>
        <w:r>
          <w:rPr>
            <w:noProof/>
            <w:webHidden/>
          </w:rPr>
          <w:fldChar w:fldCharType="begin"/>
        </w:r>
        <w:r>
          <w:rPr>
            <w:noProof/>
            <w:webHidden/>
          </w:rPr>
          <w:instrText xml:space="preserve"> PAGEREF _Toc48662909 \h </w:instrText>
        </w:r>
        <w:r>
          <w:rPr>
            <w:noProof/>
            <w:webHidden/>
          </w:rPr>
        </w:r>
        <w:r>
          <w:rPr>
            <w:noProof/>
            <w:webHidden/>
          </w:rPr>
          <w:fldChar w:fldCharType="separate"/>
        </w:r>
        <w:r>
          <w:rPr>
            <w:noProof/>
            <w:webHidden/>
          </w:rPr>
          <w:t>13</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10" w:history="1">
        <w:r w:rsidRPr="00F26DB1">
          <w:rPr>
            <w:rStyle w:val="a9"/>
            <w:rFonts w:ascii="宋体" w:hAnsi="宋体"/>
            <w:noProof/>
          </w:rPr>
          <w:t>4.3</w:t>
        </w:r>
        <w:r w:rsidRPr="00F26DB1">
          <w:rPr>
            <w:rStyle w:val="a9"/>
            <w:noProof/>
          </w:rPr>
          <w:t xml:space="preserve">   </w:t>
        </w:r>
        <w:r w:rsidRPr="00F26DB1">
          <w:rPr>
            <w:rStyle w:val="a9"/>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_Toc48662910 \h </w:instrText>
        </w:r>
        <w:r>
          <w:rPr>
            <w:noProof/>
            <w:webHidden/>
          </w:rPr>
        </w:r>
        <w:r>
          <w:rPr>
            <w:noProof/>
            <w:webHidden/>
          </w:rPr>
          <w:fldChar w:fldCharType="separate"/>
        </w:r>
        <w:r>
          <w:rPr>
            <w:noProof/>
            <w:webHidden/>
          </w:rPr>
          <w:t>13</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11" w:history="1">
        <w:r w:rsidRPr="00F26DB1">
          <w:rPr>
            <w:rStyle w:val="a9"/>
            <w:rFonts w:ascii="宋体" w:hAnsi="宋体"/>
            <w:noProof/>
          </w:rPr>
          <w:t>4.4</w:t>
        </w:r>
        <w:r w:rsidRPr="00F26DB1">
          <w:rPr>
            <w:rStyle w:val="a9"/>
            <w:noProof/>
          </w:rPr>
          <w:t xml:space="preserve">   </w:t>
        </w:r>
        <w:r w:rsidRPr="00F26DB1">
          <w:rPr>
            <w:rStyle w:val="a9"/>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_Toc48662911 \h </w:instrText>
        </w:r>
        <w:r>
          <w:rPr>
            <w:noProof/>
            <w:webHidden/>
          </w:rPr>
        </w:r>
        <w:r>
          <w:rPr>
            <w:noProof/>
            <w:webHidden/>
          </w:rPr>
          <w:fldChar w:fldCharType="separate"/>
        </w:r>
        <w:r>
          <w:rPr>
            <w:noProof/>
            <w:webHidden/>
          </w:rPr>
          <w:t>13</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12" w:history="1">
        <w:r w:rsidRPr="00F26DB1">
          <w:rPr>
            <w:rStyle w:val="a9"/>
            <w:rFonts w:ascii="宋体" w:hAnsi="宋体"/>
            <w:noProof/>
          </w:rPr>
          <w:t>4.5</w:t>
        </w:r>
        <w:r w:rsidRPr="00F26DB1">
          <w:rPr>
            <w:rStyle w:val="a9"/>
            <w:noProof/>
          </w:rPr>
          <w:t xml:space="preserve">   </w:t>
        </w:r>
        <w:r w:rsidRPr="00F26DB1">
          <w:rPr>
            <w:rStyle w:val="a9"/>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_Toc48662912 \h </w:instrText>
        </w:r>
        <w:r>
          <w:rPr>
            <w:noProof/>
            <w:webHidden/>
          </w:rPr>
        </w:r>
        <w:r>
          <w:rPr>
            <w:noProof/>
            <w:webHidden/>
          </w:rPr>
          <w:fldChar w:fldCharType="separate"/>
        </w:r>
        <w:r>
          <w:rPr>
            <w:noProof/>
            <w:webHidden/>
          </w:rPr>
          <w:t>13</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13" w:history="1">
        <w:r w:rsidRPr="00F26DB1">
          <w:rPr>
            <w:rStyle w:val="a9"/>
            <w:rFonts w:ascii="宋体" w:hAnsi="宋体"/>
            <w:noProof/>
          </w:rPr>
          <w:t>4.6</w:t>
        </w:r>
        <w:r w:rsidRPr="00F26DB1">
          <w:rPr>
            <w:rStyle w:val="a9"/>
            <w:noProof/>
          </w:rPr>
          <w:t xml:space="preserve">   </w:t>
        </w:r>
        <w:r w:rsidRPr="00F26DB1">
          <w:rPr>
            <w:rStyle w:val="a9"/>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_Toc48662913 \h </w:instrText>
        </w:r>
        <w:r>
          <w:rPr>
            <w:noProof/>
            <w:webHidden/>
          </w:rPr>
        </w:r>
        <w:r>
          <w:rPr>
            <w:noProof/>
            <w:webHidden/>
          </w:rPr>
          <w:fldChar w:fldCharType="separate"/>
        </w:r>
        <w:r>
          <w:rPr>
            <w:noProof/>
            <w:webHidden/>
          </w:rPr>
          <w:t>14</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14" w:history="1">
        <w:r w:rsidRPr="00F26DB1">
          <w:rPr>
            <w:rStyle w:val="a9"/>
            <w:rFonts w:ascii="宋体" w:hAnsi="宋体"/>
            <w:noProof/>
          </w:rPr>
          <w:t>4.7</w:t>
        </w:r>
        <w:r w:rsidRPr="00F26DB1">
          <w:rPr>
            <w:rStyle w:val="a9"/>
            <w:noProof/>
          </w:rPr>
          <w:t xml:space="preserve">   </w:t>
        </w:r>
        <w:r w:rsidRPr="00F26DB1">
          <w:rPr>
            <w:rStyle w:val="a9"/>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_Toc48662914 \h </w:instrText>
        </w:r>
        <w:r>
          <w:rPr>
            <w:noProof/>
            <w:webHidden/>
          </w:rPr>
        </w:r>
        <w:r>
          <w:rPr>
            <w:noProof/>
            <w:webHidden/>
          </w:rPr>
          <w:fldChar w:fldCharType="separate"/>
        </w:r>
        <w:r>
          <w:rPr>
            <w:noProof/>
            <w:webHidden/>
          </w:rPr>
          <w:t>14</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15" w:history="1">
        <w:r w:rsidRPr="00F26DB1">
          <w:rPr>
            <w:rStyle w:val="a9"/>
            <w:rFonts w:ascii="宋体" w:hAnsi="宋体"/>
            <w:noProof/>
          </w:rPr>
          <w:t>4.8</w:t>
        </w:r>
        <w:r w:rsidRPr="00F26DB1">
          <w:rPr>
            <w:rStyle w:val="a9"/>
            <w:noProof/>
          </w:rPr>
          <w:t xml:space="preserve">   </w:t>
        </w:r>
        <w:r w:rsidRPr="00F26DB1">
          <w:rPr>
            <w:rStyle w:val="a9"/>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_Toc48662915 \h </w:instrText>
        </w:r>
        <w:r>
          <w:rPr>
            <w:noProof/>
            <w:webHidden/>
          </w:rPr>
        </w:r>
        <w:r>
          <w:rPr>
            <w:noProof/>
            <w:webHidden/>
          </w:rPr>
          <w:fldChar w:fldCharType="separate"/>
        </w:r>
        <w:r>
          <w:rPr>
            <w:noProof/>
            <w:webHidden/>
          </w:rPr>
          <w:t>15</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16" w:history="1">
        <w:r w:rsidRPr="00F26DB1">
          <w:rPr>
            <w:rStyle w:val="a9"/>
            <w:rFonts w:ascii="宋体" w:hAnsi="宋体"/>
            <w:noProof/>
          </w:rPr>
          <w:t>4.9</w:t>
        </w:r>
        <w:r w:rsidRPr="00F26DB1">
          <w:rPr>
            <w:rStyle w:val="a9"/>
            <w:noProof/>
          </w:rPr>
          <w:t xml:space="preserve">   </w:t>
        </w:r>
        <w:r w:rsidRPr="00F26DB1">
          <w:rPr>
            <w:rStyle w:val="a9"/>
            <w:rFonts w:hint="eastAsia"/>
            <w:noProof/>
          </w:rPr>
          <w:t>报告期内管理人对本基金持有人数或基金资产净值预警情形的说明</w:t>
        </w:r>
        <w:r>
          <w:rPr>
            <w:noProof/>
            <w:webHidden/>
          </w:rPr>
          <w:tab/>
        </w:r>
        <w:r>
          <w:rPr>
            <w:noProof/>
            <w:webHidden/>
          </w:rPr>
          <w:fldChar w:fldCharType="begin"/>
        </w:r>
        <w:r>
          <w:rPr>
            <w:noProof/>
            <w:webHidden/>
          </w:rPr>
          <w:instrText xml:space="preserve"> PAGEREF _Toc48662916 \h </w:instrText>
        </w:r>
        <w:r>
          <w:rPr>
            <w:noProof/>
            <w:webHidden/>
          </w:rPr>
        </w:r>
        <w:r>
          <w:rPr>
            <w:noProof/>
            <w:webHidden/>
          </w:rPr>
          <w:fldChar w:fldCharType="separate"/>
        </w:r>
        <w:r>
          <w:rPr>
            <w:noProof/>
            <w:webHidden/>
          </w:rPr>
          <w:t>15</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17" w:history="1">
        <w:r w:rsidRPr="00F26DB1">
          <w:rPr>
            <w:rStyle w:val="a9"/>
            <w:rFonts w:ascii="宋体" w:hAnsi="宋体"/>
            <w:noProof/>
          </w:rPr>
          <w:t>5</w:t>
        </w:r>
        <w:r w:rsidRPr="00F26DB1">
          <w:rPr>
            <w:rStyle w:val="a9"/>
            <w:noProof/>
          </w:rPr>
          <w:t xml:space="preserve">     </w:t>
        </w:r>
        <w:r w:rsidRPr="00F26DB1">
          <w:rPr>
            <w:rStyle w:val="a9"/>
            <w:rFonts w:hint="eastAsia"/>
            <w:noProof/>
          </w:rPr>
          <w:t>托管人报告</w:t>
        </w:r>
        <w:r>
          <w:rPr>
            <w:noProof/>
            <w:webHidden/>
          </w:rPr>
          <w:tab/>
        </w:r>
        <w:r>
          <w:rPr>
            <w:noProof/>
            <w:webHidden/>
          </w:rPr>
          <w:fldChar w:fldCharType="begin"/>
        </w:r>
        <w:r>
          <w:rPr>
            <w:noProof/>
            <w:webHidden/>
          </w:rPr>
          <w:instrText xml:space="preserve"> PAGEREF _Toc48662917 \h </w:instrText>
        </w:r>
        <w:r>
          <w:rPr>
            <w:noProof/>
            <w:webHidden/>
          </w:rPr>
        </w:r>
        <w:r>
          <w:rPr>
            <w:noProof/>
            <w:webHidden/>
          </w:rPr>
          <w:fldChar w:fldCharType="separate"/>
        </w:r>
        <w:r>
          <w:rPr>
            <w:noProof/>
            <w:webHidden/>
          </w:rPr>
          <w:t>15</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18" w:history="1">
        <w:r w:rsidRPr="00F26DB1">
          <w:rPr>
            <w:rStyle w:val="a9"/>
            <w:rFonts w:ascii="宋体" w:hAnsi="宋体"/>
            <w:noProof/>
          </w:rPr>
          <w:t>5.1</w:t>
        </w:r>
        <w:r w:rsidRPr="00F26DB1">
          <w:rPr>
            <w:rStyle w:val="a9"/>
            <w:noProof/>
          </w:rPr>
          <w:t xml:space="preserve">   </w:t>
        </w:r>
        <w:r w:rsidRPr="00F26DB1">
          <w:rPr>
            <w:rStyle w:val="a9"/>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_Toc48662918 \h </w:instrText>
        </w:r>
        <w:r>
          <w:rPr>
            <w:noProof/>
            <w:webHidden/>
          </w:rPr>
        </w:r>
        <w:r>
          <w:rPr>
            <w:noProof/>
            <w:webHidden/>
          </w:rPr>
          <w:fldChar w:fldCharType="separate"/>
        </w:r>
        <w:r>
          <w:rPr>
            <w:noProof/>
            <w:webHidden/>
          </w:rPr>
          <w:t>15</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19" w:history="1">
        <w:r w:rsidRPr="00F26DB1">
          <w:rPr>
            <w:rStyle w:val="a9"/>
            <w:rFonts w:ascii="宋体" w:hAnsi="宋体"/>
            <w:noProof/>
          </w:rPr>
          <w:t>5.2</w:t>
        </w:r>
        <w:r w:rsidRPr="00F26DB1">
          <w:rPr>
            <w:rStyle w:val="a9"/>
            <w:noProof/>
          </w:rPr>
          <w:t xml:space="preserve">   </w:t>
        </w:r>
        <w:r w:rsidRPr="00F26DB1">
          <w:rPr>
            <w:rStyle w:val="a9"/>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_Toc48662919 \h </w:instrText>
        </w:r>
        <w:r>
          <w:rPr>
            <w:noProof/>
            <w:webHidden/>
          </w:rPr>
        </w:r>
        <w:r>
          <w:rPr>
            <w:noProof/>
            <w:webHidden/>
          </w:rPr>
          <w:fldChar w:fldCharType="separate"/>
        </w:r>
        <w:r>
          <w:rPr>
            <w:noProof/>
            <w:webHidden/>
          </w:rPr>
          <w:t>15</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20" w:history="1">
        <w:r w:rsidRPr="00F26DB1">
          <w:rPr>
            <w:rStyle w:val="a9"/>
            <w:rFonts w:ascii="宋体" w:hAnsi="宋体"/>
            <w:noProof/>
          </w:rPr>
          <w:t>5.3</w:t>
        </w:r>
        <w:r w:rsidRPr="00F26DB1">
          <w:rPr>
            <w:rStyle w:val="a9"/>
            <w:noProof/>
          </w:rPr>
          <w:t xml:space="preserve">   </w:t>
        </w:r>
        <w:r w:rsidRPr="00F26DB1">
          <w:rPr>
            <w:rStyle w:val="a9"/>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_Toc48662920 \h </w:instrText>
        </w:r>
        <w:r>
          <w:rPr>
            <w:noProof/>
            <w:webHidden/>
          </w:rPr>
        </w:r>
        <w:r>
          <w:rPr>
            <w:noProof/>
            <w:webHidden/>
          </w:rPr>
          <w:fldChar w:fldCharType="separate"/>
        </w:r>
        <w:r>
          <w:rPr>
            <w:noProof/>
            <w:webHidden/>
          </w:rPr>
          <w:t>16</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21" w:history="1">
        <w:r w:rsidRPr="00F26DB1">
          <w:rPr>
            <w:rStyle w:val="a9"/>
            <w:rFonts w:ascii="宋体" w:hAnsi="宋体"/>
            <w:noProof/>
          </w:rPr>
          <w:t>6</w:t>
        </w:r>
        <w:r w:rsidRPr="00F26DB1">
          <w:rPr>
            <w:rStyle w:val="a9"/>
            <w:noProof/>
          </w:rPr>
          <w:t xml:space="preserve">     </w:t>
        </w:r>
        <w:r w:rsidRPr="00F26DB1">
          <w:rPr>
            <w:rStyle w:val="a9"/>
            <w:rFonts w:hint="eastAsia"/>
            <w:noProof/>
          </w:rPr>
          <w:t>半年度财务会计报告（未经审计）</w:t>
        </w:r>
        <w:r>
          <w:rPr>
            <w:noProof/>
            <w:webHidden/>
          </w:rPr>
          <w:tab/>
        </w:r>
        <w:r>
          <w:rPr>
            <w:noProof/>
            <w:webHidden/>
          </w:rPr>
          <w:fldChar w:fldCharType="begin"/>
        </w:r>
        <w:r>
          <w:rPr>
            <w:noProof/>
            <w:webHidden/>
          </w:rPr>
          <w:instrText xml:space="preserve"> PAGEREF _Toc48662921 \h </w:instrText>
        </w:r>
        <w:r>
          <w:rPr>
            <w:noProof/>
            <w:webHidden/>
          </w:rPr>
        </w:r>
        <w:r>
          <w:rPr>
            <w:noProof/>
            <w:webHidden/>
          </w:rPr>
          <w:fldChar w:fldCharType="separate"/>
        </w:r>
        <w:r>
          <w:rPr>
            <w:noProof/>
            <w:webHidden/>
          </w:rPr>
          <w:t>16</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22" w:history="1">
        <w:r w:rsidRPr="00F26DB1">
          <w:rPr>
            <w:rStyle w:val="a9"/>
            <w:rFonts w:ascii="宋体" w:hAnsi="宋体"/>
            <w:noProof/>
          </w:rPr>
          <w:t>6.1</w:t>
        </w:r>
        <w:r w:rsidRPr="00F26DB1">
          <w:rPr>
            <w:rStyle w:val="a9"/>
            <w:noProof/>
          </w:rPr>
          <w:t xml:space="preserve">   </w:t>
        </w:r>
        <w:r w:rsidRPr="00F26DB1">
          <w:rPr>
            <w:rStyle w:val="a9"/>
            <w:rFonts w:hint="eastAsia"/>
            <w:noProof/>
          </w:rPr>
          <w:t>资产负债表</w:t>
        </w:r>
        <w:r>
          <w:rPr>
            <w:noProof/>
            <w:webHidden/>
          </w:rPr>
          <w:tab/>
        </w:r>
        <w:r>
          <w:rPr>
            <w:noProof/>
            <w:webHidden/>
          </w:rPr>
          <w:fldChar w:fldCharType="begin"/>
        </w:r>
        <w:r>
          <w:rPr>
            <w:noProof/>
            <w:webHidden/>
          </w:rPr>
          <w:instrText xml:space="preserve"> PAGEREF _Toc48662922 \h </w:instrText>
        </w:r>
        <w:r>
          <w:rPr>
            <w:noProof/>
            <w:webHidden/>
          </w:rPr>
        </w:r>
        <w:r>
          <w:rPr>
            <w:noProof/>
            <w:webHidden/>
          </w:rPr>
          <w:fldChar w:fldCharType="separate"/>
        </w:r>
        <w:r>
          <w:rPr>
            <w:noProof/>
            <w:webHidden/>
          </w:rPr>
          <w:t>16</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23" w:history="1">
        <w:r w:rsidRPr="00F26DB1">
          <w:rPr>
            <w:rStyle w:val="a9"/>
            <w:rFonts w:ascii="宋体" w:hAnsi="宋体"/>
            <w:noProof/>
          </w:rPr>
          <w:t>6.2</w:t>
        </w:r>
        <w:r w:rsidRPr="00F26DB1">
          <w:rPr>
            <w:rStyle w:val="a9"/>
            <w:noProof/>
          </w:rPr>
          <w:t xml:space="preserve">   </w:t>
        </w:r>
        <w:r w:rsidRPr="00F26DB1">
          <w:rPr>
            <w:rStyle w:val="a9"/>
            <w:rFonts w:hint="eastAsia"/>
            <w:noProof/>
          </w:rPr>
          <w:t>利润表</w:t>
        </w:r>
        <w:r>
          <w:rPr>
            <w:noProof/>
            <w:webHidden/>
          </w:rPr>
          <w:tab/>
        </w:r>
        <w:r>
          <w:rPr>
            <w:noProof/>
            <w:webHidden/>
          </w:rPr>
          <w:fldChar w:fldCharType="begin"/>
        </w:r>
        <w:r>
          <w:rPr>
            <w:noProof/>
            <w:webHidden/>
          </w:rPr>
          <w:instrText xml:space="preserve"> PAGEREF _Toc48662923 \h </w:instrText>
        </w:r>
        <w:r>
          <w:rPr>
            <w:noProof/>
            <w:webHidden/>
          </w:rPr>
        </w:r>
        <w:r>
          <w:rPr>
            <w:noProof/>
            <w:webHidden/>
          </w:rPr>
          <w:fldChar w:fldCharType="separate"/>
        </w:r>
        <w:r>
          <w:rPr>
            <w:noProof/>
            <w:webHidden/>
          </w:rPr>
          <w:t>17</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24" w:history="1">
        <w:r w:rsidRPr="00F26DB1">
          <w:rPr>
            <w:rStyle w:val="a9"/>
            <w:rFonts w:ascii="宋体" w:hAnsi="宋体"/>
            <w:noProof/>
          </w:rPr>
          <w:t>6.3</w:t>
        </w:r>
        <w:r w:rsidRPr="00F26DB1">
          <w:rPr>
            <w:rStyle w:val="a9"/>
            <w:noProof/>
          </w:rPr>
          <w:t xml:space="preserve">   </w:t>
        </w:r>
        <w:r w:rsidRPr="00F26DB1">
          <w:rPr>
            <w:rStyle w:val="a9"/>
            <w:rFonts w:hint="eastAsia"/>
            <w:noProof/>
          </w:rPr>
          <w:t>所有者权益（基金净值）变动表</w:t>
        </w:r>
        <w:r>
          <w:rPr>
            <w:noProof/>
            <w:webHidden/>
          </w:rPr>
          <w:tab/>
        </w:r>
        <w:r>
          <w:rPr>
            <w:noProof/>
            <w:webHidden/>
          </w:rPr>
          <w:fldChar w:fldCharType="begin"/>
        </w:r>
        <w:r>
          <w:rPr>
            <w:noProof/>
            <w:webHidden/>
          </w:rPr>
          <w:instrText xml:space="preserve"> PAGEREF _Toc48662924 \h </w:instrText>
        </w:r>
        <w:r>
          <w:rPr>
            <w:noProof/>
            <w:webHidden/>
          </w:rPr>
        </w:r>
        <w:r>
          <w:rPr>
            <w:noProof/>
            <w:webHidden/>
          </w:rPr>
          <w:fldChar w:fldCharType="separate"/>
        </w:r>
        <w:r>
          <w:rPr>
            <w:noProof/>
            <w:webHidden/>
          </w:rPr>
          <w:t>18</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25" w:history="1">
        <w:r w:rsidRPr="00F26DB1">
          <w:rPr>
            <w:rStyle w:val="a9"/>
            <w:rFonts w:ascii="宋体" w:hAnsi="宋体"/>
            <w:noProof/>
          </w:rPr>
          <w:t>6.4</w:t>
        </w:r>
        <w:r w:rsidRPr="00F26DB1">
          <w:rPr>
            <w:rStyle w:val="a9"/>
            <w:noProof/>
          </w:rPr>
          <w:t xml:space="preserve">   </w:t>
        </w:r>
        <w:r w:rsidRPr="00F26DB1">
          <w:rPr>
            <w:rStyle w:val="a9"/>
            <w:rFonts w:hint="eastAsia"/>
            <w:noProof/>
          </w:rPr>
          <w:t>报表附注</w:t>
        </w:r>
        <w:r>
          <w:rPr>
            <w:noProof/>
            <w:webHidden/>
          </w:rPr>
          <w:tab/>
        </w:r>
        <w:r>
          <w:rPr>
            <w:noProof/>
            <w:webHidden/>
          </w:rPr>
          <w:fldChar w:fldCharType="begin"/>
        </w:r>
        <w:r>
          <w:rPr>
            <w:noProof/>
            <w:webHidden/>
          </w:rPr>
          <w:instrText xml:space="preserve"> PAGEREF _Toc48662925 \h </w:instrText>
        </w:r>
        <w:r>
          <w:rPr>
            <w:noProof/>
            <w:webHidden/>
          </w:rPr>
        </w:r>
        <w:r>
          <w:rPr>
            <w:noProof/>
            <w:webHidden/>
          </w:rPr>
          <w:fldChar w:fldCharType="separate"/>
        </w:r>
        <w:r>
          <w:rPr>
            <w:noProof/>
            <w:webHidden/>
          </w:rPr>
          <w:t>19</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26" w:history="1">
        <w:r w:rsidRPr="00F26DB1">
          <w:rPr>
            <w:rStyle w:val="a9"/>
            <w:rFonts w:ascii="宋体" w:hAnsi="宋体"/>
            <w:noProof/>
          </w:rPr>
          <w:t>7</w:t>
        </w:r>
        <w:r w:rsidRPr="00F26DB1">
          <w:rPr>
            <w:rStyle w:val="a9"/>
            <w:noProof/>
          </w:rPr>
          <w:t xml:space="preserve">     </w:t>
        </w:r>
        <w:r w:rsidRPr="00F26DB1">
          <w:rPr>
            <w:rStyle w:val="a9"/>
            <w:rFonts w:hint="eastAsia"/>
            <w:noProof/>
          </w:rPr>
          <w:t>投资组合报告</w:t>
        </w:r>
        <w:r>
          <w:rPr>
            <w:noProof/>
            <w:webHidden/>
          </w:rPr>
          <w:tab/>
        </w:r>
        <w:r>
          <w:rPr>
            <w:noProof/>
            <w:webHidden/>
          </w:rPr>
          <w:fldChar w:fldCharType="begin"/>
        </w:r>
        <w:r>
          <w:rPr>
            <w:noProof/>
            <w:webHidden/>
          </w:rPr>
          <w:instrText xml:space="preserve"> PAGEREF _Toc48662926 \h </w:instrText>
        </w:r>
        <w:r>
          <w:rPr>
            <w:noProof/>
            <w:webHidden/>
          </w:rPr>
        </w:r>
        <w:r>
          <w:rPr>
            <w:noProof/>
            <w:webHidden/>
          </w:rPr>
          <w:fldChar w:fldCharType="separate"/>
        </w:r>
        <w:r>
          <w:rPr>
            <w:noProof/>
            <w:webHidden/>
          </w:rPr>
          <w:t>40</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27" w:history="1">
        <w:r w:rsidRPr="00F26DB1">
          <w:rPr>
            <w:rStyle w:val="a9"/>
            <w:rFonts w:ascii="宋体" w:hAnsi="宋体"/>
            <w:noProof/>
          </w:rPr>
          <w:t>7.1</w:t>
        </w:r>
        <w:r w:rsidRPr="00F26DB1">
          <w:rPr>
            <w:rStyle w:val="a9"/>
            <w:noProof/>
          </w:rPr>
          <w:t xml:space="preserve">   </w:t>
        </w:r>
        <w:r w:rsidRPr="00F26DB1">
          <w:rPr>
            <w:rStyle w:val="a9"/>
            <w:rFonts w:hint="eastAsia"/>
            <w:noProof/>
          </w:rPr>
          <w:t>期末基金资产组合情况</w:t>
        </w:r>
        <w:r>
          <w:rPr>
            <w:noProof/>
            <w:webHidden/>
          </w:rPr>
          <w:tab/>
        </w:r>
        <w:r>
          <w:rPr>
            <w:noProof/>
            <w:webHidden/>
          </w:rPr>
          <w:fldChar w:fldCharType="begin"/>
        </w:r>
        <w:r>
          <w:rPr>
            <w:noProof/>
            <w:webHidden/>
          </w:rPr>
          <w:instrText xml:space="preserve"> PAGEREF _Toc48662927 \h </w:instrText>
        </w:r>
        <w:r>
          <w:rPr>
            <w:noProof/>
            <w:webHidden/>
          </w:rPr>
        </w:r>
        <w:r>
          <w:rPr>
            <w:noProof/>
            <w:webHidden/>
          </w:rPr>
          <w:fldChar w:fldCharType="separate"/>
        </w:r>
        <w:r>
          <w:rPr>
            <w:noProof/>
            <w:webHidden/>
          </w:rPr>
          <w:t>40</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28" w:history="1">
        <w:r w:rsidRPr="00F26DB1">
          <w:rPr>
            <w:rStyle w:val="a9"/>
            <w:rFonts w:ascii="宋体" w:hAnsi="宋体"/>
            <w:noProof/>
          </w:rPr>
          <w:t>7.2</w:t>
        </w:r>
        <w:r w:rsidRPr="00F26DB1">
          <w:rPr>
            <w:rStyle w:val="a9"/>
            <w:noProof/>
          </w:rPr>
          <w:t xml:space="preserve">   </w:t>
        </w:r>
        <w:r w:rsidRPr="00F26DB1">
          <w:rPr>
            <w:rStyle w:val="a9"/>
            <w:rFonts w:hint="eastAsia"/>
            <w:noProof/>
          </w:rPr>
          <w:t>期末在各个国家（地区）证券市场的权益投资分布</w:t>
        </w:r>
        <w:r>
          <w:rPr>
            <w:noProof/>
            <w:webHidden/>
          </w:rPr>
          <w:tab/>
        </w:r>
        <w:r>
          <w:rPr>
            <w:noProof/>
            <w:webHidden/>
          </w:rPr>
          <w:fldChar w:fldCharType="begin"/>
        </w:r>
        <w:r>
          <w:rPr>
            <w:noProof/>
            <w:webHidden/>
          </w:rPr>
          <w:instrText xml:space="preserve"> PAGEREF _Toc48662928 \h </w:instrText>
        </w:r>
        <w:r>
          <w:rPr>
            <w:noProof/>
            <w:webHidden/>
          </w:rPr>
        </w:r>
        <w:r>
          <w:rPr>
            <w:noProof/>
            <w:webHidden/>
          </w:rPr>
          <w:fldChar w:fldCharType="separate"/>
        </w:r>
        <w:r>
          <w:rPr>
            <w:noProof/>
            <w:webHidden/>
          </w:rPr>
          <w:t>40</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29" w:history="1">
        <w:r w:rsidRPr="00F26DB1">
          <w:rPr>
            <w:rStyle w:val="a9"/>
            <w:rFonts w:ascii="宋体" w:hAnsi="宋体"/>
            <w:noProof/>
          </w:rPr>
          <w:t>7.3</w:t>
        </w:r>
        <w:r w:rsidRPr="00F26DB1">
          <w:rPr>
            <w:rStyle w:val="a9"/>
            <w:noProof/>
          </w:rPr>
          <w:t xml:space="preserve">   </w:t>
        </w:r>
        <w:r w:rsidRPr="00F26DB1">
          <w:rPr>
            <w:rStyle w:val="a9"/>
            <w:rFonts w:hint="eastAsia"/>
            <w:noProof/>
          </w:rPr>
          <w:t>期末按行业分类的权益投资组合</w:t>
        </w:r>
        <w:r>
          <w:rPr>
            <w:noProof/>
            <w:webHidden/>
          </w:rPr>
          <w:tab/>
        </w:r>
        <w:r>
          <w:rPr>
            <w:noProof/>
            <w:webHidden/>
          </w:rPr>
          <w:fldChar w:fldCharType="begin"/>
        </w:r>
        <w:r>
          <w:rPr>
            <w:noProof/>
            <w:webHidden/>
          </w:rPr>
          <w:instrText xml:space="preserve"> PAGEREF _Toc48662929 \h </w:instrText>
        </w:r>
        <w:r>
          <w:rPr>
            <w:noProof/>
            <w:webHidden/>
          </w:rPr>
        </w:r>
        <w:r>
          <w:rPr>
            <w:noProof/>
            <w:webHidden/>
          </w:rPr>
          <w:fldChar w:fldCharType="separate"/>
        </w:r>
        <w:r>
          <w:rPr>
            <w:noProof/>
            <w:webHidden/>
          </w:rPr>
          <w:t>41</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30" w:history="1">
        <w:r w:rsidRPr="00F26DB1">
          <w:rPr>
            <w:rStyle w:val="a9"/>
            <w:rFonts w:ascii="宋体" w:hAnsi="宋体"/>
            <w:noProof/>
          </w:rPr>
          <w:t>7.4</w:t>
        </w:r>
        <w:r w:rsidRPr="00F26DB1">
          <w:rPr>
            <w:rStyle w:val="a9"/>
            <w:noProof/>
          </w:rPr>
          <w:t xml:space="preserve">   </w:t>
        </w:r>
        <w:r w:rsidRPr="00F26DB1">
          <w:rPr>
            <w:rStyle w:val="a9"/>
            <w:rFonts w:hint="eastAsia"/>
            <w:noProof/>
          </w:rPr>
          <w:t>期末按公允价值占基金资产净值比例大小排序的所有权益投资明细</w:t>
        </w:r>
        <w:r>
          <w:rPr>
            <w:noProof/>
            <w:webHidden/>
          </w:rPr>
          <w:tab/>
        </w:r>
        <w:r>
          <w:rPr>
            <w:noProof/>
            <w:webHidden/>
          </w:rPr>
          <w:fldChar w:fldCharType="begin"/>
        </w:r>
        <w:r>
          <w:rPr>
            <w:noProof/>
            <w:webHidden/>
          </w:rPr>
          <w:instrText xml:space="preserve"> PAGEREF _Toc48662930 \h </w:instrText>
        </w:r>
        <w:r>
          <w:rPr>
            <w:noProof/>
            <w:webHidden/>
          </w:rPr>
        </w:r>
        <w:r>
          <w:rPr>
            <w:noProof/>
            <w:webHidden/>
          </w:rPr>
          <w:fldChar w:fldCharType="separate"/>
        </w:r>
        <w:r>
          <w:rPr>
            <w:noProof/>
            <w:webHidden/>
          </w:rPr>
          <w:t>41</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31" w:history="1">
        <w:r w:rsidRPr="00F26DB1">
          <w:rPr>
            <w:rStyle w:val="a9"/>
            <w:rFonts w:ascii="宋体" w:hAnsi="宋体"/>
            <w:noProof/>
          </w:rPr>
          <w:t>7.5</w:t>
        </w:r>
        <w:r w:rsidRPr="00F26DB1">
          <w:rPr>
            <w:rStyle w:val="a9"/>
            <w:noProof/>
          </w:rPr>
          <w:t xml:space="preserve">   </w:t>
        </w:r>
        <w:r w:rsidRPr="00F26DB1">
          <w:rPr>
            <w:rStyle w:val="a9"/>
            <w:rFonts w:hint="eastAsia"/>
            <w:noProof/>
          </w:rPr>
          <w:t>报告期内</w:t>
        </w:r>
        <w:r w:rsidRPr="00F26DB1">
          <w:rPr>
            <w:rStyle w:val="a9"/>
            <w:rFonts w:ascii="宋体" w:hAnsi="宋体" w:hint="eastAsia"/>
            <w:noProof/>
          </w:rPr>
          <w:t>权益</w:t>
        </w:r>
        <w:r w:rsidRPr="00F26DB1">
          <w:rPr>
            <w:rStyle w:val="a9"/>
            <w:rFonts w:hint="eastAsia"/>
            <w:noProof/>
          </w:rPr>
          <w:t>投资组合的重大变动</w:t>
        </w:r>
        <w:r>
          <w:rPr>
            <w:noProof/>
            <w:webHidden/>
          </w:rPr>
          <w:tab/>
        </w:r>
        <w:r>
          <w:rPr>
            <w:noProof/>
            <w:webHidden/>
          </w:rPr>
          <w:fldChar w:fldCharType="begin"/>
        </w:r>
        <w:r>
          <w:rPr>
            <w:noProof/>
            <w:webHidden/>
          </w:rPr>
          <w:instrText xml:space="preserve"> PAGEREF _Toc48662931 \h </w:instrText>
        </w:r>
        <w:r>
          <w:rPr>
            <w:noProof/>
            <w:webHidden/>
          </w:rPr>
        </w:r>
        <w:r>
          <w:rPr>
            <w:noProof/>
            <w:webHidden/>
          </w:rPr>
          <w:fldChar w:fldCharType="separate"/>
        </w:r>
        <w:r>
          <w:rPr>
            <w:noProof/>
            <w:webHidden/>
          </w:rPr>
          <w:t>44</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32" w:history="1">
        <w:r w:rsidRPr="00F26DB1">
          <w:rPr>
            <w:rStyle w:val="a9"/>
            <w:rFonts w:ascii="宋体" w:hAnsi="宋体"/>
            <w:noProof/>
          </w:rPr>
          <w:t>7.6</w:t>
        </w:r>
        <w:r w:rsidRPr="00F26DB1">
          <w:rPr>
            <w:rStyle w:val="a9"/>
            <w:noProof/>
          </w:rPr>
          <w:t xml:space="preserve">   </w:t>
        </w:r>
        <w:r w:rsidRPr="00F26DB1">
          <w:rPr>
            <w:rStyle w:val="a9"/>
            <w:rFonts w:hint="eastAsia"/>
            <w:noProof/>
          </w:rPr>
          <w:t>期末按债券信用等级分类的债券投资组合</w:t>
        </w:r>
        <w:r>
          <w:rPr>
            <w:noProof/>
            <w:webHidden/>
          </w:rPr>
          <w:tab/>
        </w:r>
        <w:r>
          <w:rPr>
            <w:noProof/>
            <w:webHidden/>
          </w:rPr>
          <w:fldChar w:fldCharType="begin"/>
        </w:r>
        <w:r>
          <w:rPr>
            <w:noProof/>
            <w:webHidden/>
          </w:rPr>
          <w:instrText xml:space="preserve"> PAGEREF _Toc48662932 \h </w:instrText>
        </w:r>
        <w:r>
          <w:rPr>
            <w:noProof/>
            <w:webHidden/>
          </w:rPr>
        </w:r>
        <w:r>
          <w:rPr>
            <w:noProof/>
            <w:webHidden/>
          </w:rPr>
          <w:fldChar w:fldCharType="separate"/>
        </w:r>
        <w:r>
          <w:rPr>
            <w:noProof/>
            <w:webHidden/>
          </w:rPr>
          <w:t>45</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33" w:history="1">
        <w:r w:rsidRPr="00F26DB1">
          <w:rPr>
            <w:rStyle w:val="a9"/>
            <w:rFonts w:ascii="宋体" w:hAnsi="宋体"/>
            <w:noProof/>
          </w:rPr>
          <w:t>7.7</w:t>
        </w:r>
        <w:r w:rsidRPr="00F26DB1">
          <w:rPr>
            <w:rStyle w:val="a9"/>
            <w:noProof/>
          </w:rPr>
          <w:t xml:space="preserve">   </w:t>
        </w:r>
        <w:r w:rsidRPr="00F26DB1">
          <w:rPr>
            <w:rStyle w:val="a9"/>
            <w:rFonts w:hint="eastAsia"/>
            <w:noProof/>
          </w:rPr>
          <w:t>期末按公允价值占基金资产净值比例大小排名的前五名债券投资明细</w:t>
        </w:r>
        <w:r>
          <w:rPr>
            <w:noProof/>
            <w:webHidden/>
          </w:rPr>
          <w:tab/>
        </w:r>
        <w:r>
          <w:rPr>
            <w:noProof/>
            <w:webHidden/>
          </w:rPr>
          <w:fldChar w:fldCharType="begin"/>
        </w:r>
        <w:r>
          <w:rPr>
            <w:noProof/>
            <w:webHidden/>
          </w:rPr>
          <w:instrText xml:space="preserve"> PAGEREF _Toc48662933 \h </w:instrText>
        </w:r>
        <w:r>
          <w:rPr>
            <w:noProof/>
            <w:webHidden/>
          </w:rPr>
        </w:r>
        <w:r>
          <w:rPr>
            <w:noProof/>
            <w:webHidden/>
          </w:rPr>
          <w:fldChar w:fldCharType="separate"/>
        </w:r>
        <w:r>
          <w:rPr>
            <w:noProof/>
            <w:webHidden/>
          </w:rPr>
          <w:t>45</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34" w:history="1">
        <w:r w:rsidRPr="00F26DB1">
          <w:rPr>
            <w:rStyle w:val="a9"/>
            <w:rFonts w:ascii="宋体" w:hAnsi="宋体"/>
            <w:noProof/>
          </w:rPr>
          <w:t>7.8</w:t>
        </w:r>
        <w:r w:rsidRPr="00F26DB1">
          <w:rPr>
            <w:rStyle w:val="a9"/>
            <w:noProof/>
          </w:rPr>
          <w:t xml:space="preserve">   </w:t>
        </w:r>
        <w:r w:rsidRPr="00F26DB1">
          <w:rPr>
            <w:rStyle w:val="a9"/>
            <w:rFonts w:hint="eastAsia"/>
            <w:noProof/>
          </w:rPr>
          <w:t>期末按公允价值占基金资产净值比例大小排名的所有资产支持证券投资明细</w:t>
        </w:r>
        <w:r>
          <w:rPr>
            <w:noProof/>
            <w:webHidden/>
          </w:rPr>
          <w:tab/>
        </w:r>
        <w:r>
          <w:rPr>
            <w:noProof/>
            <w:webHidden/>
          </w:rPr>
          <w:fldChar w:fldCharType="begin"/>
        </w:r>
        <w:r>
          <w:rPr>
            <w:noProof/>
            <w:webHidden/>
          </w:rPr>
          <w:instrText xml:space="preserve"> PAGEREF _Toc48662934 \h </w:instrText>
        </w:r>
        <w:r>
          <w:rPr>
            <w:noProof/>
            <w:webHidden/>
          </w:rPr>
        </w:r>
        <w:r>
          <w:rPr>
            <w:noProof/>
            <w:webHidden/>
          </w:rPr>
          <w:fldChar w:fldCharType="separate"/>
        </w:r>
        <w:r>
          <w:rPr>
            <w:noProof/>
            <w:webHidden/>
          </w:rPr>
          <w:t>46</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35" w:history="1">
        <w:r w:rsidRPr="00F26DB1">
          <w:rPr>
            <w:rStyle w:val="a9"/>
            <w:rFonts w:ascii="宋体" w:hAnsi="宋体"/>
            <w:noProof/>
          </w:rPr>
          <w:t>7.9</w:t>
        </w:r>
        <w:r w:rsidRPr="00F26DB1">
          <w:rPr>
            <w:rStyle w:val="a9"/>
            <w:noProof/>
          </w:rPr>
          <w:t xml:space="preserve">   </w:t>
        </w:r>
        <w:r w:rsidRPr="00F26DB1">
          <w:rPr>
            <w:rStyle w:val="a9"/>
            <w:rFonts w:hint="eastAsia"/>
            <w:noProof/>
          </w:rPr>
          <w:t>期末按公允价值占基金资产净值比例大小排名的前五名金融衍生品投资明细</w:t>
        </w:r>
        <w:r>
          <w:rPr>
            <w:noProof/>
            <w:webHidden/>
          </w:rPr>
          <w:tab/>
        </w:r>
        <w:r>
          <w:rPr>
            <w:noProof/>
            <w:webHidden/>
          </w:rPr>
          <w:fldChar w:fldCharType="begin"/>
        </w:r>
        <w:r>
          <w:rPr>
            <w:noProof/>
            <w:webHidden/>
          </w:rPr>
          <w:instrText xml:space="preserve"> PAGEREF _Toc48662935 \h </w:instrText>
        </w:r>
        <w:r>
          <w:rPr>
            <w:noProof/>
            <w:webHidden/>
          </w:rPr>
        </w:r>
        <w:r>
          <w:rPr>
            <w:noProof/>
            <w:webHidden/>
          </w:rPr>
          <w:fldChar w:fldCharType="separate"/>
        </w:r>
        <w:r>
          <w:rPr>
            <w:noProof/>
            <w:webHidden/>
          </w:rPr>
          <w:t>46</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36" w:history="1">
        <w:r w:rsidRPr="00F26DB1">
          <w:rPr>
            <w:rStyle w:val="a9"/>
            <w:rFonts w:ascii="宋体" w:hAnsi="宋体"/>
            <w:noProof/>
          </w:rPr>
          <w:t>7.10</w:t>
        </w:r>
        <w:r w:rsidRPr="00F26DB1">
          <w:rPr>
            <w:rStyle w:val="a9"/>
            <w:noProof/>
          </w:rPr>
          <w:t xml:space="preserve">   </w:t>
        </w:r>
        <w:r w:rsidRPr="00F26DB1">
          <w:rPr>
            <w:rStyle w:val="a9"/>
            <w:rFonts w:hint="eastAsia"/>
            <w:noProof/>
          </w:rPr>
          <w:t>期末按公允价值占基金资产净值比例大小排序的前十名基金投资明细</w:t>
        </w:r>
        <w:r>
          <w:rPr>
            <w:noProof/>
            <w:webHidden/>
          </w:rPr>
          <w:tab/>
        </w:r>
        <w:r>
          <w:rPr>
            <w:noProof/>
            <w:webHidden/>
          </w:rPr>
          <w:fldChar w:fldCharType="begin"/>
        </w:r>
        <w:r>
          <w:rPr>
            <w:noProof/>
            <w:webHidden/>
          </w:rPr>
          <w:instrText xml:space="preserve"> PAGEREF _Toc48662936 \h </w:instrText>
        </w:r>
        <w:r>
          <w:rPr>
            <w:noProof/>
            <w:webHidden/>
          </w:rPr>
        </w:r>
        <w:r>
          <w:rPr>
            <w:noProof/>
            <w:webHidden/>
          </w:rPr>
          <w:fldChar w:fldCharType="separate"/>
        </w:r>
        <w:r>
          <w:rPr>
            <w:noProof/>
            <w:webHidden/>
          </w:rPr>
          <w:t>46</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37" w:history="1">
        <w:r w:rsidRPr="00F26DB1">
          <w:rPr>
            <w:rStyle w:val="a9"/>
            <w:rFonts w:ascii="宋体" w:hAnsi="宋体"/>
            <w:noProof/>
          </w:rPr>
          <w:t>7.11</w:t>
        </w:r>
        <w:r w:rsidRPr="00F26DB1">
          <w:rPr>
            <w:rStyle w:val="a9"/>
            <w:noProof/>
          </w:rPr>
          <w:t xml:space="preserve">   </w:t>
        </w:r>
        <w:r w:rsidRPr="00F26DB1">
          <w:rPr>
            <w:rStyle w:val="a9"/>
            <w:rFonts w:hint="eastAsia"/>
            <w:noProof/>
          </w:rPr>
          <w:t>投资组合报告附注</w:t>
        </w:r>
        <w:r>
          <w:rPr>
            <w:noProof/>
            <w:webHidden/>
          </w:rPr>
          <w:tab/>
        </w:r>
        <w:r>
          <w:rPr>
            <w:noProof/>
            <w:webHidden/>
          </w:rPr>
          <w:fldChar w:fldCharType="begin"/>
        </w:r>
        <w:r>
          <w:rPr>
            <w:noProof/>
            <w:webHidden/>
          </w:rPr>
          <w:instrText xml:space="preserve"> PAGEREF _Toc48662937 \h </w:instrText>
        </w:r>
        <w:r>
          <w:rPr>
            <w:noProof/>
            <w:webHidden/>
          </w:rPr>
        </w:r>
        <w:r>
          <w:rPr>
            <w:noProof/>
            <w:webHidden/>
          </w:rPr>
          <w:fldChar w:fldCharType="separate"/>
        </w:r>
        <w:r>
          <w:rPr>
            <w:noProof/>
            <w:webHidden/>
          </w:rPr>
          <w:t>46</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38" w:history="1">
        <w:r w:rsidRPr="00F26DB1">
          <w:rPr>
            <w:rStyle w:val="a9"/>
            <w:rFonts w:ascii="宋体" w:hAnsi="宋体"/>
            <w:noProof/>
          </w:rPr>
          <w:t>8</w:t>
        </w:r>
        <w:r w:rsidRPr="00F26DB1">
          <w:rPr>
            <w:rStyle w:val="a9"/>
            <w:noProof/>
          </w:rPr>
          <w:t xml:space="preserve">     </w:t>
        </w:r>
        <w:r w:rsidRPr="00F26DB1">
          <w:rPr>
            <w:rStyle w:val="a9"/>
            <w:rFonts w:hint="eastAsia"/>
            <w:noProof/>
          </w:rPr>
          <w:t>基金份额持有人信息</w:t>
        </w:r>
        <w:r>
          <w:rPr>
            <w:noProof/>
            <w:webHidden/>
          </w:rPr>
          <w:tab/>
        </w:r>
        <w:r>
          <w:rPr>
            <w:noProof/>
            <w:webHidden/>
          </w:rPr>
          <w:fldChar w:fldCharType="begin"/>
        </w:r>
        <w:r>
          <w:rPr>
            <w:noProof/>
            <w:webHidden/>
          </w:rPr>
          <w:instrText xml:space="preserve"> PAGEREF _Toc48662938 \h </w:instrText>
        </w:r>
        <w:r>
          <w:rPr>
            <w:noProof/>
            <w:webHidden/>
          </w:rPr>
        </w:r>
        <w:r>
          <w:rPr>
            <w:noProof/>
            <w:webHidden/>
          </w:rPr>
          <w:fldChar w:fldCharType="separate"/>
        </w:r>
        <w:r>
          <w:rPr>
            <w:noProof/>
            <w:webHidden/>
          </w:rPr>
          <w:t>47</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39" w:history="1">
        <w:r w:rsidRPr="00F26DB1">
          <w:rPr>
            <w:rStyle w:val="a9"/>
            <w:rFonts w:ascii="宋体" w:hAnsi="宋体"/>
            <w:noProof/>
          </w:rPr>
          <w:t>8.1</w:t>
        </w:r>
        <w:r w:rsidRPr="00F26DB1">
          <w:rPr>
            <w:rStyle w:val="a9"/>
            <w:noProof/>
          </w:rPr>
          <w:t xml:space="preserve">   </w:t>
        </w:r>
        <w:r w:rsidRPr="00F26DB1">
          <w:rPr>
            <w:rStyle w:val="a9"/>
            <w:rFonts w:hint="eastAsia"/>
            <w:noProof/>
          </w:rPr>
          <w:t>期末基金份额持有人户数及持有人结构</w:t>
        </w:r>
        <w:r>
          <w:rPr>
            <w:noProof/>
            <w:webHidden/>
          </w:rPr>
          <w:tab/>
        </w:r>
        <w:r>
          <w:rPr>
            <w:noProof/>
            <w:webHidden/>
          </w:rPr>
          <w:fldChar w:fldCharType="begin"/>
        </w:r>
        <w:r>
          <w:rPr>
            <w:noProof/>
            <w:webHidden/>
          </w:rPr>
          <w:instrText xml:space="preserve"> PAGEREF _Toc48662939 \h </w:instrText>
        </w:r>
        <w:r>
          <w:rPr>
            <w:noProof/>
            <w:webHidden/>
          </w:rPr>
        </w:r>
        <w:r>
          <w:rPr>
            <w:noProof/>
            <w:webHidden/>
          </w:rPr>
          <w:fldChar w:fldCharType="separate"/>
        </w:r>
        <w:r>
          <w:rPr>
            <w:noProof/>
            <w:webHidden/>
          </w:rPr>
          <w:t>47</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40" w:history="1">
        <w:r w:rsidRPr="00F26DB1">
          <w:rPr>
            <w:rStyle w:val="a9"/>
            <w:rFonts w:ascii="宋体" w:hAnsi="宋体"/>
            <w:noProof/>
          </w:rPr>
          <w:t>8.2</w:t>
        </w:r>
        <w:r w:rsidRPr="00F26DB1">
          <w:rPr>
            <w:rStyle w:val="a9"/>
            <w:noProof/>
          </w:rPr>
          <w:t xml:space="preserve">   </w:t>
        </w:r>
        <w:r w:rsidRPr="00F26DB1">
          <w:rPr>
            <w:rStyle w:val="a9"/>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_Toc48662940 \h </w:instrText>
        </w:r>
        <w:r>
          <w:rPr>
            <w:noProof/>
            <w:webHidden/>
          </w:rPr>
        </w:r>
        <w:r>
          <w:rPr>
            <w:noProof/>
            <w:webHidden/>
          </w:rPr>
          <w:fldChar w:fldCharType="separate"/>
        </w:r>
        <w:r>
          <w:rPr>
            <w:noProof/>
            <w:webHidden/>
          </w:rPr>
          <w:t>47</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41" w:history="1">
        <w:r w:rsidRPr="00F26DB1">
          <w:rPr>
            <w:rStyle w:val="a9"/>
            <w:rFonts w:ascii="宋体" w:hAnsi="宋体"/>
            <w:noProof/>
          </w:rPr>
          <w:t>8.3</w:t>
        </w:r>
        <w:r w:rsidRPr="00F26DB1">
          <w:rPr>
            <w:rStyle w:val="a9"/>
            <w:noProof/>
          </w:rPr>
          <w:t xml:space="preserve">   </w:t>
        </w:r>
        <w:r w:rsidRPr="00F26DB1">
          <w:rPr>
            <w:rStyle w:val="a9"/>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_Toc48662941 \h </w:instrText>
        </w:r>
        <w:r>
          <w:rPr>
            <w:noProof/>
            <w:webHidden/>
          </w:rPr>
        </w:r>
        <w:r>
          <w:rPr>
            <w:noProof/>
            <w:webHidden/>
          </w:rPr>
          <w:fldChar w:fldCharType="separate"/>
        </w:r>
        <w:r>
          <w:rPr>
            <w:noProof/>
            <w:webHidden/>
          </w:rPr>
          <w:t>47</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42" w:history="1">
        <w:r w:rsidRPr="00F26DB1">
          <w:rPr>
            <w:rStyle w:val="a9"/>
            <w:noProof/>
          </w:rPr>
          <w:t xml:space="preserve">9     </w:t>
        </w:r>
        <w:r w:rsidRPr="00F26DB1">
          <w:rPr>
            <w:rStyle w:val="a9"/>
            <w:rFonts w:hint="eastAsia"/>
            <w:noProof/>
          </w:rPr>
          <w:t>开放式基金份额变动</w:t>
        </w:r>
        <w:r>
          <w:rPr>
            <w:noProof/>
            <w:webHidden/>
          </w:rPr>
          <w:tab/>
        </w:r>
        <w:r>
          <w:rPr>
            <w:noProof/>
            <w:webHidden/>
          </w:rPr>
          <w:fldChar w:fldCharType="begin"/>
        </w:r>
        <w:r>
          <w:rPr>
            <w:noProof/>
            <w:webHidden/>
          </w:rPr>
          <w:instrText xml:space="preserve"> PAGEREF _Toc48662942 \h </w:instrText>
        </w:r>
        <w:r>
          <w:rPr>
            <w:noProof/>
            <w:webHidden/>
          </w:rPr>
        </w:r>
        <w:r>
          <w:rPr>
            <w:noProof/>
            <w:webHidden/>
          </w:rPr>
          <w:fldChar w:fldCharType="separate"/>
        </w:r>
        <w:r>
          <w:rPr>
            <w:noProof/>
            <w:webHidden/>
          </w:rPr>
          <w:t>48</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43" w:history="1">
        <w:r w:rsidRPr="00F26DB1">
          <w:rPr>
            <w:rStyle w:val="a9"/>
            <w:rFonts w:ascii="宋体" w:hAnsi="宋体"/>
            <w:noProof/>
          </w:rPr>
          <w:t>10</w:t>
        </w:r>
        <w:r w:rsidRPr="00F26DB1">
          <w:rPr>
            <w:rStyle w:val="a9"/>
            <w:noProof/>
          </w:rPr>
          <w:t xml:space="preserve">     </w:t>
        </w:r>
        <w:r w:rsidRPr="00F26DB1">
          <w:rPr>
            <w:rStyle w:val="a9"/>
            <w:rFonts w:hint="eastAsia"/>
            <w:noProof/>
          </w:rPr>
          <w:t>重大事件揭示</w:t>
        </w:r>
        <w:r>
          <w:rPr>
            <w:noProof/>
            <w:webHidden/>
          </w:rPr>
          <w:tab/>
        </w:r>
        <w:r>
          <w:rPr>
            <w:noProof/>
            <w:webHidden/>
          </w:rPr>
          <w:fldChar w:fldCharType="begin"/>
        </w:r>
        <w:r>
          <w:rPr>
            <w:noProof/>
            <w:webHidden/>
          </w:rPr>
          <w:instrText xml:space="preserve"> PAGEREF _Toc48662943 \h </w:instrText>
        </w:r>
        <w:r>
          <w:rPr>
            <w:noProof/>
            <w:webHidden/>
          </w:rPr>
        </w:r>
        <w:r>
          <w:rPr>
            <w:noProof/>
            <w:webHidden/>
          </w:rPr>
          <w:fldChar w:fldCharType="separate"/>
        </w:r>
        <w:r>
          <w:rPr>
            <w:noProof/>
            <w:webHidden/>
          </w:rPr>
          <w:t>48</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44" w:history="1">
        <w:r w:rsidRPr="00F26DB1">
          <w:rPr>
            <w:rStyle w:val="a9"/>
            <w:rFonts w:ascii="宋体" w:hAnsi="宋体"/>
            <w:noProof/>
          </w:rPr>
          <w:t>10.1</w:t>
        </w:r>
        <w:r w:rsidRPr="00F26DB1">
          <w:rPr>
            <w:rStyle w:val="a9"/>
            <w:noProof/>
          </w:rPr>
          <w:t xml:space="preserve">   </w:t>
        </w:r>
        <w:r w:rsidRPr="00F26DB1">
          <w:rPr>
            <w:rStyle w:val="a9"/>
            <w:rFonts w:hint="eastAsia"/>
            <w:noProof/>
          </w:rPr>
          <w:t>基金份额持有人大会决议</w:t>
        </w:r>
        <w:r>
          <w:rPr>
            <w:noProof/>
            <w:webHidden/>
          </w:rPr>
          <w:tab/>
        </w:r>
        <w:r>
          <w:rPr>
            <w:noProof/>
            <w:webHidden/>
          </w:rPr>
          <w:fldChar w:fldCharType="begin"/>
        </w:r>
        <w:r>
          <w:rPr>
            <w:noProof/>
            <w:webHidden/>
          </w:rPr>
          <w:instrText xml:space="preserve"> PAGEREF _Toc48662944 \h </w:instrText>
        </w:r>
        <w:r>
          <w:rPr>
            <w:noProof/>
            <w:webHidden/>
          </w:rPr>
        </w:r>
        <w:r>
          <w:rPr>
            <w:noProof/>
            <w:webHidden/>
          </w:rPr>
          <w:fldChar w:fldCharType="separate"/>
        </w:r>
        <w:r>
          <w:rPr>
            <w:noProof/>
            <w:webHidden/>
          </w:rPr>
          <w:t>48</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45" w:history="1">
        <w:r w:rsidRPr="00F26DB1">
          <w:rPr>
            <w:rStyle w:val="a9"/>
            <w:rFonts w:ascii="宋体" w:hAnsi="宋体"/>
            <w:noProof/>
          </w:rPr>
          <w:t>10.2</w:t>
        </w:r>
        <w:r w:rsidRPr="00F26DB1">
          <w:rPr>
            <w:rStyle w:val="a9"/>
            <w:noProof/>
          </w:rPr>
          <w:t xml:space="preserve">   </w:t>
        </w:r>
        <w:r w:rsidRPr="00F26DB1">
          <w:rPr>
            <w:rStyle w:val="a9"/>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_Toc48662945 \h </w:instrText>
        </w:r>
        <w:r>
          <w:rPr>
            <w:noProof/>
            <w:webHidden/>
          </w:rPr>
        </w:r>
        <w:r>
          <w:rPr>
            <w:noProof/>
            <w:webHidden/>
          </w:rPr>
          <w:fldChar w:fldCharType="separate"/>
        </w:r>
        <w:r>
          <w:rPr>
            <w:noProof/>
            <w:webHidden/>
          </w:rPr>
          <w:t>48</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46" w:history="1">
        <w:r w:rsidRPr="00F26DB1">
          <w:rPr>
            <w:rStyle w:val="a9"/>
            <w:rFonts w:ascii="宋体" w:hAnsi="宋体"/>
            <w:noProof/>
          </w:rPr>
          <w:t>10.3</w:t>
        </w:r>
        <w:r w:rsidRPr="00F26DB1">
          <w:rPr>
            <w:rStyle w:val="a9"/>
            <w:noProof/>
          </w:rPr>
          <w:t xml:space="preserve">   </w:t>
        </w:r>
        <w:r w:rsidRPr="00F26DB1">
          <w:rPr>
            <w:rStyle w:val="a9"/>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_Toc48662946 \h </w:instrText>
        </w:r>
        <w:r>
          <w:rPr>
            <w:noProof/>
            <w:webHidden/>
          </w:rPr>
        </w:r>
        <w:r>
          <w:rPr>
            <w:noProof/>
            <w:webHidden/>
          </w:rPr>
          <w:fldChar w:fldCharType="separate"/>
        </w:r>
        <w:r>
          <w:rPr>
            <w:noProof/>
            <w:webHidden/>
          </w:rPr>
          <w:t>48</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47" w:history="1">
        <w:r w:rsidRPr="00F26DB1">
          <w:rPr>
            <w:rStyle w:val="a9"/>
            <w:rFonts w:ascii="宋体" w:hAnsi="宋体"/>
            <w:noProof/>
          </w:rPr>
          <w:t>10.4</w:t>
        </w:r>
        <w:r w:rsidRPr="00F26DB1">
          <w:rPr>
            <w:rStyle w:val="a9"/>
            <w:noProof/>
          </w:rPr>
          <w:t xml:space="preserve">   </w:t>
        </w:r>
        <w:r w:rsidRPr="00F26DB1">
          <w:rPr>
            <w:rStyle w:val="a9"/>
            <w:rFonts w:hint="eastAsia"/>
            <w:noProof/>
          </w:rPr>
          <w:t>基金投资策略的改变</w:t>
        </w:r>
        <w:r>
          <w:rPr>
            <w:noProof/>
            <w:webHidden/>
          </w:rPr>
          <w:tab/>
        </w:r>
        <w:r>
          <w:rPr>
            <w:noProof/>
            <w:webHidden/>
          </w:rPr>
          <w:fldChar w:fldCharType="begin"/>
        </w:r>
        <w:r>
          <w:rPr>
            <w:noProof/>
            <w:webHidden/>
          </w:rPr>
          <w:instrText xml:space="preserve"> PAGEREF _Toc48662947 \h </w:instrText>
        </w:r>
        <w:r>
          <w:rPr>
            <w:noProof/>
            <w:webHidden/>
          </w:rPr>
        </w:r>
        <w:r>
          <w:rPr>
            <w:noProof/>
            <w:webHidden/>
          </w:rPr>
          <w:fldChar w:fldCharType="separate"/>
        </w:r>
        <w:r>
          <w:rPr>
            <w:noProof/>
            <w:webHidden/>
          </w:rPr>
          <w:t>48</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48" w:history="1">
        <w:r w:rsidRPr="00F26DB1">
          <w:rPr>
            <w:rStyle w:val="a9"/>
            <w:rFonts w:ascii="宋体" w:hAnsi="宋体"/>
            <w:noProof/>
          </w:rPr>
          <w:t>10.5</w:t>
        </w:r>
        <w:r w:rsidRPr="00F26DB1">
          <w:rPr>
            <w:rStyle w:val="a9"/>
            <w:noProof/>
          </w:rPr>
          <w:t xml:space="preserve">  </w:t>
        </w:r>
        <w:r w:rsidRPr="00F26DB1">
          <w:rPr>
            <w:rStyle w:val="a9"/>
            <w:rFonts w:ascii="宋体" w:hAnsi="宋体" w:hint="eastAsia"/>
            <w:noProof/>
          </w:rPr>
          <w:t>为基金进行审计的会计师事务所情况</w:t>
        </w:r>
        <w:r>
          <w:rPr>
            <w:noProof/>
            <w:webHidden/>
          </w:rPr>
          <w:tab/>
        </w:r>
        <w:r>
          <w:rPr>
            <w:noProof/>
            <w:webHidden/>
          </w:rPr>
          <w:fldChar w:fldCharType="begin"/>
        </w:r>
        <w:r>
          <w:rPr>
            <w:noProof/>
            <w:webHidden/>
          </w:rPr>
          <w:instrText xml:space="preserve"> PAGEREF _Toc48662948 \h </w:instrText>
        </w:r>
        <w:r>
          <w:rPr>
            <w:noProof/>
            <w:webHidden/>
          </w:rPr>
        </w:r>
        <w:r>
          <w:rPr>
            <w:noProof/>
            <w:webHidden/>
          </w:rPr>
          <w:fldChar w:fldCharType="separate"/>
        </w:r>
        <w:r>
          <w:rPr>
            <w:noProof/>
            <w:webHidden/>
          </w:rPr>
          <w:t>49</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49" w:history="1">
        <w:r w:rsidRPr="00F26DB1">
          <w:rPr>
            <w:rStyle w:val="a9"/>
            <w:rFonts w:ascii="宋体" w:hAnsi="宋体"/>
            <w:noProof/>
          </w:rPr>
          <w:t>10.6</w:t>
        </w:r>
        <w:r w:rsidRPr="00F26DB1">
          <w:rPr>
            <w:rStyle w:val="a9"/>
            <w:noProof/>
          </w:rPr>
          <w:t xml:space="preserve">  </w:t>
        </w:r>
        <w:r w:rsidRPr="00F26DB1">
          <w:rPr>
            <w:rStyle w:val="a9"/>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_Toc48662949 \h </w:instrText>
        </w:r>
        <w:r>
          <w:rPr>
            <w:noProof/>
            <w:webHidden/>
          </w:rPr>
        </w:r>
        <w:r>
          <w:rPr>
            <w:noProof/>
            <w:webHidden/>
          </w:rPr>
          <w:fldChar w:fldCharType="separate"/>
        </w:r>
        <w:r>
          <w:rPr>
            <w:noProof/>
            <w:webHidden/>
          </w:rPr>
          <w:t>49</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50" w:history="1">
        <w:r w:rsidRPr="00F26DB1">
          <w:rPr>
            <w:rStyle w:val="a9"/>
            <w:rFonts w:ascii="宋体" w:hAnsi="宋体"/>
            <w:noProof/>
          </w:rPr>
          <w:t>10.7</w:t>
        </w:r>
        <w:r w:rsidRPr="00F26DB1">
          <w:rPr>
            <w:rStyle w:val="a9"/>
            <w:noProof/>
          </w:rPr>
          <w:t xml:space="preserve">  </w:t>
        </w:r>
        <w:r w:rsidRPr="00F26DB1">
          <w:rPr>
            <w:rStyle w:val="a9"/>
            <w:rFonts w:hint="eastAsia"/>
            <w:noProof/>
          </w:rPr>
          <w:t>基金租用证券公司交易单元的有关情况</w:t>
        </w:r>
        <w:r>
          <w:rPr>
            <w:noProof/>
            <w:webHidden/>
          </w:rPr>
          <w:tab/>
        </w:r>
        <w:r>
          <w:rPr>
            <w:noProof/>
            <w:webHidden/>
          </w:rPr>
          <w:fldChar w:fldCharType="begin"/>
        </w:r>
        <w:r>
          <w:rPr>
            <w:noProof/>
            <w:webHidden/>
          </w:rPr>
          <w:instrText xml:space="preserve"> PAGEREF _Toc48662950 \h </w:instrText>
        </w:r>
        <w:r>
          <w:rPr>
            <w:noProof/>
            <w:webHidden/>
          </w:rPr>
        </w:r>
        <w:r>
          <w:rPr>
            <w:noProof/>
            <w:webHidden/>
          </w:rPr>
          <w:fldChar w:fldCharType="separate"/>
        </w:r>
        <w:r>
          <w:rPr>
            <w:noProof/>
            <w:webHidden/>
          </w:rPr>
          <w:t>49</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51" w:history="1">
        <w:r w:rsidRPr="00F26DB1">
          <w:rPr>
            <w:rStyle w:val="a9"/>
            <w:rFonts w:ascii="宋体" w:hAnsi="宋体"/>
            <w:noProof/>
          </w:rPr>
          <w:t>10.8</w:t>
        </w:r>
        <w:r w:rsidRPr="00F26DB1">
          <w:rPr>
            <w:rStyle w:val="a9"/>
            <w:noProof/>
          </w:rPr>
          <w:t xml:space="preserve">   </w:t>
        </w:r>
        <w:r w:rsidRPr="00F26DB1">
          <w:rPr>
            <w:rStyle w:val="a9"/>
            <w:rFonts w:hint="eastAsia"/>
            <w:noProof/>
          </w:rPr>
          <w:t>其他重大事件</w:t>
        </w:r>
        <w:r>
          <w:rPr>
            <w:noProof/>
            <w:webHidden/>
          </w:rPr>
          <w:tab/>
        </w:r>
        <w:r>
          <w:rPr>
            <w:noProof/>
            <w:webHidden/>
          </w:rPr>
          <w:fldChar w:fldCharType="begin"/>
        </w:r>
        <w:r>
          <w:rPr>
            <w:noProof/>
            <w:webHidden/>
          </w:rPr>
          <w:instrText xml:space="preserve"> PAGEREF _Toc48662951 \h </w:instrText>
        </w:r>
        <w:r>
          <w:rPr>
            <w:noProof/>
            <w:webHidden/>
          </w:rPr>
        </w:r>
        <w:r>
          <w:rPr>
            <w:noProof/>
            <w:webHidden/>
          </w:rPr>
          <w:fldChar w:fldCharType="separate"/>
        </w:r>
        <w:r>
          <w:rPr>
            <w:noProof/>
            <w:webHidden/>
          </w:rPr>
          <w:t>52</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52" w:history="1">
        <w:r w:rsidRPr="00F26DB1">
          <w:rPr>
            <w:rStyle w:val="a9"/>
            <w:rFonts w:ascii="宋体" w:hAnsi="宋体"/>
            <w:noProof/>
          </w:rPr>
          <w:t>11</w:t>
        </w:r>
        <w:r w:rsidRPr="00F26DB1">
          <w:rPr>
            <w:rStyle w:val="a9"/>
            <w:noProof/>
          </w:rPr>
          <w:t xml:space="preserve">     </w:t>
        </w:r>
        <w:r w:rsidRPr="00F26DB1">
          <w:rPr>
            <w:rStyle w:val="a9"/>
            <w:rFonts w:hint="eastAsia"/>
            <w:noProof/>
          </w:rPr>
          <w:t>备查文件目录</w:t>
        </w:r>
        <w:r>
          <w:rPr>
            <w:noProof/>
            <w:webHidden/>
          </w:rPr>
          <w:tab/>
        </w:r>
        <w:r>
          <w:rPr>
            <w:noProof/>
            <w:webHidden/>
          </w:rPr>
          <w:fldChar w:fldCharType="begin"/>
        </w:r>
        <w:r>
          <w:rPr>
            <w:noProof/>
            <w:webHidden/>
          </w:rPr>
          <w:instrText xml:space="preserve"> PAGEREF _Toc48662952 \h </w:instrText>
        </w:r>
        <w:r>
          <w:rPr>
            <w:noProof/>
            <w:webHidden/>
          </w:rPr>
        </w:r>
        <w:r>
          <w:rPr>
            <w:noProof/>
            <w:webHidden/>
          </w:rPr>
          <w:fldChar w:fldCharType="separate"/>
        </w:r>
        <w:r>
          <w:rPr>
            <w:noProof/>
            <w:webHidden/>
          </w:rPr>
          <w:t>54</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53" w:history="1">
        <w:r w:rsidRPr="00F26DB1">
          <w:rPr>
            <w:rStyle w:val="a9"/>
            <w:rFonts w:ascii="宋体" w:hAnsi="宋体"/>
            <w:noProof/>
          </w:rPr>
          <w:t>11.1</w:t>
        </w:r>
        <w:r w:rsidRPr="00F26DB1">
          <w:rPr>
            <w:rStyle w:val="a9"/>
            <w:noProof/>
          </w:rPr>
          <w:t xml:space="preserve">   </w:t>
        </w:r>
        <w:r w:rsidRPr="00F26DB1">
          <w:rPr>
            <w:rStyle w:val="a9"/>
            <w:rFonts w:hint="eastAsia"/>
            <w:noProof/>
          </w:rPr>
          <w:t>备查文件目录</w:t>
        </w:r>
        <w:r>
          <w:rPr>
            <w:noProof/>
            <w:webHidden/>
          </w:rPr>
          <w:tab/>
        </w:r>
        <w:r>
          <w:rPr>
            <w:noProof/>
            <w:webHidden/>
          </w:rPr>
          <w:fldChar w:fldCharType="begin"/>
        </w:r>
        <w:r>
          <w:rPr>
            <w:noProof/>
            <w:webHidden/>
          </w:rPr>
          <w:instrText xml:space="preserve"> PAGEREF _Toc48662953 \h </w:instrText>
        </w:r>
        <w:r>
          <w:rPr>
            <w:noProof/>
            <w:webHidden/>
          </w:rPr>
        </w:r>
        <w:r>
          <w:rPr>
            <w:noProof/>
            <w:webHidden/>
          </w:rPr>
          <w:fldChar w:fldCharType="separate"/>
        </w:r>
        <w:r>
          <w:rPr>
            <w:noProof/>
            <w:webHidden/>
          </w:rPr>
          <w:t>54</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54" w:history="1">
        <w:r w:rsidRPr="00F26DB1">
          <w:rPr>
            <w:rStyle w:val="a9"/>
            <w:rFonts w:ascii="宋体" w:hAnsi="宋体"/>
            <w:noProof/>
          </w:rPr>
          <w:t>11.2</w:t>
        </w:r>
        <w:r w:rsidRPr="00F26DB1">
          <w:rPr>
            <w:rStyle w:val="a9"/>
            <w:noProof/>
          </w:rPr>
          <w:t xml:space="preserve">   </w:t>
        </w:r>
        <w:r w:rsidRPr="00F26DB1">
          <w:rPr>
            <w:rStyle w:val="a9"/>
            <w:rFonts w:hint="eastAsia"/>
            <w:noProof/>
          </w:rPr>
          <w:t>存放地点</w:t>
        </w:r>
        <w:r>
          <w:rPr>
            <w:noProof/>
            <w:webHidden/>
          </w:rPr>
          <w:tab/>
        </w:r>
        <w:r>
          <w:rPr>
            <w:noProof/>
            <w:webHidden/>
          </w:rPr>
          <w:fldChar w:fldCharType="begin"/>
        </w:r>
        <w:r>
          <w:rPr>
            <w:noProof/>
            <w:webHidden/>
          </w:rPr>
          <w:instrText xml:space="preserve"> PAGEREF _Toc48662954 \h </w:instrText>
        </w:r>
        <w:r>
          <w:rPr>
            <w:noProof/>
            <w:webHidden/>
          </w:rPr>
        </w:r>
        <w:r>
          <w:rPr>
            <w:noProof/>
            <w:webHidden/>
          </w:rPr>
          <w:fldChar w:fldCharType="separate"/>
        </w:r>
        <w:r>
          <w:rPr>
            <w:noProof/>
            <w:webHidden/>
          </w:rPr>
          <w:t>55</w:t>
        </w:r>
        <w:r>
          <w:rPr>
            <w:noProof/>
            <w:webHidden/>
          </w:rPr>
          <w:fldChar w:fldCharType="end"/>
        </w:r>
      </w:hyperlink>
    </w:p>
    <w:p w:rsidR="00D41B36" w:rsidRDefault="00D41B36">
      <w:pPr>
        <w:pStyle w:val="22"/>
        <w:ind w:left="420"/>
        <w:rPr>
          <w:rFonts w:asciiTheme="minorHAnsi" w:eastAsiaTheme="minorEastAsia" w:hAnsiTheme="minorHAnsi" w:cstheme="minorBidi"/>
          <w:noProof/>
          <w:kern w:val="2"/>
          <w:szCs w:val="22"/>
        </w:rPr>
      </w:pPr>
      <w:hyperlink w:anchor="_Toc48662955" w:history="1">
        <w:r w:rsidRPr="00F26DB1">
          <w:rPr>
            <w:rStyle w:val="a9"/>
            <w:rFonts w:ascii="宋体" w:hAnsi="宋体"/>
            <w:noProof/>
          </w:rPr>
          <w:t>11.3</w:t>
        </w:r>
        <w:r w:rsidRPr="00F26DB1">
          <w:rPr>
            <w:rStyle w:val="a9"/>
            <w:noProof/>
          </w:rPr>
          <w:t xml:space="preserve">   </w:t>
        </w:r>
        <w:r w:rsidRPr="00F26DB1">
          <w:rPr>
            <w:rStyle w:val="a9"/>
            <w:rFonts w:hint="eastAsia"/>
            <w:noProof/>
          </w:rPr>
          <w:t>查阅方式</w:t>
        </w:r>
        <w:r>
          <w:rPr>
            <w:noProof/>
            <w:webHidden/>
          </w:rPr>
          <w:tab/>
        </w:r>
        <w:r>
          <w:rPr>
            <w:noProof/>
            <w:webHidden/>
          </w:rPr>
          <w:fldChar w:fldCharType="begin"/>
        </w:r>
        <w:r>
          <w:rPr>
            <w:noProof/>
            <w:webHidden/>
          </w:rPr>
          <w:instrText xml:space="preserve"> PAGEREF _Toc48662955 \h </w:instrText>
        </w:r>
        <w:r>
          <w:rPr>
            <w:noProof/>
            <w:webHidden/>
          </w:rPr>
        </w:r>
        <w:r>
          <w:rPr>
            <w:noProof/>
            <w:webHidden/>
          </w:rPr>
          <w:fldChar w:fldCharType="separate"/>
        </w:r>
        <w:r>
          <w:rPr>
            <w:noProof/>
            <w:webHidden/>
          </w:rPr>
          <w:t>55</w:t>
        </w:r>
        <w:r>
          <w:rPr>
            <w:noProof/>
            <w:webHidden/>
          </w:rPr>
          <w:fldChar w:fldCharType="end"/>
        </w:r>
      </w:hyperlink>
    </w:p>
    <w:p w:rsidR="00871A0D" w:rsidRPr="00C24ACA" w:rsidRDefault="00955B17" w:rsidP="00DB02ED">
      <w:pPr>
        <w:pStyle w:val="22"/>
        <w:tabs>
          <w:tab w:val="clear" w:pos="9072"/>
          <w:tab w:val="right" w:leader="dot" w:pos="8834"/>
        </w:tabs>
        <w:ind w:left="420"/>
        <w:rPr>
          <w:rFonts w:eastAsiaTheme="minorEastAsia"/>
        </w:rPr>
      </w:pPr>
      <w:r w:rsidRPr="006F3222">
        <w:rPr>
          <w:rFonts w:eastAsiaTheme="minorEastAsia"/>
          <w:color w:val="000000"/>
        </w:rPr>
        <w:fldChar w:fldCharType="end"/>
      </w:r>
      <w:r w:rsidR="00871A0D" w:rsidRPr="00C24ACA">
        <w:rPr>
          <w:rFonts w:eastAsiaTheme="minorEastAsia"/>
        </w:rPr>
        <w:br w:type="page"/>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1" w:name="_Toc225498244"/>
      <w:bookmarkStart w:id="22" w:name="_Toc352255960"/>
      <w:bookmarkStart w:id="23" w:name="_Toc352256028"/>
      <w:bookmarkStart w:id="24" w:name="_Toc352331206"/>
      <w:bookmarkStart w:id="25" w:name="_Toc390164792"/>
      <w:bookmarkStart w:id="26" w:name="_Toc48662897"/>
      <w:r w:rsidRPr="000C6CCD">
        <w:rPr>
          <w:rFonts w:ascii="宋体" w:hAnsi="宋体"/>
          <w:bCs w:val="0"/>
          <w:color w:val="000000"/>
          <w:sz w:val="21"/>
          <w:szCs w:val="21"/>
        </w:rPr>
        <w:t>2</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基金简介</w:t>
      </w:r>
      <w:bookmarkEnd w:id="21"/>
      <w:bookmarkEnd w:id="22"/>
      <w:bookmarkEnd w:id="23"/>
      <w:bookmarkEnd w:id="24"/>
      <w:bookmarkEnd w:id="25"/>
      <w:bookmarkEnd w:id="26"/>
    </w:p>
    <w:p w:rsidR="008A5A5D" w:rsidRPr="00A317EA" w:rsidRDefault="008A5A5D" w:rsidP="00732F5C">
      <w:pPr>
        <w:pStyle w:val="20"/>
        <w:spacing w:beforeLines="100" w:before="312" w:after="0"/>
        <w:rPr>
          <w:rFonts w:ascii="Times New Roman" w:eastAsiaTheme="minorEastAsia" w:hAnsi="Times New Roman"/>
          <w:kern w:val="0"/>
          <w:sz w:val="21"/>
          <w:szCs w:val="21"/>
        </w:rPr>
      </w:pPr>
      <w:bookmarkStart w:id="27" w:name="_Toc352255961"/>
      <w:bookmarkStart w:id="28" w:name="_Toc352256029"/>
      <w:bookmarkStart w:id="29" w:name="_Toc352331207"/>
      <w:bookmarkStart w:id="30" w:name="_Toc390164793"/>
      <w:bookmarkStart w:id="31" w:name="_Toc48662898"/>
      <w:r w:rsidRPr="0087359D">
        <w:rPr>
          <w:rFonts w:ascii="宋体" w:hAnsi="宋体"/>
          <w:kern w:val="0"/>
          <w:sz w:val="21"/>
          <w:szCs w:val="21"/>
        </w:rPr>
        <w:t>2.1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基金基本情况</w:t>
      </w:r>
      <w:bookmarkEnd w:id="27"/>
      <w:bookmarkEnd w:id="28"/>
      <w:bookmarkEnd w:id="29"/>
      <w:bookmarkEnd w:id="30"/>
      <w:bookmarkEnd w:id="3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58"/>
        <w:gridCol w:w="2580"/>
        <w:gridCol w:w="2637"/>
      </w:tblGrid>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基金名称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易方达标普全球高端消费品指数增强型证券投资基金</w:t>
            </w:r>
          </w:p>
        </w:tc>
      </w:tr>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基金简称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易方达标普消费品指数增强（</w:t>
            </w:r>
            <w:r w:rsidRPr="00C24ACA">
              <w:rPr>
                <w:rFonts w:eastAsiaTheme="minorEastAsia"/>
                <w:szCs w:val="21"/>
              </w:rPr>
              <w:t>QDII</w:t>
            </w:r>
            <w:r w:rsidRPr="00C24ACA">
              <w:rPr>
                <w:rFonts w:eastAsiaTheme="minorEastAsia"/>
                <w:szCs w:val="21"/>
              </w:rPr>
              <w:t>）</w:t>
            </w:r>
          </w:p>
        </w:tc>
      </w:tr>
      <w:tr w:rsidR="008A5A5D" w:rsidRPr="00C24ACA" w:rsidTr="00862636">
        <w:tc>
          <w:tcPr>
            <w:tcW w:w="3258" w:type="dxa"/>
            <w:vAlign w:val="center"/>
          </w:tcPr>
          <w:p w:rsidR="008A5A5D" w:rsidRPr="00C24ACA" w:rsidRDefault="008A5A5D" w:rsidP="008F4C10">
            <w:pPr>
              <w:rPr>
                <w:rFonts w:eastAsiaTheme="minorEastAsia"/>
                <w:color w:val="000000"/>
                <w:kern w:val="0"/>
                <w:szCs w:val="21"/>
              </w:rPr>
            </w:pPr>
            <w:r w:rsidRPr="00C24ACA">
              <w:rPr>
                <w:rFonts w:eastAsiaTheme="minorEastAsia"/>
                <w:szCs w:val="21"/>
              </w:rPr>
              <w:t>基金主代码</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118002</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基金运作方式</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契约型开放式</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基金合同生效日</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2012</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4</w:t>
            </w:r>
            <w:r w:rsidRPr="00C24ACA">
              <w:rPr>
                <w:rFonts w:eastAsiaTheme="minorEastAsia"/>
                <w:szCs w:val="21"/>
              </w:rPr>
              <w:t>日</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基金管理人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易方达基金管理有限公司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基金托管人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中国银行股份有限公司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报告期末基金份额总额</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27,576,502.20</w:t>
            </w:r>
            <w:r w:rsidRPr="00C24ACA">
              <w:rPr>
                <w:rFonts w:eastAsiaTheme="minorEastAsia"/>
                <w:szCs w:val="21"/>
              </w:rPr>
              <w:t>份</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基金合同存续期</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不定期</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下属分级基金的基金简称</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易方达标普消费品指数增强（</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易方达标普消费品指数增强（</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下属分级基金的交易代码</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118002</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005676</w:t>
            </w:r>
          </w:p>
        </w:tc>
      </w:tr>
      <w:tr w:rsidR="008F4C10" w:rsidRPr="00C24ACA" w:rsidTr="004743F8">
        <w:tc>
          <w:tcPr>
            <w:tcW w:w="3258" w:type="dxa"/>
            <w:vAlign w:val="center"/>
          </w:tcPr>
          <w:p w:rsidR="008F4C10" w:rsidRPr="00C24ACA" w:rsidRDefault="008F4C10" w:rsidP="008F4C10">
            <w:pPr>
              <w:rPr>
                <w:rFonts w:eastAsiaTheme="minorEastAsia"/>
                <w:szCs w:val="21"/>
              </w:rPr>
            </w:pPr>
            <w:r w:rsidRPr="00C24ACA">
              <w:rPr>
                <w:rFonts w:eastAsiaTheme="minorEastAsia"/>
                <w:szCs w:val="21"/>
              </w:rPr>
              <w:t>报告期末下属分级基金的份额总额</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22,128,700.01</w:t>
            </w:r>
            <w:r w:rsidRPr="00C24ACA">
              <w:rPr>
                <w:rFonts w:eastAsiaTheme="minorEastAsia"/>
                <w:szCs w:val="21"/>
              </w:rPr>
              <w:t>份</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5,447,802.19</w:t>
            </w:r>
            <w:r w:rsidRPr="00C24ACA">
              <w:rPr>
                <w:rFonts w:eastAsiaTheme="minorEastAsia"/>
                <w:szCs w:val="21"/>
              </w:rPr>
              <w:t>份</w:t>
            </w:r>
          </w:p>
        </w:tc>
      </w:tr>
    </w:tbl>
    <w:p w:rsidR="00BB5C1E" w:rsidRDefault="00AF434F">
      <w:pPr>
        <w:tabs>
          <w:tab w:val="left" w:pos="426"/>
        </w:tabs>
        <w:spacing w:line="360" w:lineRule="auto"/>
        <w:ind w:firstLineChars="200" w:firstLine="420"/>
        <w:jc w:val="left"/>
        <w:rPr>
          <w:rFonts w:eastAsiaTheme="minorEastAsia"/>
          <w:color w:val="000000"/>
          <w:szCs w:val="21"/>
        </w:rPr>
      </w:pPr>
      <w:r>
        <w:rPr>
          <w:rFonts w:eastAsiaTheme="minorEastAsia"/>
          <w:kern w:val="0"/>
          <w:szCs w:val="21"/>
        </w:rPr>
        <w:t>注：</w:t>
      </w:r>
      <w:r>
        <w:rPr>
          <w:rFonts w:eastAsiaTheme="minorEastAsia"/>
          <w:kern w:val="0"/>
          <w:szCs w:val="21"/>
        </w:rPr>
        <w:t>1.</w:t>
      </w:r>
      <w:r>
        <w:rPr>
          <w:rFonts w:eastAsiaTheme="minorEastAsia"/>
          <w:kern w:val="0"/>
          <w:szCs w:val="21"/>
        </w:rPr>
        <w:t>自</w:t>
      </w:r>
      <w:r>
        <w:rPr>
          <w:rFonts w:eastAsiaTheme="minorEastAsia"/>
          <w:kern w:val="0"/>
          <w:szCs w:val="21"/>
        </w:rPr>
        <w:t>2018</w:t>
      </w:r>
      <w:r>
        <w:rPr>
          <w:rFonts w:eastAsiaTheme="minorEastAsia"/>
          <w:kern w:val="0"/>
          <w:szCs w:val="21"/>
        </w:rPr>
        <w:t>年</w:t>
      </w:r>
      <w:r>
        <w:rPr>
          <w:rFonts w:eastAsiaTheme="minorEastAsia"/>
          <w:kern w:val="0"/>
          <w:szCs w:val="21"/>
        </w:rPr>
        <w:t>2</w:t>
      </w:r>
      <w:r>
        <w:rPr>
          <w:rFonts w:eastAsiaTheme="minorEastAsia"/>
          <w:kern w:val="0"/>
          <w:szCs w:val="21"/>
        </w:rPr>
        <w:t>月</w:t>
      </w:r>
      <w:r>
        <w:rPr>
          <w:rFonts w:eastAsiaTheme="minorEastAsia"/>
          <w:kern w:val="0"/>
          <w:szCs w:val="21"/>
        </w:rPr>
        <w:t>9</w:t>
      </w:r>
      <w:r>
        <w:rPr>
          <w:rFonts w:eastAsiaTheme="minorEastAsia"/>
          <w:kern w:val="0"/>
          <w:szCs w:val="21"/>
        </w:rPr>
        <w:t>日起，本基金增设</w:t>
      </w:r>
      <w:r>
        <w:rPr>
          <w:rFonts w:eastAsiaTheme="minorEastAsia"/>
          <w:kern w:val="0"/>
          <w:szCs w:val="21"/>
        </w:rPr>
        <w:t>C</w:t>
      </w:r>
      <w:r>
        <w:rPr>
          <w:rFonts w:eastAsiaTheme="minorEastAsia"/>
          <w:kern w:val="0"/>
          <w:szCs w:val="21"/>
        </w:rPr>
        <w:t>类份额类别，份额首次确认日为</w:t>
      </w:r>
      <w:r>
        <w:rPr>
          <w:rFonts w:eastAsiaTheme="minorEastAsia"/>
          <w:kern w:val="0"/>
          <w:szCs w:val="21"/>
        </w:rPr>
        <w:t>2018</w:t>
      </w:r>
      <w:r>
        <w:rPr>
          <w:rFonts w:eastAsiaTheme="minorEastAsia"/>
          <w:kern w:val="0"/>
          <w:szCs w:val="21"/>
        </w:rPr>
        <w:t>年</w:t>
      </w:r>
      <w:r>
        <w:rPr>
          <w:rFonts w:eastAsiaTheme="minorEastAsia"/>
          <w:kern w:val="0"/>
          <w:szCs w:val="21"/>
        </w:rPr>
        <w:t>2</w:t>
      </w:r>
      <w:r>
        <w:rPr>
          <w:rFonts w:eastAsiaTheme="minorEastAsia"/>
          <w:kern w:val="0"/>
          <w:szCs w:val="21"/>
        </w:rPr>
        <w:t>月</w:t>
      </w:r>
      <w:r>
        <w:rPr>
          <w:rFonts w:eastAsiaTheme="minorEastAsia"/>
          <w:kern w:val="0"/>
          <w:szCs w:val="21"/>
        </w:rPr>
        <w:t>12</w:t>
      </w:r>
      <w:r>
        <w:rPr>
          <w:rFonts w:eastAsiaTheme="minorEastAsia"/>
          <w:kern w:val="0"/>
          <w:szCs w:val="21"/>
        </w:rPr>
        <w:t>日。</w:t>
      </w:r>
    </w:p>
    <w:p w:rsidR="008A5A5D" w:rsidRPr="00C24ACA" w:rsidRDefault="008A5A5D" w:rsidP="001412CA">
      <w:pPr>
        <w:tabs>
          <w:tab w:val="left" w:pos="426"/>
        </w:tabs>
        <w:spacing w:line="360" w:lineRule="auto"/>
        <w:ind w:firstLineChars="200" w:firstLine="420"/>
        <w:jc w:val="left"/>
        <w:rPr>
          <w:rFonts w:eastAsiaTheme="minorEastAsia"/>
          <w:color w:val="000000"/>
          <w:szCs w:val="21"/>
        </w:rPr>
      </w:pPr>
      <w:r w:rsidRPr="00C24ACA">
        <w:rPr>
          <w:rFonts w:eastAsiaTheme="minorEastAsia"/>
          <w:kern w:val="0"/>
          <w:szCs w:val="21"/>
        </w:rPr>
        <w:tab/>
        <w:t>2.</w:t>
      </w:r>
      <w:r w:rsidRPr="00C24ACA">
        <w:rPr>
          <w:rFonts w:eastAsiaTheme="minorEastAsia"/>
          <w:kern w:val="0"/>
          <w:szCs w:val="21"/>
        </w:rPr>
        <w:t>易方达标普消费品指数增强</w:t>
      </w:r>
      <w:r w:rsidRPr="00C24ACA">
        <w:rPr>
          <w:rFonts w:eastAsiaTheme="minorEastAsia"/>
          <w:kern w:val="0"/>
          <w:szCs w:val="21"/>
        </w:rPr>
        <w:t>(QDII)A</w:t>
      </w:r>
      <w:r w:rsidRPr="00C24ACA">
        <w:rPr>
          <w:rFonts w:eastAsiaTheme="minorEastAsia"/>
          <w:kern w:val="0"/>
          <w:szCs w:val="21"/>
        </w:rPr>
        <w:t>含</w:t>
      </w:r>
      <w:r w:rsidRPr="00C24ACA">
        <w:rPr>
          <w:rFonts w:eastAsiaTheme="minorEastAsia"/>
          <w:kern w:val="0"/>
          <w:szCs w:val="21"/>
        </w:rPr>
        <w:t>A</w:t>
      </w:r>
      <w:r w:rsidRPr="00C24ACA">
        <w:rPr>
          <w:rFonts w:eastAsiaTheme="minorEastAsia"/>
          <w:kern w:val="0"/>
          <w:szCs w:val="21"/>
        </w:rPr>
        <w:t>类人民币份额</w:t>
      </w:r>
      <w:r w:rsidRPr="00C24ACA">
        <w:rPr>
          <w:rFonts w:eastAsiaTheme="minorEastAsia"/>
          <w:kern w:val="0"/>
          <w:szCs w:val="21"/>
        </w:rPr>
        <w:t>(</w:t>
      </w:r>
      <w:r w:rsidRPr="00C24ACA">
        <w:rPr>
          <w:rFonts w:eastAsiaTheme="minorEastAsia"/>
          <w:kern w:val="0"/>
          <w:szCs w:val="21"/>
        </w:rPr>
        <w:t>份额代码</w:t>
      </w:r>
      <w:r w:rsidRPr="00C24ACA">
        <w:rPr>
          <w:rFonts w:eastAsiaTheme="minorEastAsia"/>
          <w:kern w:val="0"/>
          <w:szCs w:val="21"/>
        </w:rPr>
        <w:t>:118002)</w:t>
      </w:r>
      <w:r w:rsidRPr="00C24ACA">
        <w:rPr>
          <w:rFonts w:eastAsiaTheme="minorEastAsia"/>
          <w:kern w:val="0"/>
          <w:szCs w:val="21"/>
        </w:rPr>
        <w:t>及</w:t>
      </w:r>
      <w:r w:rsidRPr="00C24ACA">
        <w:rPr>
          <w:rFonts w:eastAsiaTheme="minorEastAsia"/>
          <w:kern w:val="0"/>
          <w:szCs w:val="21"/>
        </w:rPr>
        <w:t>A</w:t>
      </w:r>
      <w:r w:rsidRPr="00C24ACA">
        <w:rPr>
          <w:rFonts w:eastAsiaTheme="minorEastAsia"/>
          <w:kern w:val="0"/>
          <w:szCs w:val="21"/>
        </w:rPr>
        <w:t>类美元现汇份额</w:t>
      </w:r>
      <w:r w:rsidRPr="00C24ACA">
        <w:rPr>
          <w:rFonts w:eastAsiaTheme="minorEastAsia"/>
          <w:kern w:val="0"/>
          <w:szCs w:val="21"/>
        </w:rPr>
        <w:t>(</w:t>
      </w:r>
      <w:r w:rsidRPr="00C24ACA">
        <w:rPr>
          <w:rFonts w:eastAsiaTheme="minorEastAsia"/>
          <w:kern w:val="0"/>
          <w:szCs w:val="21"/>
        </w:rPr>
        <w:t>份额代码</w:t>
      </w:r>
      <w:r w:rsidRPr="00C24ACA">
        <w:rPr>
          <w:rFonts w:eastAsiaTheme="minorEastAsia"/>
          <w:kern w:val="0"/>
          <w:szCs w:val="21"/>
        </w:rPr>
        <w:t>:000593),</w:t>
      </w:r>
      <w:r w:rsidRPr="00C24ACA">
        <w:rPr>
          <w:rFonts w:eastAsiaTheme="minorEastAsia"/>
          <w:kern w:val="0"/>
          <w:szCs w:val="21"/>
        </w:rPr>
        <w:t>交易代码仅列示</w:t>
      </w:r>
      <w:r w:rsidRPr="00C24ACA">
        <w:rPr>
          <w:rFonts w:eastAsiaTheme="minorEastAsia"/>
          <w:kern w:val="0"/>
          <w:szCs w:val="21"/>
        </w:rPr>
        <w:t>A</w:t>
      </w:r>
      <w:r w:rsidRPr="00C24ACA">
        <w:rPr>
          <w:rFonts w:eastAsiaTheme="minorEastAsia"/>
          <w:kern w:val="0"/>
          <w:szCs w:val="21"/>
        </w:rPr>
        <w:t>类人民币份额代码。易方达标普消费品指数增强</w:t>
      </w:r>
      <w:r w:rsidRPr="00C24ACA">
        <w:rPr>
          <w:rFonts w:eastAsiaTheme="minorEastAsia"/>
          <w:kern w:val="0"/>
          <w:szCs w:val="21"/>
        </w:rPr>
        <w:t>(QDII)C</w:t>
      </w:r>
      <w:r w:rsidRPr="00C24ACA">
        <w:rPr>
          <w:rFonts w:eastAsiaTheme="minorEastAsia"/>
          <w:kern w:val="0"/>
          <w:szCs w:val="21"/>
        </w:rPr>
        <w:t>含</w:t>
      </w:r>
      <w:r w:rsidRPr="00C24ACA">
        <w:rPr>
          <w:rFonts w:eastAsiaTheme="minorEastAsia"/>
          <w:kern w:val="0"/>
          <w:szCs w:val="21"/>
        </w:rPr>
        <w:t>C</w:t>
      </w:r>
      <w:r w:rsidRPr="00C24ACA">
        <w:rPr>
          <w:rFonts w:eastAsiaTheme="minorEastAsia"/>
          <w:kern w:val="0"/>
          <w:szCs w:val="21"/>
        </w:rPr>
        <w:t>类人民币份额</w:t>
      </w:r>
      <w:r w:rsidRPr="00C24ACA">
        <w:rPr>
          <w:rFonts w:eastAsiaTheme="minorEastAsia"/>
          <w:kern w:val="0"/>
          <w:szCs w:val="21"/>
        </w:rPr>
        <w:t>(</w:t>
      </w:r>
      <w:r w:rsidRPr="00C24ACA">
        <w:rPr>
          <w:rFonts w:eastAsiaTheme="minorEastAsia"/>
          <w:kern w:val="0"/>
          <w:szCs w:val="21"/>
        </w:rPr>
        <w:t>份额代码</w:t>
      </w:r>
      <w:r w:rsidRPr="00C24ACA">
        <w:rPr>
          <w:rFonts w:eastAsiaTheme="minorEastAsia"/>
          <w:kern w:val="0"/>
          <w:szCs w:val="21"/>
        </w:rPr>
        <w:t>:005676)</w:t>
      </w:r>
      <w:r w:rsidRPr="00C24ACA">
        <w:rPr>
          <w:rFonts w:eastAsiaTheme="minorEastAsia"/>
          <w:kern w:val="0"/>
          <w:szCs w:val="21"/>
        </w:rPr>
        <w:t>。</w:t>
      </w:r>
    </w:p>
    <w:p w:rsidR="008A5A5D" w:rsidRPr="00A317EA" w:rsidRDefault="008A5A5D" w:rsidP="00732F5C">
      <w:pPr>
        <w:pStyle w:val="20"/>
        <w:spacing w:beforeLines="100" w:before="312" w:after="0"/>
        <w:rPr>
          <w:rFonts w:ascii="Times New Roman" w:eastAsiaTheme="minorEastAsia" w:hAnsi="Times New Roman"/>
          <w:kern w:val="0"/>
          <w:sz w:val="21"/>
          <w:szCs w:val="21"/>
        </w:rPr>
      </w:pPr>
      <w:bookmarkStart w:id="32" w:name="_Toc352255962"/>
      <w:bookmarkStart w:id="33" w:name="_Toc352256030"/>
      <w:bookmarkStart w:id="34" w:name="_Toc352331208"/>
      <w:bookmarkStart w:id="35" w:name="_Toc390164794"/>
      <w:bookmarkStart w:id="36" w:name="_Toc48662899"/>
      <w:r w:rsidRPr="0087359D">
        <w:rPr>
          <w:rFonts w:ascii="宋体" w:hAnsi="宋体"/>
          <w:kern w:val="0"/>
          <w:sz w:val="21"/>
          <w:szCs w:val="21"/>
        </w:rPr>
        <w:t>2.2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基金产品说明</w:t>
      </w:r>
      <w:bookmarkEnd w:id="32"/>
      <w:bookmarkEnd w:id="33"/>
      <w:bookmarkEnd w:id="34"/>
      <w:bookmarkEnd w:id="35"/>
      <w:bookmarkEnd w:id="3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投资目标</w:t>
            </w:r>
          </w:p>
        </w:tc>
        <w:tc>
          <w:tcPr>
            <w:tcW w:w="6873" w:type="dxa"/>
            <w:vAlign w:val="bottom"/>
          </w:tcPr>
          <w:p w:rsidR="008A5A5D" w:rsidRPr="00C24ACA" w:rsidRDefault="008A5A5D">
            <w:pPr>
              <w:rPr>
                <w:rFonts w:eastAsiaTheme="minorEastAsia"/>
                <w:szCs w:val="21"/>
              </w:rPr>
            </w:pPr>
            <w:r w:rsidRPr="00C24ACA">
              <w:rPr>
                <w:rFonts w:eastAsiaTheme="minorEastAsia"/>
                <w:szCs w:val="21"/>
              </w:rPr>
              <w:t>在严格控制跟踪误差的基础上，追求超越业绩比较基准的投资回报，力争实现基金资产的长期稳健增值。</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投资策略</w:t>
            </w:r>
          </w:p>
        </w:tc>
        <w:tc>
          <w:tcPr>
            <w:tcW w:w="6873" w:type="dxa"/>
            <w:vAlign w:val="bottom"/>
          </w:tcPr>
          <w:p w:rsidR="008A5A5D" w:rsidRPr="00C24ACA" w:rsidRDefault="008A5A5D">
            <w:pPr>
              <w:rPr>
                <w:rFonts w:eastAsiaTheme="minorEastAsia"/>
                <w:szCs w:val="21"/>
              </w:rPr>
            </w:pPr>
            <w:r w:rsidRPr="00C24ACA">
              <w:rPr>
                <w:rFonts w:eastAsiaTheme="minorEastAsia"/>
                <w:szCs w:val="21"/>
              </w:rPr>
              <w:t>本基金以指数化投资为主，并辅以有限度的增强操作。本基金将以标普全球高端消费品指数的成份股构成及权重为基础，并基于量化模型和基本面研究进行投资组合的构建。在投资组合建立后，基金管理人将适时对投资组合进行调整，力争将投资组合对业绩比较基准的年化跟踪误差控制在</w:t>
            </w:r>
            <w:r w:rsidRPr="00C24ACA">
              <w:rPr>
                <w:rFonts w:eastAsiaTheme="minorEastAsia"/>
                <w:szCs w:val="21"/>
              </w:rPr>
              <w:t>8%</w:t>
            </w:r>
            <w:r w:rsidRPr="00C24ACA">
              <w:rPr>
                <w:rFonts w:eastAsiaTheme="minorEastAsia"/>
                <w:szCs w:val="21"/>
              </w:rPr>
              <w:t>以内，从而分享高端消费品行业品牌优势，高盈利所具有的长期投资价值，并力求获得超越业绩比较基准的投资回报。</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业绩比较基准</w:t>
            </w:r>
          </w:p>
        </w:tc>
        <w:tc>
          <w:tcPr>
            <w:tcW w:w="6873" w:type="dxa"/>
            <w:vAlign w:val="bottom"/>
          </w:tcPr>
          <w:p w:rsidR="008A5A5D" w:rsidRPr="00C24ACA" w:rsidRDefault="008A5A5D">
            <w:pPr>
              <w:rPr>
                <w:rFonts w:eastAsiaTheme="minorEastAsia"/>
                <w:szCs w:val="21"/>
              </w:rPr>
            </w:pPr>
            <w:r w:rsidRPr="00C24ACA">
              <w:rPr>
                <w:rFonts w:eastAsiaTheme="minorEastAsia"/>
                <w:szCs w:val="21"/>
              </w:rPr>
              <w:t>标普全球高端消费品指数（净收益指数，使用估值汇率折算）</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风险收益特征</w:t>
            </w:r>
          </w:p>
        </w:tc>
        <w:tc>
          <w:tcPr>
            <w:tcW w:w="6873" w:type="dxa"/>
            <w:vAlign w:val="bottom"/>
          </w:tcPr>
          <w:p w:rsidR="00BB5C1E" w:rsidRDefault="00AF434F">
            <w:pPr>
              <w:rPr>
                <w:rFonts w:eastAsiaTheme="minorEastAsia"/>
                <w:szCs w:val="21"/>
              </w:rPr>
            </w:pPr>
            <w:r>
              <w:rPr>
                <w:rFonts w:eastAsiaTheme="minorEastAsia"/>
                <w:szCs w:val="21"/>
              </w:rPr>
              <w:t>本基金为股票基金，其预期风险与收益水平高于货币市场基金、债券基金和混合型基金。本基金在控制跟踪误差的基础上，力争获得超越业绩比较基准的收益。长期来看，本基金具有与业绩比较基准相近的风险水平。</w:t>
            </w:r>
          </w:p>
          <w:p w:rsidR="008A5A5D" w:rsidRPr="00C24ACA" w:rsidRDefault="008A5A5D">
            <w:pPr>
              <w:rPr>
                <w:rFonts w:eastAsiaTheme="minorEastAsia"/>
                <w:szCs w:val="21"/>
              </w:rPr>
            </w:pPr>
            <w:r w:rsidRPr="00C24ACA">
              <w:rPr>
                <w:rFonts w:eastAsiaTheme="minorEastAsia"/>
                <w:szCs w:val="21"/>
              </w:rPr>
              <w:t>本基金主要投资于全球高端消费品企业，需承担汇率风险、国家风险和高端消费品企业特有的风险。</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7" w:name="_Toc225498247"/>
      <w:bookmarkStart w:id="38" w:name="_Toc352255963"/>
      <w:bookmarkStart w:id="39" w:name="_Toc352256031"/>
      <w:bookmarkStart w:id="40" w:name="_Toc352331209"/>
      <w:bookmarkStart w:id="41" w:name="_Toc390164795"/>
      <w:bookmarkStart w:id="42" w:name="_Toc48662900"/>
      <w:r w:rsidRPr="0087359D">
        <w:rPr>
          <w:rFonts w:ascii="宋体" w:hAnsi="宋体"/>
          <w:kern w:val="0"/>
          <w:sz w:val="21"/>
          <w:szCs w:val="21"/>
        </w:rPr>
        <w:t>2.3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w:t>
      </w:r>
      <w:r w:rsidRPr="00A317EA">
        <w:rPr>
          <w:rFonts w:ascii="Times New Roman" w:eastAsiaTheme="minorEastAsia" w:hAnsi="Times New Roman"/>
          <w:kern w:val="0"/>
          <w:sz w:val="21"/>
          <w:szCs w:val="21"/>
        </w:rPr>
        <w:t>管理</w:t>
      </w:r>
      <w:r w:rsidRPr="00C24ACA">
        <w:rPr>
          <w:rFonts w:ascii="Times New Roman" w:eastAsiaTheme="minorEastAsia" w:hAnsi="Times New Roman"/>
          <w:kern w:val="0"/>
          <w:sz w:val="21"/>
          <w:szCs w:val="21"/>
        </w:rPr>
        <w:t>人和基金托管人</w:t>
      </w:r>
      <w:bookmarkEnd w:id="37"/>
      <w:bookmarkEnd w:id="38"/>
      <w:bookmarkEnd w:id="39"/>
      <w:bookmarkEnd w:id="40"/>
      <w:bookmarkEnd w:id="41"/>
      <w:bookmarkEnd w:id="4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项目</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基金管理人</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基金托管人</w:t>
            </w:r>
          </w:p>
        </w:tc>
      </w:tr>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rPr>
                <w:rFonts w:eastAsiaTheme="minorEastAsia"/>
                <w:color w:val="000000"/>
                <w:kern w:val="0"/>
                <w:szCs w:val="21"/>
              </w:rPr>
            </w:pPr>
            <w:r w:rsidRPr="00C24ACA">
              <w:rPr>
                <w:rFonts w:eastAsiaTheme="minorEastAsia"/>
                <w:color w:val="000000"/>
                <w:kern w:val="0"/>
                <w:szCs w:val="21"/>
              </w:rPr>
              <w:t>名称</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易方达基金管理有限公司</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中国银行股份有限公司</w:t>
            </w:r>
          </w:p>
        </w:tc>
      </w:tr>
      <w:tr w:rsidR="008A5A5D" w:rsidRPr="00C24ACA" w:rsidTr="006D141C">
        <w:tc>
          <w:tcPr>
            <w:tcW w:w="1260" w:type="dxa"/>
            <w:vMerge w:val="restart"/>
            <w:vAlign w:val="center"/>
          </w:tcPr>
          <w:p w:rsidR="008A5A5D" w:rsidRPr="00C24ACA" w:rsidRDefault="008A5A5D">
            <w:pPr>
              <w:autoSpaceDE w:val="0"/>
              <w:autoSpaceDN w:val="0"/>
              <w:adjustRightInd w:val="0"/>
              <w:spacing w:before="29" w:line="360" w:lineRule="auto"/>
              <w:ind w:left="15"/>
              <w:rPr>
                <w:rFonts w:eastAsiaTheme="minorEastAsia"/>
                <w:color w:val="000000"/>
                <w:kern w:val="0"/>
                <w:szCs w:val="21"/>
              </w:rPr>
            </w:pPr>
            <w:r w:rsidRPr="00C24ACA">
              <w:rPr>
                <w:rFonts w:eastAsiaTheme="minorEastAsia"/>
                <w:color w:val="000000"/>
                <w:szCs w:val="21"/>
              </w:rPr>
              <w:t>信息披露负责人</w:t>
            </w:r>
          </w:p>
        </w:tc>
        <w:tc>
          <w:tcPr>
            <w:tcW w:w="1371" w:type="dxa"/>
            <w:vAlign w:val="center"/>
          </w:tcPr>
          <w:p w:rsidR="008A5A5D" w:rsidRPr="00C24ACA" w:rsidRDefault="008A5A5D">
            <w:pPr>
              <w:jc w:val="center"/>
              <w:rPr>
                <w:rFonts w:eastAsiaTheme="minorEastAsia"/>
                <w:color w:val="000000"/>
                <w:szCs w:val="21"/>
              </w:rPr>
            </w:pPr>
            <w:r w:rsidRPr="00C24ACA">
              <w:rPr>
                <w:rFonts w:eastAsiaTheme="minorEastAsia"/>
                <w:color w:val="000000"/>
                <w:szCs w:val="21"/>
              </w:rPr>
              <w:t>姓名</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张南</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许俊</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联系电话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020-85102688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010-66594319</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电子邮箱</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service@efunds.com.cn</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fcid@bankofchina.com</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客户服务电话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400 881 8088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95566</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传真</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020-85104666</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010-66594942</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注册地址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广东省珠海市横琴新区宝华路</w:t>
            </w:r>
            <w:r w:rsidRPr="00C24ACA">
              <w:rPr>
                <w:rFonts w:eastAsiaTheme="minorEastAsia"/>
                <w:color w:val="000000"/>
                <w:kern w:val="0"/>
                <w:szCs w:val="21"/>
              </w:rPr>
              <w:t>6</w:t>
            </w:r>
            <w:r w:rsidRPr="00C24ACA">
              <w:rPr>
                <w:rFonts w:eastAsiaTheme="minorEastAsia"/>
                <w:color w:val="000000"/>
                <w:kern w:val="0"/>
                <w:szCs w:val="21"/>
              </w:rPr>
              <w:t>号</w:t>
            </w:r>
            <w:r w:rsidRPr="00C24ACA">
              <w:rPr>
                <w:rFonts w:eastAsiaTheme="minorEastAsia"/>
                <w:color w:val="000000"/>
                <w:kern w:val="0"/>
                <w:szCs w:val="21"/>
              </w:rPr>
              <w:t>105</w:t>
            </w:r>
            <w:r w:rsidRPr="00C24ACA">
              <w:rPr>
                <w:rFonts w:eastAsiaTheme="minorEastAsia"/>
                <w:color w:val="000000"/>
                <w:kern w:val="0"/>
                <w:szCs w:val="21"/>
              </w:rPr>
              <w:t>室－</w:t>
            </w:r>
            <w:r w:rsidRPr="00C24ACA">
              <w:rPr>
                <w:rFonts w:eastAsiaTheme="minorEastAsia"/>
                <w:color w:val="000000"/>
                <w:kern w:val="0"/>
                <w:szCs w:val="21"/>
              </w:rPr>
              <w:t>42891</w:t>
            </w:r>
            <w:r w:rsidRPr="00C24ACA">
              <w:rPr>
                <w:rFonts w:eastAsiaTheme="minorEastAsia"/>
                <w:color w:val="000000"/>
                <w:kern w:val="0"/>
                <w:szCs w:val="21"/>
              </w:rPr>
              <w:t>（集中办公区）</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北京市西城区复兴门内大街</w:t>
            </w:r>
            <w:r w:rsidRPr="00C24ACA">
              <w:rPr>
                <w:rFonts w:eastAsiaTheme="minorEastAsia"/>
                <w:color w:val="000000"/>
                <w:kern w:val="0"/>
                <w:szCs w:val="21"/>
              </w:rPr>
              <w:t>1</w:t>
            </w:r>
            <w:r w:rsidRPr="00C24ACA">
              <w:rPr>
                <w:rFonts w:eastAsiaTheme="minorEastAsia"/>
                <w:color w:val="000000"/>
                <w:kern w:val="0"/>
                <w:szCs w:val="21"/>
              </w:rPr>
              <w:t>号</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办公地址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广州市天河区珠江新城珠江东路</w:t>
            </w:r>
            <w:r w:rsidRPr="00C24ACA">
              <w:rPr>
                <w:rFonts w:eastAsiaTheme="minorEastAsia"/>
                <w:color w:val="000000"/>
                <w:kern w:val="0"/>
                <w:szCs w:val="21"/>
              </w:rPr>
              <w:t>30</w:t>
            </w:r>
            <w:r w:rsidRPr="00C24ACA">
              <w:rPr>
                <w:rFonts w:eastAsiaTheme="minorEastAsia"/>
                <w:color w:val="000000"/>
                <w:kern w:val="0"/>
                <w:szCs w:val="21"/>
              </w:rPr>
              <w:t>号广州银行大厦</w:t>
            </w:r>
            <w:r w:rsidRPr="00C24ACA">
              <w:rPr>
                <w:rFonts w:eastAsiaTheme="minorEastAsia"/>
                <w:color w:val="000000"/>
                <w:kern w:val="0"/>
                <w:szCs w:val="21"/>
              </w:rPr>
              <w:t>40-43</w:t>
            </w:r>
            <w:r w:rsidRPr="00C24ACA">
              <w:rPr>
                <w:rFonts w:eastAsiaTheme="minorEastAsia"/>
                <w:color w:val="000000"/>
                <w:kern w:val="0"/>
                <w:szCs w:val="21"/>
              </w:rPr>
              <w:t>楼</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北京市西城区复兴门内大街</w:t>
            </w:r>
            <w:r w:rsidRPr="00C24ACA">
              <w:rPr>
                <w:rFonts w:eastAsiaTheme="minorEastAsia"/>
                <w:color w:val="000000"/>
                <w:kern w:val="0"/>
                <w:szCs w:val="21"/>
              </w:rPr>
              <w:t>1</w:t>
            </w:r>
            <w:r w:rsidRPr="00C24ACA">
              <w:rPr>
                <w:rFonts w:eastAsiaTheme="minorEastAsia"/>
                <w:color w:val="000000"/>
                <w:kern w:val="0"/>
                <w:szCs w:val="21"/>
              </w:rPr>
              <w:t>号</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邮政编码</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510620</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100818</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法定代表人</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刘晓艳</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刘连舸</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43" w:name="_Toc224618346"/>
      <w:bookmarkStart w:id="44" w:name="_Toc235605676"/>
      <w:bookmarkStart w:id="45" w:name="_Toc286929724"/>
      <w:bookmarkStart w:id="46" w:name="_Toc352255964"/>
      <w:bookmarkStart w:id="47" w:name="_Toc352256032"/>
      <w:bookmarkStart w:id="48" w:name="_Toc352331210"/>
      <w:bookmarkStart w:id="49" w:name="_Toc390164796"/>
      <w:bookmarkStart w:id="50" w:name="_Toc48662901"/>
      <w:r w:rsidRPr="0087359D">
        <w:rPr>
          <w:rFonts w:ascii="宋体" w:hAnsi="宋体"/>
          <w:kern w:val="0"/>
          <w:sz w:val="21"/>
          <w:szCs w:val="21"/>
        </w:rPr>
        <w:t>2.4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境外投资顾问和境外资产托管人</w:t>
      </w:r>
      <w:bookmarkEnd w:id="43"/>
      <w:bookmarkEnd w:id="44"/>
      <w:bookmarkEnd w:id="45"/>
      <w:bookmarkEnd w:id="46"/>
      <w:bookmarkEnd w:id="47"/>
      <w:bookmarkEnd w:id="48"/>
      <w:bookmarkEnd w:id="49"/>
      <w:bookmarkEnd w:id="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项目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境外投资顾问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境外资产托管人</w:t>
            </w:r>
          </w:p>
        </w:tc>
      </w:tr>
      <w:tr w:rsidR="008A5A5D" w:rsidRPr="00C24ACA" w:rsidTr="004B68EC">
        <w:trPr>
          <w:trHeight w:val="370"/>
        </w:trPr>
        <w:tc>
          <w:tcPr>
            <w:tcW w:w="900" w:type="dxa"/>
            <w:vMerge w:val="restart"/>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名称</w:t>
            </w: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英文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Bank of China</w:t>
            </w:r>
            <w:r w:rsidRPr="00C24ACA">
              <w:rPr>
                <w:rFonts w:eastAsiaTheme="minorEastAsia"/>
                <w:szCs w:val="21"/>
              </w:rPr>
              <w:t>（</w:t>
            </w:r>
            <w:r w:rsidRPr="00C24ACA">
              <w:rPr>
                <w:rFonts w:eastAsiaTheme="minorEastAsia"/>
                <w:szCs w:val="21"/>
              </w:rPr>
              <w:t>Hong Kong</w:t>
            </w:r>
            <w:r w:rsidRPr="00C24ACA">
              <w:rPr>
                <w:rFonts w:eastAsiaTheme="minorEastAsia"/>
                <w:szCs w:val="21"/>
              </w:rPr>
              <w:t>）</w:t>
            </w:r>
            <w:r w:rsidRPr="00C24ACA">
              <w:rPr>
                <w:rFonts w:eastAsiaTheme="minorEastAsia"/>
                <w:szCs w:val="21"/>
              </w:rPr>
              <w:t>Limited</w:t>
            </w:r>
          </w:p>
        </w:tc>
      </w:tr>
      <w:tr w:rsidR="008A5A5D" w:rsidRPr="00C24ACA" w:rsidTr="004B68EC">
        <w:trPr>
          <w:trHeight w:val="335"/>
        </w:trPr>
        <w:tc>
          <w:tcPr>
            <w:tcW w:w="900" w:type="dxa"/>
            <w:vMerge/>
            <w:vAlign w:val="center"/>
          </w:tcPr>
          <w:p w:rsidR="008A5A5D" w:rsidRPr="00C24ACA" w:rsidRDefault="008A5A5D" w:rsidP="004B68EC">
            <w:pPr>
              <w:jc w:val="center"/>
              <w:rPr>
                <w:rFonts w:eastAsiaTheme="minorEastAsia"/>
                <w:color w:val="000000"/>
                <w:szCs w:val="21"/>
              </w:rPr>
            </w:pP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中文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中国银行</w:t>
            </w:r>
            <w:r w:rsidRPr="00C24ACA">
              <w:rPr>
                <w:rFonts w:eastAsiaTheme="minorEastAsia"/>
                <w:szCs w:val="21"/>
              </w:rPr>
              <w:t>(</w:t>
            </w:r>
            <w:r w:rsidRPr="00C24ACA">
              <w:rPr>
                <w:rFonts w:eastAsiaTheme="minorEastAsia"/>
                <w:szCs w:val="21"/>
              </w:rPr>
              <w:t>香港</w:t>
            </w:r>
            <w:r w:rsidRPr="00C24ACA">
              <w:rPr>
                <w:rFonts w:eastAsiaTheme="minorEastAsia"/>
                <w:szCs w:val="21"/>
              </w:rPr>
              <w:t>)</w:t>
            </w:r>
            <w:r w:rsidRPr="00C24ACA">
              <w:rPr>
                <w:rFonts w:eastAsiaTheme="minorEastAsia"/>
                <w:szCs w:val="21"/>
              </w:rPr>
              <w:t>有限公司</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注册地址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香港中环花园道一号，中银大厦</w:t>
            </w:r>
            <w:r w:rsidRPr="00C24ACA">
              <w:rPr>
                <w:rFonts w:eastAsiaTheme="minorEastAsia"/>
                <w:szCs w:val="21"/>
              </w:rPr>
              <w:t>12</w:t>
            </w:r>
            <w:r w:rsidRPr="00C24ACA">
              <w:rPr>
                <w:rFonts w:eastAsiaTheme="minorEastAsia"/>
                <w:szCs w:val="21"/>
              </w:rPr>
              <w:t>楼</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办公地址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香港中环花园道一号，中银大厦</w:t>
            </w:r>
            <w:r w:rsidRPr="00C24ACA">
              <w:rPr>
                <w:rFonts w:eastAsiaTheme="minorEastAsia"/>
                <w:szCs w:val="21"/>
              </w:rPr>
              <w:t>32</w:t>
            </w:r>
            <w:r w:rsidRPr="00C24ACA">
              <w:rPr>
                <w:rFonts w:eastAsiaTheme="minorEastAsia"/>
                <w:szCs w:val="21"/>
              </w:rPr>
              <w:t>楼</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邮政编码</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51" w:name="_Toc225498248"/>
      <w:bookmarkStart w:id="52" w:name="_Toc352255965"/>
      <w:bookmarkStart w:id="53" w:name="_Toc352256033"/>
      <w:bookmarkStart w:id="54" w:name="_Toc352331211"/>
      <w:bookmarkStart w:id="55" w:name="_Toc390164797"/>
      <w:bookmarkStart w:id="56" w:name="_Toc48662902"/>
      <w:r w:rsidRPr="0087359D">
        <w:rPr>
          <w:rFonts w:ascii="宋体" w:hAnsi="宋体"/>
          <w:kern w:val="0"/>
          <w:sz w:val="21"/>
          <w:szCs w:val="21"/>
        </w:rPr>
        <w:t>2.5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信息披露方式</w:t>
      </w:r>
      <w:bookmarkEnd w:id="51"/>
      <w:bookmarkEnd w:id="52"/>
      <w:bookmarkEnd w:id="53"/>
      <w:bookmarkEnd w:id="54"/>
      <w:bookmarkEnd w:id="55"/>
      <w:bookmarkEnd w:id="5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本基金选定的信息披露报纸名称</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证券日报</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登载基金</w:t>
            </w:r>
            <w:r w:rsidR="00930E85">
              <w:rPr>
                <w:rFonts w:eastAsiaTheme="minorEastAsia"/>
                <w:color w:val="000000"/>
                <w:szCs w:val="21"/>
              </w:rPr>
              <w:t>中期</w:t>
            </w:r>
            <w:r w:rsidRPr="00C24ACA">
              <w:rPr>
                <w:rFonts w:eastAsiaTheme="minorEastAsia"/>
                <w:color w:val="000000"/>
                <w:szCs w:val="21"/>
              </w:rPr>
              <w:t>报告正文的管理人互联网网址</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http://www.efunds.com.cn</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基金</w:t>
            </w:r>
            <w:r w:rsidR="00930E85">
              <w:rPr>
                <w:rFonts w:eastAsiaTheme="minorEastAsia"/>
                <w:color w:val="000000"/>
                <w:szCs w:val="21"/>
              </w:rPr>
              <w:t>中期</w:t>
            </w:r>
            <w:r w:rsidRPr="00C24ACA">
              <w:rPr>
                <w:rFonts w:eastAsiaTheme="minorEastAsia"/>
                <w:color w:val="000000"/>
                <w:szCs w:val="21"/>
              </w:rPr>
              <w:t>报告备置地点</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广州市天河区珠江新城珠江东路</w:t>
            </w:r>
            <w:r w:rsidRPr="00C24ACA">
              <w:rPr>
                <w:rFonts w:eastAsiaTheme="minorEastAsia"/>
                <w:color w:val="000000"/>
                <w:szCs w:val="21"/>
              </w:rPr>
              <w:t>30</w:t>
            </w:r>
            <w:r w:rsidRPr="00C24ACA">
              <w:rPr>
                <w:rFonts w:eastAsiaTheme="minorEastAsia"/>
                <w:color w:val="000000"/>
                <w:szCs w:val="21"/>
              </w:rPr>
              <w:t>号广州银行大厦</w:t>
            </w:r>
            <w:r w:rsidRPr="00C24ACA">
              <w:rPr>
                <w:rFonts w:eastAsiaTheme="minorEastAsia"/>
                <w:color w:val="000000"/>
                <w:szCs w:val="21"/>
              </w:rPr>
              <w:t>43</w:t>
            </w:r>
            <w:r w:rsidRPr="00C24ACA">
              <w:rPr>
                <w:rFonts w:eastAsiaTheme="minorEastAsia"/>
                <w:color w:val="000000"/>
                <w:szCs w:val="21"/>
              </w:rPr>
              <w:t>楼</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57" w:name="_Toc225498249"/>
      <w:bookmarkStart w:id="58" w:name="_Toc352255966"/>
      <w:bookmarkStart w:id="59" w:name="_Toc352256034"/>
      <w:bookmarkStart w:id="60" w:name="_Toc352331212"/>
      <w:bookmarkStart w:id="61" w:name="_Toc390164798"/>
      <w:bookmarkStart w:id="62" w:name="_Toc48662903"/>
      <w:r w:rsidRPr="0087359D">
        <w:rPr>
          <w:rFonts w:ascii="宋体" w:hAnsi="宋体"/>
          <w:kern w:val="0"/>
          <w:sz w:val="21"/>
          <w:szCs w:val="21"/>
        </w:rPr>
        <w:t>2.6</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其他相关资料</w:t>
      </w:r>
      <w:bookmarkEnd w:id="57"/>
      <w:bookmarkEnd w:id="58"/>
      <w:bookmarkEnd w:id="59"/>
      <w:bookmarkEnd w:id="60"/>
      <w:bookmarkEnd w:id="61"/>
      <w:bookmarkEnd w:id="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8A5A5D" w:rsidRPr="00C24ACA" w:rsidTr="00862636">
        <w:tc>
          <w:tcPr>
            <w:tcW w:w="1951"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项目</w:t>
            </w:r>
          </w:p>
        </w:tc>
        <w:tc>
          <w:tcPr>
            <w:tcW w:w="3260"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名称</w:t>
            </w:r>
          </w:p>
        </w:tc>
        <w:tc>
          <w:tcPr>
            <w:tcW w:w="4075"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办公地址</w:t>
            </w:r>
          </w:p>
        </w:tc>
      </w:tr>
      <w:tr w:rsidR="008A5A5D" w:rsidRPr="00C24ACA" w:rsidTr="00862636">
        <w:tc>
          <w:tcPr>
            <w:tcW w:w="1951" w:type="dxa"/>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注册登记机构</w:t>
            </w:r>
          </w:p>
        </w:tc>
        <w:tc>
          <w:tcPr>
            <w:tcW w:w="3260" w:type="dxa"/>
            <w:vAlign w:val="bottom"/>
          </w:tcPr>
          <w:p w:rsidR="008A5A5D" w:rsidRPr="00C24ACA" w:rsidRDefault="008A5A5D" w:rsidP="00EC549A">
            <w:pPr>
              <w:tabs>
                <w:tab w:val="left" w:pos="1740"/>
              </w:tabs>
              <w:jc w:val="left"/>
              <w:rPr>
                <w:rFonts w:eastAsiaTheme="minorEastAsia"/>
                <w:color w:val="000000"/>
                <w:szCs w:val="21"/>
              </w:rPr>
            </w:pPr>
            <w:r w:rsidRPr="00C24ACA">
              <w:rPr>
                <w:rFonts w:eastAsiaTheme="minorEastAsia"/>
                <w:color w:val="000000"/>
                <w:szCs w:val="21"/>
              </w:rPr>
              <w:t>易方达基金管理有限公司</w:t>
            </w:r>
          </w:p>
        </w:tc>
        <w:tc>
          <w:tcPr>
            <w:tcW w:w="4075" w:type="dxa"/>
            <w:vAlign w:val="bottom"/>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广州市天河区珠江新城珠江东路</w:t>
            </w:r>
            <w:r w:rsidRPr="00C24ACA">
              <w:rPr>
                <w:rFonts w:eastAsiaTheme="minorEastAsia"/>
                <w:color w:val="000000"/>
                <w:szCs w:val="21"/>
              </w:rPr>
              <w:t>30</w:t>
            </w:r>
            <w:r w:rsidRPr="00C24ACA">
              <w:rPr>
                <w:rFonts w:eastAsiaTheme="minorEastAsia"/>
                <w:color w:val="000000"/>
                <w:szCs w:val="21"/>
              </w:rPr>
              <w:t>号广州银行大厦</w:t>
            </w:r>
            <w:r w:rsidRPr="00C24ACA">
              <w:rPr>
                <w:rFonts w:eastAsiaTheme="minorEastAsia"/>
                <w:color w:val="000000"/>
                <w:szCs w:val="21"/>
              </w:rPr>
              <w:t>40-43</w:t>
            </w:r>
            <w:r w:rsidRPr="00C24ACA">
              <w:rPr>
                <w:rFonts w:eastAsiaTheme="minorEastAsia"/>
                <w:color w:val="000000"/>
                <w:szCs w:val="21"/>
              </w:rPr>
              <w:t>楼</w:t>
            </w:r>
          </w:p>
        </w:tc>
      </w:tr>
    </w:tbl>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63" w:name="_Toc352255967"/>
      <w:bookmarkStart w:id="64" w:name="_Toc352256035"/>
      <w:bookmarkStart w:id="65" w:name="_Toc352331213"/>
      <w:bookmarkStart w:id="66" w:name="_Toc390164799"/>
      <w:bookmarkStart w:id="67" w:name="_Toc48662904"/>
      <w:r w:rsidRPr="000C6CCD">
        <w:rPr>
          <w:rFonts w:ascii="宋体" w:hAnsi="宋体"/>
          <w:bCs w:val="0"/>
          <w:color w:val="000000"/>
          <w:sz w:val="21"/>
          <w:szCs w:val="21"/>
        </w:rPr>
        <w:t>3</w:t>
      </w:r>
      <w:r w:rsidR="00643DBD">
        <w:rPr>
          <w:rFonts w:ascii="Times New Roman" w:hAnsi="Times New Roman"/>
          <w:bCs w:val="0"/>
          <w:color w:val="000000"/>
          <w:sz w:val="21"/>
          <w:szCs w:val="21"/>
        </w:rPr>
        <w:t xml:space="preserve">     </w:t>
      </w:r>
      <w:r w:rsidR="004C753B" w:rsidRPr="00A432E9">
        <w:rPr>
          <w:rFonts w:ascii="Times New Roman" w:hAnsi="Times New Roman"/>
          <w:bCs w:val="0"/>
          <w:color w:val="000000"/>
          <w:sz w:val="21"/>
          <w:szCs w:val="21"/>
        </w:rPr>
        <w:t>主要财务指标和</w:t>
      </w:r>
      <w:r w:rsidRPr="00A432E9">
        <w:rPr>
          <w:rFonts w:ascii="Times New Roman" w:hAnsi="Times New Roman"/>
          <w:bCs w:val="0"/>
          <w:color w:val="000000"/>
          <w:sz w:val="21"/>
          <w:szCs w:val="21"/>
        </w:rPr>
        <w:t>基金净值表现</w:t>
      </w:r>
      <w:bookmarkEnd w:id="63"/>
      <w:bookmarkEnd w:id="64"/>
      <w:bookmarkEnd w:id="65"/>
      <w:bookmarkEnd w:id="66"/>
      <w:bookmarkEnd w:id="67"/>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68" w:name="_Toc286996129"/>
      <w:bookmarkStart w:id="69" w:name="_Toc352255968"/>
      <w:bookmarkStart w:id="70" w:name="_Toc352256036"/>
      <w:bookmarkStart w:id="71" w:name="_Toc352331214"/>
      <w:bookmarkStart w:id="72" w:name="_Toc390164800"/>
      <w:bookmarkStart w:id="73" w:name="_Toc48662905"/>
      <w:r w:rsidRPr="0087359D">
        <w:rPr>
          <w:rFonts w:ascii="宋体" w:hAnsi="宋体"/>
          <w:kern w:val="0"/>
          <w:sz w:val="21"/>
          <w:szCs w:val="21"/>
        </w:rPr>
        <w:t>3.1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主要会计数据和财务指标</w:t>
      </w:r>
      <w:bookmarkEnd w:id="68"/>
      <w:bookmarkEnd w:id="69"/>
      <w:bookmarkEnd w:id="70"/>
      <w:bookmarkEnd w:id="71"/>
      <w:bookmarkEnd w:id="72"/>
      <w:bookmarkEnd w:id="73"/>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金额单位：人民币元</w:t>
      </w:r>
    </w:p>
    <w:tbl>
      <w:tblPr>
        <w:tblW w:w="93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D2230" w:rsidRPr="00C24ACA" w:rsidTr="005C3575">
        <w:trPr>
          <w:trHeight w:val="487"/>
        </w:trPr>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3.1.1</w:t>
            </w:r>
            <w:r w:rsidRPr="00C24ACA">
              <w:rPr>
                <w:rFonts w:eastAsiaTheme="minorEastAsia"/>
                <w:b/>
                <w:color w:val="000000"/>
                <w:szCs w:val="21"/>
              </w:rPr>
              <w:t>期间数据和指标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w:t>
            </w:r>
            <w:r w:rsidRPr="00C24ACA">
              <w:rPr>
                <w:rFonts w:eastAsiaTheme="minorEastAsia"/>
                <w:b/>
                <w:szCs w:val="21"/>
              </w:rPr>
              <w:t>2020</w:t>
            </w:r>
            <w:r w:rsidRPr="00C24ACA">
              <w:rPr>
                <w:rFonts w:eastAsiaTheme="minorEastAsia"/>
                <w:b/>
                <w:szCs w:val="21"/>
              </w:rPr>
              <w:t>年</w:t>
            </w:r>
            <w:r w:rsidRPr="00C24ACA">
              <w:rPr>
                <w:rFonts w:eastAsiaTheme="minorEastAsia"/>
                <w:b/>
                <w:szCs w:val="21"/>
              </w:rPr>
              <w:t>1</w:t>
            </w:r>
            <w:r w:rsidRPr="00C24ACA">
              <w:rPr>
                <w:rFonts w:eastAsiaTheme="minorEastAsia"/>
                <w:b/>
                <w:szCs w:val="21"/>
              </w:rPr>
              <w:t>月</w:t>
            </w:r>
            <w:r w:rsidRPr="00C24ACA">
              <w:rPr>
                <w:rFonts w:eastAsiaTheme="minorEastAsia"/>
                <w:b/>
                <w:szCs w:val="21"/>
              </w:rPr>
              <w:t>1</w:t>
            </w:r>
            <w:r w:rsidRPr="00C24ACA">
              <w:rPr>
                <w:rFonts w:eastAsiaTheme="minorEastAsia"/>
                <w:b/>
                <w:szCs w:val="21"/>
              </w:rPr>
              <w:t>日至</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p>
        </w:tc>
      </w:tr>
      <w:tr w:rsidR="001D2230" w:rsidRPr="00C24ACA" w:rsidTr="005C3575">
        <w:trPr>
          <w:trHeight w:val="487"/>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易方达标普消费品指数增强（</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易方达标普消费品指数增强（</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本期已实现收益</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-591,147.12</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-60,527.86</w:t>
            </w:r>
          </w:p>
        </w:tc>
      </w:tr>
      <w:tr w:rsidR="001D2230" w:rsidRPr="00C24ACA" w:rsidTr="005C3575">
        <w:trPr>
          <w:trHeight w:val="754"/>
        </w:trPr>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-2,630,408.38</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169,804.50</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加权平均基金份额本期利润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-0.1072</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0.0448</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本期加权平均净值利润率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-5.67%</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2.41%</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本期基金份额净值增长率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-3.82%</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-3.94%</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3.1.2</w:t>
            </w:r>
            <w:r w:rsidRPr="00C24ACA">
              <w:rPr>
                <w:rFonts w:eastAsiaTheme="minorEastAsia"/>
                <w:b/>
                <w:color w:val="000000"/>
                <w:szCs w:val="21"/>
              </w:rPr>
              <w:t>期末数据和指标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rPr>
          <w:trHeight w:val="373"/>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易方达标普消费品指数增强（</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A</w:t>
            </w:r>
          </w:p>
        </w:tc>
        <w:tc>
          <w:tcPr>
            <w:tcW w:w="2558"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易方达标普消费品指数增强（</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7,218,443.51</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4,586,707.19</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期末可供分配基金份额利润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0.3262</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0.8419</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期末基金资产净值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44,515,699.85</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10,894,335.93</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期末基金份额净值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2.012</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2.000</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3.1.3</w:t>
            </w:r>
            <w:r w:rsidRPr="00C24ACA">
              <w:rPr>
                <w:rFonts w:eastAsiaTheme="minorEastAsia"/>
                <w:b/>
                <w:color w:val="000000"/>
                <w:szCs w:val="21"/>
              </w:rPr>
              <w:t>累计期末指标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易方达标普消费品指数增强（</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易方达标普消费品指数增强（</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基金份额累计净值增长率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101.20%</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14.74%</w:t>
            </w:r>
          </w:p>
        </w:tc>
      </w:tr>
    </w:tbl>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所述基金业绩指标不包括持有人认购或交易基金的各项费用，计入费用后实际收益水平要低于所列数字。</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本期已实现收益指基金本期利息收入、投资收益、其他收入（不含公允价值变动收益）扣除相关费用后的余额，本期利润为本期已实现收益加上本期公允价值变动收益。</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3.</w:t>
      </w:r>
      <w:r w:rsidRPr="00C24ACA">
        <w:rPr>
          <w:rFonts w:eastAsiaTheme="minorEastAsia"/>
          <w:kern w:val="0"/>
          <w:szCs w:val="21"/>
        </w:rPr>
        <w:t>期末可供分配利润，为期末资产负债表中未分配利润与未分配利润中已实现部分的孰低数。</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74" w:name="_Toc225498252"/>
      <w:bookmarkStart w:id="75" w:name="_Toc352255969"/>
      <w:bookmarkStart w:id="76" w:name="_Toc352256037"/>
      <w:bookmarkStart w:id="77" w:name="_Toc352331215"/>
      <w:bookmarkStart w:id="78" w:name="_Toc390164801"/>
      <w:bookmarkStart w:id="79" w:name="_Toc48662906"/>
      <w:r w:rsidRPr="0087359D">
        <w:rPr>
          <w:rFonts w:ascii="宋体" w:hAnsi="宋体"/>
          <w:kern w:val="0"/>
          <w:sz w:val="21"/>
          <w:szCs w:val="21"/>
        </w:rPr>
        <w:t>3.2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基金净值表现</w:t>
      </w:r>
      <w:bookmarkEnd w:id="74"/>
      <w:bookmarkEnd w:id="75"/>
      <w:bookmarkEnd w:id="76"/>
      <w:bookmarkEnd w:id="77"/>
      <w:bookmarkEnd w:id="78"/>
      <w:bookmarkEnd w:id="79"/>
    </w:p>
    <w:p w:rsidR="008A5A5D" w:rsidRPr="00C24ACA" w:rsidRDefault="008A5A5D" w:rsidP="00635EA5">
      <w:pPr>
        <w:autoSpaceDE w:val="0"/>
        <w:autoSpaceDN w:val="0"/>
        <w:adjustRightInd w:val="0"/>
        <w:spacing w:line="360" w:lineRule="auto"/>
        <w:jc w:val="left"/>
        <w:rPr>
          <w:rFonts w:eastAsiaTheme="minorEastAsia"/>
          <w:b/>
          <w:color w:val="000000"/>
          <w:kern w:val="0"/>
          <w:szCs w:val="21"/>
        </w:rPr>
      </w:pPr>
      <w:r w:rsidRPr="00C24ACA">
        <w:rPr>
          <w:rFonts w:eastAsiaTheme="minorEastAsia"/>
          <w:b/>
          <w:color w:val="000000"/>
          <w:kern w:val="0"/>
          <w:szCs w:val="21"/>
        </w:rPr>
        <w:t xml:space="preserve">3.2.1 </w:t>
      </w:r>
      <w:r w:rsidRPr="00C24ACA">
        <w:rPr>
          <w:rFonts w:eastAsiaTheme="minorEastAsia"/>
          <w:b/>
          <w:color w:val="000000"/>
          <w:kern w:val="0"/>
          <w:szCs w:val="21"/>
        </w:rPr>
        <w:t>基金份额净值增长率及其与同期业绩比较基准收益率的比较</w:t>
      </w:r>
    </w:p>
    <w:p w:rsidR="00FC6E91" w:rsidRPr="00C24ACA" w:rsidRDefault="00FC6E91" w:rsidP="00FC6E91">
      <w:pPr>
        <w:pStyle w:val="21"/>
        <w:spacing w:line="360"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易方达标普消费品指数增强（</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BB5C1E">
        <w:tc>
          <w:tcPr>
            <w:tcW w:w="1620" w:type="dxa"/>
            <w:vAlign w:val="center"/>
          </w:tcPr>
          <w:p w:rsidR="00BB5C1E" w:rsidRDefault="00AF434F">
            <w:pPr>
              <w:jc w:val="left"/>
            </w:pPr>
            <w:r>
              <w:rPr>
                <w:rFonts w:eastAsiaTheme="minorEastAsia"/>
                <w:color w:val="000000"/>
                <w:szCs w:val="21"/>
              </w:rPr>
              <w:t>过去一个月</w:t>
            </w:r>
          </w:p>
        </w:tc>
        <w:tc>
          <w:tcPr>
            <w:tcW w:w="1350" w:type="dxa"/>
            <w:vAlign w:val="center"/>
          </w:tcPr>
          <w:p w:rsidR="00BB5C1E" w:rsidRDefault="00AF434F">
            <w:pPr>
              <w:jc w:val="center"/>
            </w:pPr>
            <w:r>
              <w:rPr>
                <w:rFonts w:eastAsiaTheme="minorEastAsia"/>
                <w:color w:val="000000"/>
                <w:szCs w:val="21"/>
              </w:rPr>
              <w:t>4.68%</w:t>
            </w:r>
          </w:p>
        </w:tc>
        <w:tc>
          <w:tcPr>
            <w:tcW w:w="1350" w:type="dxa"/>
            <w:vAlign w:val="center"/>
          </w:tcPr>
          <w:p w:rsidR="00BB5C1E" w:rsidRDefault="00AF434F">
            <w:pPr>
              <w:jc w:val="center"/>
            </w:pPr>
            <w:r>
              <w:rPr>
                <w:rFonts w:eastAsiaTheme="minorEastAsia"/>
                <w:color w:val="000000"/>
                <w:szCs w:val="21"/>
              </w:rPr>
              <w:t>1.75%</w:t>
            </w:r>
          </w:p>
        </w:tc>
        <w:tc>
          <w:tcPr>
            <w:tcW w:w="1350" w:type="dxa"/>
            <w:vAlign w:val="center"/>
          </w:tcPr>
          <w:p w:rsidR="00BB5C1E" w:rsidRDefault="00AF434F">
            <w:pPr>
              <w:jc w:val="center"/>
            </w:pPr>
            <w:r>
              <w:rPr>
                <w:rFonts w:eastAsiaTheme="minorEastAsia"/>
                <w:color w:val="000000"/>
                <w:szCs w:val="21"/>
              </w:rPr>
              <w:t>4.83%</w:t>
            </w:r>
          </w:p>
        </w:tc>
        <w:tc>
          <w:tcPr>
            <w:tcW w:w="1350" w:type="dxa"/>
            <w:vAlign w:val="center"/>
          </w:tcPr>
          <w:p w:rsidR="00BB5C1E" w:rsidRDefault="00AF434F">
            <w:pPr>
              <w:jc w:val="center"/>
            </w:pPr>
            <w:r>
              <w:rPr>
                <w:rFonts w:eastAsiaTheme="minorEastAsia"/>
                <w:color w:val="000000"/>
                <w:szCs w:val="21"/>
              </w:rPr>
              <w:t>2.07%</w:t>
            </w:r>
          </w:p>
        </w:tc>
        <w:tc>
          <w:tcPr>
            <w:tcW w:w="1350" w:type="dxa"/>
            <w:vAlign w:val="center"/>
          </w:tcPr>
          <w:p w:rsidR="00BB5C1E" w:rsidRDefault="00AF434F">
            <w:pPr>
              <w:jc w:val="center"/>
            </w:pPr>
            <w:r>
              <w:rPr>
                <w:rFonts w:eastAsiaTheme="minorEastAsia"/>
                <w:color w:val="000000"/>
                <w:szCs w:val="21"/>
              </w:rPr>
              <w:t>-0.15%</w:t>
            </w:r>
          </w:p>
        </w:tc>
        <w:tc>
          <w:tcPr>
            <w:tcW w:w="1350" w:type="dxa"/>
            <w:vAlign w:val="center"/>
          </w:tcPr>
          <w:p w:rsidR="00BB5C1E" w:rsidRDefault="00AF434F">
            <w:pPr>
              <w:jc w:val="center"/>
            </w:pPr>
            <w:r>
              <w:rPr>
                <w:rFonts w:eastAsiaTheme="minorEastAsia"/>
                <w:color w:val="000000"/>
                <w:szCs w:val="21"/>
              </w:rPr>
              <w:t>-0.32%</w:t>
            </w:r>
          </w:p>
        </w:tc>
      </w:tr>
      <w:tr w:rsidR="00BB5C1E">
        <w:tc>
          <w:tcPr>
            <w:tcW w:w="1620" w:type="dxa"/>
            <w:vAlign w:val="center"/>
          </w:tcPr>
          <w:p w:rsidR="00BB5C1E" w:rsidRDefault="00AF434F">
            <w:pPr>
              <w:jc w:val="left"/>
            </w:pPr>
            <w:r>
              <w:rPr>
                <w:rFonts w:eastAsiaTheme="minorEastAsia"/>
                <w:color w:val="000000"/>
                <w:szCs w:val="21"/>
              </w:rPr>
              <w:t>过去三个月</w:t>
            </w:r>
          </w:p>
        </w:tc>
        <w:tc>
          <w:tcPr>
            <w:tcW w:w="1350" w:type="dxa"/>
            <w:vAlign w:val="center"/>
          </w:tcPr>
          <w:p w:rsidR="00BB5C1E" w:rsidRDefault="00AF434F">
            <w:pPr>
              <w:jc w:val="center"/>
            </w:pPr>
            <w:r>
              <w:rPr>
                <w:rFonts w:eastAsiaTheme="minorEastAsia"/>
                <w:color w:val="000000"/>
                <w:szCs w:val="21"/>
              </w:rPr>
              <w:t>20.91%</w:t>
            </w:r>
          </w:p>
        </w:tc>
        <w:tc>
          <w:tcPr>
            <w:tcW w:w="1350" w:type="dxa"/>
            <w:vAlign w:val="center"/>
          </w:tcPr>
          <w:p w:rsidR="00BB5C1E" w:rsidRDefault="00AF434F">
            <w:pPr>
              <w:jc w:val="center"/>
            </w:pPr>
            <w:r>
              <w:rPr>
                <w:rFonts w:eastAsiaTheme="minorEastAsia"/>
                <w:color w:val="000000"/>
                <w:szCs w:val="21"/>
              </w:rPr>
              <w:t>1.91%</w:t>
            </w:r>
          </w:p>
        </w:tc>
        <w:tc>
          <w:tcPr>
            <w:tcW w:w="1350" w:type="dxa"/>
            <w:vAlign w:val="center"/>
          </w:tcPr>
          <w:p w:rsidR="00BB5C1E" w:rsidRDefault="00AF434F">
            <w:pPr>
              <w:jc w:val="center"/>
            </w:pPr>
            <w:r>
              <w:rPr>
                <w:rFonts w:eastAsiaTheme="minorEastAsia"/>
                <w:color w:val="000000"/>
                <w:szCs w:val="21"/>
              </w:rPr>
              <w:t>26.77%</w:t>
            </w:r>
          </w:p>
        </w:tc>
        <w:tc>
          <w:tcPr>
            <w:tcW w:w="1350" w:type="dxa"/>
            <w:vAlign w:val="center"/>
          </w:tcPr>
          <w:p w:rsidR="00BB5C1E" w:rsidRDefault="00AF434F">
            <w:pPr>
              <w:jc w:val="center"/>
            </w:pPr>
            <w:r>
              <w:rPr>
                <w:rFonts w:eastAsiaTheme="minorEastAsia"/>
                <w:color w:val="000000"/>
                <w:szCs w:val="21"/>
              </w:rPr>
              <w:t>2.54%</w:t>
            </w:r>
          </w:p>
        </w:tc>
        <w:tc>
          <w:tcPr>
            <w:tcW w:w="1350" w:type="dxa"/>
            <w:vAlign w:val="center"/>
          </w:tcPr>
          <w:p w:rsidR="00BB5C1E" w:rsidRDefault="00AF434F">
            <w:pPr>
              <w:jc w:val="center"/>
            </w:pPr>
            <w:r>
              <w:rPr>
                <w:rFonts w:eastAsiaTheme="minorEastAsia"/>
                <w:color w:val="000000"/>
                <w:szCs w:val="21"/>
              </w:rPr>
              <w:t>-5.86%</w:t>
            </w:r>
          </w:p>
        </w:tc>
        <w:tc>
          <w:tcPr>
            <w:tcW w:w="1350" w:type="dxa"/>
            <w:vAlign w:val="center"/>
          </w:tcPr>
          <w:p w:rsidR="00BB5C1E" w:rsidRDefault="00AF434F">
            <w:pPr>
              <w:jc w:val="center"/>
            </w:pPr>
            <w:r>
              <w:rPr>
                <w:rFonts w:eastAsiaTheme="minorEastAsia"/>
                <w:color w:val="000000"/>
                <w:szCs w:val="21"/>
              </w:rPr>
              <w:t>-0.63%</w:t>
            </w:r>
          </w:p>
        </w:tc>
      </w:tr>
      <w:tr w:rsidR="00BB5C1E">
        <w:tc>
          <w:tcPr>
            <w:tcW w:w="1620" w:type="dxa"/>
            <w:vAlign w:val="center"/>
          </w:tcPr>
          <w:p w:rsidR="00BB5C1E" w:rsidRDefault="00AF434F">
            <w:pPr>
              <w:jc w:val="left"/>
            </w:pPr>
            <w:r>
              <w:rPr>
                <w:rFonts w:eastAsiaTheme="minorEastAsia"/>
                <w:color w:val="000000"/>
                <w:szCs w:val="21"/>
              </w:rPr>
              <w:t>过去六个月</w:t>
            </w:r>
          </w:p>
        </w:tc>
        <w:tc>
          <w:tcPr>
            <w:tcW w:w="1350" w:type="dxa"/>
            <w:vAlign w:val="center"/>
          </w:tcPr>
          <w:p w:rsidR="00BB5C1E" w:rsidRDefault="00AF434F">
            <w:pPr>
              <w:jc w:val="center"/>
            </w:pPr>
            <w:r>
              <w:rPr>
                <w:rFonts w:eastAsiaTheme="minorEastAsia"/>
                <w:color w:val="000000"/>
                <w:szCs w:val="21"/>
              </w:rPr>
              <w:t>-3.82%</w:t>
            </w:r>
          </w:p>
        </w:tc>
        <w:tc>
          <w:tcPr>
            <w:tcW w:w="1350" w:type="dxa"/>
            <w:vAlign w:val="center"/>
          </w:tcPr>
          <w:p w:rsidR="00BB5C1E" w:rsidRDefault="00AF434F">
            <w:pPr>
              <w:jc w:val="center"/>
            </w:pPr>
            <w:r>
              <w:rPr>
                <w:rFonts w:eastAsiaTheme="minorEastAsia"/>
                <w:color w:val="000000"/>
                <w:szCs w:val="21"/>
              </w:rPr>
              <w:t>2.50%</w:t>
            </w:r>
          </w:p>
        </w:tc>
        <w:tc>
          <w:tcPr>
            <w:tcW w:w="1350" w:type="dxa"/>
            <w:vAlign w:val="center"/>
          </w:tcPr>
          <w:p w:rsidR="00BB5C1E" w:rsidRDefault="00AF434F">
            <w:pPr>
              <w:jc w:val="center"/>
            </w:pPr>
            <w:r>
              <w:rPr>
                <w:rFonts w:eastAsiaTheme="minorEastAsia"/>
                <w:color w:val="000000"/>
                <w:szCs w:val="21"/>
              </w:rPr>
              <w:t>-7.94%</w:t>
            </w:r>
          </w:p>
        </w:tc>
        <w:tc>
          <w:tcPr>
            <w:tcW w:w="1350" w:type="dxa"/>
            <w:vAlign w:val="center"/>
          </w:tcPr>
          <w:p w:rsidR="00BB5C1E" w:rsidRDefault="00AF434F">
            <w:pPr>
              <w:jc w:val="center"/>
            </w:pPr>
            <w:r>
              <w:rPr>
                <w:rFonts w:eastAsiaTheme="minorEastAsia"/>
                <w:color w:val="000000"/>
                <w:szCs w:val="21"/>
              </w:rPr>
              <w:t>3.01%</w:t>
            </w:r>
          </w:p>
        </w:tc>
        <w:tc>
          <w:tcPr>
            <w:tcW w:w="1350" w:type="dxa"/>
            <w:vAlign w:val="center"/>
          </w:tcPr>
          <w:p w:rsidR="00BB5C1E" w:rsidRDefault="00AF434F">
            <w:pPr>
              <w:jc w:val="center"/>
            </w:pPr>
            <w:r>
              <w:rPr>
                <w:rFonts w:eastAsiaTheme="minorEastAsia"/>
                <w:color w:val="000000"/>
                <w:szCs w:val="21"/>
              </w:rPr>
              <w:t>4.12%</w:t>
            </w:r>
          </w:p>
        </w:tc>
        <w:tc>
          <w:tcPr>
            <w:tcW w:w="1350" w:type="dxa"/>
            <w:vAlign w:val="center"/>
          </w:tcPr>
          <w:p w:rsidR="00BB5C1E" w:rsidRDefault="00AF434F">
            <w:pPr>
              <w:jc w:val="center"/>
            </w:pPr>
            <w:r>
              <w:rPr>
                <w:rFonts w:eastAsiaTheme="minorEastAsia"/>
                <w:color w:val="000000"/>
                <w:szCs w:val="21"/>
              </w:rPr>
              <w:t>-0.51%</w:t>
            </w:r>
          </w:p>
        </w:tc>
      </w:tr>
      <w:tr w:rsidR="00BB5C1E">
        <w:tc>
          <w:tcPr>
            <w:tcW w:w="1620" w:type="dxa"/>
            <w:vAlign w:val="center"/>
          </w:tcPr>
          <w:p w:rsidR="00BB5C1E" w:rsidRDefault="00AF434F">
            <w:pPr>
              <w:jc w:val="left"/>
            </w:pPr>
            <w:r>
              <w:rPr>
                <w:rFonts w:eastAsiaTheme="minorEastAsia"/>
                <w:color w:val="000000"/>
                <w:szCs w:val="21"/>
              </w:rPr>
              <w:t>过去一年</w:t>
            </w:r>
          </w:p>
        </w:tc>
        <w:tc>
          <w:tcPr>
            <w:tcW w:w="1350" w:type="dxa"/>
            <w:vAlign w:val="center"/>
          </w:tcPr>
          <w:p w:rsidR="00BB5C1E" w:rsidRDefault="00AF434F">
            <w:pPr>
              <w:jc w:val="center"/>
            </w:pPr>
            <w:r>
              <w:rPr>
                <w:rFonts w:eastAsiaTheme="minorEastAsia"/>
                <w:color w:val="000000"/>
                <w:szCs w:val="21"/>
              </w:rPr>
              <w:t>5.29%</w:t>
            </w:r>
          </w:p>
        </w:tc>
        <w:tc>
          <w:tcPr>
            <w:tcW w:w="1350" w:type="dxa"/>
            <w:vAlign w:val="center"/>
          </w:tcPr>
          <w:p w:rsidR="00BB5C1E" w:rsidRDefault="00AF434F">
            <w:pPr>
              <w:jc w:val="center"/>
            </w:pPr>
            <w:r>
              <w:rPr>
                <w:rFonts w:eastAsiaTheme="minorEastAsia"/>
                <w:color w:val="000000"/>
                <w:szCs w:val="21"/>
              </w:rPr>
              <w:t>1.87%</w:t>
            </w:r>
          </w:p>
        </w:tc>
        <w:tc>
          <w:tcPr>
            <w:tcW w:w="1350" w:type="dxa"/>
            <w:vAlign w:val="center"/>
          </w:tcPr>
          <w:p w:rsidR="00BB5C1E" w:rsidRDefault="00AF434F">
            <w:pPr>
              <w:jc w:val="center"/>
            </w:pPr>
            <w:r>
              <w:rPr>
                <w:rFonts w:eastAsiaTheme="minorEastAsia"/>
                <w:color w:val="000000"/>
                <w:szCs w:val="21"/>
              </w:rPr>
              <w:t>2.84%</w:t>
            </w:r>
          </w:p>
        </w:tc>
        <w:tc>
          <w:tcPr>
            <w:tcW w:w="1350" w:type="dxa"/>
            <w:vAlign w:val="center"/>
          </w:tcPr>
          <w:p w:rsidR="00BB5C1E" w:rsidRDefault="00AF434F">
            <w:pPr>
              <w:jc w:val="center"/>
            </w:pPr>
            <w:r>
              <w:rPr>
                <w:rFonts w:eastAsiaTheme="minorEastAsia"/>
                <w:color w:val="000000"/>
                <w:szCs w:val="21"/>
              </w:rPr>
              <w:t>2.21%</w:t>
            </w:r>
          </w:p>
        </w:tc>
        <w:tc>
          <w:tcPr>
            <w:tcW w:w="1350" w:type="dxa"/>
            <w:vAlign w:val="center"/>
          </w:tcPr>
          <w:p w:rsidR="00BB5C1E" w:rsidRDefault="00AF434F">
            <w:pPr>
              <w:jc w:val="center"/>
            </w:pPr>
            <w:r>
              <w:rPr>
                <w:rFonts w:eastAsiaTheme="minorEastAsia"/>
                <w:color w:val="000000"/>
                <w:szCs w:val="21"/>
              </w:rPr>
              <w:t>2.45%</w:t>
            </w:r>
          </w:p>
        </w:tc>
        <w:tc>
          <w:tcPr>
            <w:tcW w:w="1350" w:type="dxa"/>
            <w:vAlign w:val="center"/>
          </w:tcPr>
          <w:p w:rsidR="00BB5C1E" w:rsidRDefault="00AF434F">
            <w:pPr>
              <w:jc w:val="center"/>
            </w:pPr>
            <w:r>
              <w:rPr>
                <w:rFonts w:eastAsiaTheme="minorEastAsia"/>
                <w:color w:val="000000"/>
                <w:szCs w:val="21"/>
              </w:rPr>
              <w:t>-0.34%</w:t>
            </w:r>
          </w:p>
        </w:tc>
      </w:tr>
      <w:tr w:rsidR="00BB5C1E">
        <w:tc>
          <w:tcPr>
            <w:tcW w:w="1620" w:type="dxa"/>
            <w:vAlign w:val="center"/>
          </w:tcPr>
          <w:p w:rsidR="00BB5C1E" w:rsidRDefault="00AF434F">
            <w:pPr>
              <w:jc w:val="left"/>
            </w:pPr>
            <w:r>
              <w:rPr>
                <w:rFonts w:eastAsiaTheme="minorEastAsia"/>
                <w:color w:val="000000"/>
                <w:szCs w:val="21"/>
              </w:rPr>
              <w:t>过去三年</w:t>
            </w:r>
          </w:p>
        </w:tc>
        <w:tc>
          <w:tcPr>
            <w:tcW w:w="1350" w:type="dxa"/>
            <w:vAlign w:val="center"/>
          </w:tcPr>
          <w:p w:rsidR="00BB5C1E" w:rsidRDefault="00AF434F">
            <w:pPr>
              <w:jc w:val="center"/>
            </w:pPr>
            <w:r>
              <w:rPr>
                <w:rFonts w:eastAsiaTheme="minorEastAsia"/>
                <w:color w:val="000000"/>
                <w:szCs w:val="21"/>
              </w:rPr>
              <w:t>23.36%</w:t>
            </w:r>
          </w:p>
        </w:tc>
        <w:tc>
          <w:tcPr>
            <w:tcW w:w="1350" w:type="dxa"/>
            <w:vAlign w:val="center"/>
          </w:tcPr>
          <w:p w:rsidR="00BB5C1E" w:rsidRDefault="00AF434F">
            <w:pPr>
              <w:jc w:val="center"/>
            </w:pPr>
            <w:r>
              <w:rPr>
                <w:rFonts w:eastAsiaTheme="minorEastAsia"/>
                <w:color w:val="000000"/>
                <w:szCs w:val="21"/>
              </w:rPr>
              <w:t>1.31%</w:t>
            </w:r>
          </w:p>
        </w:tc>
        <w:tc>
          <w:tcPr>
            <w:tcW w:w="1350" w:type="dxa"/>
            <w:vAlign w:val="center"/>
          </w:tcPr>
          <w:p w:rsidR="00BB5C1E" w:rsidRDefault="00AF434F">
            <w:pPr>
              <w:jc w:val="center"/>
            </w:pPr>
            <w:r>
              <w:rPr>
                <w:rFonts w:eastAsiaTheme="minorEastAsia"/>
                <w:color w:val="000000"/>
                <w:szCs w:val="21"/>
              </w:rPr>
              <w:t>26.43%</w:t>
            </w:r>
          </w:p>
        </w:tc>
        <w:tc>
          <w:tcPr>
            <w:tcW w:w="1350" w:type="dxa"/>
            <w:vAlign w:val="center"/>
          </w:tcPr>
          <w:p w:rsidR="00BB5C1E" w:rsidRDefault="00AF434F">
            <w:pPr>
              <w:jc w:val="center"/>
            </w:pPr>
            <w:r>
              <w:rPr>
                <w:rFonts w:eastAsiaTheme="minorEastAsia"/>
                <w:color w:val="000000"/>
                <w:szCs w:val="21"/>
              </w:rPr>
              <w:t>1.50%</w:t>
            </w:r>
          </w:p>
        </w:tc>
        <w:tc>
          <w:tcPr>
            <w:tcW w:w="1350" w:type="dxa"/>
            <w:vAlign w:val="center"/>
          </w:tcPr>
          <w:p w:rsidR="00BB5C1E" w:rsidRDefault="00AF434F">
            <w:pPr>
              <w:jc w:val="center"/>
            </w:pPr>
            <w:r>
              <w:rPr>
                <w:rFonts w:eastAsiaTheme="minorEastAsia"/>
                <w:color w:val="000000"/>
                <w:szCs w:val="21"/>
              </w:rPr>
              <w:t>-3.07%</w:t>
            </w:r>
          </w:p>
        </w:tc>
        <w:tc>
          <w:tcPr>
            <w:tcW w:w="1350" w:type="dxa"/>
            <w:vAlign w:val="center"/>
          </w:tcPr>
          <w:p w:rsidR="00BB5C1E" w:rsidRDefault="00AF434F">
            <w:pPr>
              <w:jc w:val="center"/>
            </w:pPr>
            <w:r>
              <w:rPr>
                <w:rFonts w:eastAsiaTheme="minorEastAsia"/>
                <w:color w:val="000000"/>
                <w:szCs w:val="21"/>
              </w:rPr>
              <w:t>-0.19%</w:t>
            </w:r>
          </w:p>
        </w:tc>
      </w:tr>
      <w:tr w:rsidR="00BB5C1E">
        <w:tc>
          <w:tcPr>
            <w:tcW w:w="1620" w:type="dxa"/>
            <w:vAlign w:val="center"/>
          </w:tcPr>
          <w:p w:rsidR="00BB5C1E" w:rsidRDefault="00AF434F">
            <w:pPr>
              <w:jc w:val="left"/>
            </w:pPr>
            <w:r>
              <w:rPr>
                <w:rFonts w:eastAsiaTheme="minorEastAsia"/>
                <w:color w:val="000000"/>
                <w:szCs w:val="21"/>
              </w:rPr>
              <w:t>自基金合同生效起至今</w:t>
            </w:r>
          </w:p>
        </w:tc>
        <w:tc>
          <w:tcPr>
            <w:tcW w:w="1350" w:type="dxa"/>
            <w:vAlign w:val="center"/>
          </w:tcPr>
          <w:p w:rsidR="00BB5C1E" w:rsidRDefault="00AF434F">
            <w:pPr>
              <w:jc w:val="center"/>
            </w:pPr>
            <w:r>
              <w:rPr>
                <w:rFonts w:eastAsiaTheme="minorEastAsia"/>
                <w:color w:val="000000"/>
                <w:szCs w:val="21"/>
              </w:rPr>
              <w:t>101.20%</w:t>
            </w:r>
          </w:p>
        </w:tc>
        <w:tc>
          <w:tcPr>
            <w:tcW w:w="1350" w:type="dxa"/>
            <w:vAlign w:val="center"/>
          </w:tcPr>
          <w:p w:rsidR="00BB5C1E" w:rsidRDefault="00AF434F">
            <w:pPr>
              <w:jc w:val="center"/>
            </w:pPr>
            <w:r>
              <w:rPr>
                <w:rFonts w:eastAsiaTheme="minorEastAsia"/>
                <w:color w:val="000000"/>
                <w:szCs w:val="21"/>
              </w:rPr>
              <w:t>1.07%</w:t>
            </w:r>
          </w:p>
        </w:tc>
        <w:tc>
          <w:tcPr>
            <w:tcW w:w="1350" w:type="dxa"/>
            <w:vAlign w:val="center"/>
          </w:tcPr>
          <w:p w:rsidR="00BB5C1E" w:rsidRDefault="00AF434F">
            <w:pPr>
              <w:jc w:val="center"/>
            </w:pPr>
            <w:r>
              <w:rPr>
                <w:rFonts w:eastAsiaTheme="minorEastAsia"/>
                <w:color w:val="000000"/>
                <w:szCs w:val="21"/>
              </w:rPr>
              <w:t>137.80%</w:t>
            </w:r>
          </w:p>
        </w:tc>
        <w:tc>
          <w:tcPr>
            <w:tcW w:w="1350" w:type="dxa"/>
            <w:vAlign w:val="center"/>
          </w:tcPr>
          <w:p w:rsidR="00BB5C1E" w:rsidRDefault="00AF434F">
            <w:pPr>
              <w:jc w:val="center"/>
            </w:pPr>
            <w:r>
              <w:rPr>
                <w:rFonts w:eastAsiaTheme="minorEastAsia"/>
                <w:color w:val="000000"/>
                <w:szCs w:val="21"/>
              </w:rPr>
              <w:t>1.18%</w:t>
            </w:r>
          </w:p>
        </w:tc>
        <w:tc>
          <w:tcPr>
            <w:tcW w:w="1350" w:type="dxa"/>
            <w:vAlign w:val="center"/>
          </w:tcPr>
          <w:p w:rsidR="00BB5C1E" w:rsidRDefault="00AF434F">
            <w:pPr>
              <w:jc w:val="center"/>
            </w:pPr>
            <w:r>
              <w:rPr>
                <w:rFonts w:eastAsiaTheme="minorEastAsia"/>
                <w:color w:val="000000"/>
                <w:szCs w:val="21"/>
              </w:rPr>
              <w:t>-36.60%</w:t>
            </w:r>
          </w:p>
        </w:tc>
        <w:tc>
          <w:tcPr>
            <w:tcW w:w="1350" w:type="dxa"/>
            <w:vAlign w:val="center"/>
          </w:tcPr>
          <w:p w:rsidR="00BB5C1E" w:rsidRDefault="00AF434F">
            <w:pPr>
              <w:jc w:val="center"/>
            </w:pPr>
            <w:r>
              <w:rPr>
                <w:rFonts w:eastAsiaTheme="minorEastAsia"/>
                <w:color w:val="000000"/>
                <w:szCs w:val="21"/>
              </w:rPr>
              <w:t>-0.11%</w:t>
            </w:r>
          </w:p>
        </w:tc>
      </w:tr>
    </w:tbl>
    <w:p w:rsidR="00FC6E91" w:rsidRPr="00C24ACA" w:rsidRDefault="00FC6E91" w:rsidP="00FC6E91">
      <w:pPr>
        <w:pStyle w:val="21"/>
        <w:spacing w:line="288"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易方达标普消费品指数增强（</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BB5C1E">
        <w:tc>
          <w:tcPr>
            <w:tcW w:w="1620" w:type="dxa"/>
            <w:vAlign w:val="center"/>
          </w:tcPr>
          <w:p w:rsidR="00BB5C1E" w:rsidRDefault="00AF434F">
            <w:pPr>
              <w:jc w:val="left"/>
            </w:pPr>
            <w:r>
              <w:rPr>
                <w:rFonts w:eastAsiaTheme="minorEastAsia"/>
                <w:color w:val="000000"/>
                <w:szCs w:val="21"/>
              </w:rPr>
              <w:t>过去一个月</w:t>
            </w:r>
          </w:p>
        </w:tc>
        <w:tc>
          <w:tcPr>
            <w:tcW w:w="1350" w:type="dxa"/>
            <w:vAlign w:val="center"/>
          </w:tcPr>
          <w:p w:rsidR="00BB5C1E" w:rsidRDefault="00AF434F">
            <w:pPr>
              <w:jc w:val="center"/>
            </w:pPr>
            <w:r>
              <w:rPr>
                <w:rFonts w:eastAsiaTheme="minorEastAsia"/>
                <w:color w:val="000000"/>
                <w:szCs w:val="21"/>
              </w:rPr>
              <w:t>4.66%</w:t>
            </w:r>
          </w:p>
        </w:tc>
        <w:tc>
          <w:tcPr>
            <w:tcW w:w="1350" w:type="dxa"/>
            <w:vAlign w:val="center"/>
          </w:tcPr>
          <w:p w:rsidR="00BB5C1E" w:rsidRDefault="00AF434F">
            <w:pPr>
              <w:jc w:val="center"/>
            </w:pPr>
            <w:r>
              <w:rPr>
                <w:rFonts w:eastAsiaTheme="minorEastAsia"/>
                <w:color w:val="000000"/>
                <w:szCs w:val="21"/>
              </w:rPr>
              <w:t>1.75%</w:t>
            </w:r>
          </w:p>
        </w:tc>
        <w:tc>
          <w:tcPr>
            <w:tcW w:w="1350" w:type="dxa"/>
            <w:vAlign w:val="center"/>
          </w:tcPr>
          <w:p w:rsidR="00BB5C1E" w:rsidRDefault="00AF434F">
            <w:pPr>
              <w:jc w:val="center"/>
            </w:pPr>
            <w:r>
              <w:rPr>
                <w:rFonts w:eastAsiaTheme="minorEastAsia"/>
                <w:color w:val="000000"/>
                <w:szCs w:val="21"/>
              </w:rPr>
              <w:t>4.83%</w:t>
            </w:r>
          </w:p>
        </w:tc>
        <w:tc>
          <w:tcPr>
            <w:tcW w:w="1350" w:type="dxa"/>
            <w:vAlign w:val="center"/>
          </w:tcPr>
          <w:p w:rsidR="00BB5C1E" w:rsidRDefault="00AF434F">
            <w:pPr>
              <w:jc w:val="center"/>
            </w:pPr>
            <w:r>
              <w:rPr>
                <w:rFonts w:eastAsiaTheme="minorEastAsia"/>
                <w:color w:val="000000"/>
                <w:szCs w:val="21"/>
              </w:rPr>
              <w:t>2.07%</w:t>
            </w:r>
          </w:p>
        </w:tc>
        <w:tc>
          <w:tcPr>
            <w:tcW w:w="1350" w:type="dxa"/>
            <w:vAlign w:val="center"/>
          </w:tcPr>
          <w:p w:rsidR="00BB5C1E" w:rsidRDefault="00AF434F">
            <w:pPr>
              <w:jc w:val="center"/>
            </w:pPr>
            <w:r>
              <w:rPr>
                <w:rFonts w:eastAsiaTheme="minorEastAsia"/>
                <w:color w:val="000000"/>
                <w:szCs w:val="21"/>
              </w:rPr>
              <w:t>-0.17%</w:t>
            </w:r>
          </w:p>
        </w:tc>
        <w:tc>
          <w:tcPr>
            <w:tcW w:w="1350" w:type="dxa"/>
            <w:vAlign w:val="center"/>
          </w:tcPr>
          <w:p w:rsidR="00BB5C1E" w:rsidRDefault="00AF434F">
            <w:pPr>
              <w:jc w:val="center"/>
            </w:pPr>
            <w:r>
              <w:rPr>
                <w:rFonts w:eastAsiaTheme="minorEastAsia"/>
                <w:color w:val="000000"/>
                <w:szCs w:val="21"/>
              </w:rPr>
              <w:t>-0.32%</w:t>
            </w:r>
          </w:p>
        </w:tc>
      </w:tr>
      <w:tr w:rsidR="00BB5C1E">
        <w:tc>
          <w:tcPr>
            <w:tcW w:w="1620" w:type="dxa"/>
            <w:vAlign w:val="center"/>
          </w:tcPr>
          <w:p w:rsidR="00BB5C1E" w:rsidRDefault="00AF434F">
            <w:pPr>
              <w:jc w:val="left"/>
            </w:pPr>
            <w:r>
              <w:rPr>
                <w:rFonts w:eastAsiaTheme="minorEastAsia"/>
                <w:color w:val="000000"/>
                <w:szCs w:val="21"/>
              </w:rPr>
              <w:t>过去三个月</w:t>
            </w:r>
          </w:p>
        </w:tc>
        <w:tc>
          <w:tcPr>
            <w:tcW w:w="1350" w:type="dxa"/>
            <w:vAlign w:val="center"/>
          </w:tcPr>
          <w:p w:rsidR="00BB5C1E" w:rsidRDefault="00AF434F">
            <w:pPr>
              <w:jc w:val="center"/>
            </w:pPr>
            <w:r>
              <w:rPr>
                <w:rFonts w:eastAsiaTheme="minorEastAsia"/>
                <w:color w:val="000000"/>
                <w:szCs w:val="21"/>
              </w:rPr>
              <w:t>20.77%</w:t>
            </w:r>
          </w:p>
        </w:tc>
        <w:tc>
          <w:tcPr>
            <w:tcW w:w="1350" w:type="dxa"/>
            <w:vAlign w:val="center"/>
          </w:tcPr>
          <w:p w:rsidR="00BB5C1E" w:rsidRDefault="00AF434F">
            <w:pPr>
              <w:jc w:val="center"/>
            </w:pPr>
            <w:r>
              <w:rPr>
                <w:rFonts w:eastAsiaTheme="minorEastAsia"/>
                <w:color w:val="000000"/>
                <w:szCs w:val="21"/>
              </w:rPr>
              <w:t>1.91%</w:t>
            </w:r>
          </w:p>
        </w:tc>
        <w:tc>
          <w:tcPr>
            <w:tcW w:w="1350" w:type="dxa"/>
            <w:vAlign w:val="center"/>
          </w:tcPr>
          <w:p w:rsidR="00BB5C1E" w:rsidRDefault="00AF434F">
            <w:pPr>
              <w:jc w:val="center"/>
            </w:pPr>
            <w:r>
              <w:rPr>
                <w:rFonts w:eastAsiaTheme="minorEastAsia"/>
                <w:color w:val="000000"/>
                <w:szCs w:val="21"/>
              </w:rPr>
              <w:t>26.77%</w:t>
            </w:r>
          </w:p>
        </w:tc>
        <w:tc>
          <w:tcPr>
            <w:tcW w:w="1350" w:type="dxa"/>
            <w:vAlign w:val="center"/>
          </w:tcPr>
          <w:p w:rsidR="00BB5C1E" w:rsidRDefault="00AF434F">
            <w:pPr>
              <w:jc w:val="center"/>
            </w:pPr>
            <w:r>
              <w:rPr>
                <w:rFonts w:eastAsiaTheme="minorEastAsia"/>
                <w:color w:val="000000"/>
                <w:szCs w:val="21"/>
              </w:rPr>
              <w:t>2.54%</w:t>
            </w:r>
          </w:p>
        </w:tc>
        <w:tc>
          <w:tcPr>
            <w:tcW w:w="1350" w:type="dxa"/>
            <w:vAlign w:val="center"/>
          </w:tcPr>
          <w:p w:rsidR="00BB5C1E" w:rsidRDefault="00AF434F">
            <w:pPr>
              <w:jc w:val="center"/>
            </w:pPr>
            <w:r>
              <w:rPr>
                <w:rFonts w:eastAsiaTheme="minorEastAsia"/>
                <w:color w:val="000000"/>
                <w:szCs w:val="21"/>
              </w:rPr>
              <w:t>-6.00%</w:t>
            </w:r>
          </w:p>
        </w:tc>
        <w:tc>
          <w:tcPr>
            <w:tcW w:w="1350" w:type="dxa"/>
            <w:vAlign w:val="center"/>
          </w:tcPr>
          <w:p w:rsidR="00BB5C1E" w:rsidRDefault="00AF434F">
            <w:pPr>
              <w:jc w:val="center"/>
            </w:pPr>
            <w:r>
              <w:rPr>
                <w:rFonts w:eastAsiaTheme="minorEastAsia"/>
                <w:color w:val="000000"/>
                <w:szCs w:val="21"/>
              </w:rPr>
              <w:t>-0.63%</w:t>
            </w:r>
          </w:p>
        </w:tc>
      </w:tr>
      <w:tr w:rsidR="00BB5C1E">
        <w:tc>
          <w:tcPr>
            <w:tcW w:w="1620" w:type="dxa"/>
            <w:vAlign w:val="center"/>
          </w:tcPr>
          <w:p w:rsidR="00BB5C1E" w:rsidRDefault="00AF434F">
            <w:pPr>
              <w:jc w:val="left"/>
            </w:pPr>
            <w:r>
              <w:rPr>
                <w:rFonts w:eastAsiaTheme="minorEastAsia"/>
                <w:color w:val="000000"/>
                <w:szCs w:val="21"/>
              </w:rPr>
              <w:t>过去六个月</w:t>
            </w:r>
          </w:p>
        </w:tc>
        <w:tc>
          <w:tcPr>
            <w:tcW w:w="1350" w:type="dxa"/>
            <w:vAlign w:val="center"/>
          </w:tcPr>
          <w:p w:rsidR="00BB5C1E" w:rsidRDefault="00AF434F">
            <w:pPr>
              <w:jc w:val="center"/>
            </w:pPr>
            <w:r>
              <w:rPr>
                <w:rFonts w:eastAsiaTheme="minorEastAsia"/>
                <w:color w:val="000000"/>
                <w:szCs w:val="21"/>
              </w:rPr>
              <w:t>-3.94%</w:t>
            </w:r>
          </w:p>
        </w:tc>
        <w:tc>
          <w:tcPr>
            <w:tcW w:w="1350" w:type="dxa"/>
            <w:vAlign w:val="center"/>
          </w:tcPr>
          <w:p w:rsidR="00BB5C1E" w:rsidRDefault="00AF434F">
            <w:pPr>
              <w:jc w:val="center"/>
            </w:pPr>
            <w:r>
              <w:rPr>
                <w:rFonts w:eastAsiaTheme="minorEastAsia"/>
                <w:color w:val="000000"/>
                <w:szCs w:val="21"/>
              </w:rPr>
              <w:t>2.50%</w:t>
            </w:r>
          </w:p>
        </w:tc>
        <w:tc>
          <w:tcPr>
            <w:tcW w:w="1350" w:type="dxa"/>
            <w:vAlign w:val="center"/>
          </w:tcPr>
          <w:p w:rsidR="00BB5C1E" w:rsidRDefault="00AF434F">
            <w:pPr>
              <w:jc w:val="center"/>
            </w:pPr>
            <w:r>
              <w:rPr>
                <w:rFonts w:eastAsiaTheme="minorEastAsia"/>
                <w:color w:val="000000"/>
                <w:szCs w:val="21"/>
              </w:rPr>
              <w:t>-7.94%</w:t>
            </w:r>
          </w:p>
        </w:tc>
        <w:tc>
          <w:tcPr>
            <w:tcW w:w="1350" w:type="dxa"/>
            <w:vAlign w:val="center"/>
          </w:tcPr>
          <w:p w:rsidR="00BB5C1E" w:rsidRDefault="00AF434F">
            <w:pPr>
              <w:jc w:val="center"/>
            </w:pPr>
            <w:r>
              <w:rPr>
                <w:rFonts w:eastAsiaTheme="minorEastAsia"/>
                <w:color w:val="000000"/>
                <w:szCs w:val="21"/>
              </w:rPr>
              <w:t>3.01%</w:t>
            </w:r>
          </w:p>
        </w:tc>
        <w:tc>
          <w:tcPr>
            <w:tcW w:w="1350" w:type="dxa"/>
            <w:vAlign w:val="center"/>
          </w:tcPr>
          <w:p w:rsidR="00BB5C1E" w:rsidRDefault="00AF434F">
            <w:pPr>
              <w:jc w:val="center"/>
            </w:pPr>
            <w:r>
              <w:rPr>
                <w:rFonts w:eastAsiaTheme="minorEastAsia"/>
                <w:color w:val="000000"/>
                <w:szCs w:val="21"/>
              </w:rPr>
              <w:t>4.00%</w:t>
            </w:r>
          </w:p>
        </w:tc>
        <w:tc>
          <w:tcPr>
            <w:tcW w:w="1350" w:type="dxa"/>
            <w:vAlign w:val="center"/>
          </w:tcPr>
          <w:p w:rsidR="00BB5C1E" w:rsidRDefault="00AF434F">
            <w:pPr>
              <w:jc w:val="center"/>
            </w:pPr>
            <w:r>
              <w:rPr>
                <w:rFonts w:eastAsiaTheme="minorEastAsia"/>
                <w:color w:val="000000"/>
                <w:szCs w:val="21"/>
              </w:rPr>
              <w:t>-0.51%</w:t>
            </w:r>
          </w:p>
        </w:tc>
      </w:tr>
      <w:tr w:rsidR="00BB5C1E">
        <w:tc>
          <w:tcPr>
            <w:tcW w:w="1620" w:type="dxa"/>
            <w:vAlign w:val="center"/>
          </w:tcPr>
          <w:p w:rsidR="00BB5C1E" w:rsidRDefault="00AF434F">
            <w:pPr>
              <w:jc w:val="left"/>
            </w:pPr>
            <w:r>
              <w:rPr>
                <w:rFonts w:eastAsiaTheme="minorEastAsia"/>
                <w:color w:val="000000"/>
                <w:szCs w:val="21"/>
              </w:rPr>
              <w:t>过去一年</w:t>
            </w:r>
          </w:p>
        </w:tc>
        <w:tc>
          <w:tcPr>
            <w:tcW w:w="1350" w:type="dxa"/>
            <w:vAlign w:val="center"/>
          </w:tcPr>
          <w:p w:rsidR="00BB5C1E" w:rsidRDefault="00AF434F">
            <w:pPr>
              <w:jc w:val="center"/>
            </w:pPr>
            <w:r>
              <w:rPr>
                <w:rFonts w:eastAsiaTheme="minorEastAsia"/>
                <w:color w:val="000000"/>
                <w:szCs w:val="21"/>
              </w:rPr>
              <w:t>4.99%</w:t>
            </w:r>
          </w:p>
        </w:tc>
        <w:tc>
          <w:tcPr>
            <w:tcW w:w="1350" w:type="dxa"/>
            <w:vAlign w:val="center"/>
          </w:tcPr>
          <w:p w:rsidR="00BB5C1E" w:rsidRDefault="00AF434F">
            <w:pPr>
              <w:jc w:val="center"/>
            </w:pPr>
            <w:r>
              <w:rPr>
                <w:rFonts w:eastAsiaTheme="minorEastAsia"/>
                <w:color w:val="000000"/>
                <w:szCs w:val="21"/>
              </w:rPr>
              <w:t>1.87%</w:t>
            </w:r>
          </w:p>
        </w:tc>
        <w:tc>
          <w:tcPr>
            <w:tcW w:w="1350" w:type="dxa"/>
            <w:vAlign w:val="center"/>
          </w:tcPr>
          <w:p w:rsidR="00BB5C1E" w:rsidRDefault="00AF434F">
            <w:pPr>
              <w:jc w:val="center"/>
            </w:pPr>
            <w:r>
              <w:rPr>
                <w:rFonts w:eastAsiaTheme="minorEastAsia"/>
                <w:color w:val="000000"/>
                <w:szCs w:val="21"/>
              </w:rPr>
              <w:t>2.84%</w:t>
            </w:r>
          </w:p>
        </w:tc>
        <w:tc>
          <w:tcPr>
            <w:tcW w:w="1350" w:type="dxa"/>
            <w:vAlign w:val="center"/>
          </w:tcPr>
          <w:p w:rsidR="00BB5C1E" w:rsidRDefault="00AF434F">
            <w:pPr>
              <w:jc w:val="center"/>
            </w:pPr>
            <w:r>
              <w:rPr>
                <w:rFonts w:eastAsiaTheme="minorEastAsia"/>
                <w:color w:val="000000"/>
                <w:szCs w:val="21"/>
              </w:rPr>
              <w:t>2.21%</w:t>
            </w:r>
          </w:p>
        </w:tc>
        <w:tc>
          <w:tcPr>
            <w:tcW w:w="1350" w:type="dxa"/>
            <w:vAlign w:val="center"/>
          </w:tcPr>
          <w:p w:rsidR="00BB5C1E" w:rsidRDefault="00AF434F">
            <w:pPr>
              <w:jc w:val="center"/>
            </w:pPr>
            <w:r>
              <w:rPr>
                <w:rFonts w:eastAsiaTheme="minorEastAsia"/>
                <w:color w:val="000000"/>
                <w:szCs w:val="21"/>
              </w:rPr>
              <w:t>2.15%</w:t>
            </w:r>
          </w:p>
        </w:tc>
        <w:tc>
          <w:tcPr>
            <w:tcW w:w="1350" w:type="dxa"/>
            <w:vAlign w:val="center"/>
          </w:tcPr>
          <w:p w:rsidR="00BB5C1E" w:rsidRDefault="00AF434F">
            <w:pPr>
              <w:jc w:val="center"/>
            </w:pPr>
            <w:r>
              <w:rPr>
                <w:rFonts w:eastAsiaTheme="minorEastAsia"/>
                <w:color w:val="000000"/>
                <w:szCs w:val="21"/>
              </w:rPr>
              <w:t>-0.34%</w:t>
            </w:r>
          </w:p>
        </w:tc>
      </w:tr>
      <w:tr w:rsidR="00BB5C1E">
        <w:tc>
          <w:tcPr>
            <w:tcW w:w="1620" w:type="dxa"/>
            <w:vAlign w:val="center"/>
          </w:tcPr>
          <w:p w:rsidR="00BB5C1E" w:rsidRDefault="00AF434F">
            <w:pPr>
              <w:jc w:val="left"/>
            </w:pPr>
            <w:r>
              <w:rPr>
                <w:rFonts w:eastAsiaTheme="minorEastAsia"/>
                <w:color w:val="000000"/>
                <w:szCs w:val="21"/>
              </w:rPr>
              <w:t>过去三年</w:t>
            </w:r>
          </w:p>
        </w:tc>
        <w:tc>
          <w:tcPr>
            <w:tcW w:w="1350" w:type="dxa"/>
            <w:vAlign w:val="center"/>
          </w:tcPr>
          <w:p w:rsidR="00BB5C1E" w:rsidRDefault="00AF434F">
            <w:pPr>
              <w:jc w:val="center"/>
            </w:pPr>
            <w:r>
              <w:rPr>
                <w:rFonts w:eastAsiaTheme="minorEastAsia"/>
                <w:color w:val="000000"/>
                <w:szCs w:val="21"/>
              </w:rPr>
              <w:t>-</w:t>
            </w:r>
          </w:p>
        </w:tc>
        <w:tc>
          <w:tcPr>
            <w:tcW w:w="1350" w:type="dxa"/>
            <w:vAlign w:val="center"/>
          </w:tcPr>
          <w:p w:rsidR="00BB5C1E" w:rsidRDefault="00AF434F">
            <w:pPr>
              <w:jc w:val="center"/>
            </w:pPr>
            <w:r>
              <w:rPr>
                <w:rFonts w:eastAsiaTheme="minorEastAsia"/>
                <w:color w:val="000000"/>
                <w:szCs w:val="21"/>
              </w:rPr>
              <w:t>-</w:t>
            </w:r>
          </w:p>
        </w:tc>
        <w:tc>
          <w:tcPr>
            <w:tcW w:w="1350" w:type="dxa"/>
            <w:vAlign w:val="center"/>
          </w:tcPr>
          <w:p w:rsidR="00BB5C1E" w:rsidRDefault="00AF434F">
            <w:pPr>
              <w:jc w:val="center"/>
            </w:pPr>
            <w:r>
              <w:rPr>
                <w:rFonts w:eastAsiaTheme="minorEastAsia"/>
                <w:color w:val="000000"/>
                <w:szCs w:val="21"/>
              </w:rPr>
              <w:t>-</w:t>
            </w:r>
          </w:p>
        </w:tc>
        <w:tc>
          <w:tcPr>
            <w:tcW w:w="1350" w:type="dxa"/>
            <w:vAlign w:val="center"/>
          </w:tcPr>
          <w:p w:rsidR="00BB5C1E" w:rsidRDefault="00AF434F">
            <w:pPr>
              <w:jc w:val="center"/>
            </w:pPr>
            <w:r>
              <w:rPr>
                <w:rFonts w:eastAsiaTheme="minorEastAsia"/>
                <w:color w:val="000000"/>
                <w:szCs w:val="21"/>
              </w:rPr>
              <w:t>-</w:t>
            </w:r>
          </w:p>
        </w:tc>
        <w:tc>
          <w:tcPr>
            <w:tcW w:w="1350" w:type="dxa"/>
            <w:vAlign w:val="center"/>
          </w:tcPr>
          <w:p w:rsidR="00BB5C1E" w:rsidRDefault="00AF434F">
            <w:pPr>
              <w:jc w:val="center"/>
            </w:pPr>
            <w:r>
              <w:rPr>
                <w:rFonts w:eastAsiaTheme="minorEastAsia"/>
                <w:color w:val="000000"/>
                <w:szCs w:val="21"/>
              </w:rPr>
              <w:t>-</w:t>
            </w:r>
          </w:p>
        </w:tc>
        <w:tc>
          <w:tcPr>
            <w:tcW w:w="1350" w:type="dxa"/>
            <w:vAlign w:val="center"/>
          </w:tcPr>
          <w:p w:rsidR="00BB5C1E" w:rsidRDefault="00AF434F">
            <w:pPr>
              <w:jc w:val="center"/>
            </w:pPr>
            <w:r>
              <w:rPr>
                <w:rFonts w:eastAsiaTheme="minorEastAsia"/>
                <w:color w:val="000000"/>
                <w:szCs w:val="21"/>
              </w:rPr>
              <w:t>-</w:t>
            </w:r>
          </w:p>
        </w:tc>
      </w:tr>
      <w:tr w:rsidR="00BB5C1E">
        <w:tc>
          <w:tcPr>
            <w:tcW w:w="1620" w:type="dxa"/>
            <w:vAlign w:val="center"/>
          </w:tcPr>
          <w:p w:rsidR="00BB5C1E" w:rsidRDefault="00AF434F">
            <w:pPr>
              <w:jc w:val="left"/>
            </w:pPr>
            <w:r>
              <w:rPr>
                <w:rFonts w:eastAsiaTheme="minorEastAsia"/>
                <w:color w:val="000000"/>
                <w:szCs w:val="21"/>
              </w:rPr>
              <w:t>自基金合同生效起至今</w:t>
            </w:r>
          </w:p>
        </w:tc>
        <w:tc>
          <w:tcPr>
            <w:tcW w:w="1350" w:type="dxa"/>
            <w:vAlign w:val="center"/>
          </w:tcPr>
          <w:p w:rsidR="00BB5C1E" w:rsidRDefault="00AF434F">
            <w:pPr>
              <w:jc w:val="center"/>
            </w:pPr>
            <w:r>
              <w:rPr>
                <w:rFonts w:eastAsiaTheme="minorEastAsia"/>
                <w:color w:val="000000"/>
                <w:szCs w:val="21"/>
              </w:rPr>
              <w:t>14.74%</w:t>
            </w:r>
          </w:p>
        </w:tc>
        <w:tc>
          <w:tcPr>
            <w:tcW w:w="1350" w:type="dxa"/>
            <w:vAlign w:val="center"/>
          </w:tcPr>
          <w:p w:rsidR="00BB5C1E" w:rsidRDefault="00AF434F">
            <w:pPr>
              <w:jc w:val="center"/>
            </w:pPr>
            <w:r>
              <w:rPr>
                <w:rFonts w:eastAsiaTheme="minorEastAsia"/>
                <w:color w:val="000000"/>
                <w:szCs w:val="21"/>
              </w:rPr>
              <w:t>1.45%</w:t>
            </w:r>
          </w:p>
        </w:tc>
        <w:tc>
          <w:tcPr>
            <w:tcW w:w="1350" w:type="dxa"/>
            <w:vAlign w:val="center"/>
          </w:tcPr>
          <w:p w:rsidR="00BB5C1E" w:rsidRDefault="00AF434F">
            <w:pPr>
              <w:jc w:val="center"/>
            </w:pPr>
            <w:r>
              <w:rPr>
                <w:rFonts w:eastAsiaTheme="minorEastAsia"/>
                <w:color w:val="000000"/>
                <w:szCs w:val="21"/>
              </w:rPr>
              <w:t>17.18%</w:t>
            </w:r>
          </w:p>
        </w:tc>
        <w:tc>
          <w:tcPr>
            <w:tcW w:w="1350" w:type="dxa"/>
            <w:vAlign w:val="center"/>
          </w:tcPr>
          <w:p w:rsidR="00BB5C1E" w:rsidRDefault="00AF434F">
            <w:pPr>
              <w:jc w:val="center"/>
            </w:pPr>
            <w:r>
              <w:rPr>
                <w:rFonts w:eastAsiaTheme="minorEastAsia"/>
                <w:color w:val="000000"/>
                <w:szCs w:val="21"/>
              </w:rPr>
              <w:t>1.66%</w:t>
            </w:r>
          </w:p>
        </w:tc>
        <w:tc>
          <w:tcPr>
            <w:tcW w:w="1350" w:type="dxa"/>
            <w:vAlign w:val="center"/>
          </w:tcPr>
          <w:p w:rsidR="00BB5C1E" w:rsidRDefault="00AF434F">
            <w:pPr>
              <w:jc w:val="center"/>
            </w:pPr>
            <w:r>
              <w:rPr>
                <w:rFonts w:eastAsiaTheme="minorEastAsia"/>
                <w:color w:val="000000"/>
                <w:szCs w:val="21"/>
              </w:rPr>
              <w:t>-2.44%</w:t>
            </w:r>
          </w:p>
        </w:tc>
        <w:tc>
          <w:tcPr>
            <w:tcW w:w="1350" w:type="dxa"/>
            <w:vAlign w:val="center"/>
          </w:tcPr>
          <w:p w:rsidR="00BB5C1E" w:rsidRDefault="00AF434F">
            <w:pPr>
              <w:jc w:val="center"/>
            </w:pPr>
            <w:r>
              <w:rPr>
                <w:rFonts w:eastAsiaTheme="minorEastAsia"/>
                <w:color w:val="000000"/>
                <w:szCs w:val="21"/>
              </w:rPr>
              <w:t>-0.21%</w:t>
            </w:r>
          </w:p>
        </w:tc>
      </w:tr>
    </w:tbl>
    <w:p w:rsidR="00FC6E91" w:rsidRPr="00C24ACA" w:rsidRDefault="00FC6E91"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注：自</w:t>
      </w:r>
      <w:r w:rsidRPr="00C24ACA">
        <w:rPr>
          <w:rFonts w:eastAsiaTheme="minorEastAsia"/>
          <w:kern w:val="0"/>
          <w:szCs w:val="21"/>
        </w:rPr>
        <w:t>2018</w:t>
      </w:r>
      <w:r w:rsidRPr="00C24ACA">
        <w:rPr>
          <w:rFonts w:eastAsiaTheme="minorEastAsia"/>
          <w:kern w:val="0"/>
          <w:szCs w:val="21"/>
        </w:rPr>
        <w:t>年</w:t>
      </w:r>
      <w:r w:rsidRPr="00C24ACA">
        <w:rPr>
          <w:rFonts w:eastAsiaTheme="minorEastAsia"/>
          <w:kern w:val="0"/>
          <w:szCs w:val="21"/>
        </w:rPr>
        <w:t>2</w:t>
      </w:r>
      <w:r w:rsidRPr="00C24ACA">
        <w:rPr>
          <w:rFonts w:eastAsiaTheme="minorEastAsia"/>
          <w:kern w:val="0"/>
          <w:szCs w:val="21"/>
        </w:rPr>
        <w:t>月</w:t>
      </w:r>
      <w:r w:rsidRPr="00C24ACA">
        <w:rPr>
          <w:rFonts w:eastAsiaTheme="minorEastAsia"/>
          <w:kern w:val="0"/>
          <w:szCs w:val="21"/>
        </w:rPr>
        <w:t>9</w:t>
      </w:r>
      <w:r w:rsidRPr="00C24ACA">
        <w:rPr>
          <w:rFonts w:eastAsiaTheme="minorEastAsia"/>
          <w:kern w:val="0"/>
          <w:szCs w:val="21"/>
        </w:rPr>
        <w:t>日起，本基金增设</w:t>
      </w:r>
      <w:r w:rsidRPr="00C24ACA">
        <w:rPr>
          <w:rFonts w:eastAsiaTheme="minorEastAsia"/>
          <w:kern w:val="0"/>
          <w:szCs w:val="21"/>
        </w:rPr>
        <w:t>C</w:t>
      </w:r>
      <w:r w:rsidRPr="00C24ACA">
        <w:rPr>
          <w:rFonts w:eastAsiaTheme="minorEastAsia"/>
          <w:kern w:val="0"/>
          <w:szCs w:val="21"/>
        </w:rPr>
        <w:t>类份额类别，份额首次确认日为</w:t>
      </w:r>
      <w:r w:rsidRPr="00C24ACA">
        <w:rPr>
          <w:rFonts w:eastAsiaTheme="minorEastAsia"/>
          <w:kern w:val="0"/>
          <w:szCs w:val="21"/>
        </w:rPr>
        <w:t>2018</w:t>
      </w:r>
      <w:r w:rsidRPr="00C24ACA">
        <w:rPr>
          <w:rFonts w:eastAsiaTheme="minorEastAsia"/>
          <w:kern w:val="0"/>
          <w:szCs w:val="21"/>
        </w:rPr>
        <w:t>年</w:t>
      </w:r>
      <w:r w:rsidRPr="00C24ACA">
        <w:rPr>
          <w:rFonts w:eastAsiaTheme="minorEastAsia"/>
          <w:kern w:val="0"/>
          <w:szCs w:val="21"/>
        </w:rPr>
        <w:t>2</w:t>
      </w:r>
      <w:r w:rsidRPr="00C24ACA">
        <w:rPr>
          <w:rFonts w:eastAsiaTheme="minorEastAsia"/>
          <w:kern w:val="0"/>
          <w:szCs w:val="21"/>
        </w:rPr>
        <w:t>月</w:t>
      </w:r>
      <w:r w:rsidRPr="00C24ACA">
        <w:rPr>
          <w:rFonts w:eastAsiaTheme="minorEastAsia"/>
          <w:kern w:val="0"/>
          <w:szCs w:val="21"/>
        </w:rPr>
        <w:t>12</w:t>
      </w:r>
      <w:r w:rsidRPr="00C24ACA">
        <w:rPr>
          <w:rFonts w:eastAsiaTheme="minorEastAsia"/>
          <w:kern w:val="0"/>
          <w:szCs w:val="21"/>
        </w:rPr>
        <w:t>日，增设当期的相关数据和指标按实际存续期计算。</w:t>
      </w:r>
    </w:p>
    <w:p w:rsidR="00FC6E91" w:rsidRPr="00C24ACA" w:rsidRDefault="00FC6E91" w:rsidP="00732F5C">
      <w:pPr>
        <w:spacing w:beforeLines="100" w:before="312" w:line="360" w:lineRule="auto"/>
        <w:rPr>
          <w:rFonts w:eastAsiaTheme="minorEastAsia"/>
          <w:b/>
          <w:kern w:val="0"/>
          <w:szCs w:val="21"/>
        </w:rPr>
      </w:pPr>
      <w:r w:rsidRPr="00C24ACA">
        <w:rPr>
          <w:rFonts w:eastAsiaTheme="minorEastAsia"/>
          <w:b/>
          <w:kern w:val="0"/>
          <w:szCs w:val="21"/>
        </w:rPr>
        <w:t>3.2.2</w:t>
      </w:r>
      <w:r w:rsidRPr="00C24ACA">
        <w:rPr>
          <w:rStyle w:val="af8"/>
          <w:rFonts w:eastAsiaTheme="minorEastAsia"/>
          <w:color w:val="000000"/>
          <w:szCs w:val="21"/>
          <w:shd w:val="clear" w:color="auto" w:fill="FFFFFF"/>
        </w:rPr>
        <w:t>自基金合同生效以来</w:t>
      </w:r>
      <w:r w:rsidRPr="00C24ACA">
        <w:rPr>
          <w:rFonts w:eastAsiaTheme="minorEastAsia"/>
          <w:b/>
          <w:kern w:val="0"/>
          <w:szCs w:val="21"/>
        </w:rPr>
        <w:t>基金份额累计净值增长率变动及其与同期业绩比较基准收益率变动的比较</w:t>
      </w:r>
    </w:p>
    <w:p w:rsidR="001A19C2" w:rsidRDefault="001A19C2" w:rsidP="00E039F9">
      <w:pPr>
        <w:spacing w:line="360" w:lineRule="auto"/>
        <w:ind w:firstLine="420"/>
        <w:jc w:val="center"/>
        <w:rPr>
          <w:rFonts w:eastAsiaTheme="minorEastAsia"/>
          <w:color w:val="000000"/>
          <w:kern w:val="0"/>
          <w:szCs w:val="21"/>
        </w:rPr>
      </w:pPr>
      <w:r w:rsidRPr="00D749D4">
        <w:rPr>
          <w:color w:val="000000"/>
          <w:szCs w:val="21"/>
        </w:rPr>
        <w:t>易方达标普全球高端消费品指数增强型证券投资基金</w:t>
      </w:r>
    </w:p>
    <w:p w:rsidR="00301185" w:rsidRDefault="001A19C2" w:rsidP="00301185">
      <w:pPr>
        <w:pStyle w:val="a6"/>
        <w:snapToGrid w:val="0"/>
        <w:spacing w:line="360" w:lineRule="auto"/>
        <w:jc w:val="center"/>
        <w:rPr>
          <w:rFonts w:ascii="Times New Roman" w:eastAsiaTheme="minorEastAsia" w:hAnsi="Times New Roman"/>
          <w:color w:val="000000" w:themeColor="text1"/>
          <w:sz w:val="24"/>
          <w:szCs w:val="24"/>
        </w:rPr>
      </w:pPr>
      <w:r w:rsidRPr="00D749D4">
        <w:rPr>
          <w:rFonts w:hint="eastAsia"/>
          <w:color w:val="000000"/>
        </w:rPr>
        <w:t>份额累计净值增长率与业绩比较基准收益率历史走势对比图</w:t>
      </w:r>
    </w:p>
    <w:p w:rsidR="00301185" w:rsidRDefault="00A34426" w:rsidP="00301185">
      <w:pPr>
        <w:pStyle w:val="21"/>
        <w:spacing w:line="288" w:lineRule="auto"/>
        <w:ind w:firstLineChars="0" w:firstLine="0"/>
        <w:jc w:val="left"/>
        <w:rPr>
          <w:rFonts w:ascii="Times New Roman" w:hAnsi="Times New Roman"/>
          <w:color w:val="000000"/>
        </w:rPr>
      </w:pPr>
      <w:r w:rsidRPr="00C24ACA">
        <w:rPr>
          <w:rFonts w:ascii="Times New Roman" w:eastAsiaTheme="minorEastAsia" w:hAnsi="Times New Roman"/>
          <w:color w:val="auto"/>
          <w:sz w:val="21"/>
          <w:szCs w:val="21"/>
        </w:rPr>
        <w:t>易方达标普消费品指数增强（</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p w:rsidR="00301185" w:rsidRPr="00576423" w:rsidRDefault="00301185" w:rsidP="00301185">
      <w:pPr>
        <w:spacing w:line="360" w:lineRule="auto"/>
        <w:jc w:val="center"/>
        <w:rPr>
          <w:szCs w:val="21"/>
        </w:rPr>
      </w:pPr>
      <w:r w:rsidRPr="00576423">
        <w:rPr>
          <w:szCs w:val="21"/>
        </w:rPr>
        <w:t>（</w:t>
      </w:r>
      <w:r w:rsidRPr="00576423">
        <w:rPr>
          <w:szCs w:val="21"/>
        </w:rPr>
        <w:t>2012</w:t>
      </w:r>
      <w:r w:rsidRPr="00576423">
        <w:rPr>
          <w:szCs w:val="21"/>
        </w:rPr>
        <w:t>年</w:t>
      </w:r>
      <w:r w:rsidRPr="00576423">
        <w:rPr>
          <w:szCs w:val="21"/>
        </w:rPr>
        <w:t>6</w:t>
      </w:r>
      <w:r w:rsidRPr="00576423">
        <w:rPr>
          <w:szCs w:val="21"/>
        </w:rPr>
        <w:t>月</w:t>
      </w:r>
      <w:r w:rsidRPr="00576423">
        <w:rPr>
          <w:szCs w:val="21"/>
        </w:rPr>
        <w:t>4</w:t>
      </w:r>
      <w:r w:rsidRPr="00576423">
        <w:rPr>
          <w:szCs w:val="21"/>
        </w:rPr>
        <w:t>日至</w:t>
      </w:r>
      <w:r w:rsidRPr="00576423">
        <w:rPr>
          <w:szCs w:val="21"/>
        </w:rPr>
        <w:t>2020</w:t>
      </w:r>
      <w:r w:rsidRPr="00576423">
        <w:rPr>
          <w:szCs w:val="21"/>
        </w:rPr>
        <w:t>年</w:t>
      </w:r>
      <w:r w:rsidRPr="00576423">
        <w:rPr>
          <w:szCs w:val="21"/>
        </w:rPr>
        <w:t>6</w:t>
      </w:r>
      <w:r w:rsidRPr="00576423">
        <w:rPr>
          <w:szCs w:val="21"/>
        </w:rPr>
        <w:t>月</w:t>
      </w:r>
      <w:r w:rsidRPr="00576423">
        <w:rPr>
          <w:szCs w:val="21"/>
        </w:rPr>
        <w:t>30</w:t>
      </w:r>
      <w:r w:rsidRPr="00576423">
        <w:rPr>
          <w:szCs w:val="21"/>
        </w:rPr>
        <w:t>日）</w:t>
      </w:r>
    </w:p>
    <w:p w:rsidR="00A34426" w:rsidRPr="00C24ACA" w:rsidRDefault="00A34426" w:rsidP="00E039F9">
      <w:pPr>
        <w:pStyle w:val="a6"/>
        <w:snapToGrid w:val="0"/>
        <w:spacing w:line="360" w:lineRule="auto"/>
        <w:ind w:firstLine="480"/>
        <w:jc w:val="center"/>
        <w:rPr>
          <w:rFonts w:ascii="Times New Roman" w:eastAsiaTheme="minorEastAsia" w:hAnsi="Times New Roman"/>
          <w:color w:val="000000"/>
        </w:rPr>
      </w:pPr>
      <w:r w:rsidRPr="00C24ACA">
        <w:rPr>
          <w:rFonts w:eastAsiaTheme="minorEastAsia"/>
          <w:noProof/>
          <w:color w:val="000000"/>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301185" w:rsidRDefault="000902FA" w:rsidP="00301185">
      <w:pPr>
        <w:pStyle w:val="21"/>
        <w:spacing w:line="288" w:lineRule="auto"/>
        <w:ind w:firstLineChars="0" w:firstLine="0"/>
        <w:jc w:val="left"/>
        <w:rPr>
          <w:rFonts w:ascii="Times New Roman" w:hAnsi="Times New Roman"/>
          <w:color w:val="000000"/>
        </w:rPr>
      </w:pPr>
      <w:r w:rsidRPr="00C24ACA">
        <w:rPr>
          <w:rFonts w:ascii="Times New Roman" w:eastAsiaTheme="minorEastAsia" w:hAnsi="Times New Roman"/>
          <w:color w:val="auto"/>
          <w:sz w:val="21"/>
          <w:szCs w:val="21"/>
        </w:rPr>
        <w:t>易方达标普消费品指数增强（</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p>
    <w:p w:rsidR="00301185" w:rsidRDefault="00301185" w:rsidP="00301185">
      <w:pPr>
        <w:spacing w:line="360" w:lineRule="auto"/>
        <w:jc w:val="center"/>
        <w:rPr>
          <w:szCs w:val="21"/>
        </w:rPr>
      </w:pPr>
      <w:r w:rsidRPr="00576423">
        <w:rPr>
          <w:szCs w:val="21"/>
        </w:rPr>
        <w:t>（</w:t>
      </w:r>
      <w:r w:rsidRPr="00576423">
        <w:rPr>
          <w:szCs w:val="21"/>
        </w:rPr>
        <w:t>2018</w:t>
      </w:r>
      <w:r w:rsidRPr="00576423">
        <w:rPr>
          <w:szCs w:val="21"/>
        </w:rPr>
        <w:t>年</w:t>
      </w:r>
      <w:r w:rsidRPr="00576423">
        <w:rPr>
          <w:szCs w:val="21"/>
        </w:rPr>
        <w:t>2</w:t>
      </w:r>
      <w:r w:rsidRPr="00576423">
        <w:rPr>
          <w:szCs w:val="21"/>
        </w:rPr>
        <w:t>月</w:t>
      </w:r>
      <w:r w:rsidRPr="00576423">
        <w:rPr>
          <w:szCs w:val="21"/>
        </w:rPr>
        <w:t>12</w:t>
      </w:r>
      <w:r w:rsidRPr="00576423">
        <w:rPr>
          <w:szCs w:val="21"/>
        </w:rPr>
        <w:t>日至</w:t>
      </w:r>
      <w:r w:rsidRPr="00576423">
        <w:rPr>
          <w:szCs w:val="21"/>
        </w:rPr>
        <w:t>2020</w:t>
      </w:r>
      <w:r w:rsidRPr="00576423">
        <w:rPr>
          <w:szCs w:val="21"/>
        </w:rPr>
        <w:t>年</w:t>
      </w:r>
      <w:r w:rsidRPr="00576423">
        <w:rPr>
          <w:szCs w:val="21"/>
        </w:rPr>
        <w:t>6</w:t>
      </w:r>
      <w:r w:rsidRPr="00576423">
        <w:rPr>
          <w:szCs w:val="21"/>
        </w:rPr>
        <w:t>月</w:t>
      </w:r>
      <w:r w:rsidRPr="00576423">
        <w:rPr>
          <w:szCs w:val="21"/>
        </w:rPr>
        <w:t>30</w:t>
      </w:r>
      <w:r w:rsidRPr="00576423">
        <w:rPr>
          <w:szCs w:val="21"/>
        </w:rPr>
        <w:t>日）</w:t>
      </w:r>
    </w:p>
    <w:p w:rsidR="000902FA" w:rsidRPr="00C24ACA" w:rsidRDefault="000902FA" w:rsidP="001F489E">
      <w:pPr>
        <w:pStyle w:val="a6"/>
        <w:snapToGrid w:val="0"/>
        <w:spacing w:line="360" w:lineRule="auto"/>
        <w:ind w:firstLine="480"/>
        <w:jc w:val="center"/>
        <w:rPr>
          <w:rFonts w:ascii="Times New Roman" w:eastAsiaTheme="minorEastAsia" w:hAnsi="Times New Roman"/>
          <w:color w:val="000000"/>
        </w:rPr>
      </w:pPr>
      <w:r w:rsidRPr="00C24ACA">
        <w:rPr>
          <w:rFonts w:eastAsiaTheme="minorEastAsia"/>
          <w:noProof/>
          <w:color w:val="000000"/>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本基金的业绩比较基准已经转换为以人民币计价。</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自</w:t>
      </w:r>
      <w:r>
        <w:rPr>
          <w:rFonts w:eastAsiaTheme="minorEastAsia"/>
          <w:kern w:val="0"/>
          <w:szCs w:val="21"/>
        </w:rPr>
        <w:t>2018</w:t>
      </w:r>
      <w:r>
        <w:rPr>
          <w:rFonts w:eastAsiaTheme="minorEastAsia"/>
          <w:kern w:val="0"/>
          <w:szCs w:val="21"/>
        </w:rPr>
        <w:t>年</w:t>
      </w:r>
      <w:r>
        <w:rPr>
          <w:rFonts w:eastAsiaTheme="minorEastAsia"/>
          <w:kern w:val="0"/>
          <w:szCs w:val="21"/>
        </w:rPr>
        <w:t>2</w:t>
      </w:r>
      <w:r>
        <w:rPr>
          <w:rFonts w:eastAsiaTheme="minorEastAsia"/>
          <w:kern w:val="0"/>
          <w:szCs w:val="21"/>
        </w:rPr>
        <w:t>月</w:t>
      </w:r>
      <w:r>
        <w:rPr>
          <w:rFonts w:eastAsiaTheme="minorEastAsia"/>
          <w:kern w:val="0"/>
          <w:szCs w:val="21"/>
        </w:rPr>
        <w:t>9</w:t>
      </w:r>
      <w:r>
        <w:rPr>
          <w:rFonts w:eastAsiaTheme="minorEastAsia"/>
          <w:kern w:val="0"/>
          <w:szCs w:val="21"/>
        </w:rPr>
        <w:t>日起，本基金增设</w:t>
      </w:r>
      <w:r>
        <w:rPr>
          <w:rFonts w:eastAsiaTheme="minorEastAsia"/>
          <w:kern w:val="0"/>
          <w:szCs w:val="21"/>
        </w:rPr>
        <w:t>C</w:t>
      </w:r>
      <w:r>
        <w:rPr>
          <w:rFonts w:eastAsiaTheme="minorEastAsia"/>
          <w:kern w:val="0"/>
          <w:szCs w:val="21"/>
        </w:rPr>
        <w:t>类份额类别，份额首次确认日为</w:t>
      </w:r>
      <w:r>
        <w:rPr>
          <w:rFonts w:eastAsiaTheme="minorEastAsia"/>
          <w:kern w:val="0"/>
          <w:szCs w:val="21"/>
        </w:rPr>
        <w:t>2018</w:t>
      </w:r>
      <w:r>
        <w:rPr>
          <w:rFonts w:eastAsiaTheme="minorEastAsia"/>
          <w:kern w:val="0"/>
          <w:szCs w:val="21"/>
        </w:rPr>
        <w:t>年</w:t>
      </w:r>
      <w:r>
        <w:rPr>
          <w:rFonts w:eastAsiaTheme="minorEastAsia"/>
          <w:kern w:val="0"/>
          <w:szCs w:val="21"/>
        </w:rPr>
        <w:t>2</w:t>
      </w:r>
      <w:r>
        <w:rPr>
          <w:rFonts w:eastAsiaTheme="minorEastAsia"/>
          <w:kern w:val="0"/>
          <w:szCs w:val="21"/>
        </w:rPr>
        <w:t>月</w:t>
      </w:r>
      <w:r>
        <w:rPr>
          <w:rFonts w:eastAsiaTheme="minorEastAsia"/>
          <w:kern w:val="0"/>
          <w:szCs w:val="21"/>
        </w:rPr>
        <w:t>12</w:t>
      </w:r>
      <w:r>
        <w:rPr>
          <w:rFonts w:eastAsiaTheme="minorEastAsia"/>
          <w:kern w:val="0"/>
          <w:szCs w:val="21"/>
        </w:rPr>
        <w:t>日，增设当期的相关数据和指标按实际存续期计算。</w:t>
      </w:r>
    </w:p>
    <w:p w:rsidR="00FC6E91" w:rsidRPr="00C24ACA" w:rsidRDefault="00FC6E91"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3.</w:t>
      </w:r>
      <w:r w:rsidRPr="00C24ACA">
        <w:rPr>
          <w:rFonts w:eastAsiaTheme="minorEastAsia"/>
          <w:kern w:val="0"/>
          <w:szCs w:val="21"/>
        </w:rPr>
        <w:t>自基金合同生效至报告期末，</w:t>
      </w:r>
      <w:r w:rsidRPr="00C24ACA">
        <w:rPr>
          <w:rFonts w:eastAsiaTheme="minorEastAsia"/>
          <w:kern w:val="0"/>
          <w:szCs w:val="21"/>
        </w:rPr>
        <w:t>A</w:t>
      </w:r>
      <w:r w:rsidRPr="00C24ACA">
        <w:rPr>
          <w:rFonts w:eastAsiaTheme="minorEastAsia"/>
          <w:kern w:val="0"/>
          <w:szCs w:val="21"/>
        </w:rPr>
        <w:t>类基金份额净值增长率为</w:t>
      </w:r>
      <w:r w:rsidRPr="00C24ACA">
        <w:rPr>
          <w:rFonts w:eastAsiaTheme="minorEastAsia"/>
          <w:kern w:val="0"/>
          <w:szCs w:val="21"/>
        </w:rPr>
        <w:t>101.20%</w:t>
      </w:r>
      <w:r w:rsidRPr="00C24ACA">
        <w:rPr>
          <w:rFonts w:eastAsiaTheme="minorEastAsia"/>
          <w:kern w:val="0"/>
          <w:szCs w:val="21"/>
        </w:rPr>
        <w:t>，同期业绩比较基准收益率为</w:t>
      </w:r>
      <w:r w:rsidRPr="00C24ACA">
        <w:rPr>
          <w:rFonts w:eastAsiaTheme="minorEastAsia"/>
          <w:kern w:val="0"/>
          <w:szCs w:val="21"/>
        </w:rPr>
        <w:t>137.80%</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类基金份额净值增长率为</w:t>
      </w:r>
      <w:r w:rsidRPr="00C24ACA">
        <w:rPr>
          <w:rFonts w:eastAsiaTheme="minorEastAsia"/>
          <w:kern w:val="0"/>
          <w:szCs w:val="21"/>
        </w:rPr>
        <w:t>14.74%</w:t>
      </w:r>
      <w:r w:rsidRPr="00C24ACA">
        <w:rPr>
          <w:rFonts w:eastAsiaTheme="minorEastAsia"/>
          <w:kern w:val="0"/>
          <w:szCs w:val="21"/>
        </w:rPr>
        <w:t>，同期业绩比较基准收益率为</w:t>
      </w:r>
      <w:r w:rsidRPr="00C24ACA">
        <w:rPr>
          <w:rFonts w:eastAsiaTheme="minorEastAsia"/>
          <w:kern w:val="0"/>
          <w:szCs w:val="21"/>
        </w:rPr>
        <w:t>17.18%</w:t>
      </w:r>
      <w:r w:rsidRPr="00C24ACA">
        <w:rPr>
          <w:rFonts w:eastAsiaTheme="minorEastAsia"/>
          <w:kern w:val="0"/>
          <w:szCs w:val="21"/>
        </w:rPr>
        <w:t>。</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80" w:name="_Toc225498254"/>
      <w:bookmarkStart w:id="81" w:name="_Toc352255971"/>
      <w:bookmarkStart w:id="82" w:name="_Toc352256039"/>
      <w:bookmarkStart w:id="83" w:name="_Toc352331217"/>
      <w:bookmarkStart w:id="84" w:name="_Toc390164802"/>
      <w:bookmarkStart w:id="85" w:name="_Toc48662907"/>
      <w:r w:rsidRPr="000C6CCD">
        <w:rPr>
          <w:rFonts w:ascii="宋体" w:hAnsi="宋体"/>
          <w:bCs w:val="0"/>
          <w:color w:val="000000"/>
          <w:sz w:val="21"/>
          <w:szCs w:val="21"/>
        </w:rPr>
        <w:t>4</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管理人报告</w:t>
      </w:r>
      <w:bookmarkEnd w:id="80"/>
      <w:bookmarkEnd w:id="81"/>
      <w:bookmarkEnd w:id="82"/>
      <w:bookmarkEnd w:id="83"/>
      <w:bookmarkEnd w:id="84"/>
      <w:bookmarkEnd w:id="85"/>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86" w:name="_Toc352255972"/>
      <w:bookmarkStart w:id="87" w:name="_Toc352256040"/>
      <w:bookmarkStart w:id="88" w:name="_Toc352331218"/>
      <w:bookmarkStart w:id="89" w:name="_Toc362423996"/>
      <w:bookmarkStart w:id="90" w:name="_Toc374459258"/>
      <w:bookmarkStart w:id="91" w:name="_Toc48662908"/>
      <w:r w:rsidRPr="0087359D">
        <w:rPr>
          <w:rFonts w:ascii="宋体" w:hAnsi="宋体"/>
          <w:kern w:val="0"/>
          <w:sz w:val="21"/>
          <w:szCs w:val="21"/>
        </w:rPr>
        <w:t>4.1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基金管理人及基金经理情况</w:t>
      </w:r>
      <w:bookmarkEnd w:id="86"/>
      <w:bookmarkEnd w:id="87"/>
      <w:bookmarkEnd w:id="88"/>
      <w:bookmarkEnd w:id="89"/>
      <w:bookmarkEnd w:id="90"/>
      <w:bookmarkEnd w:id="91"/>
    </w:p>
    <w:p w:rsidR="00FC5407" w:rsidRPr="00C24ACA" w:rsidRDefault="00FC5407" w:rsidP="00FC5407">
      <w:pPr>
        <w:autoSpaceDE w:val="0"/>
        <w:autoSpaceDN w:val="0"/>
        <w:adjustRightInd w:val="0"/>
        <w:spacing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4.1.1 </w:t>
      </w:r>
      <w:r w:rsidRPr="00C24ACA">
        <w:rPr>
          <w:rFonts w:eastAsiaTheme="minorEastAsia"/>
          <w:b/>
          <w:color w:val="000000" w:themeColor="text1"/>
          <w:kern w:val="0"/>
          <w:szCs w:val="21"/>
        </w:rPr>
        <w:t>基金管理人及其管理基金的经验</w:t>
      </w:r>
    </w:p>
    <w:p w:rsidR="00FC5407" w:rsidRPr="00C24ACA" w:rsidRDefault="00FC5407" w:rsidP="008134C7">
      <w:pPr>
        <w:spacing w:line="360" w:lineRule="auto"/>
        <w:ind w:firstLineChars="200" w:firstLine="420"/>
        <w:rPr>
          <w:rFonts w:eastAsiaTheme="minorEastAsia"/>
          <w:color w:val="000000" w:themeColor="text1"/>
          <w:szCs w:val="21"/>
        </w:rPr>
      </w:pPr>
      <w:r w:rsidRPr="00C24ACA">
        <w:rPr>
          <w:rFonts w:eastAsiaTheme="minorEastAsia"/>
          <w:color w:val="000000" w:themeColor="text1"/>
          <w:szCs w:val="21"/>
        </w:rPr>
        <w:t>经中国证监会证监基金字</w:t>
      </w:r>
      <w:r w:rsidRPr="00C24ACA">
        <w:rPr>
          <w:rFonts w:eastAsiaTheme="minorEastAsia"/>
          <w:color w:val="000000" w:themeColor="text1"/>
          <w:szCs w:val="21"/>
        </w:rPr>
        <w:t>[2001]4</w:t>
      </w:r>
      <w:r w:rsidRPr="00C24ACA">
        <w:rPr>
          <w:rFonts w:eastAsiaTheme="minorEastAsia"/>
          <w:color w:val="000000" w:themeColor="text1"/>
          <w:szCs w:val="21"/>
        </w:rPr>
        <w:t>号文批准，本基金管理人成立于</w:t>
      </w:r>
      <w:r w:rsidRPr="00C24ACA">
        <w:rPr>
          <w:rFonts w:eastAsiaTheme="minorEastAsia"/>
          <w:color w:val="000000" w:themeColor="text1"/>
          <w:szCs w:val="21"/>
        </w:rPr>
        <w:t>2001</w:t>
      </w:r>
      <w:r w:rsidRPr="00C24ACA">
        <w:rPr>
          <w:rFonts w:eastAsiaTheme="minorEastAsia"/>
          <w:color w:val="000000" w:themeColor="text1"/>
          <w:szCs w:val="21"/>
        </w:rPr>
        <w:t>年</w:t>
      </w:r>
      <w:r w:rsidRPr="00C24ACA">
        <w:rPr>
          <w:rFonts w:eastAsiaTheme="minorEastAsia"/>
          <w:color w:val="000000" w:themeColor="text1"/>
          <w:szCs w:val="21"/>
        </w:rPr>
        <w:t>4</w:t>
      </w:r>
      <w:r w:rsidRPr="00C24ACA">
        <w:rPr>
          <w:rFonts w:eastAsiaTheme="minorEastAsia"/>
          <w:color w:val="000000" w:themeColor="text1"/>
          <w:szCs w:val="21"/>
        </w:rPr>
        <w:t>月</w:t>
      </w:r>
      <w:r w:rsidRPr="00C24ACA">
        <w:rPr>
          <w:rFonts w:eastAsiaTheme="minorEastAsia"/>
          <w:color w:val="000000" w:themeColor="text1"/>
          <w:szCs w:val="21"/>
        </w:rPr>
        <w:t>17</w:t>
      </w:r>
      <w:r w:rsidRPr="00C24ACA">
        <w:rPr>
          <w:rFonts w:eastAsiaTheme="minorEastAsia"/>
          <w:color w:val="000000" w:themeColor="text1"/>
          <w:szCs w:val="21"/>
        </w:rPr>
        <w:t>日，总部设在广州，在北京、上海、香港等地设有分公司或子公司。本基金管理人拥有公募、社保、年金、特定客户资产管理、</w:t>
      </w:r>
      <w:r w:rsidRPr="00C24ACA">
        <w:rPr>
          <w:rFonts w:eastAsiaTheme="minorEastAsia"/>
          <w:color w:val="000000" w:themeColor="text1"/>
          <w:szCs w:val="21"/>
        </w:rPr>
        <w:t>QDII</w:t>
      </w:r>
      <w:r w:rsidRPr="00C24ACA">
        <w:rPr>
          <w:rFonts w:eastAsiaTheme="minorEastAsia"/>
          <w:color w:val="000000" w:themeColor="text1"/>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4.1.2 </w:t>
      </w:r>
      <w:r w:rsidRPr="00C24ACA">
        <w:rPr>
          <w:rFonts w:eastAsiaTheme="minorEastAsia"/>
          <w:b/>
          <w:color w:val="000000" w:themeColor="text1"/>
          <w:kern w:val="0"/>
          <w:szCs w:val="21"/>
        </w:rPr>
        <w:t>基金经理（或基金经理小组）及基金经理助理的简介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9"/>
        <w:gridCol w:w="1568"/>
        <w:gridCol w:w="1292"/>
        <w:gridCol w:w="1294"/>
        <w:gridCol w:w="1200"/>
        <w:gridCol w:w="2625"/>
      </w:tblGrid>
      <w:tr w:rsidR="00FC5407" w:rsidRPr="00C24ACA" w:rsidTr="008F4C10">
        <w:tc>
          <w:tcPr>
            <w:tcW w:w="653"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姓名</w:t>
            </w:r>
          </w:p>
        </w:tc>
        <w:tc>
          <w:tcPr>
            <w:tcW w:w="8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职务</w:t>
            </w:r>
          </w:p>
        </w:tc>
        <w:tc>
          <w:tcPr>
            <w:tcW w:w="1409" w:type="pct"/>
            <w:gridSpan w:val="2"/>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任本基金的基金经理（助理）期限</w:t>
            </w:r>
          </w:p>
        </w:tc>
        <w:tc>
          <w:tcPr>
            <w:tcW w:w="6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证券从业年限</w:t>
            </w:r>
          </w:p>
        </w:tc>
        <w:tc>
          <w:tcPr>
            <w:tcW w:w="1431"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说明</w:t>
            </w:r>
          </w:p>
        </w:tc>
      </w:tr>
      <w:tr w:rsidR="00FC5407" w:rsidRPr="00C24ACA" w:rsidTr="008F4C10">
        <w:tc>
          <w:tcPr>
            <w:tcW w:w="653"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8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任职日期</w:t>
            </w: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离任日期</w:t>
            </w:r>
          </w:p>
        </w:tc>
        <w:tc>
          <w:tcPr>
            <w:tcW w:w="6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1431"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r>
      <w:tr w:rsidR="00BB5C1E">
        <w:tc>
          <w:tcPr>
            <w:tcW w:w="0" w:type="auto"/>
            <w:vAlign w:val="center"/>
          </w:tcPr>
          <w:p w:rsidR="00BB5C1E" w:rsidRDefault="00AF434F">
            <w:pPr>
              <w:jc w:val="center"/>
            </w:pPr>
            <w:r>
              <w:rPr>
                <w:rFonts w:eastAsiaTheme="minorEastAsia"/>
                <w:color w:val="000000" w:themeColor="text1"/>
                <w:szCs w:val="21"/>
              </w:rPr>
              <w:t>张胜记</w:t>
            </w:r>
          </w:p>
        </w:tc>
        <w:tc>
          <w:tcPr>
            <w:tcW w:w="0" w:type="auto"/>
            <w:vAlign w:val="center"/>
          </w:tcPr>
          <w:p w:rsidR="00BB5C1E" w:rsidRDefault="00AF434F">
            <w:pPr>
              <w:jc w:val="left"/>
            </w:pPr>
            <w:r>
              <w:rPr>
                <w:rFonts w:eastAsiaTheme="minorEastAsia"/>
                <w:color w:val="000000" w:themeColor="text1"/>
                <w:szCs w:val="21"/>
              </w:rPr>
              <w:t>本基金的基金经理、易方达恒生中国企业交易型开放式指数证券投资基金的基金经理（自</w:t>
            </w:r>
            <w:r>
              <w:rPr>
                <w:rFonts w:eastAsiaTheme="minorEastAsia"/>
                <w:color w:val="000000" w:themeColor="text1"/>
                <w:szCs w:val="21"/>
              </w:rPr>
              <w:t>2012</w:t>
            </w:r>
            <w:r>
              <w:rPr>
                <w:rFonts w:eastAsiaTheme="minorEastAsia"/>
                <w:color w:val="000000" w:themeColor="text1"/>
                <w:szCs w:val="21"/>
              </w:rPr>
              <w:t>年</w:t>
            </w:r>
            <w:r>
              <w:rPr>
                <w:rFonts w:eastAsiaTheme="minorEastAsia"/>
                <w:color w:val="000000" w:themeColor="text1"/>
                <w:szCs w:val="21"/>
              </w:rPr>
              <w:t>08</w:t>
            </w:r>
            <w:r>
              <w:rPr>
                <w:rFonts w:eastAsiaTheme="minorEastAsia"/>
                <w:color w:val="000000" w:themeColor="text1"/>
                <w:szCs w:val="21"/>
              </w:rPr>
              <w:t>月</w:t>
            </w:r>
            <w:r>
              <w:rPr>
                <w:rFonts w:eastAsiaTheme="minorEastAsia"/>
                <w:color w:val="000000" w:themeColor="text1"/>
                <w:szCs w:val="21"/>
              </w:rPr>
              <w:t>09</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日）、易方达恒生中国企业交易型开放式指数证券投资基金联接基金的基金经理（自</w:t>
            </w:r>
            <w:r>
              <w:rPr>
                <w:rFonts w:eastAsiaTheme="minorEastAsia"/>
                <w:color w:val="000000" w:themeColor="text1"/>
                <w:szCs w:val="21"/>
              </w:rPr>
              <w:t>2012</w:t>
            </w:r>
            <w:r>
              <w:rPr>
                <w:rFonts w:eastAsiaTheme="minorEastAsia"/>
                <w:color w:val="000000" w:themeColor="text1"/>
                <w:szCs w:val="21"/>
              </w:rPr>
              <w:t>年</w:t>
            </w:r>
            <w:r>
              <w:rPr>
                <w:rFonts w:eastAsiaTheme="minorEastAsia"/>
                <w:color w:val="000000" w:themeColor="text1"/>
                <w:szCs w:val="21"/>
              </w:rPr>
              <w:t>08</w:t>
            </w:r>
            <w:r>
              <w:rPr>
                <w:rFonts w:eastAsiaTheme="minorEastAsia"/>
                <w:color w:val="000000" w:themeColor="text1"/>
                <w:szCs w:val="21"/>
              </w:rPr>
              <w:t>月</w:t>
            </w:r>
            <w:r>
              <w:rPr>
                <w:rFonts w:eastAsiaTheme="minorEastAsia"/>
                <w:color w:val="000000" w:themeColor="text1"/>
                <w:szCs w:val="21"/>
              </w:rPr>
              <w:t>21</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日）、易方达</w:t>
            </w:r>
            <w:r>
              <w:rPr>
                <w:rFonts w:eastAsiaTheme="minorEastAsia"/>
                <w:color w:val="000000" w:themeColor="text1"/>
                <w:szCs w:val="21"/>
              </w:rPr>
              <w:t>50</w:t>
            </w:r>
            <w:r>
              <w:rPr>
                <w:rFonts w:eastAsiaTheme="minorEastAsia"/>
                <w:color w:val="000000" w:themeColor="text1"/>
                <w:szCs w:val="21"/>
              </w:rPr>
              <w:t>指数证券投资基金的基金经理、易方达香港恒生综合小型股指数证券投资基金（</w:t>
            </w:r>
            <w:r>
              <w:rPr>
                <w:rFonts w:eastAsiaTheme="minorEastAsia"/>
                <w:color w:val="000000" w:themeColor="text1"/>
                <w:szCs w:val="21"/>
              </w:rPr>
              <w:t>LOF</w:t>
            </w:r>
            <w:r>
              <w:rPr>
                <w:rFonts w:eastAsiaTheme="minorEastAsia"/>
                <w:color w:val="000000" w:themeColor="text1"/>
                <w:szCs w:val="21"/>
              </w:rPr>
              <w:t>）的基金经理（自</w:t>
            </w:r>
            <w:r>
              <w:rPr>
                <w:rFonts w:eastAsiaTheme="minorEastAsia"/>
                <w:color w:val="000000" w:themeColor="text1"/>
                <w:szCs w:val="21"/>
              </w:rPr>
              <w:t>2016</w:t>
            </w:r>
            <w:r>
              <w:rPr>
                <w:rFonts w:eastAsiaTheme="minorEastAsia"/>
                <w:color w:val="000000" w:themeColor="text1"/>
                <w:szCs w:val="21"/>
              </w:rPr>
              <w:t>年</w:t>
            </w:r>
            <w:r>
              <w:rPr>
                <w:rFonts w:eastAsiaTheme="minorEastAsia"/>
                <w:color w:val="000000" w:themeColor="text1"/>
                <w:szCs w:val="21"/>
              </w:rPr>
              <w:t>11</w:t>
            </w:r>
            <w:r>
              <w:rPr>
                <w:rFonts w:eastAsiaTheme="minorEastAsia"/>
                <w:color w:val="000000" w:themeColor="text1"/>
                <w:szCs w:val="21"/>
              </w:rPr>
              <w:t>月</w:t>
            </w:r>
            <w:r>
              <w:rPr>
                <w:rFonts w:eastAsiaTheme="minorEastAsia"/>
                <w:color w:val="000000" w:themeColor="text1"/>
                <w:szCs w:val="21"/>
              </w:rPr>
              <w:t>02</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日）、易方达原油证券投资基金（</w:t>
            </w:r>
            <w:r>
              <w:rPr>
                <w:rFonts w:eastAsiaTheme="minorEastAsia"/>
                <w:color w:val="000000" w:themeColor="text1"/>
                <w:szCs w:val="21"/>
              </w:rPr>
              <w:t>QDII</w:t>
            </w:r>
            <w:r>
              <w:rPr>
                <w:rFonts w:eastAsiaTheme="minorEastAsia"/>
                <w:color w:val="000000" w:themeColor="text1"/>
                <w:szCs w:val="21"/>
              </w:rPr>
              <w:t>）的基金经理（自</w:t>
            </w:r>
            <w:r>
              <w:rPr>
                <w:rFonts w:eastAsiaTheme="minorEastAsia"/>
                <w:color w:val="000000" w:themeColor="text1"/>
                <w:szCs w:val="21"/>
              </w:rPr>
              <w:t>2016</w:t>
            </w:r>
            <w:r>
              <w:rPr>
                <w:rFonts w:eastAsiaTheme="minorEastAsia"/>
                <w:color w:val="000000" w:themeColor="text1"/>
                <w:szCs w:val="21"/>
              </w:rPr>
              <w:t>年</w:t>
            </w:r>
            <w:r>
              <w:rPr>
                <w:rFonts w:eastAsiaTheme="minorEastAsia"/>
                <w:color w:val="000000" w:themeColor="text1"/>
                <w:szCs w:val="21"/>
              </w:rPr>
              <w:t>12</w:t>
            </w:r>
            <w:r>
              <w:rPr>
                <w:rFonts w:eastAsiaTheme="minorEastAsia"/>
                <w:color w:val="000000" w:themeColor="text1"/>
                <w:szCs w:val="21"/>
              </w:rPr>
              <w:t>月</w:t>
            </w:r>
            <w:r>
              <w:rPr>
                <w:rFonts w:eastAsiaTheme="minorEastAsia"/>
                <w:color w:val="000000" w:themeColor="text1"/>
                <w:szCs w:val="21"/>
              </w:rPr>
              <w:t>19</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日）、指数增强投资部联席总经理</w:t>
            </w:r>
          </w:p>
        </w:tc>
        <w:tc>
          <w:tcPr>
            <w:tcW w:w="0" w:type="auto"/>
            <w:vAlign w:val="center"/>
          </w:tcPr>
          <w:p w:rsidR="00BB5C1E" w:rsidRDefault="00AF434F">
            <w:pPr>
              <w:jc w:val="center"/>
            </w:pPr>
            <w:r>
              <w:rPr>
                <w:rFonts w:eastAsiaTheme="minorEastAsia"/>
                <w:color w:val="000000" w:themeColor="text1"/>
                <w:szCs w:val="21"/>
              </w:rPr>
              <w:t>2014-09-13</w:t>
            </w:r>
          </w:p>
        </w:tc>
        <w:tc>
          <w:tcPr>
            <w:tcW w:w="0" w:type="auto"/>
            <w:vAlign w:val="center"/>
          </w:tcPr>
          <w:p w:rsidR="00BB5C1E" w:rsidRDefault="00AF434F">
            <w:pPr>
              <w:jc w:val="center"/>
            </w:pPr>
            <w:r>
              <w:rPr>
                <w:rFonts w:eastAsiaTheme="minorEastAsia"/>
                <w:color w:val="000000" w:themeColor="text1"/>
                <w:szCs w:val="21"/>
              </w:rPr>
              <w:t>-</w:t>
            </w:r>
          </w:p>
        </w:tc>
        <w:tc>
          <w:tcPr>
            <w:tcW w:w="0" w:type="auto"/>
            <w:vAlign w:val="center"/>
          </w:tcPr>
          <w:p w:rsidR="00BB5C1E" w:rsidRDefault="00AF434F">
            <w:pPr>
              <w:jc w:val="center"/>
            </w:pPr>
            <w:r>
              <w:rPr>
                <w:rFonts w:eastAsiaTheme="minorEastAsia"/>
                <w:color w:val="000000" w:themeColor="text1"/>
                <w:szCs w:val="21"/>
              </w:rPr>
              <w:t>15</w:t>
            </w:r>
            <w:r>
              <w:rPr>
                <w:rFonts w:eastAsiaTheme="minorEastAsia"/>
                <w:color w:val="000000" w:themeColor="text1"/>
                <w:szCs w:val="21"/>
              </w:rPr>
              <w:t>年</w:t>
            </w:r>
          </w:p>
        </w:tc>
        <w:tc>
          <w:tcPr>
            <w:tcW w:w="0" w:type="auto"/>
            <w:vAlign w:val="center"/>
          </w:tcPr>
          <w:p w:rsidR="00BB5C1E" w:rsidRDefault="00AF434F">
            <w:pPr>
              <w:jc w:val="left"/>
            </w:pPr>
            <w:r>
              <w:rPr>
                <w:rFonts w:eastAsiaTheme="minorEastAsia"/>
                <w:color w:val="000000" w:themeColor="text1"/>
                <w:szCs w:val="21"/>
              </w:rPr>
              <w:t>硕士研究生，具有基金从业资格。曾任易方达基金管理有限公司投资经理助理、基金经理助理、行业研究员、指数与量化投资部总经理助理、指数与量化投资部副总经理、指数及增强投资部副总经理、指数投资部总经理、易方达沪深</w:t>
            </w:r>
            <w:r>
              <w:rPr>
                <w:rFonts w:eastAsiaTheme="minorEastAsia"/>
                <w:color w:val="000000" w:themeColor="text1"/>
                <w:szCs w:val="21"/>
              </w:rPr>
              <w:t>300</w:t>
            </w:r>
            <w:r>
              <w:rPr>
                <w:rFonts w:eastAsiaTheme="minorEastAsia"/>
                <w:color w:val="000000" w:themeColor="text1"/>
                <w:szCs w:val="21"/>
              </w:rPr>
              <w:t>交易型开放式指数发起式证券投资基金联接基金（原易方达沪深</w:t>
            </w:r>
            <w:r>
              <w:rPr>
                <w:rFonts w:eastAsiaTheme="minorEastAsia"/>
                <w:color w:val="000000" w:themeColor="text1"/>
                <w:szCs w:val="21"/>
              </w:rPr>
              <w:t>300</w:t>
            </w:r>
            <w:r>
              <w:rPr>
                <w:rFonts w:eastAsiaTheme="minorEastAsia"/>
                <w:color w:val="000000" w:themeColor="text1"/>
                <w:szCs w:val="21"/>
              </w:rPr>
              <w:t>指数证券投资基金）基金经理、易方达上证中盘交易型开放式指数证券投资基金基金经理、易方达上证中盘交易型开放式指数证券投资基金联接基金基金经理、易方达标普医疗保健指数证券投资基金（</w:t>
            </w:r>
            <w:r>
              <w:rPr>
                <w:rFonts w:eastAsiaTheme="minorEastAsia"/>
                <w:color w:val="000000" w:themeColor="text1"/>
                <w:szCs w:val="21"/>
              </w:rPr>
              <w:t>LOF</w:t>
            </w:r>
            <w:r>
              <w:rPr>
                <w:rFonts w:eastAsiaTheme="minorEastAsia"/>
                <w:color w:val="000000" w:themeColor="text1"/>
                <w:szCs w:val="21"/>
              </w:rPr>
              <w:t>）基金经理、易方达标普</w:t>
            </w:r>
            <w:r>
              <w:rPr>
                <w:rFonts w:eastAsiaTheme="minorEastAsia"/>
                <w:color w:val="000000" w:themeColor="text1"/>
                <w:szCs w:val="21"/>
              </w:rPr>
              <w:t>500</w:t>
            </w:r>
            <w:r>
              <w:rPr>
                <w:rFonts w:eastAsiaTheme="minorEastAsia"/>
                <w:color w:val="000000" w:themeColor="text1"/>
                <w:szCs w:val="21"/>
              </w:rPr>
              <w:t>指数证券投资基金（</w:t>
            </w:r>
            <w:r>
              <w:rPr>
                <w:rFonts w:eastAsiaTheme="minorEastAsia"/>
                <w:color w:val="000000" w:themeColor="text1"/>
                <w:szCs w:val="21"/>
              </w:rPr>
              <w:t>LOF</w:t>
            </w:r>
            <w:r>
              <w:rPr>
                <w:rFonts w:eastAsiaTheme="minorEastAsia"/>
                <w:color w:val="000000" w:themeColor="text1"/>
                <w:szCs w:val="21"/>
              </w:rPr>
              <w:t>）基金经理、易方达标普生物科技指数证券投资基金（</w:t>
            </w:r>
            <w:r>
              <w:rPr>
                <w:rFonts w:eastAsiaTheme="minorEastAsia"/>
                <w:color w:val="000000" w:themeColor="text1"/>
                <w:szCs w:val="21"/>
              </w:rPr>
              <w:t>LOF</w:t>
            </w:r>
            <w:r>
              <w:rPr>
                <w:rFonts w:eastAsiaTheme="minorEastAsia"/>
                <w:color w:val="000000" w:themeColor="text1"/>
                <w:szCs w:val="21"/>
              </w:rPr>
              <w:t>）基金经理、易方达标普信息科技指数证券投资基金（</w:t>
            </w:r>
            <w:r>
              <w:rPr>
                <w:rFonts w:eastAsiaTheme="minorEastAsia"/>
                <w:color w:val="000000" w:themeColor="text1"/>
                <w:szCs w:val="21"/>
              </w:rPr>
              <w:t>LOF</w:t>
            </w:r>
            <w:r>
              <w:rPr>
                <w:rFonts w:eastAsiaTheme="minorEastAsia"/>
                <w:color w:val="000000" w:themeColor="text1"/>
                <w:szCs w:val="21"/>
              </w:rPr>
              <w:t>）基金经理。</w:t>
            </w:r>
          </w:p>
        </w:tc>
      </w:tr>
      <w:tr w:rsidR="00BB5C1E">
        <w:tc>
          <w:tcPr>
            <w:tcW w:w="0" w:type="auto"/>
            <w:vAlign w:val="center"/>
          </w:tcPr>
          <w:p w:rsidR="00BB5C1E" w:rsidRDefault="00AF434F">
            <w:pPr>
              <w:jc w:val="center"/>
            </w:pPr>
            <w:r>
              <w:rPr>
                <w:rFonts w:eastAsiaTheme="minorEastAsia"/>
                <w:color w:val="000000" w:themeColor="text1"/>
                <w:szCs w:val="21"/>
              </w:rPr>
              <w:t>FAN BING</w:t>
            </w:r>
            <w:r>
              <w:rPr>
                <w:rFonts w:eastAsiaTheme="minorEastAsia"/>
                <w:color w:val="000000" w:themeColor="text1"/>
                <w:szCs w:val="21"/>
              </w:rPr>
              <w:t>（范冰）</w:t>
            </w:r>
          </w:p>
        </w:tc>
        <w:tc>
          <w:tcPr>
            <w:tcW w:w="0" w:type="auto"/>
            <w:vAlign w:val="center"/>
          </w:tcPr>
          <w:p w:rsidR="00BB5C1E" w:rsidRDefault="00AF434F">
            <w:pPr>
              <w:jc w:val="left"/>
            </w:pPr>
            <w:r>
              <w:rPr>
                <w:rFonts w:eastAsiaTheme="minorEastAsia"/>
                <w:color w:val="000000" w:themeColor="text1"/>
                <w:szCs w:val="21"/>
              </w:rPr>
              <w:t>本基金的基金经理、易方达标普生物科技指数证券投资基金（</w:t>
            </w:r>
            <w:r>
              <w:rPr>
                <w:rFonts w:eastAsiaTheme="minorEastAsia"/>
                <w:color w:val="000000" w:themeColor="text1"/>
                <w:szCs w:val="21"/>
              </w:rPr>
              <w:t>LOF</w:t>
            </w:r>
            <w:r>
              <w:rPr>
                <w:rFonts w:eastAsiaTheme="minorEastAsia"/>
                <w:color w:val="000000" w:themeColor="text1"/>
                <w:szCs w:val="21"/>
              </w:rPr>
              <w:t>）的基金经理、易方达原油证券投资基金（</w:t>
            </w:r>
            <w:r>
              <w:rPr>
                <w:rFonts w:eastAsiaTheme="minorEastAsia"/>
                <w:color w:val="000000" w:themeColor="text1"/>
                <w:szCs w:val="21"/>
              </w:rPr>
              <w:t>QDII</w:t>
            </w:r>
            <w:r>
              <w:rPr>
                <w:rFonts w:eastAsiaTheme="minorEastAsia"/>
                <w:color w:val="000000" w:themeColor="text1"/>
                <w:szCs w:val="21"/>
              </w:rPr>
              <w:t>）的基金经理、易方达中证海外中国互联网</w:t>
            </w:r>
            <w:r>
              <w:rPr>
                <w:rFonts w:eastAsiaTheme="minorEastAsia"/>
                <w:color w:val="000000" w:themeColor="text1"/>
                <w:szCs w:val="21"/>
              </w:rPr>
              <w:t>50</w:t>
            </w:r>
            <w:r>
              <w:rPr>
                <w:rFonts w:eastAsiaTheme="minorEastAsia"/>
                <w:color w:val="000000" w:themeColor="text1"/>
                <w:szCs w:val="21"/>
              </w:rPr>
              <w:t>交易型开放式指数证券投资基金的基金经理、易方达标普</w:t>
            </w:r>
            <w:r>
              <w:rPr>
                <w:rFonts w:eastAsiaTheme="minorEastAsia"/>
                <w:color w:val="000000" w:themeColor="text1"/>
                <w:szCs w:val="21"/>
              </w:rPr>
              <w:t>500</w:t>
            </w:r>
            <w:r>
              <w:rPr>
                <w:rFonts w:eastAsiaTheme="minorEastAsia"/>
                <w:color w:val="000000" w:themeColor="text1"/>
                <w:szCs w:val="21"/>
              </w:rPr>
              <w:t>指数证券投资基金（</w:t>
            </w:r>
            <w:r>
              <w:rPr>
                <w:rFonts w:eastAsiaTheme="minorEastAsia"/>
                <w:color w:val="000000" w:themeColor="text1"/>
                <w:szCs w:val="21"/>
              </w:rPr>
              <w:t>LOF</w:t>
            </w:r>
            <w:r>
              <w:rPr>
                <w:rFonts w:eastAsiaTheme="minorEastAsia"/>
                <w:color w:val="000000" w:themeColor="text1"/>
                <w:szCs w:val="21"/>
              </w:rPr>
              <w:t>）的基金经理、易方达标普医疗保健指数证券投资基金（</w:t>
            </w:r>
            <w:r>
              <w:rPr>
                <w:rFonts w:eastAsiaTheme="minorEastAsia"/>
                <w:color w:val="000000" w:themeColor="text1"/>
                <w:szCs w:val="21"/>
              </w:rPr>
              <w:t>LOF</w:t>
            </w:r>
            <w:r>
              <w:rPr>
                <w:rFonts w:eastAsiaTheme="minorEastAsia"/>
                <w:color w:val="000000" w:themeColor="text1"/>
                <w:szCs w:val="21"/>
              </w:rPr>
              <w:t>）的基金经理、易方达黄金交易型开放式证券投资基金联接基金的基金经理、易方达黄金交易型开放式证券投资基金的基金经理、易方达标普信息科技指数证券投资基金（</w:t>
            </w:r>
            <w:r>
              <w:rPr>
                <w:rFonts w:eastAsiaTheme="minorEastAsia"/>
                <w:color w:val="000000" w:themeColor="text1"/>
                <w:szCs w:val="21"/>
              </w:rPr>
              <w:t>LOF</w:t>
            </w:r>
            <w:r>
              <w:rPr>
                <w:rFonts w:eastAsiaTheme="minorEastAsia"/>
                <w:color w:val="000000" w:themeColor="text1"/>
                <w:szCs w:val="21"/>
              </w:rPr>
              <w:t>）的基金经理、易方达纳斯达克</w:t>
            </w:r>
            <w:r>
              <w:rPr>
                <w:rFonts w:eastAsiaTheme="minorEastAsia"/>
                <w:color w:val="000000" w:themeColor="text1"/>
                <w:szCs w:val="21"/>
              </w:rPr>
              <w:t>100</w:t>
            </w:r>
            <w:r>
              <w:rPr>
                <w:rFonts w:eastAsiaTheme="minorEastAsia"/>
                <w:color w:val="000000" w:themeColor="text1"/>
                <w:szCs w:val="21"/>
              </w:rPr>
              <w:t>指数证券投资基金（</w:t>
            </w:r>
            <w:r>
              <w:rPr>
                <w:rFonts w:eastAsiaTheme="minorEastAsia"/>
                <w:color w:val="000000" w:themeColor="text1"/>
                <w:szCs w:val="21"/>
              </w:rPr>
              <w:t>LOF</w:t>
            </w:r>
            <w:r>
              <w:rPr>
                <w:rFonts w:eastAsiaTheme="minorEastAsia"/>
                <w:color w:val="000000" w:themeColor="text1"/>
                <w:szCs w:val="21"/>
              </w:rPr>
              <w:t>）的基金经理、易方达</w:t>
            </w:r>
            <w:r>
              <w:rPr>
                <w:rFonts w:eastAsiaTheme="minorEastAsia"/>
                <w:color w:val="000000" w:themeColor="text1"/>
                <w:szCs w:val="21"/>
              </w:rPr>
              <w:t>MSCI</w:t>
            </w:r>
            <w:r>
              <w:rPr>
                <w:rFonts w:eastAsiaTheme="minorEastAsia"/>
                <w:color w:val="000000" w:themeColor="text1"/>
                <w:szCs w:val="21"/>
              </w:rPr>
              <w:t>中国</w:t>
            </w:r>
            <w:r>
              <w:rPr>
                <w:rFonts w:eastAsiaTheme="minorEastAsia"/>
                <w:color w:val="000000" w:themeColor="text1"/>
                <w:szCs w:val="21"/>
              </w:rPr>
              <w:t>A</w:t>
            </w:r>
            <w:r>
              <w:rPr>
                <w:rFonts w:eastAsiaTheme="minorEastAsia"/>
                <w:color w:val="000000" w:themeColor="text1"/>
                <w:szCs w:val="21"/>
              </w:rPr>
              <w:t>股国际通交易型开放式指数证券投资基金的基金经理、易方达中证海外中国互联网</w:t>
            </w:r>
            <w:r>
              <w:rPr>
                <w:rFonts w:eastAsiaTheme="minorEastAsia"/>
                <w:color w:val="000000" w:themeColor="text1"/>
                <w:szCs w:val="21"/>
              </w:rPr>
              <w:t>50</w:t>
            </w:r>
            <w:r>
              <w:rPr>
                <w:rFonts w:eastAsiaTheme="minorEastAsia"/>
                <w:color w:val="000000" w:themeColor="text1"/>
                <w:szCs w:val="21"/>
              </w:rPr>
              <w:t>交易型开放式指数证券投资基金联接基金的基金经理、易方达</w:t>
            </w:r>
            <w:r>
              <w:rPr>
                <w:rFonts w:eastAsiaTheme="minorEastAsia"/>
                <w:color w:val="000000" w:themeColor="text1"/>
                <w:szCs w:val="21"/>
              </w:rPr>
              <w:t>MSCI</w:t>
            </w:r>
            <w:r>
              <w:rPr>
                <w:rFonts w:eastAsiaTheme="minorEastAsia"/>
                <w:color w:val="000000" w:themeColor="text1"/>
                <w:szCs w:val="21"/>
              </w:rPr>
              <w:t>中国</w:t>
            </w:r>
            <w:r>
              <w:rPr>
                <w:rFonts w:eastAsiaTheme="minorEastAsia"/>
                <w:color w:val="000000" w:themeColor="text1"/>
                <w:szCs w:val="21"/>
              </w:rPr>
              <w:t>A</w:t>
            </w:r>
            <w:r>
              <w:rPr>
                <w:rFonts w:eastAsiaTheme="minorEastAsia"/>
                <w:color w:val="000000" w:themeColor="text1"/>
                <w:szCs w:val="21"/>
              </w:rPr>
              <w:t>股国际通交易型开放式指数证券投资基金发起式联接基金的基金经理、易方达日兴资管日经</w:t>
            </w:r>
            <w:r>
              <w:rPr>
                <w:rFonts w:eastAsiaTheme="minorEastAsia"/>
                <w:color w:val="000000" w:themeColor="text1"/>
                <w:szCs w:val="21"/>
              </w:rPr>
              <w:t>225</w:t>
            </w:r>
            <w:r>
              <w:rPr>
                <w:rFonts w:eastAsiaTheme="minorEastAsia"/>
                <w:color w:val="000000" w:themeColor="text1"/>
                <w:szCs w:val="21"/>
              </w:rPr>
              <w:t>交易型开放式指数证券投资基金（</w:t>
            </w:r>
            <w:r>
              <w:rPr>
                <w:rFonts w:eastAsiaTheme="minorEastAsia"/>
                <w:color w:val="000000" w:themeColor="text1"/>
                <w:szCs w:val="21"/>
              </w:rPr>
              <w:t>QDII</w:t>
            </w:r>
            <w:r>
              <w:rPr>
                <w:rFonts w:eastAsiaTheme="minorEastAsia"/>
                <w:color w:val="000000" w:themeColor="text1"/>
                <w:szCs w:val="21"/>
              </w:rPr>
              <w:t>）的基金经理、易方达中证香港证券投资主题交易型开放式指数证券投资基金的基金经理</w:t>
            </w:r>
          </w:p>
        </w:tc>
        <w:tc>
          <w:tcPr>
            <w:tcW w:w="0" w:type="auto"/>
            <w:vAlign w:val="center"/>
          </w:tcPr>
          <w:p w:rsidR="00BB5C1E" w:rsidRDefault="00AF434F">
            <w:pPr>
              <w:jc w:val="center"/>
            </w:pPr>
            <w:r>
              <w:rPr>
                <w:rFonts w:eastAsiaTheme="minorEastAsia"/>
                <w:color w:val="000000" w:themeColor="text1"/>
                <w:szCs w:val="21"/>
              </w:rPr>
              <w:t>2017-03-25</w:t>
            </w:r>
          </w:p>
        </w:tc>
        <w:tc>
          <w:tcPr>
            <w:tcW w:w="0" w:type="auto"/>
            <w:vAlign w:val="center"/>
          </w:tcPr>
          <w:p w:rsidR="00BB5C1E" w:rsidRDefault="00AF434F">
            <w:pPr>
              <w:jc w:val="center"/>
            </w:pPr>
            <w:r>
              <w:rPr>
                <w:rFonts w:eastAsiaTheme="minorEastAsia"/>
                <w:color w:val="000000" w:themeColor="text1"/>
                <w:szCs w:val="21"/>
              </w:rPr>
              <w:t>2020-03-20</w:t>
            </w:r>
          </w:p>
        </w:tc>
        <w:tc>
          <w:tcPr>
            <w:tcW w:w="0" w:type="auto"/>
            <w:vAlign w:val="center"/>
          </w:tcPr>
          <w:p w:rsidR="00BB5C1E" w:rsidRDefault="00AF434F">
            <w:pPr>
              <w:jc w:val="center"/>
            </w:pPr>
            <w:r>
              <w:rPr>
                <w:rFonts w:eastAsiaTheme="minorEastAsia"/>
                <w:color w:val="000000" w:themeColor="text1"/>
                <w:szCs w:val="21"/>
              </w:rPr>
              <w:t>15</w:t>
            </w:r>
            <w:r>
              <w:rPr>
                <w:rFonts w:eastAsiaTheme="minorEastAsia"/>
                <w:color w:val="000000" w:themeColor="text1"/>
                <w:szCs w:val="21"/>
              </w:rPr>
              <w:t>年</w:t>
            </w:r>
          </w:p>
        </w:tc>
        <w:tc>
          <w:tcPr>
            <w:tcW w:w="0" w:type="auto"/>
            <w:vAlign w:val="center"/>
          </w:tcPr>
          <w:p w:rsidR="00BB5C1E" w:rsidRDefault="00AF434F">
            <w:pPr>
              <w:jc w:val="left"/>
            </w:pPr>
            <w:r>
              <w:rPr>
                <w:rFonts w:eastAsiaTheme="minorEastAsia"/>
                <w:color w:val="000000" w:themeColor="text1"/>
                <w:szCs w:val="21"/>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w:t>
            </w:r>
          </w:p>
        </w:tc>
      </w:tr>
    </w:tbl>
    <w:p w:rsidR="00BB5C1E" w:rsidRDefault="00AF434F">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E519A7" w:rsidRDefault="00FC5407" w:rsidP="00E519A7">
      <w:pPr>
        <w:tabs>
          <w:tab w:val="left" w:pos="426"/>
        </w:tabs>
        <w:spacing w:line="360" w:lineRule="auto"/>
        <w:ind w:firstLineChars="200" w:firstLine="420"/>
        <w:rPr>
          <w:kern w:val="0"/>
          <w:szCs w:val="21"/>
        </w:rPr>
      </w:pPr>
      <w:r w:rsidRPr="001412CA">
        <w:rPr>
          <w:rFonts w:eastAsiaTheme="minorEastAsia"/>
          <w:kern w:val="0"/>
          <w:szCs w:val="21"/>
        </w:rPr>
        <w:t>2.</w:t>
      </w:r>
      <w:r w:rsidRPr="001412CA">
        <w:rPr>
          <w:rFonts w:eastAsiaTheme="minorEastAsia"/>
          <w:kern w:val="0"/>
          <w:szCs w:val="21"/>
        </w:rPr>
        <w:t>证券从业的含义遵从《证券业从业人员资格管理办法》的相关规定。</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92" w:name="_Toc224618356"/>
      <w:bookmarkStart w:id="93" w:name="_Toc235605685"/>
      <w:bookmarkStart w:id="94" w:name="_Toc286929733"/>
      <w:bookmarkStart w:id="95" w:name="_Toc352255973"/>
      <w:bookmarkStart w:id="96" w:name="_Toc352256041"/>
      <w:bookmarkStart w:id="97" w:name="_Toc352331219"/>
      <w:bookmarkStart w:id="98" w:name="_Toc362423997"/>
      <w:bookmarkStart w:id="99" w:name="_Toc374459259"/>
      <w:bookmarkStart w:id="100" w:name="_Toc48662909"/>
      <w:r w:rsidRPr="0087359D">
        <w:rPr>
          <w:rFonts w:ascii="宋体" w:hAnsi="宋体"/>
          <w:kern w:val="0"/>
          <w:sz w:val="21"/>
          <w:szCs w:val="21"/>
        </w:rPr>
        <w:t>4.2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境外投资顾问为本基金提供投资建议的主要成员简介</w:t>
      </w:r>
      <w:bookmarkEnd w:id="92"/>
      <w:bookmarkEnd w:id="93"/>
      <w:bookmarkEnd w:id="94"/>
      <w:bookmarkEnd w:id="95"/>
      <w:bookmarkEnd w:id="96"/>
      <w:bookmarkEnd w:id="97"/>
      <w:bookmarkEnd w:id="98"/>
      <w:bookmarkEnd w:id="99"/>
      <w:bookmarkEnd w:id="100"/>
    </w:p>
    <w:p w:rsidR="00FC5407" w:rsidRPr="001412CA" w:rsidRDefault="00FC5407" w:rsidP="008134C7">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本基金未聘请境外投资顾问。</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01" w:name="_Toc225498256"/>
      <w:bookmarkStart w:id="102" w:name="_Toc352255974"/>
      <w:bookmarkStart w:id="103" w:name="_Toc352256042"/>
      <w:bookmarkStart w:id="104" w:name="_Toc352331220"/>
      <w:bookmarkStart w:id="105" w:name="_Toc362423998"/>
      <w:bookmarkStart w:id="106" w:name="_Toc374459260"/>
      <w:bookmarkStart w:id="107" w:name="_Toc48662910"/>
      <w:r w:rsidRPr="0087359D">
        <w:rPr>
          <w:rFonts w:ascii="宋体" w:hAnsi="宋体"/>
          <w:kern w:val="0"/>
          <w:sz w:val="21"/>
          <w:szCs w:val="21"/>
        </w:rPr>
        <w:t>4.3</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管理人对报告期内本基金运作遵规守信情况的说明</w:t>
      </w:r>
      <w:bookmarkEnd w:id="101"/>
      <w:bookmarkEnd w:id="102"/>
      <w:bookmarkEnd w:id="103"/>
      <w:bookmarkEnd w:id="104"/>
      <w:bookmarkEnd w:id="105"/>
      <w:bookmarkEnd w:id="106"/>
      <w:bookmarkEnd w:id="107"/>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08" w:name="_Toc225498257"/>
      <w:bookmarkStart w:id="109" w:name="_Toc352255975"/>
      <w:bookmarkStart w:id="110" w:name="_Toc352256043"/>
      <w:bookmarkStart w:id="111" w:name="_Toc352331221"/>
      <w:bookmarkStart w:id="112" w:name="_Toc362423999"/>
      <w:bookmarkStart w:id="113" w:name="_Toc374459261"/>
      <w:bookmarkStart w:id="114" w:name="_Toc48662911"/>
      <w:r w:rsidRPr="0087359D">
        <w:rPr>
          <w:rFonts w:ascii="宋体" w:hAnsi="宋体"/>
          <w:kern w:val="0"/>
          <w:sz w:val="21"/>
          <w:szCs w:val="21"/>
        </w:rPr>
        <w:t>4.4</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管理人对报告期内公平交易情况的专项说明</w:t>
      </w:r>
      <w:bookmarkEnd w:id="108"/>
      <w:bookmarkEnd w:id="109"/>
      <w:bookmarkEnd w:id="110"/>
      <w:bookmarkEnd w:id="111"/>
      <w:bookmarkEnd w:id="112"/>
      <w:bookmarkEnd w:id="113"/>
      <w:bookmarkEnd w:id="114"/>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4.4.1 </w:t>
      </w:r>
      <w:r w:rsidRPr="00C24ACA">
        <w:rPr>
          <w:rFonts w:eastAsiaTheme="minorEastAsia"/>
          <w:b/>
          <w:color w:val="000000" w:themeColor="text1"/>
          <w:kern w:val="0"/>
          <w:szCs w:val="21"/>
        </w:rPr>
        <w:t>公平交易制度的执行情况</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4.4.2 </w:t>
      </w:r>
      <w:r w:rsidRPr="00C24ACA">
        <w:rPr>
          <w:rFonts w:eastAsiaTheme="minorEastAsia"/>
          <w:b/>
          <w:color w:val="000000" w:themeColor="text1"/>
          <w:kern w:val="0"/>
          <w:szCs w:val="21"/>
        </w:rPr>
        <w:t>异常交易行为的专项说明</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本报告期内，公司旗下所有投资组合参与的交易所公开竞价交易中，同日反向交易成交较少的单边交易量超过该证券当日成交量的</w:t>
      </w:r>
      <w:r>
        <w:rPr>
          <w:rFonts w:eastAsiaTheme="minorEastAsia"/>
          <w:kern w:val="0"/>
          <w:szCs w:val="21"/>
        </w:rPr>
        <w:t>5%</w:t>
      </w:r>
      <w:r>
        <w:rPr>
          <w:rFonts w:eastAsiaTheme="minorEastAsia"/>
          <w:kern w:val="0"/>
          <w:szCs w:val="21"/>
        </w:rPr>
        <w:t>的交易共</w:t>
      </w:r>
      <w:r>
        <w:rPr>
          <w:rFonts w:eastAsiaTheme="minorEastAsia"/>
          <w:kern w:val="0"/>
          <w:szCs w:val="21"/>
        </w:rPr>
        <w:t>59</w:t>
      </w:r>
      <w:r>
        <w:rPr>
          <w:rFonts w:eastAsiaTheme="minorEastAsia"/>
          <w:kern w:val="0"/>
          <w:szCs w:val="21"/>
        </w:rPr>
        <w:t>次，均为指数量化投资组合因投资策略需要和其他组合发生的反向交易。</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本报告期内，未发现本基金有可能导致不公平交易和利益输送的异常交易。</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15" w:name="_Toc225498258"/>
      <w:bookmarkStart w:id="116" w:name="_Toc352255976"/>
      <w:bookmarkStart w:id="117" w:name="_Toc352256044"/>
      <w:bookmarkStart w:id="118" w:name="_Toc352331222"/>
      <w:bookmarkStart w:id="119" w:name="_Toc362424000"/>
      <w:bookmarkStart w:id="120" w:name="_Toc374459262"/>
      <w:bookmarkStart w:id="121" w:name="_Toc48662912"/>
      <w:r w:rsidRPr="0087359D">
        <w:rPr>
          <w:rFonts w:ascii="宋体" w:hAnsi="宋体"/>
          <w:kern w:val="0"/>
          <w:sz w:val="21"/>
          <w:szCs w:val="21"/>
        </w:rPr>
        <w:t>4.5</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管理人对报告期内基金的投资策略和业绩表现的说明</w:t>
      </w:r>
      <w:bookmarkEnd w:id="115"/>
      <w:bookmarkEnd w:id="116"/>
      <w:bookmarkEnd w:id="117"/>
      <w:bookmarkEnd w:id="118"/>
      <w:bookmarkEnd w:id="119"/>
      <w:bookmarkEnd w:id="120"/>
      <w:bookmarkEnd w:id="121"/>
    </w:p>
    <w:p w:rsidR="00FC5407" w:rsidRPr="00C24ACA" w:rsidRDefault="00FC5407" w:rsidP="00FC5407">
      <w:pPr>
        <w:spacing w:line="360" w:lineRule="auto"/>
        <w:rPr>
          <w:rFonts w:eastAsiaTheme="minorEastAsia"/>
          <w:b/>
          <w:color w:val="000000" w:themeColor="text1"/>
          <w:szCs w:val="21"/>
        </w:rPr>
      </w:pPr>
      <w:r w:rsidRPr="00C24ACA">
        <w:rPr>
          <w:rFonts w:eastAsiaTheme="minorEastAsia"/>
          <w:b/>
          <w:color w:val="000000" w:themeColor="text1"/>
          <w:szCs w:val="21"/>
        </w:rPr>
        <w:t>4.5.1</w:t>
      </w:r>
      <w:r w:rsidRPr="00C24ACA">
        <w:rPr>
          <w:rFonts w:eastAsiaTheme="minorEastAsia"/>
          <w:b/>
          <w:color w:val="000000" w:themeColor="text1"/>
          <w:szCs w:val="21"/>
        </w:rPr>
        <w:t>报告期内基金投资策略和运作分析</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回顾</w:t>
      </w:r>
      <w:r>
        <w:rPr>
          <w:rFonts w:eastAsiaTheme="minorEastAsia"/>
          <w:kern w:val="0"/>
          <w:szCs w:val="21"/>
        </w:rPr>
        <w:t>2020</w:t>
      </w:r>
      <w:r>
        <w:rPr>
          <w:rFonts w:eastAsiaTheme="minorEastAsia"/>
          <w:kern w:val="0"/>
          <w:szCs w:val="21"/>
        </w:rPr>
        <w:t>年上半年，全球新冠肺炎疫情爆发，各国为防控疫情采取的社交隔离措施，严重抑制了经济的正常运行，美国欧洲等主要经济体进入阶段性衰退时期。制造业和非制造业</w:t>
      </w:r>
      <w:r>
        <w:rPr>
          <w:rFonts w:eastAsiaTheme="minorEastAsia"/>
          <w:kern w:val="0"/>
          <w:szCs w:val="21"/>
        </w:rPr>
        <w:t>PMI</w:t>
      </w:r>
      <w:r>
        <w:rPr>
          <w:rFonts w:eastAsiaTheme="minorEastAsia"/>
          <w:kern w:val="0"/>
          <w:szCs w:val="21"/>
        </w:rPr>
        <w:t>大幅下跌，持续在荣枯线以下。为对冲疫情对经济和金融体系的巨大冲击，美国、欧洲、日本等主要经济体加大宏观刺激政策的力度，美联储直接降低到零利率，美欧经济体均启动上万亿美元的巨额经济刺激计划，阻断了金融市场与实体经济的负向循环，经济逐渐见底回升。报告期内，全球股市均大幅震荡，美国标普</w:t>
      </w:r>
      <w:r>
        <w:rPr>
          <w:rFonts w:eastAsiaTheme="minorEastAsia"/>
          <w:kern w:val="0"/>
          <w:szCs w:val="21"/>
        </w:rPr>
        <w:t>500</w:t>
      </w:r>
      <w:r>
        <w:rPr>
          <w:rFonts w:eastAsiaTheme="minorEastAsia"/>
          <w:kern w:val="0"/>
          <w:szCs w:val="21"/>
        </w:rPr>
        <w:t>指数下跌</w:t>
      </w:r>
      <w:r>
        <w:rPr>
          <w:rFonts w:eastAsiaTheme="minorEastAsia"/>
          <w:kern w:val="0"/>
          <w:szCs w:val="21"/>
        </w:rPr>
        <w:t>4.04%,</w:t>
      </w:r>
      <w:r>
        <w:rPr>
          <w:rFonts w:eastAsiaTheme="minorEastAsia"/>
          <w:kern w:val="0"/>
          <w:szCs w:val="21"/>
        </w:rPr>
        <w:t>德国</w:t>
      </w:r>
      <w:r>
        <w:rPr>
          <w:rFonts w:eastAsiaTheme="minorEastAsia"/>
          <w:kern w:val="0"/>
          <w:szCs w:val="21"/>
        </w:rPr>
        <w:t>DAX</w:t>
      </w:r>
      <w:r>
        <w:rPr>
          <w:rFonts w:eastAsiaTheme="minorEastAsia"/>
          <w:kern w:val="0"/>
          <w:szCs w:val="21"/>
        </w:rPr>
        <w:t>指数下跌</w:t>
      </w:r>
      <w:r>
        <w:rPr>
          <w:rFonts w:eastAsiaTheme="minorEastAsia"/>
          <w:kern w:val="0"/>
          <w:szCs w:val="21"/>
        </w:rPr>
        <w:t>7.08%,</w:t>
      </w:r>
      <w:r>
        <w:rPr>
          <w:rFonts w:eastAsiaTheme="minorEastAsia"/>
          <w:kern w:val="0"/>
          <w:szCs w:val="21"/>
        </w:rPr>
        <w:t>法国</w:t>
      </w:r>
      <w:r>
        <w:rPr>
          <w:rFonts w:eastAsiaTheme="minorEastAsia"/>
          <w:kern w:val="0"/>
          <w:szCs w:val="21"/>
        </w:rPr>
        <w:t>CAC40</w:t>
      </w:r>
      <w:r>
        <w:rPr>
          <w:rFonts w:eastAsiaTheme="minorEastAsia"/>
          <w:kern w:val="0"/>
          <w:szCs w:val="21"/>
        </w:rPr>
        <w:t>指数下跌</w:t>
      </w:r>
      <w:r>
        <w:rPr>
          <w:rFonts w:eastAsiaTheme="minorEastAsia"/>
          <w:kern w:val="0"/>
          <w:szCs w:val="21"/>
        </w:rPr>
        <w:t>17.43%,</w:t>
      </w:r>
      <w:r>
        <w:rPr>
          <w:rFonts w:eastAsiaTheme="minorEastAsia"/>
          <w:kern w:val="0"/>
          <w:szCs w:val="21"/>
        </w:rPr>
        <w:t>英国富时</w:t>
      </w:r>
      <w:r>
        <w:rPr>
          <w:rFonts w:eastAsiaTheme="minorEastAsia"/>
          <w:kern w:val="0"/>
          <w:szCs w:val="21"/>
        </w:rPr>
        <w:t>100</w:t>
      </w:r>
      <w:r>
        <w:rPr>
          <w:rFonts w:eastAsiaTheme="minorEastAsia"/>
          <w:kern w:val="0"/>
          <w:szCs w:val="21"/>
        </w:rPr>
        <w:t>指数下跌</w:t>
      </w:r>
      <w:r>
        <w:rPr>
          <w:rFonts w:eastAsiaTheme="minorEastAsia"/>
          <w:kern w:val="0"/>
          <w:szCs w:val="21"/>
        </w:rPr>
        <w:t>18.20%,</w:t>
      </w:r>
      <w:r>
        <w:rPr>
          <w:rFonts w:eastAsiaTheme="minorEastAsia"/>
          <w:kern w:val="0"/>
          <w:szCs w:val="21"/>
        </w:rPr>
        <w:t>日本日经</w:t>
      </w:r>
      <w:r>
        <w:rPr>
          <w:rFonts w:eastAsiaTheme="minorEastAsia"/>
          <w:kern w:val="0"/>
          <w:szCs w:val="21"/>
        </w:rPr>
        <w:t>225</w:t>
      </w:r>
      <w:r>
        <w:rPr>
          <w:rFonts w:eastAsiaTheme="minorEastAsia"/>
          <w:kern w:val="0"/>
          <w:szCs w:val="21"/>
        </w:rPr>
        <w:t>指数下跌</w:t>
      </w:r>
      <w:r>
        <w:rPr>
          <w:rFonts w:eastAsiaTheme="minorEastAsia"/>
          <w:kern w:val="0"/>
          <w:szCs w:val="21"/>
        </w:rPr>
        <w:t>5.78%,</w:t>
      </w:r>
      <w:r>
        <w:rPr>
          <w:rFonts w:eastAsiaTheme="minorEastAsia"/>
          <w:kern w:val="0"/>
          <w:szCs w:val="21"/>
        </w:rPr>
        <w:t>香港恒生指数下跌</w:t>
      </w:r>
      <w:r>
        <w:rPr>
          <w:rFonts w:eastAsiaTheme="minorEastAsia"/>
          <w:kern w:val="0"/>
          <w:szCs w:val="21"/>
        </w:rPr>
        <w:t>13.35%</w:t>
      </w:r>
      <w:r>
        <w:rPr>
          <w:rFonts w:eastAsiaTheme="minorEastAsia"/>
          <w:kern w:val="0"/>
          <w:szCs w:val="21"/>
        </w:rPr>
        <w:t>。高端消费品行业亦跟随全球市场下跌，本基金跟踪的标普高端消费品指数下跌</w:t>
      </w:r>
      <w:r>
        <w:rPr>
          <w:rFonts w:eastAsiaTheme="minorEastAsia"/>
          <w:kern w:val="0"/>
          <w:szCs w:val="21"/>
        </w:rPr>
        <w:t>9.72%</w:t>
      </w:r>
      <w:r>
        <w:rPr>
          <w:rFonts w:eastAsiaTheme="minorEastAsia"/>
          <w:kern w:val="0"/>
          <w:szCs w:val="21"/>
        </w:rPr>
        <w:t>。</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本基金是跟踪标普全球高端消费品指数的指数增强型基金，力争通过主动指</w:t>
      </w:r>
      <w:r w:rsidRPr="001412CA">
        <w:rPr>
          <w:rFonts w:eastAsiaTheme="minorEastAsia"/>
          <w:kern w:val="0"/>
          <w:szCs w:val="21"/>
        </w:rPr>
        <w:t xml:space="preserve"> </w:t>
      </w:r>
      <w:r w:rsidRPr="001412CA">
        <w:rPr>
          <w:rFonts w:eastAsiaTheme="minorEastAsia"/>
          <w:kern w:val="0"/>
          <w:szCs w:val="21"/>
        </w:rPr>
        <w:t>数增强的投资方法，获取长期稳定超越基准的业绩回报。在行业配置上，在指数权重分布基础上，对珠宝、酒店休闲业有一定的低配，对服饰、化妆品行业有所超配。在国别配置上，相对低配韩国、美国等市场，超配香港、法国等市场。报告期本基金主动操作较少，业绩战胜基准指数。</w:t>
      </w:r>
    </w:p>
    <w:p w:rsidR="00FC5407" w:rsidRPr="00C24ACA" w:rsidRDefault="00FC5407" w:rsidP="00732F5C">
      <w:pPr>
        <w:autoSpaceDE w:val="0"/>
        <w:autoSpaceDN w:val="0"/>
        <w:adjustRightInd w:val="0"/>
        <w:spacing w:beforeLines="100" w:before="312" w:line="360" w:lineRule="auto"/>
        <w:jc w:val="left"/>
        <w:rPr>
          <w:rFonts w:eastAsiaTheme="minorEastAsia"/>
          <w:b/>
          <w:color w:val="000000" w:themeColor="text1"/>
          <w:szCs w:val="21"/>
        </w:rPr>
      </w:pPr>
      <w:r w:rsidRPr="00C24ACA">
        <w:rPr>
          <w:rFonts w:eastAsiaTheme="minorEastAsia"/>
          <w:b/>
          <w:color w:val="000000" w:themeColor="text1"/>
          <w:szCs w:val="21"/>
        </w:rPr>
        <w:t xml:space="preserve">4.5.2 </w:t>
      </w:r>
      <w:r w:rsidRPr="00C24ACA">
        <w:rPr>
          <w:rFonts w:eastAsiaTheme="minorEastAsia"/>
          <w:b/>
          <w:color w:val="000000" w:themeColor="text1"/>
          <w:szCs w:val="21"/>
        </w:rPr>
        <w:t>报告期内基金的业绩表现</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截至报告期末，本基金</w:t>
      </w:r>
      <w:r w:rsidRPr="001412CA">
        <w:rPr>
          <w:rFonts w:eastAsiaTheme="minorEastAsia"/>
          <w:kern w:val="0"/>
          <w:szCs w:val="21"/>
        </w:rPr>
        <w:t>A</w:t>
      </w:r>
      <w:r w:rsidRPr="001412CA">
        <w:rPr>
          <w:rFonts w:eastAsiaTheme="minorEastAsia"/>
          <w:kern w:val="0"/>
          <w:szCs w:val="21"/>
        </w:rPr>
        <w:t>类基金份额净值为</w:t>
      </w:r>
      <w:r w:rsidRPr="001412CA">
        <w:rPr>
          <w:rFonts w:eastAsiaTheme="minorEastAsia"/>
          <w:kern w:val="0"/>
          <w:szCs w:val="21"/>
        </w:rPr>
        <w:t>2.012</w:t>
      </w:r>
      <w:r w:rsidRPr="001412CA">
        <w:rPr>
          <w:rFonts w:eastAsiaTheme="minorEastAsia"/>
          <w:kern w:val="0"/>
          <w:szCs w:val="21"/>
        </w:rPr>
        <w:t>元，本报告期份额净值增长率为</w:t>
      </w:r>
      <w:r w:rsidRPr="001412CA">
        <w:rPr>
          <w:rFonts w:eastAsiaTheme="minorEastAsia"/>
          <w:kern w:val="0"/>
          <w:szCs w:val="21"/>
        </w:rPr>
        <w:t>-3.82%</w:t>
      </w:r>
      <w:r w:rsidRPr="001412CA">
        <w:rPr>
          <w:rFonts w:eastAsiaTheme="minorEastAsia"/>
          <w:kern w:val="0"/>
          <w:szCs w:val="21"/>
        </w:rPr>
        <w:t>，同期业绩比较基准收益率为</w:t>
      </w:r>
      <w:r w:rsidRPr="001412CA">
        <w:rPr>
          <w:rFonts w:eastAsiaTheme="minorEastAsia"/>
          <w:kern w:val="0"/>
          <w:szCs w:val="21"/>
        </w:rPr>
        <w:t>-7.94%</w:t>
      </w:r>
      <w:r w:rsidRPr="001412CA">
        <w:rPr>
          <w:rFonts w:eastAsiaTheme="minorEastAsia"/>
          <w:kern w:val="0"/>
          <w:szCs w:val="21"/>
        </w:rPr>
        <w:t>；</w:t>
      </w:r>
      <w:r w:rsidRPr="001412CA">
        <w:rPr>
          <w:rFonts w:eastAsiaTheme="minorEastAsia"/>
          <w:kern w:val="0"/>
          <w:szCs w:val="21"/>
        </w:rPr>
        <w:t>C</w:t>
      </w:r>
      <w:r w:rsidRPr="001412CA">
        <w:rPr>
          <w:rFonts w:eastAsiaTheme="minorEastAsia"/>
          <w:kern w:val="0"/>
          <w:szCs w:val="21"/>
        </w:rPr>
        <w:t>类基金份额净值为</w:t>
      </w:r>
      <w:r w:rsidRPr="001412CA">
        <w:rPr>
          <w:rFonts w:eastAsiaTheme="minorEastAsia"/>
          <w:kern w:val="0"/>
          <w:szCs w:val="21"/>
        </w:rPr>
        <w:t>2.000</w:t>
      </w:r>
      <w:r w:rsidRPr="001412CA">
        <w:rPr>
          <w:rFonts w:eastAsiaTheme="minorEastAsia"/>
          <w:kern w:val="0"/>
          <w:szCs w:val="21"/>
        </w:rPr>
        <w:t>元，本报告期份额净值增长率为</w:t>
      </w:r>
      <w:r w:rsidRPr="001412CA">
        <w:rPr>
          <w:rFonts w:eastAsiaTheme="minorEastAsia"/>
          <w:kern w:val="0"/>
          <w:szCs w:val="21"/>
        </w:rPr>
        <w:t>-3.94%</w:t>
      </w:r>
      <w:r w:rsidRPr="001412CA">
        <w:rPr>
          <w:rFonts w:eastAsiaTheme="minorEastAsia"/>
          <w:kern w:val="0"/>
          <w:szCs w:val="21"/>
        </w:rPr>
        <w:t>，同期业绩比较基准收益率为</w:t>
      </w:r>
      <w:r w:rsidRPr="001412CA">
        <w:rPr>
          <w:rFonts w:eastAsiaTheme="minorEastAsia"/>
          <w:kern w:val="0"/>
          <w:szCs w:val="21"/>
        </w:rPr>
        <w:t>-7.94%</w:t>
      </w:r>
      <w:r w:rsidRPr="001412CA">
        <w:rPr>
          <w:rFonts w:eastAsiaTheme="minorEastAsia"/>
          <w:kern w:val="0"/>
          <w:szCs w:val="21"/>
        </w:rPr>
        <w:t>。组合年化跟踪误差</w:t>
      </w:r>
      <w:r w:rsidRPr="001412CA">
        <w:rPr>
          <w:rFonts w:eastAsiaTheme="minorEastAsia"/>
          <w:kern w:val="0"/>
          <w:szCs w:val="21"/>
        </w:rPr>
        <w:t>10.34%</w:t>
      </w:r>
      <w:r w:rsidRPr="001412CA">
        <w:rPr>
          <w:rFonts w:eastAsiaTheme="minorEastAsia"/>
          <w:kern w:val="0"/>
          <w:szCs w:val="21"/>
        </w:rPr>
        <w:t>，超过合同规定的目标控制范围，主要是投资组合与指数权重的偏差有所扩大所致。</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22" w:name="_Toc225498259"/>
      <w:bookmarkStart w:id="123" w:name="_Toc352255977"/>
      <w:bookmarkStart w:id="124" w:name="_Toc352256045"/>
      <w:bookmarkStart w:id="125" w:name="_Toc352331223"/>
      <w:bookmarkStart w:id="126" w:name="_Toc362424001"/>
      <w:bookmarkStart w:id="127" w:name="_Toc374459263"/>
      <w:bookmarkStart w:id="128" w:name="_Toc48662913"/>
      <w:r w:rsidRPr="0087359D">
        <w:rPr>
          <w:rFonts w:ascii="宋体" w:hAnsi="宋体"/>
          <w:kern w:val="0"/>
          <w:sz w:val="21"/>
          <w:szCs w:val="21"/>
        </w:rPr>
        <w:t>4.6</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管理人对宏观经济、证券市场及行业走势的简要展望</w:t>
      </w:r>
      <w:bookmarkEnd w:id="122"/>
      <w:bookmarkEnd w:id="123"/>
      <w:bookmarkEnd w:id="124"/>
      <w:bookmarkEnd w:id="125"/>
      <w:bookmarkEnd w:id="126"/>
      <w:bookmarkEnd w:id="127"/>
      <w:bookmarkEnd w:id="128"/>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展望</w:t>
      </w:r>
      <w:r>
        <w:rPr>
          <w:rFonts w:eastAsiaTheme="minorEastAsia"/>
          <w:kern w:val="0"/>
          <w:szCs w:val="21"/>
        </w:rPr>
        <w:t>2020</w:t>
      </w:r>
      <w:r>
        <w:rPr>
          <w:rFonts w:eastAsiaTheme="minorEastAsia"/>
          <w:kern w:val="0"/>
          <w:szCs w:val="21"/>
        </w:rPr>
        <w:t>下半年，一方面，中国抗击疫情的效果显著，相对宽松的财政与货币政策环境仍将维持，国内经济增速有望继续企稳回升；另一方面海外疫情防控形势严峻，又临美国大选之年，国外经济复苏进程弱于预期，各国央行的进一步宽松政策的力度难以预期，预计全球市场维持区间震荡的概率较大。</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整体来说，高端消费品指数处于增长周期的繁荣阶段，未来一年有望继续超越市场。从长期来看，高端消费品指数的成份企业大都拥有极强护城河，即品牌壁垒。它不依赖外部环境，属于企业自主构建，让消费者主动愿意付出溢价，为企业获取超额利润。同时这种品牌壁垒又是经过极长期的历史积淀才形成的，很难被模仿或颠覆。高端消费品行业具有长期的持续成长性和穿越经济周期的能力，值得长期投资者关注。本基金将在控制跟踪误差的基础上根据选股策略通过超配预期收益高的股票和低配预期收益低的股票来获得超额收益，为投资者分享高端消费品行业的未来成长提供良好机会。</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29" w:name="_Toc247959457"/>
      <w:bookmarkStart w:id="130" w:name="_Toc225570083"/>
      <w:bookmarkStart w:id="131" w:name="_Toc352255979"/>
      <w:bookmarkStart w:id="132" w:name="_Toc352256047"/>
      <w:bookmarkStart w:id="133" w:name="_Toc352331225"/>
      <w:bookmarkStart w:id="134" w:name="_Toc362424003"/>
      <w:bookmarkStart w:id="135" w:name="_Toc374459265"/>
      <w:bookmarkStart w:id="136" w:name="_Toc48662914"/>
      <w:r w:rsidRPr="0087359D">
        <w:rPr>
          <w:rFonts w:ascii="宋体" w:hAnsi="宋体"/>
          <w:kern w:val="0"/>
          <w:sz w:val="21"/>
          <w:szCs w:val="21"/>
        </w:rPr>
        <w:t>4.7</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管理人对报告期内基金估值程序等事项的说明</w:t>
      </w:r>
      <w:bookmarkEnd w:id="129"/>
      <w:bookmarkEnd w:id="130"/>
      <w:bookmarkEnd w:id="131"/>
      <w:bookmarkEnd w:id="132"/>
      <w:bookmarkEnd w:id="133"/>
      <w:bookmarkEnd w:id="134"/>
      <w:bookmarkEnd w:id="135"/>
      <w:bookmarkEnd w:id="136"/>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本报告期内，参与估值流程各方之间不存在任何重大利益冲突。</w:t>
      </w:r>
      <w:r>
        <w:rPr>
          <w:rFonts w:eastAsiaTheme="minorEastAsia"/>
          <w:kern w:val="0"/>
          <w:szCs w:val="21"/>
        </w:rPr>
        <w:t xml:space="preserve"> </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37" w:name="_Toc247959458"/>
      <w:bookmarkStart w:id="138" w:name="_Toc225570084"/>
      <w:bookmarkStart w:id="139" w:name="_Toc352255980"/>
      <w:bookmarkStart w:id="140" w:name="_Toc352256048"/>
      <w:bookmarkStart w:id="141" w:name="_Toc352331226"/>
      <w:bookmarkStart w:id="142" w:name="_Toc362424004"/>
      <w:bookmarkStart w:id="143" w:name="_Toc374459266"/>
      <w:bookmarkStart w:id="144" w:name="_Toc48662915"/>
      <w:r w:rsidRPr="0087359D">
        <w:rPr>
          <w:rFonts w:ascii="宋体" w:hAnsi="宋体"/>
          <w:kern w:val="0"/>
          <w:sz w:val="21"/>
          <w:szCs w:val="21"/>
        </w:rPr>
        <w:t>4.8</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管理人对报告期内基金利润分配情况的说明</w:t>
      </w:r>
      <w:bookmarkEnd w:id="137"/>
      <w:bookmarkEnd w:id="138"/>
      <w:bookmarkEnd w:id="139"/>
      <w:bookmarkEnd w:id="140"/>
      <w:bookmarkEnd w:id="141"/>
      <w:bookmarkEnd w:id="142"/>
      <w:bookmarkEnd w:id="143"/>
      <w:bookmarkEnd w:id="144"/>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易方达标普消费品指数增强（</w:t>
      </w:r>
      <w:r>
        <w:rPr>
          <w:rFonts w:eastAsiaTheme="minorEastAsia"/>
          <w:kern w:val="0"/>
          <w:szCs w:val="21"/>
        </w:rPr>
        <w:t>QDII</w:t>
      </w:r>
      <w:r>
        <w:rPr>
          <w:rFonts w:eastAsiaTheme="minorEastAsia"/>
          <w:kern w:val="0"/>
          <w:szCs w:val="21"/>
        </w:rPr>
        <w:t>）</w:t>
      </w:r>
      <w:r>
        <w:rPr>
          <w:rFonts w:eastAsiaTheme="minorEastAsia"/>
          <w:kern w:val="0"/>
          <w:szCs w:val="21"/>
        </w:rPr>
        <w:t>A:</w:t>
      </w:r>
      <w:r>
        <w:rPr>
          <w:rFonts w:eastAsiaTheme="minorEastAsia"/>
          <w:kern w:val="0"/>
          <w:szCs w:val="21"/>
        </w:rPr>
        <w:t>本报告期内未实施利润分配。</w:t>
      </w:r>
    </w:p>
    <w:p w:rsidR="00FC5407"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易方达标普消费品指数增强（</w:t>
      </w:r>
      <w:r w:rsidRPr="001412CA">
        <w:rPr>
          <w:rFonts w:eastAsiaTheme="minorEastAsia"/>
          <w:kern w:val="0"/>
          <w:szCs w:val="21"/>
        </w:rPr>
        <w:t>QDII</w:t>
      </w:r>
      <w:r w:rsidRPr="001412CA">
        <w:rPr>
          <w:rFonts w:eastAsiaTheme="minorEastAsia"/>
          <w:kern w:val="0"/>
          <w:szCs w:val="21"/>
        </w:rPr>
        <w:t>）</w:t>
      </w:r>
      <w:r w:rsidRPr="001412CA">
        <w:rPr>
          <w:rFonts w:eastAsiaTheme="minorEastAsia"/>
          <w:kern w:val="0"/>
          <w:szCs w:val="21"/>
        </w:rPr>
        <w:t>C:</w:t>
      </w:r>
      <w:r w:rsidRPr="001412CA">
        <w:rPr>
          <w:rFonts w:eastAsiaTheme="minorEastAsia"/>
          <w:kern w:val="0"/>
          <w:szCs w:val="21"/>
        </w:rPr>
        <w:t>本报告期内未实施利润分配。</w:t>
      </w:r>
    </w:p>
    <w:p w:rsidR="00FC5407" w:rsidRPr="00A317EA" w:rsidRDefault="00FC5407" w:rsidP="00732F5C">
      <w:pPr>
        <w:pStyle w:val="20"/>
        <w:spacing w:beforeLines="100" w:before="312" w:after="0"/>
        <w:rPr>
          <w:rFonts w:ascii="Times New Roman" w:eastAsiaTheme="minorEastAsia" w:hAnsi="Times New Roman"/>
          <w:kern w:val="0"/>
          <w:sz w:val="21"/>
          <w:szCs w:val="21"/>
        </w:rPr>
      </w:pPr>
      <w:bookmarkStart w:id="145" w:name="_Toc48662916"/>
      <w:r w:rsidRPr="0087359D">
        <w:rPr>
          <w:rFonts w:ascii="宋体" w:hAnsi="宋体"/>
          <w:kern w:val="0"/>
          <w:sz w:val="21"/>
          <w:szCs w:val="21"/>
        </w:rPr>
        <w:t>4.9</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报告期内管理人对本基金持有人数或基金资产净值预警情形的说明</w:t>
      </w:r>
      <w:bookmarkEnd w:id="145"/>
    </w:p>
    <w:p w:rsidR="002D7BFF" w:rsidRPr="001412CA" w:rsidRDefault="00FC5407"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自</w:t>
      </w:r>
      <w:r w:rsidRPr="001412CA">
        <w:rPr>
          <w:rFonts w:eastAsiaTheme="minorEastAsia"/>
          <w:kern w:val="0"/>
          <w:szCs w:val="21"/>
        </w:rPr>
        <w:t>2020</w:t>
      </w:r>
      <w:r w:rsidRPr="001412CA">
        <w:rPr>
          <w:rFonts w:eastAsiaTheme="minorEastAsia"/>
          <w:kern w:val="0"/>
          <w:szCs w:val="21"/>
        </w:rPr>
        <w:t>年</w:t>
      </w:r>
      <w:r w:rsidRPr="001412CA">
        <w:rPr>
          <w:rFonts w:eastAsiaTheme="minorEastAsia"/>
          <w:kern w:val="0"/>
          <w:szCs w:val="21"/>
        </w:rPr>
        <w:t>4</w:t>
      </w:r>
      <w:r w:rsidRPr="001412CA">
        <w:rPr>
          <w:rFonts w:eastAsiaTheme="minorEastAsia"/>
          <w:kern w:val="0"/>
          <w:szCs w:val="21"/>
        </w:rPr>
        <w:t>月</w:t>
      </w:r>
      <w:r w:rsidRPr="001412CA">
        <w:rPr>
          <w:rFonts w:eastAsiaTheme="minorEastAsia"/>
          <w:kern w:val="0"/>
          <w:szCs w:val="21"/>
        </w:rPr>
        <w:t>9</w:t>
      </w:r>
      <w:r w:rsidRPr="001412CA">
        <w:rPr>
          <w:rFonts w:eastAsiaTheme="minorEastAsia"/>
          <w:kern w:val="0"/>
          <w:szCs w:val="21"/>
        </w:rPr>
        <w:t>日至</w:t>
      </w:r>
      <w:r w:rsidRPr="001412CA">
        <w:rPr>
          <w:rFonts w:eastAsiaTheme="minorEastAsia"/>
          <w:kern w:val="0"/>
          <w:szCs w:val="21"/>
        </w:rPr>
        <w:t>2020</w:t>
      </w:r>
      <w:r w:rsidRPr="001412CA">
        <w:rPr>
          <w:rFonts w:eastAsiaTheme="minorEastAsia"/>
          <w:kern w:val="0"/>
          <w:szCs w:val="21"/>
        </w:rPr>
        <w:t>年</w:t>
      </w:r>
      <w:r w:rsidRPr="001412CA">
        <w:rPr>
          <w:rFonts w:eastAsiaTheme="minorEastAsia"/>
          <w:kern w:val="0"/>
          <w:szCs w:val="21"/>
        </w:rPr>
        <w:t>4</w:t>
      </w:r>
      <w:r w:rsidRPr="001412CA">
        <w:rPr>
          <w:rFonts w:eastAsiaTheme="minorEastAsia"/>
          <w:kern w:val="0"/>
          <w:szCs w:val="21"/>
        </w:rPr>
        <w:t>月</w:t>
      </w:r>
      <w:r w:rsidRPr="001412CA">
        <w:rPr>
          <w:rFonts w:eastAsiaTheme="minorEastAsia"/>
          <w:kern w:val="0"/>
          <w:szCs w:val="21"/>
        </w:rPr>
        <w:t>10</w:t>
      </w:r>
      <w:r w:rsidRPr="001412CA">
        <w:rPr>
          <w:rFonts w:eastAsiaTheme="minorEastAsia"/>
          <w:kern w:val="0"/>
          <w:szCs w:val="21"/>
        </w:rPr>
        <w:t>日，本基金均存在连续二十个工作日基金资产净值低于五千万元的情形。</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46" w:name="_Toc225498263"/>
      <w:bookmarkStart w:id="147" w:name="_Toc352255982"/>
      <w:bookmarkStart w:id="148" w:name="_Toc352256050"/>
      <w:bookmarkStart w:id="149" w:name="_Toc352331228"/>
      <w:bookmarkStart w:id="150" w:name="_Toc390164811"/>
      <w:bookmarkStart w:id="151" w:name="_Toc48662917"/>
      <w:r w:rsidRPr="000C6CCD">
        <w:rPr>
          <w:rFonts w:ascii="宋体" w:hAnsi="宋体"/>
          <w:bCs w:val="0"/>
          <w:color w:val="000000"/>
          <w:sz w:val="21"/>
          <w:szCs w:val="21"/>
        </w:rPr>
        <w:t>5</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托管人报告</w:t>
      </w:r>
      <w:bookmarkEnd w:id="146"/>
      <w:bookmarkEnd w:id="147"/>
      <w:bookmarkEnd w:id="148"/>
      <w:bookmarkEnd w:id="149"/>
      <w:bookmarkEnd w:id="150"/>
      <w:bookmarkEnd w:id="151"/>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52" w:name="_Toc225498264"/>
      <w:bookmarkStart w:id="153" w:name="_Toc352255983"/>
      <w:bookmarkStart w:id="154" w:name="_Toc352256051"/>
      <w:bookmarkStart w:id="155" w:name="_Toc352331229"/>
      <w:bookmarkStart w:id="156" w:name="_Toc390164812"/>
      <w:bookmarkStart w:id="157" w:name="_Toc48662918"/>
      <w:r w:rsidRPr="0087359D">
        <w:rPr>
          <w:rFonts w:ascii="宋体" w:hAnsi="宋体"/>
          <w:kern w:val="0"/>
          <w:sz w:val="21"/>
          <w:szCs w:val="21"/>
        </w:rPr>
        <w:t>5.1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报告期内本基金托管人遵规守信情况声明</w:t>
      </w:r>
      <w:bookmarkEnd w:id="152"/>
      <w:bookmarkEnd w:id="153"/>
      <w:bookmarkEnd w:id="154"/>
      <w:bookmarkEnd w:id="155"/>
      <w:bookmarkEnd w:id="156"/>
      <w:bookmarkEnd w:id="157"/>
    </w:p>
    <w:p w:rsidR="002716B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本报告期内，中国银行股份有限公司（以下称</w:t>
      </w:r>
      <w:r w:rsidRPr="00C24ACA">
        <w:rPr>
          <w:rFonts w:eastAsiaTheme="minorEastAsia"/>
          <w:kern w:val="0"/>
          <w:szCs w:val="21"/>
        </w:rPr>
        <w:t>“</w:t>
      </w:r>
      <w:r w:rsidRPr="00C24ACA">
        <w:rPr>
          <w:rFonts w:eastAsiaTheme="minorEastAsia"/>
          <w:kern w:val="0"/>
          <w:szCs w:val="21"/>
        </w:rPr>
        <w:t>本托管人</w:t>
      </w:r>
      <w:r w:rsidRPr="00C24ACA">
        <w:rPr>
          <w:rFonts w:eastAsiaTheme="minorEastAsia"/>
          <w:kern w:val="0"/>
          <w:szCs w:val="21"/>
        </w:rPr>
        <w:t>”</w:t>
      </w:r>
      <w:r w:rsidRPr="00C24ACA">
        <w:rPr>
          <w:rFonts w:eastAsiaTheme="minorEastAsia"/>
          <w:kern w:val="0"/>
          <w:szCs w:val="21"/>
        </w:rPr>
        <w:t>）在易方达标普全球高端消费品指数增强型证券投资基金（以下称</w:t>
      </w:r>
      <w:r w:rsidRPr="00C24ACA">
        <w:rPr>
          <w:rFonts w:eastAsiaTheme="minorEastAsia"/>
          <w:kern w:val="0"/>
          <w:szCs w:val="21"/>
        </w:rPr>
        <w:t>“</w:t>
      </w:r>
      <w:r w:rsidRPr="00C24ACA">
        <w:rPr>
          <w:rFonts w:eastAsiaTheme="minorEastAsia"/>
          <w:kern w:val="0"/>
          <w:szCs w:val="21"/>
        </w:rPr>
        <w:t>本基金</w:t>
      </w:r>
      <w:r w:rsidRPr="00C24ACA">
        <w:rPr>
          <w:rFonts w:eastAsiaTheme="minorEastAsia"/>
          <w:kern w:val="0"/>
          <w:szCs w:val="21"/>
        </w:rPr>
        <w:t>”</w:t>
      </w:r>
      <w:r w:rsidRPr="00C24ACA">
        <w:rPr>
          <w:rFonts w:eastAsiaTheme="minorEastAsia"/>
          <w:kern w:val="0"/>
          <w:szCs w:val="21"/>
        </w:rPr>
        <w:t>）的托管过程中，严格遵守《证券投资基金法》及其他有关法律法规、基金合同和托管协议的有关规定，不存在损害基金份额持有人利益的行为，完全尽职尽责地履行了应尽的义务。</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58" w:name="_Toc225498265"/>
      <w:bookmarkStart w:id="159" w:name="_Toc352255984"/>
      <w:bookmarkStart w:id="160" w:name="_Toc352256052"/>
      <w:bookmarkStart w:id="161" w:name="_Toc352331230"/>
      <w:bookmarkStart w:id="162" w:name="_Toc390164813"/>
      <w:bookmarkStart w:id="163" w:name="_Toc48662919"/>
      <w:r w:rsidRPr="0087359D">
        <w:rPr>
          <w:rFonts w:ascii="宋体" w:hAnsi="宋体"/>
          <w:kern w:val="0"/>
          <w:sz w:val="21"/>
          <w:szCs w:val="21"/>
        </w:rPr>
        <w:t>5.2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托管人对报告期内本基金投资运作遵规守信、净值计算、利润分配等情况的</w:t>
      </w:r>
      <w:bookmarkEnd w:id="158"/>
      <w:r w:rsidRPr="00C24ACA">
        <w:rPr>
          <w:rFonts w:ascii="Times New Roman" w:eastAsiaTheme="minorEastAsia" w:hAnsi="Times New Roman"/>
          <w:kern w:val="0"/>
          <w:sz w:val="21"/>
          <w:szCs w:val="21"/>
        </w:rPr>
        <w:t>说明</w:t>
      </w:r>
      <w:bookmarkEnd w:id="159"/>
      <w:bookmarkEnd w:id="160"/>
      <w:bookmarkEnd w:id="161"/>
      <w:bookmarkEnd w:id="162"/>
      <w:bookmarkEnd w:id="163"/>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64" w:name="_Toc225498266"/>
      <w:bookmarkStart w:id="165" w:name="_Toc352255985"/>
      <w:bookmarkStart w:id="166" w:name="_Toc352256053"/>
      <w:bookmarkStart w:id="167" w:name="_Toc352331231"/>
      <w:bookmarkStart w:id="168" w:name="_Toc390164814"/>
      <w:bookmarkStart w:id="169" w:name="_Toc48662920"/>
      <w:r w:rsidRPr="0087359D">
        <w:rPr>
          <w:rFonts w:ascii="宋体" w:hAnsi="宋体"/>
          <w:kern w:val="0"/>
          <w:sz w:val="21"/>
          <w:szCs w:val="21"/>
        </w:rPr>
        <w:t>5.3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托管人对本</w:t>
      </w:r>
      <w:r w:rsidR="00930E85">
        <w:rPr>
          <w:rFonts w:ascii="Times New Roman" w:eastAsiaTheme="minorEastAsia" w:hAnsi="Times New Roman"/>
          <w:kern w:val="0"/>
          <w:sz w:val="21"/>
          <w:szCs w:val="21"/>
        </w:rPr>
        <w:t>中期</w:t>
      </w:r>
      <w:r w:rsidRPr="00C24ACA">
        <w:rPr>
          <w:rFonts w:ascii="Times New Roman" w:eastAsiaTheme="minorEastAsia" w:hAnsi="Times New Roman"/>
          <w:kern w:val="0"/>
          <w:sz w:val="21"/>
          <w:szCs w:val="21"/>
        </w:rPr>
        <w:t>报告中财务信息等内容的真实、准确和完整发表意见</w:t>
      </w:r>
      <w:bookmarkEnd w:id="164"/>
      <w:bookmarkEnd w:id="165"/>
      <w:bookmarkEnd w:id="166"/>
      <w:bookmarkEnd w:id="167"/>
      <w:bookmarkEnd w:id="168"/>
      <w:bookmarkEnd w:id="169"/>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本报告中的财务指标、净值表现、收益分配情况、财务会计报告（注：财务会计报告中的</w:t>
      </w:r>
      <w:r w:rsidRPr="00C24ACA">
        <w:rPr>
          <w:rFonts w:eastAsiaTheme="minorEastAsia"/>
          <w:kern w:val="0"/>
          <w:szCs w:val="21"/>
        </w:rPr>
        <w:t>“</w:t>
      </w:r>
      <w:r w:rsidRPr="00C24ACA">
        <w:rPr>
          <w:rFonts w:eastAsiaTheme="minorEastAsia"/>
          <w:kern w:val="0"/>
          <w:szCs w:val="21"/>
        </w:rPr>
        <w:t>金融工具风险及管理</w:t>
      </w:r>
      <w:r w:rsidRPr="00C24ACA">
        <w:rPr>
          <w:rFonts w:eastAsiaTheme="minorEastAsia"/>
          <w:kern w:val="0"/>
          <w:szCs w:val="21"/>
        </w:rPr>
        <w:t>”</w:t>
      </w:r>
      <w:r w:rsidRPr="00C24ACA">
        <w:rPr>
          <w:rFonts w:eastAsiaTheme="minorEastAsia"/>
          <w:kern w:val="0"/>
          <w:szCs w:val="21"/>
        </w:rPr>
        <w:t>部分未在托管人复核范围内）、投资组合报告等数据真实、准确和完整。</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70" w:name="_Toc331410096"/>
      <w:bookmarkStart w:id="171" w:name="_Toc390164815"/>
      <w:bookmarkStart w:id="172" w:name="_Toc48662921"/>
      <w:r w:rsidRPr="000C6CCD">
        <w:rPr>
          <w:rFonts w:ascii="宋体" w:hAnsi="宋体"/>
          <w:bCs w:val="0"/>
          <w:color w:val="000000"/>
          <w:sz w:val="21"/>
          <w:szCs w:val="21"/>
        </w:rPr>
        <w:t>6</w:t>
      </w:r>
      <w:bookmarkEnd w:id="170"/>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半年度财务会计报告（未经审计）</w:t>
      </w:r>
      <w:bookmarkEnd w:id="171"/>
      <w:bookmarkEnd w:id="172"/>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73" w:name="_Toc225498268"/>
      <w:bookmarkStart w:id="174" w:name="_Toc352255991"/>
      <w:bookmarkStart w:id="175" w:name="_Toc352256059"/>
      <w:bookmarkStart w:id="176" w:name="_Toc352331237"/>
      <w:bookmarkStart w:id="177" w:name="_Toc390164816"/>
      <w:bookmarkStart w:id="178" w:name="_Toc48662922"/>
      <w:r w:rsidRPr="0087359D">
        <w:rPr>
          <w:rFonts w:ascii="宋体" w:hAnsi="宋体"/>
          <w:kern w:val="0"/>
          <w:sz w:val="21"/>
          <w:szCs w:val="21"/>
        </w:rPr>
        <w:t>6.1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资产负债表</w:t>
      </w:r>
      <w:bookmarkEnd w:id="173"/>
      <w:bookmarkEnd w:id="174"/>
      <w:bookmarkEnd w:id="175"/>
      <w:bookmarkEnd w:id="176"/>
      <w:bookmarkEnd w:id="177"/>
      <w:bookmarkEnd w:id="178"/>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会计主体：易方达标普全球高端消费品指数增强型证券投资基金</w:t>
      </w:r>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报告截止日：</w:t>
      </w:r>
      <w:r w:rsidR="00AC4A34" w:rsidRPr="00C24ACA">
        <w:rPr>
          <w:rFonts w:eastAsiaTheme="minorEastAsia"/>
          <w:color w:val="000000"/>
          <w:szCs w:val="21"/>
        </w:rPr>
        <w:t>2020</w:t>
      </w:r>
      <w:r w:rsidR="00AC4A34" w:rsidRPr="00C24ACA">
        <w:rPr>
          <w:rFonts w:eastAsiaTheme="minorEastAsia"/>
          <w:color w:val="000000"/>
          <w:szCs w:val="21"/>
        </w:rPr>
        <w:t>年</w:t>
      </w:r>
      <w:r w:rsidR="00AC4A34" w:rsidRPr="00C24ACA">
        <w:rPr>
          <w:rFonts w:eastAsiaTheme="minorEastAsia"/>
          <w:color w:val="000000"/>
          <w:szCs w:val="21"/>
        </w:rPr>
        <w:t>6</w:t>
      </w:r>
      <w:r w:rsidR="00AC4A34" w:rsidRPr="00C24ACA">
        <w:rPr>
          <w:rFonts w:eastAsiaTheme="minorEastAsia"/>
          <w:color w:val="000000"/>
          <w:szCs w:val="21"/>
        </w:rPr>
        <w:t>月</w:t>
      </w:r>
      <w:r w:rsidR="00AC4A34" w:rsidRPr="00C24ACA">
        <w:rPr>
          <w:rFonts w:eastAsiaTheme="minorEastAsia"/>
          <w:color w:val="000000"/>
          <w:szCs w:val="21"/>
        </w:rPr>
        <w:t>30</w:t>
      </w:r>
      <w:r w:rsidR="00AC4A34" w:rsidRPr="00C24ACA">
        <w:rPr>
          <w:rFonts w:eastAsiaTheme="minorEastAsia"/>
          <w:color w:val="00000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8A5A5D" w:rsidRPr="00C24ACA" w:rsidTr="006D141C">
        <w:tc>
          <w:tcPr>
            <w:tcW w:w="288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资产</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12</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31</w:t>
            </w:r>
            <w:r w:rsidRPr="00C24ACA">
              <w:rPr>
                <w:rFonts w:ascii="Times New Roman" w:eastAsiaTheme="minorEastAsia" w:hAnsi="Times New Roman"/>
                <w:b/>
                <w:color w:val="000000"/>
                <w:sz w:val="21"/>
                <w:szCs w:val="21"/>
              </w:rPr>
              <w:t>日</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资产：</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银行存款</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r w:rsidRPr="00C24ACA">
              <w:rPr>
                <w:rFonts w:eastAsiaTheme="minorEastAsia"/>
                <w:color w:val="000000"/>
                <w:szCs w:val="21"/>
              </w:rPr>
              <w:t>6.4.7.1</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3,893,436.92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4,556,192.29</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结算备付金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存出保证金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交易性金融资产</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6.4.7.2</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53,942,982.96</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50,732,574.05</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其中：股票投资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53,942,982.96</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50,732,574.05</w:t>
            </w:r>
          </w:p>
        </w:tc>
      </w:tr>
      <w:tr w:rsidR="00AE103C" w:rsidRPr="00C24ACA" w:rsidTr="006D141C">
        <w:tc>
          <w:tcPr>
            <w:tcW w:w="2880" w:type="dxa"/>
            <w:vAlign w:val="center"/>
          </w:tcPr>
          <w:p w:rsidR="00AE103C" w:rsidRPr="00C24ACA" w:rsidRDefault="00AE103C" w:rsidP="008134C7">
            <w:pPr>
              <w:pStyle w:val="af6"/>
              <w:ind w:firstLineChars="300" w:firstLine="630"/>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基金投资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742218">
        <w:tc>
          <w:tcPr>
            <w:tcW w:w="2880" w:type="dxa"/>
            <w:vAlign w:val="center"/>
          </w:tcPr>
          <w:p w:rsidR="0076511D" w:rsidRPr="00390233" w:rsidRDefault="0076511D" w:rsidP="00742218">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6511D" w:rsidRPr="00390233" w:rsidRDefault="0076511D" w:rsidP="00742218">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衍生金融资产</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买入返售金融资产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6.4.7.4</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应收证券清算款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应收利息</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6.4.7.5</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125.61</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429.40</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应收股利</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24,337.93</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31,358.35</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应收申购款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730,067.55</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1,287,339.56</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递延所得税资产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其他资产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6.4.7.6</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b/>
                <w:color w:val="000000"/>
                <w:szCs w:val="21"/>
              </w:rPr>
            </w:pPr>
            <w:r w:rsidRPr="00C24ACA">
              <w:rPr>
                <w:rFonts w:eastAsiaTheme="minorEastAsia"/>
                <w:b/>
                <w:color w:val="000000"/>
                <w:szCs w:val="21"/>
              </w:rPr>
              <w:t>资产总计</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52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58,590,950.97</w:t>
            </w:r>
          </w:p>
        </w:tc>
        <w:tc>
          <w:tcPr>
            <w:tcW w:w="252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56,607,893.65</w:t>
            </w:r>
          </w:p>
        </w:tc>
      </w:tr>
      <w:tr w:rsidR="008A5A5D" w:rsidRPr="00C24ACA" w:rsidTr="006D141C">
        <w:tc>
          <w:tcPr>
            <w:tcW w:w="28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负债和所有者权益</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12</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31</w:t>
            </w:r>
            <w:r w:rsidRPr="00C24ACA">
              <w:rPr>
                <w:rFonts w:ascii="Times New Roman" w:eastAsiaTheme="minorEastAsia" w:hAnsi="Times New Roman"/>
                <w:b/>
                <w:color w:val="000000"/>
                <w:sz w:val="21"/>
                <w:szCs w:val="21"/>
              </w:rPr>
              <w:t>日</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短期借款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衍生金融负债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卖出回购金融资产款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应付证券清算款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应付赎回款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2,827,392.34</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657,140.50</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应付管理人报酬</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55,910.49</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54,335.74</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应付托管费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16,307.20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15,847.93</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应付销售服务费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2,180.11</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690.05</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应付交易费用</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6.4.7.7</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应交税费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应付利息</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递延所得税负债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其他负债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6.4.7.8</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279,125.05</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456,984.20</w:t>
            </w:r>
          </w:p>
        </w:tc>
      </w:tr>
      <w:tr w:rsidR="00AE103C" w:rsidRPr="00C24ACA" w:rsidTr="006D141C">
        <w:tc>
          <w:tcPr>
            <w:tcW w:w="2880" w:type="dxa"/>
            <w:vAlign w:val="center"/>
          </w:tcPr>
          <w:p w:rsidR="00AE103C" w:rsidRPr="00C24ACA" w:rsidRDefault="00AE103C">
            <w:pPr>
              <w:pStyle w:val="af6"/>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3,180,915.19</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1,184,998.42</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实收基金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6.4.7.9</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27,576,502.20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26,504,823.07</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未分配利润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6.4.7.10</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27,833,533.58</w:t>
            </w:r>
          </w:p>
        </w:tc>
        <w:tc>
          <w:tcPr>
            <w:tcW w:w="252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28,918,072.16</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55,410,035.78</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55,422,895.23</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负债和所有者权益总计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58,590,950.97</w:t>
            </w:r>
          </w:p>
        </w:tc>
        <w:tc>
          <w:tcPr>
            <w:tcW w:w="252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56,607,893.65</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注：报告截止日</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w:t>
      </w:r>
      <w:r w:rsidRPr="00C24ACA">
        <w:rPr>
          <w:rFonts w:eastAsiaTheme="minorEastAsia"/>
          <w:kern w:val="0"/>
          <w:szCs w:val="21"/>
        </w:rPr>
        <w:t>A</w:t>
      </w:r>
      <w:r w:rsidRPr="00C24ACA">
        <w:rPr>
          <w:rFonts w:eastAsiaTheme="minorEastAsia"/>
          <w:kern w:val="0"/>
          <w:szCs w:val="21"/>
        </w:rPr>
        <w:t>类基金份额净值</w:t>
      </w:r>
      <w:r w:rsidRPr="00C24ACA">
        <w:rPr>
          <w:rFonts w:eastAsiaTheme="minorEastAsia"/>
          <w:kern w:val="0"/>
          <w:szCs w:val="21"/>
        </w:rPr>
        <w:t>2.012</w:t>
      </w:r>
      <w:r w:rsidRPr="00C24ACA">
        <w:rPr>
          <w:rFonts w:eastAsiaTheme="minorEastAsia"/>
          <w:kern w:val="0"/>
          <w:szCs w:val="21"/>
        </w:rPr>
        <w:t>元，</w:t>
      </w:r>
      <w:r w:rsidRPr="00C24ACA">
        <w:rPr>
          <w:rFonts w:eastAsiaTheme="minorEastAsia"/>
          <w:kern w:val="0"/>
          <w:szCs w:val="21"/>
        </w:rPr>
        <w:t>C</w:t>
      </w:r>
      <w:r w:rsidRPr="00C24ACA">
        <w:rPr>
          <w:rFonts w:eastAsiaTheme="minorEastAsia"/>
          <w:kern w:val="0"/>
          <w:szCs w:val="21"/>
        </w:rPr>
        <w:t>类基金份额净值</w:t>
      </w:r>
      <w:r w:rsidRPr="00C24ACA">
        <w:rPr>
          <w:rFonts w:eastAsiaTheme="minorEastAsia"/>
          <w:kern w:val="0"/>
          <w:szCs w:val="21"/>
        </w:rPr>
        <w:t>2.000</w:t>
      </w:r>
      <w:r w:rsidRPr="00C24ACA">
        <w:rPr>
          <w:rFonts w:eastAsiaTheme="minorEastAsia"/>
          <w:kern w:val="0"/>
          <w:szCs w:val="21"/>
        </w:rPr>
        <w:t>元；基金份额总额</w:t>
      </w:r>
      <w:r w:rsidRPr="00C24ACA">
        <w:rPr>
          <w:rFonts w:eastAsiaTheme="minorEastAsia"/>
          <w:kern w:val="0"/>
          <w:szCs w:val="21"/>
        </w:rPr>
        <w:t>27,576,502.20</w:t>
      </w:r>
      <w:r w:rsidRPr="00C24ACA">
        <w:rPr>
          <w:rFonts w:eastAsiaTheme="minorEastAsia"/>
          <w:kern w:val="0"/>
          <w:szCs w:val="21"/>
        </w:rPr>
        <w:t>份，下属分级基金的份额总额分别为：</w:t>
      </w:r>
      <w:r w:rsidRPr="00C24ACA">
        <w:rPr>
          <w:rFonts w:eastAsiaTheme="minorEastAsia"/>
          <w:kern w:val="0"/>
          <w:szCs w:val="21"/>
        </w:rPr>
        <w:t>A</w:t>
      </w:r>
      <w:r w:rsidRPr="00C24ACA">
        <w:rPr>
          <w:rFonts w:eastAsiaTheme="minorEastAsia"/>
          <w:kern w:val="0"/>
          <w:szCs w:val="21"/>
        </w:rPr>
        <w:t>类基金份额总额</w:t>
      </w:r>
      <w:r w:rsidRPr="00C24ACA">
        <w:rPr>
          <w:rFonts w:eastAsiaTheme="minorEastAsia"/>
          <w:kern w:val="0"/>
          <w:szCs w:val="21"/>
        </w:rPr>
        <w:t>22,128,700.01</w:t>
      </w:r>
      <w:r w:rsidRPr="00C24ACA">
        <w:rPr>
          <w:rFonts w:eastAsiaTheme="minorEastAsia"/>
          <w:kern w:val="0"/>
          <w:szCs w:val="21"/>
        </w:rPr>
        <w:t>份，</w:t>
      </w:r>
      <w:r w:rsidRPr="00C24ACA">
        <w:rPr>
          <w:rFonts w:eastAsiaTheme="minorEastAsia"/>
          <w:kern w:val="0"/>
          <w:szCs w:val="21"/>
        </w:rPr>
        <w:t>C</w:t>
      </w:r>
      <w:r w:rsidRPr="00C24ACA">
        <w:rPr>
          <w:rFonts w:eastAsiaTheme="minorEastAsia"/>
          <w:kern w:val="0"/>
          <w:szCs w:val="21"/>
        </w:rPr>
        <w:t>类基金份额总额</w:t>
      </w:r>
      <w:r w:rsidRPr="00C24ACA">
        <w:rPr>
          <w:rFonts w:eastAsiaTheme="minorEastAsia"/>
          <w:kern w:val="0"/>
          <w:szCs w:val="21"/>
        </w:rPr>
        <w:t>5,447,802.19</w:t>
      </w:r>
      <w:r w:rsidRPr="00C24ACA">
        <w:rPr>
          <w:rFonts w:eastAsiaTheme="minorEastAsia"/>
          <w:kern w:val="0"/>
          <w:szCs w:val="21"/>
        </w:rPr>
        <w:t>份。</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79" w:name="_Toc225498269"/>
      <w:bookmarkStart w:id="180" w:name="_Toc352255992"/>
      <w:bookmarkStart w:id="181" w:name="_Toc352256060"/>
      <w:bookmarkStart w:id="182" w:name="_Toc352331238"/>
      <w:bookmarkStart w:id="183" w:name="_Toc390164817"/>
      <w:bookmarkStart w:id="184" w:name="_Toc48662923"/>
      <w:r w:rsidRPr="0087359D">
        <w:rPr>
          <w:rFonts w:ascii="宋体" w:hAnsi="宋体"/>
          <w:kern w:val="0"/>
          <w:sz w:val="21"/>
          <w:szCs w:val="21"/>
        </w:rPr>
        <w:t>6.2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利润表</w:t>
      </w:r>
      <w:bookmarkEnd w:id="179"/>
      <w:bookmarkEnd w:id="180"/>
      <w:bookmarkEnd w:id="181"/>
      <w:bookmarkEnd w:id="182"/>
      <w:bookmarkEnd w:id="183"/>
      <w:bookmarkEnd w:id="184"/>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易方达标普全球高端消费品指数增强型证券投资基金</w:t>
      </w:r>
    </w:p>
    <w:p w:rsidR="008A5A5D" w:rsidRPr="00C24ACA" w:rsidRDefault="008A5A5D" w:rsidP="00316012">
      <w:pPr>
        <w:spacing w:line="360" w:lineRule="auto"/>
        <w:rPr>
          <w:rFonts w:eastAsiaTheme="minorEastAsia"/>
          <w:color w:val="000000"/>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1</w:t>
      </w:r>
      <w:r w:rsidR="00AC4A34" w:rsidRPr="00C24ACA">
        <w:rPr>
          <w:rFonts w:eastAsiaTheme="minorEastAsia"/>
          <w:kern w:val="0"/>
          <w:szCs w:val="21"/>
        </w:rPr>
        <w:t>月</w:t>
      </w:r>
      <w:r w:rsidR="00AC4A34" w:rsidRPr="00C24ACA">
        <w:rPr>
          <w:rFonts w:eastAsiaTheme="minorEastAsia"/>
          <w:kern w:val="0"/>
          <w:szCs w:val="21"/>
        </w:rPr>
        <w:t>1</w:t>
      </w:r>
      <w:r w:rsidR="00AC4A34" w:rsidRPr="00C24ACA">
        <w:rPr>
          <w:rFonts w:eastAsiaTheme="minorEastAsia"/>
          <w:kern w:val="0"/>
          <w:szCs w:val="21"/>
        </w:rPr>
        <w:t>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8A5A5D" w:rsidRPr="00C24ACA" w:rsidTr="0014666D">
        <w:tc>
          <w:tcPr>
            <w:tcW w:w="342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项目</w:t>
            </w:r>
          </w:p>
        </w:tc>
        <w:tc>
          <w:tcPr>
            <w:tcW w:w="108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225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w:t>
            </w:r>
          </w:p>
          <w:p w:rsidR="008A5A5D" w:rsidRPr="00C24ACA" w:rsidRDefault="00AC4A34"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c>
          <w:tcPr>
            <w:tcW w:w="225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上年度可比期间</w:t>
            </w:r>
          </w:p>
          <w:p w:rsidR="008A5A5D" w:rsidRPr="00C24ACA" w:rsidRDefault="00BD0707"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日至</w:t>
            </w: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30</w:t>
            </w:r>
            <w:r w:rsidRPr="00C24ACA">
              <w:rPr>
                <w:rFonts w:ascii="Times New Roman" w:eastAsiaTheme="minorEastAsia" w:hAnsi="Times New Roman"/>
                <w:b/>
                <w:color w:val="000000"/>
                <w:sz w:val="21"/>
                <w:szCs w:val="21"/>
              </w:rPr>
              <w:t>日</w:t>
            </w:r>
          </w:p>
        </w:tc>
      </w:tr>
      <w:tr w:rsidR="00AE103C" w:rsidRPr="00C24ACA" w:rsidTr="0014666D">
        <w:tc>
          <w:tcPr>
            <w:tcW w:w="3420" w:type="dxa"/>
          </w:tcPr>
          <w:p w:rsidR="00AE103C" w:rsidRPr="00C24ACA" w:rsidRDefault="00AE103C">
            <w:pPr>
              <w:rPr>
                <w:rFonts w:eastAsiaTheme="minorEastAsia"/>
                <w:b/>
                <w:color w:val="000000"/>
                <w:szCs w:val="21"/>
              </w:rPr>
            </w:pPr>
            <w:r w:rsidRPr="00C24ACA">
              <w:rPr>
                <w:rFonts w:eastAsiaTheme="minorEastAsia"/>
                <w:b/>
                <w:color w:val="000000"/>
                <w:szCs w:val="21"/>
              </w:rPr>
              <w:t>一、收入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-1,783,030.88</w:t>
            </w:r>
          </w:p>
        </w:tc>
        <w:tc>
          <w:tcPr>
            <w:tcW w:w="2250" w:type="dxa"/>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9,910,292.56</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11,641.85</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4,989.94</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其中：存款利息收入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6.4.7.11</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11,641.85</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4,989.94</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买入返售金融资产收入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其他利息收入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投资收益（损失以</w:t>
            </w:r>
            <w:r w:rsidRPr="00C24ACA">
              <w:rPr>
                <w:rFonts w:eastAsiaTheme="minorEastAsia"/>
                <w:color w:val="000000"/>
                <w:szCs w:val="21"/>
              </w:rPr>
              <w:t>“-”</w:t>
            </w:r>
            <w:r w:rsidRPr="00C24ACA">
              <w:rPr>
                <w:rFonts w:eastAsiaTheme="minorEastAsia"/>
                <w:color w:val="000000"/>
                <w:szCs w:val="21"/>
              </w:rPr>
              <w:t>填列）</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44,412.25</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905,149.43</w:t>
            </w:r>
          </w:p>
        </w:tc>
      </w:tr>
      <w:tr w:rsidR="00AE103C" w:rsidRPr="00C24ACA" w:rsidTr="0014666D">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其中：股票投资收益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6.4.7.12</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-187,349.50</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235,721.55</w:t>
            </w:r>
          </w:p>
        </w:tc>
      </w:tr>
      <w:tr w:rsidR="00AE103C" w:rsidRPr="00C24ACA" w:rsidTr="0014666D">
        <w:tc>
          <w:tcPr>
            <w:tcW w:w="3420" w:type="dxa"/>
            <w:vAlign w:val="center"/>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基金投资收益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6.4.7.13</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6.4.7.14</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14666D">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rsidP="008134C7">
            <w:pPr>
              <w:ind w:firstLineChars="300" w:firstLine="630"/>
              <w:rPr>
                <w:rFonts w:eastAsiaTheme="minorEastAsia"/>
                <w:color w:val="000000"/>
                <w:szCs w:val="21"/>
              </w:rPr>
            </w:pPr>
            <w:r w:rsidRPr="00224952">
              <w:rPr>
                <w:rFonts w:hint="eastAsia"/>
              </w:rPr>
              <w:t>贵金属投资收益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center"/>
          </w:tcPr>
          <w:p w:rsidR="0076511D" w:rsidRPr="00224952" w:rsidRDefault="0076511D" w:rsidP="00742218">
            <w:pPr>
              <w:spacing w:line="360" w:lineRule="auto"/>
              <w:jc w:val="right"/>
              <w:rPr>
                <w:color w:val="000000"/>
                <w:szCs w:val="21"/>
              </w:rPr>
            </w:pPr>
            <w:r w:rsidRPr="00224952">
              <w:rPr>
                <w:color w:val="000000"/>
                <w:szCs w:val="21"/>
              </w:rPr>
              <w:t>-</w:t>
            </w:r>
          </w:p>
        </w:tc>
        <w:tc>
          <w:tcPr>
            <w:tcW w:w="2250" w:type="dxa"/>
            <w:vAlign w:val="center"/>
          </w:tcPr>
          <w:p w:rsidR="0076511D" w:rsidRPr="00224952" w:rsidRDefault="0076511D" w:rsidP="00742218">
            <w:pPr>
              <w:spacing w:line="360" w:lineRule="auto"/>
              <w:jc w:val="right"/>
              <w:rPr>
                <w:color w:val="000000"/>
                <w:szCs w:val="21"/>
              </w:rPr>
            </w:pPr>
            <w:r w:rsidRPr="00224952">
              <w:rPr>
                <w:color w:val="000000"/>
                <w:szCs w:val="21"/>
              </w:rPr>
              <w:t>-</w:t>
            </w:r>
          </w:p>
        </w:tc>
      </w:tr>
      <w:tr w:rsidR="0076511D" w:rsidRPr="00C24ACA" w:rsidTr="0014666D">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衍生工具收益</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6.4.7.15</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股利收益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6.4.7.16</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231,761.75</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669,427.88</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公允价值变动收益（损失以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6.4.7.17</w:t>
            </w:r>
          </w:p>
        </w:tc>
        <w:tc>
          <w:tcPr>
            <w:tcW w:w="2250" w:type="dxa"/>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-1,808,928.90</w:t>
            </w:r>
          </w:p>
        </w:tc>
        <w:tc>
          <w:tcPr>
            <w:tcW w:w="2250" w:type="dxa"/>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9,037,047.78</w:t>
            </w:r>
          </w:p>
        </w:tc>
      </w:tr>
      <w:tr w:rsidR="0076511D" w:rsidRPr="00C24ACA" w:rsidTr="0014666D">
        <w:tc>
          <w:tcPr>
            <w:tcW w:w="3420" w:type="dxa"/>
            <w:vAlign w:val="center"/>
          </w:tcPr>
          <w:p w:rsidR="0076511D" w:rsidRPr="00C24ACA" w:rsidRDefault="0076511D">
            <w:pPr>
              <w:pStyle w:val="af6"/>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4.</w:t>
            </w:r>
            <w:r w:rsidRPr="00C24ACA">
              <w:rPr>
                <w:rFonts w:ascii="Times New Roman" w:eastAsiaTheme="minorEastAsia" w:hAnsi="Times New Roman"/>
                <w:color w:val="000000"/>
                <w:sz w:val="21"/>
                <w:szCs w:val="21"/>
              </w:rPr>
              <w:t>汇兑收益（损失以</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-63,130.16</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-62,188.79</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其他收入（损失以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6.4.7.18</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32,974.08</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25,294.20</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减：二、费用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677,573.00</w:t>
            </w: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699,065.10</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．管理人报酬</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319,547.15</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354,765.68</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．托管费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93,201.19</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103,473.26</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．销售服务费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8,698.13</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2,613.72</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4</w:t>
            </w:r>
            <w:r w:rsidRPr="00C24ACA">
              <w:rPr>
                <w:rFonts w:eastAsiaTheme="minorEastAsia"/>
                <w:color w:val="000000"/>
                <w:szCs w:val="21"/>
              </w:rPr>
              <w:t>．交易费用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6.4.7.19</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30,457.99</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17,178.70</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．利息支出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其中：卖出回购金融资产支出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FB3D98" w:rsidRPr="00C24ACA" w:rsidTr="0014666D">
        <w:tc>
          <w:tcPr>
            <w:tcW w:w="3420" w:type="dxa"/>
          </w:tcPr>
          <w:p w:rsidR="00FB3D98" w:rsidRDefault="00FB3D98">
            <w:pPr>
              <w:rPr>
                <w:rFonts w:eastAsiaTheme="minorEastAsia"/>
                <w:color w:val="000000"/>
                <w:szCs w:val="21"/>
              </w:rPr>
            </w:pPr>
            <w:r>
              <w:rPr>
                <w:rFonts w:eastAsiaTheme="minorEastAsia"/>
                <w:color w:val="000000"/>
                <w:szCs w:val="21"/>
              </w:rPr>
              <w:t>6</w:t>
            </w:r>
            <w:r>
              <w:rPr>
                <w:rFonts w:eastAsiaTheme="minorEastAsia" w:hint="eastAsia"/>
                <w:color w:val="000000"/>
                <w:szCs w:val="21"/>
              </w:rPr>
              <w:t>．税金及附加</w:t>
            </w:r>
          </w:p>
        </w:tc>
        <w:tc>
          <w:tcPr>
            <w:tcW w:w="1080" w:type="dxa"/>
            <w:vAlign w:val="center"/>
          </w:tcPr>
          <w:p w:rsidR="00FB3D98" w:rsidRDefault="00FB3D98">
            <w:pPr>
              <w:pStyle w:val="af6"/>
              <w:jc w:val="center"/>
              <w:rPr>
                <w:rFonts w:ascii="Times New Roman" w:eastAsiaTheme="minorEastAsia" w:hAnsi="Times New Roman"/>
                <w:color w:val="000000"/>
                <w:sz w:val="21"/>
                <w:szCs w:val="21"/>
              </w:rPr>
            </w:pP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w:t>
            </w: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w:t>
            </w:r>
          </w:p>
        </w:tc>
      </w:tr>
      <w:tr w:rsidR="00FB3D98" w:rsidRPr="00C24ACA" w:rsidTr="0014666D">
        <w:tc>
          <w:tcPr>
            <w:tcW w:w="3420" w:type="dxa"/>
          </w:tcPr>
          <w:p w:rsidR="00FB3D98" w:rsidRDefault="00FB3D98">
            <w:pPr>
              <w:rPr>
                <w:rFonts w:eastAsiaTheme="minorEastAsia"/>
                <w:color w:val="000000"/>
                <w:szCs w:val="21"/>
              </w:rPr>
            </w:pPr>
            <w:r>
              <w:rPr>
                <w:rFonts w:eastAsiaTheme="minorEastAsia"/>
                <w:color w:val="000000"/>
                <w:szCs w:val="21"/>
              </w:rPr>
              <w:t>7</w:t>
            </w:r>
            <w:r>
              <w:rPr>
                <w:rFonts w:eastAsiaTheme="minorEastAsia" w:hint="eastAsia"/>
                <w:color w:val="000000"/>
                <w:szCs w:val="21"/>
              </w:rPr>
              <w:t>．其他费用</w:t>
            </w:r>
          </w:p>
        </w:tc>
        <w:tc>
          <w:tcPr>
            <w:tcW w:w="1080" w:type="dxa"/>
            <w:vAlign w:val="center"/>
          </w:tcPr>
          <w:p w:rsidR="00FB3D98" w:rsidRDefault="00FB3D98">
            <w:pPr>
              <w:pStyle w:val="af6"/>
              <w:jc w:val="center"/>
              <w:rPr>
                <w:rFonts w:ascii="Times New Roman" w:eastAsiaTheme="minorEastAsia" w:hAnsi="Times New Roman"/>
                <w:color w:val="000000"/>
                <w:sz w:val="21"/>
                <w:szCs w:val="21"/>
              </w:rPr>
            </w:pPr>
            <w:r>
              <w:rPr>
                <w:rFonts w:ascii="Times New Roman" w:eastAsiaTheme="minorEastAsia" w:hAnsi="Times New Roman"/>
                <w:color w:val="000000"/>
                <w:sz w:val="21"/>
                <w:szCs w:val="21"/>
              </w:rPr>
              <w:t>6.4.7.20</w:t>
            </w: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225,668.54</w:t>
            </w:r>
          </w:p>
        </w:tc>
        <w:tc>
          <w:tcPr>
            <w:tcW w:w="2250" w:type="dxa"/>
            <w:vAlign w:val="bottom"/>
          </w:tcPr>
          <w:p w:rsidR="00FB3D98" w:rsidRDefault="00FB3D98">
            <w:pPr>
              <w:jc w:val="right"/>
              <w:rPr>
                <w:rFonts w:eastAsiaTheme="minorEastAsia"/>
                <w:color w:val="000000"/>
                <w:szCs w:val="21"/>
              </w:rPr>
            </w:pPr>
            <w:r>
              <w:rPr>
                <w:rFonts w:eastAsiaTheme="minorEastAsia"/>
                <w:color w:val="000000"/>
                <w:szCs w:val="21"/>
              </w:rPr>
              <w:t>221,033.74</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三、利润总额（亏损总额以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-2,460,603.88</w:t>
            </w:r>
          </w:p>
        </w:tc>
        <w:tc>
          <w:tcPr>
            <w:tcW w:w="2250" w:type="dxa"/>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9,211,227.46</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szCs w:val="21"/>
              </w:rPr>
              <w:t>减：所得税费用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14666D">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四、净利润（净亏损以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-2,460,603.88</w:t>
            </w:r>
          </w:p>
        </w:tc>
        <w:tc>
          <w:tcPr>
            <w:tcW w:w="2250" w:type="dxa"/>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9,211,227.46</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85" w:name="_Toc225498270"/>
      <w:bookmarkStart w:id="186" w:name="_Toc352255993"/>
      <w:bookmarkStart w:id="187" w:name="_Toc352256061"/>
      <w:bookmarkStart w:id="188" w:name="_Toc352331239"/>
      <w:bookmarkStart w:id="189" w:name="_Toc390164818"/>
      <w:bookmarkStart w:id="190" w:name="_Toc48662924"/>
      <w:r w:rsidRPr="0087359D">
        <w:rPr>
          <w:rFonts w:ascii="宋体" w:hAnsi="宋体"/>
          <w:kern w:val="0"/>
          <w:sz w:val="21"/>
          <w:szCs w:val="21"/>
        </w:rPr>
        <w:t>6.3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所有者权益（基金净值）变动表</w:t>
      </w:r>
      <w:bookmarkEnd w:id="185"/>
      <w:bookmarkEnd w:id="186"/>
      <w:bookmarkEnd w:id="187"/>
      <w:bookmarkEnd w:id="188"/>
      <w:bookmarkEnd w:id="189"/>
      <w:bookmarkEnd w:id="190"/>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易方达标普全球高端消费品指数增强型证券投资基金</w:t>
      </w:r>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1</w:t>
      </w:r>
      <w:r w:rsidR="00AC4A34" w:rsidRPr="00C24ACA">
        <w:rPr>
          <w:rFonts w:eastAsiaTheme="minorEastAsia"/>
          <w:kern w:val="0"/>
          <w:szCs w:val="21"/>
        </w:rPr>
        <w:t>月</w:t>
      </w:r>
      <w:r w:rsidR="00AC4A34" w:rsidRPr="00C24ACA">
        <w:rPr>
          <w:rFonts w:eastAsiaTheme="minorEastAsia"/>
          <w:kern w:val="0"/>
          <w:szCs w:val="21"/>
        </w:rPr>
        <w:t>1</w:t>
      </w:r>
      <w:r w:rsidR="00AC4A34" w:rsidRPr="00C24ACA">
        <w:rPr>
          <w:rFonts w:eastAsiaTheme="minorEastAsia"/>
          <w:kern w:val="0"/>
          <w:szCs w:val="21"/>
        </w:rPr>
        <w:t>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8A5A5D" w:rsidRPr="00C24ACA" w:rsidTr="006D141C">
        <w:tc>
          <w:tcPr>
            <w:tcW w:w="2835" w:type="dxa"/>
            <w:vMerge w:val="restart"/>
            <w:vAlign w:val="center"/>
          </w:tcPr>
          <w:p w:rsidR="008A5A5D" w:rsidRPr="00C24ACA" w:rsidRDefault="008A5A5D" w:rsidP="00C96D24">
            <w:pPr>
              <w:jc w:val="center"/>
              <w:rPr>
                <w:rFonts w:eastAsiaTheme="minorEastAsia"/>
                <w:b/>
                <w:color w:val="000000"/>
                <w:szCs w:val="21"/>
              </w:rPr>
            </w:pPr>
            <w:r w:rsidRPr="00C24ACA">
              <w:rPr>
                <w:rFonts w:eastAsiaTheme="minorEastAsia"/>
                <w:b/>
                <w:color w:val="000000"/>
                <w:szCs w:val="21"/>
              </w:rPr>
              <w:t>项目</w:t>
            </w:r>
          </w:p>
        </w:tc>
        <w:tc>
          <w:tcPr>
            <w:tcW w:w="6165" w:type="dxa"/>
            <w:gridSpan w:val="3"/>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本期</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1</w:t>
            </w:r>
            <w:r w:rsidRPr="00C24ACA">
              <w:rPr>
                <w:rFonts w:ascii="Times New Roman" w:eastAsiaTheme="minorEastAsia" w:hAnsi="Times New Roman"/>
                <w:b/>
                <w:sz w:val="21"/>
                <w:szCs w:val="21"/>
              </w:rPr>
              <w:t>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r>
      <w:tr w:rsidR="008A5A5D" w:rsidRPr="00C24ACA" w:rsidTr="006D141C">
        <w:tc>
          <w:tcPr>
            <w:tcW w:w="2835" w:type="dxa"/>
            <w:vMerge/>
            <w:vAlign w:val="center"/>
          </w:tcPr>
          <w:p w:rsidR="008A5A5D" w:rsidRPr="00C24ACA" w:rsidRDefault="008A5A5D">
            <w:pPr>
              <w:widowControl/>
              <w:jc w:val="left"/>
              <w:rPr>
                <w:rFonts w:eastAsiaTheme="minorEastAsia"/>
                <w:b/>
                <w:color w:val="000000"/>
                <w:szCs w:val="21"/>
              </w:rPr>
            </w:pPr>
          </w:p>
        </w:tc>
        <w:tc>
          <w:tcPr>
            <w:tcW w:w="2127"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实收基金</w:t>
            </w:r>
          </w:p>
        </w:tc>
        <w:tc>
          <w:tcPr>
            <w:tcW w:w="1984"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未分配利润</w:t>
            </w:r>
          </w:p>
        </w:tc>
        <w:tc>
          <w:tcPr>
            <w:tcW w:w="2054" w:type="dxa"/>
            <w:vAlign w:val="center"/>
          </w:tcPr>
          <w:p w:rsidR="008A5A5D" w:rsidRPr="00C24ACA" w:rsidRDefault="008A5A5D">
            <w:pPr>
              <w:jc w:val="center"/>
              <w:rPr>
                <w:rFonts w:eastAsiaTheme="minorEastAsia"/>
                <w:color w:val="000000"/>
                <w:szCs w:val="21"/>
              </w:rPr>
            </w:pPr>
            <w:r w:rsidRPr="00C24ACA">
              <w:rPr>
                <w:rFonts w:eastAsiaTheme="minorEastAsia"/>
                <w:b/>
                <w:color w:val="000000"/>
                <w:szCs w:val="21"/>
              </w:rPr>
              <w:t>所有者权益合计</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一、期初所有者权益（基金净值）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26,504,823.07</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28,918,072.16</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55,422,895.23</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二、本期经营活动产生的基金净值变动数（本期利润）</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-2,460,603.88</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-2,460,603.88</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三、本期基金份额交易产生的基金净值变动数（净值减少以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1,071,679.13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1,376,065.30</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2,447,744.43</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其中：</w:t>
            </w:r>
            <w:r w:rsidRPr="00C24ACA">
              <w:rPr>
                <w:rFonts w:eastAsiaTheme="minorEastAsia"/>
                <w:color w:val="000000"/>
                <w:szCs w:val="21"/>
              </w:rPr>
              <w:t>1.</w:t>
            </w:r>
            <w:r w:rsidRPr="00C24ACA">
              <w:rPr>
                <w:rFonts w:eastAsiaTheme="minorEastAsia"/>
                <w:color w:val="000000"/>
                <w:szCs w:val="21"/>
              </w:rPr>
              <w:t>基金申购款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23,684,590.08</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21,299,695.86</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44,984,285.94</w:t>
            </w:r>
          </w:p>
        </w:tc>
      </w:tr>
      <w:tr w:rsidR="008A5A5D" w:rsidRPr="00C24ACA" w:rsidTr="00C903E7">
        <w:tc>
          <w:tcPr>
            <w:tcW w:w="2835" w:type="dxa"/>
          </w:tcPr>
          <w:p w:rsidR="008A5A5D" w:rsidRPr="00C24ACA" w:rsidRDefault="008A5A5D" w:rsidP="008134C7">
            <w:pPr>
              <w:ind w:firstLineChars="300" w:firstLine="630"/>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基金赎回款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-22,612,910.95</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-19,923,630.56</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-42,536,541.51</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四、本期向基金份额持有人分配利润产生的基金净值变动（净值减少以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五、期末所有者权益（基金净值）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27,576,502.20</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27,833,533.58</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55,410,035.78</w:t>
            </w:r>
          </w:p>
        </w:tc>
      </w:tr>
      <w:tr w:rsidR="008A5A5D" w:rsidRPr="00C24ACA" w:rsidTr="006D141C">
        <w:tc>
          <w:tcPr>
            <w:tcW w:w="2835" w:type="dxa"/>
            <w:vMerge w:val="restart"/>
            <w:vAlign w:val="center"/>
          </w:tcPr>
          <w:p w:rsidR="008A5A5D" w:rsidRPr="00C24ACA" w:rsidRDefault="008A5A5D">
            <w:pPr>
              <w:jc w:val="center"/>
              <w:rPr>
                <w:rFonts w:eastAsiaTheme="minorEastAsia"/>
                <w:color w:val="000000"/>
                <w:szCs w:val="21"/>
              </w:rPr>
            </w:pPr>
            <w:r w:rsidRPr="00C24ACA">
              <w:rPr>
                <w:rFonts w:eastAsiaTheme="minorEastAsia"/>
                <w:b/>
                <w:color w:val="000000"/>
                <w:szCs w:val="21"/>
              </w:rPr>
              <w:t>项目</w:t>
            </w:r>
          </w:p>
        </w:tc>
        <w:tc>
          <w:tcPr>
            <w:tcW w:w="6165" w:type="dxa"/>
            <w:gridSpan w:val="3"/>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上年度可比期间</w:t>
            </w:r>
          </w:p>
          <w:p w:rsidR="008A5A5D" w:rsidRPr="00C24ACA" w:rsidRDefault="00BD0707">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1</w:t>
            </w:r>
            <w:r w:rsidRPr="00C24ACA">
              <w:rPr>
                <w:rFonts w:ascii="Times New Roman" w:eastAsiaTheme="minorEastAsia" w:hAnsi="Times New Roman"/>
                <w:b/>
                <w:color w:val="000000"/>
                <w:sz w:val="21"/>
                <w:szCs w:val="21"/>
              </w:rPr>
              <w:t>日至</w:t>
            </w:r>
            <w:r w:rsidRPr="00C24ACA">
              <w:rPr>
                <w:rFonts w:ascii="Times New Roman" w:eastAsiaTheme="minorEastAsia" w:hAnsi="Times New Roman"/>
                <w:b/>
                <w:color w:val="000000"/>
                <w:sz w:val="21"/>
                <w:szCs w:val="21"/>
              </w:rPr>
              <w:t>2019</w:t>
            </w:r>
            <w:r w:rsidRPr="00C24ACA">
              <w:rPr>
                <w:rFonts w:ascii="Times New Roman" w:eastAsiaTheme="minorEastAsia" w:hAnsi="Times New Roman"/>
                <w:b/>
                <w:color w:val="000000"/>
                <w:sz w:val="21"/>
                <w:szCs w:val="21"/>
              </w:rPr>
              <w:t>年</w:t>
            </w:r>
            <w:r w:rsidRPr="00C24ACA">
              <w:rPr>
                <w:rFonts w:ascii="Times New Roman" w:eastAsiaTheme="minorEastAsia" w:hAnsi="Times New Roman"/>
                <w:b/>
                <w:color w:val="000000"/>
                <w:sz w:val="21"/>
                <w:szCs w:val="21"/>
              </w:rPr>
              <w:t>6</w:t>
            </w:r>
            <w:r w:rsidRPr="00C24ACA">
              <w:rPr>
                <w:rFonts w:ascii="Times New Roman" w:eastAsiaTheme="minorEastAsia" w:hAnsi="Times New Roman"/>
                <w:b/>
                <w:color w:val="000000"/>
                <w:sz w:val="21"/>
                <w:szCs w:val="21"/>
              </w:rPr>
              <w:t>月</w:t>
            </w:r>
            <w:r w:rsidRPr="00C24ACA">
              <w:rPr>
                <w:rFonts w:ascii="Times New Roman" w:eastAsiaTheme="minorEastAsia" w:hAnsi="Times New Roman"/>
                <w:b/>
                <w:color w:val="000000"/>
                <w:sz w:val="21"/>
                <w:szCs w:val="21"/>
              </w:rPr>
              <w:t>30</w:t>
            </w:r>
            <w:r w:rsidRPr="00C24ACA">
              <w:rPr>
                <w:rFonts w:ascii="Times New Roman" w:eastAsiaTheme="minorEastAsia" w:hAnsi="Times New Roman"/>
                <w:b/>
                <w:color w:val="000000"/>
                <w:sz w:val="21"/>
                <w:szCs w:val="21"/>
              </w:rPr>
              <w:t>日</w:t>
            </w:r>
          </w:p>
        </w:tc>
      </w:tr>
      <w:tr w:rsidR="008A5A5D" w:rsidRPr="00C24ACA" w:rsidTr="008964A8">
        <w:tc>
          <w:tcPr>
            <w:tcW w:w="2835" w:type="dxa"/>
            <w:vMerge/>
            <w:vAlign w:val="center"/>
          </w:tcPr>
          <w:p w:rsidR="008A5A5D" w:rsidRPr="00C24ACA" w:rsidRDefault="008A5A5D">
            <w:pPr>
              <w:widowControl/>
              <w:jc w:val="left"/>
              <w:rPr>
                <w:rFonts w:eastAsiaTheme="minorEastAsia"/>
                <w:color w:val="000000"/>
                <w:szCs w:val="21"/>
              </w:rPr>
            </w:pPr>
          </w:p>
        </w:tc>
        <w:tc>
          <w:tcPr>
            <w:tcW w:w="2127" w:type="dxa"/>
            <w:vAlign w:val="center"/>
          </w:tcPr>
          <w:p w:rsidR="008A5A5D" w:rsidRPr="00C24ACA" w:rsidRDefault="008A5A5D" w:rsidP="00E069E3">
            <w:pPr>
              <w:jc w:val="center"/>
              <w:rPr>
                <w:rFonts w:eastAsiaTheme="minorEastAsia"/>
                <w:color w:val="000000"/>
                <w:szCs w:val="21"/>
              </w:rPr>
            </w:pPr>
            <w:r w:rsidRPr="00C24ACA">
              <w:rPr>
                <w:rFonts w:eastAsiaTheme="minorEastAsia"/>
                <w:b/>
                <w:color w:val="000000"/>
                <w:szCs w:val="21"/>
              </w:rPr>
              <w:t>实收基金</w:t>
            </w:r>
          </w:p>
        </w:tc>
        <w:tc>
          <w:tcPr>
            <w:tcW w:w="1984" w:type="dxa"/>
            <w:vAlign w:val="center"/>
          </w:tcPr>
          <w:p w:rsidR="008A5A5D" w:rsidRPr="00C24ACA" w:rsidRDefault="008A5A5D" w:rsidP="008964A8">
            <w:pPr>
              <w:jc w:val="center"/>
              <w:rPr>
                <w:rFonts w:eastAsiaTheme="minorEastAsia"/>
                <w:color w:val="000000"/>
                <w:szCs w:val="21"/>
              </w:rPr>
            </w:pPr>
            <w:r w:rsidRPr="00C24ACA">
              <w:rPr>
                <w:rFonts w:eastAsiaTheme="minorEastAsia"/>
                <w:b/>
                <w:color w:val="000000"/>
                <w:szCs w:val="21"/>
              </w:rPr>
              <w:t>未分配利润</w:t>
            </w:r>
          </w:p>
        </w:tc>
        <w:tc>
          <w:tcPr>
            <w:tcW w:w="2054" w:type="dxa"/>
            <w:vAlign w:val="center"/>
          </w:tcPr>
          <w:p w:rsidR="008A5A5D" w:rsidRPr="00C24ACA" w:rsidRDefault="008A5A5D" w:rsidP="008964A8">
            <w:pPr>
              <w:jc w:val="center"/>
              <w:rPr>
                <w:rFonts w:eastAsiaTheme="minorEastAsia"/>
                <w:b/>
                <w:color w:val="000000"/>
                <w:szCs w:val="21"/>
              </w:rPr>
            </w:pPr>
            <w:r w:rsidRPr="00C24ACA">
              <w:rPr>
                <w:rFonts w:eastAsiaTheme="minorEastAsia"/>
                <w:b/>
                <w:color w:val="000000"/>
                <w:szCs w:val="21"/>
              </w:rPr>
              <w:t>所有者权益合计</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一、期初所有者权益（基金净值）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36,759,191.32</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23,438,193.02</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60,197,384.34</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二、本期经营活动产生的基金净值变动数（本期利润）</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9,211,227.46</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9,211,227.46</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三、本期基金份额交易产生的基金净值变动数（净值减少以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-7,676,380.70</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-6,151,843.21</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-13,828,223.91</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其中：</w:t>
            </w:r>
            <w:r w:rsidRPr="00C24ACA">
              <w:rPr>
                <w:rFonts w:eastAsiaTheme="minorEastAsia"/>
                <w:color w:val="000000"/>
                <w:szCs w:val="21"/>
              </w:rPr>
              <w:t>1.</w:t>
            </w:r>
            <w:r w:rsidRPr="00C24ACA">
              <w:rPr>
                <w:rFonts w:eastAsiaTheme="minorEastAsia"/>
                <w:color w:val="000000"/>
                <w:szCs w:val="21"/>
              </w:rPr>
              <w:t>基金申购款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7,817,401.95</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6,315,524.11</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14,132,926.06</w:t>
            </w:r>
          </w:p>
        </w:tc>
      </w:tr>
      <w:tr w:rsidR="008A5A5D" w:rsidRPr="00C24ACA" w:rsidTr="00C903E7">
        <w:tc>
          <w:tcPr>
            <w:tcW w:w="2835" w:type="dxa"/>
          </w:tcPr>
          <w:p w:rsidR="008A5A5D" w:rsidRPr="00C24ACA" w:rsidRDefault="008A5A5D" w:rsidP="008134C7">
            <w:pPr>
              <w:ind w:firstLineChars="300" w:firstLine="630"/>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基金赎回款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-15,493,782.65</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-12,467,367.32</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-27,961,149.97</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四、本期向基金份额持有人分配利润产生的基金净值变动（净值减少以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五、期末所有者权益（基金净值）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29,082,810.62</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26,497,577.27</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55,580,387.89</w:t>
            </w:r>
          </w:p>
        </w:tc>
      </w:tr>
    </w:tbl>
    <w:p w:rsidR="0035753E" w:rsidRPr="00C24ACA" w:rsidRDefault="0035753E" w:rsidP="00732F5C">
      <w:pPr>
        <w:spacing w:beforeLines="100" w:before="312" w:line="360" w:lineRule="auto"/>
        <w:rPr>
          <w:rFonts w:eastAsiaTheme="minorEastAsia"/>
          <w:szCs w:val="21"/>
        </w:rPr>
      </w:pPr>
      <w:r w:rsidRPr="00C24ACA">
        <w:rPr>
          <w:rFonts w:eastAsiaTheme="minorEastAsia"/>
          <w:szCs w:val="21"/>
        </w:rPr>
        <w:t>报表附注为财务报表的组成部分。</w:t>
      </w:r>
    </w:p>
    <w:p w:rsidR="0035753E" w:rsidRPr="00C24ACA" w:rsidRDefault="0035753E" w:rsidP="00316012">
      <w:pPr>
        <w:spacing w:line="360" w:lineRule="auto"/>
        <w:rPr>
          <w:rFonts w:eastAsiaTheme="minorEastAsia"/>
          <w:szCs w:val="21"/>
        </w:rPr>
      </w:pPr>
      <w:r w:rsidRPr="00C24ACA">
        <w:rPr>
          <w:rFonts w:eastAsiaTheme="minorEastAsia"/>
          <w:szCs w:val="21"/>
        </w:rPr>
        <w:t>本报告</w:t>
      </w:r>
      <w:r w:rsidRPr="00C24ACA">
        <w:rPr>
          <w:rFonts w:eastAsiaTheme="minorEastAsia"/>
          <w:szCs w:val="21"/>
        </w:rPr>
        <w:t>6.1</w:t>
      </w:r>
      <w:r w:rsidRPr="00C24ACA">
        <w:rPr>
          <w:rFonts w:eastAsiaTheme="minorEastAsia"/>
          <w:szCs w:val="21"/>
        </w:rPr>
        <w:t>至</w:t>
      </w:r>
      <w:r w:rsidRPr="00C24ACA">
        <w:rPr>
          <w:rFonts w:eastAsiaTheme="minorEastAsia"/>
          <w:szCs w:val="21"/>
        </w:rPr>
        <w:t>6.4</w:t>
      </w:r>
      <w:r w:rsidRPr="00C24ACA">
        <w:rPr>
          <w:rFonts w:eastAsiaTheme="minorEastAsia"/>
          <w:szCs w:val="21"/>
        </w:rPr>
        <w:t>，财务报表由下列负责人签署：</w:t>
      </w:r>
    </w:p>
    <w:p w:rsidR="008A5A5D" w:rsidRPr="00C24ACA" w:rsidRDefault="00787FF8" w:rsidP="00862636">
      <w:pPr>
        <w:spacing w:line="360" w:lineRule="auto"/>
        <w:rPr>
          <w:rFonts w:eastAsiaTheme="minorEastAsia"/>
          <w:szCs w:val="21"/>
        </w:rPr>
      </w:pPr>
      <w:r w:rsidRPr="00C24ACA">
        <w:rPr>
          <w:rFonts w:eastAsiaTheme="minorEastAsia"/>
          <w:szCs w:val="21"/>
        </w:rPr>
        <w:t>基金管理人</w:t>
      </w:r>
      <w:r w:rsidR="0035753E" w:rsidRPr="00C24ACA">
        <w:rPr>
          <w:rFonts w:eastAsiaTheme="minorEastAsia"/>
          <w:szCs w:val="21"/>
        </w:rPr>
        <w:t>负责人：刘晓艳，主管会计工作负责人：陈荣，会计机构负责人：邱毅华</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191" w:name="_Toc225498271"/>
      <w:bookmarkStart w:id="192" w:name="_Toc352255994"/>
      <w:bookmarkStart w:id="193" w:name="_Toc352256062"/>
      <w:bookmarkStart w:id="194" w:name="_Toc352331240"/>
      <w:bookmarkStart w:id="195" w:name="_Toc390164819"/>
      <w:bookmarkStart w:id="196" w:name="_Toc48662925"/>
      <w:r w:rsidRPr="0087359D">
        <w:rPr>
          <w:rFonts w:ascii="宋体" w:hAnsi="宋体"/>
          <w:kern w:val="0"/>
          <w:sz w:val="21"/>
          <w:szCs w:val="21"/>
        </w:rPr>
        <w:t>6.4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报表附注</w:t>
      </w:r>
      <w:bookmarkEnd w:id="191"/>
      <w:bookmarkEnd w:id="192"/>
      <w:bookmarkEnd w:id="193"/>
      <w:bookmarkEnd w:id="194"/>
      <w:bookmarkEnd w:id="195"/>
      <w:bookmarkEnd w:id="196"/>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w:t>
      </w:r>
      <w:r w:rsidR="004F3E31" w:rsidRPr="00C24ACA">
        <w:rPr>
          <w:rFonts w:eastAsiaTheme="minorEastAsia"/>
          <w:b/>
          <w:bCs/>
          <w:color w:val="000000"/>
          <w:kern w:val="0"/>
          <w:szCs w:val="21"/>
        </w:rPr>
        <w:t xml:space="preserve"> </w:t>
      </w:r>
      <w:r w:rsidRPr="00C24ACA">
        <w:rPr>
          <w:rFonts w:eastAsiaTheme="minorEastAsia"/>
          <w:b/>
          <w:color w:val="000000"/>
          <w:kern w:val="0"/>
          <w:szCs w:val="21"/>
        </w:rPr>
        <w:t>基金基本情况</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易方达标普全球高端消费品指数增强型证券投资基金</w:t>
      </w:r>
      <w:r>
        <w:rPr>
          <w:rFonts w:eastAsiaTheme="minorEastAsia"/>
          <w:kern w:val="0"/>
          <w:szCs w:val="21"/>
        </w:rPr>
        <w:t>(</w:t>
      </w:r>
      <w:r>
        <w:rPr>
          <w:rFonts w:eastAsiaTheme="minorEastAsia"/>
          <w:kern w:val="0"/>
          <w:szCs w:val="21"/>
        </w:rPr>
        <w:t>简称</w:t>
      </w:r>
      <w:r>
        <w:rPr>
          <w:rFonts w:eastAsiaTheme="minorEastAsia"/>
          <w:kern w:val="0"/>
          <w:szCs w:val="21"/>
        </w:rPr>
        <w:t>“</w:t>
      </w:r>
      <w:r>
        <w:rPr>
          <w:rFonts w:eastAsiaTheme="minorEastAsia"/>
          <w:kern w:val="0"/>
          <w:szCs w:val="21"/>
        </w:rPr>
        <w:t>本基金</w:t>
      </w:r>
      <w:r>
        <w:rPr>
          <w:rFonts w:eastAsiaTheme="minorEastAsia"/>
          <w:kern w:val="0"/>
          <w:szCs w:val="21"/>
        </w:rPr>
        <w:t>”)</w:t>
      </w:r>
      <w:r>
        <w:rPr>
          <w:rFonts w:eastAsiaTheme="minorEastAsia"/>
          <w:kern w:val="0"/>
          <w:szCs w:val="21"/>
        </w:rPr>
        <w:t>经中国证券监督管理委员会</w:t>
      </w:r>
      <w:r>
        <w:rPr>
          <w:rFonts w:eastAsiaTheme="minorEastAsia"/>
          <w:kern w:val="0"/>
          <w:szCs w:val="21"/>
        </w:rPr>
        <w:t xml:space="preserve"> (</w:t>
      </w:r>
      <w:r>
        <w:rPr>
          <w:rFonts w:eastAsiaTheme="minorEastAsia"/>
          <w:kern w:val="0"/>
          <w:szCs w:val="21"/>
        </w:rPr>
        <w:t>以下简称</w:t>
      </w:r>
      <w:r>
        <w:rPr>
          <w:rFonts w:eastAsiaTheme="minorEastAsia"/>
          <w:kern w:val="0"/>
          <w:szCs w:val="21"/>
        </w:rPr>
        <w:t>“</w:t>
      </w:r>
      <w:r>
        <w:rPr>
          <w:rFonts w:eastAsiaTheme="minorEastAsia"/>
          <w:kern w:val="0"/>
          <w:szCs w:val="21"/>
        </w:rPr>
        <w:t>中国证监会</w:t>
      </w:r>
      <w:r>
        <w:rPr>
          <w:rFonts w:eastAsiaTheme="minorEastAsia"/>
          <w:kern w:val="0"/>
          <w:szCs w:val="21"/>
        </w:rPr>
        <w:t>”)</w:t>
      </w:r>
      <w:r>
        <w:rPr>
          <w:rFonts w:eastAsiaTheme="minorEastAsia"/>
          <w:kern w:val="0"/>
          <w:szCs w:val="21"/>
        </w:rPr>
        <w:t>证监许可</w:t>
      </w:r>
      <w:r>
        <w:rPr>
          <w:rFonts w:eastAsiaTheme="minorEastAsia"/>
          <w:kern w:val="0"/>
          <w:szCs w:val="21"/>
        </w:rPr>
        <w:t>[2011]2013</w:t>
      </w:r>
      <w:r>
        <w:rPr>
          <w:rFonts w:eastAsiaTheme="minorEastAsia"/>
          <w:kern w:val="0"/>
          <w:szCs w:val="21"/>
        </w:rPr>
        <w:t>号《关于核准易方达标普全球高端消费品指数增强型证券投资基金募集的批复》核准，由易方达基金管理有限公司依照《中华人民共和国证券投资基金法》和《易方达标普全球高端消费品指数增强型证券投资基金基金合同》公开募集。经向中国证监会备案，本基金基金合同于</w:t>
      </w:r>
      <w:r>
        <w:rPr>
          <w:rFonts w:eastAsiaTheme="minorEastAsia"/>
          <w:kern w:val="0"/>
          <w:szCs w:val="21"/>
        </w:rPr>
        <w:t>2012</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4</w:t>
      </w:r>
      <w:r>
        <w:rPr>
          <w:rFonts w:eastAsiaTheme="minorEastAsia"/>
          <w:kern w:val="0"/>
          <w:szCs w:val="21"/>
        </w:rPr>
        <w:t>日正式生效，基金合同生效日的基金份额总额为</w:t>
      </w:r>
      <w:r>
        <w:rPr>
          <w:rFonts w:eastAsiaTheme="minorEastAsia"/>
          <w:kern w:val="0"/>
          <w:szCs w:val="21"/>
        </w:rPr>
        <w:t>384,051,169.28</w:t>
      </w:r>
      <w:r>
        <w:rPr>
          <w:rFonts w:eastAsiaTheme="minorEastAsia"/>
          <w:kern w:val="0"/>
          <w:szCs w:val="21"/>
        </w:rPr>
        <w:t>份基金份额，其中认购资金利息折合</w:t>
      </w:r>
      <w:r>
        <w:rPr>
          <w:rFonts w:eastAsiaTheme="minorEastAsia"/>
          <w:kern w:val="0"/>
          <w:szCs w:val="21"/>
        </w:rPr>
        <w:t>15,734.95</w:t>
      </w:r>
      <w:r>
        <w:rPr>
          <w:rFonts w:eastAsiaTheme="minorEastAsia"/>
          <w:kern w:val="0"/>
          <w:szCs w:val="21"/>
        </w:rPr>
        <w:t>份基金份额。本基金为契约型开放式基金，存续期限不定。本基金的基金管理人为易方达基金管理有限公司，注册登记机构为易方达基金管理有限公司，基金托管人为中国银行股份有限公司，境外资产托管人为中国银行（香港）有限公司。</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自</w:t>
      </w:r>
      <w:r>
        <w:rPr>
          <w:rFonts w:eastAsiaTheme="minorEastAsia"/>
          <w:kern w:val="0"/>
          <w:szCs w:val="21"/>
        </w:rPr>
        <w:t>2014</w:t>
      </w:r>
      <w:r>
        <w:rPr>
          <w:rFonts w:eastAsiaTheme="minorEastAsia"/>
          <w:kern w:val="0"/>
          <w:szCs w:val="21"/>
        </w:rPr>
        <w:t>年</w:t>
      </w:r>
      <w:r>
        <w:rPr>
          <w:rFonts w:eastAsiaTheme="minorEastAsia"/>
          <w:kern w:val="0"/>
          <w:szCs w:val="21"/>
        </w:rPr>
        <w:t>3</w:t>
      </w:r>
      <w:r>
        <w:rPr>
          <w:rFonts w:eastAsiaTheme="minorEastAsia"/>
          <w:kern w:val="0"/>
          <w:szCs w:val="21"/>
        </w:rPr>
        <w:t>月</w:t>
      </w:r>
      <w:r>
        <w:rPr>
          <w:rFonts w:eastAsiaTheme="minorEastAsia"/>
          <w:kern w:val="0"/>
          <w:szCs w:val="21"/>
        </w:rPr>
        <w:t>28</w:t>
      </w:r>
      <w:r>
        <w:rPr>
          <w:rFonts w:eastAsiaTheme="minorEastAsia"/>
          <w:kern w:val="0"/>
          <w:szCs w:val="21"/>
        </w:rPr>
        <w:t>日起，本基金增设美元现汇基金份额（基金代码：</w:t>
      </w:r>
      <w:r>
        <w:rPr>
          <w:rFonts w:eastAsiaTheme="minorEastAsia"/>
          <w:kern w:val="0"/>
          <w:szCs w:val="21"/>
        </w:rPr>
        <w:t>000593</w:t>
      </w:r>
      <w:r>
        <w:rPr>
          <w:rFonts w:eastAsiaTheme="minorEastAsia"/>
          <w:kern w:val="0"/>
          <w:szCs w:val="21"/>
        </w:rPr>
        <w:t>），份额申购首次确认日为</w:t>
      </w:r>
      <w:r>
        <w:rPr>
          <w:rFonts w:eastAsiaTheme="minorEastAsia"/>
          <w:kern w:val="0"/>
          <w:szCs w:val="21"/>
        </w:rPr>
        <w:t>2014</w:t>
      </w:r>
      <w:r>
        <w:rPr>
          <w:rFonts w:eastAsiaTheme="minorEastAsia"/>
          <w:kern w:val="0"/>
          <w:szCs w:val="21"/>
        </w:rPr>
        <w:t>年</w:t>
      </w:r>
      <w:r>
        <w:rPr>
          <w:rFonts w:eastAsiaTheme="minorEastAsia"/>
          <w:kern w:val="0"/>
          <w:szCs w:val="21"/>
        </w:rPr>
        <w:t>3</w:t>
      </w:r>
      <w:r>
        <w:rPr>
          <w:rFonts w:eastAsiaTheme="minorEastAsia"/>
          <w:kern w:val="0"/>
          <w:szCs w:val="21"/>
        </w:rPr>
        <w:t>月</w:t>
      </w:r>
      <w:r>
        <w:rPr>
          <w:rFonts w:eastAsiaTheme="minorEastAsia"/>
          <w:kern w:val="0"/>
          <w:szCs w:val="21"/>
        </w:rPr>
        <w:t>31</w:t>
      </w:r>
      <w:r>
        <w:rPr>
          <w:rFonts w:eastAsiaTheme="minorEastAsia"/>
          <w:kern w:val="0"/>
          <w:szCs w:val="21"/>
        </w:rPr>
        <w:t>日。</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自</w:t>
      </w:r>
      <w:r w:rsidRPr="00C24ACA">
        <w:rPr>
          <w:rFonts w:eastAsiaTheme="minorEastAsia"/>
          <w:kern w:val="0"/>
          <w:szCs w:val="21"/>
        </w:rPr>
        <w:t>2018</w:t>
      </w:r>
      <w:r w:rsidRPr="00C24ACA">
        <w:rPr>
          <w:rFonts w:eastAsiaTheme="minorEastAsia"/>
          <w:kern w:val="0"/>
          <w:szCs w:val="21"/>
        </w:rPr>
        <w:t>年</w:t>
      </w:r>
      <w:r w:rsidRPr="00C24ACA">
        <w:rPr>
          <w:rFonts w:eastAsiaTheme="minorEastAsia"/>
          <w:kern w:val="0"/>
          <w:szCs w:val="21"/>
        </w:rPr>
        <w:t>2</w:t>
      </w:r>
      <w:r w:rsidRPr="00C24ACA">
        <w:rPr>
          <w:rFonts w:eastAsiaTheme="minorEastAsia"/>
          <w:kern w:val="0"/>
          <w:szCs w:val="21"/>
        </w:rPr>
        <w:t>月</w:t>
      </w:r>
      <w:r w:rsidRPr="00C24ACA">
        <w:rPr>
          <w:rFonts w:eastAsiaTheme="minorEastAsia"/>
          <w:kern w:val="0"/>
          <w:szCs w:val="21"/>
        </w:rPr>
        <w:t>9</w:t>
      </w:r>
      <w:r w:rsidRPr="00C24ACA">
        <w:rPr>
          <w:rFonts w:eastAsiaTheme="minorEastAsia"/>
          <w:kern w:val="0"/>
          <w:szCs w:val="21"/>
        </w:rPr>
        <w:t>日起，本基金增设</w:t>
      </w:r>
      <w:r w:rsidRPr="00C24ACA">
        <w:rPr>
          <w:rFonts w:eastAsiaTheme="minorEastAsia"/>
          <w:kern w:val="0"/>
          <w:szCs w:val="21"/>
        </w:rPr>
        <w:t>C</w:t>
      </w:r>
      <w:r w:rsidRPr="00C24ACA">
        <w:rPr>
          <w:rFonts w:eastAsiaTheme="minorEastAsia"/>
          <w:kern w:val="0"/>
          <w:szCs w:val="21"/>
        </w:rPr>
        <w:t>类份额类别，份额首次确认日为</w:t>
      </w:r>
      <w:r w:rsidRPr="00C24ACA">
        <w:rPr>
          <w:rFonts w:eastAsiaTheme="minorEastAsia"/>
          <w:kern w:val="0"/>
          <w:szCs w:val="21"/>
        </w:rPr>
        <w:t>2018</w:t>
      </w:r>
      <w:r w:rsidRPr="00C24ACA">
        <w:rPr>
          <w:rFonts w:eastAsiaTheme="minorEastAsia"/>
          <w:kern w:val="0"/>
          <w:szCs w:val="21"/>
        </w:rPr>
        <w:t>年</w:t>
      </w:r>
      <w:r w:rsidRPr="00C24ACA">
        <w:rPr>
          <w:rFonts w:eastAsiaTheme="minorEastAsia"/>
          <w:kern w:val="0"/>
          <w:szCs w:val="21"/>
        </w:rPr>
        <w:t>2</w:t>
      </w:r>
      <w:r w:rsidRPr="00C24ACA">
        <w:rPr>
          <w:rFonts w:eastAsiaTheme="minorEastAsia"/>
          <w:kern w:val="0"/>
          <w:szCs w:val="21"/>
        </w:rPr>
        <w:t>月</w:t>
      </w:r>
      <w:r w:rsidRPr="00C24ACA">
        <w:rPr>
          <w:rFonts w:eastAsiaTheme="minorEastAsia"/>
          <w:kern w:val="0"/>
          <w:szCs w:val="21"/>
        </w:rPr>
        <w:t>12</w:t>
      </w:r>
      <w:r w:rsidRPr="00C24ACA">
        <w:rPr>
          <w:rFonts w:eastAsiaTheme="minorEastAsia"/>
          <w:kern w:val="0"/>
          <w:szCs w:val="21"/>
        </w:rPr>
        <w:t>日。</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6.4.2</w:t>
      </w:r>
      <w:r w:rsidR="004F3E31" w:rsidRPr="00C24ACA">
        <w:rPr>
          <w:rFonts w:eastAsiaTheme="minorEastAsia"/>
          <w:b/>
          <w:bCs/>
          <w:color w:val="000000"/>
          <w:kern w:val="0"/>
          <w:szCs w:val="21"/>
        </w:rPr>
        <w:t xml:space="preserve"> </w:t>
      </w:r>
      <w:r w:rsidRPr="00C24ACA">
        <w:rPr>
          <w:rFonts w:eastAsiaTheme="minorEastAsia"/>
          <w:b/>
          <w:color w:val="000000"/>
          <w:kern w:val="0"/>
          <w:szCs w:val="21"/>
        </w:rPr>
        <w:t>会计报表的编制基础</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本基金的财务报表按照财政部于</w:t>
      </w:r>
      <w:r>
        <w:rPr>
          <w:rFonts w:eastAsiaTheme="minorEastAsia"/>
          <w:kern w:val="0"/>
          <w:szCs w:val="21"/>
        </w:rPr>
        <w:t>2006</w:t>
      </w:r>
      <w:r>
        <w:rPr>
          <w:rFonts w:eastAsiaTheme="minorEastAsia"/>
          <w:kern w:val="0"/>
          <w:szCs w:val="21"/>
        </w:rPr>
        <w:t>年</w:t>
      </w:r>
      <w:r>
        <w:rPr>
          <w:rFonts w:eastAsiaTheme="minorEastAsia"/>
          <w:kern w:val="0"/>
          <w:szCs w:val="21"/>
        </w:rPr>
        <w:t>2</w:t>
      </w:r>
      <w:r>
        <w:rPr>
          <w:rFonts w:eastAsiaTheme="minorEastAsia"/>
          <w:kern w:val="0"/>
          <w:szCs w:val="21"/>
        </w:rPr>
        <w:t>月</w:t>
      </w:r>
      <w:r>
        <w:rPr>
          <w:rFonts w:eastAsiaTheme="minorEastAsia"/>
          <w:kern w:val="0"/>
          <w:szCs w:val="21"/>
        </w:rPr>
        <w:t>15</w:t>
      </w:r>
      <w:r>
        <w:rPr>
          <w:rFonts w:eastAsiaTheme="minorEastAsia"/>
          <w:kern w:val="0"/>
          <w:szCs w:val="21"/>
        </w:rPr>
        <w:t>日及以后期间颁布的《企业会计准则－基本准则》、各项具体会计准则及相关规定</w:t>
      </w:r>
      <w:r>
        <w:rPr>
          <w:rFonts w:eastAsiaTheme="minorEastAsia"/>
          <w:kern w:val="0"/>
          <w:szCs w:val="21"/>
        </w:rPr>
        <w:t>(</w:t>
      </w:r>
      <w:r>
        <w:rPr>
          <w:rFonts w:eastAsiaTheme="minorEastAsia"/>
          <w:kern w:val="0"/>
          <w:szCs w:val="21"/>
        </w:rPr>
        <w:t>以下合称</w:t>
      </w:r>
      <w:r>
        <w:rPr>
          <w:rFonts w:eastAsiaTheme="minorEastAsia"/>
          <w:kern w:val="0"/>
          <w:szCs w:val="21"/>
        </w:rPr>
        <w:t>“</w:t>
      </w:r>
      <w:r>
        <w:rPr>
          <w:rFonts w:eastAsiaTheme="minorEastAsia"/>
          <w:kern w:val="0"/>
          <w:szCs w:val="21"/>
        </w:rPr>
        <w:t>企业会计准则</w:t>
      </w:r>
      <w:r>
        <w:rPr>
          <w:rFonts w:eastAsiaTheme="minorEastAsia"/>
          <w:kern w:val="0"/>
          <w:szCs w:val="21"/>
        </w:rPr>
        <w:t>”)</w:t>
      </w:r>
      <w:r>
        <w:rPr>
          <w:rFonts w:eastAsiaTheme="minorEastAsia"/>
          <w:kern w:val="0"/>
          <w:szCs w:val="21"/>
        </w:rPr>
        <w:t>、中国证监会颁布的《证券投资基金信息披露</w:t>
      </w:r>
      <w:r>
        <w:rPr>
          <w:rFonts w:eastAsiaTheme="minorEastAsia"/>
          <w:kern w:val="0"/>
          <w:szCs w:val="21"/>
        </w:rPr>
        <w:t>XBRL</w:t>
      </w:r>
      <w:r>
        <w:rPr>
          <w:rFonts w:eastAsiaTheme="minorEastAsia"/>
          <w:kern w:val="0"/>
          <w:szCs w:val="21"/>
        </w:rPr>
        <w:t>模板第</w:t>
      </w:r>
      <w:r>
        <w:rPr>
          <w:rFonts w:eastAsiaTheme="minorEastAsia"/>
          <w:kern w:val="0"/>
          <w:szCs w:val="21"/>
        </w:rPr>
        <w:t>3</w:t>
      </w:r>
      <w:r>
        <w:rPr>
          <w:rFonts w:eastAsiaTheme="minorEastAsia"/>
          <w:kern w:val="0"/>
          <w:szCs w:val="21"/>
        </w:rPr>
        <w:t>号</w:t>
      </w:r>
      <w:r>
        <w:rPr>
          <w:rFonts w:eastAsiaTheme="minorEastAsia"/>
          <w:kern w:val="0"/>
          <w:szCs w:val="21"/>
        </w:rPr>
        <w:t>&lt;</w:t>
      </w:r>
      <w:r>
        <w:rPr>
          <w:rFonts w:eastAsiaTheme="minorEastAsia"/>
          <w:kern w:val="0"/>
          <w:szCs w:val="21"/>
        </w:rPr>
        <w:t>年度报告和中期报告</w:t>
      </w:r>
      <w:r>
        <w:rPr>
          <w:rFonts w:eastAsiaTheme="minorEastAsia"/>
          <w:kern w:val="0"/>
          <w:szCs w:val="21"/>
        </w:rPr>
        <w:t>&gt;</w:t>
      </w:r>
      <w:r>
        <w:rPr>
          <w:rFonts w:eastAsiaTheme="minorEastAsia"/>
          <w:kern w:val="0"/>
          <w:szCs w:val="21"/>
        </w:rPr>
        <w:t>》、中国证券投资基金业协会</w:t>
      </w:r>
      <w:r>
        <w:rPr>
          <w:rFonts w:eastAsiaTheme="minorEastAsia"/>
          <w:kern w:val="0"/>
          <w:szCs w:val="21"/>
        </w:rPr>
        <w:t>(</w:t>
      </w:r>
      <w:r>
        <w:rPr>
          <w:rFonts w:eastAsiaTheme="minorEastAsia"/>
          <w:kern w:val="0"/>
          <w:szCs w:val="21"/>
        </w:rPr>
        <w:t>以下简称</w:t>
      </w:r>
      <w:r>
        <w:rPr>
          <w:rFonts w:eastAsiaTheme="minorEastAsia"/>
          <w:kern w:val="0"/>
          <w:szCs w:val="21"/>
        </w:rPr>
        <w:t>“</w:t>
      </w:r>
      <w:r>
        <w:rPr>
          <w:rFonts w:eastAsiaTheme="minorEastAsia"/>
          <w:kern w:val="0"/>
          <w:szCs w:val="21"/>
        </w:rPr>
        <w:t>中国基金业协会</w:t>
      </w:r>
      <w:r>
        <w:rPr>
          <w:rFonts w:eastAsiaTheme="minorEastAsia"/>
          <w:kern w:val="0"/>
          <w:szCs w:val="21"/>
        </w:rPr>
        <w:t>”)</w:t>
      </w:r>
      <w:r>
        <w:rPr>
          <w:rFonts w:eastAsiaTheme="minorEastAsia"/>
          <w:kern w:val="0"/>
          <w:szCs w:val="21"/>
        </w:rPr>
        <w:t>颁布的《证券投资基金会计核算业务指引》、《易方达标普全球高端消费品指数增强型证券投资基金基金合同》和财务报表附注所列示的中国证监会、中国基金业协会发布的有关规定及允许的基金行业实务操作编制。</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本财务报表以持续经营为基础编制。</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6.4.3</w:t>
      </w:r>
      <w:r w:rsidR="004F3E31" w:rsidRPr="00C24ACA">
        <w:rPr>
          <w:rFonts w:eastAsiaTheme="minorEastAsia"/>
          <w:b/>
          <w:bCs/>
          <w:color w:val="000000"/>
          <w:kern w:val="0"/>
          <w:szCs w:val="21"/>
        </w:rPr>
        <w:t xml:space="preserve"> </w:t>
      </w:r>
      <w:r w:rsidRPr="00C24ACA">
        <w:rPr>
          <w:rFonts w:eastAsiaTheme="minorEastAsia"/>
          <w:b/>
          <w:color w:val="000000"/>
          <w:kern w:val="0"/>
          <w:szCs w:val="21"/>
        </w:rPr>
        <w:t>遵循企业会计准则及其他有关规定的声明</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本财务报表符合企业会计准则的要求，真实、完整地反映了本基金本报告期末的财务状况以及本报告期间的经营成果和基金净值变动情况等有关信息。</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6.4.4</w:t>
      </w:r>
      <w:r w:rsidR="004F3E31" w:rsidRPr="00C24ACA">
        <w:rPr>
          <w:rFonts w:eastAsiaTheme="minorEastAsia"/>
          <w:b/>
          <w:bCs/>
          <w:color w:val="000000"/>
          <w:kern w:val="0"/>
          <w:szCs w:val="21"/>
        </w:rPr>
        <w:t xml:space="preserve"> </w:t>
      </w:r>
      <w:r w:rsidR="004F3E31" w:rsidRPr="00C24ACA">
        <w:rPr>
          <w:rFonts w:eastAsiaTheme="minorEastAsia"/>
          <w:b/>
          <w:kern w:val="0"/>
          <w:szCs w:val="21"/>
        </w:rPr>
        <w:t>本报告期所采用的会计政策、会计估计与最近一期年度报告相一致的说明</w:t>
      </w:r>
    </w:p>
    <w:p w:rsidR="006E59EA"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本报告期所采用的会计政策、会计估计与最近一期年度报告相一致。</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6.4.5</w:t>
      </w:r>
      <w:r w:rsidRPr="00C24ACA">
        <w:rPr>
          <w:rFonts w:eastAsiaTheme="minorEastAsia"/>
          <w:b/>
          <w:color w:val="000000"/>
          <w:kern w:val="0"/>
          <w:szCs w:val="21"/>
        </w:rPr>
        <w:t xml:space="preserve"> </w:t>
      </w:r>
      <w:r w:rsidRPr="00C24ACA">
        <w:rPr>
          <w:rFonts w:eastAsiaTheme="minorEastAsia"/>
          <w:b/>
          <w:color w:val="000000"/>
          <w:kern w:val="0"/>
          <w:szCs w:val="21"/>
        </w:rPr>
        <w:t>差错更正的说明</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本基金本报告期无会计差错更正。</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6.4.6</w:t>
      </w:r>
      <w:r w:rsidRPr="00C24ACA">
        <w:rPr>
          <w:rFonts w:eastAsiaTheme="minorEastAsia"/>
          <w:b/>
          <w:color w:val="000000"/>
          <w:kern w:val="0"/>
          <w:szCs w:val="21"/>
        </w:rPr>
        <w:t>税项</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根据财政部、国家税务总局财税</w:t>
      </w:r>
      <w:r>
        <w:rPr>
          <w:rFonts w:eastAsiaTheme="minorEastAsia"/>
          <w:kern w:val="0"/>
          <w:szCs w:val="21"/>
        </w:rPr>
        <w:t>[2002]128</w:t>
      </w:r>
      <w:r>
        <w:rPr>
          <w:rFonts w:eastAsiaTheme="minorEastAsia"/>
          <w:kern w:val="0"/>
          <w:szCs w:val="21"/>
        </w:rPr>
        <w:t>号《关于开放式证券投资基金有关税收问题的通知》、财税</w:t>
      </w:r>
      <w:r>
        <w:rPr>
          <w:rFonts w:eastAsiaTheme="minorEastAsia"/>
          <w:kern w:val="0"/>
          <w:szCs w:val="21"/>
        </w:rPr>
        <w:t>[2008]1</w:t>
      </w:r>
      <w:r>
        <w:rPr>
          <w:rFonts w:eastAsiaTheme="minorEastAsia"/>
          <w:kern w:val="0"/>
          <w:szCs w:val="21"/>
        </w:rPr>
        <w:t>号《关于企业所得税若干优惠政策的通知》、财税</w:t>
      </w:r>
      <w:r>
        <w:rPr>
          <w:rFonts w:eastAsiaTheme="minorEastAsia"/>
          <w:kern w:val="0"/>
          <w:szCs w:val="21"/>
        </w:rPr>
        <w:t>[2014]81</w:t>
      </w:r>
      <w:r>
        <w:rPr>
          <w:rFonts w:eastAsiaTheme="minorEastAsia"/>
          <w:kern w:val="0"/>
          <w:szCs w:val="21"/>
        </w:rPr>
        <w:t>号《财政部国家税务总局证监会关于沪港股票市场交易互联互通机制试点有关税收政策的通知》、财税</w:t>
      </w:r>
      <w:r>
        <w:rPr>
          <w:rFonts w:eastAsiaTheme="minorEastAsia"/>
          <w:kern w:val="0"/>
          <w:szCs w:val="21"/>
        </w:rPr>
        <w:t>[2016]36</w:t>
      </w:r>
      <w:r>
        <w:rPr>
          <w:rFonts w:eastAsiaTheme="minorEastAsia"/>
          <w:kern w:val="0"/>
          <w:szCs w:val="21"/>
        </w:rPr>
        <w:t>号《关于全面推开营业税改征增值税试点的通知》、财税</w:t>
      </w:r>
      <w:r>
        <w:rPr>
          <w:rFonts w:eastAsiaTheme="minorEastAsia"/>
          <w:kern w:val="0"/>
          <w:szCs w:val="21"/>
        </w:rPr>
        <w:t>[2016]46</w:t>
      </w:r>
      <w:r>
        <w:rPr>
          <w:rFonts w:eastAsiaTheme="minorEastAsia"/>
          <w:kern w:val="0"/>
          <w:szCs w:val="21"/>
        </w:rPr>
        <w:t>号《关于进一步明确全面推开营改增试点金融业有关政策的通知》、财税</w:t>
      </w:r>
      <w:r>
        <w:rPr>
          <w:rFonts w:eastAsiaTheme="minorEastAsia"/>
          <w:kern w:val="0"/>
          <w:szCs w:val="21"/>
        </w:rPr>
        <w:t>[2016]70</w:t>
      </w:r>
      <w:r>
        <w:rPr>
          <w:rFonts w:eastAsiaTheme="minorEastAsia"/>
          <w:kern w:val="0"/>
          <w:szCs w:val="21"/>
        </w:rPr>
        <w:t>号《关于金融机构同业往来等增值税政策的补充通知》、财税</w:t>
      </w:r>
      <w:r>
        <w:rPr>
          <w:rFonts w:eastAsiaTheme="minorEastAsia"/>
          <w:kern w:val="0"/>
          <w:szCs w:val="21"/>
        </w:rPr>
        <w:t>[2016]127</w:t>
      </w:r>
      <w:r>
        <w:rPr>
          <w:rFonts w:eastAsiaTheme="minorEastAsia"/>
          <w:kern w:val="0"/>
          <w:szCs w:val="21"/>
        </w:rPr>
        <w:t>号《财政部国家税务总局证监会关于深港股票市场交易互联互通机制试点有关税收政策的通知》、财税</w:t>
      </w:r>
      <w:r>
        <w:rPr>
          <w:rFonts w:eastAsiaTheme="minorEastAsia"/>
          <w:kern w:val="0"/>
          <w:szCs w:val="21"/>
        </w:rPr>
        <w:t>[2016]140</w:t>
      </w:r>
      <w:r>
        <w:rPr>
          <w:rFonts w:eastAsiaTheme="minorEastAsia"/>
          <w:kern w:val="0"/>
          <w:szCs w:val="21"/>
        </w:rPr>
        <w:t>号《关于明确金融房地产开发教育辅助服务等增值税政策的通知》、财税</w:t>
      </w:r>
      <w:r>
        <w:rPr>
          <w:rFonts w:eastAsiaTheme="minorEastAsia"/>
          <w:kern w:val="0"/>
          <w:szCs w:val="21"/>
        </w:rPr>
        <w:t>[2017]2</w:t>
      </w:r>
      <w:r>
        <w:rPr>
          <w:rFonts w:eastAsiaTheme="minorEastAsia"/>
          <w:kern w:val="0"/>
          <w:szCs w:val="21"/>
        </w:rPr>
        <w:t>号《关于资管产品增值税政策有关问题的补充通知》、财税</w:t>
      </w:r>
      <w:r>
        <w:rPr>
          <w:rFonts w:eastAsiaTheme="minorEastAsia"/>
          <w:kern w:val="0"/>
          <w:szCs w:val="21"/>
        </w:rPr>
        <w:t>[2017]56</w:t>
      </w:r>
      <w:r>
        <w:rPr>
          <w:rFonts w:eastAsiaTheme="minorEastAsia"/>
          <w:kern w:val="0"/>
          <w:szCs w:val="21"/>
        </w:rPr>
        <w:t>号《关于资管产品增值税有关问题的通知》、财税</w:t>
      </w:r>
      <w:r>
        <w:rPr>
          <w:rFonts w:eastAsiaTheme="minorEastAsia"/>
          <w:kern w:val="0"/>
          <w:szCs w:val="21"/>
        </w:rPr>
        <w:t>[2017]90</w:t>
      </w:r>
      <w:r>
        <w:rPr>
          <w:rFonts w:eastAsiaTheme="minorEastAsia"/>
          <w:kern w:val="0"/>
          <w:szCs w:val="21"/>
        </w:rPr>
        <w:t>号《关于租入固定资产进项税额抵扣等增值税政策的通知》及其他相关境内外财税法规和实务操作，主要税项列示如下：</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资管产品运营过程中发生的增值税应税行为，以资管产品管理人为增值税纳税人。资管产品管理人运营资管产品过程中发生的增值税应税行为，暂适用简易计税方法，按照</w:t>
      </w:r>
      <w:r>
        <w:rPr>
          <w:rFonts w:eastAsiaTheme="minorEastAsia"/>
          <w:kern w:val="0"/>
          <w:szCs w:val="21"/>
        </w:rPr>
        <w:t>3%</w:t>
      </w:r>
      <w:r>
        <w:rPr>
          <w:rFonts w:eastAsiaTheme="minorEastAsia"/>
          <w:kern w:val="0"/>
          <w:szCs w:val="21"/>
        </w:rPr>
        <w:t>的征收率缴纳增值税。对资管产品在</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日前运营过程中发生的增值税应税行为，未缴纳增值税的，不再缴纳；已缴纳增值税的，已纳税额从资管产品管理人以后月份的增值税应纳税额中抵减。</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对证券投资基金管理人运用基金买卖股票、债券的转让收入免征增值税，对国债、地方政府债以及金融同业往来利息收入亦免征增值税。资管产品管理人运营资管产品提供的贷款服务，以</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日起产生的利息及利息性质的收入为销售额。资管产品管理人运营资管产品转让</w:t>
      </w:r>
      <w:r>
        <w:rPr>
          <w:rFonts w:eastAsiaTheme="minorEastAsia"/>
          <w:kern w:val="0"/>
          <w:szCs w:val="21"/>
        </w:rPr>
        <w:t>2017</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日前取得的基金、非货物期货，可以选择按照实际买入价计算销售额，或者以</w:t>
      </w:r>
      <w:r>
        <w:rPr>
          <w:rFonts w:eastAsiaTheme="minorEastAsia"/>
          <w:kern w:val="0"/>
          <w:szCs w:val="21"/>
        </w:rPr>
        <w:t xml:space="preserve"> 2017</w:t>
      </w:r>
      <w:r>
        <w:rPr>
          <w:rFonts w:eastAsiaTheme="minorEastAsia"/>
          <w:kern w:val="0"/>
          <w:szCs w:val="21"/>
        </w:rPr>
        <w:t>年最后一个交易日的基金份额净值、非货物期货结算价格作为买入价计算销售额。</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(2)  </w:t>
      </w:r>
      <w:r>
        <w:rPr>
          <w:rFonts w:eastAsiaTheme="minorEastAsia"/>
          <w:kern w:val="0"/>
          <w:szCs w:val="21"/>
        </w:rPr>
        <w:t>目前基金取得的源自境外的差价收入，其涉及的境外所得税税收政策，按照相关国家或地区税收法律和法规执行，在境内暂不征收企业所得税。</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(3) </w:t>
      </w:r>
      <w:r>
        <w:rPr>
          <w:rFonts w:eastAsiaTheme="minorEastAsia"/>
          <w:kern w:val="0"/>
          <w:szCs w:val="21"/>
        </w:rPr>
        <w:t>目前基金取得的源自境外的股利收益，其涉及的境外所得税税收政策，按照相关国家或地区税收法律和法规执行，在境内暂不征收个人所得税和企业所得税。</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对基金通过沪港通</w:t>
      </w:r>
      <w:r>
        <w:rPr>
          <w:rFonts w:eastAsiaTheme="minorEastAsia"/>
          <w:kern w:val="0"/>
          <w:szCs w:val="21"/>
        </w:rPr>
        <w:t>/</w:t>
      </w:r>
      <w:r>
        <w:rPr>
          <w:rFonts w:eastAsiaTheme="minorEastAsia"/>
          <w:kern w:val="0"/>
          <w:szCs w:val="21"/>
        </w:rPr>
        <w:t>深港通投资香港联交所上市</w:t>
      </w:r>
      <w:r>
        <w:rPr>
          <w:rFonts w:eastAsiaTheme="minorEastAsia"/>
          <w:kern w:val="0"/>
          <w:szCs w:val="21"/>
        </w:rPr>
        <w:t>H</w:t>
      </w:r>
      <w:r>
        <w:rPr>
          <w:rFonts w:eastAsiaTheme="minorEastAsia"/>
          <w:kern w:val="0"/>
          <w:szCs w:val="21"/>
        </w:rPr>
        <w:t>股取得的股息红利，</w:t>
      </w:r>
      <w:r>
        <w:rPr>
          <w:rFonts w:eastAsiaTheme="minorEastAsia"/>
          <w:kern w:val="0"/>
          <w:szCs w:val="21"/>
        </w:rPr>
        <w:t>H</w:t>
      </w:r>
      <w:r>
        <w:rPr>
          <w:rFonts w:eastAsiaTheme="minorEastAsia"/>
          <w:kern w:val="0"/>
          <w:szCs w:val="21"/>
        </w:rPr>
        <w:t>股公司应向中国证券登记结算有限责任公司</w:t>
      </w:r>
      <w:r>
        <w:rPr>
          <w:rFonts w:eastAsiaTheme="minorEastAsia"/>
          <w:kern w:val="0"/>
          <w:szCs w:val="21"/>
        </w:rPr>
        <w:t>(</w:t>
      </w:r>
      <w:r>
        <w:rPr>
          <w:rFonts w:eastAsiaTheme="minorEastAsia"/>
          <w:kern w:val="0"/>
          <w:szCs w:val="21"/>
        </w:rPr>
        <w:t>以下简称</w:t>
      </w:r>
      <w:r>
        <w:rPr>
          <w:rFonts w:eastAsiaTheme="minorEastAsia"/>
          <w:kern w:val="0"/>
          <w:szCs w:val="21"/>
        </w:rPr>
        <w:t>“</w:t>
      </w:r>
      <w:r>
        <w:rPr>
          <w:rFonts w:eastAsiaTheme="minorEastAsia"/>
          <w:kern w:val="0"/>
          <w:szCs w:val="21"/>
        </w:rPr>
        <w:t>中国结算</w:t>
      </w:r>
      <w:r>
        <w:rPr>
          <w:rFonts w:eastAsiaTheme="minorEastAsia"/>
          <w:kern w:val="0"/>
          <w:szCs w:val="21"/>
        </w:rPr>
        <w:t>”)</w:t>
      </w:r>
      <w:r>
        <w:rPr>
          <w:rFonts w:eastAsiaTheme="minorEastAsia"/>
          <w:kern w:val="0"/>
          <w:szCs w:val="21"/>
        </w:rPr>
        <w:t>提出申请，由中国结算向</w:t>
      </w:r>
      <w:r>
        <w:rPr>
          <w:rFonts w:eastAsiaTheme="minorEastAsia"/>
          <w:kern w:val="0"/>
          <w:szCs w:val="21"/>
        </w:rPr>
        <w:t>H</w:t>
      </w:r>
      <w:r>
        <w:rPr>
          <w:rFonts w:eastAsiaTheme="minorEastAsia"/>
          <w:kern w:val="0"/>
          <w:szCs w:val="21"/>
        </w:rPr>
        <w:t>股公司提供内地个人投资者名册，</w:t>
      </w:r>
      <w:r>
        <w:rPr>
          <w:rFonts w:eastAsiaTheme="minorEastAsia"/>
          <w:kern w:val="0"/>
          <w:szCs w:val="21"/>
        </w:rPr>
        <w:t>H</w:t>
      </w:r>
      <w:r>
        <w:rPr>
          <w:rFonts w:eastAsiaTheme="minorEastAsia"/>
          <w:kern w:val="0"/>
          <w:szCs w:val="21"/>
        </w:rPr>
        <w:t>股公司按照</w:t>
      </w:r>
      <w:r>
        <w:rPr>
          <w:rFonts w:eastAsiaTheme="minorEastAsia"/>
          <w:kern w:val="0"/>
          <w:szCs w:val="21"/>
        </w:rPr>
        <w:t>20%</w:t>
      </w:r>
      <w:r>
        <w:rPr>
          <w:rFonts w:eastAsiaTheme="minorEastAsia"/>
          <w:kern w:val="0"/>
          <w:szCs w:val="21"/>
        </w:rPr>
        <w:t>的税率代扣个人所得税。基金通过沪港通</w:t>
      </w:r>
      <w:r>
        <w:rPr>
          <w:rFonts w:eastAsiaTheme="minorEastAsia"/>
          <w:kern w:val="0"/>
          <w:szCs w:val="21"/>
        </w:rPr>
        <w:t>/</w:t>
      </w:r>
      <w:r>
        <w:rPr>
          <w:rFonts w:eastAsiaTheme="minorEastAsia"/>
          <w:kern w:val="0"/>
          <w:szCs w:val="21"/>
        </w:rPr>
        <w:t>深港通投资香港联交所上市的非</w:t>
      </w:r>
      <w:r>
        <w:rPr>
          <w:rFonts w:eastAsiaTheme="minorEastAsia"/>
          <w:kern w:val="0"/>
          <w:szCs w:val="21"/>
        </w:rPr>
        <w:t>H</w:t>
      </w:r>
      <w:r>
        <w:rPr>
          <w:rFonts w:eastAsiaTheme="minorEastAsia"/>
          <w:kern w:val="0"/>
          <w:szCs w:val="21"/>
        </w:rPr>
        <w:t>股取得的股息红利，由中国结算按照</w:t>
      </w:r>
      <w:r>
        <w:rPr>
          <w:rFonts w:eastAsiaTheme="minorEastAsia"/>
          <w:kern w:val="0"/>
          <w:szCs w:val="21"/>
        </w:rPr>
        <w:t>20%</w:t>
      </w:r>
      <w:r>
        <w:rPr>
          <w:rFonts w:eastAsiaTheme="minorEastAsia"/>
          <w:kern w:val="0"/>
          <w:szCs w:val="21"/>
        </w:rPr>
        <w:t>的税率代扣个人所得税。</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(4) </w:t>
      </w:r>
      <w:r>
        <w:rPr>
          <w:rFonts w:eastAsiaTheme="minorEastAsia"/>
          <w:kern w:val="0"/>
          <w:szCs w:val="21"/>
        </w:rPr>
        <w:t>基金通过沪港通</w:t>
      </w:r>
      <w:r>
        <w:rPr>
          <w:rFonts w:eastAsiaTheme="minorEastAsia"/>
          <w:kern w:val="0"/>
          <w:szCs w:val="21"/>
        </w:rPr>
        <w:t>/</w:t>
      </w:r>
      <w:r>
        <w:rPr>
          <w:rFonts w:eastAsiaTheme="minorEastAsia"/>
          <w:kern w:val="0"/>
          <w:szCs w:val="21"/>
        </w:rPr>
        <w:t>深港通买卖、继承、赠与联交所上市股票，按照香港特别行政区现行税法规定缴纳印花税。</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 xml:space="preserve">(5) </w:t>
      </w:r>
      <w:r w:rsidRPr="00C24ACA">
        <w:rPr>
          <w:rFonts w:eastAsiaTheme="minorEastAsia"/>
          <w:kern w:val="0"/>
          <w:szCs w:val="21"/>
        </w:rPr>
        <w:t>本基金的城市维护建设税、教育费附加和地方教育附加等税费按照实际缴纳增值税额的适用比例计算缴纳。</w:t>
      </w:r>
      <w:r w:rsidRPr="00C24ACA">
        <w:rPr>
          <w:rFonts w:eastAsiaTheme="minorEastAsia"/>
          <w:kern w:val="0"/>
          <w:szCs w:val="21"/>
        </w:rPr>
        <w:t xml:space="preserve"> </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6.4.7</w:t>
      </w:r>
      <w:r w:rsidRPr="00C24ACA">
        <w:rPr>
          <w:rFonts w:eastAsiaTheme="minorEastAsia"/>
          <w:b/>
          <w:color w:val="000000"/>
          <w:kern w:val="0"/>
          <w:szCs w:val="21"/>
        </w:rPr>
        <w:t>重要财务报表项目的说明</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6.4.7.1</w:t>
      </w:r>
      <w:r w:rsidRPr="00C24ACA">
        <w:rPr>
          <w:rFonts w:eastAsiaTheme="minorEastAsia"/>
          <w:b/>
          <w:color w:val="000000"/>
          <w:szCs w:val="21"/>
        </w:rPr>
        <w:t>银行存款</w:t>
      </w:r>
    </w:p>
    <w:p w:rsidR="00FB3D98" w:rsidRDefault="00FB3D98" w:rsidP="00FB3D9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FB3D98" w:rsidTr="00AD6EE3">
        <w:trPr>
          <w:trHeight w:val="345"/>
          <w:jc w:val="center"/>
        </w:trPr>
        <w:tc>
          <w:tcPr>
            <w:tcW w:w="3766" w:type="dxa"/>
            <w:tcMar>
              <w:top w:w="15" w:type="dxa"/>
              <w:left w:w="15" w:type="dxa"/>
              <w:bottom w:w="0" w:type="dxa"/>
              <w:right w:w="15" w:type="dxa"/>
            </w:tcMar>
            <w:vAlign w:val="center"/>
            <w:hideMark/>
          </w:tcPr>
          <w:p w:rsidR="00FB3D98" w:rsidRDefault="00FB3D9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FB3D98" w:rsidRDefault="00FB3D98">
            <w:pPr>
              <w:jc w:val="center"/>
              <w:rPr>
                <w:kern w:val="0"/>
                <w:szCs w:val="21"/>
              </w:rPr>
            </w:pPr>
            <w:r>
              <w:rPr>
                <w:rFonts w:hAnsi="宋体" w:hint="eastAsia"/>
                <w:kern w:val="0"/>
                <w:szCs w:val="21"/>
              </w:rPr>
              <w:t>本期末</w:t>
            </w:r>
          </w:p>
          <w:p w:rsidR="00FB3D98" w:rsidRDefault="00FB3D9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3,893,436.92</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w:t>
            </w:r>
          </w:p>
        </w:tc>
      </w:tr>
      <w:tr w:rsidR="00FB3D98" w:rsidTr="00AD6EE3">
        <w:trPr>
          <w:trHeight w:val="315"/>
          <w:jc w:val="center"/>
        </w:trPr>
        <w:tc>
          <w:tcPr>
            <w:tcW w:w="3766" w:type="dxa"/>
            <w:tcMar>
              <w:top w:w="15" w:type="dxa"/>
              <w:left w:w="15" w:type="dxa"/>
              <w:bottom w:w="0" w:type="dxa"/>
              <w:right w:w="15" w:type="dxa"/>
            </w:tcMar>
            <w:hideMark/>
          </w:tcPr>
          <w:p w:rsidR="00FB3D98" w:rsidRDefault="00FB3D9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FB3D98" w:rsidRDefault="00FB3D98">
            <w:pPr>
              <w:jc w:val="right"/>
              <w:rPr>
                <w:kern w:val="0"/>
                <w:szCs w:val="21"/>
              </w:rPr>
            </w:pPr>
            <w:r>
              <w:rPr>
                <w:kern w:val="0"/>
                <w:szCs w:val="21"/>
              </w:rPr>
              <w:t>3,893,436.92</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6.4.7.2</w:t>
      </w:r>
      <w:r w:rsidRPr="00C24ACA">
        <w:rPr>
          <w:rFonts w:eastAsiaTheme="minorEastAsia"/>
          <w:b/>
          <w:color w:val="000000"/>
          <w:szCs w:val="21"/>
        </w:rPr>
        <w:t>交易性金融资产</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bCs/>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8A5A5D" w:rsidRPr="00C24ACA" w:rsidTr="00614C5C">
        <w:trPr>
          <w:trHeight w:val="255"/>
        </w:trPr>
        <w:tc>
          <w:tcPr>
            <w:tcW w:w="2268" w:type="dxa"/>
            <w:gridSpan w:val="2"/>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项目</w:t>
            </w:r>
          </w:p>
        </w:tc>
        <w:tc>
          <w:tcPr>
            <w:tcW w:w="7018" w:type="dxa"/>
            <w:gridSpan w:val="3"/>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本期末</w:t>
            </w:r>
          </w:p>
          <w:p w:rsidR="008A5A5D" w:rsidRPr="00C24ACA" w:rsidRDefault="00AC4A34" w:rsidP="004A4847">
            <w:pPr>
              <w:jc w:val="center"/>
              <w:rPr>
                <w:rFonts w:eastAsiaTheme="minorEastAsia"/>
                <w:color w:val="000000"/>
                <w:kern w:val="0"/>
                <w:szCs w:val="21"/>
              </w:rPr>
            </w:pPr>
            <w:r w:rsidRPr="00C24ACA">
              <w:rPr>
                <w:rFonts w:eastAsiaTheme="minorEastAsia"/>
                <w:color w:val="000000"/>
                <w:kern w:val="0"/>
                <w:szCs w:val="21"/>
              </w:rPr>
              <w:t>2020</w:t>
            </w:r>
            <w:r w:rsidRPr="00C24ACA">
              <w:rPr>
                <w:rFonts w:eastAsiaTheme="minorEastAsia"/>
                <w:color w:val="000000"/>
                <w:kern w:val="0"/>
                <w:szCs w:val="21"/>
              </w:rPr>
              <w:t>年</w:t>
            </w:r>
            <w:r w:rsidRPr="00C24ACA">
              <w:rPr>
                <w:rFonts w:eastAsiaTheme="minorEastAsia"/>
                <w:color w:val="000000"/>
                <w:kern w:val="0"/>
                <w:szCs w:val="21"/>
              </w:rPr>
              <w:t>6</w:t>
            </w:r>
            <w:r w:rsidRPr="00C24ACA">
              <w:rPr>
                <w:rFonts w:eastAsiaTheme="minorEastAsia"/>
                <w:color w:val="000000"/>
                <w:kern w:val="0"/>
                <w:szCs w:val="21"/>
              </w:rPr>
              <w:t>月</w:t>
            </w:r>
            <w:r w:rsidRPr="00C24ACA">
              <w:rPr>
                <w:rFonts w:eastAsiaTheme="minorEastAsia"/>
                <w:color w:val="000000"/>
                <w:kern w:val="0"/>
                <w:szCs w:val="21"/>
              </w:rPr>
              <w:t>30</w:t>
            </w:r>
            <w:r w:rsidRPr="00C24ACA">
              <w:rPr>
                <w:rFonts w:eastAsiaTheme="minorEastAsia"/>
                <w:color w:val="000000"/>
                <w:kern w:val="0"/>
                <w:szCs w:val="21"/>
              </w:rPr>
              <w:t>日</w:t>
            </w:r>
          </w:p>
        </w:tc>
      </w:tr>
      <w:tr w:rsidR="008A5A5D" w:rsidRPr="00C24ACA" w:rsidTr="00614C5C">
        <w:trPr>
          <w:trHeight w:val="270"/>
        </w:trPr>
        <w:tc>
          <w:tcPr>
            <w:tcW w:w="2268" w:type="dxa"/>
            <w:gridSpan w:val="2"/>
            <w:vMerge/>
            <w:vAlign w:val="center"/>
          </w:tcPr>
          <w:p w:rsidR="008A5A5D" w:rsidRPr="00C24ACA" w:rsidRDefault="008A5A5D" w:rsidP="004A4847">
            <w:pPr>
              <w:widowControl/>
              <w:jc w:val="left"/>
              <w:rPr>
                <w:rFonts w:eastAsiaTheme="minorEastAsia"/>
                <w:color w:val="000000"/>
                <w:kern w:val="0"/>
                <w:szCs w:val="21"/>
              </w:rPr>
            </w:pP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成本</w:t>
            </w: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w:t>
            </w:r>
          </w:p>
        </w:tc>
        <w:tc>
          <w:tcPr>
            <w:tcW w:w="234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公允价值变动</w:t>
            </w:r>
          </w:p>
        </w:tc>
      </w:tr>
      <w:tr w:rsidR="008A5A5D" w:rsidRPr="00C24ACA" w:rsidTr="00614C5C">
        <w:trPr>
          <w:trHeight w:val="270"/>
        </w:trPr>
        <w:tc>
          <w:tcPr>
            <w:tcW w:w="2268" w:type="dxa"/>
            <w:gridSpan w:val="2"/>
            <w:vAlign w:val="center"/>
          </w:tcPr>
          <w:p w:rsidR="008A5A5D" w:rsidRPr="00C24ACA" w:rsidRDefault="008A5A5D" w:rsidP="004A4847">
            <w:pPr>
              <w:widowControl/>
              <w:rPr>
                <w:rFonts w:eastAsiaTheme="minorEastAsia"/>
                <w:color w:val="000000"/>
                <w:kern w:val="0"/>
                <w:szCs w:val="21"/>
              </w:rPr>
            </w:pPr>
            <w:r w:rsidRPr="00C24ACA">
              <w:rPr>
                <w:rFonts w:eastAsiaTheme="minorEastAsia"/>
                <w:color w:val="000000"/>
                <w:kern w:val="0"/>
                <w:szCs w:val="21"/>
              </w:rPr>
              <w:t>股票</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44,477,163.28</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53,942,982.96</w:t>
            </w:r>
          </w:p>
        </w:tc>
        <w:tc>
          <w:tcPr>
            <w:tcW w:w="2340"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9,465,819.68</w:t>
            </w:r>
          </w:p>
        </w:tc>
      </w:tr>
      <w:tr w:rsidR="00614C5C" w:rsidRPr="00C24ACA" w:rsidTr="00614C5C">
        <w:trPr>
          <w:trHeight w:val="270"/>
        </w:trPr>
        <w:tc>
          <w:tcPr>
            <w:tcW w:w="2268" w:type="dxa"/>
            <w:gridSpan w:val="2"/>
            <w:vAlign w:val="center"/>
          </w:tcPr>
          <w:p w:rsidR="00614C5C" w:rsidRPr="00224952" w:rsidRDefault="00614C5C" w:rsidP="00614C5C">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40"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r>
      <w:tr w:rsidR="00614C5C" w:rsidRPr="00C24ACA" w:rsidTr="00614C5C">
        <w:trPr>
          <w:trHeight w:val="285"/>
        </w:trPr>
        <w:tc>
          <w:tcPr>
            <w:tcW w:w="828" w:type="dxa"/>
            <w:vMerge w:val="restart"/>
            <w:vAlign w:val="center"/>
          </w:tcPr>
          <w:p w:rsidR="00614C5C" w:rsidRPr="00C24ACA" w:rsidRDefault="00614C5C" w:rsidP="00614C5C">
            <w:pPr>
              <w:jc w:val="center"/>
              <w:rPr>
                <w:rFonts w:eastAsiaTheme="minorEastAsia"/>
                <w:color w:val="000000"/>
                <w:kern w:val="0"/>
                <w:szCs w:val="21"/>
              </w:rPr>
            </w:pPr>
            <w:r w:rsidRPr="00C24ACA">
              <w:rPr>
                <w:rFonts w:eastAsiaTheme="minorEastAsia"/>
                <w:color w:val="000000"/>
                <w:kern w:val="0"/>
                <w:szCs w:val="21"/>
              </w:rPr>
              <w:t>债券</w:t>
            </w:r>
          </w:p>
        </w:tc>
        <w:tc>
          <w:tcPr>
            <w:tcW w:w="1440" w:type="dxa"/>
            <w:vAlign w:val="center"/>
          </w:tcPr>
          <w:p w:rsidR="00614C5C" w:rsidRPr="00C24ACA" w:rsidRDefault="00614C5C" w:rsidP="00614C5C">
            <w:pPr>
              <w:jc w:val="left"/>
              <w:rPr>
                <w:rFonts w:eastAsiaTheme="minorEastAsia"/>
                <w:color w:val="000000"/>
                <w:kern w:val="0"/>
                <w:szCs w:val="21"/>
              </w:rPr>
            </w:pPr>
            <w:r w:rsidRPr="00C24ACA">
              <w:rPr>
                <w:rFonts w:eastAsiaTheme="minorEastAsia"/>
                <w:color w:val="000000"/>
                <w:kern w:val="0"/>
                <w:szCs w:val="21"/>
              </w:rPr>
              <w:t>交易所市场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jc w:val="left"/>
              <w:rPr>
                <w:rFonts w:eastAsiaTheme="minorEastAsia"/>
                <w:color w:val="000000"/>
                <w:kern w:val="0"/>
                <w:szCs w:val="21"/>
              </w:rPr>
            </w:pPr>
            <w:r w:rsidRPr="00C24ACA">
              <w:rPr>
                <w:rFonts w:eastAsiaTheme="minorEastAsia"/>
                <w:color w:val="000000"/>
                <w:kern w:val="0"/>
                <w:szCs w:val="21"/>
              </w:rPr>
              <w:t>银行间市场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合计</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c>
          <w:tcPr>
            <w:tcW w:w="2340"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资产支持证券</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基金</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其他</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jc w:val="center"/>
              <w:rPr>
                <w:rFonts w:eastAsiaTheme="minorEastAsia"/>
                <w:color w:val="000000"/>
                <w:kern w:val="0"/>
                <w:szCs w:val="21"/>
              </w:rPr>
            </w:pPr>
            <w:r w:rsidRPr="00C24ACA">
              <w:rPr>
                <w:rFonts w:eastAsiaTheme="minorEastAsia"/>
                <w:color w:val="000000"/>
                <w:kern w:val="0"/>
                <w:szCs w:val="21"/>
              </w:rPr>
              <w:t>合计</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44,477,163.28</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53,942,982.96</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9,465,819.68</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w:t>
      </w:r>
      <w:r w:rsidRPr="00C24ACA">
        <w:rPr>
          <w:rFonts w:eastAsiaTheme="minorEastAsia"/>
          <w:kern w:val="0"/>
          <w:szCs w:val="21"/>
        </w:rPr>
        <w:t>“</w:t>
      </w:r>
      <w:r w:rsidRPr="00C24ACA">
        <w:rPr>
          <w:rFonts w:eastAsiaTheme="minorEastAsia"/>
          <w:kern w:val="0"/>
          <w:szCs w:val="21"/>
        </w:rPr>
        <w:t>股票</w:t>
      </w:r>
      <w:r w:rsidRPr="00C24ACA">
        <w:rPr>
          <w:rFonts w:eastAsiaTheme="minorEastAsia"/>
          <w:kern w:val="0"/>
          <w:szCs w:val="21"/>
        </w:rPr>
        <w:t>”</w:t>
      </w:r>
      <w:r w:rsidRPr="00C24ACA">
        <w:rPr>
          <w:rFonts w:eastAsiaTheme="minorEastAsia"/>
          <w:kern w:val="0"/>
          <w:szCs w:val="21"/>
        </w:rPr>
        <w:t>包括普通股、存托凭证和优先股等。</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6.4.7.3</w:t>
      </w:r>
      <w:r w:rsidRPr="00C24ACA">
        <w:rPr>
          <w:rFonts w:eastAsiaTheme="minorEastAsia"/>
          <w:b/>
          <w:color w:val="000000"/>
          <w:szCs w:val="21"/>
        </w:rPr>
        <w:t>衍生金融资产</w:t>
      </w:r>
      <w:r w:rsidRPr="00C24ACA">
        <w:rPr>
          <w:rFonts w:eastAsiaTheme="minorEastAsia"/>
          <w:b/>
          <w:color w:val="000000"/>
          <w:szCs w:val="21"/>
        </w:rPr>
        <w:t>/</w:t>
      </w:r>
      <w:r w:rsidRPr="00C24ACA">
        <w:rPr>
          <w:rFonts w:eastAsiaTheme="minorEastAsia"/>
          <w:b/>
          <w:color w:val="000000"/>
          <w:szCs w:val="21"/>
        </w:rPr>
        <w:t>负债</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本基金本报告期末无衍生金融资产</w:t>
      </w:r>
      <w:r w:rsidRPr="00C24ACA">
        <w:rPr>
          <w:rFonts w:eastAsiaTheme="minorEastAsia"/>
          <w:kern w:val="0"/>
          <w:szCs w:val="21"/>
        </w:rPr>
        <w:t>/</w:t>
      </w:r>
      <w:r w:rsidRPr="00C24ACA">
        <w:rPr>
          <w:rFonts w:eastAsiaTheme="minorEastAsia"/>
          <w:kern w:val="0"/>
          <w:szCs w:val="21"/>
        </w:rPr>
        <w:t>负债。</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6.4.7.4</w:t>
      </w:r>
      <w:r w:rsidRPr="00C24ACA">
        <w:rPr>
          <w:rFonts w:eastAsiaTheme="minorEastAsia"/>
          <w:b/>
          <w:color w:val="000000"/>
          <w:szCs w:val="21"/>
        </w:rPr>
        <w:t>买入返售金融资产</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6.4.7.4.1</w:t>
      </w:r>
      <w:r w:rsidRPr="00C24ACA">
        <w:rPr>
          <w:rFonts w:eastAsiaTheme="minorEastAsia"/>
          <w:b/>
          <w:color w:val="000000"/>
          <w:szCs w:val="21"/>
        </w:rPr>
        <w:t>各项买入返售金融资产期末余额</w:t>
      </w:r>
    </w:p>
    <w:p w:rsidR="00245F01" w:rsidRDefault="00245F01" w:rsidP="00245F01">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6.4.7.4.2</w:t>
      </w:r>
      <w:r w:rsidRPr="00C24ACA">
        <w:rPr>
          <w:rFonts w:eastAsiaTheme="minorEastAsia"/>
          <w:b/>
          <w:color w:val="000000"/>
          <w:szCs w:val="21"/>
        </w:rPr>
        <w:t>期末买断式逆回购交易中取得的债券</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本基金本报告期末无买断式逆回购交易中取得的债券。</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6.4.7.5</w:t>
      </w:r>
      <w:r w:rsidRPr="00C24ACA">
        <w:rPr>
          <w:rFonts w:eastAsiaTheme="minorEastAsia"/>
          <w:b/>
          <w:color w:val="000000"/>
          <w:szCs w:val="21"/>
        </w:rPr>
        <w:t>应收利息</w:t>
      </w:r>
    </w:p>
    <w:p w:rsidR="008D191C" w:rsidRDefault="008D191C" w:rsidP="008D191C">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8D191C" w:rsidTr="00AD6EE3">
        <w:trPr>
          <w:trHeight w:val="330"/>
        </w:trPr>
        <w:tc>
          <w:tcPr>
            <w:tcW w:w="3701" w:type="dxa"/>
            <w:vAlign w:val="center"/>
            <w:hideMark/>
          </w:tcPr>
          <w:p w:rsidR="008D191C" w:rsidRDefault="008D191C">
            <w:pPr>
              <w:jc w:val="center"/>
              <w:rPr>
                <w:szCs w:val="21"/>
              </w:rPr>
            </w:pPr>
            <w:r>
              <w:rPr>
                <w:rFonts w:hint="eastAsia"/>
                <w:szCs w:val="21"/>
              </w:rPr>
              <w:t>项目</w:t>
            </w:r>
          </w:p>
        </w:tc>
        <w:tc>
          <w:tcPr>
            <w:tcW w:w="5528" w:type="dxa"/>
            <w:vAlign w:val="center"/>
            <w:hideMark/>
          </w:tcPr>
          <w:p w:rsidR="008D191C" w:rsidRDefault="008D191C">
            <w:pPr>
              <w:jc w:val="center"/>
              <w:rPr>
                <w:kern w:val="0"/>
                <w:szCs w:val="21"/>
              </w:rPr>
            </w:pPr>
            <w:r>
              <w:rPr>
                <w:rFonts w:hint="eastAsia"/>
                <w:kern w:val="0"/>
                <w:szCs w:val="21"/>
              </w:rPr>
              <w:t>本期末</w:t>
            </w:r>
          </w:p>
          <w:p w:rsidR="008D191C" w:rsidRDefault="008D191C">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8D191C" w:rsidTr="00AD6EE3">
        <w:trPr>
          <w:trHeight w:val="257"/>
        </w:trPr>
        <w:tc>
          <w:tcPr>
            <w:tcW w:w="3701" w:type="dxa"/>
            <w:vAlign w:val="center"/>
            <w:hideMark/>
          </w:tcPr>
          <w:p w:rsidR="008D191C" w:rsidRDefault="008D191C">
            <w:pPr>
              <w:rPr>
                <w:szCs w:val="21"/>
              </w:rPr>
            </w:pPr>
            <w:r>
              <w:rPr>
                <w:rFonts w:hint="eastAsia"/>
                <w:szCs w:val="21"/>
              </w:rPr>
              <w:t>应收活期存款利息</w:t>
            </w:r>
          </w:p>
        </w:tc>
        <w:tc>
          <w:tcPr>
            <w:tcW w:w="5528" w:type="dxa"/>
            <w:vAlign w:val="center"/>
            <w:hideMark/>
          </w:tcPr>
          <w:p w:rsidR="008D191C" w:rsidRDefault="008D191C">
            <w:pPr>
              <w:jc w:val="right"/>
              <w:rPr>
                <w:szCs w:val="21"/>
              </w:rPr>
            </w:pPr>
            <w:r>
              <w:rPr>
                <w:szCs w:val="21"/>
              </w:rPr>
              <w:t>125.61</w:t>
            </w:r>
          </w:p>
        </w:tc>
      </w:tr>
      <w:tr w:rsidR="008D191C" w:rsidTr="00AD6EE3">
        <w:trPr>
          <w:trHeight w:val="223"/>
        </w:trPr>
        <w:tc>
          <w:tcPr>
            <w:tcW w:w="3701" w:type="dxa"/>
            <w:vAlign w:val="center"/>
            <w:hideMark/>
          </w:tcPr>
          <w:p w:rsidR="008D191C" w:rsidRDefault="008D191C">
            <w:pPr>
              <w:rPr>
                <w:szCs w:val="21"/>
              </w:rPr>
            </w:pPr>
            <w:r>
              <w:rPr>
                <w:rFonts w:hint="eastAsia"/>
                <w:szCs w:val="21"/>
              </w:rPr>
              <w:t>应收定期存款利息</w:t>
            </w:r>
          </w:p>
        </w:tc>
        <w:tc>
          <w:tcPr>
            <w:tcW w:w="5528" w:type="dxa"/>
            <w:vAlign w:val="center"/>
            <w:hideMark/>
          </w:tcPr>
          <w:p w:rsidR="008D191C" w:rsidRDefault="008D191C">
            <w:pPr>
              <w:jc w:val="right"/>
              <w:rPr>
                <w:szCs w:val="21"/>
              </w:rPr>
            </w:pPr>
            <w:r>
              <w:rPr>
                <w:szCs w:val="21"/>
              </w:rPr>
              <w:t>-</w:t>
            </w:r>
          </w:p>
        </w:tc>
      </w:tr>
      <w:tr w:rsidR="008D191C" w:rsidTr="00AD6EE3">
        <w:trPr>
          <w:trHeight w:val="223"/>
        </w:trPr>
        <w:tc>
          <w:tcPr>
            <w:tcW w:w="3701" w:type="dxa"/>
            <w:vAlign w:val="center"/>
            <w:hideMark/>
          </w:tcPr>
          <w:p w:rsidR="008D191C" w:rsidRDefault="008D191C">
            <w:pPr>
              <w:rPr>
                <w:szCs w:val="21"/>
              </w:rPr>
            </w:pPr>
            <w:r>
              <w:rPr>
                <w:rFonts w:hint="eastAsia"/>
                <w:szCs w:val="21"/>
              </w:rPr>
              <w:t>应收其他存款利息</w:t>
            </w:r>
          </w:p>
        </w:tc>
        <w:tc>
          <w:tcPr>
            <w:tcW w:w="5528" w:type="dxa"/>
            <w:vAlign w:val="center"/>
            <w:hideMark/>
          </w:tcPr>
          <w:p w:rsidR="008D191C" w:rsidRDefault="008D191C">
            <w:pPr>
              <w:jc w:val="right"/>
              <w:rPr>
                <w:szCs w:val="21"/>
              </w:rPr>
            </w:pPr>
            <w:r>
              <w:rPr>
                <w:szCs w:val="21"/>
              </w:rPr>
              <w:t>-</w:t>
            </w:r>
          </w:p>
        </w:tc>
      </w:tr>
      <w:tr w:rsidR="008D191C" w:rsidTr="00AD6EE3">
        <w:trPr>
          <w:trHeight w:val="223"/>
        </w:trPr>
        <w:tc>
          <w:tcPr>
            <w:tcW w:w="3701" w:type="dxa"/>
            <w:vAlign w:val="center"/>
            <w:hideMark/>
          </w:tcPr>
          <w:p w:rsidR="008D191C" w:rsidRDefault="008D191C">
            <w:pPr>
              <w:rPr>
                <w:szCs w:val="21"/>
              </w:rPr>
            </w:pPr>
            <w:r>
              <w:rPr>
                <w:rFonts w:hint="eastAsia"/>
                <w:szCs w:val="21"/>
              </w:rPr>
              <w:t>应收结算备付金利息</w:t>
            </w:r>
          </w:p>
        </w:tc>
        <w:tc>
          <w:tcPr>
            <w:tcW w:w="5528" w:type="dxa"/>
            <w:vAlign w:val="center"/>
            <w:hideMark/>
          </w:tcPr>
          <w:p w:rsidR="008D191C" w:rsidRDefault="008D191C">
            <w:pPr>
              <w:jc w:val="right"/>
              <w:rPr>
                <w:szCs w:val="21"/>
              </w:rPr>
            </w:pPr>
            <w:r>
              <w:rPr>
                <w:szCs w:val="21"/>
              </w:rPr>
              <w:t>-</w:t>
            </w:r>
          </w:p>
        </w:tc>
      </w:tr>
      <w:tr w:rsidR="008D191C" w:rsidTr="00AD6EE3">
        <w:trPr>
          <w:trHeight w:val="269"/>
        </w:trPr>
        <w:tc>
          <w:tcPr>
            <w:tcW w:w="3701" w:type="dxa"/>
            <w:vAlign w:val="center"/>
            <w:hideMark/>
          </w:tcPr>
          <w:p w:rsidR="008D191C" w:rsidRDefault="008D191C">
            <w:pPr>
              <w:rPr>
                <w:szCs w:val="21"/>
              </w:rPr>
            </w:pPr>
            <w:r>
              <w:rPr>
                <w:rFonts w:hint="eastAsia"/>
                <w:szCs w:val="21"/>
              </w:rPr>
              <w:t>应收债券利息</w:t>
            </w:r>
          </w:p>
        </w:tc>
        <w:tc>
          <w:tcPr>
            <w:tcW w:w="5528" w:type="dxa"/>
            <w:vAlign w:val="center"/>
            <w:hideMark/>
          </w:tcPr>
          <w:p w:rsidR="008D191C" w:rsidRDefault="008D191C">
            <w:pPr>
              <w:jc w:val="right"/>
              <w:rPr>
                <w:szCs w:val="21"/>
              </w:rPr>
            </w:pPr>
            <w:r>
              <w:rPr>
                <w:szCs w:val="21"/>
              </w:rPr>
              <w:t>-</w:t>
            </w:r>
          </w:p>
        </w:tc>
      </w:tr>
      <w:tr w:rsidR="008D191C" w:rsidTr="00AD6EE3">
        <w:trPr>
          <w:trHeight w:val="287"/>
        </w:trPr>
        <w:tc>
          <w:tcPr>
            <w:tcW w:w="3701" w:type="dxa"/>
            <w:vAlign w:val="bottom"/>
            <w:hideMark/>
          </w:tcPr>
          <w:p w:rsidR="008D191C" w:rsidRDefault="008D191C">
            <w:pPr>
              <w:rPr>
                <w:rFonts w:eastAsiaTheme="minorEastAsia"/>
                <w:szCs w:val="21"/>
              </w:rPr>
            </w:pPr>
            <w:r>
              <w:rPr>
                <w:rFonts w:eastAsiaTheme="minorEastAsia" w:hint="eastAsia"/>
                <w:szCs w:val="21"/>
              </w:rPr>
              <w:t>应收资产支持证券利息</w:t>
            </w:r>
          </w:p>
        </w:tc>
        <w:tc>
          <w:tcPr>
            <w:tcW w:w="5528" w:type="dxa"/>
            <w:hideMark/>
          </w:tcPr>
          <w:p w:rsidR="008D191C" w:rsidRDefault="008D191C">
            <w:pPr>
              <w:jc w:val="right"/>
              <w:rPr>
                <w:rFonts w:eastAsiaTheme="minorEastAsia"/>
                <w:szCs w:val="21"/>
              </w:rPr>
            </w:pPr>
            <w:r>
              <w:rPr>
                <w:rFonts w:eastAsiaTheme="minorEastAsia"/>
                <w:szCs w:val="21"/>
              </w:rPr>
              <w:t>-</w:t>
            </w:r>
          </w:p>
        </w:tc>
      </w:tr>
      <w:tr w:rsidR="008D191C" w:rsidTr="00AD6EE3">
        <w:trPr>
          <w:trHeight w:val="287"/>
        </w:trPr>
        <w:tc>
          <w:tcPr>
            <w:tcW w:w="3701" w:type="dxa"/>
            <w:vAlign w:val="center"/>
            <w:hideMark/>
          </w:tcPr>
          <w:p w:rsidR="008D191C" w:rsidRDefault="008D191C">
            <w:pPr>
              <w:rPr>
                <w:szCs w:val="21"/>
              </w:rPr>
            </w:pPr>
            <w:r>
              <w:rPr>
                <w:rFonts w:hint="eastAsia"/>
                <w:szCs w:val="21"/>
              </w:rPr>
              <w:t>应收买入返售证券利息</w:t>
            </w:r>
          </w:p>
        </w:tc>
        <w:tc>
          <w:tcPr>
            <w:tcW w:w="5528" w:type="dxa"/>
            <w:vAlign w:val="center"/>
            <w:hideMark/>
          </w:tcPr>
          <w:p w:rsidR="008D191C" w:rsidRDefault="008D191C">
            <w:pPr>
              <w:jc w:val="right"/>
              <w:rPr>
                <w:szCs w:val="21"/>
              </w:rPr>
            </w:pPr>
            <w:r>
              <w:rPr>
                <w:szCs w:val="21"/>
              </w:rPr>
              <w:t>-</w:t>
            </w:r>
          </w:p>
        </w:tc>
      </w:tr>
      <w:tr w:rsidR="008D191C" w:rsidTr="00AD6EE3">
        <w:trPr>
          <w:trHeight w:val="305"/>
        </w:trPr>
        <w:tc>
          <w:tcPr>
            <w:tcW w:w="3701" w:type="dxa"/>
            <w:vAlign w:val="center"/>
            <w:hideMark/>
          </w:tcPr>
          <w:p w:rsidR="008D191C" w:rsidRDefault="008D191C">
            <w:pPr>
              <w:rPr>
                <w:szCs w:val="21"/>
              </w:rPr>
            </w:pPr>
            <w:r>
              <w:rPr>
                <w:rFonts w:hint="eastAsia"/>
                <w:szCs w:val="21"/>
              </w:rPr>
              <w:t>应收申购款利息</w:t>
            </w:r>
          </w:p>
        </w:tc>
        <w:tc>
          <w:tcPr>
            <w:tcW w:w="5528" w:type="dxa"/>
            <w:vAlign w:val="center"/>
            <w:hideMark/>
          </w:tcPr>
          <w:p w:rsidR="008D191C" w:rsidRDefault="008D191C">
            <w:pPr>
              <w:jc w:val="right"/>
              <w:rPr>
                <w:szCs w:val="21"/>
              </w:rPr>
            </w:pPr>
            <w:r>
              <w:rPr>
                <w:szCs w:val="21"/>
              </w:rPr>
              <w:t>-</w:t>
            </w:r>
          </w:p>
        </w:tc>
      </w:tr>
      <w:tr w:rsidR="008D191C" w:rsidTr="00AD6EE3">
        <w:trPr>
          <w:trHeight w:val="305"/>
        </w:trPr>
        <w:tc>
          <w:tcPr>
            <w:tcW w:w="3701" w:type="dxa"/>
            <w:vAlign w:val="center"/>
            <w:hideMark/>
          </w:tcPr>
          <w:p w:rsidR="008D191C" w:rsidRDefault="008D191C">
            <w:pPr>
              <w:rPr>
                <w:szCs w:val="21"/>
              </w:rPr>
            </w:pPr>
            <w:r>
              <w:rPr>
                <w:rFonts w:hint="eastAsia"/>
                <w:szCs w:val="21"/>
              </w:rPr>
              <w:t>应收黄金合约拆借孳息</w:t>
            </w:r>
          </w:p>
        </w:tc>
        <w:tc>
          <w:tcPr>
            <w:tcW w:w="5528" w:type="dxa"/>
            <w:vAlign w:val="center"/>
            <w:hideMark/>
          </w:tcPr>
          <w:p w:rsidR="008D191C" w:rsidRDefault="008D191C">
            <w:pPr>
              <w:jc w:val="right"/>
              <w:rPr>
                <w:szCs w:val="21"/>
              </w:rPr>
            </w:pPr>
            <w:r>
              <w:rPr>
                <w:szCs w:val="21"/>
              </w:rPr>
              <w:t>-</w:t>
            </w:r>
          </w:p>
        </w:tc>
      </w:tr>
      <w:tr w:rsidR="008D191C" w:rsidTr="00AD6EE3">
        <w:trPr>
          <w:trHeight w:val="305"/>
        </w:trPr>
        <w:tc>
          <w:tcPr>
            <w:tcW w:w="3701" w:type="dxa"/>
            <w:vAlign w:val="center"/>
            <w:hideMark/>
          </w:tcPr>
          <w:p w:rsidR="008D191C" w:rsidRDefault="008D191C">
            <w:pPr>
              <w:rPr>
                <w:szCs w:val="21"/>
              </w:rPr>
            </w:pPr>
            <w:r>
              <w:rPr>
                <w:rFonts w:hint="eastAsia"/>
                <w:szCs w:val="21"/>
              </w:rPr>
              <w:t>其他</w:t>
            </w:r>
          </w:p>
        </w:tc>
        <w:tc>
          <w:tcPr>
            <w:tcW w:w="5528" w:type="dxa"/>
            <w:vAlign w:val="center"/>
            <w:hideMark/>
          </w:tcPr>
          <w:p w:rsidR="008D191C" w:rsidRDefault="008D191C">
            <w:pPr>
              <w:jc w:val="right"/>
              <w:rPr>
                <w:szCs w:val="21"/>
              </w:rPr>
            </w:pPr>
            <w:r>
              <w:rPr>
                <w:szCs w:val="21"/>
              </w:rPr>
              <w:t>-</w:t>
            </w:r>
          </w:p>
        </w:tc>
      </w:tr>
      <w:tr w:rsidR="008D191C" w:rsidTr="00AD6EE3">
        <w:trPr>
          <w:trHeight w:val="330"/>
        </w:trPr>
        <w:tc>
          <w:tcPr>
            <w:tcW w:w="3701" w:type="dxa"/>
            <w:vAlign w:val="center"/>
            <w:hideMark/>
          </w:tcPr>
          <w:p w:rsidR="008D191C" w:rsidRDefault="008D191C">
            <w:pPr>
              <w:jc w:val="center"/>
              <w:rPr>
                <w:szCs w:val="21"/>
              </w:rPr>
            </w:pPr>
            <w:r>
              <w:rPr>
                <w:rFonts w:hint="eastAsia"/>
                <w:szCs w:val="21"/>
              </w:rPr>
              <w:t>合计</w:t>
            </w:r>
          </w:p>
        </w:tc>
        <w:tc>
          <w:tcPr>
            <w:tcW w:w="5528" w:type="dxa"/>
            <w:vAlign w:val="center"/>
            <w:hideMark/>
          </w:tcPr>
          <w:p w:rsidR="008D191C" w:rsidRDefault="008D191C">
            <w:pPr>
              <w:jc w:val="right"/>
              <w:rPr>
                <w:szCs w:val="21"/>
              </w:rPr>
            </w:pPr>
            <w:r>
              <w:rPr>
                <w:szCs w:val="21"/>
              </w:rPr>
              <w:t>125.61</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6.4.7.6</w:t>
      </w:r>
      <w:r w:rsidRPr="00C24ACA">
        <w:rPr>
          <w:rFonts w:eastAsiaTheme="minorEastAsia"/>
          <w:b/>
          <w:color w:val="000000"/>
          <w:szCs w:val="21"/>
        </w:rPr>
        <w:t>其他资产</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本基金本报告期末无其他资产。</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6.4.7.7</w:t>
      </w:r>
      <w:r w:rsidRPr="00C24ACA">
        <w:rPr>
          <w:rFonts w:eastAsiaTheme="minorEastAsia"/>
          <w:b/>
          <w:color w:val="000000"/>
          <w:szCs w:val="21"/>
        </w:rPr>
        <w:t>应付交易费用</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本基金本报告期末无应付交易费用。</w:t>
      </w:r>
      <w:r w:rsidRPr="00C24ACA">
        <w:rPr>
          <w:rFonts w:eastAsiaTheme="minorEastAsia"/>
          <w:kern w:val="0"/>
          <w:szCs w:val="21"/>
        </w:rPr>
        <w:t xml:space="preserve"> </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6.4.7.8</w:t>
      </w:r>
      <w:r w:rsidRPr="00C24ACA">
        <w:rPr>
          <w:rFonts w:eastAsiaTheme="minorEastAsia"/>
          <w:b/>
          <w:color w:val="000000"/>
          <w:szCs w:val="21"/>
        </w:rPr>
        <w:t>其他负债</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92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8A5A5D" w:rsidRPr="00C24ACA" w:rsidTr="00862636">
        <w:trPr>
          <w:trHeight w:val="330"/>
        </w:trPr>
        <w:tc>
          <w:tcPr>
            <w:tcW w:w="3701"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528" w:type="dxa"/>
            <w:vAlign w:val="center"/>
          </w:tcPr>
          <w:p w:rsidR="008A5A5D" w:rsidRPr="00C24ACA" w:rsidRDefault="008A5A5D" w:rsidP="004A4847">
            <w:pPr>
              <w:jc w:val="center"/>
              <w:rPr>
                <w:rFonts w:eastAsiaTheme="minorEastAsia"/>
                <w:kern w:val="0"/>
                <w:szCs w:val="21"/>
              </w:rPr>
            </w:pPr>
            <w:r w:rsidRPr="00C24ACA">
              <w:rPr>
                <w:rFonts w:eastAsiaTheme="minorEastAsia"/>
                <w:kern w:val="0"/>
                <w:szCs w:val="21"/>
              </w:rPr>
              <w:t>本期末</w:t>
            </w:r>
          </w:p>
          <w:p w:rsidR="008A5A5D" w:rsidRPr="00C24ACA" w:rsidRDefault="00AC4A34" w:rsidP="004A4847">
            <w:pPr>
              <w:jc w:val="center"/>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应付券商交易单元保证金</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应付赎回费</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4,849.17</w:t>
            </w:r>
          </w:p>
        </w:tc>
      </w:tr>
      <w:tr w:rsidR="00BB5C1E">
        <w:tc>
          <w:tcPr>
            <w:tcW w:w="3701" w:type="dxa"/>
            <w:vAlign w:val="center"/>
          </w:tcPr>
          <w:p w:rsidR="00BB5C1E" w:rsidRDefault="00AF434F">
            <w:pPr>
              <w:jc w:val="left"/>
            </w:pPr>
            <w:r>
              <w:rPr>
                <w:rFonts w:eastAsiaTheme="minorEastAsia"/>
                <w:szCs w:val="21"/>
              </w:rPr>
              <w:t>预提费用</w:t>
            </w:r>
          </w:p>
        </w:tc>
        <w:tc>
          <w:tcPr>
            <w:tcW w:w="5528" w:type="dxa"/>
            <w:vAlign w:val="center"/>
          </w:tcPr>
          <w:p w:rsidR="00BB5C1E" w:rsidRDefault="00AF434F">
            <w:pPr>
              <w:jc w:val="right"/>
            </w:pPr>
            <w:r>
              <w:rPr>
                <w:rFonts w:eastAsiaTheme="minorEastAsia"/>
                <w:szCs w:val="21"/>
              </w:rPr>
              <w:t>114,700.10</w:t>
            </w:r>
          </w:p>
        </w:tc>
      </w:tr>
      <w:tr w:rsidR="00BB5C1E">
        <w:tc>
          <w:tcPr>
            <w:tcW w:w="3701" w:type="dxa"/>
            <w:vAlign w:val="center"/>
          </w:tcPr>
          <w:p w:rsidR="00BB5C1E" w:rsidRDefault="00AF434F">
            <w:pPr>
              <w:jc w:val="left"/>
            </w:pPr>
            <w:r>
              <w:rPr>
                <w:rFonts w:eastAsiaTheme="minorEastAsia"/>
                <w:szCs w:val="21"/>
              </w:rPr>
              <w:t>其他应付款</w:t>
            </w:r>
          </w:p>
        </w:tc>
        <w:tc>
          <w:tcPr>
            <w:tcW w:w="5528" w:type="dxa"/>
            <w:vAlign w:val="center"/>
          </w:tcPr>
          <w:p w:rsidR="00BB5C1E" w:rsidRDefault="00AF434F">
            <w:pPr>
              <w:jc w:val="right"/>
            </w:pPr>
            <w:r>
              <w:rPr>
                <w:rFonts w:eastAsiaTheme="minorEastAsia"/>
                <w:szCs w:val="21"/>
              </w:rPr>
              <w:t>159,575.78</w:t>
            </w:r>
          </w:p>
        </w:tc>
      </w:tr>
      <w:tr w:rsidR="008A5A5D" w:rsidRPr="00C24ACA" w:rsidTr="00862636">
        <w:trPr>
          <w:trHeight w:val="325"/>
        </w:trPr>
        <w:tc>
          <w:tcPr>
            <w:tcW w:w="3701" w:type="dxa"/>
            <w:vAlign w:val="center"/>
          </w:tcPr>
          <w:p w:rsidR="008A5A5D" w:rsidRPr="00C24ACA" w:rsidRDefault="008A5A5D" w:rsidP="00052E9B">
            <w:pPr>
              <w:rPr>
                <w:rFonts w:eastAsiaTheme="minorEastAsia"/>
                <w:szCs w:val="21"/>
              </w:rPr>
            </w:pPr>
            <w:r w:rsidRPr="00C24ACA">
              <w:rPr>
                <w:rFonts w:eastAsiaTheme="minorEastAsia"/>
                <w:szCs w:val="21"/>
              </w:rPr>
              <w:t>合计</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279,125.05</w:t>
            </w:r>
          </w:p>
        </w:tc>
      </w:tr>
    </w:tbl>
    <w:p w:rsidR="00471935" w:rsidRDefault="008A5A5D" w:rsidP="00471935">
      <w:pPr>
        <w:spacing w:beforeLines="100" w:before="312" w:line="360" w:lineRule="auto"/>
        <w:rPr>
          <w:rFonts w:eastAsiaTheme="minorEastAsia"/>
          <w:b/>
          <w:color w:val="000000"/>
          <w:szCs w:val="21"/>
        </w:rPr>
      </w:pPr>
      <w:r w:rsidRPr="00C24ACA">
        <w:rPr>
          <w:rFonts w:eastAsiaTheme="minorEastAsia"/>
          <w:b/>
          <w:bCs/>
          <w:color w:val="000000"/>
          <w:kern w:val="0"/>
          <w:szCs w:val="21"/>
        </w:rPr>
        <w:t>6.4.7.9</w:t>
      </w:r>
      <w:r w:rsidRPr="00C24ACA">
        <w:rPr>
          <w:rFonts w:eastAsiaTheme="minorEastAsia"/>
          <w:b/>
          <w:color w:val="000000"/>
          <w:szCs w:val="21"/>
        </w:rPr>
        <w:t>实收基金</w:t>
      </w:r>
    </w:p>
    <w:p w:rsidR="00471935" w:rsidRPr="00896265" w:rsidRDefault="00471935" w:rsidP="00471935">
      <w:pPr>
        <w:adjustRightInd w:val="0"/>
        <w:snapToGrid w:val="0"/>
        <w:spacing w:line="360" w:lineRule="auto"/>
        <w:rPr>
          <w:rFonts w:eastAsiaTheme="minorEastAsia"/>
          <w:b/>
          <w:color w:val="000000"/>
          <w:szCs w:val="21"/>
        </w:rPr>
      </w:pPr>
      <w:r w:rsidRPr="00896265">
        <w:rPr>
          <w:rFonts w:eastAsiaTheme="minorEastAsia"/>
          <w:szCs w:val="21"/>
        </w:rPr>
        <w:t>易方达标普消费品指数增强（</w:t>
      </w:r>
      <w:r w:rsidRPr="00896265">
        <w:rPr>
          <w:rFonts w:eastAsiaTheme="minorEastAsia"/>
          <w:szCs w:val="21"/>
        </w:rPr>
        <w:t>QDII</w:t>
      </w:r>
      <w:r w:rsidRPr="00896265">
        <w:rPr>
          <w:rFonts w:eastAsiaTheme="minorEastAsia"/>
          <w:szCs w:val="21"/>
        </w:rPr>
        <w:t>）</w:t>
      </w:r>
      <w:r w:rsidRPr="00896265">
        <w:rPr>
          <w:rFonts w:eastAsiaTheme="minorEastAsia"/>
          <w:szCs w:val="21"/>
        </w:rPr>
        <w:t>A</w:t>
      </w:r>
    </w:p>
    <w:p w:rsidR="00471935" w:rsidRPr="00C24ACA" w:rsidRDefault="00471935" w:rsidP="00471935">
      <w:pPr>
        <w:wordWrap w:val="0"/>
        <w:spacing w:line="360" w:lineRule="auto"/>
        <w:jc w:val="right"/>
        <w:rPr>
          <w:rFonts w:eastAsiaTheme="minorEastAsia"/>
          <w:szCs w:val="21"/>
        </w:rPr>
      </w:pPr>
      <w:r w:rsidRPr="00C24ACA">
        <w:rPr>
          <w:rFonts w:eastAsiaTheme="minorEastAsia"/>
          <w:szCs w:val="21"/>
        </w:rPr>
        <w:t>金额单位：人民币元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471935" w:rsidRPr="00C24ACA" w:rsidTr="00CC7CAD">
        <w:tc>
          <w:tcPr>
            <w:tcW w:w="3120" w:type="dxa"/>
            <w:vMerge w:val="restart"/>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471935" w:rsidRPr="00C24ACA" w:rsidRDefault="00471935" w:rsidP="00CC7CAD">
            <w:pPr>
              <w:spacing w:line="360" w:lineRule="auto"/>
              <w:jc w:val="center"/>
              <w:rPr>
                <w:rFonts w:eastAsiaTheme="minorEastAsia"/>
                <w:color w:val="000000"/>
                <w:szCs w:val="21"/>
              </w:rPr>
            </w:pPr>
            <w:r w:rsidRPr="00C24ACA">
              <w:rPr>
                <w:rFonts w:eastAsiaTheme="minorEastAsia"/>
                <w:color w:val="000000"/>
                <w:szCs w:val="21"/>
              </w:rPr>
              <w:t>本期</w:t>
            </w:r>
          </w:p>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471935" w:rsidRPr="00C24ACA" w:rsidTr="00CC7CAD">
        <w:tc>
          <w:tcPr>
            <w:tcW w:w="3120" w:type="dxa"/>
            <w:vMerge/>
            <w:vAlign w:val="center"/>
          </w:tcPr>
          <w:p w:rsidR="00471935" w:rsidRPr="00C24ACA" w:rsidRDefault="00471935" w:rsidP="00CC7CAD">
            <w:pPr>
              <w:widowControl/>
              <w:spacing w:line="360" w:lineRule="auto"/>
              <w:jc w:val="left"/>
              <w:rPr>
                <w:rFonts w:eastAsiaTheme="minorEastAsia"/>
                <w:color w:val="000000"/>
                <w:szCs w:val="21"/>
              </w:rPr>
            </w:pP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上年度末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24,753,399.65</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24,753,399.65</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13,812,133.60</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13,812,133.60</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-16,436,833.24</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-16,436,833.24</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22,128,700.01</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22,128,700.01</w:t>
            </w:r>
          </w:p>
        </w:tc>
      </w:tr>
    </w:tbl>
    <w:p w:rsidR="00471935" w:rsidRPr="00896265" w:rsidRDefault="00471935" w:rsidP="00471935">
      <w:pPr>
        <w:adjustRightInd w:val="0"/>
        <w:snapToGrid w:val="0"/>
        <w:spacing w:line="360" w:lineRule="auto"/>
        <w:rPr>
          <w:rFonts w:eastAsiaTheme="minorEastAsia"/>
          <w:szCs w:val="21"/>
        </w:rPr>
      </w:pPr>
      <w:r w:rsidRPr="00896265">
        <w:rPr>
          <w:rFonts w:eastAsiaTheme="minorEastAsia"/>
          <w:szCs w:val="21"/>
        </w:rPr>
        <w:t>易方达标普消费品指数增强（</w:t>
      </w:r>
      <w:r w:rsidRPr="00896265">
        <w:rPr>
          <w:rFonts w:eastAsiaTheme="minorEastAsia"/>
          <w:szCs w:val="21"/>
        </w:rPr>
        <w:t>QDII</w:t>
      </w:r>
      <w:r w:rsidRPr="00896265">
        <w:rPr>
          <w:rFonts w:eastAsiaTheme="minorEastAsia"/>
          <w:szCs w:val="21"/>
        </w:rPr>
        <w:t>）</w:t>
      </w:r>
      <w:r w:rsidRPr="00896265">
        <w:rPr>
          <w:rFonts w:eastAsiaTheme="minorEastAsia"/>
          <w:szCs w:val="21"/>
        </w:rPr>
        <w:t>C</w:t>
      </w:r>
    </w:p>
    <w:p w:rsidR="00471935" w:rsidRPr="00C24ACA" w:rsidRDefault="00471935" w:rsidP="00471935">
      <w:pPr>
        <w:adjustRightInd w:val="0"/>
        <w:snapToGrid w:val="0"/>
        <w:spacing w:line="360" w:lineRule="auto"/>
        <w:jc w:val="right"/>
        <w:rPr>
          <w:rFonts w:eastAsiaTheme="minorEastAsia"/>
          <w:color w:val="000000"/>
          <w:szCs w:val="21"/>
        </w:rPr>
      </w:pPr>
      <w:r w:rsidRPr="00C24ACA">
        <w:rPr>
          <w:rFonts w:eastAsiaTheme="minorEastAsia"/>
          <w:color w:val="000000"/>
          <w:szCs w:val="21"/>
        </w:rPr>
        <w:t>金额单位：人民币元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471935" w:rsidRPr="00C24ACA" w:rsidTr="00CC7CAD">
        <w:tc>
          <w:tcPr>
            <w:tcW w:w="3120" w:type="dxa"/>
            <w:vMerge w:val="restart"/>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本期</w:t>
            </w:r>
          </w:p>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471935" w:rsidRPr="00C24ACA" w:rsidTr="00CC7CAD">
        <w:tc>
          <w:tcPr>
            <w:tcW w:w="3120" w:type="dxa"/>
            <w:vMerge/>
            <w:vAlign w:val="center"/>
          </w:tcPr>
          <w:p w:rsidR="00471935" w:rsidRPr="00C24ACA" w:rsidRDefault="00471935" w:rsidP="00CC7CAD">
            <w:pPr>
              <w:widowControl/>
              <w:spacing w:line="360" w:lineRule="auto"/>
              <w:jc w:val="left"/>
              <w:rPr>
                <w:rFonts w:eastAsiaTheme="minorEastAsia"/>
                <w:color w:val="000000"/>
                <w:szCs w:val="21"/>
              </w:rPr>
            </w:pP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471935" w:rsidRPr="00C24ACA" w:rsidRDefault="00471935" w:rsidP="00CC7CAD">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上年度末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1,751,423.42</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1,751,423.42</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9,872,456.48</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9,872,456.48</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-6,176,077.71</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-6,176,077.71</w:t>
            </w:r>
          </w:p>
        </w:tc>
      </w:tr>
      <w:tr w:rsidR="00471935" w:rsidRPr="00C24ACA" w:rsidTr="00CC7CAD">
        <w:tc>
          <w:tcPr>
            <w:tcW w:w="3120" w:type="dxa"/>
            <w:vAlign w:val="center"/>
          </w:tcPr>
          <w:p w:rsidR="00471935" w:rsidRPr="00C24ACA" w:rsidRDefault="00471935" w:rsidP="00CC7CAD">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5,447,802.19</w:t>
            </w:r>
          </w:p>
        </w:tc>
        <w:tc>
          <w:tcPr>
            <w:tcW w:w="3120" w:type="dxa"/>
            <w:vAlign w:val="center"/>
          </w:tcPr>
          <w:p w:rsidR="00471935" w:rsidRPr="00C24ACA" w:rsidRDefault="00471935" w:rsidP="00CC7CAD">
            <w:pPr>
              <w:spacing w:line="360" w:lineRule="auto"/>
              <w:jc w:val="right"/>
              <w:rPr>
                <w:rFonts w:eastAsiaTheme="minorEastAsia"/>
                <w:szCs w:val="21"/>
              </w:rPr>
            </w:pPr>
            <w:r w:rsidRPr="00C24ACA">
              <w:rPr>
                <w:rFonts w:eastAsiaTheme="minorEastAsia"/>
                <w:szCs w:val="21"/>
              </w:rPr>
              <w:t>5,447,802.19</w:t>
            </w:r>
          </w:p>
        </w:tc>
      </w:tr>
    </w:tbl>
    <w:p w:rsidR="008A5A5D" w:rsidRPr="00C24ACA" w:rsidRDefault="008A5A5D" w:rsidP="00471935">
      <w:pPr>
        <w:spacing w:beforeLines="100" w:before="312" w:line="360" w:lineRule="auto"/>
        <w:rPr>
          <w:rFonts w:eastAsiaTheme="minorEastAsia"/>
          <w:b/>
          <w:color w:val="000000"/>
          <w:szCs w:val="21"/>
        </w:rPr>
      </w:pPr>
      <w:r w:rsidRPr="00C24ACA">
        <w:rPr>
          <w:rFonts w:eastAsiaTheme="minorEastAsia"/>
          <w:b/>
          <w:bCs/>
          <w:color w:val="000000"/>
          <w:kern w:val="0"/>
          <w:szCs w:val="21"/>
        </w:rPr>
        <w:t>6.4.7.10</w:t>
      </w:r>
      <w:r w:rsidRPr="00C24ACA">
        <w:rPr>
          <w:rFonts w:eastAsiaTheme="minorEastAsia"/>
          <w:b/>
          <w:color w:val="000000"/>
          <w:szCs w:val="21"/>
        </w:rPr>
        <w:t>未分配利润</w:t>
      </w:r>
    </w:p>
    <w:p w:rsidR="008A5A5D" w:rsidRPr="00C24ACA" w:rsidRDefault="008A5A5D" w:rsidP="002116B9">
      <w:pPr>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2915FE" w:rsidRPr="00C24ACA" w:rsidTr="005C3575">
        <w:tc>
          <w:tcPr>
            <w:tcW w:w="9415" w:type="dxa"/>
            <w:gridSpan w:val="4"/>
          </w:tcPr>
          <w:p w:rsidR="002915FE" w:rsidRPr="00C24ACA" w:rsidRDefault="002915FE" w:rsidP="002915FE">
            <w:pPr>
              <w:tabs>
                <w:tab w:val="left" w:pos="3015"/>
              </w:tabs>
              <w:jc w:val="center"/>
              <w:rPr>
                <w:rFonts w:eastAsiaTheme="minorEastAsia"/>
                <w:color w:val="000000"/>
                <w:szCs w:val="21"/>
              </w:rPr>
            </w:pPr>
            <w:r w:rsidRPr="00C24ACA">
              <w:rPr>
                <w:rFonts w:eastAsiaTheme="minorEastAsia"/>
                <w:color w:val="000000"/>
                <w:szCs w:val="21"/>
              </w:rPr>
              <w:t>易方达标普消费品指数增强（</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A</w:t>
            </w:r>
          </w:p>
        </w:tc>
      </w:tr>
      <w:tr w:rsidR="002915FE" w:rsidRPr="00C24ACA" w:rsidTr="002915FE">
        <w:tc>
          <w:tcPr>
            <w:tcW w:w="2706" w:type="dxa"/>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未分配利润合计</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上年度末</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8,619,738.31</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18,403,712.85</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27,023,451.16</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-591,147.12</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-2,039,261.26</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-2,630,408.38</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-810,147.68</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-1,195,895.26</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-2,006,042.94</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4,578,775.99</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8,016,007.26</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12,594,783.25</w:t>
            </w:r>
          </w:p>
        </w:tc>
      </w:tr>
      <w:tr w:rsidR="002915FE" w:rsidRPr="00C24ACA" w:rsidTr="002915FE">
        <w:tc>
          <w:tcPr>
            <w:tcW w:w="2706" w:type="dxa"/>
            <w:vAlign w:val="center"/>
          </w:tcPr>
          <w:p w:rsidR="002915FE" w:rsidRPr="00C24ACA" w:rsidRDefault="002915FE"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-5,388,923.67</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-9,211,902.52</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-14,600,826.19</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7,218,443.51</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15,168,556.33</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22,386,999.84</w:t>
            </w:r>
          </w:p>
        </w:tc>
      </w:tr>
    </w:tbl>
    <w:p w:rsidR="0057216B" w:rsidRPr="00C24ACA" w:rsidRDefault="0057216B" w:rsidP="002915FE">
      <w:pPr>
        <w:adjustRightInd w:val="0"/>
        <w:snapToGrid w:val="0"/>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57216B" w:rsidRPr="00C24ACA" w:rsidTr="005C3575">
        <w:tc>
          <w:tcPr>
            <w:tcW w:w="9415" w:type="dxa"/>
            <w:gridSpan w:val="4"/>
          </w:tcPr>
          <w:p w:rsidR="002915FE" w:rsidRPr="00C24ACA" w:rsidRDefault="002915FE" w:rsidP="002915FE">
            <w:pPr>
              <w:jc w:val="center"/>
              <w:rPr>
                <w:rFonts w:eastAsiaTheme="minorEastAsia"/>
                <w:color w:val="000000"/>
                <w:szCs w:val="21"/>
              </w:rPr>
            </w:pPr>
            <w:r w:rsidRPr="00C24ACA">
              <w:rPr>
                <w:rFonts w:eastAsiaTheme="minorEastAsia"/>
                <w:color w:val="000000"/>
                <w:szCs w:val="21"/>
              </w:rPr>
              <w:t>易方达标普消费品指数增强（</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C</w:t>
            </w:r>
          </w:p>
        </w:tc>
      </w:tr>
      <w:tr w:rsidR="0057216B" w:rsidRPr="00C24ACA" w:rsidTr="00AD6EE3">
        <w:tc>
          <w:tcPr>
            <w:tcW w:w="2706" w:type="dxa"/>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未分配利润合计</w:t>
            </w:r>
          </w:p>
        </w:tc>
      </w:tr>
      <w:tr w:rsidR="0057216B" w:rsidRPr="00C24ACA" w:rsidTr="00AD6EE3">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上年度末</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1,516,956.54</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377,664.46</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1,894,621.00</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-60,527.86</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230,332.36</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169,804.50</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3,130,278.51</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251,829.73</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3,382,108.24</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8,329,434.98</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375,477.63</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8,704,912.61</w:t>
            </w:r>
          </w:p>
        </w:tc>
      </w:tr>
      <w:tr w:rsidR="0057216B" w:rsidRPr="00C24ACA" w:rsidTr="0057216B">
        <w:tc>
          <w:tcPr>
            <w:tcW w:w="2706" w:type="dxa"/>
            <w:vAlign w:val="center"/>
          </w:tcPr>
          <w:p w:rsidR="0057216B" w:rsidRPr="00C24ACA" w:rsidRDefault="0057216B"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-5,199,156.47</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-123,647.90</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-5,322,804.37</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4,586,707.19</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859,826.55</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5,446,533.74</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6.4.7.11</w:t>
      </w:r>
      <w:r w:rsidRPr="00C24ACA">
        <w:rPr>
          <w:rFonts w:eastAsiaTheme="minorEastAsia"/>
          <w:b/>
          <w:color w:val="000000"/>
          <w:szCs w:val="21"/>
        </w:rPr>
        <w:t>存款利息收入</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8A5A5D" w:rsidRPr="00C24ACA" w:rsidTr="000869C6">
        <w:tc>
          <w:tcPr>
            <w:tcW w:w="3828"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86" w:type="dxa"/>
            <w:vAlign w:val="center"/>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jc w:val="center"/>
              <w:rPr>
                <w:rFonts w:eastAsiaTheme="minorEastAsia"/>
                <w:b/>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活期存款利息收入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11,641.85</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定期存款利息收入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结算备付金利息收入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合计</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11,641.85</w:t>
            </w:r>
          </w:p>
        </w:tc>
      </w:tr>
    </w:tbl>
    <w:p w:rsidR="004D0FA5" w:rsidRPr="00C24ACA" w:rsidRDefault="004D0FA5" w:rsidP="004D0FA5">
      <w:pPr>
        <w:spacing w:line="360" w:lineRule="auto"/>
        <w:rPr>
          <w:rFonts w:eastAsiaTheme="minorEastAsia"/>
          <w:b/>
          <w:bCs/>
          <w:color w:val="000000"/>
          <w:szCs w:val="21"/>
        </w:rPr>
      </w:pPr>
      <w:r w:rsidRPr="00C24ACA">
        <w:rPr>
          <w:rFonts w:eastAsiaTheme="minorEastAsia"/>
          <w:b/>
          <w:bCs/>
          <w:color w:val="000000"/>
          <w:kern w:val="0"/>
          <w:szCs w:val="21"/>
        </w:rPr>
        <w:t xml:space="preserve">6.4.7.12 </w:t>
      </w:r>
      <w:r w:rsidR="00601974" w:rsidRPr="00C24ACA">
        <w:rPr>
          <w:rFonts w:eastAsiaTheme="minorEastAsia"/>
          <w:b/>
          <w:color w:val="000000"/>
          <w:szCs w:val="21"/>
        </w:rPr>
        <w:t>股票投资收益</w:t>
      </w:r>
      <w:r w:rsidRPr="00C24ACA">
        <w:rPr>
          <w:rFonts w:eastAsiaTheme="minorEastAsia"/>
          <w:b/>
          <w:color w:val="000000"/>
          <w:szCs w:val="21"/>
        </w:rPr>
        <w:t>——</w:t>
      </w:r>
      <w:r w:rsidRPr="00C24ACA">
        <w:rPr>
          <w:rFonts w:eastAsiaTheme="minorEastAsia"/>
          <w:b/>
          <w:color w:val="000000"/>
          <w:szCs w:val="21"/>
        </w:rPr>
        <w:t>买卖股票差价收入</w:t>
      </w:r>
    </w:p>
    <w:p w:rsidR="004D0FA5" w:rsidRPr="00C24ACA" w:rsidRDefault="004D0FA5" w:rsidP="004D0FA5">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4D0FA5" w:rsidRPr="00C24ACA" w:rsidTr="00862636">
        <w:trPr>
          <w:trHeight w:val="300"/>
        </w:trPr>
        <w:tc>
          <w:tcPr>
            <w:tcW w:w="3755" w:type="dxa"/>
            <w:tcMar>
              <w:top w:w="15" w:type="dxa"/>
              <w:left w:w="15" w:type="dxa"/>
              <w:bottom w:w="0" w:type="dxa"/>
              <w:right w:w="15" w:type="dxa"/>
            </w:tcMar>
            <w:vAlign w:val="center"/>
          </w:tcPr>
          <w:p w:rsidR="004D0FA5" w:rsidRPr="00C24ACA" w:rsidRDefault="004D0FA5" w:rsidP="008C69DE">
            <w:pPr>
              <w:jc w:val="center"/>
              <w:rPr>
                <w:rFonts w:eastAsiaTheme="minorEastAsia"/>
                <w:szCs w:val="21"/>
              </w:rPr>
            </w:pPr>
            <w:r w:rsidRPr="00C24ACA">
              <w:rPr>
                <w:rFonts w:eastAsiaTheme="minorEastAsia"/>
                <w:szCs w:val="21"/>
              </w:rPr>
              <w:t>项目</w:t>
            </w:r>
          </w:p>
        </w:tc>
        <w:tc>
          <w:tcPr>
            <w:tcW w:w="5452" w:type="dxa"/>
            <w:tcMar>
              <w:top w:w="15" w:type="dxa"/>
              <w:left w:w="15" w:type="dxa"/>
              <w:bottom w:w="0" w:type="dxa"/>
              <w:right w:w="15" w:type="dxa"/>
            </w:tcMar>
            <w:vAlign w:val="center"/>
          </w:tcPr>
          <w:p w:rsidR="004D0FA5" w:rsidRPr="00C24ACA" w:rsidRDefault="004D0FA5" w:rsidP="008C69DE">
            <w:pPr>
              <w:jc w:val="center"/>
              <w:rPr>
                <w:rFonts w:eastAsiaTheme="minorEastAsia"/>
                <w:szCs w:val="21"/>
              </w:rPr>
            </w:pPr>
            <w:r w:rsidRPr="00C24ACA">
              <w:rPr>
                <w:rFonts w:eastAsiaTheme="minorEastAsia"/>
                <w:szCs w:val="21"/>
              </w:rPr>
              <w:t>本期</w:t>
            </w:r>
          </w:p>
          <w:p w:rsidR="004D0FA5" w:rsidRPr="00C24ACA" w:rsidRDefault="004D0FA5" w:rsidP="008C69DE">
            <w:pPr>
              <w:jc w:val="center"/>
              <w:rPr>
                <w:rFonts w:eastAsiaTheme="minorEastAsia"/>
                <w:b/>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4D0FA5" w:rsidRPr="00C24ACA" w:rsidTr="00862636">
        <w:trPr>
          <w:trHeight w:val="300"/>
        </w:trPr>
        <w:tc>
          <w:tcPr>
            <w:tcW w:w="3755" w:type="dxa"/>
            <w:tcMar>
              <w:top w:w="15" w:type="dxa"/>
              <w:left w:w="15" w:type="dxa"/>
              <w:bottom w:w="0" w:type="dxa"/>
              <w:right w:w="15" w:type="dxa"/>
            </w:tcMar>
            <w:vAlign w:val="center"/>
          </w:tcPr>
          <w:p w:rsidR="004D0FA5" w:rsidRPr="00C24ACA" w:rsidRDefault="004D0FA5" w:rsidP="008C69DE">
            <w:pPr>
              <w:rPr>
                <w:rFonts w:eastAsiaTheme="minorEastAsia"/>
                <w:szCs w:val="21"/>
              </w:rPr>
            </w:pPr>
            <w:r w:rsidRPr="00C24ACA">
              <w:rPr>
                <w:rFonts w:eastAsiaTheme="minorEastAsia"/>
                <w:szCs w:val="21"/>
              </w:rPr>
              <w:t>卖出股票成交总额</w:t>
            </w:r>
          </w:p>
        </w:tc>
        <w:tc>
          <w:tcPr>
            <w:tcW w:w="5452" w:type="dxa"/>
            <w:tcMar>
              <w:top w:w="15" w:type="dxa"/>
              <w:left w:w="15" w:type="dxa"/>
              <w:bottom w:w="0" w:type="dxa"/>
              <w:right w:w="15" w:type="dxa"/>
            </w:tcMar>
            <w:vAlign w:val="bottom"/>
          </w:tcPr>
          <w:p w:rsidR="004D0FA5" w:rsidRPr="00C24ACA" w:rsidRDefault="004D0FA5" w:rsidP="008C69DE">
            <w:pPr>
              <w:jc w:val="right"/>
              <w:rPr>
                <w:rFonts w:eastAsiaTheme="minorEastAsia"/>
                <w:szCs w:val="21"/>
              </w:rPr>
            </w:pPr>
            <w:r w:rsidRPr="00C24ACA">
              <w:rPr>
                <w:rFonts w:eastAsiaTheme="minorEastAsia"/>
                <w:szCs w:val="21"/>
              </w:rPr>
              <w:t>9,100,961.49</w:t>
            </w:r>
          </w:p>
        </w:tc>
      </w:tr>
      <w:tr w:rsidR="004D0FA5" w:rsidRPr="00C24ACA" w:rsidTr="00862636">
        <w:trPr>
          <w:trHeight w:val="300"/>
        </w:trPr>
        <w:tc>
          <w:tcPr>
            <w:tcW w:w="3755" w:type="dxa"/>
            <w:tcMar>
              <w:top w:w="15" w:type="dxa"/>
              <w:left w:w="15" w:type="dxa"/>
              <w:bottom w:w="0" w:type="dxa"/>
              <w:right w:w="15" w:type="dxa"/>
            </w:tcMar>
            <w:vAlign w:val="center"/>
          </w:tcPr>
          <w:p w:rsidR="004D0FA5" w:rsidRPr="00C24ACA" w:rsidRDefault="004D0FA5" w:rsidP="008C69DE">
            <w:pPr>
              <w:rPr>
                <w:rFonts w:eastAsiaTheme="minorEastAsia"/>
                <w:szCs w:val="21"/>
              </w:rPr>
            </w:pPr>
            <w:r w:rsidRPr="00C24ACA">
              <w:rPr>
                <w:rFonts w:eastAsiaTheme="minorEastAsia"/>
                <w:szCs w:val="21"/>
              </w:rPr>
              <w:t>减：卖出股票成本总额</w:t>
            </w:r>
          </w:p>
        </w:tc>
        <w:tc>
          <w:tcPr>
            <w:tcW w:w="5452" w:type="dxa"/>
            <w:tcMar>
              <w:top w:w="15" w:type="dxa"/>
              <w:left w:w="15" w:type="dxa"/>
              <w:bottom w:w="0" w:type="dxa"/>
              <w:right w:w="15" w:type="dxa"/>
            </w:tcMar>
            <w:vAlign w:val="bottom"/>
          </w:tcPr>
          <w:p w:rsidR="004D0FA5" w:rsidRPr="00C24ACA" w:rsidRDefault="004D0FA5" w:rsidP="008C69DE">
            <w:pPr>
              <w:jc w:val="right"/>
              <w:rPr>
                <w:rFonts w:eastAsiaTheme="minorEastAsia"/>
                <w:szCs w:val="21"/>
              </w:rPr>
            </w:pPr>
            <w:r w:rsidRPr="00C24ACA">
              <w:rPr>
                <w:rFonts w:eastAsiaTheme="minorEastAsia"/>
                <w:szCs w:val="21"/>
              </w:rPr>
              <w:t>9,288,310.99</w:t>
            </w:r>
          </w:p>
        </w:tc>
      </w:tr>
      <w:tr w:rsidR="004D0FA5" w:rsidRPr="00C24ACA" w:rsidTr="00862636">
        <w:trPr>
          <w:trHeight w:val="300"/>
        </w:trPr>
        <w:tc>
          <w:tcPr>
            <w:tcW w:w="3755" w:type="dxa"/>
            <w:tcMar>
              <w:top w:w="15" w:type="dxa"/>
              <w:left w:w="15" w:type="dxa"/>
              <w:bottom w:w="0" w:type="dxa"/>
              <w:right w:w="15" w:type="dxa"/>
            </w:tcMar>
            <w:vAlign w:val="center"/>
          </w:tcPr>
          <w:p w:rsidR="004D0FA5" w:rsidRPr="00C24ACA" w:rsidRDefault="004D0FA5" w:rsidP="008C69DE">
            <w:pPr>
              <w:rPr>
                <w:rFonts w:eastAsiaTheme="minorEastAsia"/>
                <w:szCs w:val="21"/>
              </w:rPr>
            </w:pPr>
            <w:r w:rsidRPr="00C24ACA">
              <w:rPr>
                <w:rFonts w:eastAsiaTheme="minorEastAsia"/>
                <w:szCs w:val="21"/>
              </w:rPr>
              <w:t>买卖股票差价收入</w:t>
            </w:r>
          </w:p>
        </w:tc>
        <w:tc>
          <w:tcPr>
            <w:tcW w:w="5452" w:type="dxa"/>
            <w:tcMar>
              <w:top w:w="15" w:type="dxa"/>
              <w:left w:w="15" w:type="dxa"/>
              <w:bottom w:w="0" w:type="dxa"/>
              <w:right w:w="15" w:type="dxa"/>
            </w:tcMar>
            <w:vAlign w:val="bottom"/>
          </w:tcPr>
          <w:p w:rsidR="004D0FA5" w:rsidRPr="00C24ACA" w:rsidRDefault="004D0FA5" w:rsidP="008C69DE">
            <w:pPr>
              <w:jc w:val="right"/>
              <w:rPr>
                <w:rFonts w:eastAsiaTheme="minorEastAsia"/>
                <w:szCs w:val="21"/>
              </w:rPr>
            </w:pPr>
            <w:r w:rsidRPr="00C24ACA">
              <w:rPr>
                <w:rFonts w:eastAsiaTheme="minorEastAsia"/>
                <w:szCs w:val="21"/>
              </w:rPr>
              <w:t>-187,349.50</w:t>
            </w:r>
          </w:p>
        </w:tc>
      </w:tr>
    </w:tbl>
    <w:p w:rsidR="00D85D98" w:rsidRPr="00C24ACA" w:rsidRDefault="00D85D98"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 xml:space="preserve">6.4.7.13 </w:t>
      </w:r>
      <w:r w:rsidRPr="00C24ACA">
        <w:rPr>
          <w:rFonts w:eastAsiaTheme="minorEastAsia"/>
          <w:b/>
          <w:color w:val="000000"/>
          <w:szCs w:val="21"/>
        </w:rPr>
        <w:t>基金投资收益</w:t>
      </w:r>
    </w:p>
    <w:p w:rsidR="00D85D98" w:rsidRPr="00C24ACA" w:rsidRDefault="00D85D98"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本基金本报告期无基金投资收益。</w:t>
      </w:r>
    </w:p>
    <w:p w:rsidR="00005C09" w:rsidRPr="00C24ACA" w:rsidRDefault="00005C09" w:rsidP="00005C09">
      <w:pPr>
        <w:spacing w:line="360" w:lineRule="auto"/>
        <w:rPr>
          <w:rFonts w:eastAsiaTheme="minorEastAsia"/>
          <w:b/>
          <w:color w:val="000000" w:themeColor="text1"/>
          <w:szCs w:val="21"/>
        </w:rPr>
      </w:pPr>
      <w:r w:rsidRPr="00C24ACA">
        <w:rPr>
          <w:rFonts w:eastAsiaTheme="minorEastAsia"/>
          <w:b/>
          <w:bCs/>
          <w:color w:val="000000" w:themeColor="text1"/>
          <w:kern w:val="0"/>
          <w:szCs w:val="21"/>
        </w:rPr>
        <w:t>6.4.7.14</w:t>
      </w:r>
      <w:r w:rsidRPr="00C24ACA">
        <w:rPr>
          <w:rFonts w:eastAsiaTheme="minorEastAsia"/>
          <w:b/>
          <w:color w:val="000000" w:themeColor="text1"/>
          <w:szCs w:val="21"/>
        </w:rPr>
        <w:t>债券投资收益</w:t>
      </w:r>
      <w:r w:rsidRPr="00C24ACA">
        <w:rPr>
          <w:rFonts w:eastAsiaTheme="minorEastAsia"/>
          <w:b/>
          <w:color w:val="000000" w:themeColor="text1"/>
          <w:szCs w:val="21"/>
        </w:rPr>
        <w:t>——</w:t>
      </w:r>
      <w:r w:rsidRPr="00C24ACA">
        <w:rPr>
          <w:rFonts w:eastAsiaTheme="minorEastAsia"/>
          <w:b/>
          <w:color w:val="000000" w:themeColor="text1"/>
          <w:szCs w:val="21"/>
        </w:rPr>
        <w:t>买卖债券差价收入</w:t>
      </w:r>
    </w:p>
    <w:p w:rsidR="00005C09" w:rsidRPr="001412CA" w:rsidRDefault="00005C09"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本基金本报告期无债券投资收益。</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6.4.7.15</w:t>
      </w:r>
      <w:r w:rsidRPr="00C24ACA">
        <w:rPr>
          <w:rFonts w:eastAsiaTheme="minorEastAsia"/>
          <w:b/>
          <w:color w:val="000000"/>
          <w:szCs w:val="21"/>
        </w:rPr>
        <w:t>衍生工具收益</w:t>
      </w:r>
    </w:p>
    <w:p w:rsidR="00806635" w:rsidRDefault="00806635" w:rsidP="00806635">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本基金本报告期无衍生工具收益。</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6.4.7.16</w:t>
      </w:r>
      <w:r w:rsidRPr="00C24ACA">
        <w:rPr>
          <w:rFonts w:eastAsiaTheme="minorEastAsia"/>
          <w:b/>
          <w:color w:val="000000"/>
          <w:szCs w:val="21"/>
        </w:rPr>
        <w:t>股利收益</w:t>
      </w:r>
    </w:p>
    <w:p w:rsidR="008A5A5D" w:rsidRPr="00C24ACA" w:rsidRDefault="008A5A5D" w:rsidP="003955D3">
      <w:pPr>
        <w:tabs>
          <w:tab w:val="left" w:pos="7200"/>
          <w:tab w:val="left" w:pos="8280"/>
        </w:tabs>
        <w:ind w:rightChars="33" w:right="69"/>
        <w:jc w:val="right"/>
        <w:rPr>
          <w:rFonts w:eastAsiaTheme="minorEastAsia"/>
          <w:color w:val="000000"/>
          <w:szCs w:val="21"/>
        </w:rPr>
      </w:pPr>
      <w:r w:rsidRPr="00C24ACA">
        <w:rPr>
          <w:rFonts w:eastAsiaTheme="minorEastAsia"/>
          <w:color w:val="000000"/>
          <w:szCs w:val="21"/>
        </w:rPr>
        <w:t>单位：人民币元</w:t>
      </w:r>
    </w:p>
    <w:tbl>
      <w:tblPr>
        <w:tblW w:w="93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41"/>
      </w:tblGrid>
      <w:tr w:rsidR="008A5A5D" w:rsidRPr="00C24ACA" w:rsidTr="00862636">
        <w:tc>
          <w:tcPr>
            <w:tcW w:w="3794"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541"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c>
          <w:tcPr>
            <w:tcW w:w="3794" w:type="dxa"/>
            <w:vAlign w:val="center"/>
          </w:tcPr>
          <w:p w:rsidR="008A5A5D" w:rsidRPr="00C24ACA" w:rsidRDefault="008A5A5D" w:rsidP="004A4847">
            <w:pPr>
              <w:rPr>
                <w:rFonts w:eastAsiaTheme="minorEastAsia"/>
                <w:szCs w:val="21"/>
              </w:rPr>
            </w:pPr>
            <w:r w:rsidRPr="00C24ACA">
              <w:rPr>
                <w:rFonts w:eastAsiaTheme="minorEastAsia"/>
                <w:szCs w:val="21"/>
              </w:rPr>
              <w:t>股票投资产生的股利收益</w:t>
            </w:r>
          </w:p>
        </w:tc>
        <w:tc>
          <w:tcPr>
            <w:tcW w:w="5541" w:type="dxa"/>
            <w:vAlign w:val="bottom"/>
          </w:tcPr>
          <w:p w:rsidR="008A5A5D" w:rsidRPr="00C24ACA" w:rsidRDefault="008A5A5D" w:rsidP="004A4847">
            <w:pPr>
              <w:jc w:val="right"/>
              <w:rPr>
                <w:rFonts w:eastAsiaTheme="minorEastAsia"/>
                <w:szCs w:val="21"/>
              </w:rPr>
            </w:pPr>
            <w:r w:rsidRPr="00C24ACA">
              <w:rPr>
                <w:rFonts w:eastAsiaTheme="minorEastAsia"/>
                <w:szCs w:val="21"/>
              </w:rPr>
              <w:t>231,761.75</w:t>
            </w:r>
          </w:p>
        </w:tc>
      </w:tr>
      <w:tr w:rsidR="008A5A5D" w:rsidRPr="00C24ACA" w:rsidTr="00862636">
        <w:tc>
          <w:tcPr>
            <w:tcW w:w="3794" w:type="dxa"/>
            <w:vAlign w:val="center"/>
          </w:tcPr>
          <w:p w:rsidR="008A5A5D" w:rsidRPr="00C24ACA" w:rsidRDefault="008A5A5D" w:rsidP="004A4847">
            <w:pPr>
              <w:rPr>
                <w:rFonts w:eastAsiaTheme="minorEastAsia"/>
                <w:szCs w:val="21"/>
              </w:rPr>
            </w:pPr>
            <w:r w:rsidRPr="00C24ACA">
              <w:rPr>
                <w:rFonts w:eastAsiaTheme="minorEastAsia"/>
                <w:szCs w:val="21"/>
              </w:rPr>
              <w:t>基金投资产生的股利收益</w:t>
            </w:r>
          </w:p>
        </w:tc>
        <w:tc>
          <w:tcPr>
            <w:tcW w:w="5541"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862636">
        <w:tc>
          <w:tcPr>
            <w:tcW w:w="3794" w:type="dxa"/>
            <w:vAlign w:val="center"/>
          </w:tcPr>
          <w:p w:rsidR="008A5A5D" w:rsidRPr="00C24ACA" w:rsidRDefault="008A5A5D" w:rsidP="004A4847">
            <w:pPr>
              <w:rPr>
                <w:rFonts w:eastAsiaTheme="minorEastAsia"/>
                <w:szCs w:val="21"/>
              </w:rPr>
            </w:pPr>
            <w:r w:rsidRPr="00C24ACA">
              <w:rPr>
                <w:rFonts w:eastAsiaTheme="minorEastAsia"/>
                <w:szCs w:val="21"/>
              </w:rPr>
              <w:t>合计</w:t>
            </w:r>
          </w:p>
        </w:tc>
        <w:tc>
          <w:tcPr>
            <w:tcW w:w="5541" w:type="dxa"/>
            <w:vAlign w:val="bottom"/>
          </w:tcPr>
          <w:p w:rsidR="008A5A5D" w:rsidRPr="00C24ACA" w:rsidRDefault="008A5A5D" w:rsidP="004A4847">
            <w:pPr>
              <w:jc w:val="right"/>
              <w:rPr>
                <w:rFonts w:eastAsiaTheme="minorEastAsia"/>
                <w:szCs w:val="21"/>
              </w:rPr>
            </w:pPr>
            <w:r w:rsidRPr="00C24ACA">
              <w:rPr>
                <w:rFonts w:eastAsiaTheme="minorEastAsia"/>
                <w:szCs w:val="21"/>
              </w:rPr>
              <w:t>231,761.75</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6.4.7.17</w:t>
      </w:r>
      <w:r w:rsidRPr="00C24ACA">
        <w:rPr>
          <w:rFonts w:eastAsiaTheme="minorEastAsia"/>
          <w:b/>
          <w:color w:val="000000"/>
          <w:szCs w:val="21"/>
        </w:rPr>
        <w:t>公允价值变动收益</w:t>
      </w:r>
    </w:p>
    <w:p w:rsidR="008F7328" w:rsidRDefault="008F7328" w:rsidP="008F7328">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F7328" w:rsidTr="00AD6EE3">
        <w:trPr>
          <w:trHeight w:val="285"/>
        </w:trPr>
        <w:tc>
          <w:tcPr>
            <w:tcW w:w="3794" w:type="dxa"/>
            <w:vAlign w:val="center"/>
            <w:hideMark/>
          </w:tcPr>
          <w:p w:rsidR="008F7328" w:rsidRDefault="008F7328">
            <w:pPr>
              <w:jc w:val="center"/>
              <w:rPr>
                <w:szCs w:val="21"/>
              </w:rPr>
            </w:pPr>
            <w:r>
              <w:rPr>
                <w:rFonts w:hint="eastAsia"/>
                <w:kern w:val="0"/>
                <w:szCs w:val="21"/>
              </w:rPr>
              <w:t>项目名称</w:t>
            </w:r>
          </w:p>
        </w:tc>
        <w:tc>
          <w:tcPr>
            <w:tcW w:w="5528" w:type="dxa"/>
            <w:vAlign w:val="center"/>
            <w:hideMark/>
          </w:tcPr>
          <w:p w:rsidR="008F7328" w:rsidRDefault="008F7328">
            <w:pPr>
              <w:jc w:val="center"/>
              <w:rPr>
                <w:szCs w:val="21"/>
              </w:rPr>
            </w:pPr>
            <w:r>
              <w:rPr>
                <w:rFonts w:hint="eastAsia"/>
                <w:szCs w:val="21"/>
              </w:rPr>
              <w:t>本期</w:t>
            </w:r>
          </w:p>
          <w:p w:rsidR="008F7328" w:rsidRDefault="008F7328">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F7328" w:rsidTr="00AD6EE3">
        <w:trPr>
          <w:trHeight w:val="285"/>
        </w:trPr>
        <w:tc>
          <w:tcPr>
            <w:tcW w:w="3794" w:type="dxa"/>
            <w:vAlign w:val="center"/>
            <w:hideMark/>
          </w:tcPr>
          <w:p w:rsidR="008F7328" w:rsidRDefault="008F7328">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F7328" w:rsidRDefault="008F7328">
            <w:pPr>
              <w:jc w:val="right"/>
              <w:rPr>
                <w:szCs w:val="21"/>
              </w:rPr>
            </w:pPr>
            <w:r>
              <w:rPr>
                <w:szCs w:val="21"/>
              </w:rPr>
              <w:t>-1,808,928.90</w:t>
            </w:r>
          </w:p>
        </w:tc>
      </w:tr>
      <w:tr w:rsidR="008F7328" w:rsidTr="00AD6EE3">
        <w:trPr>
          <w:trHeight w:val="285"/>
        </w:trPr>
        <w:tc>
          <w:tcPr>
            <w:tcW w:w="3794" w:type="dxa"/>
            <w:vAlign w:val="center"/>
            <w:hideMark/>
          </w:tcPr>
          <w:p w:rsidR="008F7328" w:rsidRDefault="008F7328">
            <w:pPr>
              <w:widowControl/>
              <w:jc w:val="left"/>
              <w:rPr>
                <w:szCs w:val="21"/>
              </w:rPr>
            </w:pPr>
            <w:r>
              <w:rPr>
                <w:kern w:val="0"/>
                <w:szCs w:val="21"/>
              </w:rPr>
              <w:t>——</w:t>
            </w:r>
            <w:r>
              <w:rPr>
                <w:rFonts w:hint="eastAsia"/>
                <w:kern w:val="0"/>
                <w:szCs w:val="21"/>
              </w:rPr>
              <w:t>股票投资</w:t>
            </w:r>
          </w:p>
        </w:tc>
        <w:tc>
          <w:tcPr>
            <w:tcW w:w="5528" w:type="dxa"/>
            <w:vAlign w:val="center"/>
            <w:hideMark/>
          </w:tcPr>
          <w:p w:rsidR="008F7328" w:rsidRDefault="008F7328">
            <w:pPr>
              <w:jc w:val="right"/>
              <w:rPr>
                <w:szCs w:val="21"/>
              </w:rPr>
            </w:pPr>
            <w:r>
              <w:rPr>
                <w:szCs w:val="21"/>
              </w:rPr>
              <w:t>-1,808,928.90</w:t>
            </w:r>
          </w:p>
        </w:tc>
      </w:tr>
      <w:tr w:rsidR="008F7328" w:rsidTr="00AD6EE3">
        <w:trPr>
          <w:trHeight w:val="285"/>
        </w:trPr>
        <w:tc>
          <w:tcPr>
            <w:tcW w:w="3794" w:type="dxa"/>
            <w:vAlign w:val="center"/>
            <w:hideMark/>
          </w:tcPr>
          <w:p w:rsidR="008F7328" w:rsidRDefault="008F7328">
            <w:pPr>
              <w:widowControl/>
              <w:jc w:val="left"/>
              <w:rPr>
                <w:szCs w:val="21"/>
              </w:rPr>
            </w:pPr>
            <w:r>
              <w:rPr>
                <w:kern w:val="0"/>
                <w:szCs w:val="21"/>
              </w:rPr>
              <w:t>——</w:t>
            </w:r>
            <w:r>
              <w:rPr>
                <w:rFonts w:hint="eastAsia"/>
                <w:kern w:val="0"/>
                <w:szCs w:val="21"/>
              </w:rPr>
              <w:t>债券投资</w:t>
            </w:r>
          </w:p>
        </w:tc>
        <w:tc>
          <w:tcPr>
            <w:tcW w:w="5528" w:type="dxa"/>
            <w:vAlign w:val="center"/>
            <w:hideMark/>
          </w:tcPr>
          <w:p w:rsidR="008F7328" w:rsidRDefault="008F7328">
            <w:pPr>
              <w:jc w:val="right"/>
              <w:rPr>
                <w:szCs w:val="21"/>
              </w:rPr>
            </w:pPr>
            <w:r>
              <w:rPr>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F7328" w:rsidRDefault="008F7328">
            <w:pPr>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F7328" w:rsidRDefault="008F7328">
            <w:pPr>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F7328" w:rsidRDefault="008F7328">
            <w:pPr>
              <w:widowControl/>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F7328" w:rsidRDefault="008F7328">
            <w:pPr>
              <w:widowControl/>
              <w:jc w:val="right"/>
              <w:rPr>
                <w:kern w:val="0"/>
                <w:szCs w:val="21"/>
              </w:rPr>
            </w:pPr>
            <w:r>
              <w:rPr>
                <w:rFonts w:eastAsiaTheme="minorEastAsia"/>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F7328" w:rsidRDefault="008F7328">
            <w:pPr>
              <w:jc w:val="right"/>
              <w:rPr>
                <w:kern w:val="0"/>
                <w:szCs w:val="21"/>
              </w:rPr>
            </w:pPr>
            <w:r>
              <w:rPr>
                <w:kern w:val="0"/>
                <w:szCs w:val="21"/>
              </w:rPr>
              <w:t>-</w:t>
            </w:r>
          </w:p>
        </w:tc>
      </w:tr>
      <w:tr w:rsidR="008F7328" w:rsidTr="00AD6EE3">
        <w:trPr>
          <w:trHeight w:val="285"/>
        </w:trPr>
        <w:tc>
          <w:tcPr>
            <w:tcW w:w="3794" w:type="dxa"/>
            <w:vAlign w:val="center"/>
            <w:hideMark/>
          </w:tcPr>
          <w:p w:rsidR="008F7328" w:rsidRDefault="008F7328">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F7328" w:rsidRDefault="008F7328">
            <w:pPr>
              <w:jc w:val="right"/>
              <w:rPr>
                <w:kern w:val="0"/>
                <w:szCs w:val="21"/>
              </w:rPr>
            </w:pPr>
            <w:r>
              <w:rPr>
                <w:kern w:val="0"/>
                <w:szCs w:val="21"/>
              </w:rPr>
              <w:t>-</w:t>
            </w:r>
          </w:p>
        </w:tc>
      </w:tr>
      <w:tr w:rsidR="00BB5C1E">
        <w:tc>
          <w:tcPr>
            <w:tcW w:w="3794" w:type="dxa"/>
            <w:vAlign w:val="center"/>
          </w:tcPr>
          <w:p w:rsidR="00BB5C1E" w:rsidRDefault="00AF434F">
            <w:pPr>
              <w:jc w:val="left"/>
            </w:pPr>
            <w:r>
              <w:rPr>
                <w:kern w:val="0"/>
                <w:szCs w:val="21"/>
              </w:rPr>
              <w:t>——</w:t>
            </w:r>
            <w:r>
              <w:rPr>
                <w:kern w:val="0"/>
                <w:szCs w:val="21"/>
              </w:rPr>
              <w:t>期货投资</w:t>
            </w:r>
          </w:p>
        </w:tc>
        <w:tc>
          <w:tcPr>
            <w:tcW w:w="5529" w:type="dxa"/>
            <w:vAlign w:val="center"/>
          </w:tcPr>
          <w:p w:rsidR="00BB5C1E" w:rsidRDefault="00AF434F">
            <w:pPr>
              <w:jc w:val="right"/>
            </w:pPr>
            <w:r>
              <w:rPr>
                <w:kern w:val="0"/>
                <w:szCs w:val="21"/>
              </w:rPr>
              <w:t>-</w:t>
            </w:r>
          </w:p>
        </w:tc>
      </w:tr>
      <w:tr w:rsidR="00BB5C1E">
        <w:tc>
          <w:tcPr>
            <w:tcW w:w="3794" w:type="dxa"/>
            <w:vAlign w:val="center"/>
          </w:tcPr>
          <w:p w:rsidR="00BB5C1E" w:rsidRDefault="00AF434F">
            <w:pPr>
              <w:jc w:val="left"/>
            </w:pPr>
            <w:r>
              <w:rPr>
                <w:kern w:val="0"/>
                <w:szCs w:val="21"/>
              </w:rPr>
              <w:t>——</w:t>
            </w:r>
            <w:r>
              <w:rPr>
                <w:kern w:val="0"/>
                <w:szCs w:val="21"/>
              </w:rPr>
              <w:t>期权投资</w:t>
            </w:r>
          </w:p>
        </w:tc>
        <w:tc>
          <w:tcPr>
            <w:tcW w:w="5529" w:type="dxa"/>
            <w:vAlign w:val="center"/>
          </w:tcPr>
          <w:p w:rsidR="00BB5C1E" w:rsidRDefault="00AF434F">
            <w:pPr>
              <w:jc w:val="right"/>
            </w:pPr>
            <w:r>
              <w:rPr>
                <w:kern w:val="0"/>
                <w:szCs w:val="21"/>
              </w:rPr>
              <w:t>-</w:t>
            </w:r>
          </w:p>
        </w:tc>
      </w:tr>
      <w:tr w:rsidR="008F7328" w:rsidTr="00AD6EE3">
        <w:trPr>
          <w:trHeight w:val="285"/>
        </w:trPr>
        <w:tc>
          <w:tcPr>
            <w:tcW w:w="3794" w:type="dxa"/>
            <w:vAlign w:val="center"/>
            <w:hideMark/>
          </w:tcPr>
          <w:p w:rsidR="008F7328" w:rsidRDefault="008F7328">
            <w:pPr>
              <w:widowControl/>
              <w:rPr>
                <w:szCs w:val="21"/>
              </w:rPr>
            </w:pPr>
            <w:r>
              <w:rPr>
                <w:kern w:val="0"/>
                <w:szCs w:val="21"/>
              </w:rPr>
              <w:t>3.</w:t>
            </w:r>
            <w:r>
              <w:rPr>
                <w:rFonts w:hint="eastAsia"/>
                <w:kern w:val="0"/>
                <w:szCs w:val="21"/>
              </w:rPr>
              <w:t>其他</w:t>
            </w:r>
          </w:p>
        </w:tc>
        <w:tc>
          <w:tcPr>
            <w:tcW w:w="5528" w:type="dxa"/>
            <w:vAlign w:val="center"/>
            <w:hideMark/>
          </w:tcPr>
          <w:p w:rsidR="008F7328" w:rsidRDefault="008F7328">
            <w:pPr>
              <w:jc w:val="right"/>
              <w:rPr>
                <w:szCs w:val="21"/>
              </w:rPr>
            </w:pPr>
            <w:r>
              <w:rPr>
                <w:szCs w:val="21"/>
              </w:rPr>
              <w:t>-</w:t>
            </w:r>
          </w:p>
        </w:tc>
      </w:tr>
      <w:tr w:rsidR="008F7328" w:rsidTr="00AD6EE3">
        <w:trPr>
          <w:trHeight w:val="285"/>
        </w:trPr>
        <w:tc>
          <w:tcPr>
            <w:tcW w:w="3794" w:type="dxa"/>
            <w:vAlign w:val="center"/>
            <w:hideMark/>
          </w:tcPr>
          <w:p w:rsidR="008F7328" w:rsidRDefault="008F7328">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F7328" w:rsidRDefault="008F7328">
            <w:pPr>
              <w:jc w:val="right"/>
              <w:rPr>
                <w:rFonts w:eastAsiaTheme="minorEastAsia"/>
                <w:szCs w:val="21"/>
              </w:rPr>
            </w:pPr>
            <w:r>
              <w:rPr>
                <w:rFonts w:eastAsiaTheme="minorEastAsia"/>
                <w:szCs w:val="21"/>
              </w:rPr>
              <w:t>-</w:t>
            </w:r>
          </w:p>
        </w:tc>
      </w:tr>
      <w:tr w:rsidR="008F7328" w:rsidTr="00AD6EE3">
        <w:trPr>
          <w:trHeight w:val="285"/>
        </w:trPr>
        <w:tc>
          <w:tcPr>
            <w:tcW w:w="3794" w:type="dxa"/>
            <w:vAlign w:val="center"/>
            <w:hideMark/>
          </w:tcPr>
          <w:p w:rsidR="008F7328" w:rsidRDefault="008F7328">
            <w:pPr>
              <w:widowControl/>
              <w:rPr>
                <w:szCs w:val="21"/>
              </w:rPr>
            </w:pPr>
            <w:r>
              <w:rPr>
                <w:rFonts w:hint="eastAsia"/>
                <w:kern w:val="0"/>
                <w:szCs w:val="21"/>
              </w:rPr>
              <w:t>合计</w:t>
            </w:r>
          </w:p>
        </w:tc>
        <w:tc>
          <w:tcPr>
            <w:tcW w:w="5528" w:type="dxa"/>
            <w:vAlign w:val="center"/>
            <w:hideMark/>
          </w:tcPr>
          <w:p w:rsidR="008F7328" w:rsidRDefault="008F7328">
            <w:pPr>
              <w:jc w:val="right"/>
              <w:rPr>
                <w:szCs w:val="21"/>
              </w:rPr>
            </w:pPr>
            <w:r>
              <w:rPr>
                <w:szCs w:val="21"/>
              </w:rPr>
              <w:t>-1,808,928.90</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6.4.7.18</w:t>
      </w:r>
      <w:r w:rsidRPr="00C24ACA">
        <w:rPr>
          <w:rFonts w:eastAsiaTheme="minorEastAsia"/>
          <w:b/>
          <w:color w:val="000000"/>
          <w:szCs w:val="21"/>
        </w:rPr>
        <w:t>其他收入</w:t>
      </w:r>
    </w:p>
    <w:p w:rsidR="008A5A5D" w:rsidRPr="00C24ACA" w:rsidRDefault="008A5A5D" w:rsidP="003955D3">
      <w:pPr>
        <w:tabs>
          <w:tab w:val="left" w:pos="7200"/>
          <w:tab w:val="left" w:pos="8280"/>
        </w:tabs>
        <w:ind w:rightChars="-52" w:right="-109"/>
        <w:jc w:val="right"/>
        <w:rPr>
          <w:rFonts w:eastAsiaTheme="minorEastAsia"/>
          <w:szCs w:val="21"/>
          <w:lang w:val="en-AU"/>
        </w:rPr>
      </w:pPr>
      <w:r w:rsidRPr="00C24ACA">
        <w:rPr>
          <w:rFonts w:eastAsiaTheme="minorEastAsia"/>
          <w:color w:val="000000"/>
          <w:szCs w:val="21"/>
        </w:rPr>
        <w:t>单位：人民币元</w:t>
      </w:r>
    </w:p>
    <w:tbl>
      <w:tblPr>
        <w:tblW w:w="90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8A5A5D" w:rsidRPr="00C24ACA" w:rsidTr="00862636">
        <w:trPr>
          <w:trHeight w:val="255"/>
        </w:trPr>
        <w:tc>
          <w:tcPr>
            <w:tcW w:w="3833"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242"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基金赎回费收入</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32,974.08</w:t>
            </w:r>
          </w:p>
        </w:tc>
      </w:tr>
      <w:tr w:rsidR="00BB5C1E">
        <w:tc>
          <w:tcPr>
            <w:tcW w:w="3833" w:type="dxa"/>
            <w:vAlign w:val="center"/>
          </w:tcPr>
          <w:p w:rsidR="00BB5C1E" w:rsidRDefault="00AF434F">
            <w:pPr>
              <w:jc w:val="left"/>
            </w:pPr>
            <w:r>
              <w:rPr>
                <w:rFonts w:eastAsiaTheme="minorEastAsia"/>
                <w:szCs w:val="21"/>
              </w:rPr>
              <w:t>其他</w:t>
            </w:r>
          </w:p>
        </w:tc>
        <w:tc>
          <w:tcPr>
            <w:tcW w:w="5242" w:type="dxa"/>
            <w:vAlign w:val="center"/>
          </w:tcPr>
          <w:p w:rsidR="00BB5C1E" w:rsidRDefault="00AF434F">
            <w:pPr>
              <w:jc w:val="right"/>
            </w:pPr>
            <w:r>
              <w:rPr>
                <w:rFonts w:eastAsiaTheme="minorEastAsia"/>
                <w:szCs w:val="21"/>
              </w:rPr>
              <w:t>-</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32,974.08</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6.4.7.19</w:t>
      </w:r>
      <w:r w:rsidRPr="00C24ACA">
        <w:rPr>
          <w:rFonts w:eastAsiaTheme="minorEastAsia"/>
          <w:b/>
          <w:color w:val="000000"/>
          <w:szCs w:val="21"/>
        </w:rPr>
        <w:t>交易费用</w:t>
      </w:r>
    </w:p>
    <w:p w:rsidR="004D679F" w:rsidRDefault="004D679F" w:rsidP="004D679F">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7"/>
        <w:gridCol w:w="5249"/>
      </w:tblGrid>
      <w:tr w:rsidR="004D679F" w:rsidTr="00AD6EE3">
        <w:trPr>
          <w:trHeight w:val="285"/>
        </w:trPr>
        <w:tc>
          <w:tcPr>
            <w:tcW w:w="3827"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9"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4D679F" w:rsidRDefault="004D679F" w:rsidP="00F0322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30,457.99</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BB5C1E">
        <w:tc>
          <w:tcPr>
            <w:tcW w:w="3827" w:type="dxa"/>
            <w:vAlign w:val="center"/>
          </w:tcPr>
          <w:p w:rsidR="00BB5C1E" w:rsidRDefault="00AF434F">
            <w:pPr>
              <w:jc w:val="center"/>
            </w:pPr>
            <w:r>
              <w:rPr>
                <w:rFonts w:eastAsiaTheme="minorEastAsia"/>
                <w:color w:val="000000" w:themeColor="text1"/>
                <w:kern w:val="0"/>
                <w:szCs w:val="21"/>
              </w:rPr>
              <w:t>其他</w:t>
            </w:r>
          </w:p>
        </w:tc>
        <w:tc>
          <w:tcPr>
            <w:tcW w:w="5249" w:type="dxa"/>
            <w:vAlign w:val="center"/>
          </w:tcPr>
          <w:p w:rsidR="00BB5C1E" w:rsidRDefault="00AF434F">
            <w:pPr>
              <w:jc w:val="right"/>
            </w:pPr>
            <w:r>
              <w:rPr>
                <w:rFonts w:eastAsiaTheme="minorEastAsia"/>
                <w:color w:val="000000" w:themeColor="text1"/>
                <w:kern w:val="0"/>
                <w:szCs w:val="21"/>
              </w:rPr>
              <w:t>-</w:t>
            </w:r>
          </w:p>
        </w:tc>
      </w:tr>
      <w:tr w:rsidR="004D679F" w:rsidTr="00AD6EE3">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30,457.99</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6.4.7.20</w:t>
      </w:r>
      <w:r w:rsidRPr="00C24ACA">
        <w:rPr>
          <w:rFonts w:eastAsiaTheme="minorEastAsia"/>
          <w:b/>
          <w:color w:val="000000"/>
          <w:szCs w:val="21"/>
        </w:rPr>
        <w:t>其他费用</w:t>
      </w:r>
    </w:p>
    <w:p w:rsidR="008A5A5D" w:rsidRPr="00C24ACA" w:rsidRDefault="008A5A5D" w:rsidP="003955D3">
      <w:pPr>
        <w:tabs>
          <w:tab w:val="left" w:pos="7200"/>
          <w:tab w:val="left" w:pos="8280"/>
          <w:tab w:val="left" w:pos="9000"/>
        </w:tabs>
        <w:ind w:rightChars="-52" w:right="-109"/>
        <w:jc w:val="right"/>
        <w:rPr>
          <w:rFonts w:eastAsiaTheme="minorEastAsia"/>
          <w:bCs/>
          <w:szCs w:val="21"/>
        </w:rPr>
      </w:pPr>
      <w:r w:rsidRPr="00C24ACA">
        <w:rPr>
          <w:rFonts w:eastAsiaTheme="minorEastAsia"/>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8A5A5D" w:rsidRPr="00C24ACA" w:rsidTr="00862636">
        <w:tc>
          <w:tcPr>
            <w:tcW w:w="3936"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50"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审计费用</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14,918.54</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信息披露费</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39,781.56</w:t>
            </w:r>
          </w:p>
        </w:tc>
      </w:tr>
      <w:tr w:rsidR="00BB5C1E">
        <w:tc>
          <w:tcPr>
            <w:tcW w:w="3936" w:type="dxa"/>
            <w:vAlign w:val="center"/>
          </w:tcPr>
          <w:p w:rsidR="00BB5C1E" w:rsidRDefault="00AF434F">
            <w:pPr>
              <w:jc w:val="left"/>
            </w:pPr>
            <w:r>
              <w:rPr>
                <w:rFonts w:eastAsiaTheme="minorEastAsia"/>
                <w:szCs w:val="21"/>
              </w:rPr>
              <w:t>银行汇划费</w:t>
            </w:r>
          </w:p>
        </w:tc>
        <w:tc>
          <w:tcPr>
            <w:tcW w:w="5350" w:type="dxa"/>
            <w:vAlign w:val="center"/>
          </w:tcPr>
          <w:p w:rsidR="00BB5C1E" w:rsidRDefault="00AF434F">
            <w:pPr>
              <w:jc w:val="right"/>
            </w:pPr>
            <w:r>
              <w:rPr>
                <w:rFonts w:eastAsiaTheme="minorEastAsia"/>
                <w:szCs w:val="21"/>
              </w:rPr>
              <w:t>9,105.78</w:t>
            </w:r>
          </w:p>
        </w:tc>
      </w:tr>
      <w:tr w:rsidR="00BB5C1E">
        <w:tc>
          <w:tcPr>
            <w:tcW w:w="3936" w:type="dxa"/>
            <w:vAlign w:val="center"/>
          </w:tcPr>
          <w:p w:rsidR="00BB5C1E" w:rsidRDefault="00AF434F">
            <w:pPr>
              <w:jc w:val="left"/>
            </w:pPr>
            <w:r>
              <w:rPr>
                <w:rFonts w:eastAsiaTheme="minorEastAsia"/>
                <w:szCs w:val="21"/>
              </w:rPr>
              <w:t>指数使用费</w:t>
            </w:r>
          </w:p>
        </w:tc>
        <w:tc>
          <w:tcPr>
            <w:tcW w:w="5350" w:type="dxa"/>
            <w:vAlign w:val="center"/>
          </w:tcPr>
          <w:p w:rsidR="00BB5C1E" w:rsidRDefault="00AF434F">
            <w:pPr>
              <w:jc w:val="right"/>
            </w:pPr>
            <w:r>
              <w:rPr>
                <w:rFonts w:eastAsiaTheme="minorEastAsia"/>
                <w:szCs w:val="21"/>
              </w:rPr>
              <w:t>104,071.24</w:t>
            </w:r>
          </w:p>
        </w:tc>
      </w:tr>
      <w:tr w:rsidR="00BB5C1E">
        <w:tc>
          <w:tcPr>
            <w:tcW w:w="3936" w:type="dxa"/>
            <w:vAlign w:val="center"/>
          </w:tcPr>
          <w:p w:rsidR="00BB5C1E" w:rsidRDefault="00AF434F">
            <w:pPr>
              <w:jc w:val="left"/>
            </w:pPr>
            <w:r>
              <w:rPr>
                <w:rFonts w:eastAsiaTheme="minorEastAsia"/>
                <w:szCs w:val="21"/>
              </w:rPr>
              <w:t>指数数据费</w:t>
            </w:r>
          </w:p>
        </w:tc>
        <w:tc>
          <w:tcPr>
            <w:tcW w:w="5350" w:type="dxa"/>
            <w:vAlign w:val="center"/>
          </w:tcPr>
          <w:p w:rsidR="00BB5C1E" w:rsidRDefault="00AF434F">
            <w:pPr>
              <w:jc w:val="right"/>
            </w:pPr>
            <w:r>
              <w:rPr>
                <w:rFonts w:eastAsiaTheme="minorEastAsia"/>
                <w:szCs w:val="21"/>
              </w:rPr>
              <w:t>55,504.54</w:t>
            </w:r>
          </w:p>
        </w:tc>
      </w:tr>
      <w:tr w:rsidR="00BB5C1E">
        <w:tc>
          <w:tcPr>
            <w:tcW w:w="3936" w:type="dxa"/>
            <w:vAlign w:val="center"/>
          </w:tcPr>
          <w:p w:rsidR="00BB5C1E" w:rsidRDefault="00AF434F">
            <w:pPr>
              <w:jc w:val="left"/>
            </w:pPr>
            <w:r>
              <w:rPr>
                <w:rFonts w:eastAsiaTheme="minorEastAsia"/>
                <w:szCs w:val="21"/>
              </w:rPr>
              <w:t>其他</w:t>
            </w:r>
          </w:p>
        </w:tc>
        <w:tc>
          <w:tcPr>
            <w:tcW w:w="5350" w:type="dxa"/>
            <w:vAlign w:val="center"/>
          </w:tcPr>
          <w:p w:rsidR="00BB5C1E" w:rsidRDefault="00AF434F">
            <w:pPr>
              <w:jc w:val="right"/>
            </w:pPr>
            <w:r>
              <w:rPr>
                <w:rFonts w:eastAsiaTheme="minorEastAsia"/>
                <w:szCs w:val="21"/>
              </w:rPr>
              <w:t>2,286.88</w:t>
            </w:r>
          </w:p>
        </w:tc>
      </w:tr>
      <w:tr w:rsidR="008A5A5D" w:rsidRPr="00C24ACA" w:rsidTr="00862636">
        <w:tc>
          <w:tcPr>
            <w:tcW w:w="3936"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225,668.54</w:t>
            </w:r>
          </w:p>
        </w:tc>
      </w:tr>
    </w:tbl>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6.4.8 </w:t>
      </w:r>
      <w:r w:rsidRPr="00C24ACA">
        <w:rPr>
          <w:rFonts w:eastAsiaTheme="minorEastAsia"/>
          <w:b/>
          <w:color w:val="000000"/>
          <w:kern w:val="0"/>
          <w:szCs w:val="21"/>
        </w:rPr>
        <w:t>或有事项、资产负债表日后事项的说明</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6.4.8.1</w:t>
      </w:r>
      <w:r w:rsidRPr="00C24ACA">
        <w:rPr>
          <w:rFonts w:eastAsiaTheme="minorEastAsia"/>
          <w:b/>
          <w:color w:val="000000"/>
          <w:kern w:val="0"/>
          <w:szCs w:val="21"/>
        </w:rPr>
        <w:t xml:space="preserve"> </w:t>
      </w:r>
      <w:r w:rsidRPr="00C24ACA">
        <w:rPr>
          <w:rFonts w:eastAsiaTheme="minorEastAsia"/>
          <w:b/>
          <w:color w:val="000000"/>
          <w:kern w:val="0"/>
          <w:szCs w:val="21"/>
        </w:rPr>
        <w:t>或有事项</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截至资产负债表日，本基金无须作披露的或有事项。</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6.4.8.2</w:t>
      </w:r>
      <w:r w:rsidRPr="00C24ACA">
        <w:rPr>
          <w:rFonts w:eastAsiaTheme="minorEastAsia"/>
          <w:b/>
          <w:color w:val="000000"/>
          <w:kern w:val="0"/>
          <w:szCs w:val="21"/>
        </w:rPr>
        <w:t xml:space="preserve"> </w:t>
      </w:r>
      <w:r w:rsidRPr="00C24ACA">
        <w:rPr>
          <w:rFonts w:eastAsiaTheme="minorEastAsia"/>
          <w:b/>
          <w:color w:val="000000"/>
          <w:kern w:val="0"/>
          <w:szCs w:val="21"/>
        </w:rPr>
        <w:t>资产负债表日后事项</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截至本会计报表批准报出日，本基金无须作披露的资产负债表日后事项。</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6.4.9</w:t>
      </w:r>
      <w:r w:rsidRPr="00C24ACA">
        <w:rPr>
          <w:rFonts w:eastAsiaTheme="minorEastAsia"/>
          <w:b/>
          <w:color w:val="000000"/>
          <w:kern w:val="0"/>
          <w:szCs w:val="21"/>
        </w:rPr>
        <w:t>关联方关系</w:t>
      </w:r>
    </w:p>
    <w:p w:rsidR="008A5A5D" w:rsidRPr="00C24ACA" w:rsidRDefault="008A5A5D" w:rsidP="009967D7">
      <w:pPr>
        <w:spacing w:line="360" w:lineRule="auto"/>
        <w:rPr>
          <w:rFonts w:eastAsiaTheme="minorEastAsia"/>
          <w:b/>
          <w:kern w:val="0"/>
          <w:szCs w:val="21"/>
        </w:rPr>
      </w:pPr>
      <w:r w:rsidRPr="00C24ACA">
        <w:rPr>
          <w:rFonts w:eastAsiaTheme="minorEastAsia"/>
          <w:b/>
          <w:bCs/>
          <w:color w:val="000000"/>
          <w:kern w:val="0"/>
          <w:szCs w:val="21"/>
        </w:rPr>
        <w:t>6.4.9.1</w:t>
      </w:r>
      <w:r w:rsidRPr="00C24ACA">
        <w:rPr>
          <w:rFonts w:eastAsiaTheme="minorEastAsia"/>
          <w:b/>
          <w:kern w:val="0"/>
          <w:szCs w:val="21"/>
        </w:rPr>
        <w:t xml:space="preserve"> </w:t>
      </w:r>
      <w:r w:rsidRPr="00C24ACA">
        <w:rPr>
          <w:rFonts w:eastAsiaTheme="minorEastAsia"/>
          <w:b/>
          <w:kern w:val="0"/>
          <w:szCs w:val="21"/>
        </w:rPr>
        <w:t>本报告期存在控制关系或其他重大利害关系的关联方发生变化的情况</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本报告期内存在控制关系或其他重大利害关系的关联方未发生变化。</w:t>
      </w:r>
    </w:p>
    <w:p w:rsidR="008A5A5D" w:rsidRPr="00C24ACA" w:rsidRDefault="008A5A5D" w:rsidP="00732F5C">
      <w:pPr>
        <w:spacing w:beforeLines="100" w:before="312" w:line="360" w:lineRule="auto"/>
        <w:rPr>
          <w:rFonts w:eastAsiaTheme="minorEastAsia"/>
          <w:b/>
          <w:kern w:val="0"/>
          <w:szCs w:val="21"/>
        </w:rPr>
      </w:pPr>
      <w:r w:rsidRPr="00C24ACA">
        <w:rPr>
          <w:rFonts w:eastAsiaTheme="minorEastAsia"/>
          <w:b/>
          <w:bCs/>
          <w:color w:val="000000"/>
          <w:kern w:val="0"/>
          <w:szCs w:val="21"/>
        </w:rPr>
        <w:t>6.4.9.2</w:t>
      </w:r>
      <w:r w:rsidRPr="00C24ACA">
        <w:rPr>
          <w:rFonts w:eastAsiaTheme="minor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8A5A5D" w:rsidRPr="00C24ACA" w:rsidTr="004A4847">
        <w:tc>
          <w:tcPr>
            <w:tcW w:w="522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关联方名称</w:t>
            </w:r>
          </w:p>
        </w:tc>
        <w:tc>
          <w:tcPr>
            <w:tcW w:w="378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与本基金的关系</w:t>
            </w:r>
          </w:p>
        </w:tc>
      </w:tr>
      <w:tr w:rsidR="00BB5C1E">
        <w:tc>
          <w:tcPr>
            <w:tcW w:w="5220" w:type="dxa"/>
            <w:vAlign w:val="center"/>
          </w:tcPr>
          <w:p w:rsidR="00BB5C1E" w:rsidRDefault="00AF434F">
            <w:pPr>
              <w:jc w:val="left"/>
            </w:pPr>
            <w:r>
              <w:rPr>
                <w:rFonts w:eastAsiaTheme="minorEastAsia"/>
                <w:color w:val="000000"/>
                <w:szCs w:val="21"/>
              </w:rPr>
              <w:t>易方达基金管理有限公司</w:t>
            </w:r>
          </w:p>
        </w:tc>
        <w:tc>
          <w:tcPr>
            <w:tcW w:w="3780" w:type="dxa"/>
            <w:vAlign w:val="center"/>
          </w:tcPr>
          <w:p w:rsidR="00BB5C1E" w:rsidRDefault="00AF434F">
            <w:pPr>
              <w:jc w:val="left"/>
            </w:pPr>
            <w:r>
              <w:rPr>
                <w:rFonts w:eastAsiaTheme="minorEastAsia"/>
                <w:color w:val="000000"/>
                <w:szCs w:val="21"/>
              </w:rPr>
              <w:t>基金管理人、注册登记机构、基金销售机构</w:t>
            </w:r>
          </w:p>
        </w:tc>
      </w:tr>
      <w:tr w:rsidR="00BB5C1E">
        <w:tc>
          <w:tcPr>
            <w:tcW w:w="5220" w:type="dxa"/>
            <w:vAlign w:val="center"/>
          </w:tcPr>
          <w:p w:rsidR="00BB5C1E" w:rsidRDefault="00AF434F">
            <w:pPr>
              <w:jc w:val="left"/>
            </w:pPr>
            <w:r>
              <w:rPr>
                <w:rFonts w:eastAsiaTheme="minorEastAsia"/>
                <w:color w:val="000000"/>
                <w:szCs w:val="21"/>
              </w:rPr>
              <w:t>中国银行股份有限公司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中国银行</w:t>
            </w:r>
            <w:r>
              <w:rPr>
                <w:rFonts w:eastAsiaTheme="minorEastAsia"/>
                <w:color w:val="000000"/>
                <w:szCs w:val="21"/>
              </w:rPr>
              <w:t>”)</w:t>
            </w:r>
          </w:p>
        </w:tc>
        <w:tc>
          <w:tcPr>
            <w:tcW w:w="3780" w:type="dxa"/>
            <w:vAlign w:val="center"/>
          </w:tcPr>
          <w:p w:rsidR="00BB5C1E" w:rsidRDefault="00AF434F">
            <w:pPr>
              <w:jc w:val="left"/>
            </w:pPr>
            <w:r>
              <w:rPr>
                <w:rFonts w:eastAsiaTheme="minorEastAsia"/>
                <w:color w:val="000000"/>
                <w:szCs w:val="21"/>
              </w:rPr>
              <w:t>基金托管人、基金销售机构</w:t>
            </w:r>
          </w:p>
        </w:tc>
      </w:tr>
      <w:tr w:rsidR="00BB5C1E">
        <w:tc>
          <w:tcPr>
            <w:tcW w:w="5220" w:type="dxa"/>
            <w:vAlign w:val="center"/>
          </w:tcPr>
          <w:p w:rsidR="00BB5C1E" w:rsidRDefault="00AF434F">
            <w:pPr>
              <w:jc w:val="left"/>
            </w:pPr>
            <w:r>
              <w:rPr>
                <w:rFonts w:eastAsiaTheme="minorEastAsia"/>
                <w:color w:val="000000"/>
                <w:szCs w:val="21"/>
              </w:rPr>
              <w:t>中国银行</w:t>
            </w:r>
            <w:r>
              <w:rPr>
                <w:rFonts w:eastAsiaTheme="minorEastAsia"/>
                <w:color w:val="000000"/>
                <w:szCs w:val="21"/>
              </w:rPr>
              <w:t>(</w:t>
            </w:r>
            <w:r>
              <w:rPr>
                <w:rFonts w:eastAsiaTheme="minorEastAsia"/>
                <w:color w:val="000000"/>
                <w:szCs w:val="21"/>
              </w:rPr>
              <w:t>香港</w:t>
            </w:r>
            <w:r>
              <w:rPr>
                <w:rFonts w:eastAsiaTheme="minorEastAsia"/>
                <w:color w:val="000000"/>
                <w:szCs w:val="21"/>
              </w:rPr>
              <w:t>)</w:t>
            </w:r>
            <w:r>
              <w:rPr>
                <w:rFonts w:eastAsiaTheme="minorEastAsia"/>
                <w:color w:val="000000"/>
                <w:szCs w:val="21"/>
              </w:rPr>
              <w:t>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中国银行</w:t>
            </w:r>
            <w:r>
              <w:rPr>
                <w:rFonts w:eastAsiaTheme="minorEastAsia"/>
                <w:color w:val="000000"/>
                <w:szCs w:val="21"/>
              </w:rPr>
              <w:t>(</w:t>
            </w:r>
            <w:r>
              <w:rPr>
                <w:rFonts w:eastAsiaTheme="minorEastAsia"/>
                <w:color w:val="000000"/>
                <w:szCs w:val="21"/>
              </w:rPr>
              <w:t>香港</w:t>
            </w:r>
            <w:r>
              <w:rPr>
                <w:rFonts w:eastAsiaTheme="minorEastAsia"/>
                <w:color w:val="000000"/>
                <w:szCs w:val="21"/>
              </w:rPr>
              <w:t>)”)</w:t>
            </w:r>
          </w:p>
        </w:tc>
        <w:tc>
          <w:tcPr>
            <w:tcW w:w="3780" w:type="dxa"/>
            <w:vAlign w:val="center"/>
          </w:tcPr>
          <w:p w:rsidR="00BB5C1E" w:rsidRDefault="00AF434F">
            <w:pPr>
              <w:jc w:val="left"/>
            </w:pPr>
            <w:r>
              <w:rPr>
                <w:rFonts w:eastAsiaTheme="minorEastAsia"/>
                <w:color w:val="000000"/>
                <w:szCs w:val="21"/>
              </w:rPr>
              <w:t>境外资产托管人</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注：以下关联交易均在正常业务范围内按一般商业条款订立。</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6.4.10 </w:t>
      </w:r>
      <w:r w:rsidRPr="00C24ACA">
        <w:rPr>
          <w:rFonts w:eastAsiaTheme="minorEastAsia"/>
          <w:b/>
          <w:color w:val="000000"/>
          <w:kern w:val="0"/>
          <w:szCs w:val="21"/>
        </w:rPr>
        <w:t>本报告期及上年度可比期间的关联方交易</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6.4.10.1</w:t>
      </w:r>
      <w:r w:rsidRPr="00C24ACA">
        <w:rPr>
          <w:rFonts w:eastAsiaTheme="minorEastAsia"/>
          <w:b/>
          <w:color w:val="000000"/>
          <w:kern w:val="0"/>
          <w:szCs w:val="21"/>
        </w:rPr>
        <w:t xml:space="preserve"> </w:t>
      </w:r>
      <w:r w:rsidRPr="00C24ACA">
        <w:rPr>
          <w:rFonts w:eastAsiaTheme="minorEastAsia"/>
          <w:b/>
          <w:color w:val="000000"/>
          <w:kern w:val="0"/>
          <w:szCs w:val="21"/>
        </w:rPr>
        <w:t>通过关联方交易单元进行的交易</w:t>
      </w:r>
    </w:p>
    <w:p w:rsidR="008A5A5D" w:rsidRPr="00C24ACA" w:rsidRDefault="008A5A5D" w:rsidP="009967D7">
      <w:pPr>
        <w:spacing w:line="360" w:lineRule="auto"/>
        <w:rPr>
          <w:rFonts w:eastAsiaTheme="minorEastAsia"/>
          <w:color w:val="000000"/>
          <w:szCs w:val="21"/>
        </w:rPr>
      </w:pPr>
      <w:r w:rsidRPr="00C24ACA">
        <w:rPr>
          <w:rFonts w:eastAsiaTheme="minorEastAsia"/>
          <w:b/>
          <w:bCs/>
          <w:color w:val="000000"/>
          <w:kern w:val="0"/>
          <w:szCs w:val="21"/>
        </w:rPr>
        <w:t>6.4.10.1.1</w:t>
      </w:r>
      <w:r w:rsidRPr="00C24ACA">
        <w:rPr>
          <w:rFonts w:eastAsiaTheme="minorEastAsia"/>
          <w:b/>
          <w:color w:val="000000"/>
          <w:szCs w:val="21"/>
        </w:rPr>
        <w:t>股票交易</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本基金本报告期及上年度可比期间未发生通过关联方交易单元进行的股票交易。</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6.4.10.1.2</w:t>
      </w:r>
      <w:r w:rsidRPr="00C24ACA">
        <w:rPr>
          <w:rFonts w:eastAsiaTheme="minorEastAsia"/>
          <w:b/>
          <w:color w:val="000000"/>
          <w:szCs w:val="21"/>
        </w:rPr>
        <w:t>权证交易</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本基金本报告期及上年度可比期间未发生通过关联方交易单元进行的权证交易。</w:t>
      </w:r>
    </w:p>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6.4.10.1.3</w:t>
      </w:r>
      <w:r w:rsidRPr="00C24ACA">
        <w:rPr>
          <w:rFonts w:eastAsiaTheme="minorEastAsia"/>
          <w:b/>
          <w:color w:val="000000"/>
          <w:szCs w:val="21"/>
        </w:rPr>
        <w:t>应支付关联方的佣金</w:t>
      </w:r>
    </w:p>
    <w:p w:rsidR="008A5A5D" w:rsidRPr="00C24ACA" w:rsidRDefault="00A97A4E"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本基金本报告期及上年度可比期间无应支付关联方的佣金。</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w:t>
      </w:r>
      <w:r w:rsidRPr="00C24ACA">
        <w:rPr>
          <w:rFonts w:eastAsiaTheme="minorEastAsia"/>
          <w:b/>
          <w:color w:val="000000"/>
          <w:kern w:val="0"/>
          <w:szCs w:val="21"/>
        </w:rPr>
        <w:t>关联方报酬</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6.4.10.2.1</w:t>
      </w:r>
      <w:r w:rsidRPr="00C24ACA">
        <w:rPr>
          <w:rFonts w:eastAsiaTheme="minorEastAsia"/>
          <w:b/>
          <w:color w:val="000000"/>
          <w:kern w:val="0"/>
          <w:szCs w:val="21"/>
        </w:rPr>
        <w:t>基金管理费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2657"/>
        <w:gridCol w:w="2588"/>
      </w:tblGrid>
      <w:tr w:rsidR="00A97A4E" w:rsidRPr="00C24ACA" w:rsidTr="00A97A4E">
        <w:tc>
          <w:tcPr>
            <w:tcW w:w="3686" w:type="dxa"/>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657"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2588"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上年度可比期间</w:t>
            </w:r>
          </w:p>
          <w:p w:rsidR="00A97A4E" w:rsidRPr="00C24ACA" w:rsidRDefault="00A97A4E" w:rsidP="00A97A4E">
            <w:pPr>
              <w:widowControl/>
              <w:autoSpaceDE w:val="0"/>
              <w:autoSpaceDN w:val="0"/>
              <w:ind w:right="-15"/>
              <w:jc w:val="center"/>
              <w:textAlignment w:val="bottom"/>
              <w:rPr>
                <w:rFonts w:eastAsiaTheme="minorEastAsia"/>
                <w:color w:val="000000"/>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当期发生的基金应支付的管理费</w:t>
            </w:r>
          </w:p>
        </w:tc>
        <w:tc>
          <w:tcPr>
            <w:tcW w:w="2657" w:type="dxa"/>
            <w:vAlign w:val="center"/>
          </w:tcPr>
          <w:p w:rsidR="00A97A4E" w:rsidRPr="00C24ACA" w:rsidRDefault="00A97A4E" w:rsidP="00A97A4E">
            <w:pPr>
              <w:jc w:val="right"/>
              <w:rPr>
                <w:rFonts w:eastAsiaTheme="minorEastAsia"/>
                <w:szCs w:val="21"/>
              </w:rPr>
            </w:pPr>
            <w:r w:rsidRPr="00C24ACA">
              <w:rPr>
                <w:rFonts w:eastAsiaTheme="minorEastAsia"/>
                <w:szCs w:val="21"/>
              </w:rPr>
              <w:t>319,547.15</w:t>
            </w:r>
          </w:p>
        </w:tc>
        <w:tc>
          <w:tcPr>
            <w:tcW w:w="2588" w:type="dxa"/>
            <w:vAlign w:val="center"/>
          </w:tcPr>
          <w:p w:rsidR="00A97A4E" w:rsidRPr="00C24ACA" w:rsidRDefault="00A97A4E" w:rsidP="00A97A4E">
            <w:pPr>
              <w:jc w:val="right"/>
              <w:rPr>
                <w:rFonts w:eastAsiaTheme="minorEastAsia"/>
                <w:szCs w:val="21"/>
              </w:rPr>
            </w:pPr>
            <w:r w:rsidRPr="00C24ACA">
              <w:rPr>
                <w:rFonts w:eastAsiaTheme="minorEastAsia"/>
                <w:szCs w:val="21"/>
              </w:rPr>
              <w:t>354,765.68</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其中：支付销售机构的客户维护费</w:t>
            </w:r>
          </w:p>
        </w:tc>
        <w:tc>
          <w:tcPr>
            <w:tcW w:w="2657" w:type="dxa"/>
            <w:vAlign w:val="center"/>
          </w:tcPr>
          <w:p w:rsidR="00A97A4E" w:rsidRPr="00C24ACA" w:rsidRDefault="00A97A4E" w:rsidP="00A97A4E">
            <w:pPr>
              <w:jc w:val="right"/>
              <w:rPr>
                <w:rFonts w:eastAsiaTheme="minorEastAsia"/>
                <w:szCs w:val="21"/>
              </w:rPr>
            </w:pPr>
            <w:r w:rsidRPr="00C24ACA">
              <w:rPr>
                <w:rFonts w:eastAsiaTheme="minorEastAsia"/>
                <w:szCs w:val="21"/>
              </w:rPr>
              <w:t>112,658.09</w:t>
            </w:r>
          </w:p>
        </w:tc>
        <w:tc>
          <w:tcPr>
            <w:tcW w:w="2588" w:type="dxa"/>
            <w:vAlign w:val="center"/>
          </w:tcPr>
          <w:p w:rsidR="00A97A4E" w:rsidRPr="00C24ACA" w:rsidRDefault="00A97A4E" w:rsidP="00A97A4E">
            <w:pPr>
              <w:jc w:val="right"/>
              <w:rPr>
                <w:rFonts w:eastAsiaTheme="minorEastAsia"/>
                <w:szCs w:val="21"/>
              </w:rPr>
            </w:pPr>
            <w:r w:rsidRPr="00C24ACA">
              <w:rPr>
                <w:rFonts w:eastAsiaTheme="minorEastAsia"/>
                <w:szCs w:val="21"/>
              </w:rPr>
              <w:t>129,368.20</w:t>
            </w:r>
          </w:p>
        </w:tc>
      </w:tr>
    </w:tbl>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注：本基金的管理费按前一日基金资产净值的</w:t>
      </w:r>
      <w:r>
        <w:rPr>
          <w:rFonts w:eastAsiaTheme="minorEastAsia"/>
          <w:kern w:val="0"/>
          <w:szCs w:val="21"/>
        </w:rPr>
        <w:t>1.2%</w:t>
      </w:r>
      <w:r>
        <w:rPr>
          <w:rFonts w:eastAsiaTheme="minorEastAsia"/>
          <w:kern w:val="0"/>
          <w:szCs w:val="21"/>
        </w:rPr>
        <w:t>的年费率计提。计算方法如下：</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E×1.2%÷</w:t>
      </w:r>
      <w:r>
        <w:rPr>
          <w:rFonts w:eastAsiaTheme="minorEastAsia"/>
          <w:kern w:val="0"/>
          <w:szCs w:val="21"/>
        </w:rPr>
        <w:t>当年天数</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H </w:t>
      </w:r>
      <w:r>
        <w:rPr>
          <w:rFonts w:eastAsiaTheme="minorEastAsia"/>
          <w:kern w:val="0"/>
          <w:szCs w:val="21"/>
        </w:rPr>
        <w:t>为每日应计提的基金管理费</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E </w:t>
      </w:r>
      <w:r>
        <w:rPr>
          <w:rFonts w:eastAsiaTheme="minorEastAsia"/>
          <w:kern w:val="0"/>
          <w:szCs w:val="21"/>
        </w:rPr>
        <w:t>为前一日的基金资产净值</w:t>
      </w:r>
    </w:p>
    <w:p w:rsidR="00A97A4E" w:rsidRPr="00C24ACA" w:rsidRDefault="00A97A4E"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基金的管理费每日计算，逐日累计至每月月末，按月支付，由基金托管人于次月前</w:t>
      </w:r>
      <w:r w:rsidRPr="00C24ACA">
        <w:rPr>
          <w:rFonts w:eastAsiaTheme="minorEastAsia"/>
          <w:kern w:val="0"/>
          <w:szCs w:val="21"/>
        </w:rPr>
        <w:t>3</w:t>
      </w:r>
      <w:r w:rsidRPr="00C24ACA">
        <w:rPr>
          <w:rFonts w:eastAsiaTheme="minorEastAsia"/>
          <w:kern w:val="0"/>
          <w:szCs w:val="21"/>
        </w:rPr>
        <w:t>个工作日内从基金财产中一次性支付给基金管理人。</w:t>
      </w:r>
    </w:p>
    <w:p w:rsidR="008A5A5D" w:rsidRPr="00C24ACA" w:rsidRDefault="008A5A5D"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6.4.10.2.2</w:t>
      </w:r>
      <w:r w:rsidRPr="00C24ACA">
        <w:rPr>
          <w:rFonts w:eastAsiaTheme="minorEastAsia"/>
          <w:b/>
          <w:color w:val="000000"/>
          <w:kern w:val="0"/>
          <w:szCs w:val="21"/>
        </w:rPr>
        <w:t>基金托管费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2657"/>
        <w:gridCol w:w="2588"/>
      </w:tblGrid>
      <w:tr w:rsidR="00A97A4E" w:rsidRPr="00C24ACA" w:rsidTr="00A97A4E">
        <w:tc>
          <w:tcPr>
            <w:tcW w:w="3686" w:type="dxa"/>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657"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1</w:t>
            </w:r>
            <w:r w:rsidRPr="00C24ACA">
              <w:rPr>
                <w:rFonts w:eastAsiaTheme="minorEastAsia"/>
                <w:szCs w:val="21"/>
              </w:rPr>
              <w:t>月</w:t>
            </w:r>
            <w:r w:rsidRPr="00C24ACA">
              <w:rPr>
                <w:rFonts w:eastAsiaTheme="minorEastAsia"/>
                <w:szCs w:val="21"/>
              </w:rPr>
              <w:t>1</w:t>
            </w:r>
            <w:r w:rsidRPr="00C24ACA">
              <w:rPr>
                <w:rFonts w:eastAsiaTheme="minorEastAsia"/>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2588" w:type="dxa"/>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上年度可比期间</w:t>
            </w:r>
          </w:p>
          <w:p w:rsidR="00A97A4E" w:rsidRPr="00C24ACA" w:rsidRDefault="00A97A4E" w:rsidP="00A97A4E">
            <w:pPr>
              <w:widowControl/>
              <w:autoSpaceDE w:val="0"/>
              <w:autoSpaceDN w:val="0"/>
              <w:ind w:right="-15"/>
              <w:jc w:val="center"/>
              <w:textAlignment w:val="bottom"/>
              <w:rPr>
                <w:rFonts w:eastAsiaTheme="minorEastAsia"/>
                <w:color w:val="000000"/>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A97A4E" w:rsidRPr="00C24ACA" w:rsidTr="00A97A4E">
        <w:tc>
          <w:tcPr>
            <w:tcW w:w="3686" w:type="dxa"/>
            <w:vAlign w:val="center"/>
          </w:tcPr>
          <w:p w:rsidR="00A97A4E" w:rsidRPr="00C24ACA" w:rsidRDefault="00A97A4E" w:rsidP="00A97A4E">
            <w:pPr>
              <w:rPr>
                <w:rFonts w:eastAsiaTheme="minorEastAsia"/>
                <w:color w:val="000000"/>
                <w:szCs w:val="21"/>
              </w:rPr>
            </w:pPr>
            <w:r w:rsidRPr="00C24ACA">
              <w:rPr>
                <w:rFonts w:eastAsiaTheme="minorEastAsia"/>
                <w:szCs w:val="21"/>
              </w:rPr>
              <w:t>当期发生的基金应支付的托管费</w:t>
            </w:r>
          </w:p>
        </w:tc>
        <w:tc>
          <w:tcPr>
            <w:tcW w:w="2657" w:type="dxa"/>
            <w:vAlign w:val="center"/>
          </w:tcPr>
          <w:p w:rsidR="00A97A4E" w:rsidRPr="00C24ACA" w:rsidRDefault="00A97A4E" w:rsidP="00A97A4E">
            <w:pPr>
              <w:jc w:val="right"/>
              <w:rPr>
                <w:rFonts w:eastAsiaTheme="minorEastAsia"/>
                <w:color w:val="000000"/>
                <w:kern w:val="0"/>
                <w:szCs w:val="21"/>
              </w:rPr>
            </w:pPr>
            <w:r w:rsidRPr="00C24ACA">
              <w:rPr>
                <w:rFonts w:eastAsiaTheme="minorEastAsia"/>
                <w:szCs w:val="21"/>
              </w:rPr>
              <w:t>93,201.19</w:t>
            </w:r>
          </w:p>
        </w:tc>
        <w:tc>
          <w:tcPr>
            <w:tcW w:w="2588" w:type="dxa"/>
            <w:vAlign w:val="center"/>
          </w:tcPr>
          <w:p w:rsidR="00A97A4E" w:rsidRPr="00C24ACA" w:rsidRDefault="00A97A4E" w:rsidP="00A97A4E">
            <w:pPr>
              <w:jc w:val="right"/>
              <w:rPr>
                <w:rFonts w:eastAsiaTheme="minorEastAsia"/>
                <w:color w:val="000000"/>
                <w:szCs w:val="21"/>
              </w:rPr>
            </w:pPr>
            <w:r w:rsidRPr="00C24ACA">
              <w:rPr>
                <w:rFonts w:eastAsiaTheme="minorEastAsia"/>
                <w:szCs w:val="21"/>
              </w:rPr>
              <w:t>103,473.26</w:t>
            </w:r>
          </w:p>
        </w:tc>
      </w:tr>
    </w:tbl>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注：本基金的托管费（包括境外托管费）按前一日基金资产净值的</w:t>
      </w:r>
      <w:r>
        <w:rPr>
          <w:rFonts w:eastAsiaTheme="minorEastAsia"/>
          <w:kern w:val="0"/>
          <w:szCs w:val="21"/>
        </w:rPr>
        <w:t>0.35%</w:t>
      </w:r>
      <w:r>
        <w:rPr>
          <w:rFonts w:eastAsiaTheme="minorEastAsia"/>
          <w:kern w:val="0"/>
          <w:szCs w:val="21"/>
        </w:rPr>
        <w:t>的年费率计提。计算方法如下：</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E×0.35%÷</w:t>
      </w:r>
      <w:r>
        <w:rPr>
          <w:rFonts w:eastAsiaTheme="minorEastAsia"/>
          <w:kern w:val="0"/>
          <w:szCs w:val="21"/>
        </w:rPr>
        <w:t>当年天数</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H </w:t>
      </w:r>
      <w:r>
        <w:rPr>
          <w:rFonts w:eastAsiaTheme="minorEastAsia"/>
          <w:kern w:val="0"/>
          <w:szCs w:val="21"/>
        </w:rPr>
        <w:t>为每日应计提的基金托管费</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E </w:t>
      </w:r>
      <w:r>
        <w:rPr>
          <w:rFonts w:eastAsiaTheme="minorEastAsia"/>
          <w:kern w:val="0"/>
          <w:szCs w:val="21"/>
        </w:rPr>
        <w:t>为前一日的基金资产净值</w:t>
      </w:r>
    </w:p>
    <w:p w:rsidR="00A97A4E" w:rsidRPr="00C24ACA" w:rsidRDefault="00A97A4E"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基金托管费每日计算，逐日累计至每月月末，按月支付，由基金托管人于次月前</w:t>
      </w:r>
      <w:r w:rsidRPr="00C24ACA">
        <w:rPr>
          <w:rFonts w:eastAsiaTheme="minorEastAsia"/>
          <w:kern w:val="0"/>
          <w:szCs w:val="21"/>
        </w:rPr>
        <w:t>3</w:t>
      </w:r>
      <w:r w:rsidRPr="00C24ACA">
        <w:rPr>
          <w:rFonts w:eastAsiaTheme="minorEastAsia"/>
          <w:kern w:val="0"/>
          <w:szCs w:val="21"/>
        </w:rPr>
        <w:t>个工作日内从基金财产中一次性支付托管费给基金托管人。</w:t>
      </w:r>
    </w:p>
    <w:p w:rsidR="00871B95" w:rsidRPr="00C24ACA" w:rsidRDefault="00871B95" w:rsidP="00732F5C">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6.4.10.2.3 </w:t>
      </w:r>
      <w:r w:rsidRPr="00C24ACA">
        <w:rPr>
          <w:rFonts w:eastAsiaTheme="minorEastAsia"/>
          <w:b/>
          <w:color w:val="000000"/>
          <w:kern w:val="0"/>
          <w:szCs w:val="21"/>
        </w:rPr>
        <w:t>销售服务费</w:t>
      </w:r>
    </w:p>
    <w:p w:rsidR="003921B9" w:rsidRPr="00325F8A" w:rsidRDefault="003921B9" w:rsidP="003921B9">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2287"/>
        <w:gridCol w:w="2409"/>
        <w:gridCol w:w="2691"/>
      </w:tblGrid>
      <w:tr w:rsidR="003921B9" w:rsidRPr="00325F8A" w:rsidTr="00A218AC">
        <w:trPr>
          <w:trHeight w:val="465"/>
        </w:trPr>
        <w:tc>
          <w:tcPr>
            <w:tcW w:w="2108" w:type="dxa"/>
            <w:vMerge w:val="restart"/>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21B9" w:rsidRPr="00325F8A" w:rsidTr="00A218AC">
        <w:trPr>
          <w:trHeight w:val="465"/>
        </w:trPr>
        <w:tc>
          <w:tcPr>
            <w:tcW w:w="2108" w:type="dxa"/>
            <w:vMerge/>
            <w:vAlign w:val="center"/>
            <w:hideMark/>
          </w:tcPr>
          <w:p w:rsidR="003921B9" w:rsidRPr="00325F8A" w:rsidRDefault="003921B9" w:rsidP="00F0322F">
            <w:pPr>
              <w:widowControl/>
              <w:jc w:val="left"/>
              <w:rPr>
                <w:rFonts w:eastAsiaTheme="minorEastAsia"/>
                <w:szCs w:val="21"/>
              </w:rPr>
            </w:pP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921B9" w:rsidRPr="00325F8A" w:rsidTr="00A218AC">
        <w:tc>
          <w:tcPr>
            <w:tcW w:w="2108" w:type="dxa"/>
            <w:vMerge/>
            <w:vAlign w:val="center"/>
            <w:hideMark/>
          </w:tcPr>
          <w:p w:rsidR="003921B9" w:rsidRPr="00325F8A" w:rsidRDefault="003921B9" w:rsidP="00F0322F">
            <w:pPr>
              <w:widowControl/>
              <w:jc w:val="left"/>
              <w:rPr>
                <w:rFonts w:eastAsiaTheme="minorEastAsia"/>
                <w:szCs w:val="21"/>
              </w:rPr>
            </w:pPr>
          </w:p>
        </w:tc>
        <w:tc>
          <w:tcPr>
            <w:tcW w:w="2287"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易方达标普消费品指数增强（</w:t>
            </w:r>
            <w:r w:rsidRPr="00325F8A">
              <w:rPr>
                <w:rFonts w:eastAsiaTheme="minorEastAsia"/>
                <w:szCs w:val="21"/>
              </w:rPr>
              <w:t>QDII</w:t>
            </w:r>
            <w:r w:rsidRPr="00325F8A">
              <w:rPr>
                <w:rFonts w:eastAsiaTheme="minorEastAsia"/>
                <w:szCs w:val="21"/>
              </w:rPr>
              <w:t>）</w:t>
            </w:r>
            <w:r w:rsidRPr="00325F8A">
              <w:rPr>
                <w:rFonts w:eastAsiaTheme="minorEastAsia"/>
                <w:szCs w:val="21"/>
              </w:rPr>
              <w:t>A</w:t>
            </w:r>
          </w:p>
        </w:tc>
        <w:tc>
          <w:tcPr>
            <w:tcW w:w="2409"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易方达标普消费品指数增强（</w:t>
            </w:r>
            <w:r w:rsidRPr="00325F8A">
              <w:rPr>
                <w:rFonts w:eastAsiaTheme="minorEastAsia"/>
                <w:szCs w:val="21"/>
              </w:rPr>
              <w:t>QDII</w:t>
            </w:r>
            <w:r w:rsidRPr="00325F8A">
              <w:rPr>
                <w:rFonts w:eastAsiaTheme="minorEastAsia"/>
                <w:szCs w:val="21"/>
              </w:rPr>
              <w:t>）</w:t>
            </w:r>
            <w:r w:rsidRPr="00325F8A">
              <w:rPr>
                <w:rFonts w:eastAsiaTheme="minorEastAsia"/>
                <w:szCs w:val="21"/>
              </w:rPr>
              <w:t>C</w:t>
            </w:r>
          </w:p>
        </w:tc>
        <w:tc>
          <w:tcPr>
            <w:tcW w:w="2691"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BB5C1E">
        <w:tc>
          <w:tcPr>
            <w:tcW w:w="2108" w:type="dxa"/>
            <w:vAlign w:val="center"/>
          </w:tcPr>
          <w:p w:rsidR="00BB5C1E" w:rsidRDefault="00AF434F">
            <w:pPr>
              <w:jc w:val="left"/>
            </w:pPr>
            <w:r>
              <w:rPr>
                <w:rFonts w:eastAsiaTheme="minorEastAsia"/>
                <w:szCs w:val="21"/>
              </w:rPr>
              <w:t>易方达基金管理有限公司</w:t>
            </w:r>
          </w:p>
        </w:tc>
        <w:tc>
          <w:tcPr>
            <w:tcW w:w="2287" w:type="dxa"/>
            <w:vAlign w:val="center"/>
          </w:tcPr>
          <w:p w:rsidR="00BB5C1E" w:rsidRDefault="00AF434F">
            <w:pPr>
              <w:jc w:val="right"/>
            </w:pPr>
            <w:r>
              <w:rPr>
                <w:rFonts w:eastAsiaTheme="minorEastAsia"/>
                <w:szCs w:val="21"/>
              </w:rPr>
              <w:t>-</w:t>
            </w:r>
          </w:p>
        </w:tc>
        <w:tc>
          <w:tcPr>
            <w:tcW w:w="2409" w:type="dxa"/>
            <w:vAlign w:val="center"/>
          </w:tcPr>
          <w:p w:rsidR="00BB5C1E" w:rsidRDefault="00AF434F">
            <w:pPr>
              <w:jc w:val="right"/>
            </w:pPr>
            <w:r>
              <w:rPr>
                <w:rFonts w:eastAsiaTheme="minorEastAsia"/>
                <w:szCs w:val="21"/>
              </w:rPr>
              <w:t>963.92</w:t>
            </w:r>
          </w:p>
        </w:tc>
        <w:tc>
          <w:tcPr>
            <w:tcW w:w="2691" w:type="dxa"/>
            <w:vAlign w:val="center"/>
          </w:tcPr>
          <w:p w:rsidR="00BB5C1E" w:rsidRDefault="00AF434F">
            <w:pPr>
              <w:jc w:val="right"/>
            </w:pPr>
            <w:r>
              <w:rPr>
                <w:rFonts w:eastAsiaTheme="minorEastAsia"/>
                <w:szCs w:val="21"/>
              </w:rPr>
              <w:t>963.92</w:t>
            </w:r>
          </w:p>
        </w:tc>
      </w:tr>
      <w:tr w:rsidR="003921B9" w:rsidRPr="00325F8A" w:rsidTr="00A218AC">
        <w:tc>
          <w:tcPr>
            <w:tcW w:w="2108" w:type="dxa"/>
            <w:vAlign w:val="center"/>
            <w:hideMark/>
          </w:tcPr>
          <w:p w:rsidR="003921B9" w:rsidRPr="00325F8A" w:rsidRDefault="003921B9" w:rsidP="00F0322F">
            <w:pPr>
              <w:widowControl/>
              <w:rPr>
                <w:rFonts w:eastAsiaTheme="minorEastAsia"/>
                <w:szCs w:val="21"/>
              </w:rPr>
            </w:pPr>
            <w:r w:rsidRPr="00325F8A">
              <w:rPr>
                <w:rFonts w:eastAsiaTheme="minorEastAsia" w:hAnsiTheme="minorEastAsia"/>
                <w:szCs w:val="21"/>
              </w:rPr>
              <w:t>合计</w:t>
            </w:r>
          </w:p>
        </w:tc>
        <w:tc>
          <w:tcPr>
            <w:tcW w:w="2287"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409"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963.92</w:t>
            </w:r>
          </w:p>
        </w:tc>
        <w:tc>
          <w:tcPr>
            <w:tcW w:w="2691"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963.92</w:t>
            </w:r>
          </w:p>
        </w:tc>
      </w:tr>
      <w:tr w:rsidR="003921B9" w:rsidRPr="00325F8A" w:rsidTr="00A218AC">
        <w:trPr>
          <w:trHeight w:val="465"/>
        </w:trPr>
        <w:tc>
          <w:tcPr>
            <w:tcW w:w="2108" w:type="dxa"/>
            <w:vMerge w:val="restart"/>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21B9" w:rsidRPr="00325F8A" w:rsidTr="00A218AC">
        <w:trPr>
          <w:trHeight w:val="465"/>
        </w:trPr>
        <w:tc>
          <w:tcPr>
            <w:tcW w:w="2108" w:type="dxa"/>
            <w:vMerge/>
            <w:vAlign w:val="center"/>
            <w:hideMark/>
          </w:tcPr>
          <w:p w:rsidR="003921B9" w:rsidRPr="00325F8A" w:rsidRDefault="003921B9" w:rsidP="00F0322F">
            <w:pPr>
              <w:widowControl/>
              <w:jc w:val="left"/>
              <w:rPr>
                <w:rFonts w:eastAsiaTheme="minorEastAsia"/>
                <w:szCs w:val="21"/>
              </w:rPr>
            </w:pPr>
          </w:p>
        </w:tc>
        <w:tc>
          <w:tcPr>
            <w:tcW w:w="7387"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921B9" w:rsidRPr="00325F8A" w:rsidTr="00A218AC">
        <w:tc>
          <w:tcPr>
            <w:tcW w:w="2108" w:type="dxa"/>
            <w:vMerge/>
            <w:vAlign w:val="center"/>
            <w:hideMark/>
          </w:tcPr>
          <w:p w:rsidR="003921B9" w:rsidRPr="00325F8A" w:rsidRDefault="003921B9" w:rsidP="00F0322F">
            <w:pPr>
              <w:widowControl/>
              <w:jc w:val="left"/>
              <w:rPr>
                <w:rFonts w:eastAsiaTheme="minorEastAsia"/>
                <w:szCs w:val="21"/>
              </w:rPr>
            </w:pPr>
          </w:p>
        </w:tc>
        <w:tc>
          <w:tcPr>
            <w:tcW w:w="2287"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易方达标普消费品指数增强（</w:t>
            </w:r>
            <w:r w:rsidRPr="00325F8A">
              <w:rPr>
                <w:rFonts w:eastAsiaTheme="minorEastAsia"/>
                <w:szCs w:val="21"/>
              </w:rPr>
              <w:t>QDII</w:t>
            </w:r>
            <w:r w:rsidRPr="00325F8A">
              <w:rPr>
                <w:rFonts w:eastAsiaTheme="minorEastAsia"/>
                <w:szCs w:val="21"/>
              </w:rPr>
              <w:t>）</w:t>
            </w:r>
            <w:r w:rsidRPr="00325F8A">
              <w:rPr>
                <w:rFonts w:eastAsiaTheme="minorEastAsia"/>
                <w:szCs w:val="21"/>
              </w:rPr>
              <w:t>A</w:t>
            </w:r>
          </w:p>
        </w:tc>
        <w:tc>
          <w:tcPr>
            <w:tcW w:w="2409"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易方达标普消费品指数增强（</w:t>
            </w:r>
            <w:r w:rsidRPr="00325F8A">
              <w:rPr>
                <w:rFonts w:eastAsiaTheme="minorEastAsia"/>
                <w:szCs w:val="21"/>
              </w:rPr>
              <w:t>QDII</w:t>
            </w:r>
            <w:r w:rsidRPr="00325F8A">
              <w:rPr>
                <w:rFonts w:eastAsiaTheme="minorEastAsia"/>
                <w:szCs w:val="21"/>
              </w:rPr>
              <w:t>）</w:t>
            </w:r>
            <w:r w:rsidRPr="00325F8A">
              <w:rPr>
                <w:rFonts w:eastAsiaTheme="minorEastAsia"/>
                <w:szCs w:val="21"/>
              </w:rPr>
              <w:t>C</w:t>
            </w:r>
          </w:p>
        </w:tc>
        <w:tc>
          <w:tcPr>
            <w:tcW w:w="2691" w:type="dxa"/>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BB5C1E">
        <w:tc>
          <w:tcPr>
            <w:tcW w:w="2108" w:type="dxa"/>
            <w:vAlign w:val="center"/>
          </w:tcPr>
          <w:p w:rsidR="00BB5C1E" w:rsidRDefault="00AF434F">
            <w:pPr>
              <w:jc w:val="left"/>
            </w:pPr>
            <w:r>
              <w:rPr>
                <w:rFonts w:eastAsiaTheme="minorEastAsia"/>
                <w:szCs w:val="21"/>
              </w:rPr>
              <w:t>易方达基金管理有限公司</w:t>
            </w:r>
          </w:p>
        </w:tc>
        <w:tc>
          <w:tcPr>
            <w:tcW w:w="2287" w:type="dxa"/>
            <w:vAlign w:val="center"/>
          </w:tcPr>
          <w:p w:rsidR="00BB5C1E" w:rsidRDefault="00AF434F">
            <w:pPr>
              <w:jc w:val="right"/>
            </w:pPr>
            <w:r>
              <w:rPr>
                <w:rFonts w:eastAsiaTheme="minorEastAsia"/>
                <w:szCs w:val="21"/>
              </w:rPr>
              <w:t>-</w:t>
            </w:r>
          </w:p>
        </w:tc>
        <w:tc>
          <w:tcPr>
            <w:tcW w:w="2409" w:type="dxa"/>
            <w:vAlign w:val="center"/>
          </w:tcPr>
          <w:p w:rsidR="00BB5C1E" w:rsidRDefault="00AF434F">
            <w:pPr>
              <w:jc w:val="right"/>
            </w:pPr>
            <w:r>
              <w:rPr>
                <w:rFonts w:eastAsiaTheme="minorEastAsia"/>
                <w:szCs w:val="21"/>
              </w:rPr>
              <w:t>667.84</w:t>
            </w:r>
          </w:p>
        </w:tc>
        <w:tc>
          <w:tcPr>
            <w:tcW w:w="2691" w:type="dxa"/>
            <w:vAlign w:val="center"/>
          </w:tcPr>
          <w:p w:rsidR="00BB5C1E" w:rsidRDefault="00AF434F">
            <w:pPr>
              <w:jc w:val="right"/>
            </w:pPr>
            <w:r>
              <w:rPr>
                <w:rFonts w:eastAsiaTheme="minorEastAsia"/>
                <w:szCs w:val="21"/>
              </w:rPr>
              <w:t>667.84</w:t>
            </w:r>
          </w:p>
        </w:tc>
      </w:tr>
      <w:tr w:rsidR="003921B9" w:rsidRPr="00325F8A" w:rsidTr="00A218AC">
        <w:tc>
          <w:tcPr>
            <w:tcW w:w="2108" w:type="dxa"/>
            <w:vAlign w:val="center"/>
            <w:hideMark/>
          </w:tcPr>
          <w:p w:rsidR="003921B9" w:rsidRPr="00325F8A" w:rsidRDefault="003921B9" w:rsidP="00F0322F">
            <w:pPr>
              <w:widowControl/>
              <w:rPr>
                <w:rFonts w:eastAsiaTheme="minorEastAsia"/>
                <w:szCs w:val="21"/>
              </w:rPr>
            </w:pPr>
            <w:r w:rsidRPr="00325F8A">
              <w:rPr>
                <w:rFonts w:eastAsiaTheme="minorEastAsia" w:hAnsiTheme="minorEastAsia"/>
                <w:szCs w:val="21"/>
              </w:rPr>
              <w:t>合计</w:t>
            </w:r>
          </w:p>
        </w:tc>
        <w:tc>
          <w:tcPr>
            <w:tcW w:w="2287"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409"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667.84</w:t>
            </w:r>
          </w:p>
        </w:tc>
        <w:tc>
          <w:tcPr>
            <w:tcW w:w="2691"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667.84</w:t>
            </w:r>
          </w:p>
        </w:tc>
      </w:tr>
    </w:tbl>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注：本基金</w:t>
      </w:r>
      <w:r>
        <w:rPr>
          <w:rFonts w:eastAsiaTheme="minorEastAsia"/>
          <w:kern w:val="0"/>
          <w:szCs w:val="21"/>
        </w:rPr>
        <w:t>A</w:t>
      </w:r>
      <w:r>
        <w:rPr>
          <w:rFonts w:eastAsiaTheme="minorEastAsia"/>
          <w:kern w:val="0"/>
          <w:szCs w:val="21"/>
        </w:rPr>
        <w:t>类基金份额不收取销售服务费，</w:t>
      </w:r>
      <w:r>
        <w:rPr>
          <w:rFonts w:eastAsiaTheme="minorEastAsia"/>
          <w:kern w:val="0"/>
          <w:szCs w:val="21"/>
        </w:rPr>
        <w:t>C</w:t>
      </w:r>
      <w:r>
        <w:rPr>
          <w:rFonts w:eastAsiaTheme="minorEastAsia"/>
          <w:kern w:val="0"/>
          <w:szCs w:val="21"/>
        </w:rPr>
        <w:t>类基金份额的销售服务费年费率为</w:t>
      </w:r>
      <w:r>
        <w:rPr>
          <w:rFonts w:eastAsiaTheme="minorEastAsia"/>
          <w:kern w:val="0"/>
          <w:szCs w:val="21"/>
        </w:rPr>
        <w:t>0.25%</w:t>
      </w:r>
      <w:r>
        <w:rPr>
          <w:rFonts w:eastAsiaTheme="minorEastAsia"/>
          <w:kern w:val="0"/>
          <w:szCs w:val="21"/>
        </w:rPr>
        <w:t>，按</w:t>
      </w:r>
      <w:r>
        <w:rPr>
          <w:rFonts w:eastAsiaTheme="minorEastAsia"/>
          <w:kern w:val="0"/>
          <w:szCs w:val="21"/>
        </w:rPr>
        <w:t>C</w:t>
      </w:r>
      <w:r>
        <w:rPr>
          <w:rFonts w:eastAsiaTheme="minorEastAsia"/>
          <w:kern w:val="0"/>
          <w:szCs w:val="21"/>
        </w:rPr>
        <w:t>类基金份额前一日基金资产净值的</w:t>
      </w:r>
      <w:r>
        <w:rPr>
          <w:rFonts w:eastAsiaTheme="minorEastAsia"/>
          <w:kern w:val="0"/>
          <w:szCs w:val="21"/>
        </w:rPr>
        <w:t>0.25%</w:t>
      </w:r>
      <w:r>
        <w:rPr>
          <w:rFonts w:eastAsiaTheme="minorEastAsia"/>
          <w:kern w:val="0"/>
          <w:szCs w:val="21"/>
        </w:rPr>
        <w:t>年费率计提。</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销售服务费的计算方法如下：</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E×0.25%÷</w:t>
      </w:r>
      <w:r>
        <w:rPr>
          <w:rFonts w:eastAsiaTheme="minorEastAsia"/>
          <w:kern w:val="0"/>
          <w:szCs w:val="21"/>
        </w:rPr>
        <w:t>当年天数</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H </w:t>
      </w:r>
      <w:r>
        <w:rPr>
          <w:rFonts w:eastAsiaTheme="minorEastAsia"/>
          <w:kern w:val="0"/>
          <w:szCs w:val="21"/>
        </w:rPr>
        <w:t>为</w:t>
      </w:r>
      <w:r>
        <w:rPr>
          <w:rFonts w:eastAsiaTheme="minorEastAsia"/>
          <w:kern w:val="0"/>
          <w:szCs w:val="21"/>
        </w:rPr>
        <w:t>C</w:t>
      </w:r>
      <w:r>
        <w:rPr>
          <w:rFonts w:eastAsiaTheme="minorEastAsia"/>
          <w:kern w:val="0"/>
          <w:szCs w:val="21"/>
        </w:rPr>
        <w:t>类基金份额每日应计提的销售服务费</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 xml:space="preserve">E </w:t>
      </w:r>
      <w:r>
        <w:rPr>
          <w:rFonts w:eastAsiaTheme="minorEastAsia"/>
          <w:kern w:val="0"/>
          <w:szCs w:val="21"/>
        </w:rPr>
        <w:t>为</w:t>
      </w:r>
      <w:r>
        <w:rPr>
          <w:rFonts w:eastAsiaTheme="minorEastAsia"/>
          <w:kern w:val="0"/>
          <w:szCs w:val="21"/>
        </w:rPr>
        <w:t>C</w:t>
      </w:r>
      <w:r>
        <w:rPr>
          <w:rFonts w:eastAsiaTheme="minorEastAsia"/>
          <w:kern w:val="0"/>
          <w:szCs w:val="21"/>
        </w:rPr>
        <w:t>类基金份额前一日基金资产净值</w:t>
      </w:r>
    </w:p>
    <w:p w:rsidR="008A5A5D" w:rsidRPr="00C24ACA" w:rsidRDefault="003921B9" w:rsidP="008134C7">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销售服务费每日计算，按月支付，由基金管理人向基金托管人发送销售服务费划付指令，基金托管人复核后于次月首日起</w:t>
      </w:r>
      <w:r w:rsidRPr="001412CA">
        <w:rPr>
          <w:rFonts w:eastAsiaTheme="minorEastAsia"/>
          <w:kern w:val="0"/>
          <w:szCs w:val="21"/>
        </w:rPr>
        <w:t>3</w:t>
      </w:r>
      <w:r w:rsidRPr="001412CA">
        <w:rPr>
          <w:rFonts w:eastAsiaTheme="minorEastAsia"/>
          <w:kern w:val="0"/>
          <w:szCs w:val="21"/>
        </w:rPr>
        <w:t>个工作日内从基金财产中一次性支付。</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6.4.10.3</w:t>
      </w:r>
      <w:r w:rsidRPr="00C24ACA">
        <w:rPr>
          <w:rFonts w:eastAsiaTheme="minorEastAsia"/>
          <w:b/>
          <w:bCs/>
          <w:color w:val="000000"/>
          <w:szCs w:val="21"/>
        </w:rPr>
        <w:t>与关联方进行银行间同业市场的债券</w:t>
      </w:r>
      <w:r w:rsidRPr="00C24ACA">
        <w:rPr>
          <w:rFonts w:eastAsiaTheme="minorEastAsia"/>
          <w:b/>
          <w:bCs/>
          <w:color w:val="000000"/>
          <w:szCs w:val="21"/>
        </w:rPr>
        <w:t>(</w:t>
      </w:r>
      <w:r w:rsidRPr="00C24ACA">
        <w:rPr>
          <w:rFonts w:eastAsiaTheme="minorEastAsia"/>
          <w:b/>
          <w:bCs/>
          <w:color w:val="000000"/>
          <w:szCs w:val="21"/>
        </w:rPr>
        <w:t>含回购</w:t>
      </w:r>
      <w:r w:rsidRPr="00C24ACA">
        <w:rPr>
          <w:rFonts w:eastAsiaTheme="minorEastAsia"/>
          <w:b/>
          <w:bCs/>
          <w:color w:val="000000"/>
          <w:szCs w:val="21"/>
        </w:rPr>
        <w:t>)</w:t>
      </w:r>
      <w:r w:rsidRPr="00C24ACA">
        <w:rPr>
          <w:rFonts w:eastAsiaTheme="minorEastAsia"/>
          <w:b/>
          <w:bCs/>
          <w:color w:val="000000"/>
          <w:szCs w:val="21"/>
        </w:rPr>
        <w:t>交易</w:t>
      </w:r>
    </w:p>
    <w:p w:rsidR="0096290F" w:rsidRPr="00C24ACA" w:rsidRDefault="0096290F"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本基金本报告期及上年度可比期间未与关联方进行银行间同业市场债券（含回购）交易。</w:t>
      </w:r>
    </w:p>
    <w:p w:rsidR="008A5A5D" w:rsidRPr="00C24ACA" w:rsidRDefault="008A5A5D" w:rsidP="00EC68BF">
      <w:pPr>
        <w:spacing w:line="360" w:lineRule="auto"/>
        <w:rPr>
          <w:rFonts w:eastAsiaTheme="minorEastAsia"/>
          <w:b/>
          <w:bCs/>
          <w:color w:val="000000"/>
          <w:szCs w:val="21"/>
        </w:rPr>
      </w:pPr>
      <w:r w:rsidRPr="00C24ACA">
        <w:rPr>
          <w:rFonts w:eastAsiaTheme="minorEastAsia"/>
          <w:b/>
          <w:bCs/>
          <w:color w:val="000000"/>
          <w:kern w:val="0"/>
          <w:szCs w:val="21"/>
        </w:rPr>
        <w:t>6.4.10.4</w:t>
      </w:r>
      <w:r w:rsidRPr="00C24ACA">
        <w:rPr>
          <w:rFonts w:eastAsiaTheme="minorEastAsia"/>
          <w:b/>
          <w:bCs/>
          <w:color w:val="000000"/>
          <w:szCs w:val="21"/>
        </w:rPr>
        <w:t>各关联方投资本基金的情况</w:t>
      </w:r>
    </w:p>
    <w:p w:rsidR="008A5A5D" w:rsidRPr="00C24ACA" w:rsidRDefault="008A5A5D" w:rsidP="00EC68BF">
      <w:pPr>
        <w:adjustRightInd w:val="0"/>
        <w:snapToGrid w:val="0"/>
        <w:spacing w:line="360" w:lineRule="auto"/>
        <w:rPr>
          <w:rFonts w:eastAsiaTheme="minorEastAsia"/>
          <w:b/>
          <w:bCs/>
          <w:color w:val="000000"/>
          <w:szCs w:val="21"/>
        </w:rPr>
      </w:pPr>
      <w:r w:rsidRPr="00C24ACA">
        <w:rPr>
          <w:rFonts w:eastAsiaTheme="minorEastAsia"/>
          <w:b/>
          <w:bCs/>
          <w:color w:val="000000"/>
          <w:kern w:val="0"/>
          <w:szCs w:val="21"/>
        </w:rPr>
        <w:t>6.4.10.4.1</w:t>
      </w:r>
      <w:r w:rsidRPr="00C24ACA">
        <w:rPr>
          <w:rFonts w:eastAsiaTheme="minorEastAsia"/>
          <w:b/>
          <w:bCs/>
          <w:color w:val="000000"/>
          <w:szCs w:val="21"/>
        </w:rPr>
        <w:t>报告期内基金管理人运用固有资金投资本基金的情况</w:t>
      </w:r>
    </w:p>
    <w:p w:rsidR="00732F5C" w:rsidRPr="00D77452" w:rsidRDefault="00732F5C" w:rsidP="00732F5C">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9B7B09" w:rsidRPr="007F6A4B" w:rsidRDefault="008A5A5D" w:rsidP="007F6A4B">
      <w:pPr>
        <w:adjustRightInd w:val="0"/>
        <w:snapToGrid w:val="0"/>
        <w:spacing w:line="360" w:lineRule="auto"/>
        <w:rPr>
          <w:rFonts w:eastAsiaTheme="minorEastAsia"/>
          <w:b/>
          <w:bCs/>
          <w:color w:val="000000"/>
          <w:kern w:val="0"/>
          <w:szCs w:val="21"/>
        </w:rPr>
      </w:pPr>
      <w:r w:rsidRPr="00C24ACA">
        <w:rPr>
          <w:rFonts w:eastAsiaTheme="minorEastAsia"/>
          <w:b/>
          <w:bCs/>
          <w:color w:val="000000"/>
          <w:kern w:val="0"/>
          <w:szCs w:val="21"/>
        </w:rPr>
        <w:t>6.4.10.4.2</w:t>
      </w:r>
      <w:r w:rsidRPr="007F6A4B">
        <w:rPr>
          <w:rFonts w:eastAsiaTheme="minorEastAsia"/>
          <w:b/>
          <w:bCs/>
          <w:color w:val="000000"/>
          <w:kern w:val="0"/>
          <w:szCs w:val="21"/>
        </w:rPr>
        <w:t>报告期末除基金管理人之外的其他关联方投资本基金的情况</w:t>
      </w:r>
    </w:p>
    <w:p w:rsidR="009B7B09" w:rsidRPr="003560D2" w:rsidRDefault="009B7B09" w:rsidP="009B7B09">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易方达标普消费品指数增强（</w:t>
      </w:r>
      <w:r w:rsidRPr="003560D2">
        <w:rPr>
          <w:rFonts w:eastAsiaTheme="minorEastAsia" w:hint="eastAsia"/>
          <w:b/>
          <w:color w:val="000000"/>
          <w:szCs w:val="21"/>
        </w:rPr>
        <w:t>QDII</w:t>
      </w:r>
      <w:r w:rsidRPr="003560D2">
        <w:rPr>
          <w:rFonts w:eastAsiaTheme="minorEastAsia" w:hint="eastAsia"/>
          <w:b/>
          <w:color w:val="000000"/>
          <w:szCs w:val="21"/>
        </w:rPr>
        <w:t>）</w:t>
      </w:r>
      <w:r w:rsidRPr="003560D2">
        <w:rPr>
          <w:rFonts w:eastAsiaTheme="minorEastAsia" w:hint="eastAsia"/>
          <w:b/>
          <w:color w:val="000000"/>
          <w:szCs w:val="21"/>
        </w:rPr>
        <w:t>A</w:t>
      </w:r>
    </w:p>
    <w:p w:rsidR="009B7B09" w:rsidRPr="00325F8A" w:rsidRDefault="009B7B09" w:rsidP="009B7B09">
      <w:pPr>
        <w:tabs>
          <w:tab w:val="left" w:pos="426"/>
        </w:tabs>
        <w:spacing w:line="360" w:lineRule="auto"/>
        <w:ind w:firstLineChars="200" w:firstLine="420"/>
        <w:jc w:val="left"/>
        <w:rPr>
          <w:kern w:val="0"/>
          <w:szCs w:val="21"/>
        </w:rPr>
      </w:pPr>
      <w:r w:rsidRPr="00325F8A">
        <w:rPr>
          <w:kern w:val="0"/>
          <w:szCs w:val="21"/>
        </w:rPr>
        <w:t>无。</w:t>
      </w:r>
    </w:p>
    <w:p w:rsidR="009B7B09" w:rsidRPr="00325F8A" w:rsidRDefault="009B7B09" w:rsidP="009B7B09">
      <w:pPr>
        <w:adjustRightInd w:val="0"/>
        <w:snapToGrid w:val="0"/>
        <w:spacing w:line="288" w:lineRule="auto"/>
        <w:ind w:firstLineChars="200" w:firstLine="422"/>
        <w:rPr>
          <w:b/>
          <w:bCs/>
          <w:color w:val="000000"/>
          <w:szCs w:val="21"/>
        </w:rPr>
      </w:pPr>
      <w:r w:rsidRPr="00325F8A">
        <w:rPr>
          <w:rFonts w:eastAsiaTheme="minorEastAsia"/>
          <w:b/>
          <w:szCs w:val="21"/>
        </w:rPr>
        <w:t>易方达标普消费品指数增强（</w:t>
      </w:r>
      <w:r w:rsidRPr="00325F8A">
        <w:rPr>
          <w:rFonts w:eastAsiaTheme="minorEastAsia"/>
          <w:b/>
          <w:szCs w:val="21"/>
        </w:rPr>
        <w:t>QDII</w:t>
      </w:r>
      <w:r w:rsidRPr="00325F8A">
        <w:rPr>
          <w:rFonts w:eastAsiaTheme="minorEastAsia"/>
          <w:b/>
          <w:szCs w:val="21"/>
        </w:rPr>
        <w:t>）</w:t>
      </w:r>
      <w:r w:rsidRPr="00325F8A">
        <w:rPr>
          <w:rFonts w:eastAsiaTheme="minorEastAsia"/>
          <w:b/>
          <w:szCs w:val="21"/>
        </w:rPr>
        <w:t>C</w:t>
      </w:r>
    </w:p>
    <w:p w:rsidR="009B7B09" w:rsidRPr="00683042" w:rsidRDefault="009B7B09" w:rsidP="009B7B09">
      <w:pPr>
        <w:tabs>
          <w:tab w:val="left" w:pos="426"/>
        </w:tabs>
        <w:spacing w:line="360" w:lineRule="auto"/>
        <w:ind w:firstLineChars="200" w:firstLine="420"/>
        <w:jc w:val="left"/>
        <w:rPr>
          <w:kern w:val="0"/>
          <w:szCs w:val="21"/>
        </w:rPr>
      </w:pPr>
      <w:r w:rsidRPr="00683042">
        <w:rPr>
          <w:rFonts w:hint="eastAsia"/>
          <w:kern w:val="0"/>
          <w:szCs w:val="21"/>
        </w:rPr>
        <w:t>无。</w:t>
      </w:r>
    </w:p>
    <w:p w:rsidR="008A5A5D" w:rsidRPr="00C24ACA" w:rsidRDefault="008A5A5D" w:rsidP="009B7B09">
      <w:pPr>
        <w:adjustRightInd w:val="0"/>
        <w:snapToGrid w:val="0"/>
        <w:spacing w:beforeLines="100" w:before="312" w:line="360" w:lineRule="auto"/>
        <w:rPr>
          <w:rFonts w:eastAsiaTheme="minorEastAsia"/>
          <w:b/>
          <w:bCs/>
          <w:color w:val="000000"/>
          <w:szCs w:val="21"/>
        </w:rPr>
      </w:pPr>
      <w:r w:rsidRPr="00C24ACA">
        <w:rPr>
          <w:rFonts w:eastAsiaTheme="minorEastAsia"/>
          <w:b/>
          <w:bCs/>
          <w:color w:val="000000"/>
          <w:kern w:val="0"/>
          <w:szCs w:val="21"/>
        </w:rPr>
        <w:t>6.4.10.5</w:t>
      </w:r>
      <w:r w:rsidRPr="00C24ACA">
        <w:rPr>
          <w:rFonts w:eastAsiaTheme="minorEastAsia"/>
          <w:b/>
          <w:bCs/>
          <w:color w:val="000000"/>
          <w:szCs w:val="21"/>
        </w:rPr>
        <w:t>由关联方保管的银行存款余额及当期产生的利息收入</w:t>
      </w:r>
    </w:p>
    <w:p w:rsidR="008A5A5D" w:rsidRPr="00C24ACA" w:rsidRDefault="008A5A5D" w:rsidP="002116B9">
      <w:pPr>
        <w:autoSpaceDE w:val="0"/>
        <w:autoSpaceDN w:val="0"/>
        <w:adjustRightInd w:val="0"/>
        <w:spacing w:before="29" w:line="288" w:lineRule="auto"/>
        <w:ind w:left="15" w:right="210"/>
        <w:jc w:val="right"/>
        <w:rPr>
          <w:rFonts w:eastAsiaTheme="minorEastAsia"/>
          <w:bCs/>
          <w:color w:val="000000"/>
          <w:szCs w:val="21"/>
        </w:rPr>
      </w:pPr>
      <w:r w:rsidRPr="00C24ACA">
        <w:rPr>
          <w:rFonts w:eastAsiaTheme="minorEastAsia"/>
          <w:bCs/>
          <w:color w:val="000000"/>
          <w:szCs w:val="21"/>
        </w:rPr>
        <w:t>单位：人民币元</w:t>
      </w:r>
    </w:p>
    <w:tbl>
      <w:tblPr>
        <w:tblStyle w:val="af7"/>
        <w:tblW w:w="0" w:type="auto"/>
        <w:tblInd w:w="108" w:type="dxa"/>
        <w:tblLayout w:type="fixed"/>
        <w:tblLook w:val="04A0" w:firstRow="1" w:lastRow="0" w:firstColumn="1" w:lastColumn="0" w:noHBand="0" w:noVBand="1"/>
      </w:tblPr>
      <w:tblGrid>
        <w:gridCol w:w="1526"/>
        <w:gridCol w:w="1851"/>
        <w:gridCol w:w="1851"/>
        <w:gridCol w:w="1851"/>
        <w:gridCol w:w="1851"/>
      </w:tblGrid>
      <w:tr w:rsidR="00B01102" w:rsidRPr="00C24ACA" w:rsidTr="004C02E0">
        <w:tc>
          <w:tcPr>
            <w:tcW w:w="1526" w:type="dxa"/>
            <w:vMerge w:val="restart"/>
            <w:vAlign w:val="center"/>
          </w:tcPr>
          <w:p w:rsidR="00B01102" w:rsidRPr="00C24ACA" w:rsidRDefault="00B01102" w:rsidP="00145CAE">
            <w:pPr>
              <w:jc w:val="center"/>
              <w:rPr>
                <w:rFonts w:eastAsiaTheme="minorEastAsia"/>
                <w:kern w:val="0"/>
                <w:szCs w:val="21"/>
              </w:rPr>
            </w:pPr>
            <w:r w:rsidRPr="00C24ACA">
              <w:rPr>
                <w:rFonts w:eastAsiaTheme="minorEastAsia"/>
                <w:color w:val="000000"/>
                <w:szCs w:val="21"/>
              </w:rPr>
              <w:t>关联方名称</w:t>
            </w:r>
          </w:p>
        </w:tc>
        <w:tc>
          <w:tcPr>
            <w:tcW w:w="3702" w:type="dxa"/>
            <w:gridSpan w:val="2"/>
          </w:tcPr>
          <w:p w:rsidR="00B01102" w:rsidRPr="00C24ACA" w:rsidRDefault="00B01102" w:rsidP="00B01102">
            <w:pPr>
              <w:jc w:val="center"/>
              <w:rPr>
                <w:rFonts w:eastAsiaTheme="minorEastAsia"/>
                <w:color w:val="000000"/>
                <w:szCs w:val="21"/>
              </w:rPr>
            </w:pPr>
            <w:r w:rsidRPr="00C24ACA">
              <w:rPr>
                <w:rFonts w:eastAsiaTheme="minorEastAsia"/>
                <w:color w:val="000000"/>
                <w:szCs w:val="21"/>
              </w:rPr>
              <w:t>本期</w:t>
            </w:r>
          </w:p>
          <w:p w:rsidR="00B01102" w:rsidRPr="00C24ACA" w:rsidRDefault="00B01102" w:rsidP="00B01102">
            <w:pPr>
              <w:jc w:val="left"/>
              <w:rPr>
                <w:rFonts w:eastAsiaTheme="minorEastAsia"/>
                <w:kern w:val="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c>
          <w:tcPr>
            <w:tcW w:w="3702" w:type="dxa"/>
            <w:gridSpan w:val="2"/>
          </w:tcPr>
          <w:p w:rsidR="00B01102" w:rsidRPr="00C24ACA" w:rsidRDefault="00B01102" w:rsidP="00B01102">
            <w:pPr>
              <w:jc w:val="center"/>
              <w:rPr>
                <w:rFonts w:eastAsiaTheme="minorEastAsia"/>
                <w:color w:val="000000"/>
                <w:szCs w:val="21"/>
              </w:rPr>
            </w:pPr>
            <w:r w:rsidRPr="00C24ACA">
              <w:rPr>
                <w:rFonts w:eastAsiaTheme="minorEastAsia"/>
                <w:color w:val="000000"/>
                <w:szCs w:val="21"/>
              </w:rPr>
              <w:t>上年度可比期间</w:t>
            </w:r>
          </w:p>
          <w:p w:rsidR="00B01102" w:rsidRPr="00C24ACA" w:rsidRDefault="00B01102" w:rsidP="000E28C9">
            <w:pPr>
              <w:jc w:val="left"/>
              <w:rPr>
                <w:rFonts w:eastAsiaTheme="minorEastAsia"/>
                <w:kern w:val="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w:t>
            </w:r>
            <w:r w:rsidRPr="00C24ACA">
              <w:rPr>
                <w:rFonts w:eastAsiaTheme="minorEastAsia"/>
                <w:color w:val="000000"/>
                <w:szCs w:val="21"/>
              </w:rPr>
              <w:t>月</w:t>
            </w:r>
            <w:r w:rsidRPr="00C24ACA">
              <w:rPr>
                <w:rFonts w:eastAsiaTheme="minorEastAsia"/>
                <w:color w:val="000000"/>
                <w:szCs w:val="21"/>
              </w:rPr>
              <w:t>1</w:t>
            </w:r>
            <w:r w:rsidRPr="00C24ACA">
              <w:rPr>
                <w:rFonts w:eastAsiaTheme="minorEastAsia"/>
                <w:color w:val="000000"/>
                <w:szCs w:val="21"/>
              </w:rPr>
              <w:t>日至</w:t>
            </w: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B01102" w:rsidRPr="00C24ACA" w:rsidTr="004C02E0">
        <w:tc>
          <w:tcPr>
            <w:tcW w:w="1526" w:type="dxa"/>
            <w:vMerge/>
          </w:tcPr>
          <w:p w:rsidR="00B01102" w:rsidRPr="00C24ACA" w:rsidRDefault="00B01102" w:rsidP="002116B9">
            <w:pPr>
              <w:jc w:val="left"/>
              <w:rPr>
                <w:rFonts w:eastAsiaTheme="minorEastAsia"/>
                <w:kern w:val="0"/>
                <w:szCs w:val="21"/>
              </w:rPr>
            </w:pP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期末余额</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当期利息收入</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期末余额</w:t>
            </w:r>
          </w:p>
        </w:tc>
        <w:tc>
          <w:tcPr>
            <w:tcW w:w="1851" w:type="dxa"/>
          </w:tcPr>
          <w:p w:rsidR="00B01102" w:rsidRPr="00C24ACA" w:rsidRDefault="00B01102" w:rsidP="009B5FA5">
            <w:pPr>
              <w:jc w:val="center"/>
              <w:rPr>
                <w:rFonts w:eastAsiaTheme="minorEastAsia"/>
                <w:kern w:val="0"/>
                <w:szCs w:val="21"/>
              </w:rPr>
            </w:pPr>
            <w:r w:rsidRPr="00C24ACA">
              <w:rPr>
                <w:rFonts w:eastAsiaTheme="minorEastAsia"/>
                <w:color w:val="000000"/>
                <w:szCs w:val="21"/>
              </w:rPr>
              <w:t>当期利息收入</w:t>
            </w:r>
          </w:p>
        </w:tc>
      </w:tr>
      <w:tr w:rsidR="00BB5C1E">
        <w:tc>
          <w:tcPr>
            <w:tcW w:w="1526" w:type="dxa"/>
            <w:vAlign w:val="center"/>
          </w:tcPr>
          <w:p w:rsidR="00BB5C1E" w:rsidRDefault="00AF434F">
            <w:pPr>
              <w:jc w:val="left"/>
            </w:pPr>
            <w:r>
              <w:rPr>
                <w:rFonts w:eastAsiaTheme="minorEastAsia"/>
                <w:szCs w:val="21"/>
              </w:rPr>
              <w:t>中国银行</w:t>
            </w:r>
            <w:r>
              <w:rPr>
                <w:rFonts w:eastAsiaTheme="minorEastAsia"/>
                <w:szCs w:val="21"/>
              </w:rPr>
              <w:t>-</w:t>
            </w:r>
            <w:r>
              <w:rPr>
                <w:rFonts w:eastAsiaTheme="minorEastAsia"/>
                <w:szCs w:val="21"/>
              </w:rPr>
              <w:t>活期存款</w:t>
            </w:r>
          </w:p>
        </w:tc>
        <w:tc>
          <w:tcPr>
            <w:tcW w:w="1851" w:type="dxa"/>
            <w:vAlign w:val="center"/>
          </w:tcPr>
          <w:p w:rsidR="00BB5C1E" w:rsidRDefault="00AF434F">
            <w:pPr>
              <w:jc w:val="right"/>
            </w:pPr>
            <w:r>
              <w:rPr>
                <w:rFonts w:eastAsiaTheme="minorEastAsia"/>
                <w:szCs w:val="21"/>
              </w:rPr>
              <w:t>3,333,421.25</w:t>
            </w:r>
          </w:p>
        </w:tc>
        <w:tc>
          <w:tcPr>
            <w:tcW w:w="1851" w:type="dxa"/>
            <w:vAlign w:val="center"/>
          </w:tcPr>
          <w:p w:rsidR="00BB5C1E" w:rsidRDefault="00AF434F">
            <w:pPr>
              <w:jc w:val="right"/>
            </w:pPr>
            <w:r>
              <w:rPr>
                <w:rFonts w:eastAsiaTheme="minorEastAsia"/>
                <w:szCs w:val="21"/>
              </w:rPr>
              <w:t>11,641.85</w:t>
            </w:r>
          </w:p>
        </w:tc>
        <w:tc>
          <w:tcPr>
            <w:tcW w:w="1851" w:type="dxa"/>
            <w:vAlign w:val="center"/>
          </w:tcPr>
          <w:p w:rsidR="00BB5C1E" w:rsidRDefault="00AF434F">
            <w:pPr>
              <w:jc w:val="right"/>
            </w:pPr>
            <w:r>
              <w:rPr>
                <w:rFonts w:eastAsiaTheme="minorEastAsia"/>
                <w:szCs w:val="21"/>
              </w:rPr>
              <w:t>1,688,335.96</w:t>
            </w:r>
          </w:p>
        </w:tc>
        <w:tc>
          <w:tcPr>
            <w:tcW w:w="1851" w:type="dxa"/>
            <w:vAlign w:val="center"/>
          </w:tcPr>
          <w:p w:rsidR="00BB5C1E" w:rsidRDefault="00AF434F">
            <w:pPr>
              <w:jc w:val="right"/>
            </w:pPr>
            <w:r>
              <w:rPr>
                <w:rFonts w:eastAsiaTheme="minorEastAsia"/>
                <w:szCs w:val="21"/>
              </w:rPr>
              <w:t>4,989.94</w:t>
            </w:r>
          </w:p>
        </w:tc>
      </w:tr>
      <w:tr w:rsidR="00BB5C1E">
        <w:tc>
          <w:tcPr>
            <w:tcW w:w="1526" w:type="dxa"/>
            <w:vAlign w:val="center"/>
          </w:tcPr>
          <w:p w:rsidR="00BB5C1E" w:rsidRDefault="00AF434F">
            <w:pPr>
              <w:jc w:val="left"/>
            </w:pPr>
            <w:r>
              <w:rPr>
                <w:rFonts w:eastAsiaTheme="minorEastAsia"/>
                <w:szCs w:val="21"/>
              </w:rPr>
              <w:t>中国银行</w:t>
            </w:r>
            <w:r>
              <w:rPr>
                <w:rFonts w:eastAsiaTheme="minorEastAsia"/>
                <w:szCs w:val="21"/>
              </w:rPr>
              <w:t>(</w:t>
            </w:r>
            <w:r>
              <w:rPr>
                <w:rFonts w:eastAsiaTheme="minorEastAsia"/>
                <w:szCs w:val="21"/>
              </w:rPr>
              <w:t>香港</w:t>
            </w:r>
            <w:r>
              <w:rPr>
                <w:rFonts w:eastAsiaTheme="minorEastAsia"/>
                <w:szCs w:val="21"/>
              </w:rPr>
              <w:t>)-</w:t>
            </w:r>
            <w:r>
              <w:rPr>
                <w:rFonts w:eastAsiaTheme="minorEastAsia"/>
                <w:szCs w:val="21"/>
              </w:rPr>
              <w:t>活期存款</w:t>
            </w:r>
          </w:p>
        </w:tc>
        <w:tc>
          <w:tcPr>
            <w:tcW w:w="1851" w:type="dxa"/>
            <w:vAlign w:val="center"/>
          </w:tcPr>
          <w:p w:rsidR="00BB5C1E" w:rsidRDefault="00AF434F">
            <w:pPr>
              <w:jc w:val="right"/>
            </w:pPr>
            <w:r>
              <w:rPr>
                <w:rFonts w:eastAsiaTheme="minorEastAsia"/>
                <w:szCs w:val="21"/>
              </w:rPr>
              <w:t>560,015.67</w:t>
            </w:r>
          </w:p>
        </w:tc>
        <w:tc>
          <w:tcPr>
            <w:tcW w:w="1851" w:type="dxa"/>
            <w:vAlign w:val="center"/>
          </w:tcPr>
          <w:p w:rsidR="00BB5C1E" w:rsidRDefault="00AF434F">
            <w:pPr>
              <w:jc w:val="right"/>
            </w:pPr>
            <w:r>
              <w:rPr>
                <w:rFonts w:eastAsiaTheme="minorEastAsia"/>
                <w:szCs w:val="21"/>
              </w:rPr>
              <w:t>-</w:t>
            </w:r>
          </w:p>
        </w:tc>
        <w:tc>
          <w:tcPr>
            <w:tcW w:w="1851" w:type="dxa"/>
            <w:vAlign w:val="center"/>
          </w:tcPr>
          <w:p w:rsidR="00BB5C1E" w:rsidRDefault="00AF434F">
            <w:pPr>
              <w:jc w:val="right"/>
            </w:pPr>
            <w:r>
              <w:rPr>
                <w:rFonts w:eastAsiaTheme="minorEastAsia"/>
                <w:szCs w:val="21"/>
              </w:rPr>
              <w:t>1,634,224.57</w:t>
            </w:r>
          </w:p>
        </w:tc>
        <w:tc>
          <w:tcPr>
            <w:tcW w:w="1851" w:type="dxa"/>
            <w:vAlign w:val="center"/>
          </w:tcPr>
          <w:p w:rsidR="00BB5C1E" w:rsidRDefault="00AF434F">
            <w:pPr>
              <w:jc w:val="right"/>
            </w:pPr>
            <w:r>
              <w:rPr>
                <w:rFonts w:eastAsiaTheme="minorEastAsia"/>
                <w:szCs w:val="21"/>
              </w:rPr>
              <w:t>-</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注：本基金的上述银行存款由基金托管人中国银行股份有限公司和中国银行</w:t>
      </w:r>
      <w:r w:rsidRPr="00C24ACA">
        <w:rPr>
          <w:rFonts w:eastAsiaTheme="minorEastAsia"/>
          <w:kern w:val="0"/>
          <w:szCs w:val="21"/>
        </w:rPr>
        <w:t>(</w:t>
      </w:r>
      <w:r w:rsidRPr="00C24ACA">
        <w:rPr>
          <w:rFonts w:eastAsiaTheme="minorEastAsia"/>
          <w:kern w:val="0"/>
          <w:szCs w:val="21"/>
        </w:rPr>
        <w:t>香港</w:t>
      </w:r>
      <w:r w:rsidRPr="00C24ACA">
        <w:rPr>
          <w:rFonts w:eastAsiaTheme="minorEastAsia"/>
          <w:kern w:val="0"/>
          <w:szCs w:val="21"/>
        </w:rPr>
        <w:t>)</w:t>
      </w:r>
      <w:r w:rsidRPr="00C24ACA">
        <w:rPr>
          <w:rFonts w:eastAsiaTheme="minorEastAsia"/>
          <w:kern w:val="0"/>
          <w:szCs w:val="21"/>
        </w:rPr>
        <w:t>有限公司保管，按银行同业利率或约定利率计息。</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6.4.10.6</w:t>
      </w:r>
      <w:r w:rsidRPr="00C24ACA">
        <w:rPr>
          <w:rFonts w:eastAsiaTheme="minorEastAsia"/>
          <w:b/>
          <w:bCs/>
          <w:color w:val="000000"/>
          <w:szCs w:val="21"/>
        </w:rPr>
        <w:t>本基金在承销期内参与关联方承销证券的情况</w:t>
      </w:r>
    </w:p>
    <w:p w:rsidR="008A5A5D" w:rsidRPr="00C24ACA" w:rsidRDefault="00EF6CFA"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本基金本报告期及上年度可比期间未在承销期内参与关联方承销证券。</w:t>
      </w:r>
    </w:p>
    <w:p w:rsidR="00AE3215" w:rsidRPr="00A73188" w:rsidRDefault="00AE3215" w:rsidP="00732F5C">
      <w:pPr>
        <w:adjustRightInd w:val="0"/>
        <w:snapToGrid w:val="0"/>
        <w:spacing w:beforeLines="100" w:before="312" w:line="360" w:lineRule="auto"/>
        <w:rPr>
          <w:rFonts w:eastAsiaTheme="minorEastAsia"/>
          <w:b/>
          <w:color w:val="000000" w:themeColor="text1"/>
          <w:szCs w:val="21"/>
        </w:rPr>
      </w:pPr>
      <w:r w:rsidRPr="00A73188">
        <w:rPr>
          <w:rFonts w:eastAsiaTheme="minorEastAsia"/>
          <w:b/>
          <w:bCs/>
          <w:color w:val="000000" w:themeColor="text1"/>
          <w:kern w:val="0"/>
          <w:szCs w:val="21"/>
        </w:rPr>
        <w:t xml:space="preserve">6.4.10.7 </w:t>
      </w:r>
      <w:r w:rsidRPr="00A73188">
        <w:rPr>
          <w:rFonts w:eastAsiaTheme="minorEastAsia"/>
          <w:b/>
          <w:color w:val="000000" w:themeColor="text1"/>
          <w:szCs w:val="21"/>
        </w:rPr>
        <w:t>其他关联交易事项的说明</w:t>
      </w:r>
    </w:p>
    <w:p w:rsidR="00AE3215" w:rsidRPr="00A73188" w:rsidRDefault="00AE3215" w:rsidP="00AE3215">
      <w:pPr>
        <w:adjustRightInd w:val="0"/>
        <w:snapToGrid w:val="0"/>
        <w:spacing w:line="360" w:lineRule="auto"/>
        <w:rPr>
          <w:rFonts w:eastAsiaTheme="minorEastAsia"/>
          <w:b/>
          <w:color w:val="000000" w:themeColor="text1"/>
          <w:szCs w:val="21"/>
        </w:rPr>
      </w:pPr>
      <w:r w:rsidRPr="00A73188">
        <w:rPr>
          <w:rFonts w:eastAsiaTheme="minorEastAsia"/>
          <w:b/>
          <w:bCs/>
          <w:color w:val="000000" w:themeColor="text1"/>
          <w:kern w:val="0"/>
          <w:szCs w:val="21"/>
        </w:rPr>
        <w:t>6.4.10.7</w:t>
      </w:r>
      <w:r w:rsidRPr="00A73188">
        <w:rPr>
          <w:rFonts w:eastAsiaTheme="minorEastAsia" w:hint="eastAsia"/>
          <w:b/>
          <w:bCs/>
          <w:color w:val="000000" w:themeColor="text1"/>
          <w:kern w:val="0"/>
          <w:szCs w:val="21"/>
        </w:rPr>
        <w:t xml:space="preserve">.1 </w:t>
      </w:r>
      <w:r w:rsidRPr="00A73188">
        <w:rPr>
          <w:rFonts w:eastAsiaTheme="minorEastAsia"/>
          <w:b/>
          <w:color w:val="000000" w:themeColor="text1"/>
          <w:szCs w:val="21"/>
        </w:rPr>
        <w:t>其他关联交易事项的说明</w:t>
      </w:r>
    </w:p>
    <w:p w:rsidR="00AE3215" w:rsidRPr="001412CA" w:rsidRDefault="00AE3215"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无。</w:t>
      </w:r>
    </w:p>
    <w:p w:rsidR="00CC3588" w:rsidRDefault="008A5A5D" w:rsidP="00CC3588">
      <w:pPr>
        <w:adjustRightInd w:val="0"/>
        <w:snapToGrid w:val="0"/>
        <w:spacing w:beforeLines="50" w:before="156" w:line="360" w:lineRule="auto"/>
        <w:rPr>
          <w:rFonts w:eastAsiaTheme="minorEastAsia"/>
          <w:b/>
          <w:bCs/>
          <w:color w:val="000000"/>
          <w:szCs w:val="21"/>
        </w:rPr>
      </w:pPr>
      <w:r w:rsidRPr="00C24ACA">
        <w:rPr>
          <w:rFonts w:eastAsiaTheme="minorEastAsia"/>
          <w:b/>
          <w:bCs/>
          <w:color w:val="000000"/>
          <w:kern w:val="0"/>
          <w:szCs w:val="21"/>
        </w:rPr>
        <w:t>6.4.11</w:t>
      </w:r>
      <w:r w:rsidRPr="00C24ACA">
        <w:rPr>
          <w:rFonts w:eastAsiaTheme="minorEastAsia"/>
          <w:b/>
          <w:bCs/>
          <w:color w:val="000000"/>
          <w:szCs w:val="21"/>
        </w:rPr>
        <w:t>利润分配情况</w:t>
      </w:r>
    </w:p>
    <w:p w:rsidR="00CC3588" w:rsidRDefault="00CC3588" w:rsidP="00CC3588">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易方达标普消费品指数增强（</w:t>
      </w:r>
      <w:r>
        <w:rPr>
          <w:rFonts w:eastAsiaTheme="minorEastAsia"/>
          <w:b/>
          <w:color w:val="000000"/>
          <w:szCs w:val="21"/>
        </w:rPr>
        <w:t>QDII</w:t>
      </w:r>
      <w:r>
        <w:rPr>
          <w:rFonts w:eastAsiaTheme="minorEastAsia"/>
          <w:b/>
          <w:color w:val="000000"/>
          <w:szCs w:val="21"/>
        </w:rPr>
        <w:t>）</w:t>
      </w:r>
      <w:r>
        <w:rPr>
          <w:rFonts w:eastAsiaTheme="minorEastAsia"/>
          <w:b/>
          <w:color w:val="000000"/>
          <w:szCs w:val="21"/>
        </w:rPr>
        <w:t>A</w:t>
      </w:r>
    </w:p>
    <w:p w:rsidR="00CC3588" w:rsidRDefault="00CC3588" w:rsidP="00CC3588">
      <w:pPr>
        <w:tabs>
          <w:tab w:val="left" w:pos="426"/>
        </w:tabs>
        <w:spacing w:line="360" w:lineRule="auto"/>
        <w:ind w:firstLineChars="200" w:firstLine="420"/>
        <w:jc w:val="left"/>
        <w:rPr>
          <w:kern w:val="0"/>
          <w:szCs w:val="21"/>
        </w:rPr>
      </w:pPr>
      <w:r>
        <w:rPr>
          <w:kern w:val="0"/>
          <w:szCs w:val="21"/>
        </w:rPr>
        <w:t>本报告期内未发生利润分配。</w:t>
      </w:r>
    </w:p>
    <w:p w:rsidR="00CC3588" w:rsidRDefault="00CC3588" w:rsidP="00CC3588">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易方达标普消费品指数增强（</w:t>
      </w:r>
      <w:r>
        <w:rPr>
          <w:rFonts w:eastAsiaTheme="minorEastAsia"/>
          <w:b/>
          <w:color w:val="000000"/>
          <w:szCs w:val="21"/>
        </w:rPr>
        <w:t>QDII</w:t>
      </w:r>
      <w:r>
        <w:rPr>
          <w:rFonts w:eastAsiaTheme="minorEastAsia"/>
          <w:b/>
          <w:color w:val="000000"/>
          <w:szCs w:val="21"/>
        </w:rPr>
        <w:t>）</w:t>
      </w:r>
      <w:r>
        <w:rPr>
          <w:rFonts w:eastAsiaTheme="minorEastAsia"/>
          <w:b/>
          <w:color w:val="000000"/>
          <w:szCs w:val="21"/>
        </w:rPr>
        <w:t>C</w:t>
      </w:r>
    </w:p>
    <w:p w:rsidR="00CC3588" w:rsidRDefault="00CC3588" w:rsidP="00CC3588">
      <w:pPr>
        <w:tabs>
          <w:tab w:val="left" w:pos="426"/>
        </w:tabs>
        <w:spacing w:line="360" w:lineRule="auto"/>
        <w:ind w:firstLineChars="200" w:firstLine="420"/>
        <w:rPr>
          <w:rFonts w:eastAsiaTheme="minorEastAsia"/>
          <w:kern w:val="0"/>
          <w:szCs w:val="21"/>
        </w:rPr>
      </w:pPr>
      <w:r>
        <w:rPr>
          <w:kern w:val="0"/>
          <w:szCs w:val="21"/>
        </w:rPr>
        <w:t>本报告期内未发生利润分配。</w:t>
      </w:r>
    </w:p>
    <w:p w:rsidR="008A5A5D" w:rsidRPr="00C24ACA" w:rsidRDefault="008A5A5D" w:rsidP="00CC3588">
      <w:pPr>
        <w:adjustRightInd w:val="0"/>
        <w:snapToGrid w:val="0"/>
        <w:spacing w:beforeLines="50" w:before="156" w:line="360" w:lineRule="auto"/>
        <w:rPr>
          <w:rFonts w:eastAsiaTheme="minorEastAsia"/>
          <w:b/>
          <w:bCs/>
          <w:color w:val="000000"/>
          <w:szCs w:val="21"/>
        </w:rPr>
      </w:pPr>
      <w:r w:rsidRPr="00C24ACA">
        <w:rPr>
          <w:rFonts w:eastAsiaTheme="minorEastAsia"/>
          <w:b/>
          <w:bCs/>
          <w:color w:val="000000"/>
          <w:kern w:val="0"/>
          <w:szCs w:val="21"/>
        </w:rPr>
        <w:t>6.4.12</w:t>
      </w:r>
      <w:r w:rsidRPr="00C24ACA">
        <w:rPr>
          <w:rFonts w:eastAsiaTheme="minorEastAsia"/>
          <w:b/>
          <w:bCs/>
          <w:color w:val="000000"/>
          <w:szCs w:val="21"/>
        </w:rPr>
        <w:t>期末（</w:t>
      </w:r>
      <w:r w:rsidR="00AC4A34" w:rsidRPr="00C24ACA">
        <w:rPr>
          <w:rFonts w:eastAsiaTheme="minorEastAsia"/>
          <w:b/>
          <w:bCs/>
          <w:color w:val="000000"/>
          <w:szCs w:val="21"/>
        </w:rPr>
        <w:t>2020</w:t>
      </w:r>
      <w:r w:rsidR="00AC4A34" w:rsidRPr="00C24ACA">
        <w:rPr>
          <w:rFonts w:eastAsiaTheme="minorEastAsia"/>
          <w:b/>
          <w:bCs/>
          <w:color w:val="000000"/>
          <w:szCs w:val="21"/>
        </w:rPr>
        <w:t>年</w:t>
      </w:r>
      <w:r w:rsidR="00AC4A34" w:rsidRPr="00C24ACA">
        <w:rPr>
          <w:rFonts w:eastAsiaTheme="minorEastAsia"/>
          <w:b/>
          <w:bCs/>
          <w:color w:val="000000"/>
          <w:szCs w:val="21"/>
        </w:rPr>
        <w:t>6</w:t>
      </w:r>
      <w:r w:rsidR="00AC4A34" w:rsidRPr="00C24ACA">
        <w:rPr>
          <w:rFonts w:eastAsiaTheme="minorEastAsia"/>
          <w:b/>
          <w:bCs/>
          <w:color w:val="000000"/>
          <w:szCs w:val="21"/>
        </w:rPr>
        <w:t>月</w:t>
      </w:r>
      <w:r w:rsidR="00AC4A34" w:rsidRPr="00C24ACA">
        <w:rPr>
          <w:rFonts w:eastAsiaTheme="minorEastAsia"/>
          <w:b/>
          <w:bCs/>
          <w:color w:val="000000"/>
          <w:szCs w:val="21"/>
        </w:rPr>
        <w:t>30</w:t>
      </w:r>
      <w:r w:rsidR="00AC4A34" w:rsidRPr="00C24ACA">
        <w:rPr>
          <w:rFonts w:eastAsiaTheme="minorEastAsia"/>
          <w:b/>
          <w:bCs/>
          <w:color w:val="000000"/>
          <w:szCs w:val="21"/>
        </w:rPr>
        <w:t>日</w:t>
      </w:r>
      <w:r w:rsidRPr="00C24ACA">
        <w:rPr>
          <w:rFonts w:eastAsiaTheme="minorEastAsia"/>
          <w:b/>
          <w:bCs/>
          <w:color w:val="000000"/>
          <w:szCs w:val="21"/>
        </w:rPr>
        <w:t>）本基金持有的流通受限证券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6.4.12.1</w:t>
      </w:r>
      <w:r w:rsidRPr="00C24ACA">
        <w:rPr>
          <w:rFonts w:eastAsiaTheme="minorEastAsia"/>
          <w:b/>
          <w:bCs/>
          <w:color w:val="000000"/>
          <w:szCs w:val="21"/>
        </w:rPr>
        <w:t>因认购新发</w:t>
      </w:r>
      <w:r w:rsidRPr="00C24ACA">
        <w:rPr>
          <w:rFonts w:eastAsiaTheme="minorEastAsia"/>
          <w:b/>
          <w:bCs/>
          <w:color w:val="000000"/>
          <w:szCs w:val="21"/>
        </w:rPr>
        <w:t>/</w:t>
      </w:r>
      <w:r w:rsidRPr="00C24ACA">
        <w:rPr>
          <w:rFonts w:eastAsiaTheme="minorEastAsia"/>
          <w:b/>
          <w:bCs/>
          <w:color w:val="000000"/>
          <w:szCs w:val="21"/>
        </w:rPr>
        <w:t>增发证券而于期末持有的流通受限证券</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本基金无因认购新发</w:t>
      </w:r>
      <w:r w:rsidRPr="00C24ACA">
        <w:rPr>
          <w:rFonts w:eastAsiaTheme="minorEastAsia"/>
          <w:kern w:val="0"/>
          <w:szCs w:val="21"/>
        </w:rPr>
        <w:t>/</w:t>
      </w:r>
      <w:r w:rsidRPr="00C24ACA">
        <w:rPr>
          <w:rFonts w:eastAsiaTheme="minorEastAsia"/>
          <w:kern w:val="0"/>
          <w:szCs w:val="21"/>
        </w:rPr>
        <w:t>增发证券而于期末持有的流通受限证券。</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6.4.12.2</w:t>
      </w:r>
      <w:r w:rsidRPr="00C24ACA">
        <w:rPr>
          <w:rFonts w:eastAsiaTheme="minorEastAsia"/>
          <w:b/>
          <w:bCs/>
          <w:color w:val="000000"/>
          <w:szCs w:val="21"/>
        </w:rPr>
        <w:t>期末持有的暂时停牌等流通受限股票</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本基金本报告期末未持有暂时停牌等流通受限股票。</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6.4.12.3</w:t>
      </w:r>
      <w:r w:rsidRPr="00C24ACA">
        <w:rPr>
          <w:rFonts w:eastAsiaTheme="minorEastAsia"/>
          <w:b/>
          <w:bCs/>
          <w:color w:val="000000"/>
          <w:szCs w:val="21"/>
        </w:rPr>
        <w:t>期末债券正回购交易中作为抵押的债券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6.4.12.3.1</w:t>
      </w:r>
      <w:r w:rsidRPr="00C24ACA">
        <w:rPr>
          <w:rFonts w:eastAsiaTheme="minorEastAsia"/>
          <w:b/>
          <w:bCs/>
          <w:color w:val="000000"/>
          <w:szCs w:val="21"/>
        </w:rPr>
        <w:t>银行间市场债券正回购</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日止，本基金从事银行间市场债券正回购交易形成的卖出回购证券款余额为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6.4.12.3.2</w:t>
      </w:r>
      <w:r w:rsidRPr="00C24ACA">
        <w:rPr>
          <w:rFonts w:eastAsiaTheme="minorEastAsia"/>
          <w:b/>
          <w:bCs/>
          <w:color w:val="000000"/>
          <w:szCs w:val="21"/>
        </w:rPr>
        <w:t>交易所市场债券正回购</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日止，本基金从事证券交易所债券正回购交易形成的卖出回购证券款余额为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w:t>
      </w:r>
      <w:r w:rsidRPr="00C24ACA">
        <w:rPr>
          <w:rFonts w:eastAsiaTheme="minorEastAsia"/>
          <w:b/>
          <w:bCs/>
          <w:color w:val="000000"/>
          <w:szCs w:val="21"/>
        </w:rPr>
        <w:t>金融工具风险及管理</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6.4.13.1</w:t>
      </w:r>
      <w:r w:rsidRPr="00C24ACA">
        <w:rPr>
          <w:rFonts w:eastAsiaTheme="minorEastAsia"/>
          <w:b/>
          <w:bCs/>
          <w:color w:val="000000"/>
          <w:szCs w:val="21"/>
        </w:rPr>
        <w:t>风险管理政策和组织架构</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本基金管理人按照</w:t>
      </w:r>
      <w:r>
        <w:rPr>
          <w:rFonts w:eastAsiaTheme="minorEastAsia"/>
          <w:kern w:val="0"/>
          <w:szCs w:val="21"/>
        </w:rPr>
        <w:t>“</w:t>
      </w:r>
      <w:r>
        <w:rPr>
          <w:rFonts w:eastAsiaTheme="minorEastAsia"/>
          <w:kern w:val="0"/>
          <w:szCs w:val="21"/>
        </w:rPr>
        <w:t>自上而下与自下而上相结合，全面管理、专业分工</w:t>
      </w:r>
      <w:r>
        <w:rPr>
          <w:rFonts w:eastAsiaTheme="minorEastAsia"/>
          <w:kern w:val="0"/>
          <w:szCs w:val="21"/>
        </w:rPr>
        <w:t>”</w:t>
      </w:r>
      <w:r>
        <w:rPr>
          <w:rFonts w:eastAsiaTheme="minorEastAsia"/>
          <w:kern w:val="0"/>
          <w:szCs w:val="21"/>
        </w:rPr>
        <w:t>的思路，将风险控制嵌入到全公司的组织架构中，对风险实行多层次、多角度、全方位的管理。</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rFonts w:eastAsiaTheme="minorEastAsia"/>
          <w:kern w:val="0"/>
          <w:szCs w:val="21"/>
        </w:rPr>
        <w:t>“</w:t>
      </w:r>
      <w:r>
        <w:rPr>
          <w:rFonts w:eastAsiaTheme="minorEastAsia"/>
          <w:kern w:val="0"/>
          <w:szCs w:val="21"/>
        </w:rPr>
        <w:t>事前的风险定位、事中的风险管理和事后的风险评估</w:t>
      </w:r>
      <w:r>
        <w:rPr>
          <w:rFonts w:eastAsiaTheme="minorEastAsia"/>
          <w:kern w:val="0"/>
          <w:szCs w:val="21"/>
        </w:rPr>
        <w:t>”</w:t>
      </w:r>
      <w:r>
        <w:rPr>
          <w:rFonts w:eastAsiaTheme="minorEastAsia"/>
          <w:kern w:val="0"/>
          <w:szCs w:val="21"/>
        </w:rPr>
        <w:t>的健全的风险监控体系。</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为股票基金，其预期风险与收益水平高于货币市场基金、债券基金和混合型基金。本基金在控制跟踪误差的基础上，力争获得超越业绩比较基准的收益。长期来看，本基金具有与业绩比较基准相近的风险水平。本基金主要投资于全球高端消费品企业，需承担汇率风险、国家风险和高端消费品企业特有的风险。</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6.4.13.2</w:t>
      </w:r>
      <w:r w:rsidRPr="00C24ACA">
        <w:rPr>
          <w:rFonts w:eastAsiaTheme="minorEastAsia"/>
          <w:b/>
          <w:bCs/>
          <w:color w:val="000000"/>
          <w:szCs w:val="21"/>
        </w:rPr>
        <w:t>信用风险</w:t>
      </w:r>
    </w:p>
    <w:p w:rsidR="00BB5C1E" w:rsidRDefault="00AF434F">
      <w:pPr>
        <w:tabs>
          <w:tab w:val="left" w:pos="426"/>
        </w:tabs>
        <w:spacing w:line="360" w:lineRule="auto"/>
        <w:ind w:firstLineChars="200" w:firstLine="420"/>
        <w:rPr>
          <w:kern w:val="0"/>
          <w:szCs w:val="21"/>
        </w:rPr>
      </w:pPr>
      <w:r>
        <w:rPr>
          <w:rFonts w:eastAsiaTheme="minorEastAsia"/>
          <w:kern w:val="0"/>
          <w:szCs w:val="21"/>
        </w:rPr>
        <w:t>信用风险是指基金在交易过程中因交易对手未履行合约责任（本基金为进行避险和组合的有效管理可以投资衍生品）</w:t>
      </w:r>
      <w:r>
        <w:rPr>
          <w:rFonts w:eastAsiaTheme="minorEastAsia"/>
          <w:kern w:val="0"/>
          <w:szCs w:val="21"/>
        </w:rPr>
        <w:t>,</w:t>
      </w:r>
      <w:r>
        <w:rPr>
          <w:rFonts w:eastAsiaTheme="minorEastAsia"/>
          <w:kern w:val="0"/>
          <w:szCs w:val="21"/>
        </w:rPr>
        <w:t>或者基金所投资证券之发行人出现违约（包括国家信用风险）、拒绝支付到期本息</w:t>
      </w:r>
      <w:r>
        <w:rPr>
          <w:rFonts w:eastAsiaTheme="minorEastAsia"/>
          <w:kern w:val="0"/>
          <w:szCs w:val="21"/>
        </w:rPr>
        <w:t>,</w:t>
      </w:r>
      <w:r>
        <w:rPr>
          <w:rFonts w:eastAsiaTheme="minorEastAsia"/>
          <w:kern w:val="0"/>
          <w:szCs w:val="21"/>
        </w:rPr>
        <w:t>导致基金资产损失和收益变化的风险。本基金管理人通过严格的投资备选库制度和交易对手备选库制度及分散化投资方式防范信用风险。</w:t>
      </w:r>
    </w:p>
    <w:p w:rsidR="00831CAC" w:rsidRDefault="008A5A5D" w:rsidP="00831CAC">
      <w:pPr>
        <w:tabs>
          <w:tab w:val="left" w:pos="426"/>
        </w:tabs>
        <w:spacing w:line="360" w:lineRule="auto"/>
        <w:ind w:firstLineChars="200" w:firstLine="420"/>
        <w:rPr>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日，本基金持有的除国债、央行票据和政策性金融债以外的债券占基金资产净值的比例为</w:t>
      </w:r>
      <w:r w:rsidRPr="00C24ACA">
        <w:rPr>
          <w:rFonts w:eastAsiaTheme="minorEastAsia"/>
          <w:kern w:val="0"/>
          <w:szCs w:val="21"/>
        </w:rPr>
        <w:t>0.00%(2019</w:t>
      </w:r>
      <w:r w:rsidRPr="00C24ACA">
        <w:rPr>
          <w:rFonts w:eastAsiaTheme="minorEastAsia"/>
          <w:kern w:val="0"/>
          <w:szCs w:val="21"/>
        </w:rPr>
        <w:t>年</w:t>
      </w:r>
      <w:r w:rsidRPr="00C24ACA">
        <w:rPr>
          <w:rFonts w:eastAsiaTheme="minorEastAsia"/>
          <w:kern w:val="0"/>
          <w:szCs w:val="21"/>
        </w:rPr>
        <w:t>12</w:t>
      </w:r>
      <w:r w:rsidRPr="00C24ACA">
        <w:rPr>
          <w:rFonts w:eastAsiaTheme="minorEastAsia"/>
          <w:kern w:val="0"/>
          <w:szCs w:val="21"/>
        </w:rPr>
        <w:t>月</w:t>
      </w:r>
      <w:r w:rsidRPr="00C24ACA">
        <w:rPr>
          <w:rFonts w:eastAsiaTheme="minorEastAsia"/>
          <w:kern w:val="0"/>
          <w:szCs w:val="21"/>
        </w:rPr>
        <w:t>31</w:t>
      </w:r>
      <w:r w:rsidRPr="00C24ACA">
        <w:rPr>
          <w:rFonts w:eastAsiaTheme="minorEastAsia"/>
          <w:kern w:val="0"/>
          <w:szCs w:val="21"/>
        </w:rPr>
        <w:t>日：</w:t>
      </w:r>
      <w:r w:rsidRPr="00C24ACA">
        <w:rPr>
          <w:rFonts w:eastAsiaTheme="minorEastAsia"/>
          <w:kern w:val="0"/>
          <w:szCs w:val="21"/>
        </w:rPr>
        <w:t>0.00%)</w:t>
      </w:r>
      <w:r w:rsidRPr="00C24ACA">
        <w:rPr>
          <w:rFonts w:eastAsiaTheme="minorEastAsia"/>
          <w:kern w:val="0"/>
          <w:szCs w:val="21"/>
        </w:rPr>
        <w:t>。</w:t>
      </w:r>
    </w:p>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6.4.13.2.1 </w:t>
      </w:r>
      <w:r w:rsidRPr="00BD7906">
        <w:rPr>
          <w:rFonts w:eastAsiaTheme="minorEastAsia" w:hint="eastAsia"/>
          <w:b/>
          <w:color w:val="000000"/>
          <w:szCs w:val="21"/>
        </w:rPr>
        <w:t>按短期信用评级列示的债券投资</w:t>
      </w:r>
    </w:p>
    <w:p w:rsidR="00831CAC" w:rsidRDefault="00831CAC" w:rsidP="00831CAC">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831CAC" w:rsidTr="00A218AC">
        <w:trPr>
          <w:jc w:val="center"/>
        </w:trPr>
        <w:tc>
          <w:tcPr>
            <w:tcW w:w="2552" w:type="dxa"/>
            <w:vAlign w:val="center"/>
            <w:hideMark/>
          </w:tcPr>
          <w:p w:rsidR="00831CAC" w:rsidRDefault="00831CAC">
            <w:pPr>
              <w:jc w:val="center"/>
              <w:rPr>
                <w:szCs w:val="21"/>
              </w:rPr>
            </w:pPr>
            <w:r>
              <w:rPr>
                <w:rFonts w:hint="eastAsia"/>
                <w:szCs w:val="21"/>
              </w:rPr>
              <w:t>短期信用评级</w:t>
            </w:r>
          </w:p>
        </w:tc>
        <w:tc>
          <w:tcPr>
            <w:tcW w:w="3045" w:type="dxa"/>
            <w:vAlign w:val="center"/>
            <w:hideMark/>
          </w:tcPr>
          <w:p w:rsidR="00831CAC" w:rsidRDefault="00831CAC">
            <w:pPr>
              <w:widowControl/>
              <w:autoSpaceDE w:val="0"/>
              <w:autoSpaceDN w:val="0"/>
              <w:ind w:right="-15"/>
              <w:jc w:val="center"/>
              <w:textAlignment w:val="bottom"/>
              <w:rPr>
                <w:szCs w:val="21"/>
              </w:rPr>
            </w:pPr>
            <w:r>
              <w:rPr>
                <w:rFonts w:hint="eastAsia"/>
                <w:szCs w:val="21"/>
              </w:rPr>
              <w:t>本期末</w:t>
            </w:r>
          </w:p>
          <w:p w:rsidR="00831CAC" w:rsidRDefault="00831CAC">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831CAC" w:rsidRDefault="00831CAC">
            <w:pPr>
              <w:widowControl/>
              <w:autoSpaceDE w:val="0"/>
              <w:autoSpaceDN w:val="0"/>
              <w:ind w:right="-15"/>
              <w:jc w:val="center"/>
              <w:textAlignment w:val="bottom"/>
              <w:rPr>
                <w:szCs w:val="21"/>
              </w:rPr>
            </w:pPr>
            <w:r>
              <w:rPr>
                <w:rFonts w:hint="eastAsia"/>
                <w:szCs w:val="21"/>
              </w:rPr>
              <w:t>上年度末</w:t>
            </w:r>
          </w:p>
          <w:p w:rsidR="00831CAC" w:rsidRDefault="00831CAC">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31CAC" w:rsidTr="00A218AC">
        <w:trPr>
          <w:jc w:val="center"/>
        </w:trPr>
        <w:tc>
          <w:tcPr>
            <w:tcW w:w="2552" w:type="dxa"/>
            <w:vAlign w:val="center"/>
            <w:hideMark/>
          </w:tcPr>
          <w:p w:rsidR="00831CAC" w:rsidRDefault="00831CAC">
            <w:pPr>
              <w:rPr>
                <w:szCs w:val="21"/>
              </w:rPr>
            </w:pPr>
            <w:r>
              <w:rPr>
                <w:szCs w:val="21"/>
              </w:rPr>
              <w:t>A-1</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r w:rsidR="00831CAC" w:rsidTr="00A218AC">
        <w:trPr>
          <w:jc w:val="center"/>
        </w:trPr>
        <w:tc>
          <w:tcPr>
            <w:tcW w:w="2552" w:type="dxa"/>
            <w:vAlign w:val="center"/>
            <w:hideMark/>
          </w:tcPr>
          <w:p w:rsidR="00831CAC" w:rsidRDefault="00831CAC">
            <w:pPr>
              <w:rPr>
                <w:szCs w:val="21"/>
              </w:rPr>
            </w:pPr>
            <w:r>
              <w:rPr>
                <w:szCs w:val="21"/>
              </w:rPr>
              <w:t>A-1</w:t>
            </w:r>
            <w:r>
              <w:rPr>
                <w:rFonts w:hint="eastAsia"/>
                <w:szCs w:val="21"/>
              </w:rPr>
              <w:t>以下</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r w:rsidR="00831CAC" w:rsidTr="00A218AC">
        <w:trPr>
          <w:jc w:val="center"/>
        </w:trPr>
        <w:tc>
          <w:tcPr>
            <w:tcW w:w="2552" w:type="dxa"/>
            <w:vAlign w:val="center"/>
            <w:hideMark/>
          </w:tcPr>
          <w:p w:rsidR="00831CAC" w:rsidRDefault="00831CAC">
            <w:pPr>
              <w:rPr>
                <w:szCs w:val="21"/>
              </w:rPr>
            </w:pPr>
            <w:r>
              <w:rPr>
                <w:rFonts w:hint="eastAsia"/>
                <w:kern w:val="0"/>
                <w:szCs w:val="21"/>
              </w:rPr>
              <w:t>未评级</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r w:rsidR="00831CAC" w:rsidTr="00A218AC">
        <w:trPr>
          <w:jc w:val="center"/>
        </w:trPr>
        <w:tc>
          <w:tcPr>
            <w:tcW w:w="2552" w:type="dxa"/>
            <w:vAlign w:val="center"/>
            <w:hideMark/>
          </w:tcPr>
          <w:p w:rsidR="00831CAC" w:rsidRDefault="00831CAC">
            <w:pPr>
              <w:rPr>
                <w:szCs w:val="21"/>
              </w:rPr>
            </w:pPr>
            <w:r>
              <w:rPr>
                <w:rFonts w:hint="eastAsia"/>
                <w:kern w:val="0"/>
                <w:szCs w:val="21"/>
              </w:rPr>
              <w:t>合计</w:t>
            </w:r>
          </w:p>
        </w:tc>
        <w:tc>
          <w:tcPr>
            <w:tcW w:w="3045" w:type="dxa"/>
            <w:vAlign w:val="center"/>
            <w:hideMark/>
          </w:tcPr>
          <w:p w:rsidR="00831CAC" w:rsidRDefault="00831CAC">
            <w:pPr>
              <w:jc w:val="right"/>
              <w:rPr>
                <w:szCs w:val="21"/>
              </w:rPr>
            </w:pPr>
            <w:r>
              <w:rPr>
                <w:szCs w:val="21"/>
              </w:rPr>
              <w:t>0.00</w:t>
            </w:r>
          </w:p>
        </w:tc>
        <w:tc>
          <w:tcPr>
            <w:tcW w:w="3043" w:type="dxa"/>
            <w:vAlign w:val="center"/>
            <w:hideMark/>
          </w:tcPr>
          <w:p w:rsidR="00831CAC" w:rsidRDefault="00831CAC">
            <w:pPr>
              <w:jc w:val="right"/>
              <w:rPr>
                <w:szCs w:val="21"/>
              </w:rPr>
            </w:pPr>
            <w:r>
              <w:rPr>
                <w:szCs w:val="21"/>
              </w:rPr>
              <w:t>0.00</w:t>
            </w:r>
          </w:p>
        </w:tc>
      </w:tr>
    </w:tbl>
    <w:p w:rsidR="00BB5C1E" w:rsidRDefault="00AF434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BB5C1E" w:rsidRDefault="00AF434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831CAC" w:rsidRDefault="00831CAC" w:rsidP="00831CAC">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6.4.13.2.2 </w:t>
      </w:r>
      <w:r w:rsidRPr="00BD7906">
        <w:rPr>
          <w:rFonts w:eastAsiaTheme="minorEastAsia" w:hint="eastAsia"/>
          <w:b/>
          <w:color w:val="000000"/>
          <w:szCs w:val="21"/>
        </w:rPr>
        <w:t>按短期信用评级列示的资产支持证券投资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831CAC" w:rsidTr="00A218AC">
        <w:trPr>
          <w:jc w:val="center"/>
        </w:trPr>
        <w:tc>
          <w:tcPr>
            <w:tcW w:w="2552" w:type="dxa"/>
            <w:vAlign w:val="center"/>
            <w:hideMark/>
          </w:tcPr>
          <w:p w:rsidR="00831CAC" w:rsidRDefault="00831CAC">
            <w:pPr>
              <w:jc w:val="center"/>
              <w:rPr>
                <w:rFonts w:eastAsiaTheme="minorEastAsia"/>
                <w:szCs w:val="21"/>
              </w:rPr>
            </w:pPr>
            <w:r>
              <w:rPr>
                <w:rFonts w:eastAsiaTheme="minorEastAsia" w:hint="eastAsia"/>
                <w:szCs w:val="21"/>
              </w:rPr>
              <w:t>短期信用评级</w:t>
            </w:r>
          </w:p>
        </w:tc>
        <w:tc>
          <w:tcPr>
            <w:tcW w:w="3049"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552" w:type="dxa"/>
            <w:hideMark/>
          </w:tcPr>
          <w:p w:rsidR="00831CAC" w:rsidRDefault="00831CAC">
            <w:pPr>
              <w:rPr>
                <w:rFonts w:eastAsiaTheme="minorEastAsia"/>
                <w:szCs w:val="21"/>
              </w:rPr>
            </w:pPr>
            <w:r>
              <w:rPr>
                <w:rFonts w:eastAsiaTheme="minorEastAsia"/>
                <w:szCs w:val="21"/>
              </w:rPr>
              <w:t>A-1</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552" w:type="dxa"/>
            <w:hideMark/>
          </w:tcPr>
          <w:p w:rsidR="00831CAC" w:rsidRDefault="00831CAC">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552"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552" w:type="dxa"/>
            <w:vAlign w:val="center"/>
            <w:hideMark/>
          </w:tcPr>
          <w:p w:rsidR="00831CAC" w:rsidRDefault="00831CAC">
            <w:pPr>
              <w:rPr>
                <w:rFonts w:eastAsiaTheme="minorEastAsia"/>
                <w:szCs w:val="21"/>
              </w:rPr>
            </w:pPr>
            <w:r>
              <w:rPr>
                <w:rFonts w:eastAsiaTheme="minorEastAsia" w:hint="eastAsia"/>
                <w:kern w:val="0"/>
                <w:szCs w:val="21"/>
              </w:rPr>
              <w:t>合计</w:t>
            </w:r>
          </w:p>
        </w:tc>
        <w:tc>
          <w:tcPr>
            <w:tcW w:w="3049"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bl>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6.4.13.2.3 </w:t>
      </w:r>
      <w:r w:rsidRPr="00BD7906">
        <w:rPr>
          <w:rFonts w:eastAsiaTheme="minorEastAsia" w:hint="eastAsia"/>
          <w:b/>
          <w:color w:val="000000"/>
          <w:szCs w:val="21"/>
        </w:rPr>
        <w:t>按短期信用评级列示的同业存单投资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31CAC" w:rsidTr="00A218AC">
        <w:trPr>
          <w:jc w:val="center"/>
        </w:trPr>
        <w:tc>
          <w:tcPr>
            <w:tcW w:w="2624" w:type="dxa"/>
            <w:vAlign w:val="center"/>
            <w:hideMark/>
          </w:tcPr>
          <w:p w:rsidR="00831CAC" w:rsidRDefault="00831CAC">
            <w:pPr>
              <w:jc w:val="center"/>
              <w:rPr>
                <w:rFonts w:eastAsiaTheme="minorEastAsia"/>
                <w:szCs w:val="21"/>
              </w:rPr>
            </w:pPr>
            <w:r>
              <w:rPr>
                <w:rFonts w:eastAsiaTheme="minorEastAsia" w:hint="eastAsia"/>
                <w:szCs w:val="21"/>
              </w:rPr>
              <w:t>短期信用评级</w:t>
            </w:r>
          </w:p>
        </w:tc>
        <w:tc>
          <w:tcPr>
            <w:tcW w:w="2977"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A-1</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合计</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bl>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6.4.13.2.4 </w:t>
      </w:r>
      <w:r w:rsidRPr="00BD7906">
        <w:rPr>
          <w:rFonts w:eastAsiaTheme="minorEastAsia" w:hint="eastAsia"/>
          <w:b/>
          <w:color w:val="000000"/>
          <w:szCs w:val="21"/>
        </w:rPr>
        <w:t>按长期信用评级列示的债券投资</w:t>
      </w:r>
    </w:p>
    <w:p w:rsidR="00831CAC" w:rsidRDefault="00831CAC" w:rsidP="00831CAC">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831CAC" w:rsidTr="00A218AC">
        <w:tc>
          <w:tcPr>
            <w:tcW w:w="2655" w:type="dxa"/>
            <w:vAlign w:val="center"/>
            <w:hideMark/>
          </w:tcPr>
          <w:p w:rsidR="00831CAC" w:rsidRDefault="00831CAC">
            <w:pPr>
              <w:jc w:val="center"/>
              <w:rPr>
                <w:szCs w:val="21"/>
              </w:rPr>
            </w:pPr>
            <w:r>
              <w:rPr>
                <w:rFonts w:hint="eastAsia"/>
                <w:szCs w:val="21"/>
              </w:rPr>
              <w:t>长期信用评级</w:t>
            </w:r>
          </w:p>
        </w:tc>
        <w:tc>
          <w:tcPr>
            <w:tcW w:w="2977" w:type="dxa"/>
            <w:vAlign w:val="center"/>
            <w:hideMark/>
          </w:tcPr>
          <w:p w:rsidR="00831CAC" w:rsidRDefault="00831CAC">
            <w:pPr>
              <w:widowControl/>
              <w:autoSpaceDE w:val="0"/>
              <w:autoSpaceDN w:val="0"/>
              <w:ind w:right="-15"/>
              <w:jc w:val="center"/>
              <w:textAlignment w:val="bottom"/>
              <w:rPr>
                <w:szCs w:val="21"/>
              </w:rPr>
            </w:pPr>
            <w:r>
              <w:rPr>
                <w:rFonts w:hint="eastAsia"/>
                <w:szCs w:val="21"/>
              </w:rPr>
              <w:t>本期末</w:t>
            </w:r>
          </w:p>
          <w:p w:rsidR="00831CAC" w:rsidRDefault="00831CAC">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831CAC" w:rsidRDefault="00831CAC">
            <w:pPr>
              <w:widowControl/>
              <w:autoSpaceDE w:val="0"/>
              <w:autoSpaceDN w:val="0"/>
              <w:ind w:right="-15"/>
              <w:jc w:val="center"/>
              <w:textAlignment w:val="bottom"/>
              <w:rPr>
                <w:szCs w:val="21"/>
              </w:rPr>
            </w:pPr>
            <w:r>
              <w:rPr>
                <w:rFonts w:hint="eastAsia"/>
                <w:szCs w:val="21"/>
              </w:rPr>
              <w:t>上年度末</w:t>
            </w:r>
          </w:p>
          <w:p w:rsidR="00831CAC" w:rsidRDefault="00831CAC">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31CAC" w:rsidTr="00A218AC">
        <w:tc>
          <w:tcPr>
            <w:tcW w:w="2655" w:type="dxa"/>
            <w:vAlign w:val="center"/>
            <w:hideMark/>
          </w:tcPr>
          <w:p w:rsidR="00831CAC" w:rsidRDefault="00831CAC">
            <w:pPr>
              <w:rPr>
                <w:szCs w:val="21"/>
              </w:rPr>
            </w:pPr>
            <w:r>
              <w:rPr>
                <w:szCs w:val="21"/>
              </w:rPr>
              <w:t>AAA</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r w:rsidR="00831CAC" w:rsidTr="00A218AC">
        <w:tc>
          <w:tcPr>
            <w:tcW w:w="2655" w:type="dxa"/>
            <w:vAlign w:val="center"/>
            <w:hideMark/>
          </w:tcPr>
          <w:p w:rsidR="00831CAC" w:rsidRDefault="00831CAC">
            <w:pPr>
              <w:rPr>
                <w:szCs w:val="21"/>
              </w:rPr>
            </w:pPr>
            <w:r>
              <w:rPr>
                <w:szCs w:val="21"/>
              </w:rPr>
              <w:t>AAA</w:t>
            </w:r>
            <w:r>
              <w:rPr>
                <w:rFonts w:hint="eastAsia"/>
                <w:szCs w:val="21"/>
              </w:rPr>
              <w:t>以下</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r w:rsidR="00831CAC" w:rsidTr="00A218AC">
        <w:tc>
          <w:tcPr>
            <w:tcW w:w="2655" w:type="dxa"/>
            <w:vAlign w:val="center"/>
            <w:hideMark/>
          </w:tcPr>
          <w:p w:rsidR="00831CAC" w:rsidRDefault="00831CAC">
            <w:pPr>
              <w:rPr>
                <w:szCs w:val="21"/>
              </w:rPr>
            </w:pPr>
            <w:r>
              <w:rPr>
                <w:rFonts w:hint="eastAsia"/>
                <w:kern w:val="0"/>
                <w:szCs w:val="21"/>
              </w:rPr>
              <w:t>未评级</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r w:rsidR="00831CAC" w:rsidTr="00A218AC">
        <w:tc>
          <w:tcPr>
            <w:tcW w:w="2655" w:type="dxa"/>
            <w:vAlign w:val="center"/>
            <w:hideMark/>
          </w:tcPr>
          <w:p w:rsidR="00831CAC" w:rsidRDefault="00831CAC">
            <w:pPr>
              <w:rPr>
                <w:kern w:val="0"/>
                <w:szCs w:val="21"/>
              </w:rPr>
            </w:pPr>
            <w:r>
              <w:rPr>
                <w:rFonts w:hint="eastAsia"/>
                <w:kern w:val="0"/>
                <w:szCs w:val="21"/>
              </w:rPr>
              <w:t>合计</w:t>
            </w:r>
          </w:p>
        </w:tc>
        <w:tc>
          <w:tcPr>
            <w:tcW w:w="2977" w:type="dxa"/>
            <w:vAlign w:val="center"/>
            <w:hideMark/>
          </w:tcPr>
          <w:p w:rsidR="00831CAC" w:rsidRDefault="00831CAC">
            <w:pPr>
              <w:jc w:val="right"/>
              <w:rPr>
                <w:szCs w:val="21"/>
              </w:rPr>
            </w:pPr>
            <w:r>
              <w:rPr>
                <w:szCs w:val="21"/>
              </w:rPr>
              <w:t>0.00</w:t>
            </w:r>
          </w:p>
        </w:tc>
        <w:tc>
          <w:tcPr>
            <w:tcW w:w="3008" w:type="dxa"/>
            <w:vAlign w:val="center"/>
            <w:hideMark/>
          </w:tcPr>
          <w:p w:rsidR="00831CAC" w:rsidRDefault="00831CAC">
            <w:pPr>
              <w:jc w:val="right"/>
              <w:rPr>
                <w:szCs w:val="21"/>
              </w:rPr>
            </w:pPr>
            <w:r>
              <w:rPr>
                <w:szCs w:val="21"/>
              </w:rPr>
              <w:t>0.00</w:t>
            </w:r>
          </w:p>
        </w:tc>
      </w:tr>
    </w:tbl>
    <w:p w:rsidR="00BB5C1E" w:rsidRDefault="00AF434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BB5C1E" w:rsidRDefault="00AF434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831CAC" w:rsidRDefault="00831CAC" w:rsidP="00831CAC">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 xml:space="preserve">6.4.13.2.5 </w:t>
      </w:r>
      <w:r w:rsidRPr="00BD7906">
        <w:rPr>
          <w:rFonts w:eastAsiaTheme="minorEastAsia" w:hint="eastAsia"/>
          <w:b/>
          <w:color w:val="000000"/>
          <w:szCs w:val="21"/>
        </w:rPr>
        <w:t>按长期信用评级列示的资产支持证券投资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31CAC" w:rsidTr="00A218AC">
        <w:trPr>
          <w:jc w:val="center"/>
        </w:trPr>
        <w:tc>
          <w:tcPr>
            <w:tcW w:w="2624" w:type="dxa"/>
            <w:vAlign w:val="center"/>
            <w:hideMark/>
          </w:tcPr>
          <w:p w:rsidR="00831CAC" w:rsidRDefault="00831CAC">
            <w:pPr>
              <w:jc w:val="center"/>
              <w:rPr>
                <w:rFonts w:eastAsiaTheme="minorEastAsia"/>
                <w:szCs w:val="21"/>
              </w:rPr>
            </w:pPr>
            <w:r>
              <w:rPr>
                <w:rFonts w:eastAsiaTheme="minorEastAsia" w:hint="eastAsia"/>
                <w:szCs w:val="21"/>
              </w:rPr>
              <w:t>长期信用评级</w:t>
            </w:r>
          </w:p>
        </w:tc>
        <w:tc>
          <w:tcPr>
            <w:tcW w:w="2977"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kern w:val="0"/>
                <w:szCs w:val="21"/>
              </w:rPr>
            </w:pPr>
            <w:r>
              <w:rPr>
                <w:rFonts w:eastAsiaTheme="minorEastAsia" w:hint="eastAsia"/>
                <w:kern w:val="0"/>
                <w:szCs w:val="21"/>
              </w:rPr>
              <w:t>合计</w:t>
            </w:r>
          </w:p>
        </w:tc>
        <w:tc>
          <w:tcPr>
            <w:tcW w:w="2977" w:type="dxa"/>
            <w:vAlign w:val="center"/>
            <w:hideMark/>
          </w:tcPr>
          <w:p w:rsidR="00831CAC" w:rsidRDefault="00831CAC">
            <w:pPr>
              <w:jc w:val="right"/>
              <w:rPr>
                <w:rFonts w:eastAsiaTheme="minorEastAsia"/>
                <w:szCs w:val="21"/>
              </w:rPr>
            </w:pPr>
            <w:r>
              <w:rPr>
                <w:rFonts w:eastAsiaTheme="minorEastAsia"/>
                <w:szCs w:val="21"/>
              </w:rPr>
              <w:t>0.00</w:t>
            </w:r>
          </w:p>
        </w:tc>
        <w:tc>
          <w:tcPr>
            <w:tcW w:w="3046" w:type="dxa"/>
            <w:vAlign w:val="center"/>
            <w:hideMark/>
          </w:tcPr>
          <w:p w:rsidR="00831CAC" w:rsidRDefault="00831CAC">
            <w:pPr>
              <w:jc w:val="right"/>
              <w:rPr>
                <w:rFonts w:eastAsiaTheme="minorEastAsia"/>
                <w:szCs w:val="21"/>
              </w:rPr>
            </w:pPr>
            <w:r>
              <w:rPr>
                <w:rFonts w:eastAsiaTheme="minorEastAsia"/>
                <w:szCs w:val="21"/>
              </w:rPr>
              <w:t>0.00</w:t>
            </w:r>
          </w:p>
        </w:tc>
      </w:tr>
    </w:tbl>
    <w:p w:rsidR="00831CAC" w:rsidRPr="00BD7906" w:rsidRDefault="00831CAC" w:rsidP="00BD7906">
      <w:pPr>
        <w:spacing w:beforeLines="100" w:before="312" w:line="360" w:lineRule="auto"/>
        <w:rPr>
          <w:rFonts w:eastAsiaTheme="minorEastAsia"/>
          <w:b/>
          <w:color w:val="000000"/>
          <w:szCs w:val="21"/>
        </w:rPr>
      </w:pPr>
      <w:r w:rsidRPr="00BD7906">
        <w:rPr>
          <w:rFonts w:eastAsiaTheme="minorEastAsia" w:hint="eastAsia"/>
          <w:b/>
          <w:color w:val="000000"/>
          <w:szCs w:val="21"/>
        </w:rPr>
        <w:t>6.4.13.2.6</w:t>
      </w:r>
      <w:r w:rsidRPr="00BD7906">
        <w:rPr>
          <w:rFonts w:eastAsiaTheme="minorEastAsia" w:hint="eastAsia"/>
          <w:b/>
          <w:color w:val="000000"/>
          <w:szCs w:val="21"/>
        </w:rPr>
        <w:t>按长期信用评级列示的同业存单投资</w:t>
      </w:r>
    </w:p>
    <w:p w:rsidR="00831CAC" w:rsidRDefault="00831CAC" w:rsidP="00831CAC">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31CAC" w:rsidTr="00A218AC">
        <w:trPr>
          <w:jc w:val="center"/>
        </w:trPr>
        <w:tc>
          <w:tcPr>
            <w:tcW w:w="2624" w:type="dxa"/>
            <w:vAlign w:val="center"/>
            <w:hideMark/>
          </w:tcPr>
          <w:p w:rsidR="00831CAC" w:rsidRDefault="00831CAC">
            <w:pPr>
              <w:jc w:val="center"/>
              <w:rPr>
                <w:rFonts w:eastAsiaTheme="minorEastAsia"/>
                <w:szCs w:val="21"/>
              </w:rPr>
            </w:pPr>
            <w:r>
              <w:rPr>
                <w:rFonts w:eastAsiaTheme="minorEastAsia" w:hint="eastAsia"/>
                <w:szCs w:val="21"/>
              </w:rPr>
              <w:t>长期信用评级</w:t>
            </w:r>
          </w:p>
        </w:tc>
        <w:tc>
          <w:tcPr>
            <w:tcW w:w="2977"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31CAC" w:rsidRDefault="00831CAC">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31CAC" w:rsidRDefault="00831CAC">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hideMark/>
          </w:tcPr>
          <w:p w:rsidR="00831CAC" w:rsidRDefault="00831CAC">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szCs w:val="21"/>
              </w:rPr>
            </w:pPr>
            <w:r>
              <w:rPr>
                <w:rFonts w:eastAsiaTheme="minorEastAsia" w:hint="eastAsia"/>
                <w:kern w:val="0"/>
                <w:szCs w:val="21"/>
              </w:rPr>
              <w:t>未评级</w:t>
            </w:r>
          </w:p>
        </w:tc>
        <w:tc>
          <w:tcPr>
            <w:tcW w:w="2977" w:type="dxa"/>
            <w:hideMark/>
          </w:tcPr>
          <w:p w:rsidR="00831CAC" w:rsidRDefault="00831CAC">
            <w:pPr>
              <w:jc w:val="right"/>
              <w:rPr>
                <w:rFonts w:eastAsiaTheme="minorEastAsia"/>
                <w:szCs w:val="21"/>
              </w:rPr>
            </w:pPr>
            <w:r>
              <w:rPr>
                <w:rFonts w:eastAsiaTheme="minorEastAsia"/>
                <w:szCs w:val="21"/>
              </w:rPr>
              <w:t>0.00</w:t>
            </w:r>
          </w:p>
        </w:tc>
        <w:tc>
          <w:tcPr>
            <w:tcW w:w="3046" w:type="dxa"/>
            <w:hideMark/>
          </w:tcPr>
          <w:p w:rsidR="00831CAC" w:rsidRDefault="00831CAC">
            <w:pPr>
              <w:jc w:val="right"/>
              <w:rPr>
                <w:rFonts w:eastAsiaTheme="minorEastAsia"/>
                <w:szCs w:val="21"/>
              </w:rPr>
            </w:pPr>
            <w:r>
              <w:rPr>
                <w:rFonts w:eastAsiaTheme="minorEastAsia"/>
                <w:szCs w:val="21"/>
              </w:rPr>
              <w:t>0.00</w:t>
            </w:r>
          </w:p>
        </w:tc>
      </w:tr>
      <w:tr w:rsidR="00831CAC" w:rsidTr="00A218AC">
        <w:trPr>
          <w:jc w:val="center"/>
        </w:trPr>
        <w:tc>
          <w:tcPr>
            <w:tcW w:w="2624" w:type="dxa"/>
            <w:vAlign w:val="center"/>
            <w:hideMark/>
          </w:tcPr>
          <w:p w:rsidR="00831CAC" w:rsidRDefault="00831CAC">
            <w:pPr>
              <w:rPr>
                <w:rFonts w:eastAsiaTheme="minorEastAsia"/>
                <w:kern w:val="0"/>
                <w:szCs w:val="21"/>
              </w:rPr>
            </w:pPr>
            <w:r>
              <w:rPr>
                <w:rFonts w:eastAsiaTheme="minorEastAsia" w:hint="eastAsia"/>
                <w:kern w:val="0"/>
                <w:szCs w:val="21"/>
              </w:rPr>
              <w:t>合计</w:t>
            </w:r>
          </w:p>
        </w:tc>
        <w:tc>
          <w:tcPr>
            <w:tcW w:w="2977" w:type="dxa"/>
            <w:vAlign w:val="center"/>
            <w:hideMark/>
          </w:tcPr>
          <w:p w:rsidR="00831CAC" w:rsidRDefault="00831CAC">
            <w:pPr>
              <w:jc w:val="right"/>
              <w:rPr>
                <w:rFonts w:eastAsiaTheme="minorEastAsia"/>
                <w:szCs w:val="21"/>
              </w:rPr>
            </w:pPr>
            <w:r>
              <w:rPr>
                <w:rFonts w:eastAsiaTheme="minorEastAsia"/>
                <w:szCs w:val="21"/>
              </w:rPr>
              <w:t>0.00</w:t>
            </w:r>
          </w:p>
        </w:tc>
        <w:tc>
          <w:tcPr>
            <w:tcW w:w="3046" w:type="dxa"/>
            <w:vAlign w:val="center"/>
            <w:hideMark/>
          </w:tcPr>
          <w:p w:rsidR="00831CAC" w:rsidRDefault="00831CAC">
            <w:pPr>
              <w:jc w:val="right"/>
              <w:rPr>
                <w:rFonts w:eastAsiaTheme="minorEastAsia"/>
                <w:szCs w:val="21"/>
              </w:rPr>
            </w:pPr>
            <w:r>
              <w:rPr>
                <w:rFonts w:eastAsiaTheme="minorEastAsia"/>
                <w:szCs w:val="21"/>
              </w:rPr>
              <w:t>0.00</w:t>
            </w:r>
          </w:p>
        </w:tc>
      </w:tr>
    </w:tbl>
    <w:p w:rsidR="008A5A5D" w:rsidRPr="00C24ACA" w:rsidRDefault="008A5A5D" w:rsidP="00831CAC">
      <w:pPr>
        <w:tabs>
          <w:tab w:val="left" w:pos="426"/>
        </w:tabs>
        <w:spacing w:line="360" w:lineRule="auto"/>
        <w:ind w:firstLineChars="200" w:firstLine="422"/>
        <w:jc w:val="left"/>
        <w:rPr>
          <w:rFonts w:eastAsiaTheme="minorEastAsia"/>
          <w:b/>
          <w:bCs/>
          <w:color w:val="000000"/>
          <w:szCs w:val="21"/>
        </w:rPr>
      </w:pPr>
      <w:r w:rsidRPr="00C24ACA">
        <w:rPr>
          <w:rFonts w:eastAsiaTheme="minorEastAsia"/>
          <w:b/>
          <w:bCs/>
          <w:color w:val="000000"/>
          <w:kern w:val="0"/>
          <w:szCs w:val="21"/>
        </w:rPr>
        <w:t>6.4.13.3</w:t>
      </w:r>
      <w:r w:rsidRPr="00C24ACA">
        <w:rPr>
          <w:rFonts w:eastAsiaTheme="minorEastAsia"/>
          <w:b/>
          <w:bCs/>
          <w:color w:val="000000"/>
          <w:szCs w:val="21"/>
        </w:rPr>
        <w:t>流动性风险</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日，除卖出回购金融资产款余额</w:t>
      </w:r>
      <w:r w:rsidRPr="00C24ACA">
        <w:rPr>
          <w:rFonts w:eastAsiaTheme="minorEastAsia"/>
          <w:kern w:val="0"/>
          <w:szCs w:val="21"/>
        </w:rPr>
        <w:t>(</w:t>
      </w:r>
      <w:r w:rsidRPr="00C24ACA">
        <w:rPr>
          <w:rFonts w:eastAsiaTheme="minorEastAsia"/>
          <w:kern w:val="0"/>
          <w:szCs w:val="21"/>
        </w:rPr>
        <w:t>计息但该利息金额不重大</w:t>
      </w:r>
      <w:r w:rsidRPr="00C24ACA">
        <w:rPr>
          <w:rFonts w:eastAsiaTheme="minorEastAsia"/>
          <w:kern w:val="0"/>
          <w:szCs w:val="21"/>
        </w:rPr>
        <w:t>)</w:t>
      </w:r>
      <w:r w:rsidRPr="00C24ACA">
        <w:rPr>
          <w:rFonts w:eastAsiaTheme="minorEastAsia"/>
          <w:kern w:val="0"/>
          <w:szCs w:val="21"/>
        </w:rPr>
        <w:t>以外，本基金承担的其他金融负债的合约约定到期日均为一年以内且不计息，可赎回基金份额净值</w:t>
      </w:r>
      <w:r w:rsidRPr="00C24ACA">
        <w:rPr>
          <w:rFonts w:eastAsiaTheme="minorEastAsia"/>
          <w:kern w:val="0"/>
          <w:szCs w:val="21"/>
        </w:rPr>
        <w:t>(</w:t>
      </w:r>
      <w:r w:rsidRPr="00C24ACA">
        <w:rPr>
          <w:rFonts w:eastAsiaTheme="minorEastAsia"/>
          <w:kern w:val="0"/>
          <w:szCs w:val="21"/>
        </w:rPr>
        <w:t>所有者权益</w:t>
      </w:r>
      <w:r w:rsidRPr="00C24ACA">
        <w:rPr>
          <w:rFonts w:eastAsiaTheme="minorEastAsia"/>
          <w:kern w:val="0"/>
          <w:szCs w:val="21"/>
        </w:rPr>
        <w:t>)</w:t>
      </w:r>
      <w:r w:rsidRPr="00C24ACA">
        <w:rPr>
          <w:rFonts w:eastAsiaTheme="minorEastAsia"/>
          <w:kern w:val="0"/>
          <w:szCs w:val="21"/>
        </w:rPr>
        <w:t>无固定到期日且不计息，因此账面余额约为未折现的合约到期现金流量。</w:t>
      </w:r>
    </w:p>
    <w:p w:rsidR="00206D74" w:rsidRPr="00A73188" w:rsidRDefault="00206D74" w:rsidP="00732F5C">
      <w:pPr>
        <w:spacing w:beforeLines="50" w:before="156" w:line="360" w:lineRule="auto"/>
        <w:rPr>
          <w:rFonts w:eastAsiaTheme="minorEastAsia"/>
          <w:b/>
          <w:bCs/>
          <w:color w:val="000000" w:themeColor="text1"/>
          <w:szCs w:val="21"/>
        </w:rPr>
      </w:pPr>
      <w:r w:rsidRPr="00A73188">
        <w:rPr>
          <w:rFonts w:eastAsiaTheme="minorEastAsia"/>
          <w:b/>
          <w:bCs/>
          <w:color w:val="000000" w:themeColor="text1"/>
          <w:kern w:val="0"/>
          <w:szCs w:val="21"/>
        </w:rPr>
        <w:t>6.4.13.3</w:t>
      </w:r>
      <w:r w:rsidRPr="00A73188">
        <w:rPr>
          <w:rFonts w:eastAsiaTheme="minorEastAsia" w:hint="eastAsia"/>
          <w:b/>
          <w:bCs/>
          <w:color w:val="000000" w:themeColor="text1"/>
          <w:kern w:val="0"/>
          <w:szCs w:val="21"/>
        </w:rPr>
        <w:t>.1</w:t>
      </w:r>
      <w:r w:rsidRPr="00A73188">
        <w:rPr>
          <w:rFonts w:eastAsiaTheme="minorEastAsia"/>
          <w:b/>
          <w:bCs/>
          <w:color w:val="000000" w:themeColor="text1"/>
          <w:kern w:val="0"/>
          <w:szCs w:val="21"/>
        </w:rPr>
        <w:t xml:space="preserve"> </w:t>
      </w:r>
      <w:r w:rsidRPr="00A73188">
        <w:rPr>
          <w:rFonts w:eastAsiaTheme="minorEastAsia" w:hint="eastAsia"/>
          <w:b/>
          <w:bCs/>
          <w:color w:val="000000" w:themeColor="text1"/>
          <w:szCs w:val="21"/>
        </w:rPr>
        <w:t>报告期内本基金组合资产的流动性风险分析</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06D74" w:rsidRPr="00C24ACA" w:rsidRDefault="00206D74" w:rsidP="00206D74">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本基金的投资范围为具有良好流动性的金融工具，所持大部分证券在流动性良好的证券交易所或者银行间同业市场交易，期末除本报告</w:t>
      </w:r>
      <w:r w:rsidRPr="001412CA">
        <w:rPr>
          <w:rFonts w:eastAsiaTheme="minorEastAsia"/>
          <w:kern w:val="0"/>
          <w:szCs w:val="21"/>
        </w:rPr>
        <w:t>“</w:t>
      </w:r>
      <w:r w:rsidRPr="001412CA">
        <w:rPr>
          <w:rFonts w:eastAsiaTheme="minorEastAsia"/>
          <w:kern w:val="0"/>
          <w:szCs w:val="21"/>
        </w:rPr>
        <w:t>期末本基金持有的流通受限证券</w:t>
      </w:r>
      <w:r w:rsidRPr="001412CA">
        <w:rPr>
          <w:rFonts w:eastAsiaTheme="minorEastAsia"/>
          <w:kern w:val="0"/>
          <w:szCs w:val="21"/>
        </w:rPr>
        <w:t>”</w:t>
      </w:r>
      <w:r w:rsidRPr="001412CA">
        <w:rPr>
          <w:rFonts w:eastAsiaTheme="minorEastAsia"/>
          <w:kern w:val="0"/>
          <w:szCs w:val="21"/>
        </w:rPr>
        <w:t>章节中所列示券种流通暂时受限制不能自由转让外，其余均能及时变现。评估结果显示组合高流动性资产比重较高，组合变现比例能力较好。</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w:t>
      </w:r>
      <w:r w:rsidRPr="00C24ACA">
        <w:rPr>
          <w:rFonts w:eastAsiaTheme="minorEastAsia"/>
          <w:b/>
          <w:bCs/>
          <w:color w:val="000000"/>
          <w:szCs w:val="21"/>
        </w:rPr>
        <w:t>市场风险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本基金投资于海外市场，面临市场波动带来的风险。影响金融市场波动的因素比较复杂，包括经济发展、政策变化、资金供求、公司盈利的变化、利率汇率波动等，都将影响基金净值的升跌。</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w:t>
      </w:r>
      <w:r w:rsidRPr="00C24ACA">
        <w:rPr>
          <w:rFonts w:eastAsiaTheme="minorEastAsia"/>
          <w:b/>
          <w:bCs/>
          <w:color w:val="000000"/>
          <w:szCs w:val="21"/>
        </w:rPr>
        <w:t>利率风险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利率风险是指基金的财务状况和现金流量受市场利率变动而发生波动的风险。投资管理人通过久期、凸度、</w:t>
      </w:r>
      <w:r w:rsidRPr="00C24ACA">
        <w:rPr>
          <w:rFonts w:eastAsiaTheme="minorEastAsia"/>
          <w:kern w:val="0"/>
          <w:szCs w:val="21"/>
        </w:rPr>
        <w:t>VAR</w:t>
      </w:r>
      <w:r w:rsidRPr="00C24ACA">
        <w:rPr>
          <w:rFonts w:eastAsiaTheme="minorEastAsia"/>
          <w:kern w:val="0"/>
          <w:szCs w:val="21"/>
        </w:rPr>
        <w:t>等方法评估组合面临的利率风险敞口，并通过调整投资组合的久期等方法对上述利率风险进行管理。</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6.4.13.4.1.1</w:t>
      </w:r>
      <w:r w:rsidRPr="00C24ACA">
        <w:rPr>
          <w:rFonts w:eastAsiaTheme="minorEastAsia"/>
          <w:b/>
          <w:bCs/>
          <w:color w:val="000000"/>
          <w:szCs w:val="21"/>
        </w:rPr>
        <w:t>利率风险敞口</w:t>
      </w:r>
    </w:p>
    <w:p w:rsidR="00A10C6C" w:rsidRPr="00C24ACA" w:rsidRDefault="00A10C6C" w:rsidP="00A10C6C">
      <w:pPr>
        <w:autoSpaceDE w:val="0"/>
        <w:autoSpaceDN w:val="0"/>
        <w:adjustRightInd w:val="0"/>
        <w:spacing w:before="29" w:line="360" w:lineRule="auto"/>
        <w:ind w:left="15"/>
        <w:jc w:val="right"/>
        <w:rPr>
          <w:rFonts w:eastAsiaTheme="minorEastAsia"/>
          <w:color w:val="000000"/>
          <w:szCs w:val="21"/>
        </w:rPr>
      </w:pPr>
      <w:r w:rsidRPr="00C24ACA">
        <w:rPr>
          <w:rFonts w:eastAsiaTheme="minorEastAsia"/>
          <w:color w:val="000000"/>
          <w:szCs w:val="21"/>
        </w:rPr>
        <w:t>单位：人民币元</w:t>
      </w: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A10C6C" w:rsidRPr="00C24ACA" w:rsidTr="004C02E0">
        <w:trPr>
          <w:trHeight w:val="280"/>
        </w:trPr>
        <w:tc>
          <w:tcPr>
            <w:tcW w:w="1588" w:type="dxa"/>
            <w:vAlign w:val="center"/>
          </w:tcPr>
          <w:p w:rsidR="00A10C6C" w:rsidRPr="00C24ACA" w:rsidRDefault="00A10C6C" w:rsidP="00427BFF">
            <w:pPr>
              <w:spacing w:line="360" w:lineRule="auto"/>
              <w:jc w:val="center"/>
              <w:rPr>
                <w:rFonts w:eastAsiaTheme="minorEastAsia"/>
                <w:szCs w:val="21"/>
              </w:rPr>
            </w:pPr>
            <w:r w:rsidRPr="00C24ACA">
              <w:rPr>
                <w:rFonts w:eastAsiaTheme="minorEastAsia"/>
                <w:szCs w:val="21"/>
              </w:rPr>
              <w:t>本期末</w:t>
            </w:r>
          </w:p>
          <w:p w:rsidR="00A10C6C" w:rsidRPr="00C24ACA" w:rsidRDefault="00A10C6C" w:rsidP="00427BFF">
            <w:pPr>
              <w:spacing w:line="360" w:lineRule="auto"/>
              <w:jc w:val="center"/>
              <w:rPr>
                <w:rFonts w:eastAsiaTheme="minorEastAsia"/>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年以内</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1-5</w:t>
            </w:r>
            <w:r w:rsidRPr="00C24ACA">
              <w:rPr>
                <w:rFonts w:eastAsiaTheme="minorEastAsia"/>
                <w:color w:val="000000"/>
                <w:szCs w:val="21"/>
              </w:rPr>
              <w:t>年</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年以上</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不计息</w:t>
            </w:r>
          </w:p>
        </w:tc>
        <w:tc>
          <w:tcPr>
            <w:tcW w:w="13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合计</w:t>
            </w:r>
          </w:p>
        </w:tc>
      </w:tr>
      <w:tr w:rsidR="00A10C6C" w:rsidRPr="00C24ACA" w:rsidTr="004C02E0">
        <w:trPr>
          <w:trHeight w:val="280"/>
        </w:trPr>
        <w:tc>
          <w:tcPr>
            <w:tcW w:w="1588" w:type="dxa"/>
          </w:tcPr>
          <w:p w:rsidR="00A10C6C" w:rsidRPr="00C24ACA" w:rsidRDefault="00A10C6C" w:rsidP="00865B2B">
            <w:pPr>
              <w:spacing w:line="360" w:lineRule="auto"/>
              <w:jc w:val="center"/>
              <w:rPr>
                <w:rFonts w:eastAsiaTheme="minorEastAsia"/>
                <w:color w:val="000000"/>
                <w:szCs w:val="21"/>
              </w:rPr>
            </w:pPr>
            <w:r w:rsidRPr="00C24ACA">
              <w:rPr>
                <w:rFonts w:eastAsiaTheme="minorEastAsia"/>
                <w:color w:val="000000"/>
                <w:szCs w:val="21"/>
              </w:rPr>
              <w:t>资产</w:t>
            </w: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b/>
                <w:color w:val="000000"/>
                <w:szCs w:val="21"/>
              </w:rPr>
            </w:pPr>
          </w:p>
        </w:tc>
      </w:tr>
      <w:tr w:rsidR="00BB5C1E">
        <w:tc>
          <w:tcPr>
            <w:tcW w:w="1588" w:type="dxa"/>
            <w:vAlign w:val="center"/>
          </w:tcPr>
          <w:p w:rsidR="00BB5C1E" w:rsidRDefault="00AF434F">
            <w:pPr>
              <w:jc w:val="center"/>
            </w:pPr>
            <w:r>
              <w:rPr>
                <w:rFonts w:eastAsiaTheme="minorEastAsia"/>
                <w:color w:val="000000"/>
                <w:szCs w:val="21"/>
              </w:rPr>
              <w:t>银行存款</w:t>
            </w:r>
          </w:p>
        </w:tc>
        <w:tc>
          <w:tcPr>
            <w:tcW w:w="1701" w:type="dxa"/>
            <w:vAlign w:val="center"/>
          </w:tcPr>
          <w:p w:rsidR="00BB5C1E" w:rsidRDefault="00AF434F">
            <w:pPr>
              <w:jc w:val="right"/>
            </w:pPr>
            <w:r>
              <w:rPr>
                <w:rFonts w:eastAsiaTheme="minorEastAsia"/>
                <w:color w:val="000000"/>
                <w:szCs w:val="21"/>
              </w:rPr>
              <w:t>3,893,436.92</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3,893,436.92</w:t>
            </w:r>
          </w:p>
        </w:tc>
      </w:tr>
      <w:tr w:rsidR="00BB5C1E">
        <w:tc>
          <w:tcPr>
            <w:tcW w:w="1588" w:type="dxa"/>
            <w:vAlign w:val="center"/>
          </w:tcPr>
          <w:p w:rsidR="00BB5C1E" w:rsidRDefault="00AF434F">
            <w:pPr>
              <w:jc w:val="center"/>
            </w:pPr>
            <w:r>
              <w:rPr>
                <w:rFonts w:eastAsiaTheme="minorEastAsia"/>
                <w:color w:val="000000"/>
                <w:szCs w:val="21"/>
              </w:rPr>
              <w:t>结算备付金</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存出保证金</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交易性金融资产</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53,942,982.96</w:t>
            </w:r>
          </w:p>
        </w:tc>
        <w:tc>
          <w:tcPr>
            <w:tcW w:w="1301" w:type="dxa"/>
            <w:vAlign w:val="center"/>
          </w:tcPr>
          <w:p w:rsidR="00BB5C1E" w:rsidRDefault="00AF434F">
            <w:pPr>
              <w:jc w:val="right"/>
            </w:pPr>
            <w:r>
              <w:rPr>
                <w:rFonts w:eastAsiaTheme="minorEastAsia"/>
                <w:color w:val="000000"/>
                <w:szCs w:val="21"/>
              </w:rPr>
              <w:t>53,942,982.96</w:t>
            </w:r>
          </w:p>
        </w:tc>
      </w:tr>
      <w:tr w:rsidR="00BB5C1E">
        <w:tc>
          <w:tcPr>
            <w:tcW w:w="1588" w:type="dxa"/>
            <w:vAlign w:val="center"/>
          </w:tcPr>
          <w:p w:rsidR="00BB5C1E" w:rsidRDefault="00AF434F">
            <w:pPr>
              <w:jc w:val="center"/>
            </w:pPr>
            <w:r>
              <w:rPr>
                <w:rFonts w:eastAsiaTheme="minorEastAsia"/>
                <w:color w:val="000000"/>
                <w:szCs w:val="21"/>
              </w:rPr>
              <w:t>衍生金融资产</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买入返售金融资产</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应收证券清算款</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应收利息</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125.61</w:t>
            </w:r>
          </w:p>
        </w:tc>
        <w:tc>
          <w:tcPr>
            <w:tcW w:w="1301" w:type="dxa"/>
            <w:vAlign w:val="center"/>
          </w:tcPr>
          <w:p w:rsidR="00BB5C1E" w:rsidRDefault="00AF434F">
            <w:pPr>
              <w:jc w:val="right"/>
            </w:pPr>
            <w:r>
              <w:rPr>
                <w:rFonts w:eastAsiaTheme="minorEastAsia"/>
                <w:color w:val="000000"/>
                <w:szCs w:val="21"/>
              </w:rPr>
              <w:t>125.61</w:t>
            </w:r>
          </w:p>
        </w:tc>
      </w:tr>
      <w:tr w:rsidR="00BB5C1E">
        <w:tc>
          <w:tcPr>
            <w:tcW w:w="1588" w:type="dxa"/>
            <w:vAlign w:val="center"/>
          </w:tcPr>
          <w:p w:rsidR="00BB5C1E" w:rsidRDefault="00AF434F">
            <w:pPr>
              <w:jc w:val="center"/>
            </w:pPr>
            <w:r>
              <w:rPr>
                <w:rFonts w:eastAsiaTheme="minorEastAsia"/>
                <w:color w:val="000000"/>
                <w:szCs w:val="21"/>
              </w:rPr>
              <w:t>应收股利</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24,337.93</w:t>
            </w:r>
          </w:p>
        </w:tc>
        <w:tc>
          <w:tcPr>
            <w:tcW w:w="1301" w:type="dxa"/>
            <w:vAlign w:val="center"/>
          </w:tcPr>
          <w:p w:rsidR="00BB5C1E" w:rsidRDefault="00AF434F">
            <w:pPr>
              <w:jc w:val="right"/>
            </w:pPr>
            <w:r>
              <w:rPr>
                <w:rFonts w:eastAsiaTheme="minorEastAsia"/>
                <w:color w:val="000000"/>
                <w:szCs w:val="21"/>
              </w:rPr>
              <w:t>24,337.93</w:t>
            </w:r>
          </w:p>
        </w:tc>
      </w:tr>
      <w:tr w:rsidR="00BB5C1E">
        <w:tc>
          <w:tcPr>
            <w:tcW w:w="1588" w:type="dxa"/>
            <w:vAlign w:val="center"/>
          </w:tcPr>
          <w:p w:rsidR="00BB5C1E" w:rsidRDefault="00AF434F">
            <w:pPr>
              <w:jc w:val="center"/>
            </w:pPr>
            <w:r>
              <w:rPr>
                <w:rFonts w:eastAsiaTheme="minorEastAsia"/>
                <w:color w:val="000000"/>
                <w:szCs w:val="21"/>
              </w:rPr>
              <w:t>应收申购款</w:t>
            </w:r>
          </w:p>
        </w:tc>
        <w:tc>
          <w:tcPr>
            <w:tcW w:w="1701" w:type="dxa"/>
            <w:vAlign w:val="center"/>
          </w:tcPr>
          <w:p w:rsidR="00BB5C1E" w:rsidRDefault="00AF434F">
            <w:pPr>
              <w:jc w:val="right"/>
            </w:pPr>
            <w:r>
              <w:rPr>
                <w:rFonts w:eastAsiaTheme="minorEastAsia"/>
                <w:color w:val="000000"/>
                <w:szCs w:val="21"/>
              </w:rPr>
              <w:t>6,201.29</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723,866.26</w:t>
            </w:r>
          </w:p>
        </w:tc>
        <w:tc>
          <w:tcPr>
            <w:tcW w:w="1301" w:type="dxa"/>
            <w:vAlign w:val="center"/>
          </w:tcPr>
          <w:p w:rsidR="00BB5C1E" w:rsidRDefault="00AF434F">
            <w:pPr>
              <w:jc w:val="right"/>
            </w:pPr>
            <w:r>
              <w:rPr>
                <w:rFonts w:eastAsiaTheme="minorEastAsia"/>
                <w:color w:val="000000"/>
                <w:szCs w:val="21"/>
              </w:rPr>
              <w:t>730,067.55</w:t>
            </w:r>
          </w:p>
        </w:tc>
      </w:tr>
      <w:tr w:rsidR="00BB5C1E">
        <w:tc>
          <w:tcPr>
            <w:tcW w:w="1588" w:type="dxa"/>
            <w:vAlign w:val="center"/>
          </w:tcPr>
          <w:p w:rsidR="00BB5C1E" w:rsidRDefault="00AF434F">
            <w:pPr>
              <w:jc w:val="center"/>
            </w:pPr>
            <w:r>
              <w:rPr>
                <w:rFonts w:eastAsiaTheme="minorEastAsia"/>
                <w:color w:val="000000"/>
                <w:szCs w:val="21"/>
              </w:rPr>
              <w:t>递延所得税资产</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其他资产</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A10C6C" w:rsidRPr="00C24ACA" w:rsidTr="004C02E0">
        <w:trPr>
          <w:trHeight w:val="280"/>
        </w:trPr>
        <w:tc>
          <w:tcPr>
            <w:tcW w:w="1588" w:type="dxa"/>
            <w:vAlign w:val="center"/>
          </w:tcPr>
          <w:p w:rsidR="00A10C6C" w:rsidRPr="00C24ACA" w:rsidRDefault="00A10C6C" w:rsidP="00C903E7">
            <w:pPr>
              <w:autoSpaceDE w:val="0"/>
              <w:autoSpaceDN w:val="0"/>
              <w:adjustRightInd w:val="0"/>
              <w:spacing w:before="29" w:line="360" w:lineRule="auto"/>
              <w:jc w:val="center"/>
              <w:rPr>
                <w:rFonts w:eastAsiaTheme="minorEastAsia"/>
                <w:color w:val="000000"/>
                <w:szCs w:val="21"/>
              </w:rPr>
            </w:pPr>
            <w:r w:rsidRPr="00C24ACA">
              <w:rPr>
                <w:rFonts w:eastAsiaTheme="minorEastAsia"/>
                <w:color w:val="000000"/>
                <w:szCs w:val="21"/>
              </w:rPr>
              <w:t>资产总计</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3,899,638.21</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54,691,312.76</w:t>
            </w:r>
          </w:p>
        </w:tc>
        <w:tc>
          <w:tcPr>
            <w:tcW w:w="13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58,590,950.97</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w:t>
            </w:r>
          </w:p>
        </w:tc>
        <w:tc>
          <w:tcPr>
            <w:tcW w:w="1701" w:type="dxa"/>
            <w:vAlign w:val="center"/>
          </w:tcPr>
          <w:p w:rsidR="00A10C6C" w:rsidRPr="00C24ACA" w:rsidRDefault="00A10C6C" w:rsidP="00427BFF">
            <w:pPr>
              <w:spacing w:line="360" w:lineRule="auto"/>
              <w:jc w:val="right"/>
              <w:rPr>
                <w:rFonts w:eastAsiaTheme="minorEastAsia"/>
                <w:color w:val="0000FF"/>
                <w:kern w:val="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color w:val="000000"/>
                <w:szCs w:val="21"/>
              </w:rPr>
            </w:pPr>
          </w:p>
        </w:tc>
      </w:tr>
      <w:tr w:rsidR="00BB5C1E">
        <w:tc>
          <w:tcPr>
            <w:tcW w:w="1588" w:type="dxa"/>
            <w:vAlign w:val="center"/>
          </w:tcPr>
          <w:p w:rsidR="00BB5C1E" w:rsidRDefault="00AF434F">
            <w:pPr>
              <w:jc w:val="center"/>
            </w:pPr>
            <w:r>
              <w:rPr>
                <w:rFonts w:eastAsiaTheme="minorEastAsia"/>
                <w:color w:val="000000"/>
                <w:szCs w:val="21"/>
              </w:rPr>
              <w:t>短期借款</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交易性金融负债</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衍生金融负债</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卖出回购金融资产款</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应付证券清算款</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应付赎回款</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2,827,392.34</w:t>
            </w:r>
          </w:p>
        </w:tc>
        <w:tc>
          <w:tcPr>
            <w:tcW w:w="1301" w:type="dxa"/>
            <w:vAlign w:val="center"/>
          </w:tcPr>
          <w:p w:rsidR="00BB5C1E" w:rsidRDefault="00AF434F">
            <w:pPr>
              <w:jc w:val="right"/>
            </w:pPr>
            <w:r>
              <w:rPr>
                <w:rFonts w:eastAsiaTheme="minorEastAsia"/>
                <w:color w:val="000000"/>
                <w:szCs w:val="21"/>
              </w:rPr>
              <w:t>2,827,392.34</w:t>
            </w:r>
          </w:p>
        </w:tc>
      </w:tr>
      <w:tr w:rsidR="00BB5C1E">
        <w:tc>
          <w:tcPr>
            <w:tcW w:w="1588" w:type="dxa"/>
            <w:vAlign w:val="center"/>
          </w:tcPr>
          <w:p w:rsidR="00BB5C1E" w:rsidRDefault="00AF434F">
            <w:pPr>
              <w:jc w:val="center"/>
            </w:pPr>
            <w:r>
              <w:rPr>
                <w:rFonts w:eastAsiaTheme="minorEastAsia"/>
                <w:color w:val="000000"/>
                <w:szCs w:val="21"/>
              </w:rPr>
              <w:t>应付管理人报酬</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55,910.49</w:t>
            </w:r>
          </w:p>
        </w:tc>
        <w:tc>
          <w:tcPr>
            <w:tcW w:w="1301" w:type="dxa"/>
            <w:vAlign w:val="center"/>
          </w:tcPr>
          <w:p w:rsidR="00BB5C1E" w:rsidRDefault="00AF434F">
            <w:pPr>
              <w:jc w:val="right"/>
            </w:pPr>
            <w:r>
              <w:rPr>
                <w:rFonts w:eastAsiaTheme="minorEastAsia"/>
                <w:color w:val="000000"/>
                <w:szCs w:val="21"/>
              </w:rPr>
              <w:t>55,910.49</w:t>
            </w:r>
          </w:p>
        </w:tc>
      </w:tr>
      <w:tr w:rsidR="00BB5C1E">
        <w:tc>
          <w:tcPr>
            <w:tcW w:w="1588" w:type="dxa"/>
            <w:vAlign w:val="center"/>
          </w:tcPr>
          <w:p w:rsidR="00BB5C1E" w:rsidRDefault="00AF434F">
            <w:pPr>
              <w:jc w:val="center"/>
            </w:pPr>
            <w:r>
              <w:rPr>
                <w:rFonts w:eastAsiaTheme="minorEastAsia"/>
                <w:color w:val="000000"/>
                <w:szCs w:val="21"/>
              </w:rPr>
              <w:t>应付托管费</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16,307.20</w:t>
            </w:r>
          </w:p>
        </w:tc>
        <w:tc>
          <w:tcPr>
            <w:tcW w:w="1301" w:type="dxa"/>
            <w:vAlign w:val="center"/>
          </w:tcPr>
          <w:p w:rsidR="00BB5C1E" w:rsidRDefault="00AF434F">
            <w:pPr>
              <w:jc w:val="right"/>
            </w:pPr>
            <w:r>
              <w:rPr>
                <w:rFonts w:eastAsiaTheme="minorEastAsia"/>
                <w:color w:val="000000"/>
                <w:szCs w:val="21"/>
              </w:rPr>
              <w:t>16,307.20</w:t>
            </w:r>
          </w:p>
        </w:tc>
      </w:tr>
      <w:tr w:rsidR="00BB5C1E">
        <w:tc>
          <w:tcPr>
            <w:tcW w:w="1588" w:type="dxa"/>
            <w:vAlign w:val="center"/>
          </w:tcPr>
          <w:p w:rsidR="00BB5C1E" w:rsidRDefault="00AF434F">
            <w:pPr>
              <w:jc w:val="center"/>
            </w:pPr>
            <w:r>
              <w:rPr>
                <w:rFonts w:eastAsiaTheme="minorEastAsia"/>
                <w:color w:val="000000"/>
                <w:szCs w:val="21"/>
              </w:rPr>
              <w:t>应付销售服务费</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2,180.11</w:t>
            </w:r>
          </w:p>
        </w:tc>
        <w:tc>
          <w:tcPr>
            <w:tcW w:w="1301" w:type="dxa"/>
            <w:vAlign w:val="center"/>
          </w:tcPr>
          <w:p w:rsidR="00BB5C1E" w:rsidRDefault="00AF434F">
            <w:pPr>
              <w:jc w:val="right"/>
            </w:pPr>
            <w:r>
              <w:rPr>
                <w:rFonts w:eastAsiaTheme="minorEastAsia"/>
                <w:color w:val="000000"/>
                <w:szCs w:val="21"/>
              </w:rPr>
              <w:t>2,180.11</w:t>
            </w:r>
          </w:p>
        </w:tc>
      </w:tr>
      <w:tr w:rsidR="00BB5C1E">
        <w:tc>
          <w:tcPr>
            <w:tcW w:w="1588" w:type="dxa"/>
            <w:vAlign w:val="center"/>
          </w:tcPr>
          <w:p w:rsidR="00BB5C1E" w:rsidRDefault="00AF434F">
            <w:pPr>
              <w:jc w:val="center"/>
            </w:pPr>
            <w:r>
              <w:rPr>
                <w:rFonts w:eastAsiaTheme="minorEastAsia"/>
                <w:color w:val="000000"/>
                <w:szCs w:val="21"/>
              </w:rPr>
              <w:t>应付交易费用</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应交税费</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应付利息</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应付利润</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递延所得税负债</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其他负债</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279,125.05</w:t>
            </w:r>
          </w:p>
        </w:tc>
        <w:tc>
          <w:tcPr>
            <w:tcW w:w="1301" w:type="dxa"/>
            <w:vAlign w:val="center"/>
          </w:tcPr>
          <w:p w:rsidR="00BB5C1E" w:rsidRDefault="00AF434F">
            <w:pPr>
              <w:jc w:val="right"/>
            </w:pPr>
            <w:r>
              <w:rPr>
                <w:rFonts w:eastAsiaTheme="minorEastAsia"/>
                <w:color w:val="000000"/>
                <w:szCs w:val="21"/>
              </w:rPr>
              <w:t>279,125.05</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3,180,915.19</w:t>
            </w:r>
          </w:p>
        </w:tc>
        <w:tc>
          <w:tcPr>
            <w:tcW w:w="1301" w:type="dxa"/>
            <w:vAlign w:val="center"/>
          </w:tcPr>
          <w:p w:rsidR="00A10C6C" w:rsidRPr="00C24ACA" w:rsidRDefault="00A10C6C" w:rsidP="00C903E7">
            <w:pPr>
              <w:spacing w:line="360" w:lineRule="auto"/>
              <w:ind w:right="210"/>
              <w:jc w:val="right"/>
              <w:rPr>
                <w:rFonts w:eastAsiaTheme="minorEastAsia"/>
                <w:szCs w:val="21"/>
              </w:rPr>
            </w:pPr>
            <w:r w:rsidRPr="00C24ACA">
              <w:rPr>
                <w:rFonts w:eastAsiaTheme="minorEastAsia"/>
                <w:szCs w:val="21"/>
              </w:rPr>
              <w:t>3,180,915.19</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利率敏感度缺口</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3,899,638.21</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51,510,397.57</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55,410,035.78</w:t>
            </w:r>
          </w:p>
        </w:tc>
      </w:tr>
      <w:tr w:rsidR="00A10C6C" w:rsidRPr="00C24ACA" w:rsidTr="004C02E0">
        <w:trPr>
          <w:trHeight w:val="280"/>
        </w:trPr>
        <w:tc>
          <w:tcPr>
            <w:tcW w:w="1588" w:type="dxa"/>
            <w:vAlign w:val="center"/>
          </w:tcPr>
          <w:p w:rsidR="00A10C6C" w:rsidRPr="00C24ACA" w:rsidRDefault="00A10C6C" w:rsidP="00427BFF">
            <w:pPr>
              <w:spacing w:line="360" w:lineRule="auto"/>
              <w:jc w:val="center"/>
              <w:rPr>
                <w:rFonts w:eastAsiaTheme="minorEastAsia"/>
                <w:szCs w:val="21"/>
              </w:rPr>
            </w:pPr>
            <w:r w:rsidRPr="00C24ACA">
              <w:rPr>
                <w:rFonts w:eastAsiaTheme="minorEastAsia"/>
                <w:szCs w:val="21"/>
              </w:rPr>
              <w:t>上年度末</w:t>
            </w:r>
          </w:p>
          <w:p w:rsidR="00A10C6C" w:rsidRPr="00C24ACA" w:rsidRDefault="00A10C6C" w:rsidP="00427BFF">
            <w:pPr>
              <w:spacing w:line="360" w:lineRule="auto"/>
              <w:jc w:val="center"/>
              <w:rPr>
                <w:rFonts w:eastAsiaTheme="minorEastAsia"/>
                <w:color w:val="000000"/>
                <w:szCs w:val="21"/>
              </w:rPr>
            </w:pPr>
            <w:r w:rsidRPr="00C24ACA">
              <w:rPr>
                <w:rFonts w:eastAsiaTheme="minorEastAsia"/>
                <w:szCs w:val="21"/>
              </w:rPr>
              <w:t>2019</w:t>
            </w:r>
            <w:r w:rsidRPr="00C24ACA">
              <w:rPr>
                <w:rFonts w:eastAsiaTheme="minorEastAsia"/>
                <w:szCs w:val="21"/>
              </w:rPr>
              <w:t>年</w:t>
            </w:r>
            <w:r w:rsidRPr="00C24ACA">
              <w:rPr>
                <w:rFonts w:eastAsiaTheme="minorEastAsia"/>
                <w:szCs w:val="21"/>
              </w:rPr>
              <w:t>12</w:t>
            </w:r>
            <w:r w:rsidRPr="00C24ACA">
              <w:rPr>
                <w:rFonts w:eastAsiaTheme="minorEastAsia"/>
                <w:szCs w:val="21"/>
              </w:rPr>
              <w:t>月</w:t>
            </w:r>
            <w:r w:rsidRPr="00C24ACA">
              <w:rPr>
                <w:rFonts w:eastAsiaTheme="minorEastAsia"/>
                <w:szCs w:val="21"/>
              </w:rPr>
              <w:t>31</w:t>
            </w:r>
            <w:r w:rsidRPr="00C24ACA">
              <w:rPr>
                <w:rFonts w:eastAsiaTheme="minorEastAsia"/>
                <w:szCs w:val="21"/>
              </w:rPr>
              <w:t>日</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年以内</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1-5</w:t>
            </w:r>
            <w:r w:rsidRPr="00C24ACA">
              <w:rPr>
                <w:rFonts w:eastAsiaTheme="minorEastAsia"/>
                <w:color w:val="000000"/>
                <w:szCs w:val="21"/>
              </w:rPr>
              <w:t>年</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年以上</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不计息</w:t>
            </w:r>
          </w:p>
        </w:tc>
        <w:tc>
          <w:tcPr>
            <w:tcW w:w="13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合计</w:t>
            </w:r>
          </w:p>
        </w:tc>
      </w:tr>
      <w:tr w:rsidR="00A10C6C" w:rsidRPr="00C24ACA" w:rsidTr="004C02E0">
        <w:trPr>
          <w:trHeight w:val="280"/>
        </w:trPr>
        <w:tc>
          <w:tcPr>
            <w:tcW w:w="1588" w:type="dxa"/>
          </w:tcPr>
          <w:p w:rsidR="00A10C6C" w:rsidRPr="00C24ACA" w:rsidRDefault="00A10C6C" w:rsidP="00865B2B">
            <w:pPr>
              <w:spacing w:line="360" w:lineRule="auto"/>
              <w:jc w:val="center"/>
              <w:rPr>
                <w:rFonts w:eastAsiaTheme="minorEastAsia"/>
                <w:color w:val="000000"/>
                <w:szCs w:val="21"/>
              </w:rPr>
            </w:pPr>
            <w:r w:rsidRPr="00C24ACA">
              <w:rPr>
                <w:rFonts w:eastAsiaTheme="minorEastAsia"/>
                <w:color w:val="000000"/>
                <w:szCs w:val="21"/>
              </w:rPr>
              <w:t>资产</w:t>
            </w: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701" w:type="dxa"/>
            <w:vAlign w:val="center"/>
          </w:tcPr>
          <w:p w:rsidR="00A10C6C" w:rsidRPr="00C24ACA" w:rsidRDefault="00A10C6C" w:rsidP="00427BFF">
            <w:pPr>
              <w:spacing w:line="360" w:lineRule="auto"/>
              <w:jc w:val="right"/>
              <w:rPr>
                <w:rFonts w:eastAsiaTheme="minorEastAsia"/>
                <w:b/>
                <w:color w:val="000000"/>
                <w:szCs w:val="21"/>
              </w:rPr>
            </w:pPr>
          </w:p>
        </w:tc>
        <w:tc>
          <w:tcPr>
            <w:tcW w:w="1559" w:type="dxa"/>
            <w:vAlign w:val="center"/>
          </w:tcPr>
          <w:p w:rsidR="00A10C6C" w:rsidRPr="00C24ACA" w:rsidRDefault="00A10C6C" w:rsidP="00427BFF">
            <w:pPr>
              <w:spacing w:line="360" w:lineRule="auto"/>
              <w:jc w:val="right"/>
              <w:rPr>
                <w:rFonts w:eastAsiaTheme="minorEastAsia"/>
                <w:b/>
                <w:color w:val="000000"/>
                <w:szCs w:val="21"/>
              </w:rPr>
            </w:pPr>
          </w:p>
        </w:tc>
        <w:tc>
          <w:tcPr>
            <w:tcW w:w="1559" w:type="dxa"/>
            <w:vAlign w:val="center"/>
          </w:tcPr>
          <w:p w:rsidR="00A10C6C" w:rsidRPr="00C24ACA" w:rsidRDefault="00A10C6C" w:rsidP="00427BFF">
            <w:pPr>
              <w:spacing w:line="360" w:lineRule="auto"/>
              <w:jc w:val="right"/>
              <w:rPr>
                <w:rFonts w:eastAsiaTheme="minorEastAsia"/>
                <w:b/>
                <w:color w:val="000000"/>
                <w:szCs w:val="21"/>
              </w:rPr>
            </w:pPr>
          </w:p>
        </w:tc>
        <w:tc>
          <w:tcPr>
            <w:tcW w:w="1301" w:type="dxa"/>
            <w:vAlign w:val="center"/>
          </w:tcPr>
          <w:p w:rsidR="00A10C6C" w:rsidRPr="00C24ACA" w:rsidRDefault="00A10C6C" w:rsidP="00427BFF">
            <w:pPr>
              <w:spacing w:line="360" w:lineRule="auto"/>
              <w:jc w:val="right"/>
              <w:rPr>
                <w:rFonts w:eastAsiaTheme="minorEastAsia"/>
                <w:b/>
                <w:color w:val="000000"/>
                <w:szCs w:val="21"/>
              </w:rPr>
            </w:pPr>
          </w:p>
        </w:tc>
      </w:tr>
      <w:tr w:rsidR="00BB5C1E">
        <w:tc>
          <w:tcPr>
            <w:tcW w:w="1588" w:type="dxa"/>
            <w:vAlign w:val="center"/>
          </w:tcPr>
          <w:p w:rsidR="00BB5C1E" w:rsidRDefault="00AF434F">
            <w:pPr>
              <w:jc w:val="center"/>
            </w:pPr>
            <w:r>
              <w:rPr>
                <w:rFonts w:eastAsiaTheme="minorEastAsia"/>
                <w:color w:val="000000"/>
                <w:szCs w:val="21"/>
              </w:rPr>
              <w:t>银行存款</w:t>
            </w:r>
          </w:p>
        </w:tc>
        <w:tc>
          <w:tcPr>
            <w:tcW w:w="1701" w:type="dxa"/>
            <w:vAlign w:val="center"/>
          </w:tcPr>
          <w:p w:rsidR="00BB5C1E" w:rsidRDefault="00AF434F">
            <w:pPr>
              <w:jc w:val="right"/>
            </w:pPr>
            <w:r>
              <w:rPr>
                <w:rFonts w:eastAsiaTheme="minorEastAsia"/>
                <w:color w:val="000000"/>
                <w:szCs w:val="21"/>
              </w:rPr>
              <w:t>4,556,192.29</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4,556,192.29</w:t>
            </w:r>
          </w:p>
        </w:tc>
      </w:tr>
      <w:tr w:rsidR="00BB5C1E">
        <w:tc>
          <w:tcPr>
            <w:tcW w:w="1588" w:type="dxa"/>
            <w:vAlign w:val="center"/>
          </w:tcPr>
          <w:p w:rsidR="00BB5C1E" w:rsidRDefault="00AF434F">
            <w:pPr>
              <w:jc w:val="center"/>
            </w:pPr>
            <w:r>
              <w:rPr>
                <w:rFonts w:eastAsiaTheme="minorEastAsia"/>
                <w:color w:val="000000"/>
                <w:szCs w:val="21"/>
              </w:rPr>
              <w:t>结算备付金</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存出保证金</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交易性金融资产</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50,732,574.05</w:t>
            </w:r>
          </w:p>
        </w:tc>
        <w:tc>
          <w:tcPr>
            <w:tcW w:w="1301" w:type="dxa"/>
            <w:vAlign w:val="center"/>
          </w:tcPr>
          <w:p w:rsidR="00BB5C1E" w:rsidRDefault="00AF434F">
            <w:pPr>
              <w:jc w:val="right"/>
            </w:pPr>
            <w:r>
              <w:rPr>
                <w:rFonts w:eastAsiaTheme="minorEastAsia"/>
                <w:color w:val="000000"/>
                <w:szCs w:val="21"/>
              </w:rPr>
              <w:t>50,732,574.05</w:t>
            </w:r>
          </w:p>
        </w:tc>
      </w:tr>
      <w:tr w:rsidR="00BB5C1E">
        <w:tc>
          <w:tcPr>
            <w:tcW w:w="1588" w:type="dxa"/>
            <w:vAlign w:val="center"/>
          </w:tcPr>
          <w:p w:rsidR="00BB5C1E" w:rsidRDefault="00AF434F">
            <w:pPr>
              <w:jc w:val="center"/>
            </w:pPr>
            <w:r>
              <w:rPr>
                <w:rFonts w:eastAsiaTheme="minorEastAsia"/>
                <w:color w:val="000000"/>
                <w:szCs w:val="21"/>
              </w:rPr>
              <w:t>衍生金融资产</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买入返售金融资产</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应收证券清算款</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应收利息</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429.40</w:t>
            </w:r>
          </w:p>
        </w:tc>
        <w:tc>
          <w:tcPr>
            <w:tcW w:w="1301" w:type="dxa"/>
            <w:vAlign w:val="center"/>
          </w:tcPr>
          <w:p w:rsidR="00BB5C1E" w:rsidRDefault="00AF434F">
            <w:pPr>
              <w:jc w:val="right"/>
            </w:pPr>
            <w:r>
              <w:rPr>
                <w:rFonts w:eastAsiaTheme="minorEastAsia"/>
                <w:color w:val="000000"/>
                <w:szCs w:val="21"/>
              </w:rPr>
              <w:t>429.40</w:t>
            </w:r>
          </w:p>
        </w:tc>
      </w:tr>
      <w:tr w:rsidR="00BB5C1E">
        <w:tc>
          <w:tcPr>
            <w:tcW w:w="1588" w:type="dxa"/>
            <w:vAlign w:val="center"/>
          </w:tcPr>
          <w:p w:rsidR="00BB5C1E" w:rsidRDefault="00AF434F">
            <w:pPr>
              <w:jc w:val="center"/>
            </w:pPr>
            <w:r>
              <w:rPr>
                <w:rFonts w:eastAsiaTheme="minorEastAsia"/>
                <w:color w:val="000000"/>
                <w:szCs w:val="21"/>
              </w:rPr>
              <w:t>应收股利</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31,358.35</w:t>
            </w:r>
          </w:p>
        </w:tc>
        <w:tc>
          <w:tcPr>
            <w:tcW w:w="1301" w:type="dxa"/>
            <w:vAlign w:val="center"/>
          </w:tcPr>
          <w:p w:rsidR="00BB5C1E" w:rsidRDefault="00AF434F">
            <w:pPr>
              <w:jc w:val="right"/>
            </w:pPr>
            <w:r>
              <w:rPr>
                <w:rFonts w:eastAsiaTheme="minorEastAsia"/>
                <w:color w:val="000000"/>
                <w:szCs w:val="21"/>
              </w:rPr>
              <w:t>31,358.35</w:t>
            </w:r>
          </w:p>
        </w:tc>
      </w:tr>
      <w:tr w:rsidR="00BB5C1E">
        <w:tc>
          <w:tcPr>
            <w:tcW w:w="1588" w:type="dxa"/>
            <w:vAlign w:val="center"/>
          </w:tcPr>
          <w:p w:rsidR="00BB5C1E" w:rsidRDefault="00AF434F">
            <w:pPr>
              <w:jc w:val="center"/>
            </w:pPr>
            <w:r>
              <w:rPr>
                <w:rFonts w:eastAsiaTheme="minorEastAsia"/>
                <w:color w:val="000000"/>
                <w:szCs w:val="21"/>
              </w:rPr>
              <w:t>应收申购款</w:t>
            </w:r>
          </w:p>
        </w:tc>
        <w:tc>
          <w:tcPr>
            <w:tcW w:w="1701" w:type="dxa"/>
            <w:vAlign w:val="center"/>
          </w:tcPr>
          <w:p w:rsidR="00BB5C1E" w:rsidRDefault="00AF434F">
            <w:pPr>
              <w:jc w:val="right"/>
            </w:pPr>
            <w:r>
              <w:rPr>
                <w:rFonts w:eastAsiaTheme="minorEastAsia"/>
                <w:color w:val="000000"/>
                <w:szCs w:val="21"/>
              </w:rPr>
              <w:t>599.28</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1,286,740.28</w:t>
            </w:r>
          </w:p>
        </w:tc>
        <w:tc>
          <w:tcPr>
            <w:tcW w:w="1301" w:type="dxa"/>
            <w:vAlign w:val="center"/>
          </w:tcPr>
          <w:p w:rsidR="00BB5C1E" w:rsidRDefault="00AF434F">
            <w:pPr>
              <w:jc w:val="right"/>
            </w:pPr>
            <w:r>
              <w:rPr>
                <w:rFonts w:eastAsiaTheme="minorEastAsia"/>
                <w:color w:val="000000"/>
                <w:szCs w:val="21"/>
              </w:rPr>
              <w:t>1,287,339.56</w:t>
            </w:r>
          </w:p>
        </w:tc>
      </w:tr>
      <w:tr w:rsidR="00BB5C1E">
        <w:tc>
          <w:tcPr>
            <w:tcW w:w="1588" w:type="dxa"/>
            <w:vAlign w:val="center"/>
          </w:tcPr>
          <w:p w:rsidR="00BB5C1E" w:rsidRDefault="00AF434F">
            <w:pPr>
              <w:jc w:val="center"/>
            </w:pPr>
            <w:r>
              <w:rPr>
                <w:rFonts w:eastAsiaTheme="minorEastAsia"/>
                <w:color w:val="000000"/>
                <w:szCs w:val="21"/>
              </w:rPr>
              <w:t>递延所得税资产</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其他资产</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资产总计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4,556,791.57</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52,051,102.08</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56,607,893.65</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w:t>
            </w:r>
          </w:p>
        </w:tc>
        <w:tc>
          <w:tcPr>
            <w:tcW w:w="1701" w:type="dxa"/>
            <w:vAlign w:val="bottom"/>
          </w:tcPr>
          <w:p w:rsidR="00A10C6C" w:rsidRPr="00C24ACA" w:rsidRDefault="00A10C6C" w:rsidP="00427BFF">
            <w:pPr>
              <w:spacing w:line="360" w:lineRule="auto"/>
              <w:jc w:val="right"/>
              <w:rPr>
                <w:rFonts w:eastAsiaTheme="minorEastAsia"/>
                <w:color w:val="0000FF"/>
                <w:kern w:val="0"/>
                <w:szCs w:val="21"/>
              </w:rPr>
            </w:pPr>
          </w:p>
        </w:tc>
        <w:tc>
          <w:tcPr>
            <w:tcW w:w="1701" w:type="dxa"/>
            <w:vAlign w:val="bottom"/>
          </w:tcPr>
          <w:p w:rsidR="00A10C6C" w:rsidRPr="00C24ACA" w:rsidRDefault="00A10C6C" w:rsidP="00427BFF">
            <w:pPr>
              <w:spacing w:line="360" w:lineRule="auto"/>
              <w:jc w:val="right"/>
              <w:rPr>
                <w:rFonts w:eastAsiaTheme="minorEastAsia"/>
                <w:color w:val="000000"/>
                <w:szCs w:val="21"/>
              </w:rPr>
            </w:pPr>
          </w:p>
        </w:tc>
        <w:tc>
          <w:tcPr>
            <w:tcW w:w="1559" w:type="dxa"/>
            <w:vAlign w:val="bottom"/>
          </w:tcPr>
          <w:p w:rsidR="00A10C6C" w:rsidRPr="00C24ACA" w:rsidRDefault="00A10C6C" w:rsidP="00427BFF">
            <w:pPr>
              <w:spacing w:line="360" w:lineRule="auto"/>
              <w:jc w:val="right"/>
              <w:rPr>
                <w:rFonts w:eastAsiaTheme="minorEastAsia"/>
                <w:color w:val="000000"/>
                <w:szCs w:val="21"/>
              </w:rPr>
            </w:pPr>
          </w:p>
        </w:tc>
        <w:tc>
          <w:tcPr>
            <w:tcW w:w="1559" w:type="dxa"/>
            <w:vAlign w:val="bottom"/>
          </w:tcPr>
          <w:p w:rsidR="00A10C6C" w:rsidRPr="00C24ACA" w:rsidRDefault="00A10C6C" w:rsidP="00427BFF">
            <w:pPr>
              <w:spacing w:line="360" w:lineRule="auto"/>
              <w:jc w:val="right"/>
              <w:rPr>
                <w:rFonts w:eastAsiaTheme="minorEastAsia"/>
                <w:color w:val="000000"/>
                <w:szCs w:val="21"/>
              </w:rPr>
            </w:pPr>
          </w:p>
        </w:tc>
        <w:tc>
          <w:tcPr>
            <w:tcW w:w="1301" w:type="dxa"/>
            <w:vAlign w:val="bottom"/>
          </w:tcPr>
          <w:p w:rsidR="00A10C6C" w:rsidRPr="00C24ACA" w:rsidRDefault="00A10C6C" w:rsidP="00427BFF">
            <w:pPr>
              <w:spacing w:line="360" w:lineRule="auto"/>
              <w:jc w:val="right"/>
              <w:rPr>
                <w:rFonts w:eastAsiaTheme="minorEastAsia"/>
                <w:color w:val="000000"/>
                <w:szCs w:val="21"/>
              </w:rPr>
            </w:pPr>
          </w:p>
        </w:tc>
      </w:tr>
      <w:tr w:rsidR="00BB5C1E">
        <w:tc>
          <w:tcPr>
            <w:tcW w:w="1588" w:type="dxa"/>
            <w:vAlign w:val="center"/>
          </w:tcPr>
          <w:p w:rsidR="00BB5C1E" w:rsidRDefault="00AF434F">
            <w:pPr>
              <w:jc w:val="center"/>
            </w:pPr>
            <w:r>
              <w:rPr>
                <w:rFonts w:eastAsiaTheme="minorEastAsia"/>
                <w:color w:val="000000"/>
                <w:szCs w:val="21"/>
              </w:rPr>
              <w:t>短期借款</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center"/>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交易性金融负债</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center"/>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衍生金融负债</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center"/>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卖出回购金融资产款</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center"/>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应付证券清算款</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center"/>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应付赎回款</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center"/>
            </w:pPr>
            <w:r>
              <w:rPr>
                <w:rFonts w:eastAsiaTheme="minorEastAsia"/>
                <w:color w:val="000000"/>
                <w:szCs w:val="21"/>
              </w:rPr>
              <w:t>657,140.50</w:t>
            </w:r>
          </w:p>
        </w:tc>
        <w:tc>
          <w:tcPr>
            <w:tcW w:w="1301" w:type="dxa"/>
            <w:vAlign w:val="center"/>
          </w:tcPr>
          <w:p w:rsidR="00BB5C1E" w:rsidRDefault="00AF434F">
            <w:pPr>
              <w:jc w:val="right"/>
            </w:pPr>
            <w:r>
              <w:rPr>
                <w:rFonts w:eastAsiaTheme="minorEastAsia"/>
                <w:color w:val="000000"/>
                <w:szCs w:val="21"/>
              </w:rPr>
              <w:t>657,140.50</w:t>
            </w:r>
          </w:p>
        </w:tc>
      </w:tr>
      <w:tr w:rsidR="00BB5C1E">
        <w:tc>
          <w:tcPr>
            <w:tcW w:w="1588" w:type="dxa"/>
            <w:vAlign w:val="center"/>
          </w:tcPr>
          <w:p w:rsidR="00BB5C1E" w:rsidRDefault="00AF434F">
            <w:pPr>
              <w:jc w:val="center"/>
            </w:pPr>
            <w:r>
              <w:rPr>
                <w:rFonts w:eastAsiaTheme="minorEastAsia"/>
                <w:color w:val="000000"/>
                <w:szCs w:val="21"/>
              </w:rPr>
              <w:t>应付管理人报酬</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center"/>
            </w:pPr>
            <w:r>
              <w:rPr>
                <w:rFonts w:eastAsiaTheme="minorEastAsia"/>
                <w:color w:val="000000"/>
                <w:szCs w:val="21"/>
              </w:rPr>
              <w:t>54,335.74</w:t>
            </w:r>
          </w:p>
        </w:tc>
        <w:tc>
          <w:tcPr>
            <w:tcW w:w="1301" w:type="dxa"/>
            <w:vAlign w:val="center"/>
          </w:tcPr>
          <w:p w:rsidR="00BB5C1E" w:rsidRDefault="00AF434F">
            <w:pPr>
              <w:jc w:val="right"/>
            </w:pPr>
            <w:r>
              <w:rPr>
                <w:rFonts w:eastAsiaTheme="minorEastAsia"/>
                <w:color w:val="000000"/>
                <w:szCs w:val="21"/>
              </w:rPr>
              <w:t>54,335.74</w:t>
            </w:r>
          </w:p>
        </w:tc>
      </w:tr>
      <w:tr w:rsidR="00BB5C1E">
        <w:tc>
          <w:tcPr>
            <w:tcW w:w="1588" w:type="dxa"/>
            <w:vAlign w:val="center"/>
          </w:tcPr>
          <w:p w:rsidR="00BB5C1E" w:rsidRDefault="00AF434F">
            <w:pPr>
              <w:jc w:val="center"/>
            </w:pPr>
            <w:r>
              <w:rPr>
                <w:rFonts w:eastAsiaTheme="minorEastAsia"/>
                <w:color w:val="000000"/>
                <w:szCs w:val="21"/>
              </w:rPr>
              <w:t>应付托管费</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center"/>
            </w:pPr>
            <w:r>
              <w:rPr>
                <w:rFonts w:eastAsiaTheme="minorEastAsia"/>
                <w:color w:val="000000"/>
                <w:szCs w:val="21"/>
              </w:rPr>
              <w:t>15,847.93</w:t>
            </w:r>
          </w:p>
        </w:tc>
        <w:tc>
          <w:tcPr>
            <w:tcW w:w="1301" w:type="dxa"/>
            <w:vAlign w:val="center"/>
          </w:tcPr>
          <w:p w:rsidR="00BB5C1E" w:rsidRDefault="00AF434F">
            <w:pPr>
              <w:jc w:val="right"/>
            </w:pPr>
            <w:r>
              <w:rPr>
                <w:rFonts w:eastAsiaTheme="minorEastAsia"/>
                <w:color w:val="000000"/>
                <w:szCs w:val="21"/>
              </w:rPr>
              <w:t>15,847.93</w:t>
            </w:r>
          </w:p>
        </w:tc>
      </w:tr>
      <w:tr w:rsidR="00BB5C1E">
        <w:tc>
          <w:tcPr>
            <w:tcW w:w="1588" w:type="dxa"/>
            <w:vAlign w:val="center"/>
          </w:tcPr>
          <w:p w:rsidR="00BB5C1E" w:rsidRDefault="00AF434F">
            <w:pPr>
              <w:jc w:val="center"/>
            </w:pPr>
            <w:r>
              <w:rPr>
                <w:rFonts w:eastAsiaTheme="minorEastAsia"/>
                <w:color w:val="000000"/>
                <w:szCs w:val="21"/>
              </w:rPr>
              <w:t>应付销售服务费</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center"/>
            </w:pPr>
            <w:r>
              <w:rPr>
                <w:rFonts w:eastAsiaTheme="minorEastAsia"/>
                <w:color w:val="000000"/>
                <w:szCs w:val="21"/>
              </w:rPr>
              <w:t>690.05</w:t>
            </w:r>
          </w:p>
        </w:tc>
        <w:tc>
          <w:tcPr>
            <w:tcW w:w="1301" w:type="dxa"/>
            <w:vAlign w:val="center"/>
          </w:tcPr>
          <w:p w:rsidR="00BB5C1E" w:rsidRDefault="00AF434F">
            <w:pPr>
              <w:jc w:val="right"/>
            </w:pPr>
            <w:r>
              <w:rPr>
                <w:rFonts w:eastAsiaTheme="minorEastAsia"/>
                <w:color w:val="000000"/>
                <w:szCs w:val="21"/>
              </w:rPr>
              <w:t>690.05</w:t>
            </w:r>
          </w:p>
        </w:tc>
      </w:tr>
      <w:tr w:rsidR="00BB5C1E">
        <w:tc>
          <w:tcPr>
            <w:tcW w:w="1588" w:type="dxa"/>
            <w:vAlign w:val="center"/>
          </w:tcPr>
          <w:p w:rsidR="00BB5C1E" w:rsidRDefault="00AF434F">
            <w:pPr>
              <w:jc w:val="center"/>
            </w:pPr>
            <w:r>
              <w:rPr>
                <w:rFonts w:eastAsiaTheme="minorEastAsia"/>
                <w:color w:val="000000"/>
                <w:szCs w:val="21"/>
              </w:rPr>
              <w:t>应付交易费用</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center"/>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应交税费</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center"/>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应付利息</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center"/>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应付利润</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center"/>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递延所得税负债</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center"/>
            </w:pPr>
            <w:r>
              <w:rPr>
                <w:rFonts w:eastAsiaTheme="minorEastAsia"/>
                <w:color w:val="000000"/>
                <w:szCs w:val="21"/>
              </w:rPr>
              <w:t>-</w:t>
            </w:r>
          </w:p>
        </w:tc>
        <w:tc>
          <w:tcPr>
            <w:tcW w:w="1301" w:type="dxa"/>
            <w:vAlign w:val="center"/>
          </w:tcPr>
          <w:p w:rsidR="00BB5C1E" w:rsidRDefault="00AF434F">
            <w:pPr>
              <w:jc w:val="right"/>
            </w:pPr>
            <w:r>
              <w:rPr>
                <w:rFonts w:eastAsiaTheme="minorEastAsia"/>
                <w:color w:val="000000"/>
                <w:szCs w:val="21"/>
              </w:rPr>
              <w:t>-</w:t>
            </w:r>
          </w:p>
        </w:tc>
      </w:tr>
      <w:tr w:rsidR="00BB5C1E">
        <w:tc>
          <w:tcPr>
            <w:tcW w:w="1588" w:type="dxa"/>
            <w:vAlign w:val="center"/>
          </w:tcPr>
          <w:p w:rsidR="00BB5C1E" w:rsidRDefault="00AF434F">
            <w:pPr>
              <w:jc w:val="center"/>
            </w:pPr>
            <w:r>
              <w:rPr>
                <w:rFonts w:eastAsiaTheme="minorEastAsia"/>
                <w:color w:val="000000"/>
                <w:szCs w:val="21"/>
              </w:rPr>
              <w:t>其他负债</w:t>
            </w:r>
          </w:p>
        </w:tc>
        <w:tc>
          <w:tcPr>
            <w:tcW w:w="1701" w:type="dxa"/>
            <w:vAlign w:val="center"/>
          </w:tcPr>
          <w:p w:rsidR="00BB5C1E" w:rsidRDefault="00AF434F">
            <w:pPr>
              <w:jc w:val="right"/>
            </w:pPr>
            <w:r>
              <w:rPr>
                <w:rFonts w:eastAsiaTheme="minorEastAsia"/>
                <w:color w:val="000000"/>
                <w:szCs w:val="21"/>
              </w:rPr>
              <w:t>-</w:t>
            </w:r>
          </w:p>
        </w:tc>
        <w:tc>
          <w:tcPr>
            <w:tcW w:w="1701"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right"/>
            </w:pPr>
            <w:r>
              <w:rPr>
                <w:rFonts w:eastAsiaTheme="minorEastAsia"/>
                <w:color w:val="000000"/>
                <w:szCs w:val="21"/>
              </w:rPr>
              <w:t>-</w:t>
            </w:r>
          </w:p>
        </w:tc>
        <w:tc>
          <w:tcPr>
            <w:tcW w:w="1559" w:type="dxa"/>
            <w:vAlign w:val="center"/>
          </w:tcPr>
          <w:p w:rsidR="00BB5C1E" w:rsidRDefault="00AF434F">
            <w:pPr>
              <w:jc w:val="center"/>
            </w:pPr>
            <w:r>
              <w:rPr>
                <w:rFonts w:eastAsiaTheme="minorEastAsia"/>
                <w:color w:val="000000"/>
                <w:szCs w:val="21"/>
              </w:rPr>
              <w:t>456,984.20</w:t>
            </w:r>
          </w:p>
        </w:tc>
        <w:tc>
          <w:tcPr>
            <w:tcW w:w="1301" w:type="dxa"/>
            <w:vAlign w:val="center"/>
          </w:tcPr>
          <w:p w:rsidR="00BB5C1E" w:rsidRDefault="00AF434F">
            <w:pPr>
              <w:jc w:val="right"/>
            </w:pPr>
            <w:r>
              <w:rPr>
                <w:rFonts w:eastAsiaTheme="minorEastAsia"/>
                <w:color w:val="000000"/>
                <w:szCs w:val="21"/>
              </w:rPr>
              <w:t>456,984.20</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1,184,998.42</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1,184,998.42</w:t>
            </w:r>
          </w:p>
        </w:tc>
      </w:tr>
      <w:tr w:rsidR="00A10C6C" w:rsidRPr="00C24ACA" w:rsidTr="004C02E0">
        <w:trPr>
          <w:trHeight w:val="278"/>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利率敏感度缺口</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4,556,791.57</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50,866,103.66</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55,422,895.23</w:t>
            </w:r>
          </w:p>
        </w:tc>
      </w:tr>
    </w:tbl>
    <w:p w:rsidR="008A5A5D" w:rsidRPr="00C24ACA" w:rsidRDefault="00A10C6C"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注：各期限分类的标准为按金融资产或金融负债的重新定价日或到期日孰早者进行分类。</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6.4.13.4.1.2</w:t>
      </w:r>
      <w:r w:rsidRPr="00C24ACA">
        <w:rPr>
          <w:rFonts w:eastAsiaTheme="minorEastAsia"/>
          <w:b/>
          <w:bCs/>
          <w:color w:val="000000"/>
          <w:szCs w:val="21"/>
        </w:rPr>
        <w:t>利率风险的敏感性分析</w:t>
      </w:r>
    </w:p>
    <w:p w:rsidR="008A5A5D" w:rsidRPr="00C24ACA" w:rsidRDefault="00022F8F"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本期末本基金未持有交易性债券投资</w:t>
      </w:r>
      <w:r w:rsidRPr="00C24ACA">
        <w:rPr>
          <w:rFonts w:eastAsiaTheme="minorEastAsia"/>
          <w:kern w:val="0"/>
          <w:szCs w:val="21"/>
        </w:rPr>
        <w:t>(</w:t>
      </w:r>
      <w:r w:rsidRPr="00C24ACA">
        <w:rPr>
          <w:rFonts w:eastAsiaTheme="minorEastAsia"/>
          <w:kern w:val="0"/>
          <w:szCs w:val="21"/>
        </w:rPr>
        <w:t>不包括可转债），因此市场利率的变动对于本基金资产净值无重大影响。</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w:t>
      </w:r>
      <w:r w:rsidRPr="00C24ACA">
        <w:rPr>
          <w:rFonts w:eastAsiaTheme="minorEastAsia"/>
          <w:b/>
          <w:bCs/>
          <w:color w:val="000000"/>
          <w:szCs w:val="21"/>
        </w:rPr>
        <w:t>外汇风险</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6.4.13.4.2.1</w:t>
      </w:r>
      <w:r w:rsidRPr="00C24ACA">
        <w:rPr>
          <w:rFonts w:eastAsiaTheme="minorEastAsia"/>
          <w:b/>
          <w:bCs/>
          <w:color w:val="000000"/>
          <w:szCs w:val="21"/>
        </w:rPr>
        <w:t>外汇风险敞口</w:t>
      </w:r>
    </w:p>
    <w:p w:rsidR="0056101E" w:rsidRPr="00C24ACA" w:rsidRDefault="0056101E" w:rsidP="0056101E">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400"/>
        <w:gridCol w:w="2020"/>
        <w:gridCol w:w="2160"/>
      </w:tblGrid>
      <w:tr w:rsidR="0056101E" w:rsidRPr="00C24ACA" w:rsidTr="00742218">
        <w:tc>
          <w:tcPr>
            <w:tcW w:w="1477" w:type="dxa"/>
            <w:vMerge w:val="restart"/>
            <w:vAlign w:val="center"/>
          </w:tcPr>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color w:val="000000"/>
                <w:szCs w:val="21"/>
              </w:rPr>
              <w:t>项目</w:t>
            </w:r>
          </w:p>
        </w:tc>
        <w:tc>
          <w:tcPr>
            <w:tcW w:w="7523" w:type="dxa"/>
            <w:gridSpan w:val="4"/>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本期末</w:t>
            </w:r>
          </w:p>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p>
        </w:tc>
      </w:tr>
      <w:tr w:rsidR="0056101E" w:rsidRPr="00C24ACA" w:rsidTr="00742218">
        <w:tc>
          <w:tcPr>
            <w:tcW w:w="1477" w:type="dxa"/>
            <w:vMerge/>
            <w:vAlign w:val="center"/>
          </w:tcPr>
          <w:p w:rsidR="0056101E" w:rsidRPr="00C24ACA" w:rsidRDefault="0056101E" w:rsidP="00742218">
            <w:pPr>
              <w:autoSpaceDE w:val="0"/>
              <w:autoSpaceDN w:val="0"/>
              <w:adjustRightInd w:val="0"/>
              <w:spacing w:before="29" w:line="360" w:lineRule="auto"/>
              <w:ind w:left="15"/>
              <w:jc w:val="left"/>
              <w:rPr>
                <w:rFonts w:eastAsiaTheme="minorEastAsia"/>
                <w:color w:val="000000"/>
                <w:kern w:val="0"/>
                <w:szCs w:val="21"/>
              </w:rPr>
            </w:pPr>
          </w:p>
        </w:tc>
        <w:tc>
          <w:tcPr>
            <w:tcW w:w="1943"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美元</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140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港币</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202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其他币种</w:t>
            </w:r>
          </w:p>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折合人民币</w:t>
            </w:r>
          </w:p>
        </w:tc>
        <w:tc>
          <w:tcPr>
            <w:tcW w:w="2160" w:type="dxa"/>
            <w:vAlign w:val="center"/>
          </w:tcPr>
          <w:p w:rsidR="0056101E" w:rsidRPr="00C24ACA" w:rsidRDefault="0056101E" w:rsidP="00742218">
            <w:pPr>
              <w:spacing w:line="360" w:lineRule="auto"/>
              <w:jc w:val="center"/>
              <w:rPr>
                <w:rFonts w:eastAsiaTheme="minorEastAsia"/>
                <w:color w:val="000000"/>
                <w:szCs w:val="21"/>
              </w:rPr>
            </w:pPr>
            <w:r w:rsidRPr="00C24ACA">
              <w:rPr>
                <w:rFonts w:eastAsiaTheme="minorEastAsia"/>
                <w:color w:val="000000"/>
                <w:szCs w:val="21"/>
              </w:rPr>
              <w:t>合计</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以外币计价的资产</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vAlign w:val="center"/>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BB5C1E">
        <w:tc>
          <w:tcPr>
            <w:tcW w:w="1477" w:type="dxa"/>
            <w:vAlign w:val="center"/>
          </w:tcPr>
          <w:p w:rsidR="00BB5C1E" w:rsidRDefault="00AF434F">
            <w:pPr>
              <w:jc w:val="left"/>
            </w:pPr>
            <w:r>
              <w:rPr>
                <w:rFonts w:eastAsiaTheme="minorEastAsia"/>
                <w:color w:val="000000"/>
                <w:kern w:val="0"/>
                <w:szCs w:val="21"/>
              </w:rPr>
              <w:t>银行存款</w:t>
            </w:r>
          </w:p>
        </w:tc>
        <w:tc>
          <w:tcPr>
            <w:tcW w:w="1943" w:type="dxa"/>
            <w:vAlign w:val="center"/>
          </w:tcPr>
          <w:p w:rsidR="00BB5C1E" w:rsidRDefault="00AF434F">
            <w:pPr>
              <w:jc w:val="right"/>
            </w:pPr>
            <w:r>
              <w:rPr>
                <w:rFonts w:eastAsiaTheme="minorEastAsia"/>
                <w:color w:val="000000"/>
                <w:kern w:val="0"/>
                <w:szCs w:val="21"/>
              </w:rPr>
              <w:t>2,589,181.01</w:t>
            </w:r>
          </w:p>
        </w:tc>
        <w:tc>
          <w:tcPr>
            <w:tcW w:w="1400" w:type="dxa"/>
            <w:vAlign w:val="center"/>
          </w:tcPr>
          <w:p w:rsidR="00BB5C1E" w:rsidRDefault="00AF434F">
            <w:pPr>
              <w:jc w:val="right"/>
            </w:pPr>
            <w:r>
              <w:rPr>
                <w:rFonts w:eastAsiaTheme="minorEastAsia"/>
                <w:color w:val="000000"/>
                <w:kern w:val="0"/>
                <w:szCs w:val="21"/>
              </w:rPr>
              <w:t>13,396.75</w:t>
            </w:r>
          </w:p>
        </w:tc>
        <w:tc>
          <w:tcPr>
            <w:tcW w:w="2020" w:type="dxa"/>
            <w:vAlign w:val="center"/>
          </w:tcPr>
          <w:p w:rsidR="00BB5C1E" w:rsidRDefault="00AF434F">
            <w:pPr>
              <w:jc w:val="right"/>
            </w:pPr>
            <w:r>
              <w:rPr>
                <w:rFonts w:eastAsiaTheme="minorEastAsia"/>
                <w:color w:val="000000"/>
                <w:kern w:val="0"/>
                <w:szCs w:val="21"/>
              </w:rPr>
              <w:t>282,541.39</w:t>
            </w:r>
          </w:p>
        </w:tc>
        <w:tc>
          <w:tcPr>
            <w:tcW w:w="2160" w:type="dxa"/>
            <w:vAlign w:val="center"/>
          </w:tcPr>
          <w:p w:rsidR="00BB5C1E" w:rsidRDefault="00AF434F">
            <w:pPr>
              <w:jc w:val="right"/>
            </w:pPr>
            <w:r>
              <w:rPr>
                <w:rFonts w:eastAsiaTheme="minorEastAsia"/>
                <w:color w:val="000000"/>
                <w:kern w:val="0"/>
                <w:szCs w:val="21"/>
              </w:rPr>
              <w:t>2,885,119.15</w:t>
            </w:r>
          </w:p>
        </w:tc>
      </w:tr>
      <w:tr w:rsidR="00BB5C1E">
        <w:tc>
          <w:tcPr>
            <w:tcW w:w="1477" w:type="dxa"/>
            <w:vAlign w:val="center"/>
          </w:tcPr>
          <w:p w:rsidR="00BB5C1E" w:rsidRDefault="00AF434F">
            <w:pPr>
              <w:jc w:val="left"/>
            </w:pPr>
            <w:r>
              <w:rPr>
                <w:rFonts w:eastAsiaTheme="minorEastAsia"/>
                <w:color w:val="000000"/>
                <w:kern w:val="0"/>
                <w:szCs w:val="21"/>
              </w:rPr>
              <w:t>结算备付金</w:t>
            </w:r>
          </w:p>
        </w:tc>
        <w:tc>
          <w:tcPr>
            <w:tcW w:w="1943" w:type="dxa"/>
            <w:vAlign w:val="center"/>
          </w:tcPr>
          <w:p w:rsidR="00BB5C1E" w:rsidRDefault="00AF434F">
            <w:pPr>
              <w:jc w:val="right"/>
            </w:pPr>
            <w:r>
              <w:rPr>
                <w:rFonts w:eastAsiaTheme="minorEastAsia"/>
                <w:color w:val="000000"/>
                <w:kern w:val="0"/>
                <w:szCs w:val="21"/>
              </w:rPr>
              <w:t>-</w:t>
            </w:r>
          </w:p>
        </w:tc>
        <w:tc>
          <w:tcPr>
            <w:tcW w:w="1400" w:type="dxa"/>
            <w:vAlign w:val="center"/>
          </w:tcPr>
          <w:p w:rsidR="00BB5C1E" w:rsidRDefault="00AF434F">
            <w:pPr>
              <w:jc w:val="right"/>
            </w:pPr>
            <w:r>
              <w:rPr>
                <w:rFonts w:eastAsiaTheme="minorEastAsia"/>
                <w:color w:val="000000"/>
                <w:kern w:val="0"/>
                <w:szCs w:val="21"/>
              </w:rPr>
              <w:t>-</w:t>
            </w:r>
          </w:p>
        </w:tc>
        <w:tc>
          <w:tcPr>
            <w:tcW w:w="2020" w:type="dxa"/>
            <w:vAlign w:val="center"/>
          </w:tcPr>
          <w:p w:rsidR="00BB5C1E" w:rsidRDefault="00AF434F">
            <w:pPr>
              <w:jc w:val="right"/>
            </w:pPr>
            <w:r>
              <w:rPr>
                <w:rFonts w:eastAsiaTheme="minorEastAsia"/>
                <w:color w:val="000000"/>
                <w:kern w:val="0"/>
                <w:szCs w:val="21"/>
              </w:rPr>
              <w:t>-</w:t>
            </w:r>
          </w:p>
        </w:tc>
        <w:tc>
          <w:tcPr>
            <w:tcW w:w="2160" w:type="dxa"/>
            <w:vAlign w:val="center"/>
          </w:tcPr>
          <w:p w:rsidR="00BB5C1E" w:rsidRDefault="00AF434F">
            <w:pPr>
              <w:jc w:val="right"/>
            </w:pPr>
            <w:r>
              <w:rPr>
                <w:rFonts w:eastAsiaTheme="minorEastAsia"/>
                <w:color w:val="000000"/>
                <w:kern w:val="0"/>
                <w:szCs w:val="21"/>
              </w:rPr>
              <w:t>-</w:t>
            </w:r>
          </w:p>
        </w:tc>
      </w:tr>
      <w:tr w:rsidR="00BB5C1E">
        <w:tc>
          <w:tcPr>
            <w:tcW w:w="1477" w:type="dxa"/>
            <w:vAlign w:val="center"/>
          </w:tcPr>
          <w:p w:rsidR="00BB5C1E" w:rsidRDefault="00AF434F">
            <w:pPr>
              <w:jc w:val="left"/>
            </w:pPr>
            <w:r>
              <w:rPr>
                <w:rFonts w:eastAsiaTheme="minorEastAsia"/>
                <w:color w:val="000000"/>
                <w:kern w:val="0"/>
                <w:szCs w:val="21"/>
              </w:rPr>
              <w:t>交易性金融资产</w:t>
            </w:r>
          </w:p>
        </w:tc>
        <w:tc>
          <w:tcPr>
            <w:tcW w:w="1943" w:type="dxa"/>
            <w:vAlign w:val="center"/>
          </w:tcPr>
          <w:p w:rsidR="00BB5C1E" w:rsidRDefault="00AF434F">
            <w:pPr>
              <w:jc w:val="right"/>
            </w:pPr>
            <w:r>
              <w:rPr>
                <w:rFonts w:eastAsiaTheme="minorEastAsia"/>
                <w:color w:val="000000"/>
                <w:kern w:val="0"/>
                <w:szCs w:val="21"/>
              </w:rPr>
              <w:t>16,819,253.81</w:t>
            </w:r>
          </w:p>
        </w:tc>
        <w:tc>
          <w:tcPr>
            <w:tcW w:w="1400" w:type="dxa"/>
            <w:vAlign w:val="center"/>
          </w:tcPr>
          <w:p w:rsidR="00BB5C1E" w:rsidRDefault="00AF434F">
            <w:pPr>
              <w:jc w:val="right"/>
            </w:pPr>
            <w:r>
              <w:rPr>
                <w:rFonts w:eastAsiaTheme="minorEastAsia"/>
                <w:color w:val="000000"/>
                <w:kern w:val="0"/>
                <w:szCs w:val="21"/>
              </w:rPr>
              <w:t>6,431,236.82</w:t>
            </w:r>
          </w:p>
        </w:tc>
        <w:tc>
          <w:tcPr>
            <w:tcW w:w="2020" w:type="dxa"/>
            <w:vAlign w:val="center"/>
          </w:tcPr>
          <w:p w:rsidR="00BB5C1E" w:rsidRDefault="00AF434F">
            <w:pPr>
              <w:jc w:val="right"/>
            </w:pPr>
            <w:r>
              <w:rPr>
                <w:rFonts w:eastAsiaTheme="minorEastAsia"/>
                <w:color w:val="000000"/>
                <w:kern w:val="0"/>
                <w:szCs w:val="21"/>
              </w:rPr>
              <w:t>30,692,492.33</w:t>
            </w:r>
          </w:p>
        </w:tc>
        <w:tc>
          <w:tcPr>
            <w:tcW w:w="2160" w:type="dxa"/>
            <w:vAlign w:val="center"/>
          </w:tcPr>
          <w:p w:rsidR="00BB5C1E" w:rsidRDefault="00AF434F">
            <w:pPr>
              <w:jc w:val="right"/>
            </w:pPr>
            <w:r>
              <w:rPr>
                <w:rFonts w:eastAsiaTheme="minorEastAsia"/>
                <w:color w:val="000000"/>
                <w:kern w:val="0"/>
                <w:szCs w:val="21"/>
              </w:rPr>
              <w:t>53,942,982.96</w:t>
            </w:r>
          </w:p>
        </w:tc>
      </w:tr>
      <w:tr w:rsidR="00BB5C1E">
        <w:tc>
          <w:tcPr>
            <w:tcW w:w="1477" w:type="dxa"/>
            <w:vAlign w:val="center"/>
          </w:tcPr>
          <w:p w:rsidR="00BB5C1E" w:rsidRDefault="00AF434F">
            <w:pPr>
              <w:jc w:val="left"/>
            </w:pPr>
            <w:r>
              <w:rPr>
                <w:rFonts w:eastAsiaTheme="minorEastAsia"/>
                <w:color w:val="000000"/>
                <w:kern w:val="0"/>
                <w:szCs w:val="21"/>
              </w:rPr>
              <w:t>衍生金融资产</w:t>
            </w:r>
          </w:p>
        </w:tc>
        <w:tc>
          <w:tcPr>
            <w:tcW w:w="1943" w:type="dxa"/>
            <w:vAlign w:val="center"/>
          </w:tcPr>
          <w:p w:rsidR="00BB5C1E" w:rsidRDefault="00AF434F">
            <w:pPr>
              <w:jc w:val="right"/>
            </w:pPr>
            <w:r>
              <w:rPr>
                <w:rFonts w:eastAsiaTheme="minorEastAsia"/>
                <w:color w:val="000000"/>
                <w:kern w:val="0"/>
                <w:szCs w:val="21"/>
              </w:rPr>
              <w:t>-</w:t>
            </w:r>
          </w:p>
        </w:tc>
        <w:tc>
          <w:tcPr>
            <w:tcW w:w="1400" w:type="dxa"/>
            <w:vAlign w:val="center"/>
          </w:tcPr>
          <w:p w:rsidR="00BB5C1E" w:rsidRDefault="00AF434F">
            <w:pPr>
              <w:jc w:val="right"/>
            </w:pPr>
            <w:r>
              <w:rPr>
                <w:rFonts w:eastAsiaTheme="minorEastAsia"/>
                <w:color w:val="000000"/>
                <w:kern w:val="0"/>
                <w:szCs w:val="21"/>
              </w:rPr>
              <w:t>-</w:t>
            </w:r>
          </w:p>
        </w:tc>
        <w:tc>
          <w:tcPr>
            <w:tcW w:w="2020" w:type="dxa"/>
            <w:vAlign w:val="center"/>
          </w:tcPr>
          <w:p w:rsidR="00BB5C1E" w:rsidRDefault="00AF434F">
            <w:pPr>
              <w:jc w:val="right"/>
            </w:pPr>
            <w:r>
              <w:rPr>
                <w:rFonts w:eastAsiaTheme="minorEastAsia"/>
                <w:color w:val="000000"/>
                <w:kern w:val="0"/>
                <w:szCs w:val="21"/>
              </w:rPr>
              <w:t>-</w:t>
            </w:r>
          </w:p>
        </w:tc>
        <w:tc>
          <w:tcPr>
            <w:tcW w:w="2160" w:type="dxa"/>
            <w:vAlign w:val="center"/>
          </w:tcPr>
          <w:p w:rsidR="00BB5C1E" w:rsidRDefault="00AF434F">
            <w:pPr>
              <w:jc w:val="right"/>
            </w:pPr>
            <w:r>
              <w:rPr>
                <w:rFonts w:eastAsiaTheme="minorEastAsia"/>
                <w:color w:val="000000"/>
                <w:kern w:val="0"/>
                <w:szCs w:val="21"/>
              </w:rPr>
              <w:t>-</w:t>
            </w:r>
          </w:p>
        </w:tc>
      </w:tr>
      <w:tr w:rsidR="00BB5C1E">
        <w:tc>
          <w:tcPr>
            <w:tcW w:w="1477" w:type="dxa"/>
            <w:vAlign w:val="center"/>
          </w:tcPr>
          <w:p w:rsidR="00BB5C1E" w:rsidRDefault="00AF434F">
            <w:pPr>
              <w:jc w:val="left"/>
            </w:pPr>
            <w:r>
              <w:rPr>
                <w:rFonts w:eastAsiaTheme="minorEastAsia"/>
                <w:color w:val="000000"/>
                <w:kern w:val="0"/>
                <w:szCs w:val="21"/>
              </w:rPr>
              <w:t>应收证券清算款</w:t>
            </w:r>
          </w:p>
        </w:tc>
        <w:tc>
          <w:tcPr>
            <w:tcW w:w="1943" w:type="dxa"/>
            <w:vAlign w:val="center"/>
          </w:tcPr>
          <w:p w:rsidR="00BB5C1E" w:rsidRDefault="00AF434F">
            <w:pPr>
              <w:jc w:val="right"/>
            </w:pPr>
            <w:r>
              <w:rPr>
                <w:rFonts w:eastAsiaTheme="minorEastAsia"/>
                <w:color w:val="000000"/>
                <w:kern w:val="0"/>
                <w:szCs w:val="21"/>
              </w:rPr>
              <w:t>-</w:t>
            </w:r>
          </w:p>
        </w:tc>
        <w:tc>
          <w:tcPr>
            <w:tcW w:w="1400" w:type="dxa"/>
            <w:vAlign w:val="center"/>
          </w:tcPr>
          <w:p w:rsidR="00BB5C1E" w:rsidRDefault="00AF434F">
            <w:pPr>
              <w:jc w:val="right"/>
            </w:pPr>
            <w:r>
              <w:rPr>
                <w:rFonts w:eastAsiaTheme="minorEastAsia"/>
                <w:color w:val="000000"/>
                <w:kern w:val="0"/>
                <w:szCs w:val="21"/>
              </w:rPr>
              <w:t>-</w:t>
            </w:r>
          </w:p>
        </w:tc>
        <w:tc>
          <w:tcPr>
            <w:tcW w:w="2020" w:type="dxa"/>
            <w:vAlign w:val="center"/>
          </w:tcPr>
          <w:p w:rsidR="00BB5C1E" w:rsidRDefault="00AF434F">
            <w:pPr>
              <w:jc w:val="right"/>
            </w:pPr>
            <w:r>
              <w:rPr>
                <w:rFonts w:eastAsiaTheme="minorEastAsia"/>
                <w:color w:val="000000"/>
                <w:kern w:val="0"/>
                <w:szCs w:val="21"/>
              </w:rPr>
              <w:t>-</w:t>
            </w:r>
          </w:p>
        </w:tc>
        <w:tc>
          <w:tcPr>
            <w:tcW w:w="2160" w:type="dxa"/>
            <w:vAlign w:val="center"/>
          </w:tcPr>
          <w:p w:rsidR="00BB5C1E" w:rsidRDefault="00AF434F">
            <w:pPr>
              <w:jc w:val="right"/>
            </w:pPr>
            <w:r>
              <w:rPr>
                <w:rFonts w:eastAsiaTheme="minorEastAsia"/>
                <w:color w:val="000000"/>
                <w:kern w:val="0"/>
                <w:szCs w:val="21"/>
              </w:rPr>
              <w:t>-</w:t>
            </w:r>
          </w:p>
        </w:tc>
      </w:tr>
      <w:tr w:rsidR="00BB5C1E">
        <w:tc>
          <w:tcPr>
            <w:tcW w:w="1477" w:type="dxa"/>
            <w:vAlign w:val="center"/>
          </w:tcPr>
          <w:p w:rsidR="00BB5C1E" w:rsidRDefault="00AF434F">
            <w:pPr>
              <w:jc w:val="left"/>
            </w:pPr>
            <w:r>
              <w:rPr>
                <w:rFonts w:eastAsiaTheme="minorEastAsia"/>
                <w:color w:val="000000"/>
                <w:kern w:val="0"/>
                <w:szCs w:val="21"/>
              </w:rPr>
              <w:t>应收利息</w:t>
            </w:r>
          </w:p>
        </w:tc>
        <w:tc>
          <w:tcPr>
            <w:tcW w:w="1943" w:type="dxa"/>
            <w:vAlign w:val="center"/>
          </w:tcPr>
          <w:p w:rsidR="00BB5C1E" w:rsidRDefault="00AF434F">
            <w:pPr>
              <w:jc w:val="right"/>
            </w:pPr>
            <w:r>
              <w:rPr>
                <w:rFonts w:eastAsiaTheme="minorEastAsia"/>
                <w:color w:val="000000"/>
                <w:kern w:val="0"/>
                <w:szCs w:val="21"/>
              </w:rPr>
              <w:t>12.60</w:t>
            </w:r>
          </w:p>
        </w:tc>
        <w:tc>
          <w:tcPr>
            <w:tcW w:w="1400" w:type="dxa"/>
            <w:vAlign w:val="center"/>
          </w:tcPr>
          <w:p w:rsidR="00BB5C1E" w:rsidRDefault="00AF434F">
            <w:pPr>
              <w:jc w:val="right"/>
            </w:pPr>
            <w:r>
              <w:rPr>
                <w:rFonts w:eastAsiaTheme="minorEastAsia"/>
                <w:color w:val="000000"/>
                <w:kern w:val="0"/>
                <w:szCs w:val="21"/>
              </w:rPr>
              <w:t>-</w:t>
            </w:r>
          </w:p>
        </w:tc>
        <w:tc>
          <w:tcPr>
            <w:tcW w:w="2020" w:type="dxa"/>
            <w:vAlign w:val="center"/>
          </w:tcPr>
          <w:p w:rsidR="00BB5C1E" w:rsidRDefault="00AF434F">
            <w:pPr>
              <w:jc w:val="right"/>
            </w:pPr>
            <w:r>
              <w:rPr>
                <w:rFonts w:eastAsiaTheme="minorEastAsia"/>
                <w:color w:val="000000"/>
                <w:kern w:val="0"/>
                <w:szCs w:val="21"/>
              </w:rPr>
              <w:t>-</w:t>
            </w:r>
          </w:p>
        </w:tc>
        <w:tc>
          <w:tcPr>
            <w:tcW w:w="2160" w:type="dxa"/>
            <w:vAlign w:val="center"/>
          </w:tcPr>
          <w:p w:rsidR="00BB5C1E" w:rsidRDefault="00AF434F">
            <w:pPr>
              <w:jc w:val="right"/>
            </w:pPr>
            <w:r>
              <w:rPr>
                <w:rFonts w:eastAsiaTheme="minorEastAsia"/>
                <w:color w:val="000000"/>
                <w:kern w:val="0"/>
                <w:szCs w:val="21"/>
              </w:rPr>
              <w:t>12.60</w:t>
            </w:r>
          </w:p>
        </w:tc>
      </w:tr>
      <w:tr w:rsidR="00BB5C1E">
        <w:tc>
          <w:tcPr>
            <w:tcW w:w="1477" w:type="dxa"/>
            <w:vAlign w:val="center"/>
          </w:tcPr>
          <w:p w:rsidR="00BB5C1E" w:rsidRDefault="00AF434F">
            <w:pPr>
              <w:jc w:val="left"/>
            </w:pPr>
            <w:r>
              <w:rPr>
                <w:rFonts w:eastAsiaTheme="minorEastAsia"/>
                <w:color w:val="000000"/>
                <w:kern w:val="0"/>
                <w:szCs w:val="21"/>
              </w:rPr>
              <w:t>应收股利</w:t>
            </w:r>
          </w:p>
        </w:tc>
        <w:tc>
          <w:tcPr>
            <w:tcW w:w="1943" w:type="dxa"/>
            <w:vAlign w:val="center"/>
          </w:tcPr>
          <w:p w:rsidR="00BB5C1E" w:rsidRDefault="00AF434F">
            <w:pPr>
              <w:jc w:val="right"/>
            </w:pPr>
            <w:r>
              <w:rPr>
                <w:rFonts w:eastAsiaTheme="minorEastAsia"/>
                <w:color w:val="000000"/>
                <w:kern w:val="0"/>
                <w:szCs w:val="21"/>
              </w:rPr>
              <w:t>10,294.09</w:t>
            </w:r>
          </w:p>
        </w:tc>
        <w:tc>
          <w:tcPr>
            <w:tcW w:w="1400" w:type="dxa"/>
            <w:vAlign w:val="center"/>
          </w:tcPr>
          <w:p w:rsidR="00BB5C1E" w:rsidRDefault="00AF434F">
            <w:pPr>
              <w:jc w:val="right"/>
            </w:pPr>
            <w:r>
              <w:rPr>
                <w:rFonts w:eastAsiaTheme="minorEastAsia"/>
                <w:color w:val="000000"/>
                <w:kern w:val="0"/>
                <w:szCs w:val="21"/>
              </w:rPr>
              <w:t>-</w:t>
            </w:r>
          </w:p>
        </w:tc>
        <w:tc>
          <w:tcPr>
            <w:tcW w:w="2020" w:type="dxa"/>
            <w:vAlign w:val="center"/>
          </w:tcPr>
          <w:p w:rsidR="00BB5C1E" w:rsidRDefault="00AF434F">
            <w:pPr>
              <w:jc w:val="right"/>
            </w:pPr>
            <w:r>
              <w:rPr>
                <w:rFonts w:eastAsiaTheme="minorEastAsia"/>
                <w:color w:val="000000"/>
                <w:kern w:val="0"/>
                <w:szCs w:val="21"/>
              </w:rPr>
              <w:t>14,043.84</w:t>
            </w:r>
          </w:p>
        </w:tc>
        <w:tc>
          <w:tcPr>
            <w:tcW w:w="2160" w:type="dxa"/>
            <w:vAlign w:val="center"/>
          </w:tcPr>
          <w:p w:rsidR="00BB5C1E" w:rsidRDefault="00AF434F">
            <w:pPr>
              <w:jc w:val="right"/>
            </w:pPr>
            <w:r>
              <w:rPr>
                <w:rFonts w:eastAsiaTheme="minorEastAsia"/>
                <w:color w:val="000000"/>
                <w:kern w:val="0"/>
                <w:szCs w:val="21"/>
              </w:rPr>
              <w:t>24,337.93</w:t>
            </w:r>
          </w:p>
        </w:tc>
      </w:tr>
      <w:tr w:rsidR="00BB5C1E">
        <w:tc>
          <w:tcPr>
            <w:tcW w:w="1477" w:type="dxa"/>
            <w:vAlign w:val="center"/>
          </w:tcPr>
          <w:p w:rsidR="00BB5C1E" w:rsidRDefault="00AF434F">
            <w:pPr>
              <w:jc w:val="left"/>
            </w:pPr>
            <w:r>
              <w:rPr>
                <w:rFonts w:eastAsiaTheme="minorEastAsia"/>
                <w:color w:val="000000"/>
                <w:kern w:val="0"/>
                <w:szCs w:val="21"/>
              </w:rPr>
              <w:t>应收申购款</w:t>
            </w:r>
          </w:p>
        </w:tc>
        <w:tc>
          <w:tcPr>
            <w:tcW w:w="1943" w:type="dxa"/>
            <w:vAlign w:val="center"/>
          </w:tcPr>
          <w:p w:rsidR="00BB5C1E" w:rsidRDefault="00AF434F">
            <w:pPr>
              <w:jc w:val="right"/>
            </w:pPr>
            <w:r>
              <w:rPr>
                <w:rFonts w:eastAsiaTheme="minorEastAsia"/>
                <w:color w:val="000000"/>
                <w:kern w:val="0"/>
                <w:szCs w:val="21"/>
              </w:rPr>
              <w:t>9,721.64</w:t>
            </w:r>
          </w:p>
        </w:tc>
        <w:tc>
          <w:tcPr>
            <w:tcW w:w="1400" w:type="dxa"/>
            <w:vAlign w:val="center"/>
          </w:tcPr>
          <w:p w:rsidR="00BB5C1E" w:rsidRDefault="00AF434F">
            <w:pPr>
              <w:jc w:val="right"/>
            </w:pPr>
            <w:r>
              <w:rPr>
                <w:rFonts w:eastAsiaTheme="minorEastAsia"/>
                <w:color w:val="000000"/>
                <w:kern w:val="0"/>
                <w:szCs w:val="21"/>
              </w:rPr>
              <w:t>-</w:t>
            </w:r>
          </w:p>
        </w:tc>
        <w:tc>
          <w:tcPr>
            <w:tcW w:w="2020" w:type="dxa"/>
            <w:vAlign w:val="center"/>
          </w:tcPr>
          <w:p w:rsidR="00BB5C1E" w:rsidRDefault="00AF434F">
            <w:pPr>
              <w:jc w:val="right"/>
            </w:pPr>
            <w:r>
              <w:rPr>
                <w:rFonts w:eastAsiaTheme="minorEastAsia"/>
                <w:color w:val="000000"/>
                <w:kern w:val="0"/>
                <w:szCs w:val="21"/>
              </w:rPr>
              <w:t>-</w:t>
            </w:r>
          </w:p>
        </w:tc>
        <w:tc>
          <w:tcPr>
            <w:tcW w:w="2160" w:type="dxa"/>
            <w:vAlign w:val="center"/>
          </w:tcPr>
          <w:p w:rsidR="00BB5C1E" w:rsidRDefault="00AF434F">
            <w:pPr>
              <w:jc w:val="right"/>
            </w:pPr>
            <w:r>
              <w:rPr>
                <w:rFonts w:eastAsiaTheme="minorEastAsia"/>
                <w:color w:val="000000"/>
                <w:kern w:val="0"/>
                <w:szCs w:val="21"/>
              </w:rPr>
              <w:t>9,721.64</w:t>
            </w:r>
          </w:p>
        </w:tc>
      </w:tr>
      <w:tr w:rsidR="00BB5C1E">
        <w:tc>
          <w:tcPr>
            <w:tcW w:w="1477" w:type="dxa"/>
            <w:vAlign w:val="center"/>
          </w:tcPr>
          <w:p w:rsidR="00BB5C1E" w:rsidRDefault="00AF434F">
            <w:pPr>
              <w:jc w:val="left"/>
            </w:pPr>
            <w:r>
              <w:rPr>
                <w:rFonts w:eastAsiaTheme="minorEastAsia"/>
                <w:color w:val="000000"/>
                <w:kern w:val="0"/>
                <w:szCs w:val="21"/>
              </w:rPr>
              <w:t>其他资产</w:t>
            </w:r>
          </w:p>
        </w:tc>
        <w:tc>
          <w:tcPr>
            <w:tcW w:w="1943" w:type="dxa"/>
            <w:vAlign w:val="center"/>
          </w:tcPr>
          <w:p w:rsidR="00BB5C1E" w:rsidRDefault="00AF434F">
            <w:pPr>
              <w:jc w:val="right"/>
            </w:pPr>
            <w:r>
              <w:rPr>
                <w:rFonts w:eastAsiaTheme="minorEastAsia"/>
                <w:color w:val="000000"/>
                <w:kern w:val="0"/>
                <w:szCs w:val="21"/>
              </w:rPr>
              <w:t>-</w:t>
            </w:r>
          </w:p>
        </w:tc>
        <w:tc>
          <w:tcPr>
            <w:tcW w:w="1400" w:type="dxa"/>
            <w:vAlign w:val="center"/>
          </w:tcPr>
          <w:p w:rsidR="00BB5C1E" w:rsidRDefault="00AF434F">
            <w:pPr>
              <w:jc w:val="right"/>
            </w:pPr>
            <w:r>
              <w:rPr>
                <w:rFonts w:eastAsiaTheme="minorEastAsia"/>
                <w:color w:val="000000"/>
                <w:kern w:val="0"/>
                <w:szCs w:val="21"/>
              </w:rPr>
              <w:t>-</w:t>
            </w:r>
          </w:p>
        </w:tc>
        <w:tc>
          <w:tcPr>
            <w:tcW w:w="2020" w:type="dxa"/>
            <w:vAlign w:val="center"/>
          </w:tcPr>
          <w:p w:rsidR="00BB5C1E" w:rsidRDefault="00AF434F">
            <w:pPr>
              <w:jc w:val="right"/>
            </w:pPr>
            <w:r>
              <w:rPr>
                <w:rFonts w:eastAsiaTheme="minorEastAsia"/>
                <w:color w:val="000000"/>
                <w:kern w:val="0"/>
                <w:szCs w:val="21"/>
              </w:rPr>
              <w:t>-</w:t>
            </w:r>
          </w:p>
        </w:tc>
        <w:tc>
          <w:tcPr>
            <w:tcW w:w="2160" w:type="dxa"/>
            <w:vAlign w:val="center"/>
          </w:tcPr>
          <w:p w:rsidR="00BB5C1E" w:rsidRDefault="00AF434F">
            <w:pPr>
              <w:jc w:val="right"/>
            </w:pPr>
            <w:r>
              <w:rPr>
                <w:rFonts w:eastAsiaTheme="minorEastAsia"/>
                <w:color w:val="000000"/>
                <w:kern w:val="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19,428,463.15</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6,444,633.57</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30,989,077.56</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56,862,174.28</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以外币计价的负债</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BB5C1E">
        <w:tc>
          <w:tcPr>
            <w:tcW w:w="1477" w:type="dxa"/>
            <w:vAlign w:val="center"/>
          </w:tcPr>
          <w:p w:rsidR="00BB5C1E" w:rsidRDefault="00AF434F">
            <w:pPr>
              <w:jc w:val="left"/>
            </w:pPr>
            <w:r>
              <w:rPr>
                <w:rFonts w:eastAsiaTheme="minorEastAsia"/>
                <w:color w:val="000000"/>
                <w:szCs w:val="21"/>
              </w:rPr>
              <w:t>应付证券清算款</w:t>
            </w:r>
          </w:p>
        </w:tc>
        <w:tc>
          <w:tcPr>
            <w:tcW w:w="1943" w:type="dxa"/>
            <w:vAlign w:val="center"/>
          </w:tcPr>
          <w:p w:rsidR="00BB5C1E" w:rsidRDefault="00AF434F">
            <w:pPr>
              <w:jc w:val="right"/>
            </w:pPr>
            <w:r>
              <w:rPr>
                <w:rFonts w:eastAsiaTheme="minorEastAsia"/>
                <w:color w:val="000000"/>
                <w:szCs w:val="21"/>
              </w:rPr>
              <w:t>-</w:t>
            </w:r>
          </w:p>
        </w:tc>
        <w:tc>
          <w:tcPr>
            <w:tcW w:w="1400" w:type="dxa"/>
            <w:vAlign w:val="center"/>
          </w:tcPr>
          <w:p w:rsidR="00BB5C1E" w:rsidRDefault="00AF434F">
            <w:pPr>
              <w:jc w:val="right"/>
            </w:pPr>
            <w:r>
              <w:rPr>
                <w:rFonts w:eastAsiaTheme="minorEastAsia"/>
                <w:color w:val="000000"/>
                <w:szCs w:val="21"/>
              </w:rPr>
              <w:t>-</w:t>
            </w:r>
          </w:p>
        </w:tc>
        <w:tc>
          <w:tcPr>
            <w:tcW w:w="2020" w:type="dxa"/>
            <w:vAlign w:val="center"/>
          </w:tcPr>
          <w:p w:rsidR="00BB5C1E" w:rsidRDefault="00AF434F">
            <w:pPr>
              <w:jc w:val="right"/>
            </w:pPr>
            <w:r>
              <w:rPr>
                <w:rFonts w:eastAsiaTheme="minorEastAsia"/>
                <w:color w:val="000000"/>
                <w:szCs w:val="21"/>
              </w:rPr>
              <w:t>-</w:t>
            </w:r>
          </w:p>
        </w:tc>
        <w:tc>
          <w:tcPr>
            <w:tcW w:w="2160" w:type="dxa"/>
            <w:vAlign w:val="center"/>
          </w:tcPr>
          <w:p w:rsidR="00BB5C1E" w:rsidRDefault="00AF434F">
            <w:pPr>
              <w:jc w:val="right"/>
            </w:pPr>
            <w:r>
              <w:rPr>
                <w:rFonts w:eastAsiaTheme="minorEastAsia"/>
                <w:color w:val="000000"/>
                <w:szCs w:val="21"/>
              </w:rPr>
              <w:t>-</w:t>
            </w:r>
          </w:p>
        </w:tc>
      </w:tr>
      <w:tr w:rsidR="00BB5C1E">
        <w:tc>
          <w:tcPr>
            <w:tcW w:w="1477" w:type="dxa"/>
            <w:vAlign w:val="center"/>
          </w:tcPr>
          <w:p w:rsidR="00BB5C1E" w:rsidRDefault="00AF434F">
            <w:pPr>
              <w:jc w:val="left"/>
            </w:pPr>
            <w:r>
              <w:rPr>
                <w:rFonts w:eastAsiaTheme="minorEastAsia"/>
                <w:color w:val="000000"/>
                <w:szCs w:val="21"/>
              </w:rPr>
              <w:t>应付赎回款</w:t>
            </w:r>
          </w:p>
        </w:tc>
        <w:tc>
          <w:tcPr>
            <w:tcW w:w="1943" w:type="dxa"/>
            <w:vAlign w:val="center"/>
          </w:tcPr>
          <w:p w:rsidR="00BB5C1E" w:rsidRDefault="00AF434F">
            <w:pPr>
              <w:jc w:val="right"/>
            </w:pPr>
            <w:r>
              <w:rPr>
                <w:rFonts w:eastAsiaTheme="minorEastAsia"/>
                <w:color w:val="000000"/>
                <w:szCs w:val="21"/>
              </w:rPr>
              <w:t>46,513.94</w:t>
            </w:r>
          </w:p>
        </w:tc>
        <w:tc>
          <w:tcPr>
            <w:tcW w:w="1400" w:type="dxa"/>
            <w:vAlign w:val="center"/>
          </w:tcPr>
          <w:p w:rsidR="00BB5C1E" w:rsidRDefault="00AF434F">
            <w:pPr>
              <w:jc w:val="right"/>
            </w:pPr>
            <w:r>
              <w:rPr>
                <w:rFonts w:eastAsiaTheme="minorEastAsia"/>
                <w:color w:val="000000"/>
                <w:szCs w:val="21"/>
              </w:rPr>
              <w:t>-</w:t>
            </w:r>
          </w:p>
        </w:tc>
        <w:tc>
          <w:tcPr>
            <w:tcW w:w="2020" w:type="dxa"/>
            <w:vAlign w:val="center"/>
          </w:tcPr>
          <w:p w:rsidR="00BB5C1E" w:rsidRDefault="00AF434F">
            <w:pPr>
              <w:jc w:val="right"/>
            </w:pPr>
            <w:r>
              <w:rPr>
                <w:rFonts w:eastAsiaTheme="minorEastAsia"/>
                <w:color w:val="000000"/>
                <w:szCs w:val="21"/>
              </w:rPr>
              <w:t>-</w:t>
            </w:r>
          </w:p>
        </w:tc>
        <w:tc>
          <w:tcPr>
            <w:tcW w:w="2160" w:type="dxa"/>
            <w:vAlign w:val="center"/>
          </w:tcPr>
          <w:p w:rsidR="00BB5C1E" w:rsidRDefault="00AF434F">
            <w:pPr>
              <w:jc w:val="right"/>
            </w:pPr>
            <w:r>
              <w:rPr>
                <w:rFonts w:eastAsiaTheme="minorEastAsia"/>
                <w:color w:val="000000"/>
                <w:szCs w:val="21"/>
              </w:rPr>
              <w:t>46,513.94</w:t>
            </w:r>
          </w:p>
        </w:tc>
      </w:tr>
      <w:tr w:rsidR="00BB5C1E">
        <w:tc>
          <w:tcPr>
            <w:tcW w:w="1477" w:type="dxa"/>
            <w:vAlign w:val="center"/>
          </w:tcPr>
          <w:p w:rsidR="00BB5C1E" w:rsidRDefault="00AF434F">
            <w:pPr>
              <w:jc w:val="left"/>
            </w:pPr>
            <w:r>
              <w:rPr>
                <w:rFonts w:eastAsiaTheme="minorEastAsia"/>
                <w:color w:val="000000"/>
                <w:szCs w:val="21"/>
              </w:rPr>
              <w:t>其他负债</w:t>
            </w:r>
          </w:p>
        </w:tc>
        <w:tc>
          <w:tcPr>
            <w:tcW w:w="1943" w:type="dxa"/>
            <w:vAlign w:val="center"/>
          </w:tcPr>
          <w:p w:rsidR="00BB5C1E" w:rsidRDefault="00AF434F">
            <w:pPr>
              <w:jc w:val="right"/>
            </w:pPr>
            <w:r>
              <w:rPr>
                <w:rFonts w:eastAsiaTheme="minorEastAsia"/>
                <w:color w:val="000000"/>
                <w:szCs w:val="21"/>
              </w:rPr>
              <w:t>46.23</w:t>
            </w:r>
          </w:p>
        </w:tc>
        <w:tc>
          <w:tcPr>
            <w:tcW w:w="1400" w:type="dxa"/>
            <w:vAlign w:val="center"/>
          </w:tcPr>
          <w:p w:rsidR="00BB5C1E" w:rsidRDefault="00AF434F">
            <w:pPr>
              <w:jc w:val="right"/>
            </w:pPr>
            <w:r>
              <w:rPr>
                <w:rFonts w:eastAsiaTheme="minorEastAsia"/>
                <w:color w:val="000000"/>
                <w:szCs w:val="21"/>
              </w:rPr>
              <w:t>-</w:t>
            </w:r>
          </w:p>
        </w:tc>
        <w:tc>
          <w:tcPr>
            <w:tcW w:w="2020" w:type="dxa"/>
            <w:vAlign w:val="center"/>
          </w:tcPr>
          <w:p w:rsidR="00BB5C1E" w:rsidRDefault="00AF434F">
            <w:pPr>
              <w:jc w:val="right"/>
            </w:pPr>
            <w:r>
              <w:rPr>
                <w:rFonts w:eastAsiaTheme="minorEastAsia"/>
                <w:color w:val="000000"/>
                <w:szCs w:val="21"/>
              </w:rPr>
              <w:t>-</w:t>
            </w:r>
          </w:p>
        </w:tc>
        <w:tc>
          <w:tcPr>
            <w:tcW w:w="2160" w:type="dxa"/>
            <w:vAlign w:val="center"/>
          </w:tcPr>
          <w:p w:rsidR="00BB5C1E" w:rsidRDefault="00AF434F">
            <w:pPr>
              <w:jc w:val="right"/>
            </w:pPr>
            <w:r>
              <w:rPr>
                <w:rFonts w:eastAsiaTheme="minorEastAsia"/>
                <w:color w:val="000000"/>
                <w:szCs w:val="21"/>
              </w:rPr>
              <w:t>46.23</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负债合计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46,560.17</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46,560.17</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资产负债表外汇风险敞口净额</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19,381,902.98</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6,444,633.57</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30,989,077.56</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56,815,614.11</w:t>
            </w:r>
          </w:p>
        </w:tc>
      </w:tr>
      <w:tr w:rsidR="0056101E" w:rsidRPr="00C24ACA" w:rsidTr="00742218">
        <w:tc>
          <w:tcPr>
            <w:tcW w:w="1477" w:type="dxa"/>
            <w:vMerge w:val="restart"/>
            <w:vAlign w:val="center"/>
          </w:tcPr>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color w:val="000000"/>
                <w:szCs w:val="21"/>
              </w:rPr>
              <w:t>项目</w:t>
            </w:r>
          </w:p>
        </w:tc>
        <w:tc>
          <w:tcPr>
            <w:tcW w:w="7523" w:type="dxa"/>
            <w:gridSpan w:val="4"/>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上年度末</w:t>
            </w:r>
          </w:p>
          <w:p w:rsidR="0056101E" w:rsidRPr="00C24ACA" w:rsidRDefault="0056101E" w:rsidP="00742218">
            <w:pPr>
              <w:autoSpaceDE w:val="0"/>
              <w:autoSpaceDN w:val="0"/>
              <w:adjustRightInd w:val="0"/>
              <w:spacing w:before="29" w:line="360" w:lineRule="auto"/>
              <w:ind w:left="15"/>
              <w:jc w:val="center"/>
              <w:rPr>
                <w:rFonts w:eastAsiaTheme="minorEastAsia"/>
                <w:b/>
                <w:color w:val="000000"/>
                <w:kern w:val="0"/>
                <w:szCs w:val="21"/>
              </w:rPr>
            </w:pPr>
            <w:r w:rsidRPr="00C24ACA">
              <w:rPr>
                <w:rFonts w:eastAsiaTheme="minorEastAsia"/>
                <w:b/>
                <w:szCs w:val="21"/>
              </w:rPr>
              <w:t>2019</w:t>
            </w:r>
            <w:r w:rsidRPr="00C24ACA">
              <w:rPr>
                <w:rFonts w:eastAsiaTheme="minorEastAsia"/>
                <w:b/>
                <w:szCs w:val="21"/>
              </w:rPr>
              <w:t>年</w:t>
            </w:r>
            <w:r w:rsidRPr="00C24ACA">
              <w:rPr>
                <w:rFonts w:eastAsiaTheme="minorEastAsia"/>
                <w:b/>
                <w:szCs w:val="21"/>
              </w:rPr>
              <w:t>12</w:t>
            </w:r>
            <w:r w:rsidRPr="00C24ACA">
              <w:rPr>
                <w:rFonts w:eastAsiaTheme="minorEastAsia"/>
                <w:b/>
                <w:szCs w:val="21"/>
              </w:rPr>
              <w:t>月</w:t>
            </w:r>
            <w:r w:rsidRPr="00C24ACA">
              <w:rPr>
                <w:rFonts w:eastAsiaTheme="minorEastAsia"/>
                <w:b/>
                <w:szCs w:val="21"/>
              </w:rPr>
              <w:t>31</w:t>
            </w:r>
            <w:r w:rsidRPr="00C24ACA">
              <w:rPr>
                <w:rFonts w:eastAsiaTheme="minorEastAsia"/>
                <w:b/>
                <w:szCs w:val="21"/>
              </w:rPr>
              <w:t>日</w:t>
            </w:r>
          </w:p>
        </w:tc>
      </w:tr>
      <w:tr w:rsidR="0056101E" w:rsidRPr="00C24ACA" w:rsidTr="00742218">
        <w:tc>
          <w:tcPr>
            <w:tcW w:w="1477" w:type="dxa"/>
            <w:vMerge/>
            <w:vAlign w:val="center"/>
          </w:tcPr>
          <w:p w:rsidR="0056101E" w:rsidRPr="00C24ACA" w:rsidRDefault="0056101E" w:rsidP="00742218">
            <w:pPr>
              <w:autoSpaceDE w:val="0"/>
              <w:autoSpaceDN w:val="0"/>
              <w:adjustRightInd w:val="0"/>
              <w:spacing w:before="29" w:line="360" w:lineRule="auto"/>
              <w:ind w:left="15"/>
              <w:jc w:val="left"/>
              <w:rPr>
                <w:rFonts w:eastAsiaTheme="minorEastAsia"/>
                <w:color w:val="000000"/>
                <w:kern w:val="0"/>
                <w:szCs w:val="21"/>
              </w:rPr>
            </w:pPr>
          </w:p>
        </w:tc>
        <w:tc>
          <w:tcPr>
            <w:tcW w:w="1943"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美元</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140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港币</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202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其他币种</w:t>
            </w:r>
          </w:p>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折合人民币</w:t>
            </w:r>
          </w:p>
        </w:tc>
        <w:tc>
          <w:tcPr>
            <w:tcW w:w="2160" w:type="dxa"/>
            <w:vAlign w:val="center"/>
          </w:tcPr>
          <w:p w:rsidR="0056101E" w:rsidRPr="00C24ACA" w:rsidRDefault="0056101E" w:rsidP="00742218">
            <w:pPr>
              <w:spacing w:line="360" w:lineRule="auto"/>
              <w:jc w:val="center"/>
              <w:rPr>
                <w:rFonts w:eastAsiaTheme="minorEastAsia"/>
                <w:b/>
                <w:color w:val="000000"/>
                <w:szCs w:val="21"/>
              </w:rPr>
            </w:pPr>
            <w:r w:rsidRPr="00C24ACA">
              <w:rPr>
                <w:rFonts w:eastAsiaTheme="minorEastAsia"/>
                <w:b/>
                <w:color w:val="000000"/>
                <w:szCs w:val="21"/>
              </w:rPr>
              <w:t>合计</w:t>
            </w:r>
          </w:p>
        </w:tc>
      </w:tr>
      <w:tr w:rsidR="0056101E" w:rsidRPr="00C24ACA" w:rsidTr="00742218">
        <w:tc>
          <w:tcPr>
            <w:tcW w:w="1477" w:type="dxa"/>
            <w:vAlign w:val="center"/>
          </w:tcPr>
          <w:p w:rsidR="0056101E" w:rsidRPr="00C24ACA" w:rsidRDefault="0056101E" w:rsidP="00742218">
            <w:pPr>
              <w:spacing w:line="360" w:lineRule="auto"/>
              <w:rPr>
                <w:rFonts w:eastAsiaTheme="minorEastAsia"/>
                <w:b/>
                <w:szCs w:val="21"/>
              </w:rPr>
            </w:pPr>
            <w:r w:rsidRPr="00C24ACA">
              <w:rPr>
                <w:rFonts w:eastAsiaTheme="minorEastAsia"/>
                <w:b/>
                <w:szCs w:val="21"/>
              </w:rPr>
              <w:t>以外币计价的资产</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vAlign w:val="center"/>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BB5C1E">
        <w:tc>
          <w:tcPr>
            <w:tcW w:w="1477" w:type="dxa"/>
            <w:vAlign w:val="center"/>
          </w:tcPr>
          <w:p w:rsidR="00BB5C1E" w:rsidRDefault="00AF434F">
            <w:pPr>
              <w:jc w:val="left"/>
            </w:pPr>
            <w:r>
              <w:rPr>
                <w:rFonts w:eastAsiaTheme="minorEastAsia"/>
                <w:color w:val="000000"/>
                <w:szCs w:val="21"/>
              </w:rPr>
              <w:t>银行存款</w:t>
            </w:r>
          </w:p>
        </w:tc>
        <w:tc>
          <w:tcPr>
            <w:tcW w:w="1943" w:type="dxa"/>
            <w:vAlign w:val="center"/>
          </w:tcPr>
          <w:p w:rsidR="00BB5C1E" w:rsidRDefault="00AF434F">
            <w:pPr>
              <w:jc w:val="right"/>
            </w:pPr>
            <w:r>
              <w:rPr>
                <w:rFonts w:eastAsiaTheme="minorEastAsia"/>
                <w:color w:val="000000"/>
                <w:szCs w:val="21"/>
              </w:rPr>
              <w:t>1,221,945.06</w:t>
            </w:r>
          </w:p>
        </w:tc>
        <w:tc>
          <w:tcPr>
            <w:tcW w:w="1400" w:type="dxa"/>
            <w:vAlign w:val="center"/>
          </w:tcPr>
          <w:p w:rsidR="00BB5C1E" w:rsidRDefault="00AF434F">
            <w:pPr>
              <w:jc w:val="right"/>
            </w:pPr>
            <w:r>
              <w:rPr>
                <w:rFonts w:eastAsiaTheme="minorEastAsia"/>
                <w:color w:val="000000"/>
                <w:szCs w:val="21"/>
              </w:rPr>
              <w:t>181,831.07</w:t>
            </w:r>
          </w:p>
        </w:tc>
        <w:tc>
          <w:tcPr>
            <w:tcW w:w="2020" w:type="dxa"/>
            <w:vAlign w:val="center"/>
          </w:tcPr>
          <w:p w:rsidR="00BB5C1E" w:rsidRDefault="00AF434F">
            <w:pPr>
              <w:jc w:val="right"/>
            </w:pPr>
            <w:r>
              <w:rPr>
                <w:rFonts w:eastAsiaTheme="minorEastAsia"/>
                <w:color w:val="000000"/>
                <w:szCs w:val="21"/>
              </w:rPr>
              <w:t>1,475,717.65</w:t>
            </w:r>
          </w:p>
        </w:tc>
        <w:tc>
          <w:tcPr>
            <w:tcW w:w="2160" w:type="dxa"/>
            <w:vAlign w:val="center"/>
          </w:tcPr>
          <w:p w:rsidR="00BB5C1E" w:rsidRDefault="00AF434F">
            <w:pPr>
              <w:jc w:val="right"/>
            </w:pPr>
            <w:r>
              <w:rPr>
                <w:rFonts w:eastAsiaTheme="minorEastAsia"/>
                <w:color w:val="000000"/>
                <w:szCs w:val="21"/>
              </w:rPr>
              <w:t>2,879,493.78</w:t>
            </w:r>
          </w:p>
        </w:tc>
      </w:tr>
      <w:tr w:rsidR="00BB5C1E">
        <w:tc>
          <w:tcPr>
            <w:tcW w:w="1477" w:type="dxa"/>
            <w:vAlign w:val="center"/>
          </w:tcPr>
          <w:p w:rsidR="00BB5C1E" w:rsidRDefault="00AF434F">
            <w:pPr>
              <w:jc w:val="left"/>
            </w:pPr>
            <w:r>
              <w:rPr>
                <w:rFonts w:eastAsiaTheme="minorEastAsia"/>
                <w:color w:val="000000"/>
                <w:szCs w:val="21"/>
              </w:rPr>
              <w:t>结算备付金</w:t>
            </w:r>
          </w:p>
        </w:tc>
        <w:tc>
          <w:tcPr>
            <w:tcW w:w="1943" w:type="dxa"/>
            <w:vAlign w:val="center"/>
          </w:tcPr>
          <w:p w:rsidR="00BB5C1E" w:rsidRDefault="00AF434F">
            <w:pPr>
              <w:jc w:val="right"/>
            </w:pPr>
            <w:r>
              <w:rPr>
                <w:rFonts w:eastAsiaTheme="minorEastAsia"/>
                <w:color w:val="000000"/>
                <w:szCs w:val="21"/>
              </w:rPr>
              <w:t>-</w:t>
            </w:r>
          </w:p>
        </w:tc>
        <w:tc>
          <w:tcPr>
            <w:tcW w:w="1400" w:type="dxa"/>
            <w:vAlign w:val="center"/>
          </w:tcPr>
          <w:p w:rsidR="00BB5C1E" w:rsidRDefault="00AF434F">
            <w:pPr>
              <w:jc w:val="right"/>
            </w:pPr>
            <w:r>
              <w:rPr>
                <w:rFonts w:eastAsiaTheme="minorEastAsia"/>
                <w:color w:val="000000"/>
                <w:szCs w:val="21"/>
              </w:rPr>
              <w:t>-</w:t>
            </w:r>
          </w:p>
        </w:tc>
        <w:tc>
          <w:tcPr>
            <w:tcW w:w="2020" w:type="dxa"/>
            <w:vAlign w:val="center"/>
          </w:tcPr>
          <w:p w:rsidR="00BB5C1E" w:rsidRDefault="00AF434F">
            <w:pPr>
              <w:jc w:val="right"/>
            </w:pPr>
            <w:r>
              <w:rPr>
                <w:rFonts w:eastAsiaTheme="minorEastAsia"/>
                <w:color w:val="000000"/>
                <w:szCs w:val="21"/>
              </w:rPr>
              <w:t>-</w:t>
            </w:r>
          </w:p>
        </w:tc>
        <w:tc>
          <w:tcPr>
            <w:tcW w:w="2160" w:type="dxa"/>
            <w:vAlign w:val="center"/>
          </w:tcPr>
          <w:p w:rsidR="00BB5C1E" w:rsidRDefault="00AF434F">
            <w:pPr>
              <w:jc w:val="right"/>
            </w:pPr>
            <w:r>
              <w:rPr>
                <w:rFonts w:eastAsiaTheme="minorEastAsia"/>
                <w:color w:val="000000"/>
                <w:szCs w:val="21"/>
              </w:rPr>
              <w:t>-</w:t>
            </w:r>
          </w:p>
        </w:tc>
      </w:tr>
      <w:tr w:rsidR="00BB5C1E">
        <w:tc>
          <w:tcPr>
            <w:tcW w:w="1477" w:type="dxa"/>
            <w:vAlign w:val="center"/>
          </w:tcPr>
          <w:p w:rsidR="00BB5C1E" w:rsidRDefault="00AF434F">
            <w:pPr>
              <w:jc w:val="left"/>
            </w:pPr>
            <w:r>
              <w:rPr>
                <w:rFonts w:eastAsiaTheme="minorEastAsia"/>
                <w:color w:val="000000"/>
                <w:szCs w:val="21"/>
              </w:rPr>
              <w:t>交易性金融资产</w:t>
            </w:r>
          </w:p>
        </w:tc>
        <w:tc>
          <w:tcPr>
            <w:tcW w:w="1943" w:type="dxa"/>
            <w:vAlign w:val="center"/>
          </w:tcPr>
          <w:p w:rsidR="00BB5C1E" w:rsidRDefault="00AF434F">
            <w:pPr>
              <w:jc w:val="right"/>
            </w:pPr>
            <w:r>
              <w:rPr>
                <w:rFonts w:eastAsiaTheme="minorEastAsia"/>
                <w:color w:val="000000"/>
                <w:szCs w:val="21"/>
              </w:rPr>
              <w:t>18,033,383.74</w:t>
            </w:r>
          </w:p>
        </w:tc>
        <w:tc>
          <w:tcPr>
            <w:tcW w:w="1400" w:type="dxa"/>
            <w:vAlign w:val="center"/>
          </w:tcPr>
          <w:p w:rsidR="00BB5C1E" w:rsidRDefault="00AF434F">
            <w:pPr>
              <w:jc w:val="right"/>
            </w:pPr>
            <w:r>
              <w:rPr>
                <w:rFonts w:eastAsiaTheme="minorEastAsia"/>
                <w:color w:val="000000"/>
                <w:szCs w:val="21"/>
              </w:rPr>
              <w:t>1,888,341.46</w:t>
            </w:r>
          </w:p>
        </w:tc>
        <w:tc>
          <w:tcPr>
            <w:tcW w:w="2020" w:type="dxa"/>
            <w:vAlign w:val="center"/>
          </w:tcPr>
          <w:p w:rsidR="00BB5C1E" w:rsidRDefault="00AF434F">
            <w:pPr>
              <w:jc w:val="right"/>
            </w:pPr>
            <w:r>
              <w:rPr>
                <w:rFonts w:eastAsiaTheme="minorEastAsia"/>
                <w:color w:val="000000"/>
                <w:szCs w:val="21"/>
              </w:rPr>
              <w:t>30,810,848.85</w:t>
            </w:r>
          </w:p>
        </w:tc>
        <w:tc>
          <w:tcPr>
            <w:tcW w:w="2160" w:type="dxa"/>
            <w:vAlign w:val="center"/>
          </w:tcPr>
          <w:p w:rsidR="00BB5C1E" w:rsidRDefault="00AF434F">
            <w:pPr>
              <w:jc w:val="right"/>
            </w:pPr>
            <w:r>
              <w:rPr>
                <w:rFonts w:eastAsiaTheme="minorEastAsia"/>
                <w:color w:val="000000"/>
                <w:szCs w:val="21"/>
              </w:rPr>
              <w:t>50,732,574.05</w:t>
            </w:r>
          </w:p>
        </w:tc>
      </w:tr>
      <w:tr w:rsidR="00BB5C1E">
        <w:tc>
          <w:tcPr>
            <w:tcW w:w="1477" w:type="dxa"/>
            <w:vAlign w:val="center"/>
          </w:tcPr>
          <w:p w:rsidR="00BB5C1E" w:rsidRDefault="00AF434F">
            <w:pPr>
              <w:jc w:val="left"/>
            </w:pPr>
            <w:r>
              <w:rPr>
                <w:rFonts w:eastAsiaTheme="minorEastAsia"/>
                <w:color w:val="000000"/>
                <w:szCs w:val="21"/>
              </w:rPr>
              <w:t>衍生金融资产</w:t>
            </w:r>
          </w:p>
        </w:tc>
        <w:tc>
          <w:tcPr>
            <w:tcW w:w="1943" w:type="dxa"/>
            <w:vAlign w:val="center"/>
          </w:tcPr>
          <w:p w:rsidR="00BB5C1E" w:rsidRDefault="00AF434F">
            <w:pPr>
              <w:jc w:val="right"/>
            </w:pPr>
            <w:r>
              <w:rPr>
                <w:rFonts w:eastAsiaTheme="minorEastAsia"/>
                <w:color w:val="000000"/>
                <w:szCs w:val="21"/>
              </w:rPr>
              <w:t>-</w:t>
            </w:r>
          </w:p>
        </w:tc>
        <w:tc>
          <w:tcPr>
            <w:tcW w:w="1400" w:type="dxa"/>
            <w:vAlign w:val="center"/>
          </w:tcPr>
          <w:p w:rsidR="00BB5C1E" w:rsidRDefault="00AF434F">
            <w:pPr>
              <w:jc w:val="right"/>
            </w:pPr>
            <w:r>
              <w:rPr>
                <w:rFonts w:eastAsiaTheme="minorEastAsia"/>
                <w:color w:val="000000"/>
                <w:szCs w:val="21"/>
              </w:rPr>
              <w:t>-</w:t>
            </w:r>
          </w:p>
        </w:tc>
        <w:tc>
          <w:tcPr>
            <w:tcW w:w="2020" w:type="dxa"/>
            <w:vAlign w:val="center"/>
          </w:tcPr>
          <w:p w:rsidR="00BB5C1E" w:rsidRDefault="00AF434F">
            <w:pPr>
              <w:jc w:val="right"/>
            </w:pPr>
            <w:r>
              <w:rPr>
                <w:rFonts w:eastAsiaTheme="minorEastAsia"/>
                <w:color w:val="000000"/>
                <w:szCs w:val="21"/>
              </w:rPr>
              <w:t>-</w:t>
            </w:r>
          </w:p>
        </w:tc>
        <w:tc>
          <w:tcPr>
            <w:tcW w:w="2160" w:type="dxa"/>
            <w:vAlign w:val="center"/>
          </w:tcPr>
          <w:p w:rsidR="00BB5C1E" w:rsidRDefault="00AF434F">
            <w:pPr>
              <w:jc w:val="right"/>
            </w:pPr>
            <w:r>
              <w:rPr>
                <w:rFonts w:eastAsiaTheme="minorEastAsia"/>
                <w:color w:val="000000"/>
                <w:szCs w:val="21"/>
              </w:rPr>
              <w:t>-</w:t>
            </w:r>
          </w:p>
        </w:tc>
      </w:tr>
      <w:tr w:rsidR="00BB5C1E">
        <w:tc>
          <w:tcPr>
            <w:tcW w:w="1477" w:type="dxa"/>
            <w:vAlign w:val="center"/>
          </w:tcPr>
          <w:p w:rsidR="00BB5C1E" w:rsidRDefault="00AF434F">
            <w:pPr>
              <w:jc w:val="left"/>
            </w:pPr>
            <w:r>
              <w:rPr>
                <w:rFonts w:eastAsiaTheme="minorEastAsia"/>
                <w:color w:val="000000"/>
                <w:szCs w:val="21"/>
              </w:rPr>
              <w:t>应收证券清算款</w:t>
            </w:r>
          </w:p>
        </w:tc>
        <w:tc>
          <w:tcPr>
            <w:tcW w:w="1943" w:type="dxa"/>
            <w:vAlign w:val="center"/>
          </w:tcPr>
          <w:p w:rsidR="00BB5C1E" w:rsidRDefault="00AF434F">
            <w:pPr>
              <w:jc w:val="right"/>
            </w:pPr>
            <w:r>
              <w:rPr>
                <w:rFonts w:eastAsiaTheme="minorEastAsia"/>
                <w:color w:val="000000"/>
                <w:szCs w:val="21"/>
              </w:rPr>
              <w:t>-</w:t>
            </w:r>
          </w:p>
        </w:tc>
        <w:tc>
          <w:tcPr>
            <w:tcW w:w="1400" w:type="dxa"/>
            <w:vAlign w:val="center"/>
          </w:tcPr>
          <w:p w:rsidR="00BB5C1E" w:rsidRDefault="00AF434F">
            <w:pPr>
              <w:jc w:val="right"/>
            </w:pPr>
            <w:r>
              <w:rPr>
                <w:rFonts w:eastAsiaTheme="minorEastAsia"/>
                <w:color w:val="000000"/>
                <w:szCs w:val="21"/>
              </w:rPr>
              <w:t>-</w:t>
            </w:r>
          </w:p>
        </w:tc>
        <w:tc>
          <w:tcPr>
            <w:tcW w:w="2020" w:type="dxa"/>
            <w:vAlign w:val="center"/>
          </w:tcPr>
          <w:p w:rsidR="00BB5C1E" w:rsidRDefault="00AF434F">
            <w:pPr>
              <w:jc w:val="right"/>
            </w:pPr>
            <w:r>
              <w:rPr>
                <w:rFonts w:eastAsiaTheme="minorEastAsia"/>
                <w:color w:val="000000"/>
                <w:szCs w:val="21"/>
              </w:rPr>
              <w:t>-</w:t>
            </w:r>
          </w:p>
        </w:tc>
        <w:tc>
          <w:tcPr>
            <w:tcW w:w="2160" w:type="dxa"/>
            <w:vAlign w:val="center"/>
          </w:tcPr>
          <w:p w:rsidR="00BB5C1E" w:rsidRDefault="00AF434F">
            <w:pPr>
              <w:jc w:val="right"/>
            </w:pPr>
            <w:r>
              <w:rPr>
                <w:rFonts w:eastAsiaTheme="minorEastAsia"/>
                <w:color w:val="000000"/>
                <w:szCs w:val="21"/>
              </w:rPr>
              <w:t>-</w:t>
            </w:r>
          </w:p>
        </w:tc>
      </w:tr>
      <w:tr w:rsidR="00BB5C1E">
        <w:tc>
          <w:tcPr>
            <w:tcW w:w="1477" w:type="dxa"/>
            <w:vAlign w:val="center"/>
          </w:tcPr>
          <w:p w:rsidR="00BB5C1E" w:rsidRDefault="00AF434F">
            <w:pPr>
              <w:jc w:val="left"/>
            </w:pPr>
            <w:r>
              <w:rPr>
                <w:rFonts w:eastAsiaTheme="minorEastAsia"/>
                <w:color w:val="000000"/>
                <w:szCs w:val="21"/>
              </w:rPr>
              <w:t>应收利息</w:t>
            </w:r>
          </w:p>
        </w:tc>
        <w:tc>
          <w:tcPr>
            <w:tcW w:w="1943" w:type="dxa"/>
            <w:vAlign w:val="center"/>
          </w:tcPr>
          <w:p w:rsidR="00BB5C1E" w:rsidRDefault="00AF434F">
            <w:pPr>
              <w:jc w:val="right"/>
            </w:pPr>
            <w:r>
              <w:rPr>
                <w:rFonts w:eastAsiaTheme="minorEastAsia"/>
                <w:color w:val="000000"/>
                <w:szCs w:val="21"/>
              </w:rPr>
              <w:t>4.40</w:t>
            </w:r>
          </w:p>
        </w:tc>
        <w:tc>
          <w:tcPr>
            <w:tcW w:w="1400" w:type="dxa"/>
            <w:vAlign w:val="center"/>
          </w:tcPr>
          <w:p w:rsidR="00BB5C1E" w:rsidRDefault="00AF434F">
            <w:pPr>
              <w:jc w:val="right"/>
            </w:pPr>
            <w:r>
              <w:rPr>
                <w:rFonts w:eastAsiaTheme="minorEastAsia"/>
                <w:color w:val="000000"/>
                <w:szCs w:val="21"/>
              </w:rPr>
              <w:t>-</w:t>
            </w:r>
          </w:p>
        </w:tc>
        <w:tc>
          <w:tcPr>
            <w:tcW w:w="2020" w:type="dxa"/>
            <w:vAlign w:val="center"/>
          </w:tcPr>
          <w:p w:rsidR="00BB5C1E" w:rsidRDefault="00AF434F">
            <w:pPr>
              <w:jc w:val="right"/>
            </w:pPr>
            <w:r>
              <w:rPr>
                <w:rFonts w:eastAsiaTheme="minorEastAsia"/>
                <w:color w:val="000000"/>
                <w:szCs w:val="21"/>
              </w:rPr>
              <w:t>-</w:t>
            </w:r>
          </w:p>
        </w:tc>
        <w:tc>
          <w:tcPr>
            <w:tcW w:w="2160" w:type="dxa"/>
            <w:vAlign w:val="center"/>
          </w:tcPr>
          <w:p w:rsidR="00BB5C1E" w:rsidRDefault="00AF434F">
            <w:pPr>
              <w:jc w:val="right"/>
            </w:pPr>
            <w:r>
              <w:rPr>
                <w:rFonts w:eastAsiaTheme="minorEastAsia"/>
                <w:color w:val="000000"/>
                <w:szCs w:val="21"/>
              </w:rPr>
              <w:t>4.40</w:t>
            </w:r>
          </w:p>
        </w:tc>
      </w:tr>
      <w:tr w:rsidR="00BB5C1E">
        <w:tc>
          <w:tcPr>
            <w:tcW w:w="1477" w:type="dxa"/>
            <w:vAlign w:val="center"/>
          </w:tcPr>
          <w:p w:rsidR="00BB5C1E" w:rsidRDefault="00AF434F">
            <w:pPr>
              <w:jc w:val="left"/>
            </w:pPr>
            <w:r>
              <w:rPr>
                <w:rFonts w:eastAsiaTheme="minorEastAsia"/>
                <w:color w:val="000000"/>
                <w:szCs w:val="21"/>
              </w:rPr>
              <w:t>应收股利</w:t>
            </w:r>
          </w:p>
        </w:tc>
        <w:tc>
          <w:tcPr>
            <w:tcW w:w="1943" w:type="dxa"/>
            <w:vAlign w:val="center"/>
          </w:tcPr>
          <w:p w:rsidR="00BB5C1E" w:rsidRDefault="00AF434F">
            <w:pPr>
              <w:jc w:val="right"/>
            </w:pPr>
            <w:r>
              <w:rPr>
                <w:rFonts w:eastAsiaTheme="minorEastAsia"/>
                <w:color w:val="000000"/>
                <w:szCs w:val="21"/>
              </w:rPr>
              <w:t>20,187.38</w:t>
            </w:r>
          </w:p>
        </w:tc>
        <w:tc>
          <w:tcPr>
            <w:tcW w:w="1400" w:type="dxa"/>
            <w:vAlign w:val="center"/>
          </w:tcPr>
          <w:p w:rsidR="00BB5C1E" w:rsidRDefault="00AF434F">
            <w:pPr>
              <w:jc w:val="right"/>
            </w:pPr>
            <w:r>
              <w:rPr>
                <w:rFonts w:eastAsiaTheme="minorEastAsia"/>
                <w:color w:val="000000"/>
                <w:szCs w:val="21"/>
              </w:rPr>
              <w:t>-</w:t>
            </w:r>
          </w:p>
        </w:tc>
        <w:tc>
          <w:tcPr>
            <w:tcW w:w="2020" w:type="dxa"/>
            <w:vAlign w:val="center"/>
          </w:tcPr>
          <w:p w:rsidR="00BB5C1E" w:rsidRDefault="00AF434F">
            <w:pPr>
              <w:jc w:val="right"/>
            </w:pPr>
            <w:r>
              <w:rPr>
                <w:rFonts w:eastAsiaTheme="minorEastAsia"/>
                <w:color w:val="000000"/>
                <w:szCs w:val="21"/>
              </w:rPr>
              <w:t>11,170.97</w:t>
            </w:r>
          </w:p>
        </w:tc>
        <w:tc>
          <w:tcPr>
            <w:tcW w:w="2160" w:type="dxa"/>
            <w:vAlign w:val="center"/>
          </w:tcPr>
          <w:p w:rsidR="00BB5C1E" w:rsidRDefault="00AF434F">
            <w:pPr>
              <w:jc w:val="right"/>
            </w:pPr>
            <w:r>
              <w:rPr>
                <w:rFonts w:eastAsiaTheme="minorEastAsia"/>
                <w:color w:val="000000"/>
                <w:szCs w:val="21"/>
              </w:rPr>
              <w:t>31,358.35</w:t>
            </w:r>
          </w:p>
        </w:tc>
      </w:tr>
      <w:tr w:rsidR="00BB5C1E">
        <w:tc>
          <w:tcPr>
            <w:tcW w:w="1477" w:type="dxa"/>
            <w:vAlign w:val="center"/>
          </w:tcPr>
          <w:p w:rsidR="00BB5C1E" w:rsidRDefault="00AF434F">
            <w:pPr>
              <w:jc w:val="left"/>
            </w:pPr>
            <w:r>
              <w:rPr>
                <w:rFonts w:eastAsiaTheme="minorEastAsia"/>
                <w:color w:val="000000"/>
                <w:szCs w:val="21"/>
              </w:rPr>
              <w:t>应收申购款</w:t>
            </w:r>
          </w:p>
        </w:tc>
        <w:tc>
          <w:tcPr>
            <w:tcW w:w="1943" w:type="dxa"/>
            <w:vAlign w:val="center"/>
          </w:tcPr>
          <w:p w:rsidR="00BB5C1E" w:rsidRDefault="00AF434F">
            <w:pPr>
              <w:jc w:val="right"/>
            </w:pPr>
            <w:r>
              <w:rPr>
                <w:rFonts w:eastAsiaTheme="minorEastAsia"/>
                <w:color w:val="000000"/>
                <w:szCs w:val="21"/>
              </w:rPr>
              <w:t>89,714.00</w:t>
            </w:r>
          </w:p>
        </w:tc>
        <w:tc>
          <w:tcPr>
            <w:tcW w:w="1400" w:type="dxa"/>
            <w:vAlign w:val="center"/>
          </w:tcPr>
          <w:p w:rsidR="00BB5C1E" w:rsidRDefault="00AF434F">
            <w:pPr>
              <w:jc w:val="right"/>
            </w:pPr>
            <w:r>
              <w:rPr>
                <w:rFonts w:eastAsiaTheme="minorEastAsia"/>
                <w:color w:val="000000"/>
                <w:szCs w:val="21"/>
              </w:rPr>
              <w:t>-</w:t>
            </w:r>
          </w:p>
        </w:tc>
        <w:tc>
          <w:tcPr>
            <w:tcW w:w="2020" w:type="dxa"/>
            <w:vAlign w:val="center"/>
          </w:tcPr>
          <w:p w:rsidR="00BB5C1E" w:rsidRDefault="00AF434F">
            <w:pPr>
              <w:jc w:val="right"/>
            </w:pPr>
            <w:r>
              <w:rPr>
                <w:rFonts w:eastAsiaTheme="minorEastAsia"/>
                <w:color w:val="000000"/>
                <w:szCs w:val="21"/>
              </w:rPr>
              <w:t>-</w:t>
            </w:r>
          </w:p>
        </w:tc>
        <w:tc>
          <w:tcPr>
            <w:tcW w:w="2160" w:type="dxa"/>
            <w:vAlign w:val="center"/>
          </w:tcPr>
          <w:p w:rsidR="00BB5C1E" w:rsidRDefault="00AF434F">
            <w:pPr>
              <w:jc w:val="right"/>
            </w:pPr>
            <w:r>
              <w:rPr>
                <w:rFonts w:eastAsiaTheme="minorEastAsia"/>
                <w:color w:val="000000"/>
                <w:szCs w:val="21"/>
              </w:rPr>
              <w:t>89,714.00</w:t>
            </w:r>
          </w:p>
        </w:tc>
      </w:tr>
      <w:tr w:rsidR="00BB5C1E">
        <w:tc>
          <w:tcPr>
            <w:tcW w:w="1477" w:type="dxa"/>
            <w:vAlign w:val="center"/>
          </w:tcPr>
          <w:p w:rsidR="00BB5C1E" w:rsidRDefault="00AF434F">
            <w:pPr>
              <w:jc w:val="left"/>
            </w:pPr>
            <w:r>
              <w:rPr>
                <w:rFonts w:eastAsiaTheme="minorEastAsia"/>
                <w:color w:val="000000"/>
                <w:szCs w:val="21"/>
              </w:rPr>
              <w:t>其他资产</w:t>
            </w:r>
          </w:p>
        </w:tc>
        <w:tc>
          <w:tcPr>
            <w:tcW w:w="1943" w:type="dxa"/>
            <w:vAlign w:val="center"/>
          </w:tcPr>
          <w:p w:rsidR="00BB5C1E" w:rsidRDefault="00AF434F">
            <w:pPr>
              <w:jc w:val="right"/>
            </w:pPr>
            <w:r>
              <w:rPr>
                <w:rFonts w:eastAsiaTheme="minorEastAsia"/>
                <w:color w:val="000000"/>
                <w:szCs w:val="21"/>
              </w:rPr>
              <w:t>-</w:t>
            </w:r>
          </w:p>
        </w:tc>
        <w:tc>
          <w:tcPr>
            <w:tcW w:w="1400" w:type="dxa"/>
            <w:vAlign w:val="center"/>
          </w:tcPr>
          <w:p w:rsidR="00BB5C1E" w:rsidRDefault="00AF434F">
            <w:pPr>
              <w:jc w:val="right"/>
            </w:pPr>
            <w:r>
              <w:rPr>
                <w:rFonts w:eastAsiaTheme="minorEastAsia"/>
                <w:color w:val="000000"/>
                <w:szCs w:val="21"/>
              </w:rPr>
              <w:t>-</w:t>
            </w:r>
          </w:p>
        </w:tc>
        <w:tc>
          <w:tcPr>
            <w:tcW w:w="2020" w:type="dxa"/>
            <w:vAlign w:val="center"/>
          </w:tcPr>
          <w:p w:rsidR="00BB5C1E" w:rsidRDefault="00AF434F">
            <w:pPr>
              <w:jc w:val="right"/>
            </w:pPr>
            <w:r>
              <w:rPr>
                <w:rFonts w:eastAsiaTheme="minorEastAsia"/>
                <w:color w:val="000000"/>
                <w:szCs w:val="21"/>
              </w:rPr>
              <w:t>-</w:t>
            </w:r>
          </w:p>
        </w:tc>
        <w:tc>
          <w:tcPr>
            <w:tcW w:w="2160" w:type="dxa"/>
            <w:vAlign w:val="center"/>
          </w:tcPr>
          <w:p w:rsidR="00BB5C1E" w:rsidRDefault="00AF434F">
            <w:pPr>
              <w:jc w:val="right"/>
            </w:pPr>
            <w:r>
              <w:rPr>
                <w:rFonts w:eastAsiaTheme="minorEastAsia"/>
                <w:color w:val="000000"/>
                <w:szCs w:val="21"/>
              </w:rPr>
              <w:t>-</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19,365,234.58</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2,070,172.53</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32,297,737.47</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53,733,144.58</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以外币计价的负债</w:t>
            </w:r>
          </w:p>
        </w:tc>
        <w:tc>
          <w:tcPr>
            <w:tcW w:w="1943"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140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02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c>
          <w:tcPr>
            <w:tcW w:w="2160" w:type="dxa"/>
          </w:tcPr>
          <w:p w:rsidR="0056101E" w:rsidRPr="00C24ACA" w:rsidRDefault="0056101E" w:rsidP="00742218">
            <w:pPr>
              <w:autoSpaceDE w:val="0"/>
              <w:autoSpaceDN w:val="0"/>
              <w:adjustRightInd w:val="0"/>
              <w:spacing w:before="29" w:line="360" w:lineRule="auto"/>
              <w:ind w:left="15"/>
              <w:jc w:val="right"/>
              <w:rPr>
                <w:rFonts w:eastAsiaTheme="minorEastAsia"/>
                <w:b/>
                <w:color w:val="000000"/>
                <w:kern w:val="0"/>
                <w:szCs w:val="21"/>
              </w:rPr>
            </w:pPr>
          </w:p>
        </w:tc>
      </w:tr>
      <w:tr w:rsidR="00BB5C1E">
        <w:tc>
          <w:tcPr>
            <w:tcW w:w="1477" w:type="dxa"/>
            <w:vAlign w:val="center"/>
          </w:tcPr>
          <w:p w:rsidR="00BB5C1E" w:rsidRDefault="00AF434F">
            <w:pPr>
              <w:jc w:val="left"/>
            </w:pPr>
            <w:r>
              <w:rPr>
                <w:rFonts w:eastAsiaTheme="minorEastAsia"/>
                <w:color w:val="000000"/>
                <w:szCs w:val="21"/>
              </w:rPr>
              <w:t>应付证券清算款</w:t>
            </w:r>
          </w:p>
        </w:tc>
        <w:tc>
          <w:tcPr>
            <w:tcW w:w="1943" w:type="dxa"/>
            <w:vAlign w:val="center"/>
          </w:tcPr>
          <w:p w:rsidR="00BB5C1E" w:rsidRDefault="00AF434F">
            <w:pPr>
              <w:jc w:val="right"/>
            </w:pPr>
            <w:r>
              <w:rPr>
                <w:rFonts w:eastAsiaTheme="minorEastAsia"/>
                <w:color w:val="000000"/>
                <w:szCs w:val="21"/>
              </w:rPr>
              <w:t>-</w:t>
            </w:r>
          </w:p>
        </w:tc>
        <w:tc>
          <w:tcPr>
            <w:tcW w:w="1400" w:type="dxa"/>
            <w:vAlign w:val="center"/>
          </w:tcPr>
          <w:p w:rsidR="00BB5C1E" w:rsidRDefault="00AF434F">
            <w:pPr>
              <w:jc w:val="right"/>
            </w:pPr>
            <w:r>
              <w:rPr>
                <w:rFonts w:eastAsiaTheme="minorEastAsia"/>
                <w:color w:val="000000"/>
                <w:szCs w:val="21"/>
              </w:rPr>
              <w:t>-</w:t>
            </w:r>
          </w:p>
        </w:tc>
        <w:tc>
          <w:tcPr>
            <w:tcW w:w="2020" w:type="dxa"/>
            <w:vAlign w:val="center"/>
          </w:tcPr>
          <w:p w:rsidR="00BB5C1E" w:rsidRDefault="00AF434F">
            <w:pPr>
              <w:jc w:val="right"/>
            </w:pPr>
            <w:r>
              <w:rPr>
                <w:rFonts w:eastAsiaTheme="minorEastAsia"/>
                <w:color w:val="000000"/>
                <w:szCs w:val="21"/>
              </w:rPr>
              <w:t>-</w:t>
            </w:r>
          </w:p>
        </w:tc>
        <w:tc>
          <w:tcPr>
            <w:tcW w:w="2160" w:type="dxa"/>
            <w:vAlign w:val="center"/>
          </w:tcPr>
          <w:p w:rsidR="00BB5C1E" w:rsidRDefault="00AF434F">
            <w:pPr>
              <w:jc w:val="right"/>
            </w:pPr>
            <w:r>
              <w:rPr>
                <w:rFonts w:eastAsiaTheme="minorEastAsia"/>
                <w:color w:val="000000"/>
                <w:szCs w:val="21"/>
              </w:rPr>
              <w:t>-</w:t>
            </w:r>
          </w:p>
        </w:tc>
      </w:tr>
      <w:tr w:rsidR="00BB5C1E">
        <w:tc>
          <w:tcPr>
            <w:tcW w:w="1477" w:type="dxa"/>
            <w:vAlign w:val="center"/>
          </w:tcPr>
          <w:p w:rsidR="00BB5C1E" w:rsidRDefault="00AF434F">
            <w:pPr>
              <w:jc w:val="left"/>
            </w:pPr>
            <w:r>
              <w:rPr>
                <w:rFonts w:eastAsiaTheme="minorEastAsia"/>
                <w:color w:val="000000"/>
                <w:szCs w:val="21"/>
              </w:rPr>
              <w:t>应付赎回款</w:t>
            </w:r>
          </w:p>
        </w:tc>
        <w:tc>
          <w:tcPr>
            <w:tcW w:w="1943" w:type="dxa"/>
            <w:vAlign w:val="center"/>
          </w:tcPr>
          <w:p w:rsidR="00BB5C1E" w:rsidRDefault="00AF434F">
            <w:pPr>
              <w:jc w:val="right"/>
            </w:pPr>
            <w:r>
              <w:rPr>
                <w:rFonts w:eastAsiaTheme="minorEastAsia"/>
                <w:color w:val="000000"/>
                <w:szCs w:val="21"/>
              </w:rPr>
              <w:t>139,157.82</w:t>
            </w:r>
          </w:p>
        </w:tc>
        <w:tc>
          <w:tcPr>
            <w:tcW w:w="1400" w:type="dxa"/>
            <w:vAlign w:val="center"/>
          </w:tcPr>
          <w:p w:rsidR="00BB5C1E" w:rsidRDefault="00AF434F">
            <w:pPr>
              <w:jc w:val="right"/>
            </w:pPr>
            <w:r>
              <w:rPr>
                <w:rFonts w:eastAsiaTheme="minorEastAsia"/>
                <w:color w:val="000000"/>
                <w:szCs w:val="21"/>
              </w:rPr>
              <w:t>-</w:t>
            </w:r>
          </w:p>
        </w:tc>
        <w:tc>
          <w:tcPr>
            <w:tcW w:w="2020" w:type="dxa"/>
            <w:vAlign w:val="center"/>
          </w:tcPr>
          <w:p w:rsidR="00BB5C1E" w:rsidRDefault="00AF434F">
            <w:pPr>
              <w:jc w:val="right"/>
            </w:pPr>
            <w:r>
              <w:rPr>
                <w:rFonts w:eastAsiaTheme="minorEastAsia"/>
                <w:color w:val="000000"/>
                <w:szCs w:val="21"/>
              </w:rPr>
              <w:t>-</w:t>
            </w:r>
          </w:p>
        </w:tc>
        <w:tc>
          <w:tcPr>
            <w:tcW w:w="2160" w:type="dxa"/>
            <w:vAlign w:val="center"/>
          </w:tcPr>
          <w:p w:rsidR="00BB5C1E" w:rsidRDefault="00AF434F">
            <w:pPr>
              <w:jc w:val="right"/>
            </w:pPr>
            <w:r>
              <w:rPr>
                <w:rFonts w:eastAsiaTheme="minorEastAsia"/>
                <w:color w:val="000000"/>
                <w:szCs w:val="21"/>
              </w:rPr>
              <w:t>139,157.82</w:t>
            </w:r>
          </w:p>
        </w:tc>
      </w:tr>
      <w:tr w:rsidR="00BB5C1E">
        <w:tc>
          <w:tcPr>
            <w:tcW w:w="1477" w:type="dxa"/>
            <w:vAlign w:val="center"/>
          </w:tcPr>
          <w:p w:rsidR="00BB5C1E" w:rsidRDefault="00AF434F">
            <w:pPr>
              <w:jc w:val="left"/>
            </w:pPr>
            <w:r>
              <w:rPr>
                <w:rFonts w:eastAsiaTheme="minorEastAsia"/>
                <w:color w:val="000000"/>
                <w:szCs w:val="21"/>
              </w:rPr>
              <w:t>其他负债</w:t>
            </w:r>
          </w:p>
        </w:tc>
        <w:tc>
          <w:tcPr>
            <w:tcW w:w="1943" w:type="dxa"/>
            <w:vAlign w:val="center"/>
          </w:tcPr>
          <w:p w:rsidR="00BB5C1E" w:rsidRDefault="00AF434F">
            <w:pPr>
              <w:jc w:val="right"/>
            </w:pPr>
            <w:r>
              <w:rPr>
                <w:rFonts w:eastAsiaTheme="minorEastAsia"/>
                <w:color w:val="000000"/>
                <w:szCs w:val="21"/>
              </w:rPr>
              <w:t>425.69</w:t>
            </w:r>
          </w:p>
        </w:tc>
        <w:tc>
          <w:tcPr>
            <w:tcW w:w="1400" w:type="dxa"/>
            <w:vAlign w:val="center"/>
          </w:tcPr>
          <w:p w:rsidR="00BB5C1E" w:rsidRDefault="00AF434F">
            <w:pPr>
              <w:jc w:val="right"/>
            </w:pPr>
            <w:r>
              <w:rPr>
                <w:rFonts w:eastAsiaTheme="minorEastAsia"/>
                <w:color w:val="000000"/>
                <w:szCs w:val="21"/>
              </w:rPr>
              <w:t>-</w:t>
            </w:r>
          </w:p>
        </w:tc>
        <w:tc>
          <w:tcPr>
            <w:tcW w:w="2020" w:type="dxa"/>
            <w:vAlign w:val="center"/>
          </w:tcPr>
          <w:p w:rsidR="00BB5C1E" w:rsidRDefault="00AF434F">
            <w:pPr>
              <w:jc w:val="right"/>
            </w:pPr>
            <w:r>
              <w:rPr>
                <w:rFonts w:eastAsiaTheme="minorEastAsia"/>
                <w:color w:val="000000"/>
                <w:szCs w:val="21"/>
              </w:rPr>
              <w:t>-</w:t>
            </w:r>
          </w:p>
        </w:tc>
        <w:tc>
          <w:tcPr>
            <w:tcW w:w="2160" w:type="dxa"/>
            <w:vAlign w:val="center"/>
          </w:tcPr>
          <w:p w:rsidR="00BB5C1E" w:rsidRDefault="00AF434F">
            <w:pPr>
              <w:jc w:val="right"/>
            </w:pPr>
            <w:r>
              <w:rPr>
                <w:rFonts w:eastAsiaTheme="minorEastAsia"/>
                <w:color w:val="000000"/>
                <w:szCs w:val="21"/>
              </w:rPr>
              <w:t>425.69</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负债合计</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139,583.51</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139,583.51</w:t>
            </w:r>
          </w:p>
        </w:tc>
      </w:tr>
      <w:tr w:rsidR="0056101E" w:rsidRPr="00C24ACA" w:rsidTr="00742218">
        <w:tc>
          <w:tcPr>
            <w:tcW w:w="1477" w:type="dxa"/>
            <w:vAlign w:val="center"/>
          </w:tcPr>
          <w:p w:rsidR="0056101E" w:rsidRPr="00C24ACA" w:rsidRDefault="0056101E" w:rsidP="00742218">
            <w:pPr>
              <w:spacing w:line="360" w:lineRule="auto"/>
              <w:rPr>
                <w:rFonts w:eastAsiaTheme="minorEastAsia"/>
                <w:b/>
                <w:color w:val="000000"/>
                <w:kern w:val="0"/>
                <w:szCs w:val="21"/>
              </w:rPr>
            </w:pPr>
            <w:r w:rsidRPr="00C24ACA">
              <w:rPr>
                <w:rFonts w:eastAsiaTheme="minorEastAsia"/>
                <w:b/>
                <w:szCs w:val="21"/>
              </w:rPr>
              <w:t>资产负债表外汇风险敞口净额</w:t>
            </w:r>
          </w:p>
        </w:tc>
        <w:tc>
          <w:tcPr>
            <w:tcW w:w="1943"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19,225,651.07</w:t>
            </w:r>
          </w:p>
        </w:tc>
        <w:tc>
          <w:tcPr>
            <w:tcW w:w="140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2,070,172.53</w:t>
            </w:r>
          </w:p>
        </w:tc>
        <w:tc>
          <w:tcPr>
            <w:tcW w:w="202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32,297,737.47</w:t>
            </w:r>
          </w:p>
        </w:tc>
        <w:tc>
          <w:tcPr>
            <w:tcW w:w="2160" w:type="dxa"/>
            <w:vAlign w:val="center"/>
          </w:tcPr>
          <w:p w:rsidR="0056101E" w:rsidRPr="00C24ACA" w:rsidRDefault="0056101E" w:rsidP="00742218">
            <w:pPr>
              <w:spacing w:line="360" w:lineRule="auto"/>
              <w:jc w:val="right"/>
              <w:rPr>
                <w:rFonts w:eastAsiaTheme="minorEastAsia"/>
                <w:b/>
                <w:szCs w:val="21"/>
              </w:rPr>
            </w:pPr>
            <w:r w:rsidRPr="00C24ACA">
              <w:rPr>
                <w:rFonts w:eastAsiaTheme="minorEastAsia"/>
                <w:b/>
                <w:szCs w:val="21"/>
              </w:rPr>
              <w:t>53,593,561.07</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6.4.13.4.2.2</w:t>
      </w:r>
      <w:r w:rsidRPr="00C24ACA">
        <w:rPr>
          <w:rFonts w:eastAsiaTheme="minor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BB5C1E">
        <w:tc>
          <w:tcPr>
            <w:tcW w:w="993" w:type="dxa"/>
            <w:vAlign w:val="center"/>
          </w:tcPr>
          <w:p w:rsidR="00BB5C1E" w:rsidRDefault="00AF434F">
            <w:pPr>
              <w:jc w:val="left"/>
            </w:pPr>
            <w:r>
              <w:rPr>
                <w:rFonts w:eastAsiaTheme="minorEastAsia"/>
                <w:color w:val="000000"/>
                <w:szCs w:val="21"/>
              </w:rPr>
              <w:t>假设</w:t>
            </w:r>
          </w:p>
        </w:tc>
        <w:tc>
          <w:tcPr>
            <w:tcW w:w="8007" w:type="dxa"/>
            <w:gridSpan w:val="3"/>
            <w:vAlign w:val="center"/>
          </w:tcPr>
          <w:p w:rsidR="00BB5C1E" w:rsidRDefault="00AF434F">
            <w:pPr>
              <w:jc w:val="center"/>
            </w:pPr>
            <w:r>
              <w:rPr>
                <w:rFonts w:eastAsiaTheme="minorEastAsia"/>
                <w:color w:val="000000"/>
                <w:szCs w:val="21"/>
              </w:rPr>
              <w:t>除汇率外其他因素保持不变</w:t>
            </w:r>
          </w:p>
        </w:tc>
      </w:tr>
      <w:tr w:rsidR="00022F8F" w:rsidRPr="00C24ACA" w:rsidTr="0087507A">
        <w:tc>
          <w:tcPr>
            <w:tcW w:w="993" w:type="dxa"/>
            <w:vMerge w:val="restart"/>
            <w:vAlign w:val="center"/>
          </w:tcPr>
          <w:p w:rsidR="00022F8F" w:rsidRPr="00C24ACA" w:rsidRDefault="00022F8F"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3260" w:type="dxa"/>
            <w:vMerge w:val="restart"/>
            <w:vAlign w:val="center"/>
          </w:tcPr>
          <w:p w:rsidR="00022F8F" w:rsidRPr="00C24ACA" w:rsidRDefault="00022F8F" w:rsidP="0087507A">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4747" w:type="dxa"/>
            <w:gridSpan w:val="2"/>
          </w:tcPr>
          <w:p w:rsidR="00022F8F" w:rsidRPr="00C24ACA" w:rsidRDefault="00022F8F" w:rsidP="0087507A">
            <w:pPr>
              <w:jc w:val="center"/>
              <w:rPr>
                <w:rFonts w:eastAsiaTheme="minorEastAsia"/>
                <w:color w:val="000000"/>
                <w:szCs w:val="21"/>
              </w:rPr>
            </w:pPr>
            <w:r w:rsidRPr="00C24ACA">
              <w:rPr>
                <w:rFonts w:eastAsiaTheme="minorEastAsia"/>
                <w:color w:val="000000"/>
                <w:szCs w:val="21"/>
              </w:rPr>
              <w:t>对资产负债表日基金资产净值的</w:t>
            </w:r>
          </w:p>
          <w:p w:rsidR="00022F8F" w:rsidRPr="00C24ACA" w:rsidRDefault="00022F8F" w:rsidP="0087507A">
            <w:pPr>
              <w:jc w:val="center"/>
              <w:rPr>
                <w:rFonts w:eastAsiaTheme="minorEastAsia"/>
                <w:color w:val="000000"/>
                <w:szCs w:val="21"/>
              </w:rPr>
            </w:pPr>
          </w:p>
          <w:p w:rsidR="00022F8F"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022F8F" w:rsidRPr="00C24ACA">
              <w:rPr>
                <w:rFonts w:eastAsiaTheme="minorEastAsia"/>
                <w:color w:val="000000"/>
                <w:szCs w:val="21"/>
              </w:rPr>
              <w:t>元）</w:t>
            </w:r>
          </w:p>
        </w:tc>
      </w:tr>
      <w:tr w:rsidR="00022F8F" w:rsidRPr="00C24ACA" w:rsidTr="0087507A">
        <w:tc>
          <w:tcPr>
            <w:tcW w:w="993" w:type="dxa"/>
            <w:vMerge/>
            <w:vAlign w:val="center"/>
          </w:tcPr>
          <w:p w:rsidR="00022F8F" w:rsidRPr="00C24ACA" w:rsidRDefault="00022F8F" w:rsidP="0087507A">
            <w:pPr>
              <w:widowControl/>
              <w:jc w:val="left"/>
              <w:rPr>
                <w:rFonts w:eastAsiaTheme="minorEastAsia"/>
                <w:color w:val="000000"/>
                <w:szCs w:val="21"/>
              </w:rPr>
            </w:pPr>
          </w:p>
        </w:tc>
        <w:tc>
          <w:tcPr>
            <w:tcW w:w="3260" w:type="dxa"/>
            <w:vMerge/>
            <w:vAlign w:val="center"/>
          </w:tcPr>
          <w:p w:rsidR="00022F8F" w:rsidRPr="00C24ACA" w:rsidRDefault="00022F8F" w:rsidP="0087507A">
            <w:pPr>
              <w:widowControl/>
              <w:jc w:val="left"/>
              <w:rPr>
                <w:rFonts w:eastAsiaTheme="minorEastAsia"/>
                <w:color w:val="000000"/>
                <w:kern w:val="0"/>
                <w:szCs w:val="21"/>
              </w:rPr>
            </w:pPr>
          </w:p>
        </w:tc>
        <w:tc>
          <w:tcPr>
            <w:tcW w:w="2373" w:type="dxa"/>
          </w:tcPr>
          <w:p w:rsidR="00022F8F" w:rsidRPr="00C24ACA" w:rsidRDefault="00022F8F" w:rsidP="0087507A">
            <w:pPr>
              <w:spacing w:line="360" w:lineRule="auto"/>
              <w:jc w:val="center"/>
              <w:rPr>
                <w:rFonts w:eastAsiaTheme="minorEastAsia"/>
                <w:color w:val="000000"/>
                <w:szCs w:val="21"/>
              </w:rPr>
            </w:pPr>
            <w:r w:rsidRPr="00C24ACA">
              <w:rPr>
                <w:rFonts w:eastAsiaTheme="minorEastAsia"/>
                <w:color w:val="000000"/>
                <w:szCs w:val="21"/>
              </w:rPr>
              <w:t>本期末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2374" w:type="dxa"/>
          </w:tcPr>
          <w:p w:rsidR="00022F8F" w:rsidRPr="00C24ACA" w:rsidRDefault="00022F8F" w:rsidP="0087507A">
            <w:pPr>
              <w:spacing w:line="360" w:lineRule="auto"/>
              <w:jc w:val="center"/>
              <w:rPr>
                <w:rFonts w:eastAsiaTheme="minorEastAsia"/>
                <w:color w:val="000000"/>
                <w:szCs w:val="21"/>
              </w:rPr>
            </w:pPr>
            <w:r w:rsidRPr="00C24ACA">
              <w:rPr>
                <w:rFonts w:eastAsiaTheme="minorEastAsia"/>
                <w:color w:val="000000"/>
                <w:szCs w:val="21"/>
              </w:rPr>
              <w:t>上年度末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BB5C1E">
        <w:tc>
          <w:tcPr>
            <w:tcW w:w="993" w:type="dxa"/>
            <w:vMerge/>
          </w:tcPr>
          <w:p w:rsidR="00BB5C1E" w:rsidRDefault="00BB5C1E"/>
        </w:tc>
        <w:tc>
          <w:tcPr>
            <w:tcW w:w="3260" w:type="dxa"/>
            <w:vAlign w:val="center"/>
          </w:tcPr>
          <w:p w:rsidR="00BB5C1E" w:rsidRDefault="00AF434F">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BB5C1E" w:rsidRDefault="00AF434F">
            <w:pPr>
              <w:jc w:val="right"/>
            </w:pPr>
            <w:r>
              <w:rPr>
                <w:rFonts w:eastAsiaTheme="minorEastAsia"/>
                <w:color w:val="000000"/>
                <w:szCs w:val="21"/>
              </w:rPr>
              <w:t>-2,840,780.71</w:t>
            </w:r>
          </w:p>
        </w:tc>
        <w:tc>
          <w:tcPr>
            <w:tcW w:w="2374" w:type="dxa"/>
            <w:vAlign w:val="center"/>
          </w:tcPr>
          <w:p w:rsidR="00BB5C1E" w:rsidRDefault="00AF434F">
            <w:pPr>
              <w:jc w:val="right"/>
            </w:pPr>
            <w:r>
              <w:rPr>
                <w:rFonts w:eastAsiaTheme="minorEastAsia"/>
                <w:color w:val="000000"/>
                <w:szCs w:val="21"/>
              </w:rPr>
              <w:t>-2,679,678.05</w:t>
            </w:r>
          </w:p>
        </w:tc>
      </w:tr>
      <w:tr w:rsidR="00BB5C1E">
        <w:tc>
          <w:tcPr>
            <w:tcW w:w="993" w:type="dxa"/>
            <w:vMerge/>
          </w:tcPr>
          <w:p w:rsidR="00BB5C1E" w:rsidRDefault="00BB5C1E"/>
        </w:tc>
        <w:tc>
          <w:tcPr>
            <w:tcW w:w="3260" w:type="dxa"/>
            <w:vAlign w:val="center"/>
          </w:tcPr>
          <w:p w:rsidR="00BB5C1E" w:rsidRDefault="00AF434F">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BB5C1E" w:rsidRDefault="00AF434F">
            <w:pPr>
              <w:jc w:val="right"/>
            </w:pPr>
            <w:r>
              <w:rPr>
                <w:rFonts w:eastAsiaTheme="minorEastAsia"/>
                <w:color w:val="000000"/>
                <w:szCs w:val="21"/>
              </w:rPr>
              <w:t>2,840,780.71</w:t>
            </w:r>
          </w:p>
        </w:tc>
        <w:tc>
          <w:tcPr>
            <w:tcW w:w="2374" w:type="dxa"/>
            <w:vAlign w:val="center"/>
          </w:tcPr>
          <w:p w:rsidR="00BB5C1E" w:rsidRDefault="00AF434F">
            <w:pPr>
              <w:jc w:val="right"/>
            </w:pPr>
            <w:r>
              <w:rPr>
                <w:rFonts w:eastAsiaTheme="minorEastAsia"/>
                <w:color w:val="000000"/>
                <w:szCs w:val="21"/>
              </w:rPr>
              <w:t>2,679,678.05</w:t>
            </w:r>
          </w:p>
        </w:tc>
      </w:tr>
    </w:tbl>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6.4.13.4.3</w:t>
      </w:r>
      <w:r w:rsidRPr="00C24ACA">
        <w:rPr>
          <w:rFonts w:eastAsiaTheme="minorEastAsia"/>
          <w:b/>
          <w:bCs/>
          <w:color w:val="000000"/>
          <w:szCs w:val="21"/>
        </w:rPr>
        <w:t>其他价格风险</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本基金的基金管理人采用</w:t>
      </w:r>
      <w:r w:rsidRPr="00C24ACA">
        <w:rPr>
          <w:rFonts w:eastAsiaTheme="minorEastAsia"/>
          <w:kern w:val="0"/>
          <w:szCs w:val="21"/>
        </w:rPr>
        <w:t>Barra</w:t>
      </w:r>
      <w:r w:rsidRPr="00C24ACA">
        <w:rPr>
          <w:rFonts w:eastAsiaTheme="minorEastAsia"/>
          <w:kern w:val="0"/>
          <w:szCs w:val="21"/>
        </w:rPr>
        <w:t>风险管理系统，通过标准差、跟踪误差、</w:t>
      </w:r>
      <w:r w:rsidRPr="00C24ACA">
        <w:rPr>
          <w:rFonts w:eastAsiaTheme="minorEastAsia"/>
          <w:kern w:val="0"/>
          <w:szCs w:val="21"/>
        </w:rPr>
        <w:t>beta</w:t>
      </w:r>
      <w:r w:rsidRPr="00C24ACA">
        <w:rPr>
          <w:rFonts w:eastAsiaTheme="minorEastAsia"/>
          <w:kern w:val="0"/>
          <w:szCs w:val="21"/>
        </w:rPr>
        <w:t>值、</w:t>
      </w:r>
      <w:r w:rsidRPr="00C24ACA">
        <w:rPr>
          <w:rFonts w:eastAsiaTheme="minorEastAsia"/>
          <w:kern w:val="0"/>
          <w:szCs w:val="21"/>
        </w:rPr>
        <w:t>VAR</w:t>
      </w:r>
      <w:r w:rsidRPr="00C24ACA">
        <w:rPr>
          <w:rFonts w:eastAsiaTheme="minorEastAsia"/>
          <w:kern w:val="0"/>
          <w:szCs w:val="21"/>
        </w:rPr>
        <w:t>等指标，监控投资组合面临的市场价格波动风险。</w:t>
      </w:r>
    </w:p>
    <w:p w:rsidR="008A5A5D" w:rsidRPr="00C24ACA" w:rsidRDefault="008A5A5D" w:rsidP="00732F5C">
      <w:pPr>
        <w:spacing w:beforeLines="100" w:before="312" w:line="360" w:lineRule="auto"/>
        <w:rPr>
          <w:rFonts w:eastAsiaTheme="minorEastAsia"/>
          <w:b/>
          <w:bCs/>
          <w:color w:val="000000"/>
          <w:szCs w:val="21"/>
        </w:rPr>
      </w:pPr>
      <w:r w:rsidRPr="00C24ACA">
        <w:rPr>
          <w:rFonts w:eastAsiaTheme="minorEastAsia"/>
          <w:b/>
          <w:bCs/>
          <w:color w:val="000000"/>
          <w:kern w:val="0"/>
          <w:szCs w:val="21"/>
        </w:rPr>
        <w:t>6.4.13.4.3.1</w:t>
      </w:r>
      <w:r w:rsidRPr="00C24ACA">
        <w:rPr>
          <w:rFonts w:eastAsiaTheme="minorEastAsia"/>
          <w:b/>
          <w:bCs/>
          <w:color w:val="000000"/>
          <w:szCs w:val="21"/>
        </w:rPr>
        <w:t>其他价格风险敞口</w:t>
      </w:r>
    </w:p>
    <w:p w:rsidR="004A2F25" w:rsidRPr="00C24ACA" w:rsidRDefault="004A2F25" w:rsidP="004A2F25">
      <w:pPr>
        <w:spacing w:line="288" w:lineRule="auto"/>
        <w:ind w:firstLine="420"/>
        <w:jc w:val="right"/>
        <w:rPr>
          <w:rFonts w:eastAsiaTheme="minorEastAsia"/>
          <w:bCs/>
          <w:color w:val="000000"/>
          <w:szCs w:val="21"/>
        </w:rPr>
      </w:pPr>
      <w:r w:rsidRPr="00C24ACA">
        <w:rPr>
          <w:rFonts w:eastAsiaTheme="minor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701"/>
        <w:gridCol w:w="1559"/>
        <w:gridCol w:w="1559"/>
        <w:gridCol w:w="1487"/>
      </w:tblGrid>
      <w:tr w:rsidR="008A5A5D" w:rsidRPr="00C24ACA" w:rsidTr="004A4847">
        <w:tc>
          <w:tcPr>
            <w:tcW w:w="2694" w:type="dxa"/>
            <w:vMerge w:val="restart"/>
            <w:vAlign w:val="center"/>
          </w:tcPr>
          <w:p w:rsidR="008A5A5D" w:rsidRPr="00C24ACA" w:rsidRDefault="008A5A5D" w:rsidP="00F5070F">
            <w:pPr>
              <w:jc w:val="center"/>
              <w:rPr>
                <w:rFonts w:eastAsiaTheme="minorEastAsia"/>
                <w:color w:val="000000"/>
                <w:szCs w:val="21"/>
              </w:rPr>
            </w:pPr>
            <w:r w:rsidRPr="00C24ACA">
              <w:rPr>
                <w:rFonts w:eastAsiaTheme="minorEastAsia"/>
                <w:color w:val="000000"/>
                <w:szCs w:val="21"/>
              </w:rPr>
              <w:t>项目</w:t>
            </w:r>
          </w:p>
        </w:tc>
        <w:tc>
          <w:tcPr>
            <w:tcW w:w="326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本期末</w:t>
            </w:r>
          </w:p>
          <w:p w:rsidR="008A5A5D" w:rsidRPr="00C24ACA" w:rsidRDefault="00AC4A34" w:rsidP="004A4847">
            <w:pPr>
              <w:jc w:val="center"/>
              <w:rPr>
                <w:rFonts w:eastAsiaTheme="minorEastAsia"/>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3046"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上年度末</w:t>
            </w:r>
          </w:p>
          <w:p w:rsidR="008A5A5D" w:rsidRPr="00C24ACA" w:rsidRDefault="00520D7F" w:rsidP="00022F8F">
            <w:pPr>
              <w:jc w:val="center"/>
              <w:rPr>
                <w:rFonts w:eastAsiaTheme="minorEastAsia"/>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8A5A5D" w:rsidRPr="00C24ACA" w:rsidTr="00022F8F">
        <w:tc>
          <w:tcPr>
            <w:tcW w:w="2694" w:type="dxa"/>
            <w:vMerge/>
            <w:vAlign w:val="center"/>
          </w:tcPr>
          <w:p w:rsidR="008A5A5D" w:rsidRPr="00C24ACA" w:rsidRDefault="008A5A5D" w:rsidP="004A4847">
            <w:pPr>
              <w:widowControl/>
              <w:jc w:val="left"/>
              <w:rPr>
                <w:rFonts w:eastAsiaTheme="minorEastAsia"/>
                <w:color w:val="000000"/>
                <w:szCs w:val="21"/>
              </w:rPr>
            </w:pPr>
          </w:p>
        </w:tc>
        <w:tc>
          <w:tcPr>
            <w:tcW w:w="1701" w:type="dxa"/>
            <w:vAlign w:val="center"/>
          </w:tcPr>
          <w:p w:rsidR="008A5A5D" w:rsidRPr="00C24ACA" w:rsidRDefault="008A5A5D" w:rsidP="004A4847">
            <w:pPr>
              <w:ind w:right="142"/>
              <w:jc w:val="center"/>
              <w:rPr>
                <w:rFonts w:eastAsiaTheme="minorEastAsia"/>
                <w:color w:val="000000"/>
                <w:szCs w:val="21"/>
              </w:rPr>
            </w:pPr>
            <w:r w:rsidRPr="00C24ACA">
              <w:rPr>
                <w:rFonts w:eastAsiaTheme="minorEastAsia"/>
                <w:color w:val="000000"/>
                <w:szCs w:val="21"/>
              </w:rPr>
              <w:t>公允价值</w:t>
            </w:r>
          </w:p>
        </w:tc>
        <w:tc>
          <w:tcPr>
            <w:tcW w:w="1559" w:type="dxa"/>
            <w:vAlign w:val="center"/>
          </w:tcPr>
          <w:p w:rsidR="008A5A5D" w:rsidRPr="00C24ACA" w:rsidRDefault="008A5A5D" w:rsidP="004A4847">
            <w:pPr>
              <w:ind w:right="141"/>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r w:rsidRPr="00C24ACA">
              <w:rPr>
                <w:rFonts w:eastAsiaTheme="minorEastAsia"/>
                <w:color w:val="000000"/>
                <w:szCs w:val="21"/>
              </w:rPr>
              <w:t>）</w:t>
            </w:r>
          </w:p>
        </w:tc>
        <w:tc>
          <w:tcPr>
            <w:tcW w:w="1559" w:type="dxa"/>
            <w:vAlign w:val="center"/>
          </w:tcPr>
          <w:p w:rsidR="008A5A5D" w:rsidRPr="00C24ACA" w:rsidRDefault="008A5A5D" w:rsidP="00022F8F">
            <w:pPr>
              <w:ind w:right="113"/>
              <w:jc w:val="center"/>
              <w:rPr>
                <w:rFonts w:eastAsiaTheme="minorEastAsia"/>
                <w:color w:val="000000"/>
                <w:szCs w:val="21"/>
              </w:rPr>
            </w:pPr>
            <w:r w:rsidRPr="00C24ACA">
              <w:rPr>
                <w:rFonts w:eastAsiaTheme="minorEastAsia"/>
                <w:color w:val="000000"/>
                <w:szCs w:val="21"/>
              </w:rPr>
              <w:t>公允价值</w:t>
            </w:r>
          </w:p>
        </w:tc>
        <w:tc>
          <w:tcPr>
            <w:tcW w:w="1487" w:type="dxa"/>
            <w:vAlign w:val="center"/>
          </w:tcPr>
          <w:p w:rsidR="008A5A5D" w:rsidRPr="00C24ACA" w:rsidRDefault="008A5A5D" w:rsidP="00022F8F">
            <w:pPr>
              <w:ind w:right="141"/>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r w:rsidRPr="00C24ACA">
              <w:rPr>
                <w:rFonts w:eastAsiaTheme="minorEastAsia"/>
                <w:color w:val="000000"/>
                <w:szCs w:val="21"/>
              </w:rPr>
              <w:t>）</w:t>
            </w:r>
          </w:p>
        </w:tc>
      </w:tr>
      <w:tr w:rsidR="008A5A5D" w:rsidRPr="00C24ACA" w:rsidTr="00022F8F">
        <w:tc>
          <w:tcPr>
            <w:tcW w:w="2694" w:type="dxa"/>
            <w:vAlign w:val="center"/>
          </w:tcPr>
          <w:p w:rsidR="008A5A5D" w:rsidRPr="00C24ACA" w:rsidRDefault="008A5A5D" w:rsidP="004A4847">
            <w:pPr>
              <w:jc w:val="left"/>
              <w:rPr>
                <w:rFonts w:eastAsiaTheme="minorEastAsia"/>
                <w:color w:val="000000"/>
                <w:szCs w:val="21"/>
              </w:rPr>
            </w:pPr>
            <w:r w:rsidRPr="00C24ACA">
              <w:rPr>
                <w:rFonts w:eastAsiaTheme="minorEastAsia"/>
                <w:color w:val="000000"/>
                <w:szCs w:val="21"/>
              </w:rPr>
              <w:t>交易性金融资产</w:t>
            </w:r>
            <w:r w:rsidRPr="00C24ACA">
              <w:rPr>
                <w:rFonts w:eastAsiaTheme="minorEastAsia"/>
                <w:szCs w:val="21"/>
              </w:rPr>
              <w:t>－</w:t>
            </w:r>
            <w:r w:rsidRPr="00C24ACA">
              <w:rPr>
                <w:rFonts w:eastAsiaTheme="minorEastAsia"/>
                <w:color w:val="000000"/>
                <w:szCs w:val="21"/>
              </w:rPr>
              <w:t>股票投资</w:t>
            </w:r>
          </w:p>
        </w:tc>
        <w:tc>
          <w:tcPr>
            <w:tcW w:w="1701"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53,942,982.96</w:t>
            </w:r>
          </w:p>
        </w:tc>
        <w:tc>
          <w:tcPr>
            <w:tcW w:w="1559"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97.35</w:t>
            </w:r>
          </w:p>
        </w:tc>
        <w:tc>
          <w:tcPr>
            <w:tcW w:w="1559"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50,732,574.05</w:t>
            </w:r>
          </w:p>
        </w:tc>
        <w:tc>
          <w:tcPr>
            <w:tcW w:w="1487" w:type="dxa"/>
            <w:vAlign w:val="center"/>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91.54</w:t>
            </w:r>
          </w:p>
        </w:tc>
      </w:tr>
      <w:tr w:rsidR="008A5A5D" w:rsidRPr="00C24ACA" w:rsidTr="00022F8F">
        <w:tc>
          <w:tcPr>
            <w:tcW w:w="2694" w:type="dxa"/>
            <w:vAlign w:val="center"/>
          </w:tcPr>
          <w:p w:rsidR="008A5A5D" w:rsidRPr="00C24ACA" w:rsidRDefault="008A5A5D" w:rsidP="004A4847">
            <w:pPr>
              <w:jc w:val="left"/>
              <w:rPr>
                <w:rFonts w:eastAsiaTheme="minorEastAsia"/>
                <w:color w:val="000000"/>
                <w:szCs w:val="21"/>
              </w:rPr>
            </w:pPr>
            <w:r w:rsidRPr="00C24ACA">
              <w:rPr>
                <w:rFonts w:eastAsiaTheme="minorEastAsia"/>
                <w:color w:val="000000"/>
                <w:szCs w:val="21"/>
              </w:rPr>
              <w:t>交易性金融资产</w:t>
            </w:r>
            <w:r w:rsidRPr="00C24ACA">
              <w:rPr>
                <w:rFonts w:eastAsiaTheme="minorEastAsia"/>
                <w:color w:val="000000"/>
                <w:szCs w:val="21"/>
              </w:rPr>
              <w:t>—</w:t>
            </w:r>
            <w:r w:rsidRPr="00C24ACA">
              <w:rPr>
                <w:rFonts w:eastAsiaTheme="minorEastAsia"/>
                <w:color w:val="000000"/>
                <w:szCs w:val="21"/>
              </w:rPr>
              <w:t>基金投资</w:t>
            </w:r>
          </w:p>
        </w:tc>
        <w:tc>
          <w:tcPr>
            <w:tcW w:w="1701"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c>
          <w:tcPr>
            <w:tcW w:w="1487" w:type="dxa"/>
          </w:tcPr>
          <w:p w:rsidR="008A5A5D" w:rsidRPr="00C24ACA" w:rsidRDefault="008A5A5D" w:rsidP="00C75EDE">
            <w:pPr>
              <w:spacing w:line="360" w:lineRule="auto"/>
              <w:jc w:val="right"/>
              <w:rPr>
                <w:rFonts w:eastAsiaTheme="minorEastAsia"/>
                <w:color w:val="000000"/>
                <w:szCs w:val="21"/>
              </w:rPr>
            </w:pPr>
            <w:r w:rsidRPr="00C24ACA">
              <w:rPr>
                <w:rFonts w:eastAsiaTheme="minorEastAsia"/>
                <w:color w:val="000000"/>
                <w:szCs w:val="21"/>
              </w:rPr>
              <w:t>-</w:t>
            </w:r>
          </w:p>
        </w:tc>
      </w:tr>
      <w:tr w:rsidR="001D0D6A" w:rsidRPr="00C24ACA" w:rsidTr="00742218">
        <w:tc>
          <w:tcPr>
            <w:tcW w:w="2694" w:type="dxa"/>
            <w:vAlign w:val="center"/>
          </w:tcPr>
          <w:p w:rsidR="001D0D6A" w:rsidRPr="00224952" w:rsidRDefault="001D0D6A" w:rsidP="001D0D6A">
            <w:pPr>
              <w:spacing w:line="360" w:lineRule="auto"/>
              <w:jc w:val="left"/>
              <w:rPr>
                <w:szCs w:val="21"/>
              </w:rPr>
            </w:pPr>
            <w:r w:rsidRPr="00224952">
              <w:rPr>
                <w:rFonts w:hint="eastAsia"/>
                <w:szCs w:val="21"/>
              </w:rPr>
              <w:t>交易性金融资产－贵金属投资</w:t>
            </w:r>
          </w:p>
        </w:tc>
        <w:tc>
          <w:tcPr>
            <w:tcW w:w="1701" w:type="dxa"/>
            <w:vAlign w:val="center"/>
          </w:tcPr>
          <w:p w:rsidR="001D0D6A" w:rsidRPr="00224952" w:rsidRDefault="001D0D6A" w:rsidP="001D0D6A">
            <w:pPr>
              <w:spacing w:line="360" w:lineRule="auto"/>
              <w:jc w:val="right"/>
              <w:rPr>
                <w:color w:val="000000"/>
                <w:szCs w:val="21"/>
              </w:rPr>
            </w:pPr>
            <w:r w:rsidRPr="00224952">
              <w:rPr>
                <w:color w:val="000000"/>
                <w:szCs w:val="21"/>
              </w:rPr>
              <w:t>-</w:t>
            </w:r>
          </w:p>
        </w:tc>
        <w:tc>
          <w:tcPr>
            <w:tcW w:w="1559" w:type="dxa"/>
            <w:vAlign w:val="center"/>
          </w:tcPr>
          <w:p w:rsidR="001D0D6A" w:rsidRPr="00224952" w:rsidRDefault="001D0D6A" w:rsidP="001D0D6A">
            <w:pPr>
              <w:spacing w:line="360" w:lineRule="auto"/>
              <w:jc w:val="right"/>
              <w:rPr>
                <w:color w:val="000000"/>
                <w:szCs w:val="21"/>
              </w:rPr>
            </w:pPr>
            <w:r w:rsidRPr="00224952">
              <w:rPr>
                <w:color w:val="000000"/>
                <w:szCs w:val="21"/>
              </w:rPr>
              <w:t>-</w:t>
            </w:r>
          </w:p>
        </w:tc>
        <w:tc>
          <w:tcPr>
            <w:tcW w:w="1559" w:type="dxa"/>
            <w:vAlign w:val="center"/>
          </w:tcPr>
          <w:p w:rsidR="001D0D6A" w:rsidRPr="00224952" w:rsidRDefault="001D0D6A" w:rsidP="003B2040">
            <w:pPr>
              <w:spacing w:line="360" w:lineRule="auto"/>
              <w:jc w:val="right"/>
              <w:rPr>
                <w:color w:val="000000"/>
                <w:szCs w:val="21"/>
              </w:rPr>
            </w:pPr>
            <w:r w:rsidRPr="00224952">
              <w:rPr>
                <w:color w:val="000000"/>
                <w:szCs w:val="21"/>
              </w:rPr>
              <w:t>-</w:t>
            </w:r>
          </w:p>
        </w:tc>
        <w:tc>
          <w:tcPr>
            <w:tcW w:w="1487" w:type="dxa"/>
            <w:vAlign w:val="center"/>
          </w:tcPr>
          <w:p w:rsidR="001D0D6A" w:rsidRPr="00224952" w:rsidRDefault="001D0D6A" w:rsidP="003B2040">
            <w:pPr>
              <w:spacing w:line="360" w:lineRule="auto"/>
              <w:jc w:val="right"/>
              <w:rPr>
                <w:color w:val="000000"/>
                <w:szCs w:val="21"/>
              </w:rPr>
            </w:pPr>
            <w:r w:rsidRPr="00224952">
              <w:rPr>
                <w:color w:val="000000"/>
                <w:szCs w:val="21"/>
              </w:rPr>
              <w:t>-</w:t>
            </w:r>
          </w:p>
        </w:tc>
      </w:tr>
      <w:tr w:rsidR="001D0D6A" w:rsidRPr="00C24ACA" w:rsidTr="00022F8F">
        <w:tc>
          <w:tcPr>
            <w:tcW w:w="2694" w:type="dxa"/>
            <w:vAlign w:val="center"/>
          </w:tcPr>
          <w:p w:rsidR="001D0D6A" w:rsidRPr="00C24ACA" w:rsidRDefault="001D0D6A" w:rsidP="001D0D6A">
            <w:pPr>
              <w:jc w:val="left"/>
              <w:rPr>
                <w:rFonts w:eastAsiaTheme="minorEastAsia"/>
                <w:color w:val="000000"/>
                <w:szCs w:val="21"/>
              </w:rPr>
            </w:pPr>
            <w:r w:rsidRPr="00C24ACA">
              <w:rPr>
                <w:rFonts w:eastAsiaTheme="minorEastAsia"/>
                <w:color w:val="000000"/>
                <w:szCs w:val="21"/>
              </w:rPr>
              <w:t>衍生金融资产－权证投资</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r>
      <w:tr w:rsidR="001D0D6A" w:rsidRPr="00C24ACA" w:rsidTr="00022F8F">
        <w:tc>
          <w:tcPr>
            <w:tcW w:w="2694" w:type="dxa"/>
            <w:vAlign w:val="center"/>
          </w:tcPr>
          <w:p w:rsidR="001D0D6A" w:rsidRPr="00C24ACA" w:rsidRDefault="001D0D6A" w:rsidP="001D0D6A">
            <w:pPr>
              <w:jc w:val="left"/>
              <w:rPr>
                <w:rFonts w:eastAsiaTheme="minorEastAsia"/>
                <w:color w:val="000000"/>
                <w:szCs w:val="21"/>
              </w:rPr>
            </w:pPr>
            <w:r w:rsidRPr="00C24ACA">
              <w:rPr>
                <w:rFonts w:eastAsiaTheme="minorEastAsia"/>
                <w:color w:val="000000"/>
                <w:szCs w:val="21"/>
              </w:rPr>
              <w:t>其他</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w:t>
            </w:r>
          </w:p>
        </w:tc>
      </w:tr>
      <w:tr w:rsidR="001D0D6A" w:rsidRPr="00C24ACA" w:rsidTr="00022F8F">
        <w:tc>
          <w:tcPr>
            <w:tcW w:w="2694" w:type="dxa"/>
            <w:vAlign w:val="center"/>
          </w:tcPr>
          <w:p w:rsidR="001D0D6A" w:rsidRPr="00C24ACA" w:rsidRDefault="001D0D6A" w:rsidP="001D0D6A">
            <w:pPr>
              <w:rPr>
                <w:rFonts w:eastAsiaTheme="minorEastAsia"/>
                <w:color w:val="000000"/>
                <w:szCs w:val="21"/>
              </w:rPr>
            </w:pPr>
            <w:r w:rsidRPr="00C24ACA">
              <w:rPr>
                <w:rFonts w:eastAsiaTheme="minorEastAsia"/>
                <w:color w:val="000000"/>
                <w:szCs w:val="21"/>
              </w:rPr>
              <w:t>合计</w:t>
            </w:r>
          </w:p>
        </w:tc>
        <w:tc>
          <w:tcPr>
            <w:tcW w:w="1701"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53,942,982.96</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97.35</w:t>
            </w:r>
          </w:p>
        </w:tc>
        <w:tc>
          <w:tcPr>
            <w:tcW w:w="1559"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50,732,574.05</w:t>
            </w:r>
          </w:p>
        </w:tc>
        <w:tc>
          <w:tcPr>
            <w:tcW w:w="1487" w:type="dxa"/>
          </w:tcPr>
          <w:p w:rsidR="001D0D6A" w:rsidRPr="00C24ACA" w:rsidRDefault="001D0D6A" w:rsidP="001D0D6A">
            <w:pPr>
              <w:spacing w:line="360" w:lineRule="auto"/>
              <w:jc w:val="right"/>
              <w:rPr>
                <w:rFonts w:eastAsiaTheme="minorEastAsia"/>
                <w:color w:val="000000"/>
                <w:szCs w:val="21"/>
              </w:rPr>
            </w:pPr>
            <w:r w:rsidRPr="00C24ACA">
              <w:rPr>
                <w:rFonts w:eastAsiaTheme="minorEastAsia"/>
                <w:color w:val="000000"/>
                <w:szCs w:val="21"/>
              </w:rPr>
              <w:t>91.54</w:t>
            </w:r>
          </w:p>
        </w:tc>
      </w:tr>
    </w:tbl>
    <w:p w:rsidR="008A5A5D" w:rsidRPr="00C24ACA" w:rsidRDefault="008A5A5D" w:rsidP="00732F5C">
      <w:pPr>
        <w:spacing w:beforeLines="100" w:before="312" w:line="360" w:lineRule="auto"/>
        <w:rPr>
          <w:rFonts w:eastAsiaTheme="minorEastAsia"/>
          <w:b/>
          <w:color w:val="000000"/>
          <w:szCs w:val="21"/>
        </w:rPr>
      </w:pPr>
      <w:r w:rsidRPr="00C24ACA">
        <w:rPr>
          <w:rFonts w:eastAsiaTheme="minorEastAsia"/>
          <w:b/>
          <w:bCs/>
          <w:color w:val="000000"/>
          <w:kern w:val="0"/>
          <w:szCs w:val="21"/>
        </w:rPr>
        <w:t>6.4.13.4.3.2</w:t>
      </w:r>
      <w:r w:rsidRPr="00C24ACA">
        <w:rPr>
          <w:rFonts w:eastAsiaTheme="minorEastAsia"/>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BB5C1E">
        <w:tc>
          <w:tcPr>
            <w:tcW w:w="993" w:type="dxa"/>
            <w:vAlign w:val="center"/>
          </w:tcPr>
          <w:p w:rsidR="00BB5C1E" w:rsidRDefault="00AF434F">
            <w:pPr>
              <w:jc w:val="left"/>
            </w:pPr>
            <w:r>
              <w:rPr>
                <w:rFonts w:eastAsiaTheme="minorEastAsia"/>
                <w:color w:val="000000"/>
                <w:szCs w:val="21"/>
              </w:rPr>
              <w:t>假设</w:t>
            </w:r>
          </w:p>
        </w:tc>
        <w:tc>
          <w:tcPr>
            <w:tcW w:w="8079" w:type="dxa"/>
            <w:gridSpan w:val="4"/>
            <w:vAlign w:val="center"/>
          </w:tcPr>
          <w:p w:rsidR="00BB5C1E" w:rsidRDefault="00AF434F">
            <w:pPr>
              <w:jc w:val="center"/>
            </w:pPr>
            <w:r>
              <w:rPr>
                <w:rFonts w:eastAsiaTheme="minorEastAsia"/>
                <w:color w:val="000000"/>
                <w:szCs w:val="21"/>
              </w:rPr>
              <w:t>除业绩比较基准以外的其他市场变量保持不变</w:t>
            </w:r>
          </w:p>
        </w:tc>
      </w:tr>
      <w:tr w:rsidR="00695204" w:rsidRPr="00C24ACA" w:rsidTr="007C6EA8">
        <w:trPr>
          <w:gridAfter w:val="1"/>
          <w:wAfter w:w="72" w:type="dxa"/>
        </w:trPr>
        <w:tc>
          <w:tcPr>
            <w:tcW w:w="993" w:type="dxa"/>
            <w:vMerge w:val="restart"/>
            <w:vAlign w:val="center"/>
          </w:tcPr>
          <w:p w:rsidR="00695204" w:rsidRPr="00C24ACA" w:rsidRDefault="00695204"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2448" w:type="dxa"/>
            <w:vMerge w:val="restart"/>
            <w:vAlign w:val="center"/>
          </w:tcPr>
          <w:p w:rsidR="00695204" w:rsidRPr="00C24ACA" w:rsidRDefault="00695204" w:rsidP="007C6EA8">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5559" w:type="dxa"/>
            <w:gridSpan w:val="2"/>
          </w:tcPr>
          <w:p w:rsidR="00695204" w:rsidRPr="00C24ACA" w:rsidRDefault="00695204" w:rsidP="007C6EA8">
            <w:pPr>
              <w:jc w:val="center"/>
              <w:rPr>
                <w:rFonts w:eastAsiaTheme="minorEastAsia"/>
                <w:color w:val="000000"/>
                <w:szCs w:val="21"/>
              </w:rPr>
            </w:pPr>
            <w:r w:rsidRPr="00C24ACA">
              <w:rPr>
                <w:rFonts w:eastAsiaTheme="minorEastAsia"/>
                <w:color w:val="000000"/>
                <w:szCs w:val="21"/>
              </w:rPr>
              <w:t>对资产负债表日基金资产净值的</w:t>
            </w:r>
          </w:p>
          <w:p w:rsidR="00695204"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695204" w:rsidRPr="00C24ACA">
              <w:rPr>
                <w:rFonts w:eastAsiaTheme="minorEastAsia"/>
                <w:color w:val="000000"/>
                <w:szCs w:val="21"/>
              </w:rPr>
              <w:t>元）</w:t>
            </w:r>
          </w:p>
        </w:tc>
      </w:tr>
      <w:tr w:rsidR="00695204" w:rsidRPr="00C24ACA" w:rsidTr="007C6EA8">
        <w:trPr>
          <w:gridAfter w:val="1"/>
          <w:wAfter w:w="72" w:type="dxa"/>
        </w:trPr>
        <w:tc>
          <w:tcPr>
            <w:tcW w:w="993" w:type="dxa"/>
            <w:vMerge/>
            <w:vAlign w:val="center"/>
          </w:tcPr>
          <w:p w:rsidR="00695204" w:rsidRPr="00C24ACA" w:rsidRDefault="00695204" w:rsidP="007C6EA8">
            <w:pPr>
              <w:widowControl/>
              <w:jc w:val="left"/>
              <w:rPr>
                <w:rFonts w:eastAsiaTheme="minorEastAsia"/>
                <w:color w:val="000000"/>
                <w:szCs w:val="21"/>
              </w:rPr>
            </w:pPr>
          </w:p>
        </w:tc>
        <w:tc>
          <w:tcPr>
            <w:tcW w:w="2448" w:type="dxa"/>
            <w:vMerge/>
            <w:vAlign w:val="center"/>
          </w:tcPr>
          <w:p w:rsidR="00695204" w:rsidRPr="00C24ACA" w:rsidRDefault="00695204" w:rsidP="007C6EA8">
            <w:pPr>
              <w:widowControl/>
              <w:jc w:val="left"/>
              <w:rPr>
                <w:rFonts w:eastAsiaTheme="minorEastAsia"/>
                <w:color w:val="000000"/>
                <w:kern w:val="0"/>
                <w:szCs w:val="21"/>
              </w:rPr>
            </w:pPr>
          </w:p>
        </w:tc>
        <w:tc>
          <w:tcPr>
            <w:tcW w:w="2880" w:type="dxa"/>
          </w:tcPr>
          <w:p w:rsidR="00695204" w:rsidRPr="00C24ACA" w:rsidRDefault="00695204" w:rsidP="008134C7">
            <w:pPr>
              <w:spacing w:line="360" w:lineRule="auto"/>
              <w:ind w:firstLineChars="350" w:firstLine="735"/>
              <w:rPr>
                <w:rFonts w:eastAsiaTheme="minorEastAsia"/>
                <w:color w:val="000000"/>
                <w:szCs w:val="21"/>
              </w:rPr>
            </w:pPr>
            <w:r w:rsidRPr="00C24ACA">
              <w:rPr>
                <w:rFonts w:eastAsiaTheme="minorEastAsia"/>
                <w:color w:val="000000"/>
                <w:szCs w:val="21"/>
              </w:rPr>
              <w:t>本期末</w:t>
            </w:r>
          </w:p>
          <w:p w:rsidR="00695204" w:rsidRPr="00C24ACA" w:rsidRDefault="00695204" w:rsidP="007C6EA8">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2679" w:type="dxa"/>
          </w:tcPr>
          <w:p w:rsidR="00695204" w:rsidRPr="00C24ACA" w:rsidRDefault="00695204" w:rsidP="008134C7">
            <w:pPr>
              <w:spacing w:line="360" w:lineRule="auto"/>
              <w:ind w:firstLineChars="300" w:firstLine="630"/>
              <w:rPr>
                <w:rFonts w:eastAsiaTheme="minorEastAsia"/>
                <w:color w:val="000000"/>
                <w:szCs w:val="21"/>
              </w:rPr>
            </w:pPr>
            <w:r w:rsidRPr="00C24ACA">
              <w:rPr>
                <w:rFonts w:eastAsiaTheme="minorEastAsia"/>
                <w:color w:val="000000"/>
                <w:szCs w:val="21"/>
              </w:rPr>
              <w:t>上年度末</w:t>
            </w:r>
          </w:p>
          <w:p w:rsidR="00695204" w:rsidRPr="00C24ACA" w:rsidRDefault="00695204" w:rsidP="007C6EA8">
            <w:pPr>
              <w:spacing w:line="360" w:lineRule="auto"/>
              <w:jc w:val="center"/>
              <w:rPr>
                <w:rFonts w:eastAsiaTheme="minorEastAsia"/>
                <w:bCs/>
                <w:color w:val="000000"/>
                <w:szCs w:val="21"/>
              </w:rPr>
            </w:pPr>
            <w:r w:rsidRPr="00C24ACA">
              <w:rPr>
                <w:rFonts w:eastAsiaTheme="minorEastAsia"/>
                <w:color w:val="000000"/>
                <w:szCs w:val="21"/>
              </w:rPr>
              <w:t>2019</w:t>
            </w:r>
            <w:r w:rsidRPr="00C24ACA">
              <w:rPr>
                <w:rFonts w:eastAsiaTheme="minorEastAsia"/>
                <w:color w:val="000000"/>
                <w:szCs w:val="21"/>
              </w:rPr>
              <w:t>年</w:t>
            </w:r>
            <w:r w:rsidRPr="00C24ACA">
              <w:rPr>
                <w:rFonts w:eastAsiaTheme="minorEastAsia"/>
                <w:color w:val="000000"/>
                <w:szCs w:val="21"/>
              </w:rPr>
              <w:t>12</w:t>
            </w:r>
            <w:r w:rsidRPr="00C24ACA">
              <w:rPr>
                <w:rFonts w:eastAsiaTheme="minorEastAsia"/>
                <w:color w:val="000000"/>
                <w:szCs w:val="21"/>
              </w:rPr>
              <w:t>月</w:t>
            </w:r>
            <w:r w:rsidRPr="00C24ACA">
              <w:rPr>
                <w:rFonts w:eastAsiaTheme="minorEastAsia"/>
                <w:color w:val="000000"/>
                <w:szCs w:val="21"/>
              </w:rPr>
              <w:t>31</w:t>
            </w:r>
            <w:r w:rsidRPr="00C24ACA">
              <w:rPr>
                <w:rFonts w:eastAsiaTheme="minorEastAsia"/>
                <w:color w:val="000000"/>
                <w:szCs w:val="21"/>
              </w:rPr>
              <w:t>日</w:t>
            </w:r>
          </w:p>
        </w:tc>
      </w:tr>
      <w:tr w:rsidR="00BB5C1E">
        <w:trPr>
          <w:gridAfter w:val="1"/>
          <w:wAfter w:w="72" w:type="dxa"/>
        </w:trPr>
        <w:tc>
          <w:tcPr>
            <w:tcW w:w="993" w:type="dxa"/>
            <w:vMerge/>
          </w:tcPr>
          <w:p w:rsidR="00BB5C1E" w:rsidRDefault="00BB5C1E"/>
        </w:tc>
        <w:tc>
          <w:tcPr>
            <w:tcW w:w="2448" w:type="dxa"/>
            <w:vAlign w:val="center"/>
          </w:tcPr>
          <w:p w:rsidR="00BB5C1E" w:rsidRDefault="00AF434F">
            <w:r>
              <w:rPr>
                <w:rFonts w:eastAsiaTheme="minorEastAsia"/>
                <w:color w:val="000000"/>
                <w:szCs w:val="21"/>
              </w:rPr>
              <w:t>1.</w:t>
            </w:r>
            <w:r>
              <w:rPr>
                <w:rFonts w:eastAsiaTheme="minorEastAsia"/>
                <w:color w:val="000000"/>
                <w:szCs w:val="21"/>
              </w:rPr>
              <w:t>业绩比较基准上升</w:t>
            </w:r>
            <w:r>
              <w:rPr>
                <w:rFonts w:eastAsiaTheme="minorEastAsia"/>
                <w:color w:val="000000"/>
                <w:szCs w:val="21"/>
              </w:rPr>
              <w:t>5%</w:t>
            </w:r>
          </w:p>
        </w:tc>
        <w:tc>
          <w:tcPr>
            <w:tcW w:w="2880" w:type="dxa"/>
            <w:vAlign w:val="center"/>
          </w:tcPr>
          <w:p w:rsidR="00BB5C1E" w:rsidRDefault="00AF434F">
            <w:pPr>
              <w:jc w:val="right"/>
            </w:pPr>
            <w:r>
              <w:rPr>
                <w:rFonts w:eastAsiaTheme="minorEastAsia"/>
                <w:color w:val="000000"/>
                <w:szCs w:val="21"/>
              </w:rPr>
              <w:t>2,697,149.14</w:t>
            </w:r>
          </w:p>
        </w:tc>
        <w:tc>
          <w:tcPr>
            <w:tcW w:w="2679" w:type="dxa"/>
            <w:vAlign w:val="center"/>
          </w:tcPr>
          <w:p w:rsidR="00BB5C1E" w:rsidRDefault="00AF434F">
            <w:pPr>
              <w:jc w:val="right"/>
            </w:pPr>
            <w:r>
              <w:rPr>
                <w:rFonts w:eastAsiaTheme="minorEastAsia"/>
                <w:color w:val="000000"/>
                <w:szCs w:val="21"/>
              </w:rPr>
              <w:t>2,536,628.70</w:t>
            </w:r>
          </w:p>
        </w:tc>
      </w:tr>
      <w:tr w:rsidR="00BB5C1E">
        <w:trPr>
          <w:gridAfter w:val="1"/>
          <w:wAfter w:w="72" w:type="dxa"/>
        </w:trPr>
        <w:tc>
          <w:tcPr>
            <w:tcW w:w="993" w:type="dxa"/>
            <w:vMerge/>
          </w:tcPr>
          <w:p w:rsidR="00BB5C1E" w:rsidRDefault="00BB5C1E"/>
        </w:tc>
        <w:tc>
          <w:tcPr>
            <w:tcW w:w="2448" w:type="dxa"/>
            <w:vAlign w:val="center"/>
          </w:tcPr>
          <w:p w:rsidR="00BB5C1E" w:rsidRDefault="00AF434F">
            <w:r>
              <w:rPr>
                <w:rFonts w:eastAsiaTheme="minorEastAsia"/>
                <w:color w:val="000000"/>
                <w:szCs w:val="21"/>
              </w:rPr>
              <w:t>2.</w:t>
            </w:r>
            <w:r>
              <w:rPr>
                <w:rFonts w:eastAsiaTheme="minorEastAsia"/>
                <w:color w:val="000000"/>
                <w:szCs w:val="21"/>
              </w:rPr>
              <w:t>业绩比较基准下降</w:t>
            </w:r>
            <w:r>
              <w:rPr>
                <w:rFonts w:eastAsiaTheme="minorEastAsia"/>
                <w:color w:val="000000"/>
                <w:szCs w:val="21"/>
              </w:rPr>
              <w:t>5%</w:t>
            </w:r>
          </w:p>
        </w:tc>
        <w:tc>
          <w:tcPr>
            <w:tcW w:w="2880" w:type="dxa"/>
            <w:vAlign w:val="center"/>
          </w:tcPr>
          <w:p w:rsidR="00BB5C1E" w:rsidRDefault="00AF434F">
            <w:pPr>
              <w:jc w:val="right"/>
            </w:pPr>
            <w:r>
              <w:rPr>
                <w:rFonts w:eastAsiaTheme="minorEastAsia"/>
                <w:color w:val="000000"/>
                <w:szCs w:val="21"/>
              </w:rPr>
              <w:t>-2,697,149.14</w:t>
            </w:r>
          </w:p>
        </w:tc>
        <w:tc>
          <w:tcPr>
            <w:tcW w:w="2679" w:type="dxa"/>
            <w:vAlign w:val="center"/>
          </w:tcPr>
          <w:p w:rsidR="00BB5C1E" w:rsidRDefault="00AF434F">
            <w:pPr>
              <w:jc w:val="right"/>
            </w:pPr>
            <w:r>
              <w:rPr>
                <w:rFonts w:eastAsiaTheme="minorEastAsia"/>
                <w:color w:val="000000"/>
                <w:szCs w:val="21"/>
              </w:rPr>
              <w:t>-2,536,628.70</w:t>
            </w:r>
          </w:p>
        </w:tc>
      </w:tr>
    </w:tbl>
    <w:p w:rsidR="008A5A5D" w:rsidRPr="00C24ACA" w:rsidRDefault="008A5A5D" w:rsidP="00732F5C">
      <w:pPr>
        <w:adjustRightInd w:val="0"/>
        <w:snapToGrid w:val="0"/>
        <w:spacing w:beforeLines="100" w:before="312" w:line="360" w:lineRule="auto"/>
        <w:rPr>
          <w:rFonts w:eastAsiaTheme="minorEastAsia"/>
          <w:b/>
          <w:color w:val="000000"/>
          <w:szCs w:val="21"/>
        </w:rPr>
      </w:pPr>
      <w:r w:rsidRPr="00C24ACA">
        <w:rPr>
          <w:rFonts w:eastAsiaTheme="minorEastAsia"/>
          <w:b/>
          <w:bCs/>
          <w:color w:val="000000"/>
          <w:kern w:val="0"/>
          <w:szCs w:val="21"/>
        </w:rPr>
        <w:t>6.4.14</w:t>
      </w:r>
      <w:r w:rsidRPr="00C24ACA">
        <w:rPr>
          <w:rFonts w:eastAsiaTheme="minorEastAsia"/>
          <w:b/>
          <w:color w:val="000000"/>
          <w:szCs w:val="21"/>
        </w:rPr>
        <w:t>有助于理解和分析会计报表需要说明的其他事项</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公允价值</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(a)</w:t>
      </w:r>
      <w:r>
        <w:rPr>
          <w:rFonts w:eastAsiaTheme="minorEastAsia"/>
          <w:kern w:val="0"/>
          <w:szCs w:val="21"/>
        </w:rPr>
        <w:t>金融工具公允价值计量的方法</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公允价值计量结果所属的层次，由对公允价值计量整体而言具有重要意义的输入值所属的最低层次决定：</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第一层次：相同资产或负债在活跃市场上未经调整的报价。</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第二层次：除第一层次输入值外相关资产或负债直接或间接可观察的输入值。</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第三层次：相关资产或负债的不可观察输入值。</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(b)</w:t>
      </w:r>
      <w:r>
        <w:rPr>
          <w:rFonts w:eastAsiaTheme="minorEastAsia"/>
          <w:kern w:val="0"/>
          <w:szCs w:val="21"/>
        </w:rPr>
        <w:t>持续的以公允价值计量的金融工具</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(i)</w:t>
      </w:r>
      <w:r>
        <w:rPr>
          <w:rFonts w:eastAsiaTheme="minorEastAsia"/>
          <w:kern w:val="0"/>
          <w:szCs w:val="21"/>
        </w:rPr>
        <w:t>各层次金融工具公允价值</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日，本基金持有的以公允价值计量且其变动计入当期损益的金融资产中属于第一层次的余额为</w:t>
      </w:r>
      <w:r>
        <w:rPr>
          <w:rFonts w:eastAsiaTheme="minorEastAsia"/>
          <w:kern w:val="0"/>
          <w:szCs w:val="21"/>
        </w:rPr>
        <w:t>53,942,982.96</w:t>
      </w:r>
      <w:r>
        <w:rPr>
          <w:rFonts w:eastAsiaTheme="minorEastAsia"/>
          <w:kern w:val="0"/>
          <w:szCs w:val="21"/>
        </w:rPr>
        <w:t>元，无属于第二层次的余额，无属于第三层次的余额</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日：第一层次</w:t>
      </w:r>
      <w:r>
        <w:rPr>
          <w:rFonts w:eastAsiaTheme="minorEastAsia"/>
          <w:kern w:val="0"/>
          <w:szCs w:val="21"/>
        </w:rPr>
        <w:t>50,732,574.05</w:t>
      </w:r>
      <w:r>
        <w:rPr>
          <w:rFonts w:eastAsiaTheme="minorEastAsia"/>
          <w:kern w:val="0"/>
          <w:szCs w:val="21"/>
        </w:rPr>
        <w:t>元，无属于第二层次的余额，无属于第三层次的余额</w:t>
      </w:r>
      <w:r>
        <w:rPr>
          <w:rFonts w:eastAsiaTheme="minorEastAsia"/>
          <w:kern w:val="0"/>
          <w:szCs w:val="21"/>
        </w:rPr>
        <w:t>)</w:t>
      </w:r>
      <w:r>
        <w:rPr>
          <w:rFonts w:eastAsiaTheme="minorEastAsia"/>
          <w:kern w:val="0"/>
          <w:szCs w:val="21"/>
        </w:rPr>
        <w:t>。</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(ii)</w:t>
      </w:r>
      <w:r>
        <w:rPr>
          <w:rFonts w:eastAsiaTheme="minorEastAsia"/>
          <w:kern w:val="0"/>
          <w:szCs w:val="21"/>
        </w:rPr>
        <w:t>公允价值所属层次间的重大变动</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对于证券交易所上市的股票，若出现重大事项停牌、交易不活跃</w:t>
      </w:r>
      <w:r>
        <w:rPr>
          <w:rFonts w:eastAsiaTheme="minorEastAsia"/>
          <w:kern w:val="0"/>
          <w:szCs w:val="21"/>
        </w:rPr>
        <w:t>(</w:t>
      </w:r>
      <w:r>
        <w:rPr>
          <w:rFonts w:eastAsiaTheme="minorEastAsia"/>
          <w:kern w:val="0"/>
          <w:szCs w:val="21"/>
        </w:rPr>
        <w:t>包括涨跌停时的交易不活跃</w:t>
      </w:r>
      <w:r>
        <w:rPr>
          <w:rFonts w:eastAsiaTheme="minorEastAsia"/>
          <w:kern w:val="0"/>
          <w:szCs w:val="21"/>
        </w:rPr>
        <w:t>)</w:t>
      </w:r>
      <w:r>
        <w:rPr>
          <w:rFonts w:eastAsiaTheme="minorEastAsia"/>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(iii)</w:t>
      </w:r>
      <w:r>
        <w:rPr>
          <w:rFonts w:eastAsiaTheme="minorEastAsia"/>
          <w:kern w:val="0"/>
          <w:szCs w:val="21"/>
        </w:rPr>
        <w:t>第三层次公允价值余额和本期变动金额</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无。</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(c)</w:t>
      </w:r>
      <w:r>
        <w:rPr>
          <w:rFonts w:eastAsiaTheme="minorEastAsia"/>
          <w:kern w:val="0"/>
          <w:szCs w:val="21"/>
        </w:rPr>
        <w:t>非持续的以公允价值计量的金融工具</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日，本基金未持有非持续的以公允价值计量的金融资产</w:t>
      </w:r>
      <w:r>
        <w:rPr>
          <w:rFonts w:eastAsiaTheme="minorEastAsia"/>
          <w:kern w:val="0"/>
          <w:szCs w:val="21"/>
        </w:rPr>
        <w:t>(2019</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日：同</w:t>
      </w:r>
      <w:r>
        <w:rPr>
          <w:rFonts w:eastAsiaTheme="minorEastAsia"/>
          <w:kern w:val="0"/>
          <w:szCs w:val="21"/>
        </w:rPr>
        <w:t xml:space="preserve">) </w:t>
      </w:r>
      <w:r>
        <w:rPr>
          <w:rFonts w:eastAsiaTheme="minorEastAsia"/>
          <w:kern w:val="0"/>
          <w:szCs w:val="21"/>
        </w:rPr>
        <w:t>。</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(d)</w:t>
      </w:r>
      <w:r>
        <w:rPr>
          <w:rFonts w:eastAsiaTheme="minorEastAsia"/>
          <w:kern w:val="0"/>
          <w:szCs w:val="21"/>
        </w:rPr>
        <w:t>不以公允价值计量的金融工具</w:t>
      </w:r>
      <w:r>
        <w:rPr>
          <w:rFonts w:eastAsiaTheme="minorEastAsia"/>
          <w:kern w:val="0"/>
          <w:szCs w:val="21"/>
        </w:rPr>
        <w:t xml:space="preserve"> </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不以公允价值计量的金融资产和负债主要包括应收款项和其他金融负债，其账面价值与公允价值相差很小。</w:t>
      </w:r>
      <w:r>
        <w:rPr>
          <w:rFonts w:eastAsiaTheme="minorEastAsia"/>
          <w:kern w:val="0"/>
          <w:szCs w:val="21"/>
        </w:rPr>
        <w:t xml:space="preserve"> </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 xml:space="preserve"> (2)</w:t>
      </w:r>
      <w:r w:rsidRPr="00C24ACA">
        <w:rPr>
          <w:rFonts w:eastAsiaTheme="minorEastAsia"/>
          <w:kern w:val="0"/>
          <w:szCs w:val="21"/>
        </w:rPr>
        <w:t>除公允价值外，截至资产负债表日本基金无需要说明的其他重要事项。</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97" w:name="_Toc225498272"/>
      <w:bookmarkStart w:id="198" w:name="_Toc352255995"/>
      <w:bookmarkStart w:id="199" w:name="_Toc352256063"/>
      <w:bookmarkStart w:id="200" w:name="_Toc352331241"/>
      <w:bookmarkStart w:id="201" w:name="_Toc390164820"/>
      <w:bookmarkStart w:id="202" w:name="_Toc48662926"/>
      <w:r w:rsidRPr="000C6CCD">
        <w:rPr>
          <w:rFonts w:ascii="宋体" w:hAnsi="宋体"/>
          <w:bCs w:val="0"/>
          <w:color w:val="000000"/>
          <w:sz w:val="21"/>
          <w:szCs w:val="21"/>
        </w:rPr>
        <w:t>7</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投资组合报告</w:t>
      </w:r>
      <w:bookmarkEnd w:id="197"/>
      <w:bookmarkEnd w:id="198"/>
      <w:bookmarkEnd w:id="199"/>
      <w:bookmarkEnd w:id="200"/>
      <w:bookmarkEnd w:id="201"/>
      <w:bookmarkEnd w:id="202"/>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03" w:name="_Toc225498273"/>
      <w:bookmarkStart w:id="204" w:name="_Toc352255996"/>
      <w:bookmarkStart w:id="205" w:name="_Toc352256064"/>
      <w:bookmarkStart w:id="206" w:name="_Toc352331242"/>
      <w:bookmarkStart w:id="207" w:name="_Toc390164821"/>
      <w:bookmarkStart w:id="208" w:name="_Toc48662927"/>
      <w:r w:rsidRPr="0087359D">
        <w:rPr>
          <w:rFonts w:ascii="宋体" w:hAnsi="宋体"/>
          <w:kern w:val="0"/>
          <w:sz w:val="21"/>
          <w:szCs w:val="21"/>
        </w:rPr>
        <w:t>7.1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期末基金资产组合情况</w:t>
      </w:r>
      <w:bookmarkEnd w:id="203"/>
      <w:bookmarkEnd w:id="204"/>
      <w:bookmarkEnd w:id="205"/>
      <w:bookmarkEnd w:id="206"/>
      <w:bookmarkEnd w:id="207"/>
      <w:bookmarkEnd w:id="208"/>
    </w:p>
    <w:p w:rsidR="008A5A5D" w:rsidRPr="00C24ACA" w:rsidRDefault="008A5A5D" w:rsidP="002116B9">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szCs w:val="21"/>
        </w:rPr>
        <w:t>金额单位：人民币元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8A5A5D" w:rsidRPr="00C24ACA" w:rsidTr="00B73AA7">
        <w:trPr>
          <w:jc w:val="center"/>
        </w:trPr>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34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项目</w:t>
            </w:r>
          </w:p>
        </w:tc>
        <w:tc>
          <w:tcPr>
            <w:tcW w:w="25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c>
          <w:tcPr>
            <w:tcW w:w="2052"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占基金总资产的比例（</w:t>
            </w:r>
            <w:r w:rsidRPr="00C24ACA">
              <w:rPr>
                <w:rFonts w:eastAsiaTheme="minorEastAsia"/>
                <w:color w:val="000000"/>
                <w:szCs w:val="21"/>
              </w:rPr>
              <w:t>%</w:t>
            </w:r>
            <w:r w:rsidRPr="00C24ACA">
              <w:rPr>
                <w:rFonts w:eastAsiaTheme="minorEastAsia"/>
                <w:color w:val="000000"/>
                <w:szCs w:val="21"/>
              </w:rPr>
              <w:t>）</w:t>
            </w:r>
          </w:p>
        </w:tc>
      </w:tr>
      <w:tr w:rsidR="008A5A5D" w:rsidRPr="00C24ACA" w:rsidTr="00B73AA7">
        <w:trPr>
          <w:jc w:val="center"/>
        </w:trPr>
        <w:tc>
          <w:tcPr>
            <w:tcW w:w="1080" w:type="dxa"/>
            <w:vAlign w:val="center"/>
          </w:tcPr>
          <w:p w:rsidR="008A5A5D" w:rsidRPr="00C24ACA" w:rsidRDefault="008A5A5D" w:rsidP="00930E47">
            <w:pPr>
              <w:jc w:val="center"/>
              <w:rPr>
                <w:rFonts w:eastAsiaTheme="minorEastAsia"/>
                <w:color w:val="000000"/>
                <w:szCs w:val="21"/>
              </w:rPr>
            </w:pPr>
            <w:r w:rsidRPr="00C24ACA">
              <w:rPr>
                <w:rFonts w:eastAsiaTheme="minorEastAsia"/>
                <w:szCs w:val="21"/>
              </w:rPr>
              <w:t>1</w:t>
            </w: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权益投资</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53,942,982.96</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92.07</w:t>
            </w:r>
          </w:p>
        </w:tc>
      </w:tr>
      <w:tr w:rsidR="008A5A5D" w:rsidRPr="00C24ACA" w:rsidTr="00B73AA7">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其中：普通股</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53,163,032.64</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90.74</w:t>
            </w:r>
          </w:p>
        </w:tc>
      </w:tr>
      <w:tr w:rsidR="008A5A5D" w:rsidRPr="00C24ACA" w:rsidTr="00B73AA7">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8134C7">
            <w:pPr>
              <w:ind w:firstLineChars="350" w:firstLine="735"/>
              <w:rPr>
                <w:rFonts w:eastAsiaTheme="minorEastAsia"/>
                <w:color w:val="000000"/>
                <w:szCs w:val="21"/>
              </w:rPr>
            </w:pPr>
            <w:r w:rsidRPr="00C24ACA">
              <w:rPr>
                <w:rFonts w:eastAsiaTheme="minorEastAsia"/>
                <w:szCs w:val="21"/>
              </w:rPr>
              <w:t>存托凭证</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优先股</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779,950.32</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1.33</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房地产信托</w:t>
            </w:r>
            <w:r w:rsidR="007969C0" w:rsidRPr="00C24ACA">
              <w:rPr>
                <w:rFonts w:eastAsiaTheme="minorEastAsia"/>
                <w:color w:val="000000"/>
                <w:szCs w:val="21"/>
              </w:rPr>
              <w:t>凭证</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2</w:t>
            </w:r>
          </w:p>
        </w:tc>
        <w:tc>
          <w:tcPr>
            <w:tcW w:w="3420" w:type="dxa"/>
            <w:vAlign w:val="center"/>
          </w:tcPr>
          <w:p w:rsidR="00380273" w:rsidRPr="00C24ACA" w:rsidRDefault="00380273" w:rsidP="00C87473">
            <w:pPr>
              <w:ind w:leftChars="49" w:left="103"/>
              <w:rPr>
                <w:rFonts w:eastAsiaTheme="minorEastAsia"/>
                <w:color w:val="000000"/>
                <w:szCs w:val="21"/>
              </w:rPr>
            </w:pPr>
            <w:r w:rsidRPr="00C24ACA">
              <w:rPr>
                <w:rFonts w:eastAsiaTheme="minorEastAsia"/>
                <w:szCs w:val="21"/>
              </w:rPr>
              <w:t>基金投资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3</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固定收益投资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其中：债券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ind w:leftChars="50" w:left="105" w:firstLineChars="300" w:firstLine="630"/>
              <w:rPr>
                <w:rFonts w:eastAsiaTheme="minorEastAsia"/>
                <w:color w:val="000000"/>
                <w:szCs w:val="21"/>
              </w:rPr>
            </w:pPr>
            <w:r w:rsidRPr="00C24ACA">
              <w:rPr>
                <w:rFonts w:eastAsiaTheme="minorEastAsia"/>
                <w:szCs w:val="21"/>
              </w:rPr>
              <w:t>资产支持证券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4</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金融衍生品投资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其中：远期</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期权</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权证</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5</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其中：买断式回购的买入返售金融资产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6</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货币市场工具</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B73AA7">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7</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银行存款和结算备付金合计</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3,893,436.92</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6.65</w:t>
            </w:r>
          </w:p>
        </w:tc>
      </w:tr>
      <w:tr w:rsidR="00380273" w:rsidRPr="00C24ACA" w:rsidTr="00B73AA7">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8</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其他各项资产</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754,531.09</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1.29</w:t>
            </w:r>
          </w:p>
        </w:tc>
      </w:tr>
      <w:tr w:rsidR="00380273" w:rsidRPr="00C24ACA" w:rsidTr="00B73AA7">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9</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合计</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58,590,950.97</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100.00</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09" w:name="_Toc390164822"/>
      <w:bookmarkStart w:id="210" w:name="_Toc48662928"/>
      <w:r w:rsidRPr="0087359D">
        <w:rPr>
          <w:rFonts w:ascii="宋体" w:hAnsi="宋体"/>
          <w:kern w:val="0"/>
          <w:sz w:val="21"/>
          <w:szCs w:val="21"/>
        </w:rPr>
        <w:t>7.2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期末在各个国家（地区）证券市场的权益投资分布</w:t>
      </w:r>
      <w:bookmarkEnd w:id="209"/>
      <w:bookmarkEnd w:id="210"/>
    </w:p>
    <w:p w:rsidR="00E573EF" w:rsidRPr="00C24ACA" w:rsidRDefault="00E573EF" w:rsidP="00FF06C4">
      <w:pPr>
        <w:spacing w:line="360" w:lineRule="auto"/>
        <w:jc w:val="right"/>
        <w:rPr>
          <w:rFonts w:eastAsiaTheme="minorEastAsia"/>
          <w:color w:val="000000"/>
          <w:szCs w:val="21"/>
        </w:rPr>
      </w:pPr>
      <w:r w:rsidRPr="00C24ACA">
        <w:rPr>
          <w:rFonts w:eastAsiaTheme="minor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3598"/>
        <w:gridCol w:w="3684"/>
      </w:tblGrid>
      <w:tr w:rsidR="008A5A5D" w:rsidRPr="00C24ACA" w:rsidTr="00B73AA7">
        <w:trPr>
          <w:jc w:val="center"/>
        </w:trPr>
        <w:tc>
          <w:tcPr>
            <w:tcW w:w="2074"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国家（地区）</w:t>
            </w:r>
          </w:p>
        </w:tc>
        <w:tc>
          <w:tcPr>
            <w:tcW w:w="3598"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公允价值</w:t>
            </w:r>
          </w:p>
        </w:tc>
        <w:tc>
          <w:tcPr>
            <w:tcW w:w="3684"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占基金资产净值比例（％）</w:t>
            </w:r>
          </w:p>
        </w:tc>
      </w:tr>
      <w:tr w:rsidR="00BB5C1E">
        <w:trPr>
          <w:jc w:val="center"/>
        </w:trPr>
        <w:tc>
          <w:tcPr>
            <w:tcW w:w="2074" w:type="dxa"/>
            <w:vAlign w:val="center"/>
          </w:tcPr>
          <w:p w:rsidR="00BB5C1E" w:rsidRDefault="00AF434F">
            <w:pPr>
              <w:jc w:val="left"/>
            </w:pPr>
            <w:r>
              <w:rPr>
                <w:rFonts w:eastAsiaTheme="minorEastAsia"/>
                <w:color w:val="000000"/>
                <w:szCs w:val="21"/>
              </w:rPr>
              <w:t>美国</w:t>
            </w:r>
          </w:p>
        </w:tc>
        <w:tc>
          <w:tcPr>
            <w:tcW w:w="3598" w:type="dxa"/>
            <w:vAlign w:val="center"/>
          </w:tcPr>
          <w:p w:rsidR="00BB5C1E" w:rsidRDefault="00AF434F">
            <w:pPr>
              <w:jc w:val="right"/>
            </w:pPr>
            <w:r>
              <w:rPr>
                <w:rFonts w:eastAsiaTheme="minorEastAsia"/>
                <w:color w:val="000000"/>
                <w:szCs w:val="21"/>
              </w:rPr>
              <w:t>16,819,253.81</w:t>
            </w:r>
          </w:p>
        </w:tc>
        <w:tc>
          <w:tcPr>
            <w:tcW w:w="3684" w:type="dxa"/>
            <w:vAlign w:val="center"/>
          </w:tcPr>
          <w:p w:rsidR="00BB5C1E" w:rsidRDefault="00AF434F">
            <w:pPr>
              <w:jc w:val="right"/>
            </w:pPr>
            <w:r>
              <w:rPr>
                <w:rFonts w:eastAsiaTheme="minorEastAsia"/>
                <w:color w:val="000000"/>
                <w:szCs w:val="21"/>
              </w:rPr>
              <w:t>30.35</w:t>
            </w:r>
          </w:p>
        </w:tc>
      </w:tr>
      <w:tr w:rsidR="00BB5C1E">
        <w:trPr>
          <w:jc w:val="center"/>
        </w:trPr>
        <w:tc>
          <w:tcPr>
            <w:tcW w:w="2074" w:type="dxa"/>
            <w:vAlign w:val="center"/>
          </w:tcPr>
          <w:p w:rsidR="00BB5C1E" w:rsidRDefault="00AF434F">
            <w:pPr>
              <w:jc w:val="left"/>
            </w:pPr>
            <w:r>
              <w:rPr>
                <w:rFonts w:eastAsiaTheme="minorEastAsia"/>
                <w:color w:val="000000"/>
                <w:szCs w:val="21"/>
              </w:rPr>
              <w:t>法国</w:t>
            </w:r>
          </w:p>
        </w:tc>
        <w:tc>
          <w:tcPr>
            <w:tcW w:w="3598" w:type="dxa"/>
            <w:vAlign w:val="center"/>
          </w:tcPr>
          <w:p w:rsidR="00BB5C1E" w:rsidRDefault="00AF434F">
            <w:pPr>
              <w:jc w:val="right"/>
            </w:pPr>
            <w:r>
              <w:rPr>
                <w:rFonts w:eastAsiaTheme="minorEastAsia"/>
                <w:color w:val="000000"/>
                <w:szCs w:val="21"/>
              </w:rPr>
              <w:t>16,087,907.24</w:t>
            </w:r>
          </w:p>
        </w:tc>
        <w:tc>
          <w:tcPr>
            <w:tcW w:w="3684" w:type="dxa"/>
            <w:vAlign w:val="center"/>
          </w:tcPr>
          <w:p w:rsidR="00BB5C1E" w:rsidRDefault="00AF434F">
            <w:pPr>
              <w:jc w:val="right"/>
            </w:pPr>
            <w:r>
              <w:rPr>
                <w:rFonts w:eastAsiaTheme="minorEastAsia"/>
                <w:color w:val="000000"/>
                <w:szCs w:val="21"/>
              </w:rPr>
              <w:t>29.03</w:t>
            </w:r>
          </w:p>
        </w:tc>
      </w:tr>
      <w:tr w:rsidR="00BB5C1E">
        <w:trPr>
          <w:jc w:val="center"/>
        </w:trPr>
        <w:tc>
          <w:tcPr>
            <w:tcW w:w="2074" w:type="dxa"/>
            <w:vAlign w:val="center"/>
          </w:tcPr>
          <w:p w:rsidR="00BB5C1E" w:rsidRDefault="00AF434F">
            <w:pPr>
              <w:jc w:val="left"/>
            </w:pPr>
            <w:r>
              <w:rPr>
                <w:rFonts w:eastAsiaTheme="minorEastAsia"/>
                <w:color w:val="000000"/>
                <w:szCs w:val="21"/>
              </w:rPr>
              <w:t>中国香港</w:t>
            </w:r>
          </w:p>
        </w:tc>
        <w:tc>
          <w:tcPr>
            <w:tcW w:w="3598" w:type="dxa"/>
            <w:vAlign w:val="center"/>
          </w:tcPr>
          <w:p w:rsidR="00BB5C1E" w:rsidRDefault="00AF434F">
            <w:pPr>
              <w:jc w:val="right"/>
            </w:pPr>
            <w:r>
              <w:rPr>
                <w:rFonts w:eastAsiaTheme="minorEastAsia"/>
                <w:color w:val="000000"/>
                <w:szCs w:val="21"/>
              </w:rPr>
              <w:t>6,431,236.82</w:t>
            </w:r>
          </w:p>
        </w:tc>
        <w:tc>
          <w:tcPr>
            <w:tcW w:w="3684" w:type="dxa"/>
            <w:vAlign w:val="center"/>
          </w:tcPr>
          <w:p w:rsidR="00BB5C1E" w:rsidRDefault="00AF434F">
            <w:pPr>
              <w:jc w:val="right"/>
            </w:pPr>
            <w:r>
              <w:rPr>
                <w:rFonts w:eastAsiaTheme="minorEastAsia"/>
                <w:color w:val="000000"/>
                <w:szCs w:val="21"/>
              </w:rPr>
              <w:t>11.61</w:t>
            </w:r>
          </w:p>
        </w:tc>
      </w:tr>
      <w:tr w:rsidR="00BB5C1E">
        <w:trPr>
          <w:jc w:val="center"/>
        </w:trPr>
        <w:tc>
          <w:tcPr>
            <w:tcW w:w="2074" w:type="dxa"/>
            <w:vAlign w:val="center"/>
          </w:tcPr>
          <w:p w:rsidR="00BB5C1E" w:rsidRDefault="00AF434F">
            <w:pPr>
              <w:jc w:val="left"/>
            </w:pPr>
            <w:r>
              <w:rPr>
                <w:rFonts w:eastAsiaTheme="minorEastAsia"/>
                <w:color w:val="000000"/>
                <w:szCs w:val="21"/>
              </w:rPr>
              <w:t>英国</w:t>
            </w:r>
          </w:p>
        </w:tc>
        <w:tc>
          <w:tcPr>
            <w:tcW w:w="3598" w:type="dxa"/>
            <w:vAlign w:val="center"/>
          </w:tcPr>
          <w:p w:rsidR="00BB5C1E" w:rsidRDefault="00AF434F">
            <w:pPr>
              <w:jc w:val="right"/>
            </w:pPr>
            <w:r>
              <w:rPr>
                <w:rFonts w:eastAsiaTheme="minorEastAsia"/>
                <w:color w:val="000000"/>
                <w:szCs w:val="21"/>
              </w:rPr>
              <w:t>3,975,611.67</w:t>
            </w:r>
          </w:p>
        </w:tc>
        <w:tc>
          <w:tcPr>
            <w:tcW w:w="3684" w:type="dxa"/>
            <w:vAlign w:val="center"/>
          </w:tcPr>
          <w:p w:rsidR="00BB5C1E" w:rsidRDefault="00AF434F">
            <w:pPr>
              <w:jc w:val="right"/>
            </w:pPr>
            <w:r>
              <w:rPr>
                <w:rFonts w:eastAsiaTheme="minorEastAsia"/>
                <w:color w:val="000000"/>
                <w:szCs w:val="21"/>
              </w:rPr>
              <w:t>7.17</w:t>
            </w:r>
          </w:p>
        </w:tc>
      </w:tr>
      <w:tr w:rsidR="00BB5C1E">
        <w:trPr>
          <w:jc w:val="center"/>
        </w:trPr>
        <w:tc>
          <w:tcPr>
            <w:tcW w:w="2074" w:type="dxa"/>
            <w:vAlign w:val="center"/>
          </w:tcPr>
          <w:p w:rsidR="00BB5C1E" w:rsidRDefault="00AF434F">
            <w:pPr>
              <w:jc w:val="left"/>
            </w:pPr>
            <w:r>
              <w:rPr>
                <w:rFonts w:eastAsiaTheme="minorEastAsia"/>
                <w:color w:val="000000"/>
                <w:szCs w:val="21"/>
              </w:rPr>
              <w:t>日本</w:t>
            </w:r>
          </w:p>
        </w:tc>
        <w:tc>
          <w:tcPr>
            <w:tcW w:w="3598" w:type="dxa"/>
            <w:vAlign w:val="center"/>
          </w:tcPr>
          <w:p w:rsidR="00BB5C1E" w:rsidRDefault="00AF434F">
            <w:pPr>
              <w:jc w:val="right"/>
            </w:pPr>
            <w:r>
              <w:rPr>
                <w:rFonts w:eastAsiaTheme="minorEastAsia"/>
                <w:color w:val="000000"/>
                <w:szCs w:val="21"/>
              </w:rPr>
              <w:t>3,778,300.51</w:t>
            </w:r>
          </w:p>
        </w:tc>
        <w:tc>
          <w:tcPr>
            <w:tcW w:w="3684" w:type="dxa"/>
            <w:vAlign w:val="center"/>
          </w:tcPr>
          <w:p w:rsidR="00BB5C1E" w:rsidRDefault="00AF434F">
            <w:pPr>
              <w:jc w:val="right"/>
            </w:pPr>
            <w:r>
              <w:rPr>
                <w:rFonts w:eastAsiaTheme="minorEastAsia"/>
                <w:color w:val="000000"/>
                <w:szCs w:val="21"/>
              </w:rPr>
              <w:t>6.82</w:t>
            </w:r>
          </w:p>
        </w:tc>
      </w:tr>
      <w:tr w:rsidR="00BB5C1E">
        <w:trPr>
          <w:jc w:val="center"/>
        </w:trPr>
        <w:tc>
          <w:tcPr>
            <w:tcW w:w="2074" w:type="dxa"/>
            <w:vAlign w:val="center"/>
          </w:tcPr>
          <w:p w:rsidR="00BB5C1E" w:rsidRDefault="00AF434F">
            <w:pPr>
              <w:jc w:val="left"/>
            </w:pPr>
            <w:r>
              <w:rPr>
                <w:rFonts w:eastAsiaTheme="minorEastAsia"/>
                <w:color w:val="000000"/>
                <w:szCs w:val="21"/>
              </w:rPr>
              <w:t>德国</w:t>
            </w:r>
          </w:p>
        </w:tc>
        <w:tc>
          <w:tcPr>
            <w:tcW w:w="3598" w:type="dxa"/>
            <w:vAlign w:val="center"/>
          </w:tcPr>
          <w:p w:rsidR="00BB5C1E" w:rsidRDefault="00AF434F">
            <w:pPr>
              <w:jc w:val="right"/>
            </w:pPr>
            <w:r>
              <w:rPr>
                <w:rFonts w:eastAsiaTheme="minorEastAsia"/>
                <w:color w:val="000000"/>
                <w:szCs w:val="21"/>
              </w:rPr>
              <w:t>3,764,778.80</w:t>
            </w:r>
          </w:p>
        </w:tc>
        <w:tc>
          <w:tcPr>
            <w:tcW w:w="3684" w:type="dxa"/>
            <w:vAlign w:val="center"/>
          </w:tcPr>
          <w:p w:rsidR="00BB5C1E" w:rsidRDefault="00AF434F">
            <w:pPr>
              <w:jc w:val="right"/>
            </w:pPr>
            <w:r>
              <w:rPr>
                <w:rFonts w:eastAsiaTheme="minorEastAsia"/>
                <w:color w:val="000000"/>
                <w:szCs w:val="21"/>
              </w:rPr>
              <w:t>6.79</w:t>
            </w:r>
          </w:p>
        </w:tc>
      </w:tr>
      <w:tr w:rsidR="00BB5C1E">
        <w:trPr>
          <w:jc w:val="center"/>
        </w:trPr>
        <w:tc>
          <w:tcPr>
            <w:tcW w:w="2074" w:type="dxa"/>
            <w:vAlign w:val="center"/>
          </w:tcPr>
          <w:p w:rsidR="00BB5C1E" w:rsidRDefault="00AF434F">
            <w:pPr>
              <w:jc w:val="left"/>
            </w:pPr>
            <w:r>
              <w:rPr>
                <w:rFonts w:eastAsiaTheme="minorEastAsia"/>
                <w:color w:val="000000"/>
                <w:szCs w:val="21"/>
              </w:rPr>
              <w:t>意大利</w:t>
            </w:r>
          </w:p>
        </w:tc>
        <w:tc>
          <w:tcPr>
            <w:tcW w:w="3598" w:type="dxa"/>
            <w:vAlign w:val="center"/>
          </w:tcPr>
          <w:p w:rsidR="00BB5C1E" w:rsidRDefault="00AF434F">
            <w:pPr>
              <w:jc w:val="right"/>
            </w:pPr>
            <w:r>
              <w:rPr>
                <w:rFonts w:eastAsiaTheme="minorEastAsia"/>
                <w:color w:val="000000"/>
                <w:szCs w:val="21"/>
              </w:rPr>
              <w:t>2,085,286.03</w:t>
            </w:r>
          </w:p>
        </w:tc>
        <w:tc>
          <w:tcPr>
            <w:tcW w:w="3684" w:type="dxa"/>
            <w:vAlign w:val="center"/>
          </w:tcPr>
          <w:p w:rsidR="00BB5C1E" w:rsidRDefault="00AF434F">
            <w:pPr>
              <w:jc w:val="right"/>
            </w:pPr>
            <w:r>
              <w:rPr>
                <w:rFonts w:eastAsiaTheme="minorEastAsia"/>
                <w:color w:val="000000"/>
                <w:szCs w:val="21"/>
              </w:rPr>
              <w:t>3.76</w:t>
            </w:r>
          </w:p>
        </w:tc>
      </w:tr>
      <w:tr w:rsidR="00BB5C1E">
        <w:trPr>
          <w:jc w:val="center"/>
        </w:trPr>
        <w:tc>
          <w:tcPr>
            <w:tcW w:w="2074" w:type="dxa"/>
            <w:vAlign w:val="center"/>
          </w:tcPr>
          <w:p w:rsidR="00BB5C1E" w:rsidRDefault="00AF434F">
            <w:pPr>
              <w:jc w:val="left"/>
            </w:pPr>
            <w:r>
              <w:rPr>
                <w:rFonts w:eastAsiaTheme="minorEastAsia"/>
                <w:color w:val="000000"/>
                <w:szCs w:val="21"/>
              </w:rPr>
              <w:t>瑞士</w:t>
            </w:r>
          </w:p>
        </w:tc>
        <w:tc>
          <w:tcPr>
            <w:tcW w:w="3598" w:type="dxa"/>
            <w:vAlign w:val="center"/>
          </w:tcPr>
          <w:p w:rsidR="00BB5C1E" w:rsidRDefault="00AF434F">
            <w:pPr>
              <w:jc w:val="right"/>
            </w:pPr>
            <w:r>
              <w:rPr>
                <w:rFonts w:eastAsiaTheme="minorEastAsia"/>
                <w:color w:val="000000"/>
                <w:szCs w:val="21"/>
              </w:rPr>
              <w:t>690,114.53</w:t>
            </w:r>
          </w:p>
        </w:tc>
        <w:tc>
          <w:tcPr>
            <w:tcW w:w="3684" w:type="dxa"/>
            <w:vAlign w:val="center"/>
          </w:tcPr>
          <w:p w:rsidR="00BB5C1E" w:rsidRDefault="00AF434F">
            <w:pPr>
              <w:jc w:val="right"/>
            </w:pPr>
            <w:r>
              <w:rPr>
                <w:rFonts w:eastAsiaTheme="minorEastAsia"/>
                <w:color w:val="000000"/>
                <w:szCs w:val="21"/>
              </w:rPr>
              <w:t>1.25</w:t>
            </w:r>
          </w:p>
        </w:tc>
      </w:tr>
      <w:tr w:rsidR="00BB5C1E">
        <w:trPr>
          <w:jc w:val="center"/>
        </w:trPr>
        <w:tc>
          <w:tcPr>
            <w:tcW w:w="2074" w:type="dxa"/>
            <w:vAlign w:val="center"/>
          </w:tcPr>
          <w:p w:rsidR="00BB5C1E" w:rsidRDefault="00AF434F">
            <w:pPr>
              <w:jc w:val="left"/>
            </w:pPr>
            <w:r>
              <w:rPr>
                <w:rFonts w:eastAsiaTheme="minorEastAsia"/>
                <w:color w:val="000000"/>
                <w:szCs w:val="21"/>
              </w:rPr>
              <w:t>澳大利亚</w:t>
            </w:r>
          </w:p>
        </w:tc>
        <w:tc>
          <w:tcPr>
            <w:tcW w:w="3598" w:type="dxa"/>
            <w:vAlign w:val="center"/>
          </w:tcPr>
          <w:p w:rsidR="00BB5C1E" w:rsidRDefault="00AF434F">
            <w:pPr>
              <w:jc w:val="right"/>
            </w:pPr>
            <w:r>
              <w:rPr>
                <w:rFonts w:eastAsiaTheme="minorEastAsia"/>
                <w:color w:val="000000"/>
                <w:szCs w:val="21"/>
              </w:rPr>
              <w:t>310,493.55</w:t>
            </w:r>
          </w:p>
        </w:tc>
        <w:tc>
          <w:tcPr>
            <w:tcW w:w="3684" w:type="dxa"/>
            <w:vAlign w:val="center"/>
          </w:tcPr>
          <w:p w:rsidR="00BB5C1E" w:rsidRDefault="00AF434F">
            <w:pPr>
              <w:jc w:val="right"/>
            </w:pPr>
            <w:r>
              <w:rPr>
                <w:rFonts w:eastAsiaTheme="minorEastAsia"/>
                <w:color w:val="000000"/>
                <w:szCs w:val="21"/>
              </w:rPr>
              <w:t>0.56</w:t>
            </w:r>
          </w:p>
        </w:tc>
      </w:tr>
      <w:tr w:rsidR="008A5A5D" w:rsidRPr="00C24ACA" w:rsidTr="00B73AA7">
        <w:trPr>
          <w:jc w:val="center"/>
        </w:trPr>
        <w:tc>
          <w:tcPr>
            <w:tcW w:w="2074" w:type="dxa"/>
            <w:vAlign w:val="center"/>
          </w:tcPr>
          <w:p w:rsidR="008A5A5D" w:rsidRPr="00C24ACA" w:rsidRDefault="008A5A5D" w:rsidP="00AB7D15">
            <w:pPr>
              <w:pStyle w:val="ae"/>
              <w:rPr>
                <w:rFonts w:eastAsiaTheme="minorEastAsia"/>
                <w:color w:val="000000"/>
                <w:sz w:val="21"/>
                <w:szCs w:val="21"/>
              </w:rPr>
            </w:pPr>
            <w:r w:rsidRPr="00C24ACA">
              <w:rPr>
                <w:rFonts w:eastAsiaTheme="minorEastAsia"/>
                <w:sz w:val="21"/>
                <w:szCs w:val="21"/>
              </w:rPr>
              <w:t>合计</w:t>
            </w:r>
          </w:p>
        </w:tc>
        <w:tc>
          <w:tcPr>
            <w:tcW w:w="3598" w:type="dxa"/>
          </w:tcPr>
          <w:p w:rsidR="008A5A5D" w:rsidRPr="00C24ACA" w:rsidRDefault="008A5A5D" w:rsidP="004A4847">
            <w:pPr>
              <w:jc w:val="right"/>
              <w:rPr>
                <w:rFonts w:eastAsiaTheme="minorEastAsia"/>
                <w:color w:val="000000"/>
                <w:szCs w:val="21"/>
              </w:rPr>
            </w:pPr>
            <w:r w:rsidRPr="00C24ACA">
              <w:rPr>
                <w:rFonts w:eastAsiaTheme="minorEastAsia"/>
                <w:szCs w:val="21"/>
              </w:rPr>
              <w:t>53,942,982.96</w:t>
            </w:r>
          </w:p>
        </w:tc>
        <w:tc>
          <w:tcPr>
            <w:tcW w:w="3684" w:type="dxa"/>
          </w:tcPr>
          <w:p w:rsidR="008A5A5D" w:rsidRPr="00C24ACA" w:rsidRDefault="008A5A5D" w:rsidP="004A4847">
            <w:pPr>
              <w:jc w:val="right"/>
              <w:rPr>
                <w:rFonts w:eastAsiaTheme="minorEastAsia"/>
                <w:color w:val="000000"/>
                <w:szCs w:val="21"/>
              </w:rPr>
            </w:pPr>
            <w:r w:rsidRPr="00C24ACA">
              <w:rPr>
                <w:rFonts w:eastAsiaTheme="minorEastAsia"/>
                <w:szCs w:val="21"/>
              </w:rPr>
              <w:t>97.35</w:t>
            </w:r>
          </w:p>
        </w:tc>
      </w:tr>
    </w:tbl>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国家（地区）类别根据其所在的证券交易所确定。</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2.ADR</w:t>
      </w:r>
      <w:r w:rsidRPr="00C24ACA">
        <w:rPr>
          <w:rFonts w:eastAsiaTheme="minorEastAsia"/>
          <w:kern w:val="0"/>
          <w:szCs w:val="21"/>
        </w:rPr>
        <w:t>、</w:t>
      </w:r>
      <w:r w:rsidRPr="00C24ACA">
        <w:rPr>
          <w:rFonts w:eastAsiaTheme="minorEastAsia"/>
          <w:kern w:val="0"/>
          <w:szCs w:val="21"/>
        </w:rPr>
        <w:t>GDR</w:t>
      </w:r>
      <w:r w:rsidRPr="00C24ACA">
        <w:rPr>
          <w:rFonts w:eastAsiaTheme="minorEastAsia"/>
          <w:kern w:val="0"/>
          <w:szCs w:val="21"/>
        </w:rPr>
        <w:t>按照存托凭证本身挂牌的证券交易所确定。</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11" w:name="_Toc224618378"/>
      <w:bookmarkStart w:id="212" w:name="_Toc248233025"/>
      <w:bookmarkStart w:id="213" w:name="_Toc249790557"/>
      <w:bookmarkStart w:id="214" w:name="_Toc286929758"/>
      <w:bookmarkStart w:id="215" w:name="_Toc352255997"/>
      <w:bookmarkStart w:id="216" w:name="_Toc352256065"/>
      <w:bookmarkStart w:id="217" w:name="_Toc352331243"/>
      <w:bookmarkStart w:id="218" w:name="_Toc390164823"/>
      <w:bookmarkStart w:id="219" w:name="_Toc48662929"/>
      <w:r w:rsidRPr="0087359D">
        <w:rPr>
          <w:rFonts w:ascii="宋体" w:hAnsi="宋体"/>
          <w:kern w:val="0"/>
          <w:sz w:val="21"/>
          <w:szCs w:val="21"/>
        </w:rPr>
        <w:t>7.3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期末按行业分类的权益投资组合</w:t>
      </w:r>
      <w:bookmarkEnd w:id="211"/>
      <w:bookmarkEnd w:id="212"/>
      <w:bookmarkEnd w:id="213"/>
      <w:bookmarkEnd w:id="214"/>
      <w:bookmarkEnd w:id="215"/>
      <w:bookmarkEnd w:id="216"/>
      <w:bookmarkEnd w:id="217"/>
      <w:bookmarkEnd w:id="218"/>
      <w:bookmarkEnd w:id="219"/>
    </w:p>
    <w:p w:rsidR="007863A3" w:rsidRPr="00C24ACA" w:rsidRDefault="007863A3" w:rsidP="007863A3">
      <w:pPr>
        <w:autoSpaceDE w:val="0"/>
        <w:autoSpaceDN w:val="0"/>
        <w:adjustRightInd w:val="0"/>
        <w:spacing w:before="29" w:line="360" w:lineRule="auto"/>
        <w:ind w:left="15"/>
        <w:jc w:val="right"/>
        <w:rPr>
          <w:rFonts w:eastAsiaTheme="minorEastAsia"/>
          <w:color w:val="000000"/>
          <w:szCs w:val="21"/>
        </w:rPr>
      </w:pPr>
      <w:r w:rsidRPr="00C24ACA">
        <w:rPr>
          <w:rFonts w:eastAsiaTheme="minor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03"/>
        <w:gridCol w:w="3119"/>
        <w:gridCol w:w="2534"/>
      </w:tblGrid>
      <w:tr w:rsidR="007863A3" w:rsidRPr="00C24ACA" w:rsidTr="00B73AA7">
        <w:trPr>
          <w:trHeight w:val="285"/>
          <w:jc w:val="center"/>
        </w:trPr>
        <w:tc>
          <w:tcPr>
            <w:tcW w:w="3703" w:type="dxa"/>
            <w:tcMar>
              <w:top w:w="15" w:type="dxa"/>
              <w:left w:w="15" w:type="dxa"/>
              <w:bottom w:w="0" w:type="dxa"/>
              <w:right w:w="15" w:type="dxa"/>
            </w:tcMar>
            <w:vAlign w:val="center"/>
          </w:tcPr>
          <w:p w:rsidR="007863A3" w:rsidRPr="00C24ACA" w:rsidRDefault="007863A3" w:rsidP="00427BFF">
            <w:pPr>
              <w:spacing w:line="360" w:lineRule="auto"/>
              <w:jc w:val="center"/>
              <w:rPr>
                <w:rFonts w:eastAsiaTheme="minorEastAsia"/>
                <w:color w:val="000000"/>
                <w:szCs w:val="21"/>
              </w:rPr>
            </w:pPr>
            <w:r w:rsidRPr="00C24ACA">
              <w:rPr>
                <w:rFonts w:eastAsiaTheme="minorEastAsia"/>
                <w:color w:val="000000"/>
                <w:szCs w:val="21"/>
              </w:rPr>
              <w:t>行业类别</w:t>
            </w:r>
          </w:p>
        </w:tc>
        <w:tc>
          <w:tcPr>
            <w:tcW w:w="3119" w:type="dxa"/>
            <w:tcMar>
              <w:top w:w="15" w:type="dxa"/>
              <w:left w:w="15" w:type="dxa"/>
              <w:bottom w:w="0" w:type="dxa"/>
              <w:right w:w="15" w:type="dxa"/>
            </w:tcMar>
            <w:vAlign w:val="center"/>
          </w:tcPr>
          <w:p w:rsidR="007863A3" w:rsidRPr="00C24ACA" w:rsidRDefault="007863A3" w:rsidP="00427BFF">
            <w:pPr>
              <w:spacing w:line="360" w:lineRule="auto"/>
              <w:jc w:val="center"/>
              <w:rPr>
                <w:rFonts w:eastAsiaTheme="minorEastAsia"/>
                <w:color w:val="000000"/>
                <w:szCs w:val="21"/>
              </w:rPr>
            </w:pPr>
            <w:r w:rsidRPr="00C24ACA">
              <w:rPr>
                <w:rFonts w:eastAsiaTheme="minorEastAsia"/>
                <w:color w:val="000000"/>
                <w:szCs w:val="21"/>
              </w:rPr>
              <w:t>公允价值</w:t>
            </w:r>
          </w:p>
        </w:tc>
        <w:tc>
          <w:tcPr>
            <w:tcW w:w="2534" w:type="dxa"/>
            <w:tcMar>
              <w:top w:w="15" w:type="dxa"/>
              <w:left w:w="15" w:type="dxa"/>
              <w:bottom w:w="0" w:type="dxa"/>
              <w:right w:w="15" w:type="dxa"/>
            </w:tcMar>
            <w:vAlign w:val="center"/>
          </w:tcPr>
          <w:p w:rsidR="007863A3" w:rsidRPr="00C24ACA" w:rsidRDefault="007863A3" w:rsidP="00427BFF">
            <w:pPr>
              <w:spacing w:line="360" w:lineRule="auto"/>
              <w:jc w:val="center"/>
              <w:rPr>
                <w:rFonts w:eastAsiaTheme="minorEastAsia"/>
                <w:color w:val="000000"/>
                <w:szCs w:val="21"/>
              </w:rPr>
            </w:pPr>
            <w:r w:rsidRPr="00C24ACA">
              <w:rPr>
                <w:rFonts w:eastAsiaTheme="minorEastAsia"/>
                <w:color w:val="000000"/>
                <w:szCs w:val="21"/>
              </w:rPr>
              <w:t>占基金资产净值比例（％）</w:t>
            </w:r>
          </w:p>
        </w:tc>
      </w:tr>
      <w:tr w:rsidR="00BB5C1E">
        <w:trPr>
          <w:jc w:val="center"/>
        </w:trPr>
        <w:tc>
          <w:tcPr>
            <w:tcW w:w="3703" w:type="dxa"/>
            <w:vAlign w:val="center"/>
          </w:tcPr>
          <w:p w:rsidR="00BB5C1E" w:rsidRDefault="00AF434F">
            <w:pPr>
              <w:jc w:val="left"/>
            </w:pPr>
            <w:r>
              <w:rPr>
                <w:rFonts w:eastAsiaTheme="minorEastAsia"/>
                <w:szCs w:val="21"/>
              </w:rPr>
              <w:t>能源</w:t>
            </w:r>
          </w:p>
        </w:tc>
        <w:tc>
          <w:tcPr>
            <w:tcW w:w="3119" w:type="dxa"/>
            <w:vAlign w:val="center"/>
          </w:tcPr>
          <w:p w:rsidR="00BB5C1E" w:rsidRDefault="00AF434F">
            <w:pPr>
              <w:jc w:val="right"/>
            </w:pPr>
            <w:r>
              <w:rPr>
                <w:rFonts w:eastAsiaTheme="minorEastAsia"/>
                <w:szCs w:val="21"/>
              </w:rPr>
              <w:t>-</w:t>
            </w:r>
          </w:p>
        </w:tc>
        <w:tc>
          <w:tcPr>
            <w:tcW w:w="2534" w:type="dxa"/>
            <w:vAlign w:val="center"/>
          </w:tcPr>
          <w:p w:rsidR="00BB5C1E" w:rsidRDefault="00AF434F">
            <w:pPr>
              <w:jc w:val="right"/>
            </w:pPr>
            <w:r>
              <w:rPr>
                <w:rFonts w:eastAsiaTheme="minorEastAsia"/>
                <w:szCs w:val="21"/>
              </w:rPr>
              <w:t>-</w:t>
            </w:r>
          </w:p>
        </w:tc>
      </w:tr>
      <w:tr w:rsidR="00BB5C1E">
        <w:trPr>
          <w:jc w:val="center"/>
        </w:trPr>
        <w:tc>
          <w:tcPr>
            <w:tcW w:w="3703" w:type="dxa"/>
            <w:vAlign w:val="center"/>
          </w:tcPr>
          <w:p w:rsidR="00BB5C1E" w:rsidRDefault="00AF434F">
            <w:pPr>
              <w:jc w:val="left"/>
            </w:pPr>
            <w:r>
              <w:rPr>
                <w:rFonts w:eastAsiaTheme="minorEastAsia"/>
                <w:szCs w:val="21"/>
              </w:rPr>
              <w:t>材料</w:t>
            </w:r>
          </w:p>
        </w:tc>
        <w:tc>
          <w:tcPr>
            <w:tcW w:w="3119" w:type="dxa"/>
            <w:vAlign w:val="center"/>
          </w:tcPr>
          <w:p w:rsidR="00BB5C1E" w:rsidRDefault="00AF434F">
            <w:pPr>
              <w:jc w:val="right"/>
            </w:pPr>
            <w:r>
              <w:rPr>
                <w:rFonts w:eastAsiaTheme="minorEastAsia"/>
                <w:szCs w:val="21"/>
              </w:rPr>
              <w:t>-</w:t>
            </w:r>
          </w:p>
        </w:tc>
        <w:tc>
          <w:tcPr>
            <w:tcW w:w="2534" w:type="dxa"/>
            <w:vAlign w:val="center"/>
          </w:tcPr>
          <w:p w:rsidR="00BB5C1E" w:rsidRDefault="00AF434F">
            <w:pPr>
              <w:jc w:val="right"/>
            </w:pPr>
            <w:r>
              <w:rPr>
                <w:rFonts w:eastAsiaTheme="minorEastAsia"/>
                <w:szCs w:val="21"/>
              </w:rPr>
              <w:t>-</w:t>
            </w:r>
          </w:p>
        </w:tc>
      </w:tr>
      <w:tr w:rsidR="00BB5C1E">
        <w:trPr>
          <w:jc w:val="center"/>
        </w:trPr>
        <w:tc>
          <w:tcPr>
            <w:tcW w:w="3703" w:type="dxa"/>
            <w:vAlign w:val="center"/>
          </w:tcPr>
          <w:p w:rsidR="00BB5C1E" w:rsidRDefault="00AF434F">
            <w:pPr>
              <w:jc w:val="left"/>
            </w:pPr>
            <w:r>
              <w:rPr>
                <w:rFonts w:eastAsiaTheme="minorEastAsia"/>
                <w:szCs w:val="21"/>
              </w:rPr>
              <w:t>工业</w:t>
            </w:r>
          </w:p>
        </w:tc>
        <w:tc>
          <w:tcPr>
            <w:tcW w:w="3119" w:type="dxa"/>
            <w:vAlign w:val="center"/>
          </w:tcPr>
          <w:p w:rsidR="00BB5C1E" w:rsidRDefault="00AF434F">
            <w:pPr>
              <w:jc w:val="right"/>
            </w:pPr>
            <w:r>
              <w:rPr>
                <w:rFonts w:eastAsiaTheme="minorEastAsia"/>
                <w:szCs w:val="21"/>
              </w:rPr>
              <w:t>-</w:t>
            </w:r>
          </w:p>
        </w:tc>
        <w:tc>
          <w:tcPr>
            <w:tcW w:w="2534" w:type="dxa"/>
            <w:vAlign w:val="center"/>
          </w:tcPr>
          <w:p w:rsidR="00BB5C1E" w:rsidRDefault="00AF434F">
            <w:pPr>
              <w:jc w:val="right"/>
            </w:pPr>
            <w:r>
              <w:rPr>
                <w:rFonts w:eastAsiaTheme="minorEastAsia"/>
                <w:szCs w:val="21"/>
              </w:rPr>
              <w:t>-</w:t>
            </w:r>
          </w:p>
        </w:tc>
      </w:tr>
      <w:tr w:rsidR="00BB5C1E">
        <w:trPr>
          <w:jc w:val="center"/>
        </w:trPr>
        <w:tc>
          <w:tcPr>
            <w:tcW w:w="3703" w:type="dxa"/>
            <w:vAlign w:val="center"/>
          </w:tcPr>
          <w:p w:rsidR="00BB5C1E" w:rsidRDefault="00AF434F">
            <w:pPr>
              <w:jc w:val="left"/>
            </w:pPr>
            <w:r>
              <w:rPr>
                <w:rFonts w:eastAsiaTheme="minorEastAsia"/>
                <w:szCs w:val="21"/>
              </w:rPr>
              <w:t>非必需消费品</w:t>
            </w:r>
          </w:p>
        </w:tc>
        <w:tc>
          <w:tcPr>
            <w:tcW w:w="3119" w:type="dxa"/>
            <w:vAlign w:val="center"/>
          </w:tcPr>
          <w:p w:rsidR="00BB5C1E" w:rsidRDefault="00AF434F">
            <w:pPr>
              <w:jc w:val="right"/>
            </w:pPr>
            <w:r>
              <w:rPr>
                <w:rFonts w:eastAsiaTheme="minorEastAsia"/>
                <w:szCs w:val="21"/>
              </w:rPr>
              <w:t>33,038,213.41</w:t>
            </w:r>
          </w:p>
        </w:tc>
        <w:tc>
          <w:tcPr>
            <w:tcW w:w="2534" w:type="dxa"/>
            <w:vAlign w:val="center"/>
          </w:tcPr>
          <w:p w:rsidR="00BB5C1E" w:rsidRDefault="00AF434F">
            <w:pPr>
              <w:jc w:val="right"/>
            </w:pPr>
            <w:r>
              <w:rPr>
                <w:rFonts w:eastAsiaTheme="minorEastAsia"/>
                <w:szCs w:val="21"/>
              </w:rPr>
              <w:t>59.62</w:t>
            </w:r>
          </w:p>
        </w:tc>
      </w:tr>
      <w:tr w:rsidR="00BB5C1E">
        <w:trPr>
          <w:jc w:val="center"/>
        </w:trPr>
        <w:tc>
          <w:tcPr>
            <w:tcW w:w="3703" w:type="dxa"/>
            <w:vAlign w:val="center"/>
          </w:tcPr>
          <w:p w:rsidR="00BB5C1E" w:rsidRDefault="00AF434F">
            <w:pPr>
              <w:jc w:val="left"/>
            </w:pPr>
            <w:r>
              <w:rPr>
                <w:rFonts w:eastAsiaTheme="minorEastAsia"/>
                <w:szCs w:val="21"/>
              </w:rPr>
              <w:t>必需消费品</w:t>
            </w:r>
          </w:p>
        </w:tc>
        <w:tc>
          <w:tcPr>
            <w:tcW w:w="3119" w:type="dxa"/>
            <w:vAlign w:val="center"/>
          </w:tcPr>
          <w:p w:rsidR="00BB5C1E" w:rsidRDefault="00AF434F">
            <w:pPr>
              <w:jc w:val="right"/>
            </w:pPr>
            <w:r>
              <w:rPr>
                <w:rFonts w:eastAsiaTheme="minorEastAsia"/>
                <w:szCs w:val="21"/>
              </w:rPr>
              <w:t>15,530,563.58</w:t>
            </w:r>
          </w:p>
        </w:tc>
        <w:tc>
          <w:tcPr>
            <w:tcW w:w="2534" w:type="dxa"/>
            <w:vAlign w:val="center"/>
          </w:tcPr>
          <w:p w:rsidR="00BB5C1E" w:rsidRDefault="00AF434F">
            <w:pPr>
              <w:jc w:val="right"/>
            </w:pPr>
            <w:r>
              <w:rPr>
                <w:rFonts w:eastAsiaTheme="minorEastAsia"/>
                <w:szCs w:val="21"/>
              </w:rPr>
              <w:t>28.03</w:t>
            </w:r>
          </w:p>
        </w:tc>
      </w:tr>
      <w:tr w:rsidR="00BB5C1E">
        <w:trPr>
          <w:jc w:val="center"/>
        </w:trPr>
        <w:tc>
          <w:tcPr>
            <w:tcW w:w="3703" w:type="dxa"/>
            <w:vAlign w:val="center"/>
          </w:tcPr>
          <w:p w:rsidR="00BB5C1E" w:rsidRDefault="00AF434F">
            <w:pPr>
              <w:jc w:val="left"/>
            </w:pPr>
            <w:r>
              <w:rPr>
                <w:rFonts w:eastAsiaTheme="minorEastAsia"/>
                <w:szCs w:val="21"/>
              </w:rPr>
              <w:t>保健</w:t>
            </w:r>
          </w:p>
        </w:tc>
        <w:tc>
          <w:tcPr>
            <w:tcW w:w="3119" w:type="dxa"/>
            <w:vAlign w:val="center"/>
          </w:tcPr>
          <w:p w:rsidR="00BB5C1E" w:rsidRDefault="00AF434F">
            <w:pPr>
              <w:jc w:val="right"/>
            </w:pPr>
            <w:r>
              <w:rPr>
                <w:rFonts w:eastAsiaTheme="minorEastAsia"/>
                <w:szCs w:val="21"/>
              </w:rPr>
              <w:t>-</w:t>
            </w:r>
          </w:p>
        </w:tc>
        <w:tc>
          <w:tcPr>
            <w:tcW w:w="2534" w:type="dxa"/>
            <w:vAlign w:val="center"/>
          </w:tcPr>
          <w:p w:rsidR="00BB5C1E" w:rsidRDefault="00AF434F">
            <w:pPr>
              <w:jc w:val="right"/>
            </w:pPr>
            <w:r>
              <w:rPr>
                <w:rFonts w:eastAsiaTheme="minorEastAsia"/>
                <w:szCs w:val="21"/>
              </w:rPr>
              <w:t>-</w:t>
            </w:r>
          </w:p>
        </w:tc>
      </w:tr>
      <w:tr w:rsidR="00BB5C1E">
        <w:trPr>
          <w:jc w:val="center"/>
        </w:trPr>
        <w:tc>
          <w:tcPr>
            <w:tcW w:w="3703" w:type="dxa"/>
            <w:vAlign w:val="center"/>
          </w:tcPr>
          <w:p w:rsidR="00BB5C1E" w:rsidRDefault="00AF434F">
            <w:pPr>
              <w:jc w:val="left"/>
            </w:pPr>
            <w:r>
              <w:rPr>
                <w:rFonts w:eastAsiaTheme="minorEastAsia"/>
                <w:szCs w:val="21"/>
              </w:rPr>
              <w:t>金融</w:t>
            </w:r>
          </w:p>
        </w:tc>
        <w:tc>
          <w:tcPr>
            <w:tcW w:w="3119" w:type="dxa"/>
            <w:vAlign w:val="center"/>
          </w:tcPr>
          <w:p w:rsidR="00BB5C1E" w:rsidRDefault="00AF434F">
            <w:pPr>
              <w:jc w:val="right"/>
            </w:pPr>
            <w:r>
              <w:rPr>
                <w:rFonts w:eastAsiaTheme="minorEastAsia"/>
                <w:szCs w:val="21"/>
              </w:rPr>
              <w:t>-</w:t>
            </w:r>
          </w:p>
        </w:tc>
        <w:tc>
          <w:tcPr>
            <w:tcW w:w="2534" w:type="dxa"/>
            <w:vAlign w:val="center"/>
          </w:tcPr>
          <w:p w:rsidR="00BB5C1E" w:rsidRDefault="00AF434F">
            <w:pPr>
              <w:jc w:val="right"/>
            </w:pPr>
            <w:r>
              <w:rPr>
                <w:rFonts w:eastAsiaTheme="minorEastAsia"/>
                <w:szCs w:val="21"/>
              </w:rPr>
              <w:t>-</w:t>
            </w:r>
          </w:p>
        </w:tc>
      </w:tr>
      <w:tr w:rsidR="00BB5C1E">
        <w:trPr>
          <w:jc w:val="center"/>
        </w:trPr>
        <w:tc>
          <w:tcPr>
            <w:tcW w:w="3703" w:type="dxa"/>
            <w:vAlign w:val="center"/>
          </w:tcPr>
          <w:p w:rsidR="00BB5C1E" w:rsidRDefault="00AF434F">
            <w:pPr>
              <w:jc w:val="left"/>
            </w:pPr>
            <w:r>
              <w:rPr>
                <w:rFonts w:eastAsiaTheme="minorEastAsia"/>
                <w:szCs w:val="21"/>
              </w:rPr>
              <w:t>信息技术</w:t>
            </w:r>
          </w:p>
        </w:tc>
        <w:tc>
          <w:tcPr>
            <w:tcW w:w="3119" w:type="dxa"/>
            <w:vAlign w:val="center"/>
          </w:tcPr>
          <w:p w:rsidR="00BB5C1E" w:rsidRDefault="00AF434F">
            <w:pPr>
              <w:jc w:val="right"/>
            </w:pPr>
            <w:r>
              <w:rPr>
                <w:rFonts w:eastAsiaTheme="minorEastAsia"/>
                <w:szCs w:val="21"/>
              </w:rPr>
              <w:t>-</w:t>
            </w:r>
          </w:p>
        </w:tc>
        <w:tc>
          <w:tcPr>
            <w:tcW w:w="2534" w:type="dxa"/>
            <w:vAlign w:val="center"/>
          </w:tcPr>
          <w:p w:rsidR="00BB5C1E" w:rsidRDefault="00AF434F">
            <w:pPr>
              <w:jc w:val="right"/>
            </w:pPr>
            <w:r>
              <w:rPr>
                <w:rFonts w:eastAsiaTheme="minorEastAsia"/>
                <w:szCs w:val="21"/>
              </w:rPr>
              <w:t>-</w:t>
            </w:r>
          </w:p>
        </w:tc>
      </w:tr>
      <w:tr w:rsidR="00BB5C1E">
        <w:trPr>
          <w:jc w:val="center"/>
        </w:trPr>
        <w:tc>
          <w:tcPr>
            <w:tcW w:w="3703" w:type="dxa"/>
            <w:vAlign w:val="center"/>
          </w:tcPr>
          <w:p w:rsidR="00BB5C1E" w:rsidRDefault="00AF434F">
            <w:pPr>
              <w:jc w:val="left"/>
            </w:pPr>
            <w:r>
              <w:rPr>
                <w:rFonts w:eastAsiaTheme="minorEastAsia"/>
                <w:szCs w:val="21"/>
              </w:rPr>
              <w:t>电信服务</w:t>
            </w:r>
          </w:p>
        </w:tc>
        <w:tc>
          <w:tcPr>
            <w:tcW w:w="3119" w:type="dxa"/>
            <w:vAlign w:val="center"/>
          </w:tcPr>
          <w:p w:rsidR="00BB5C1E" w:rsidRDefault="00AF434F">
            <w:pPr>
              <w:jc w:val="right"/>
            </w:pPr>
            <w:r>
              <w:rPr>
                <w:rFonts w:eastAsiaTheme="minorEastAsia"/>
                <w:szCs w:val="21"/>
              </w:rPr>
              <w:t>5,374,205.97</w:t>
            </w:r>
          </w:p>
        </w:tc>
        <w:tc>
          <w:tcPr>
            <w:tcW w:w="2534" w:type="dxa"/>
            <w:vAlign w:val="center"/>
          </w:tcPr>
          <w:p w:rsidR="00BB5C1E" w:rsidRDefault="00AF434F">
            <w:pPr>
              <w:jc w:val="right"/>
            </w:pPr>
            <w:r>
              <w:rPr>
                <w:rFonts w:eastAsiaTheme="minorEastAsia"/>
                <w:szCs w:val="21"/>
              </w:rPr>
              <w:t>9.70</w:t>
            </w:r>
          </w:p>
        </w:tc>
      </w:tr>
      <w:tr w:rsidR="00BB5C1E">
        <w:trPr>
          <w:jc w:val="center"/>
        </w:trPr>
        <w:tc>
          <w:tcPr>
            <w:tcW w:w="3703" w:type="dxa"/>
            <w:vAlign w:val="center"/>
          </w:tcPr>
          <w:p w:rsidR="00BB5C1E" w:rsidRDefault="00AF434F">
            <w:pPr>
              <w:jc w:val="left"/>
            </w:pPr>
            <w:r>
              <w:rPr>
                <w:rFonts w:eastAsiaTheme="minorEastAsia"/>
                <w:szCs w:val="21"/>
              </w:rPr>
              <w:t>公用事业</w:t>
            </w:r>
          </w:p>
        </w:tc>
        <w:tc>
          <w:tcPr>
            <w:tcW w:w="3119" w:type="dxa"/>
            <w:vAlign w:val="center"/>
          </w:tcPr>
          <w:p w:rsidR="00BB5C1E" w:rsidRDefault="00AF434F">
            <w:pPr>
              <w:jc w:val="right"/>
            </w:pPr>
            <w:r>
              <w:rPr>
                <w:rFonts w:eastAsiaTheme="minorEastAsia"/>
                <w:szCs w:val="21"/>
              </w:rPr>
              <w:t>-</w:t>
            </w:r>
          </w:p>
        </w:tc>
        <w:tc>
          <w:tcPr>
            <w:tcW w:w="2534" w:type="dxa"/>
            <w:vAlign w:val="center"/>
          </w:tcPr>
          <w:p w:rsidR="00BB5C1E" w:rsidRDefault="00AF434F">
            <w:pPr>
              <w:jc w:val="right"/>
            </w:pPr>
            <w:r>
              <w:rPr>
                <w:rFonts w:eastAsiaTheme="minorEastAsia"/>
                <w:szCs w:val="21"/>
              </w:rPr>
              <w:t>-</w:t>
            </w:r>
          </w:p>
        </w:tc>
      </w:tr>
      <w:tr w:rsidR="00BB5C1E">
        <w:trPr>
          <w:jc w:val="center"/>
        </w:trPr>
        <w:tc>
          <w:tcPr>
            <w:tcW w:w="3703" w:type="dxa"/>
            <w:vAlign w:val="center"/>
          </w:tcPr>
          <w:p w:rsidR="00BB5C1E" w:rsidRDefault="00AF434F">
            <w:pPr>
              <w:jc w:val="left"/>
            </w:pPr>
            <w:r>
              <w:rPr>
                <w:rFonts w:eastAsiaTheme="minorEastAsia"/>
                <w:szCs w:val="21"/>
              </w:rPr>
              <w:t>房地产</w:t>
            </w:r>
          </w:p>
        </w:tc>
        <w:tc>
          <w:tcPr>
            <w:tcW w:w="3119" w:type="dxa"/>
            <w:vAlign w:val="center"/>
          </w:tcPr>
          <w:p w:rsidR="00BB5C1E" w:rsidRDefault="00AF434F">
            <w:pPr>
              <w:jc w:val="right"/>
            </w:pPr>
            <w:r>
              <w:rPr>
                <w:rFonts w:eastAsiaTheme="minorEastAsia"/>
                <w:szCs w:val="21"/>
              </w:rPr>
              <w:t>-</w:t>
            </w:r>
          </w:p>
        </w:tc>
        <w:tc>
          <w:tcPr>
            <w:tcW w:w="2534" w:type="dxa"/>
            <w:vAlign w:val="center"/>
          </w:tcPr>
          <w:p w:rsidR="00BB5C1E" w:rsidRDefault="00AF434F">
            <w:pPr>
              <w:jc w:val="right"/>
            </w:pPr>
            <w:r>
              <w:rPr>
                <w:rFonts w:eastAsiaTheme="minorEastAsia"/>
                <w:szCs w:val="21"/>
              </w:rPr>
              <w:t>-</w:t>
            </w:r>
          </w:p>
        </w:tc>
      </w:tr>
      <w:tr w:rsidR="007863A3" w:rsidRPr="00C24ACA" w:rsidTr="00B73AA7">
        <w:trPr>
          <w:trHeight w:val="285"/>
          <w:jc w:val="center"/>
        </w:trPr>
        <w:tc>
          <w:tcPr>
            <w:tcW w:w="3703" w:type="dxa"/>
            <w:vAlign w:val="center"/>
          </w:tcPr>
          <w:p w:rsidR="007863A3" w:rsidRPr="00C24ACA" w:rsidRDefault="007863A3" w:rsidP="00427BFF">
            <w:pPr>
              <w:pStyle w:val="ae"/>
              <w:spacing w:line="360" w:lineRule="auto"/>
              <w:rPr>
                <w:rFonts w:eastAsiaTheme="minorEastAsia"/>
                <w:color w:val="000000"/>
                <w:sz w:val="21"/>
                <w:szCs w:val="21"/>
              </w:rPr>
            </w:pPr>
            <w:r w:rsidRPr="00C24ACA">
              <w:rPr>
                <w:rFonts w:eastAsiaTheme="minorEastAsia"/>
                <w:sz w:val="21"/>
                <w:szCs w:val="21"/>
              </w:rPr>
              <w:t>合计</w:t>
            </w:r>
          </w:p>
        </w:tc>
        <w:tc>
          <w:tcPr>
            <w:tcW w:w="3119" w:type="dxa"/>
            <w:vAlign w:val="center"/>
          </w:tcPr>
          <w:p w:rsidR="007863A3" w:rsidRPr="00C24ACA" w:rsidRDefault="007863A3" w:rsidP="00F32C93">
            <w:pPr>
              <w:spacing w:line="360" w:lineRule="auto"/>
              <w:jc w:val="right"/>
              <w:rPr>
                <w:rFonts w:eastAsiaTheme="minorEastAsia"/>
                <w:szCs w:val="21"/>
              </w:rPr>
            </w:pPr>
            <w:r w:rsidRPr="00C24ACA">
              <w:rPr>
                <w:rFonts w:eastAsiaTheme="minorEastAsia"/>
                <w:szCs w:val="21"/>
              </w:rPr>
              <w:t>53,942,982.96</w:t>
            </w:r>
          </w:p>
        </w:tc>
        <w:tc>
          <w:tcPr>
            <w:tcW w:w="2534" w:type="dxa"/>
            <w:vAlign w:val="center"/>
          </w:tcPr>
          <w:p w:rsidR="007863A3" w:rsidRPr="00C24ACA" w:rsidRDefault="007863A3" w:rsidP="00F32C93">
            <w:pPr>
              <w:spacing w:line="360" w:lineRule="auto"/>
              <w:jc w:val="right"/>
              <w:rPr>
                <w:rFonts w:eastAsiaTheme="minorEastAsia"/>
                <w:szCs w:val="21"/>
              </w:rPr>
            </w:pPr>
            <w:r w:rsidRPr="00C24ACA">
              <w:rPr>
                <w:rFonts w:eastAsiaTheme="minorEastAsia"/>
                <w:szCs w:val="21"/>
              </w:rPr>
              <w:t>97.35</w:t>
            </w:r>
          </w:p>
        </w:tc>
      </w:tr>
    </w:tbl>
    <w:p w:rsidR="008A5A5D" w:rsidRPr="001412CA" w:rsidRDefault="007863A3"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注：以上分类采用全球行业分类标准（</w:t>
      </w:r>
      <w:r w:rsidRPr="001412CA">
        <w:rPr>
          <w:rFonts w:eastAsiaTheme="minorEastAsia"/>
          <w:kern w:val="0"/>
          <w:szCs w:val="21"/>
        </w:rPr>
        <w:t>GICS</w:t>
      </w:r>
      <w:r w:rsidRPr="001412CA">
        <w:rPr>
          <w:rFonts w:eastAsiaTheme="minorEastAsia"/>
          <w:kern w:val="0"/>
          <w:szCs w:val="21"/>
        </w:rPr>
        <w:t>）。</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20" w:name="_Toc352255998"/>
      <w:bookmarkStart w:id="221" w:name="_Toc352256066"/>
      <w:bookmarkStart w:id="222" w:name="_Toc352331244"/>
      <w:bookmarkStart w:id="223" w:name="_Toc390164824"/>
      <w:bookmarkStart w:id="224" w:name="_Toc48662930"/>
      <w:r w:rsidRPr="0087359D">
        <w:rPr>
          <w:rFonts w:ascii="宋体" w:hAnsi="宋体"/>
          <w:kern w:val="0"/>
          <w:sz w:val="21"/>
          <w:szCs w:val="21"/>
        </w:rPr>
        <w:t>7.4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期末按公允价值占基金资产净值比例大小排序的所有权益投资明细</w:t>
      </w:r>
      <w:bookmarkEnd w:id="220"/>
      <w:bookmarkEnd w:id="221"/>
      <w:bookmarkEnd w:id="222"/>
      <w:bookmarkEnd w:id="223"/>
      <w:bookmarkEnd w:id="224"/>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71"/>
        <w:gridCol w:w="905"/>
        <w:gridCol w:w="1015"/>
        <w:gridCol w:w="1184"/>
        <w:gridCol w:w="847"/>
        <w:gridCol w:w="1025"/>
        <w:gridCol w:w="1015"/>
        <w:gridCol w:w="1690"/>
        <w:gridCol w:w="997"/>
      </w:tblGrid>
      <w:tr w:rsidR="008A5A5D" w:rsidRPr="00C24ACA" w:rsidTr="00B73AA7">
        <w:trPr>
          <w:trHeight w:val="315"/>
          <w:jc w:val="center"/>
        </w:trPr>
        <w:tc>
          <w:tcPr>
            <w:tcW w:w="771"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90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公司名称</w:t>
            </w:r>
            <w:r w:rsidRPr="00C24ACA">
              <w:rPr>
                <w:rFonts w:eastAsiaTheme="minorEastAsia"/>
                <w:color w:val="000000"/>
                <w:szCs w:val="21"/>
              </w:rPr>
              <w:t xml:space="preserve"> (</w:t>
            </w:r>
            <w:r w:rsidRPr="00C24ACA">
              <w:rPr>
                <w:rFonts w:eastAsiaTheme="minorEastAsia"/>
                <w:color w:val="000000"/>
                <w:szCs w:val="21"/>
              </w:rPr>
              <w:t>英文</w:t>
            </w:r>
            <w:r w:rsidRPr="00C24ACA">
              <w:rPr>
                <w:rFonts w:eastAsiaTheme="minorEastAsia"/>
                <w:color w:val="000000"/>
                <w:szCs w:val="21"/>
              </w:rPr>
              <w:t>)</w:t>
            </w:r>
          </w:p>
        </w:tc>
        <w:tc>
          <w:tcPr>
            <w:tcW w:w="101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公司名称</w:t>
            </w:r>
            <w:r w:rsidRPr="00C24ACA">
              <w:rPr>
                <w:rFonts w:eastAsiaTheme="minorEastAsia"/>
                <w:color w:val="000000"/>
                <w:szCs w:val="21"/>
              </w:rPr>
              <w:t>(</w:t>
            </w:r>
            <w:r w:rsidRPr="00C24ACA">
              <w:rPr>
                <w:rFonts w:eastAsiaTheme="minorEastAsia"/>
                <w:color w:val="000000"/>
                <w:szCs w:val="21"/>
              </w:rPr>
              <w:t>中文</w:t>
            </w:r>
            <w:r w:rsidRPr="00C24ACA">
              <w:rPr>
                <w:rFonts w:eastAsiaTheme="minorEastAsia"/>
                <w:color w:val="000000"/>
                <w:szCs w:val="21"/>
              </w:rPr>
              <w:t>)</w:t>
            </w:r>
          </w:p>
        </w:tc>
        <w:tc>
          <w:tcPr>
            <w:tcW w:w="1184"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证券代码</w:t>
            </w:r>
          </w:p>
        </w:tc>
        <w:tc>
          <w:tcPr>
            <w:tcW w:w="847"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所在证券市场</w:t>
            </w:r>
          </w:p>
        </w:tc>
        <w:tc>
          <w:tcPr>
            <w:tcW w:w="102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所属国家</w:t>
            </w:r>
            <w:r w:rsidRPr="00C24ACA">
              <w:rPr>
                <w:rFonts w:eastAsiaTheme="minorEastAsia"/>
                <w:color w:val="000000"/>
                <w:szCs w:val="21"/>
              </w:rPr>
              <w:t>(</w:t>
            </w:r>
            <w:r w:rsidRPr="00C24ACA">
              <w:rPr>
                <w:rFonts w:eastAsiaTheme="minorEastAsia"/>
                <w:color w:val="000000"/>
                <w:szCs w:val="21"/>
              </w:rPr>
              <w:t>地区</w:t>
            </w:r>
            <w:r w:rsidRPr="00C24ACA">
              <w:rPr>
                <w:rFonts w:eastAsiaTheme="minorEastAsia"/>
                <w:color w:val="000000"/>
                <w:szCs w:val="21"/>
              </w:rPr>
              <w:t>)</w:t>
            </w:r>
          </w:p>
        </w:tc>
        <w:tc>
          <w:tcPr>
            <w:tcW w:w="101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数量（股）</w:t>
            </w:r>
          </w:p>
        </w:tc>
        <w:tc>
          <w:tcPr>
            <w:tcW w:w="1690"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公允价值</w:t>
            </w:r>
          </w:p>
        </w:tc>
        <w:tc>
          <w:tcPr>
            <w:tcW w:w="997"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占基金资产净值比例（％）</w:t>
            </w:r>
          </w:p>
        </w:tc>
      </w:tr>
      <w:tr w:rsidR="00BB5C1E">
        <w:trPr>
          <w:jc w:val="center"/>
        </w:trPr>
        <w:tc>
          <w:tcPr>
            <w:tcW w:w="771" w:type="dxa"/>
            <w:vAlign w:val="center"/>
          </w:tcPr>
          <w:p w:rsidR="00BB5C1E" w:rsidRDefault="00AF434F">
            <w:pPr>
              <w:jc w:val="center"/>
            </w:pPr>
            <w:r>
              <w:rPr>
                <w:rFonts w:eastAsiaTheme="minorEastAsia"/>
                <w:color w:val="000000"/>
                <w:szCs w:val="21"/>
              </w:rPr>
              <w:t>1</w:t>
            </w:r>
          </w:p>
        </w:tc>
        <w:tc>
          <w:tcPr>
            <w:tcW w:w="905" w:type="dxa"/>
            <w:vAlign w:val="center"/>
          </w:tcPr>
          <w:p w:rsidR="00BB5C1E" w:rsidRDefault="00AF434F">
            <w:pPr>
              <w:jc w:val="center"/>
            </w:pPr>
            <w:r>
              <w:rPr>
                <w:rFonts w:eastAsiaTheme="minorEastAsia"/>
                <w:color w:val="000000"/>
                <w:szCs w:val="21"/>
              </w:rPr>
              <w:t>Tencent Holdings Ltd</w:t>
            </w:r>
          </w:p>
        </w:tc>
        <w:tc>
          <w:tcPr>
            <w:tcW w:w="1015" w:type="dxa"/>
            <w:vAlign w:val="center"/>
          </w:tcPr>
          <w:p w:rsidR="00BB5C1E" w:rsidRDefault="00AF434F">
            <w:pPr>
              <w:jc w:val="center"/>
            </w:pPr>
            <w:r>
              <w:rPr>
                <w:rFonts w:eastAsiaTheme="minorEastAsia"/>
                <w:color w:val="000000"/>
                <w:szCs w:val="21"/>
              </w:rPr>
              <w:t>腾讯控股有限公司</w:t>
            </w:r>
          </w:p>
        </w:tc>
        <w:tc>
          <w:tcPr>
            <w:tcW w:w="1184" w:type="dxa"/>
            <w:vAlign w:val="center"/>
          </w:tcPr>
          <w:p w:rsidR="00BB5C1E" w:rsidRDefault="00AF434F">
            <w:pPr>
              <w:jc w:val="center"/>
            </w:pPr>
            <w:r>
              <w:rPr>
                <w:rFonts w:eastAsiaTheme="minorEastAsia"/>
                <w:color w:val="000000"/>
                <w:szCs w:val="21"/>
              </w:rPr>
              <w:t>700 HK</w:t>
            </w:r>
          </w:p>
        </w:tc>
        <w:tc>
          <w:tcPr>
            <w:tcW w:w="847" w:type="dxa"/>
            <w:vAlign w:val="center"/>
          </w:tcPr>
          <w:p w:rsidR="00BB5C1E" w:rsidRDefault="00AF434F">
            <w:pPr>
              <w:jc w:val="center"/>
            </w:pPr>
            <w:r>
              <w:rPr>
                <w:rFonts w:eastAsiaTheme="minorEastAsia"/>
                <w:color w:val="000000"/>
                <w:szCs w:val="21"/>
              </w:rPr>
              <w:t>香港证券交易所</w:t>
            </w:r>
          </w:p>
        </w:tc>
        <w:tc>
          <w:tcPr>
            <w:tcW w:w="1025" w:type="dxa"/>
            <w:vAlign w:val="center"/>
          </w:tcPr>
          <w:p w:rsidR="00BB5C1E" w:rsidRDefault="00AF434F">
            <w:pPr>
              <w:jc w:val="center"/>
            </w:pPr>
            <w:r>
              <w:rPr>
                <w:rFonts w:eastAsiaTheme="minorEastAsia"/>
                <w:color w:val="000000"/>
                <w:szCs w:val="21"/>
              </w:rPr>
              <w:t>中国香港</w:t>
            </w:r>
          </w:p>
        </w:tc>
        <w:tc>
          <w:tcPr>
            <w:tcW w:w="1015" w:type="dxa"/>
            <w:vAlign w:val="center"/>
          </w:tcPr>
          <w:p w:rsidR="00BB5C1E" w:rsidRDefault="00AF434F">
            <w:pPr>
              <w:jc w:val="right"/>
            </w:pPr>
            <w:r>
              <w:rPr>
                <w:rFonts w:eastAsiaTheme="minorEastAsia"/>
                <w:color w:val="000000"/>
                <w:szCs w:val="21"/>
              </w:rPr>
              <w:t>11,800</w:t>
            </w:r>
          </w:p>
        </w:tc>
        <w:tc>
          <w:tcPr>
            <w:tcW w:w="1690" w:type="dxa"/>
            <w:vAlign w:val="center"/>
          </w:tcPr>
          <w:p w:rsidR="00BB5C1E" w:rsidRDefault="00AF434F">
            <w:pPr>
              <w:jc w:val="right"/>
            </w:pPr>
            <w:r>
              <w:rPr>
                <w:rFonts w:eastAsiaTheme="minorEastAsia"/>
                <w:color w:val="000000"/>
                <w:szCs w:val="21"/>
              </w:rPr>
              <w:t>5,374,205.97</w:t>
            </w:r>
          </w:p>
        </w:tc>
        <w:tc>
          <w:tcPr>
            <w:tcW w:w="997" w:type="dxa"/>
            <w:vAlign w:val="center"/>
          </w:tcPr>
          <w:p w:rsidR="00BB5C1E" w:rsidRDefault="00AF434F">
            <w:pPr>
              <w:jc w:val="right"/>
            </w:pPr>
            <w:r>
              <w:rPr>
                <w:rFonts w:eastAsiaTheme="minorEastAsia"/>
                <w:color w:val="000000"/>
                <w:szCs w:val="21"/>
              </w:rPr>
              <w:t>9.70</w:t>
            </w:r>
          </w:p>
        </w:tc>
      </w:tr>
      <w:tr w:rsidR="00BB5C1E">
        <w:trPr>
          <w:jc w:val="center"/>
        </w:trPr>
        <w:tc>
          <w:tcPr>
            <w:tcW w:w="771" w:type="dxa"/>
            <w:vAlign w:val="center"/>
          </w:tcPr>
          <w:p w:rsidR="00BB5C1E" w:rsidRDefault="00AF434F">
            <w:pPr>
              <w:jc w:val="center"/>
            </w:pPr>
            <w:r>
              <w:rPr>
                <w:rFonts w:eastAsiaTheme="minorEastAsia"/>
                <w:color w:val="000000"/>
                <w:szCs w:val="21"/>
              </w:rPr>
              <w:t>2</w:t>
            </w:r>
          </w:p>
        </w:tc>
        <w:tc>
          <w:tcPr>
            <w:tcW w:w="905" w:type="dxa"/>
            <w:vAlign w:val="center"/>
          </w:tcPr>
          <w:p w:rsidR="00BB5C1E" w:rsidRDefault="00AF434F">
            <w:pPr>
              <w:jc w:val="center"/>
            </w:pPr>
            <w:r>
              <w:rPr>
                <w:rFonts w:eastAsiaTheme="minorEastAsia"/>
                <w:color w:val="000000"/>
                <w:szCs w:val="21"/>
              </w:rPr>
              <w:t>LVMH Moet Hennessy Louis Vuitton SE</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MC FP</w:t>
            </w:r>
          </w:p>
        </w:tc>
        <w:tc>
          <w:tcPr>
            <w:tcW w:w="847" w:type="dxa"/>
            <w:vAlign w:val="center"/>
          </w:tcPr>
          <w:p w:rsidR="00BB5C1E" w:rsidRDefault="00AF434F">
            <w:pPr>
              <w:jc w:val="center"/>
            </w:pPr>
            <w:r>
              <w:rPr>
                <w:rFonts w:eastAsiaTheme="minorEastAsia"/>
                <w:color w:val="000000"/>
                <w:szCs w:val="21"/>
              </w:rPr>
              <w:t>泛欧证券交易所</w:t>
            </w:r>
          </w:p>
        </w:tc>
        <w:tc>
          <w:tcPr>
            <w:tcW w:w="1025" w:type="dxa"/>
            <w:vAlign w:val="center"/>
          </w:tcPr>
          <w:p w:rsidR="00BB5C1E" w:rsidRDefault="00AF434F">
            <w:pPr>
              <w:jc w:val="center"/>
            </w:pPr>
            <w:r>
              <w:rPr>
                <w:rFonts w:eastAsiaTheme="minorEastAsia"/>
                <w:color w:val="000000"/>
                <w:szCs w:val="21"/>
              </w:rPr>
              <w:t>法国</w:t>
            </w:r>
          </w:p>
        </w:tc>
        <w:tc>
          <w:tcPr>
            <w:tcW w:w="1015" w:type="dxa"/>
            <w:vAlign w:val="center"/>
          </w:tcPr>
          <w:p w:rsidR="00BB5C1E" w:rsidRDefault="00AF434F">
            <w:pPr>
              <w:jc w:val="right"/>
            </w:pPr>
            <w:r>
              <w:rPr>
                <w:rFonts w:eastAsiaTheme="minorEastAsia"/>
                <w:color w:val="000000"/>
                <w:szCs w:val="21"/>
              </w:rPr>
              <w:t>1,720</w:t>
            </w:r>
          </w:p>
        </w:tc>
        <w:tc>
          <w:tcPr>
            <w:tcW w:w="1690" w:type="dxa"/>
            <w:vAlign w:val="center"/>
          </w:tcPr>
          <w:p w:rsidR="00BB5C1E" w:rsidRDefault="00AF434F">
            <w:pPr>
              <w:jc w:val="right"/>
            </w:pPr>
            <w:r>
              <w:rPr>
                <w:rFonts w:eastAsiaTheme="minorEastAsia"/>
                <w:color w:val="000000"/>
                <w:szCs w:val="21"/>
              </w:rPr>
              <w:t>5,347,085.26</w:t>
            </w:r>
          </w:p>
        </w:tc>
        <w:tc>
          <w:tcPr>
            <w:tcW w:w="997" w:type="dxa"/>
            <w:vAlign w:val="center"/>
          </w:tcPr>
          <w:p w:rsidR="00BB5C1E" w:rsidRDefault="00AF434F">
            <w:pPr>
              <w:jc w:val="right"/>
            </w:pPr>
            <w:r>
              <w:rPr>
                <w:rFonts w:eastAsiaTheme="minorEastAsia"/>
                <w:color w:val="000000"/>
                <w:szCs w:val="21"/>
              </w:rPr>
              <w:t>9.65</w:t>
            </w:r>
          </w:p>
        </w:tc>
      </w:tr>
      <w:tr w:rsidR="00BB5C1E">
        <w:trPr>
          <w:jc w:val="center"/>
        </w:trPr>
        <w:tc>
          <w:tcPr>
            <w:tcW w:w="771" w:type="dxa"/>
            <w:vAlign w:val="center"/>
          </w:tcPr>
          <w:p w:rsidR="00BB5C1E" w:rsidRDefault="00AF434F">
            <w:pPr>
              <w:jc w:val="center"/>
            </w:pPr>
            <w:r>
              <w:rPr>
                <w:rFonts w:eastAsiaTheme="minorEastAsia"/>
                <w:color w:val="000000"/>
                <w:szCs w:val="21"/>
              </w:rPr>
              <w:t>3</w:t>
            </w:r>
          </w:p>
        </w:tc>
        <w:tc>
          <w:tcPr>
            <w:tcW w:w="905" w:type="dxa"/>
            <w:vAlign w:val="center"/>
          </w:tcPr>
          <w:p w:rsidR="00BB5C1E" w:rsidRDefault="00AF434F">
            <w:pPr>
              <w:jc w:val="center"/>
            </w:pPr>
            <w:r>
              <w:rPr>
                <w:rFonts w:eastAsiaTheme="minorEastAsia"/>
                <w:color w:val="000000"/>
                <w:szCs w:val="21"/>
              </w:rPr>
              <w:t>Estee Lauder Cos Inc</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EL US</w:t>
            </w:r>
          </w:p>
        </w:tc>
        <w:tc>
          <w:tcPr>
            <w:tcW w:w="847" w:type="dxa"/>
            <w:vAlign w:val="center"/>
          </w:tcPr>
          <w:p w:rsidR="00BB5C1E" w:rsidRDefault="00AF434F">
            <w:pPr>
              <w:jc w:val="center"/>
            </w:pPr>
            <w:r>
              <w:rPr>
                <w:rFonts w:eastAsiaTheme="minorEastAsia"/>
                <w:color w:val="000000"/>
                <w:szCs w:val="21"/>
              </w:rPr>
              <w:t>纽约证券交易所</w:t>
            </w:r>
          </w:p>
        </w:tc>
        <w:tc>
          <w:tcPr>
            <w:tcW w:w="1025" w:type="dxa"/>
            <w:vAlign w:val="center"/>
          </w:tcPr>
          <w:p w:rsidR="00BB5C1E" w:rsidRDefault="00AF434F">
            <w:pPr>
              <w:jc w:val="center"/>
            </w:pPr>
            <w:r>
              <w:rPr>
                <w:rFonts w:eastAsiaTheme="minorEastAsia"/>
                <w:color w:val="000000"/>
                <w:szCs w:val="21"/>
              </w:rPr>
              <w:t>美国</w:t>
            </w:r>
          </w:p>
        </w:tc>
        <w:tc>
          <w:tcPr>
            <w:tcW w:w="1015" w:type="dxa"/>
            <w:vAlign w:val="center"/>
          </w:tcPr>
          <w:p w:rsidR="00BB5C1E" w:rsidRDefault="00AF434F">
            <w:pPr>
              <w:jc w:val="right"/>
            </w:pPr>
            <w:r>
              <w:rPr>
                <w:rFonts w:eastAsiaTheme="minorEastAsia"/>
                <w:color w:val="000000"/>
                <w:szCs w:val="21"/>
              </w:rPr>
              <w:t>3,953</w:t>
            </w:r>
          </w:p>
        </w:tc>
        <w:tc>
          <w:tcPr>
            <w:tcW w:w="1690" w:type="dxa"/>
            <w:vAlign w:val="center"/>
          </w:tcPr>
          <w:p w:rsidR="00BB5C1E" w:rsidRDefault="00AF434F">
            <w:pPr>
              <w:jc w:val="right"/>
            </w:pPr>
            <w:r>
              <w:rPr>
                <w:rFonts w:eastAsiaTheme="minorEastAsia"/>
                <w:color w:val="000000"/>
                <w:szCs w:val="21"/>
              </w:rPr>
              <w:t>5,280,259.52</w:t>
            </w:r>
          </w:p>
        </w:tc>
        <w:tc>
          <w:tcPr>
            <w:tcW w:w="997" w:type="dxa"/>
            <w:vAlign w:val="center"/>
          </w:tcPr>
          <w:p w:rsidR="00BB5C1E" w:rsidRDefault="00AF434F">
            <w:pPr>
              <w:jc w:val="right"/>
            </w:pPr>
            <w:r>
              <w:rPr>
                <w:rFonts w:eastAsiaTheme="minorEastAsia"/>
                <w:color w:val="000000"/>
                <w:szCs w:val="21"/>
              </w:rPr>
              <w:t>9.53</w:t>
            </w:r>
          </w:p>
        </w:tc>
      </w:tr>
      <w:tr w:rsidR="00BB5C1E">
        <w:trPr>
          <w:jc w:val="center"/>
        </w:trPr>
        <w:tc>
          <w:tcPr>
            <w:tcW w:w="771" w:type="dxa"/>
            <w:vAlign w:val="center"/>
          </w:tcPr>
          <w:p w:rsidR="00BB5C1E" w:rsidRDefault="00AF434F">
            <w:pPr>
              <w:jc w:val="center"/>
            </w:pPr>
            <w:r>
              <w:rPr>
                <w:rFonts w:eastAsiaTheme="minorEastAsia"/>
                <w:color w:val="000000"/>
                <w:szCs w:val="21"/>
              </w:rPr>
              <w:t>4</w:t>
            </w:r>
          </w:p>
        </w:tc>
        <w:tc>
          <w:tcPr>
            <w:tcW w:w="905" w:type="dxa"/>
            <w:vAlign w:val="center"/>
          </w:tcPr>
          <w:p w:rsidR="00BB5C1E" w:rsidRDefault="00AF434F">
            <w:pPr>
              <w:jc w:val="center"/>
            </w:pPr>
            <w:r>
              <w:rPr>
                <w:rFonts w:eastAsiaTheme="minorEastAsia"/>
                <w:color w:val="000000"/>
                <w:szCs w:val="21"/>
              </w:rPr>
              <w:t>Tesla Inc</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TSLA US</w:t>
            </w:r>
          </w:p>
        </w:tc>
        <w:tc>
          <w:tcPr>
            <w:tcW w:w="847" w:type="dxa"/>
            <w:vAlign w:val="center"/>
          </w:tcPr>
          <w:p w:rsidR="00BB5C1E" w:rsidRDefault="00AF434F">
            <w:pPr>
              <w:jc w:val="center"/>
            </w:pPr>
            <w:r>
              <w:rPr>
                <w:rFonts w:eastAsiaTheme="minorEastAsia"/>
                <w:color w:val="000000"/>
                <w:szCs w:val="21"/>
              </w:rPr>
              <w:t>纳斯达克证券交易所</w:t>
            </w:r>
          </w:p>
        </w:tc>
        <w:tc>
          <w:tcPr>
            <w:tcW w:w="1025" w:type="dxa"/>
            <w:vAlign w:val="center"/>
          </w:tcPr>
          <w:p w:rsidR="00BB5C1E" w:rsidRDefault="00AF434F">
            <w:pPr>
              <w:jc w:val="center"/>
            </w:pPr>
            <w:r>
              <w:rPr>
                <w:rFonts w:eastAsiaTheme="minorEastAsia"/>
                <w:color w:val="000000"/>
                <w:szCs w:val="21"/>
              </w:rPr>
              <w:t>美国</w:t>
            </w:r>
          </w:p>
        </w:tc>
        <w:tc>
          <w:tcPr>
            <w:tcW w:w="1015" w:type="dxa"/>
            <w:vAlign w:val="center"/>
          </w:tcPr>
          <w:p w:rsidR="00BB5C1E" w:rsidRDefault="00AF434F">
            <w:pPr>
              <w:jc w:val="right"/>
            </w:pPr>
            <w:r>
              <w:rPr>
                <w:rFonts w:eastAsiaTheme="minorEastAsia"/>
                <w:color w:val="000000"/>
                <w:szCs w:val="21"/>
              </w:rPr>
              <w:t>690</w:t>
            </w:r>
          </w:p>
        </w:tc>
        <w:tc>
          <w:tcPr>
            <w:tcW w:w="1690" w:type="dxa"/>
            <w:vAlign w:val="center"/>
          </w:tcPr>
          <w:p w:rsidR="00BB5C1E" w:rsidRDefault="00AF434F">
            <w:pPr>
              <w:jc w:val="right"/>
            </w:pPr>
            <w:r>
              <w:rPr>
                <w:rFonts w:eastAsiaTheme="minorEastAsia"/>
                <w:color w:val="000000"/>
                <w:szCs w:val="21"/>
              </w:rPr>
              <w:t>5,274,715.28</w:t>
            </w:r>
          </w:p>
        </w:tc>
        <w:tc>
          <w:tcPr>
            <w:tcW w:w="997" w:type="dxa"/>
            <w:vAlign w:val="center"/>
          </w:tcPr>
          <w:p w:rsidR="00BB5C1E" w:rsidRDefault="00AF434F">
            <w:pPr>
              <w:jc w:val="right"/>
            </w:pPr>
            <w:r>
              <w:rPr>
                <w:rFonts w:eastAsiaTheme="minorEastAsia"/>
                <w:color w:val="000000"/>
                <w:szCs w:val="21"/>
              </w:rPr>
              <w:t>9.52</w:t>
            </w:r>
          </w:p>
        </w:tc>
      </w:tr>
      <w:tr w:rsidR="00BB5C1E">
        <w:trPr>
          <w:jc w:val="center"/>
        </w:trPr>
        <w:tc>
          <w:tcPr>
            <w:tcW w:w="771" w:type="dxa"/>
            <w:vAlign w:val="center"/>
          </w:tcPr>
          <w:p w:rsidR="00BB5C1E" w:rsidRDefault="00AF434F">
            <w:pPr>
              <w:jc w:val="center"/>
            </w:pPr>
            <w:r>
              <w:rPr>
                <w:rFonts w:eastAsiaTheme="minorEastAsia"/>
                <w:color w:val="000000"/>
                <w:szCs w:val="21"/>
              </w:rPr>
              <w:t>5</w:t>
            </w:r>
          </w:p>
        </w:tc>
        <w:tc>
          <w:tcPr>
            <w:tcW w:w="905" w:type="dxa"/>
            <w:vAlign w:val="center"/>
          </w:tcPr>
          <w:p w:rsidR="00BB5C1E" w:rsidRDefault="00AF434F">
            <w:pPr>
              <w:jc w:val="center"/>
            </w:pPr>
            <w:r>
              <w:rPr>
                <w:rFonts w:eastAsiaTheme="minorEastAsia"/>
                <w:color w:val="000000"/>
                <w:szCs w:val="21"/>
              </w:rPr>
              <w:t>Kering SA</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KER FP</w:t>
            </w:r>
          </w:p>
        </w:tc>
        <w:tc>
          <w:tcPr>
            <w:tcW w:w="847" w:type="dxa"/>
            <w:vAlign w:val="center"/>
          </w:tcPr>
          <w:p w:rsidR="00BB5C1E" w:rsidRDefault="00AF434F">
            <w:pPr>
              <w:jc w:val="center"/>
            </w:pPr>
            <w:r>
              <w:rPr>
                <w:rFonts w:eastAsiaTheme="minorEastAsia"/>
                <w:color w:val="000000"/>
                <w:szCs w:val="21"/>
              </w:rPr>
              <w:t>泛欧证券交易所</w:t>
            </w:r>
          </w:p>
        </w:tc>
        <w:tc>
          <w:tcPr>
            <w:tcW w:w="1025" w:type="dxa"/>
            <w:vAlign w:val="center"/>
          </w:tcPr>
          <w:p w:rsidR="00BB5C1E" w:rsidRDefault="00AF434F">
            <w:pPr>
              <w:jc w:val="center"/>
            </w:pPr>
            <w:r>
              <w:rPr>
                <w:rFonts w:eastAsiaTheme="minorEastAsia"/>
                <w:color w:val="000000"/>
                <w:szCs w:val="21"/>
              </w:rPr>
              <w:t>法国</w:t>
            </w:r>
          </w:p>
        </w:tc>
        <w:tc>
          <w:tcPr>
            <w:tcW w:w="1015" w:type="dxa"/>
            <w:vAlign w:val="center"/>
          </w:tcPr>
          <w:p w:rsidR="00BB5C1E" w:rsidRDefault="00AF434F">
            <w:pPr>
              <w:jc w:val="right"/>
            </w:pPr>
            <w:r>
              <w:rPr>
                <w:rFonts w:eastAsiaTheme="minorEastAsia"/>
                <w:color w:val="000000"/>
                <w:szCs w:val="21"/>
              </w:rPr>
              <w:t>1,154</w:t>
            </w:r>
          </w:p>
        </w:tc>
        <w:tc>
          <w:tcPr>
            <w:tcW w:w="1690" w:type="dxa"/>
            <w:vAlign w:val="center"/>
          </w:tcPr>
          <w:p w:rsidR="00BB5C1E" w:rsidRDefault="00AF434F">
            <w:pPr>
              <w:jc w:val="right"/>
            </w:pPr>
            <w:r>
              <w:rPr>
                <w:rFonts w:eastAsiaTheme="minorEastAsia"/>
                <w:color w:val="000000"/>
                <w:szCs w:val="21"/>
              </w:rPr>
              <w:t>4,448,801.84</w:t>
            </w:r>
          </w:p>
        </w:tc>
        <w:tc>
          <w:tcPr>
            <w:tcW w:w="997" w:type="dxa"/>
            <w:vAlign w:val="center"/>
          </w:tcPr>
          <w:p w:rsidR="00BB5C1E" w:rsidRDefault="00AF434F">
            <w:pPr>
              <w:jc w:val="right"/>
            </w:pPr>
            <w:r>
              <w:rPr>
                <w:rFonts w:eastAsiaTheme="minorEastAsia"/>
                <w:color w:val="000000"/>
                <w:szCs w:val="21"/>
              </w:rPr>
              <w:t>8.03</w:t>
            </w:r>
          </w:p>
        </w:tc>
      </w:tr>
      <w:tr w:rsidR="00BB5C1E">
        <w:trPr>
          <w:jc w:val="center"/>
        </w:trPr>
        <w:tc>
          <w:tcPr>
            <w:tcW w:w="771" w:type="dxa"/>
            <w:vAlign w:val="center"/>
          </w:tcPr>
          <w:p w:rsidR="00BB5C1E" w:rsidRDefault="00AF434F">
            <w:pPr>
              <w:jc w:val="center"/>
            </w:pPr>
            <w:r>
              <w:rPr>
                <w:rFonts w:eastAsiaTheme="minorEastAsia"/>
                <w:color w:val="000000"/>
                <w:szCs w:val="21"/>
              </w:rPr>
              <w:t>6</w:t>
            </w:r>
          </w:p>
        </w:tc>
        <w:tc>
          <w:tcPr>
            <w:tcW w:w="905" w:type="dxa"/>
            <w:vAlign w:val="center"/>
          </w:tcPr>
          <w:p w:rsidR="00BB5C1E" w:rsidRDefault="00AF434F">
            <w:pPr>
              <w:jc w:val="center"/>
            </w:pPr>
            <w:r>
              <w:rPr>
                <w:rFonts w:eastAsiaTheme="minorEastAsia"/>
                <w:color w:val="000000"/>
                <w:szCs w:val="21"/>
              </w:rPr>
              <w:t>NIKE Inc</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NKE US</w:t>
            </w:r>
          </w:p>
        </w:tc>
        <w:tc>
          <w:tcPr>
            <w:tcW w:w="847" w:type="dxa"/>
            <w:vAlign w:val="center"/>
          </w:tcPr>
          <w:p w:rsidR="00BB5C1E" w:rsidRDefault="00AF434F">
            <w:pPr>
              <w:jc w:val="center"/>
            </w:pPr>
            <w:r>
              <w:rPr>
                <w:rFonts w:eastAsiaTheme="minorEastAsia"/>
                <w:color w:val="000000"/>
                <w:szCs w:val="21"/>
              </w:rPr>
              <w:t>纽约证券交易所</w:t>
            </w:r>
          </w:p>
        </w:tc>
        <w:tc>
          <w:tcPr>
            <w:tcW w:w="1025" w:type="dxa"/>
            <w:vAlign w:val="center"/>
          </w:tcPr>
          <w:p w:rsidR="00BB5C1E" w:rsidRDefault="00AF434F">
            <w:pPr>
              <w:jc w:val="center"/>
            </w:pPr>
            <w:r>
              <w:rPr>
                <w:rFonts w:eastAsiaTheme="minorEastAsia"/>
                <w:color w:val="000000"/>
                <w:szCs w:val="21"/>
              </w:rPr>
              <w:t>美国</w:t>
            </w:r>
          </w:p>
        </w:tc>
        <w:tc>
          <w:tcPr>
            <w:tcW w:w="1015" w:type="dxa"/>
            <w:vAlign w:val="center"/>
          </w:tcPr>
          <w:p w:rsidR="00BB5C1E" w:rsidRDefault="00AF434F">
            <w:pPr>
              <w:jc w:val="right"/>
            </w:pPr>
            <w:r>
              <w:rPr>
                <w:rFonts w:eastAsiaTheme="minorEastAsia"/>
                <w:color w:val="000000"/>
                <w:szCs w:val="21"/>
              </w:rPr>
              <w:t>5,920</w:t>
            </w:r>
          </w:p>
        </w:tc>
        <w:tc>
          <w:tcPr>
            <w:tcW w:w="1690" w:type="dxa"/>
            <w:vAlign w:val="center"/>
          </w:tcPr>
          <w:p w:rsidR="00BB5C1E" w:rsidRDefault="00AF434F">
            <w:pPr>
              <w:jc w:val="right"/>
            </w:pPr>
            <w:r>
              <w:rPr>
                <w:rFonts w:eastAsiaTheme="minorEastAsia"/>
                <w:color w:val="000000"/>
                <w:szCs w:val="21"/>
              </w:rPr>
              <w:t>4,109,338.25</w:t>
            </w:r>
          </w:p>
        </w:tc>
        <w:tc>
          <w:tcPr>
            <w:tcW w:w="997" w:type="dxa"/>
            <w:vAlign w:val="center"/>
          </w:tcPr>
          <w:p w:rsidR="00BB5C1E" w:rsidRDefault="00AF434F">
            <w:pPr>
              <w:jc w:val="right"/>
            </w:pPr>
            <w:r>
              <w:rPr>
                <w:rFonts w:eastAsiaTheme="minorEastAsia"/>
                <w:color w:val="000000"/>
                <w:szCs w:val="21"/>
              </w:rPr>
              <w:t>7.42</w:t>
            </w:r>
          </w:p>
        </w:tc>
      </w:tr>
      <w:tr w:rsidR="00BB5C1E">
        <w:trPr>
          <w:jc w:val="center"/>
        </w:trPr>
        <w:tc>
          <w:tcPr>
            <w:tcW w:w="771" w:type="dxa"/>
            <w:vAlign w:val="center"/>
          </w:tcPr>
          <w:p w:rsidR="00BB5C1E" w:rsidRDefault="00AF434F">
            <w:pPr>
              <w:jc w:val="center"/>
            </w:pPr>
            <w:r>
              <w:rPr>
                <w:rFonts w:eastAsiaTheme="minorEastAsia"/>
                <w:color w:val="000000"/>
                <w:szCs w:val="21"/>
              </w:rPr>
              <w:t>7</w:t>
            </w:r>
          </w:p>
        </w:tc>
        <w:tc>
          <w:tcPr>
            <w:tcW w:w="905" w:type="dxa"/>
            <w:vAlign w:val="center"/>
          </w:tcPr>
          <w:p w:rsidR="00BB5C1E" w:rsidRDefault="00AF434F">
            <w:pPr>
              <w:jc w:val="center"/>
            </w:pPr>
            <w:r>
              <w:rPr>
                <w:rFonts w:eastAsiaTheme="minorEastAsia"/>
                <w:color w:val="000000"/>
                <w:szCs w:val="21"/>
              </w:rPr>
              <w:t>Shiseido Co Ltd</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4911 JP</w:t>
            </w:r>
          </w:p>
        </w:tc>
        <w:tc>
          <w:tcPr>
            <w:tcW w:w="847" w:type="dxa"/>
            <w:vAlign w:val="center"/>
          </w:tcPr>
          <w:p w:rsidR="00BB5C1E" w:rsidRDefault="00AF434F">
            <w:pPr>
              <w:jc w:val="center"/>
            </w:pPr>
            <w:r>
              <w:rPr>
                <w:rFonts w:eastAsiaTheme="minorEastAsia"/>
                <w:color w:val="000000"/>
                <w:szCs w:val="21"/>
              </w:rPr>
              <w:t>东京证券交易所</w:t>
            </w:r>
          </w:p>
        </w:tc>
        <w:tc>
          <w:tcPr>
            <w:tcW w:w="1025" w:type="dxa"/>
            <w:vAlign w:val="center"/>
          </w:tcPr>
          <w:p w:rsidR="00BB5C1E" w:rsidRDefault="00AF434F">
            <w:pPr>
              <w:jc w:val="center"/>
            </w:pPr>
            <w:r>
              <w:rPr>
                <w:rFonts w:eastAsiaTheme="minorEastAsia"/>
                <w:color w:val="000000"/>
                <w:szCs w:val="21"/>
              </w:rPr>
              <w:t>日本</w:t>
            </w:r>
          </w:p>
        </w:tc>
        <w:tc>
          <w:tcPr>
            <w:tcW w:w="1015" w:type="dxa"/>
            <w:vAlign w:val="center"/>
          </w:tcPr>
          <w:p w:rsidR="00BB5C1E" w:rsidRDefault="00AF434F">
            <w:pPr>
              <w:jc w:val="right"/>
            </w:pPr>
            <w:r>
              <w:rPr>
                <w:rFonts w:eastAsiaTheme="minorEastAsia"/>
                <w:color w:val="000000"/>
                <w:szCs w:val="21"/>
              </w:rPr>
              <w:t>8,400</w:t>
            </w:r>
          </w:p>
        </w:tc>
        <w:tc>
          <w:tcPr>
            <w:tcW w:w="1690" w:type="dxa"/>
            <w:vAlign w:val="center"/>
          </w:tcPr>
          <w:p w:rsidR="00BB5C1E" w:rsidRDefault="00AF434F">
            <w:pPr>
              <w:jc w:val="right"/>
            </w:pPr>
            <w:r>
              <w:rPr>
                <w:rFonts w:eastAsiaTheme="minorEastAsia"/>
                <w:color w:val="000000"/>
                <w:szCs w:val="21"/>
              </w:rPr>
              <w:t>3,778,300.51</w:t>
            </w:r>
          </w:p>
        </w:tc>
        <w:tc>
          <w:tcPr>
            <w:tcW w:w="997" w:type="dxa"/>
            <w:vAlign w:val="center"/>
          </w:tcPr>
          <w:p w:rsidR="00BB5C1E" w:rsidRDefault="00AF434F">
            <w:pPr>
              <w:jc w:val="right"/>
            </w:pPr>
            <w:r>
              <w:rPr>
                <w:rFonts w:eastAsiaTheme="minorEastAsia"/>
                <w:color w:val="000000"/>
                <w:szCs w:val="21"/>
              </w:rPr>
              <w:t>6.82</w:t>
            </w:r>
          </w:p>
        </w:tc>
      </w:tr>
      <w:tr w:rsidR="00BB5C1E">
        <w:trPr>
          <w:jc w:val="center"/>
        </w:trPr>
        <w:tc>
          <w:tcPr>
            <w:tcW w:w="771" w:type="dxa"/>
            <w:vAlign w:val="center"/>
          </w:tcPr>
          <w:p w:rsidR="00BB5C1E" w:rsidRDefault="00AF434F">
            <w:pPr>
              <w:jc w:val="center"/>
            </w:pPr>
            <w:r>
              <w:rPr>
                <w:rFonts w:eastAsiaTheme="minorEastAsia"/>
                <w:color w:val="000000"/>
                <w:szCs w:val="21"/>
              </w:rPr>
              <w:t>8</w:t>
            </w:r>
          </w:p>
        </w:tc>
        <w:tc>
          <w:tcPr>
            <w:tcW w:w="905" w:type="dxa"/>
            <w:vAlign w:val="center"/>
          </w:tcPr>
          <w:p w:rsidR="00BB5C1E" w:rsidRDefault="00AF434F">
            <w:pPr>
              <w:jc w:val="center"/>
            </w:pPr>
            <w:r>
              <w:rPr>
                <w:rFonts w:eastAsiaTheme="minorEastAsia"/>
                <w:color w:val="000000"/>
                <w:szCs w:val="21"/>
              </w:rPr>
              <w:t>Diageo PLC</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DGE LN</w:t>
            </w:r>
          </w:p>
        </w:tc>
        <w:tc>
          <w:tcPr>
            <w:tcW w:w="847" w:type="dxa"/>
            <w:vAlign w:val="center"/>
          </w:tcPr>
          <w:p w:rsidR="00BB5C1E" w:rsidRDefault="00AF434F">
            <w:pPr>
              <w:jc w:val="center"/>
            </w:pPr>
            <w:r>
              <w:rPr>
                <w:rFonts w:eastAsiaTheme="minorEastAsia"/>
                <w:color w:val="000000"/>
                <w:szCs w:val="21"/>
              </w:rPr>
              <w:t>伦敦证券交易所</w:t>
            </w:r>
          </w:p>
        </w:tc>
        <w:tc>
          <w:tcPr>
            <w:tcW w:w="1025" w:type="dxa"/>
            <w:vAlign w:val="center"/>
          </w:tcPr>
          <w:p w:rsidR="00BB5C1E" w:rsidRDefault="00AF434F">
            <w:pPr>
              <w:jc w:val="center"/>
            </w:pPr>
            <w:r>
              <w:rPr>
                <w:rFonts w:eastAsiaTheme="minorEastAsia"/>
                <w:color w:val="000000"/>
                <w:szCs w:val="21"/>
              </w:rPr>
              <w:t>英国</w:t>
            </w:r>
          </w:p>
        </w:tc>
        <w:tc>
          <w:tcPr>
            <w:tcW w:w="1015" w:type="dxa"/>
            <w:vAlign w:val="center"/>
          </w:tcPr>
          <w:p w:rsidR="00BB5C1E" w:rsidRDefault="00AF434F">
            <w:pPr>
              <w:jc w:val="right"/>
            </w:pPr>
            <w:r>
              <w:rPr>
                <w:rFonts w:eastAsiaTheme="minorEastAsia"/>
                <w:color w:val="000000"/>
                <w:szCs w:val="21"/>
              </w:rPr>
              <w:t>13,365</w:t>
            </w:r>
          </w:p>
        </w:tc>
        <w:tc>
          <w:tcPr>
            <w:tcW w:w="1690" w:type="dxa"/>
            <w:vAlign w:val="center"/>
          </w:tcPr>
          <w:p w:rsidR="00BB5C1E" w:rsidRDefault="00AF434F">
            <w:pPr>
              <w:jc w:val="right"/>
            </w:pPr>
            <w:r>
              <w:rPr>
                <w:rFonts w:eastAsiaTheme="minorEastAsia"/>
                <w:color w:val="000000"/>
                <w:szCs w:val="21"/>
              </w:rPr>
              <w:t>3,123,088.28</w:t>
            </w:r>
          </w:p>
        </w:tc>
        <w:tc>
          <w:tcPr>
            <w:tcW w:w="997" w:type="dxa"/>
            <w:vAlign w:val="center"/>
          </w:tcPr>
          <w:p w:rsidR="00BB5C1E" w:rsidRDefault="00AF434F">
            <w:pPr>
              <w:jc w:val="right"/>
            </w:pPr>
            <w:r>
              <w:rPr>
                <w:rFonts w:eastAsiaTheme="minorEastAsia"/>
                <w:color w:val="000000"/>
                <w:szCs w:val="21"/>
              </w:rPr>
              <w:t>5.64</w:t>
            </w:r>
          </w:p>
        </w:tc>
      </w:tr>
      <w:tr w:rsidR="00BB5C1E">
        <w:trPr>
          <w:jc w:val="center"/>
        </w:trPr>
        <w:tc>
          <w:tcPr>
            <w:tcW w:w="771" w:type="dxa"/>
            <w:vAlign w:val="center"/>
          </w:tcPr>
          <w:p w:rsidR="00BB5C1E" w:rsidRDefault="00AF434F">
            <w:pPr>
              <w:jc w:val="center"/>
            </w:pPr>
            <w:r>
              <w:rPr>
                <w:rFonts w:eastAsiaTheme="minorEastAsia"/>
                <w:color w:val="000000"/>
                <w:szCs w:val="21"/>
              </w:rPr>
              <w:t>9</w:t>
            </w:r>
          </w:p>
        </w:tc>
        <w:tc>
          <w:tcPr>
            <w:tcW w:w="905" w:type="dxa"/>
            <w:vAlign w:val="center"/>
          </w:tcPr>
          <w:p w:rsidR="00BB5C1E" w:rsidRDefault="00AF434F">
            <w:pPr>
              <w:jc w:val="center"/>
            </w:pPr>
            <w:r>
              <w:rPr>
                <w:rFonts w:eastAsiaTheme="minorEastAsia"/>
                <w:color w:val="000000"/>
                <w:szCs w:val="21"/>
              </w:rPr>
              <w:t>Hermes International</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RMS FP</w:t>
            </w:r>
          </w:p>
        </w:tc>
        <w:tc>
          <w:tcPr>
            <w:tcW w:w="847" w:type="dxa"/>
            <w:vAlign w:val="center"/>
          </w:tcPr>
          <w:p w:rsidR="00BB5C1E" w:rsidRDefault="00AF434F">
            <w:pPr>
              <w:jc w:val="center"/>
            </w:pPr>
            <w:r>
              <w:rPr>
                <w:rFonts w:eastAsiaTheme="minorEastAsia"/>
                <w:color w:val="000000"/>
                <w:szCs w:val="21"/>
              </w:rPr>
              <w:t>泛欧证券交易所</w:t>
            </w:r>
          </w:p>
        </w:tc>
        <w:tc>
          <w:tcPr>
            <w:tcW w:w="1025" w:type="dxa"/>
            <w:vAlign w:val="center"/>
          </w:tcPr>
          <w:p w:rsidR="00BB5C1E" w:rsidRDefault="00AF434F">
            <w:pPr>
              <w:jc w:val="center"/>
            </w:pPr>
            <w:r>
              <w:rPr>
                <w:rFonts w:eastAsiaTheme="minorEastAsia"/>
                <w:color w:val="000000"/>
                <w:szCs w:val="21"/>
              </w:rPr>
              <w:t>法国</w:t>
            </w:r>
          </w:p>
        </w:tc>
        <w:tc>
          <w:tcPr>
            <w:tcW w:w="1015" w:type="dxa"/>
            <w:vAlign w:val="center"/>
          </w:tcPr>
          <w:p w:rsidR="00BB5C1E" w:rsidRDefault="00AF434F">
            <w:pPr>
              <w:jc w:val="right"/>
            </w:pPr>
            <w:r>
              <w:rPr>
                <w:rFonts w:eastAsiaTheme="minorEastAsia"/>
                <w:color w:val="000000"/>
                <w:szCs w:val="21"/>
              </w:rPr>
              <w:t>439</w:t>
            </w:r>
          </w:p>
        </w:tc>
        <w:tc>
          <w:tcPr>
            <w:tcW w:w="1690" w:type="dxa"/>
            <w:vAlign w:val="center"/>
          </w:tcPr>
          <w:p w:rsidR="00BB5C1E" w:rsidRDefault="00AF434F">
            <w:pPr>
              <w:jc w:val="right"/>
            </w:pPr>
            <w:r>
              <w:rPr>
                <w:rFonts w:eastAsiaTheme="minorEastAsia"/>
                <w:color w:val="000000"/>
                <w:szCs w:val="21"/>
              </w:rPr>
              <w:t>2,599,491.00</w:t>
            </w:r>
          </w:p>
        </w:tc>
        <w:tc>
          <w:tcPr>
            <w:tcW w:w="997" w:type="dxa"/>
            <w:vAlign w:val="center"/>
          </w:tcPr>
          <w:p w:rsidR="00BB5C1E" w:rsidRDefault="00AF434F">
            <w:pPr>
              <w:jc w:val="right"/>
            </w:pPr>
            <w:r>
              <w:rPr>
                <w:rFonts w:eastAsiaTheme="minorEastAsia"/>
                <w:color w:val="000000"/>
                <w:szCs w:val="21"/>
              </w:rPr>
              <w:t>4.69</w:t>
            </w:r>
          </w:p>
        </w:tc>
      </w:tr>
      <w:tr w:rsidR="00BB5C1E">
        <w:trPr>
          <w:jc w:val="center"/>
        </w:trPr>
        <w:tc>
          <w:tcPr>
            <w:tcW w:w="771" w:type="dxa"/>
            <w:vAlign w:val="center"/>
          </w:tcPr>
          <w:p w:rsidR="00BB5C1E" w:rsidRDefault="00AF434F">
            <w:pPr>
              <w:jc w:val="center"/>
            </w:pPr>
            <w:r>
              <w:rPr>
                <w:rFonts w:eastAsiaTheme="minorEastAsia"/>
                <w:color w:val="000000"/>
                <w:szCs w:val="21"/>
              </w:rPr>
              <w:t>10</w:t>
            </w:r>
          </w:p>
        </w:tc>
        <w:tc>
          <w:tcPr>
            <w:tcW w:w="905" w:type="dxa"/>
            <w:vAlign w:val="center"/>
          </w:tcPr>
          <w:p w:rsidR="00BB5C1E" w:rsidRDefault="00AF434F">
            <w:pPr>
              <w:jc w:val="center"/>
            </w:pPr>
            <w:r>
              <w:rPr>
                <w:rFonts w:eastAsiaTheme="minorEastAsia"/>
                <w:color w:val="000000"/>
                <w:szCs w:val="21"/>
              </w:rPr>
              <w:t>Pernod-Ricard SA</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RI FP</w:t>
            </w:r>
          </w:p>
        </w:tc>
        <w:tc>
          <w:tcPr>
            <w:tcW w:w="847" w:type="dxa"/>
            <w:vAlign w:val="center"/>
          </w:tcPr>
          <w:p w:rsidR="00BB5C1E" w:rsidRDefault="00AF434F">
            <w:pPr>
              <w:jc w:val="center"/>
            </w:pPr>
            <w:r>
              <w:rPr>
                <w:rFonts w:eastAsiaTheme="minorEastAsia"/>
                <w:color w:val="000000"/>
                <w:szCs w:val="21"/>
              </w:rPr>
              <w:t>泛欧证券交易所</w:t>
            </w:r>
          </w:p>
        </w:tc>
        <w:tc>
          <w:tcPr>
            <w:tcW w:w="1025" w:type="dxa"/>
            <w:vAlign w:val="center"/>
          </w:tcPr>
          <w:p w:rsidR="00BB5C1E" w:rsidRDefault="00AF434F">
            <w:pPr>
              <w:jc w:val="center"/>
            </w:pPr>
            <w:r>
              <w:rPr>
                <w:rFonts w:eastAsiaTheme="minorEastAsia"/>
                <w:color w:val="000000"/>
                <w:szCs w:val="21"/>
              </w:rPr>
              <w:t>法国</w:t>
            </w:r>
          </w:p>
        </w:tc>
        <w:tc>
          <w:tcPr>
            <w:tcW w:w="1015" w:type="dxa"/>
            <w:vAlign w:val="center"/>
          </w:tcPr>
          <w:p w:rsidR="00BB5C1E" w:rsidRDefault="00AF434F">
            <w:pPr>
              <w:jc w:val="right"/>
            </w:pPr>
            <w:r>
              <w:rPr>
                <w:rFonts w:eastAsiaTheme="minorEastAsia"/>
                <w:color w:val="000000"/>
                <w:szCs w:val="21"/>
              </w:rPr>
              <w:t>2,058</w:t>
            </w:r>
          </w:p>
        </w:tc>
        <w:tc>
          <w:tcPr>
            <w:tcW w:w="1690" w:type="dxa"/>
            <w:vAlign w:val="center"/>
          </w:tcPr>
          <w:p w:rsidR="00BB5C1E" w:rsidRDefault="00AF434F">
            <w:pPr>
              <w:jc w:val="right"/>
            </w:pPr>
            <w:r>
              <w:rPr>
                <w:rFonts w:eastAsiaTheme="minorEastAsia"/>
                <w:color w:val="000000"/>
                <w:szCs w:val="21"/>
              </w:rPr>
              <w:t>2,294,542.51</w:t>
            </w:r>
          </w:p>
        </w:tc>
        <w:tc>
          <w:tcPr>
            <w:tcW w:w="997" w:type="dxa"/>
            <w:vAlign w:val="center"/>
          </w:tcPr>
          <w:p w:rsidR="00BB5C1E" w:rsidRDefault="00AF434F">
            <w:pPr>
              <w:jc w:val="right"/>
            </w:pPr>
            <w:r>
              <w:rPr>
                <w:rFonts w:eastAsiaTheme="minorEastAsia"/>
                <w:color w:val="000000"/>
                <w:szCs w:val="21"/>
              </w:rPr>
              <w:t>4.14</w:t>
            </w:r>
          </w:p>
        </w:tc>
      </w:tr>
      <w:tr w:rsidR="00BB5C1E">
        <w:trPr>
          <w:jc w:val="center"/>
        </w:trPr>
        <w:tc>
          <w:tcPr>
            <w:tcW w:w="771" w:type="dxa"/>
            <w:vAlign w:val="center"/>
          </w:tcPr>
          <w:p w:rsidR="00BB5C1E" w:rsidRDefault="00AF434F">
            <w:pPr>
              <w:jc w:val="center"/>
            </w:pPr>
            <w:r>
              <w:rPr>
                <w:rFonts w:eastAsiaTheme="minorEastAsia"/>
                <w:color w:val="000000"/>
                <w:szCs w:val="21"/>
              </w:rPr>
              <w:t>11</w:t>
            </w:r>
          </w:p>
        </w:tc>
        <w:tc>
          <w:tcPr>
            <w:tcW w:w="905" w:type="dxa"/>
            <w:vAlign w:val="center"/>
          </w:tcPr>
          <w:p w:rsidR="00BB5C1E" w:rsidRDefault="00AF434F">
            <w:pPr>
              <w:jc w:val="center"/>
            </w:pPr>
            <w:r>
              <w:rPr>
                <w:rFonts w:eastAsiaTheme="minorEastAsia"/>
                <w:color w:val="000000"/>
                <w:szCs w:val="21"/>
              </w:rPr>
              <w:t>Daimler AG</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DAI GR</w:t>
            </w:r>
          </w:p>
        </w:tc>
        <w:tc>
          <w:tcPr>
            <w:tcW w:w="847" w:type="dxa"/>
            <w:vAlign w:val="center"/>
          </w:tcPr>
          <w:p w:rsidR="00BB5C1E" w:rsidRDefault="00AF434F">
            <w:pPr>
              <w:jc w:val="center"/>
            </w:pPr>
            <w:r>
              <w:rPr>
                <w:rFonts w:eastAsiaTheme="minorEastAsia"/>
                <w:color w:val="000000"/>
                <w:szCs w:val="21"/>
              </w:rPr>
              <w:t>德国证券交易所</w:t>
            </w:r>
            <w:r>
              <w:rPr>
                <w:rFonts w:eastAsiaTheme="minorEastAsia"/>
                <w:color w:val="000000"/>
                <w:szCs w:val="21"/>
              </w:rPr>
              <w:t>Xetra</w:t>
            </w:r>
            <w:r>
              <w:rPr>
                <w:rFonts w:eastAsiaTheme="minorEastAsia"/>
                <w:color w:val="000000"/>
                <w:szCs w:val="21"/>
              </w:rPr>
              <w:t>交易平台</w:t>
            </w:r>
          </w:p>
        </w:tc>
        <w:tc>
          <w:tcPr>
            <w:tcW w:w="1025" w:type="dxa"/>
            <w:vAlign w:val="center"/>
          </w:tcPr>
          <w:p w:rsidR="00BB5C1E" w:rsidRDefault="00AF434F">
            <w:pPr>
              <w:jc w:val="center"/>
            </w:pPr>
            <w:r>
              <w:rPr>
                <w:rFonts w:eastAsiaTheme="minorEastAsia"/>
                <w:color w:val="000000"/>
                <w:szCs w:val="21"/>
              </w:rPr>
              <w:t>德国</w:t>
            </w:r>
          </w:p>
        </w:tc>
        <w:tc>
          <w:tcPr>
            <w:tcW w:w="1015" w:type="dxa"/>
            <w:vAlign w:val="center"/>
          </w:tcPr>
          <w:p w:rsidR="00BB5C1E" w:rsidRDefault="00AF434F">
            <w:pPr>
              <w:jc w:val="right"/>
            </w:pPr>
            <w:r>
              <w:rPr>
                <w:rFonts w:eastAsiaTheme="minorEastAsia"/>
                <w:color w:val="000000"/>
                <w:szCs w:val="21"/>
              </w:rPr>
              <w:t>6,902</w:t>
            </w:r>
          </w:p>
        </w:tc>
        <w:tc>
          <w:tcPr>
            <w:tcW w:w="1690" w:type="dxa"/>
            <w:vAlign w:val="center"/>
          </w:tcPr>
          <w:p w:rsidR="00BB5C1E" w:rsidRDefault="00AF434F">
            <w:pPr>
              <w:jc w:val="right"/>
            </w:pPr>
            <w:r>
              <w:rPr>
                <w:rFonts w:eastAsiaTheme="minorEastAsia"/>
                <w:color w:val="000000"/>
                <w:szCs w:val="21"/>
              </w:rPr>
              <w:t>1,986,052.88</w:t>
            </w:r>
          </w:p>
        </w:tc>
        <w:tc>
          <w:tcPr>
            <w:tcW w:w="997" w:type="dxa"/>
            <w:vAlign w:val="center"/>
          </w:tcPr>
          <w:p w:rsidR="00BB5C1E" w:rsidRDefault="00AF434F">
            <w:pPr>
              <w:jc w:val="right"/>
            </w:pPr>
            <w:r>
              <w:rPr>
                <w:rFonts w:eastAsiaTheme="minorEastAsia"/>
                <w:color w:val="000000"/>
                <w:szCs w:val="21"/>
              </w:rPr>
              <w:t>3.58</w:t>
            </w:r>
          </w:p>
        </w:tc>
      </w:tr>
      <w:tr w:rsidR="00BB5C1E">
        <w:trPr>
          <w:jc w:val="center"/>
        </w:trPr>
        <w:tc>
          <w:tcPr>
            <w:tcW w:w="771" w:type="dxa"/>
            <w:vAlign w:val="center"/>
          </w:tcPr>
          <w:p w:rsidR="00BB5C1E" w:rsidRDefault="00AF434F">
            <w:pPr>
              <w:jc w:val="center"/>
            </w:pPr>
            <w:r>
              <w:rPr>
                <w:rFonts w:eastAsiaTheme="minorEastAsia"/>
                <w:color w:val="000000"/>
                <w:szCs w:val="21"/>
              </w:rPr>
              <w:t>12</w:t>
            </w:r>
          </w:p>
        </w:tc>
        <w:tc>
          <w:tcPr>
            <w:tcW w:w="905" w:type="dxa"/>
            <w:vAlign w:val="center"/>
          </w:tcPr>
          <w:p w:rsidR="00BB5C1E" w:rsidRDefault="00AF434F">
            <w:pPr>
              <w:jc w:val="center"/>
            </w:pPr>
            <w:r>
              <w:rPr>
                <w:rFonts w:eastAsiaTheme="minorEastAsia"/>
                <w:color w:val="000000"/>
                <w:szCs w:val="21"/>
              </w:rPr>
              <w:t>Ferrari NV</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RACE IM</w:t>
            </w:r>
          </w:p>
        </w:tc>
        <w:tc>
          <w:tcPr>
            <w:tcW w:w="847" w:type="dxa"/>
            <w:vAlign w:val="center"/>
          </w:tcPr>
          <w:p w:rsidR="00BB5C1E" w:rsidRDefault="00AF434F">
            <w:pPr>
              <w:jc w:val="center"/>
            </w:pPr>
            <w:r>
              <w:rPr>
                <w:rFonts w:eastAsiaTheme="minorEastAsia"/>
                <w:color w:val="000000"/>
                <w:szCs w:val="21"/>
              </w:rPr>
              <w:t>意大利证券交易所</w:t>
            </w:r>
          </w:p>
        </w:tc>
        <w:tc>
          <w:tcPr>
            <w:tcW w:w="1025" w:type="dxa"/>
            <w:vAlign w:val="center"/>
          </w:tcPr>
          <w:p w:rsidR="00BB5C1E" w:rsidRDefault="00AF434F">
            <w:pPr>
              <w:jc w:val="center"/>
            </w:pPr>
            <w:r>
              <w:rPr>
                <w:rFonts w:eastAsiaTheme="minorEastAsia"/>
                <w:color w:val="000000"/>
                <w:szCs w:val="21"/>
              </w:rPr>
              <w:t>意大利</w:t>
            </w:r>
          </w:p>
        </w:tc>
        <w:tc>
          <w:tcPr>
            <w:tcW w:w="1015" w:type="dxa"/>
            <w:vAlign w:val="center"/>
          </w:tcPr>
          <w:p w:rsidR="00BB5C1E" w:rsidRDefault="00AF434F">
            <w:pPr>
              <w:jc w:val="right"/>
            </w:pPr>
            <w:r>
              <w:rPr>
                <w:rFonts w:eastAsiaTheme="minorEastAsia"/>
                <w:color w:val="000000"/>
                <w:szCs w:val="21"/>
              </w:rPr>
              <w:t>1,256</w:t>
            </w:r>
          </w:p>
        </w:tc>
        <w:tc>
          <w:tcPr>
            <w:tcW w:w="1690" w:type="dxa"/>
            <w:vAlign w:val="center"/>
          </w:tcPr>
          <w:p w:rsidR="00BB5C1E" w:rsidRDefault="00AF434F">
            <w:pPr>
              <w:jc w:val="right"/>
            </w:pPr>
            <w:r>
              <w:rPr>
                <w:rFonts w:eastAsiaTheme="minorEastAsia"/>
                <w:color w:val="000000"/>
                <w:szCs w:val="21"/>
              </w:rPr>
              <w:t>1,518,350.58</w:t>
            </w:r>
          </w:p>
        </w:tc>
        <w:tc>
          <w:tcPr>
            <w:tcW w:w="997" w:type="dxa"/>
            <w:vAlign w:val="center"/>
          </w:tcPr>
          <w:p w:rsidR="00BB5C1E" w:rsidRDefault="00AF434F">
            <w:pPr>
              <w:jc w:val="right"/>
            </w:pPr>
            <w:r>
              <w:rPr>
                <w:rFonts w:eastAsiaTheme="minorEastAsia"/>
                <w:color w:val="000000"/>
                <w:szCs w:val="21"/>
              </w:rPr>
              <w:t>2.74</w:t>
            </w:r>
          </w:p>
        </w:tc>
      </w:tr>
      <w:tr w:rsidR="00BB5C1E">
        <w:trPr>
          <w:jc w:val="center"/>
        </w:trPr>
        <w:tc>
          <w:tcPr>
            <w:tcW w:w="771" w:type="dxa"/>
            <w:vAlign w:val="center"/>
          </w:tcPr>
          <w:p w:rsidR="00BB5C1E" w:rsidRDefault="00AF434F">
            <w:pPr>
              <w:jc w:val="center"/>
            </w:pPr>
            <w:r>
              <w:rPr>
                <w:rFonts w:eastAsiaTheme="minorEastAsia"/>
                <w:color w:val="000000"/>
                <w:szCs w:val="21"/>
              </w:rPr>
              <w:t>13</w:t>
            </w:r>
          </w:p>
        </w:tc>
        <w:tc>
          <w:tcPr>
            <w:tcW w:w="905" w:type="dxa"/>
            <w:vAlign w:val="center"/>
          </w:tcPr>
          <w:p w:rsidR="00BB5C1E" w:rsidRDefault="00AF434F">
            <w:pPr>
              <w:jc w:val="center"/>
            </w:pPr>
            <w:r>
              <w:rPr>
                <w:rFonts w:eastAsiaTheme="minorEastAsia"/>
                <w:color w:val="000000"/>
                <w:szCs w:val="21"/>
              </w:rPr>
              <w:t>Christian Dior SE</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CDI FP</w:t>
            </w:r>
          </w:p>
        </w:tc>
        <w:tc>
          <w:tcPr>
            <w:tcW w:w="847" w:type="dxa"/>
            <w:vAlign w:val="center"/>
          </w:tcPr>
          <w:p w:rsidR="00BB5C1E" w:rsidRDefault="00AF434F">
            <w:pPr>
              <w:jc w:val="center"/>
            </w:pPr>
            <w:r>
              <w:rPr>
                <w:rFonts w:eastAsiaTheme="minorEastAsia"/>
                <w:color w:val="000000"/>
                <w:szCs w:val="21"/>
              </w:rPr>
              <w:t>泛欧证券交易所</w:t>
            </w:r>
          </w:p>
        </w:tc>
        <w:tc>
          <w:tcPr>
            <w:tcW w:w="1025" w:type="dxa"/>
            <w:vAlign w:val="center"/>
          </w:tcPr>
          <w:p w:rsidR="00BB5C1E" w:rsidRDefault="00AF434F">
            <w:pPr>
              <w:jc w:val="center"/>
            </w:pPr>
            <w:r>
              <w:rPr>
                <w:rFonts w:eastAsiaTheme="minorEastAsia"/>
                <w:color w:val="000000"/>
                <w:szCs w:val="21"/>
              </w:rPr>
              <w:t>法国</w:t>
            </w:r>
          </w:p>
        </w:tc>
        <w:tc>
          <w:tcPr>
            <w:tcW w:w="1015" w:type="dxa"/>
            <w:vAlign w:val="center"/>
          </w:tcPr>
          <w:p w:rsidR="00BB5C1E" w:rsidRDefault="00AF434F">
            <w:pPr>
              <w:jc w:val="right"/>
            </w:pPr>
            <w:r>
              <w:rPr>
                <w:rFonts w:eastAsiaTheme="minorEastAsia"/>
                <w:color w:val="000000"/>
                <w:szCs w:val="21"/>
              </w:rPr>
              <w:t>423</w:t>
            </w:r>
          </w:p>
        </w:tc>
        <w:tc>
          <w:tcPr>
            <w:tcW w:w="1690" w:type="dxa"/>
            <w:vAlign w:val="center"/>
          </w:tcPr>
          <w:p w:rsidR="00BB5C1E" w:rsidRDefault="00AF434F">
            <w:pPr>
              <w:jc w:val="right"/>
            </w:pPr>
            <w:r>
              <w:rPr>
                <w:rFonts w:eastAsiaTheme="minorEastAsia"/>
                <w:color w:val="000000"/>
                <w:szCs w:val="21"/>
              </w:rPr>
              <w:t>1,264,834.13</w:t>
            </w:r>
          </w:p>
        </w:tc>
        <w:tc>
          <w:tcPr>
            <w:tcW w:w="997" w:type="dxa"/>
            <w:vAlign w:val="center"/>
          </w:tcPr>
          <w:p w:rsidR="00BB5C1E" w:rsidRDefault="00AF434F">
            <w:pPr>
              <w:jc w:val="right"/>
            </w:pPr>
            <w:r>
              <w:rPr>
                <w:rFonts w:eastAsiaTheme="minorEastAsia"/>
                <w:color w:val="000000"/>
                <w:szCs w:val="21"/>
              </w:rPr>
              <w:t>2.28</w:t>
            </w:r>
          </w:p>
        </w:tc>
      </w:tr>
      <w:tr w:rsidR="00BB5C1E">
        <w:trPr>
          <w:jc w:val="center"/>
        </w:trPr>
        <w:tc>
          <w:tcPr>
            <w:tcW w:w="771" w:type="dxa"/>
            <w:vAlign w:val="center"/>
          </w:tcPr>
          <w:p w:rsidR="00BB5C1E" w:rsidRDefault="00AF434F">
            <w:pPr>
              <w:jc w:val="center"/>
            </w:pPr>
            <w:r>
              <w:rPr>
                <w:rFonts w:eastAsiaTheme="minorEastAsia"/>
                <w:color w:val="000000"/>
                <w:szCs w:val="21"/>
              </w:rPr>
              <w:t>14</w:t>
            </w:r>
          </w:p>
        </w:tc>
        <w:tc>
          <w:tcPr>
            <w:tcW w:w="905" w:type="dxa"/>
            <w:vAlign w:val="center"/>
          </w:tcPr>
          <w:p w:rsidR="00BB5C1E" w:rsidRDefault="00AF434F">
            <w:pPr>
              <w:jc w:val="center"/>
            </w:pPr>
            <w:r>
              <w:rPr>
                <w:rFonts w:eastAsiaTheme="minorEastAsia"/>
                <w:color w:val="000000"/>
                <w:szCs w:val="21"/>
              </w:rPr>
              <w:t>Bayerische Motoren Werke AG</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BMW GR</w:t>
            </w:r>
          </w:p>
        </w:tc>
        <w:tc>
          <w:tcPr>
            <w:tcW w:w="847" w:type="dxa"/>
            <w:vAlign w:val="center"/>
          </w:tcPr>
          <w:p w:rsidR="00BB5C1E" w:rsidRDefault="00AF434F">
            <w:pPr>
              <w:jc w:val="center"/>
            </w:pPr>
            <w:r>
              <w:rPr>
                <w:rFonts w:eastAsiaTheme="minorEastAsia"/>
                <w:color w:val="000000"/>
                <w:szCs w:val="21"/>
              </w:rPr>
              <w:t>德国证券交易所</w:t>
            </w:r>
            <w:r>
              <w:rPr>
                <w:rFonts w:eastAsiaTheme="minorEastAsia"/>
                <w:color w:val="000000"/>
                <w:szCs w:val="21"/>
              </w:rPr>
              <w:t>Xetra</w:t>
            </w:r>
            <w:r>
              <w:rPr>
                <w:rFonts w:eastAsiaTheme="minorEastAsia"/>
                <w:color w:val="000000"/>
                <w:szCs w:val="21"/>
              </w:rPr>
              <w:t>交易平台</w:t>
            </w:r>
          </w:p>
        </w:tc>
        <w:tc>
          <w:tcPr>
            <w:tcW w:w="1025" w:type="dxa"/>
            <w:vAlign w:val="center"/>
          </w:tcPr>
          <w:p w:rsidR="00BB5C1E" w:rsidRDefault="00AF434F">
            <w:pPr>
              <w:jc w:val="center"/>
            </w:pPr>
            <w:r>
              <w:rPr>
                <w:rFonts w:eastAsiaTheme="minorEastAsia"/>
                <w:color w:val="000000"/>
                <w:szCs w:val="21"/>
              </w:rPr>
              <w:t>德国</w:t>
            </w:r>
          </w:p>
        </w:tc>
        <w:tc>
          <w:tcPr>
            <w:tcW w:w="1015" w:type="dxa"/>
            <w:vAlign w:val="center"/>
          </w:tcPr>
          <w:p w:rsidR="00BB5C1E" w:rsidRDefault="00AF434F">
            <w:pPr>
              <w:jc w:val="right"/>
            </w:pPr>
            <w:r>
              <w:rPr>
                <w:rFonts w:eastAsiaTheme="minorEastAsia"/>
                <w:color w:val="000000"/>
                <w:szCs w:val="21"/>
              </w:rPr>
              <w:t>2,208</w:t>
            </w:r>
          </w:p>
        </w:tc>
        <w:tc>
          <w:tcPr>
            <w:tcW w:w="1690" w:type="dxa"/>
            <w:vAlign w:val="center"/>
          </w:tcPr>
          <w:p w:rsidR="00BB5C1E" w:rsidRDefault="00AF434F">
            <w:pPr>
              <w:jc w:val="right"/>
            </w:pPr>
            <w:r>
              <w:rPr>
                <w:rFonts w:eastAsiaTheme="minorEastAsia"/>
                <w:color w:val="000000"/>
                <w:szCs w:val="21"/>
              </w:rPr>
              <w:t>998,775.60</w:t>
            </w:r>
          </w:p>
        </w:tc>
        <w:tc>
          <w:tcPr>
            <w:tcW w:w="997" w:type="dxa"/>
            <w:vAlign w:val="center"/>
          </w:tcPr>
          <w:p w:rsidR="00BB5C1E" w:rsidRDefault="00AF434F">
            <w:pPr>
              <w:jc w:val="right"/>
            </w:pPr>
            <w:r>
              <w:rPr>
                <w:rFonts w:eastAsiaTheme="minorEastAsia"/>
                <w:color w:val="000000"/>
                <w:szCs w:val="21"/>
              </w:rPr>
              <w:t>1.80</w:t>
            </w:r>
          </w:p>
        </w:tc>
      </w:tr>
      <w:tr w:rsidR="00BB5C1E">
        <w:trPr>
          <w:jc w:val="center"/>
        </w:trPr>
        <w:tc>
          <w:tcPr>
            <w:tcW w:w="771" w:type="dxa"/>
            <w:vAlign w:val="center"/>
          </w:tcPr>
          <w:p w:rsidR="00BB5C1E" w:rsidRDefault="00AF434F">
            <w:pPr>
              <w:jc w:val="center"/>
            </w:pPr>
            <w:r>
              <w:rPr>
                <w:rFonts w:eastAsiaTheme="minorEastAsia"/>
                <w:color w:val="000000"/>
                <w:szCs w:val="21"/>
              </w:rPr>
              <w:t>15</w:t>
            </w:r>
          </w:p>
        </w:tc>
        <w:tc>
          <w:tcPr>
            <w:tcW w:w="905" w:type="dxa"/>
            <w:vAlign w:val="center"/>
          </w:tcPr>
          <w:p w:rsidR="00BB5C1E" w:rsidRDefault="00AF434F">
            <w:pPr>
              <w:jc w:val="center"/>
            </w:pPr>
            <w:r>
              <w:rPr>
                <w:rFonts w:eastAsiaTheme="minorEastAsia"/>
                <w:color w:val="000000"/>
                <w:szCs w:val="21"/>
              </w:rPr>
              <w:t>Porsche Automobil Holding SE</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PAH3 GR</w:t>
            </w:r>
          </w:p>
        </w:tc>
        <w:tc>
          <w:tcPr>
            <w:tcW w:w="847" w:type="dxa"/>
            <w:vAlign w:val="center"/>
          </w:tcPr>
          <w:p w:rsidR="00BB5C1E" w:rsidRDefault="00AF434F">
            <w:pPr>
              <w:jc w:val="center"/>
            </w:pPr>
            <w:r>
              <w:rPr>
                <w:rFonts w:eastAsiaTheme="minorEastAsia"/>
                <w:color w:val="000000"/>
                <w:szCs w:val="21"/>
              </w:rPr>
              <w:t>德国证券交易所</w:t>
            </w:r>
            <w:r>
              <w:rPr>
                <w:rFonts w:eastAsiaTheme="minorEastAsia"/>
                <w:color w:val="000000"/>
                <w:szCs w:val="21"/>
              </w:rPr>
              <w:t>Xetra</w:t>
            </w:r>
            <w:r>
              <w:rPr>
                <w:rFonts w:eastAsiaTheme="minorEastAsia"/>
                <w:color w:val="000000"/>
                <w:szCs w:val="21"/>
              </w:rPr>
              <w:t>交易平台</w:t>
            </w:r>
          </w:p>
        </w:tc>
        <w:tc>
          <w:tcPr>
            <w:tcW w:w="1025" w:type="dxa"/>
            <w:vAlign w:val="center"/>
          </w:tcPr>
          <w:p w:rsidR="00BB5C1E" w:rsidRDefault="00AF434F">
            <w:pPr>
              <w:jc w:val="center"/>
            </w:pPr>
            <w:r>
              <w:rPr>
                <w:rFonts w:eastAsiaTheme="minorEastAsia"/>
                <w:color w:val="000000"/>
                <w:szCs w:val="21"/>
              </w:rPr>
              <w:t>德国</w:t>
            </w:r>
          </w:p>
        </w:tc>
        <w:tc>
          <w:tcPr>
            <w:tcW w:w="1015" w:type="dxa"/>
            <w:vAlign w:val="center"/>
          </w:tcPr>
          <w:p w:rsidR="00BB5C1E" w:rsidRDefault="00AF434F">
            <w:pPr>
              <w:jc w:val="right"/>
            </w:pPr>
            <w:r>
              <w:rPr>
                <w:rFonts w:eastAsiaTheme="minorEastAsia"/>
                <w:color w:val="000000"/>
                <w:szCs w:val="21"/>
              </w:rPr>
              <w:t>1,915</w:t>
            </w:r>
          </w:p>
        </w:tc>
        <w:tc>
          <w:tcPr>
            <w:tcW w:w="1690" w:type="dxa"/>
            <w:vAlign w:val="center"/>
          </w:tcPr>
          <w:p w:rsidR="00BB5C1E" w:rsidRDefault="00AF434F">
            <w:pPr>
              <w:jc w:val="right"/>
            </w:pPr>
            <w:r>
              <w:rPr>
                <w:rFonts w:eastAsiaTheme="minorEastAsia"/>
                <w:color w:val="000000"/>
                <w:szCs w:val="21"/>
              </w:rPr>
              <w:t>779,950.32</w:t>
            </w:r>
          </w:p>
        </w:tc>
        <w:tc>
          <w:tcPr>
            <w:tcW w:w="997" w:type="dxa"/>
            <w:vAlign w:val="center"/>
          </w:tcPr>
          <w:p w:rsidR="00BB5C1E" w:rsidRDefault="00AF434F">
            <w:pPr>
              <w:jc w:val="right"/>
            </w:pPr>
            <w:r>
              <w:rPr>
                <w:rFonts w:eastAsiaTheme="minorEastAsia"/>
                <w:color w:val="000000"/>
                <w:szCs w:val="21"/>
              </w:rPr>
              <w:t>1.41</w:t>
            </w:r>
          </w:p>
        </w:tc>
      </w:tr>
      <w:tr w:rsidR="00BB5C1E">
        <w:trPr>
          <w:jc w:val="center"/>
        </w:trPr>
        <w:tc>
          <w:tcPr>
            <w:tcW w:w="771" w:type="dxa"/>
            <w:vAlign w:val="center"/>
          </w:tcPr>
          <w:p w:rsidR="00BB5C1E" w:rsidRDefault="00AF434F">
            <w:pPr>
              <w:jc w:val="center"/>
            </w:pPr>
            <w:r>
              <w:rPr>
                <w:rFonts w:eastAsiaTheme="minorEastAsia"/>
                <w:color w:val="000000"/>
                <w:szCs w:val="21"/>
              </w:rPr>
              <w:t>16</w:t>
            </w:r>
          </w:p>
        </w:tc>
        <w:tc>
          <w:tcPr>
            <w:tcW w:w="905" w:type="dxa"/>
            <w:vAlign w:val="center"/>
          </w:tcPr>
          <w:p w:rsidR="00BB5C1E" w:rsidRDefault="00AF434F">
            <w:pPr>
              <w:jc w:val="center"/>
            </w:pPr>
            <w:r>
              <w:rPr>
                <w:rFonts w:eastAsiaTheme="minorEastAsia"/>
                <w:color w:val="000000"/>
                <w:szCs w:val="21"/>
              </w:rPr>
              <w:t>Hilton Worldwide Holdings Inc</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HLT US</w:t>
            </w:r>
          </w:p>
        </w:tc>
        <w:tc>
          <w:tcPr>
            <w:tcW w:w="847" w:type="dxa"/>
            <w:vAlign w:val="center"/>
          </w:tcPr>
          <w:p w:rsidR="00BB5C1E" w:rsidRDefault="00AF434F">
            <w:pPr>
              <w:jc w:val="center"/>
            </w:pPr>
            <w:r>
              <w:rPr>
                <w:rFonts w:eastAsiaTheme="minorEastAsia"/>
                <w:color w:val="000000"/>
                <w:szCs w:val="21"/>
              </w:rPr>
              <w:t>纽约证券交易所</w:t>
            </w:r>
          </w:p>
        </w:tc>
        <w:tc>
          <w:tcPr>
            <w:tcW w:w="1025" w:type="dxa"/>
            <w:vAlign w:val="center"/>
          </w:tcPr>
          <w:p w:rsidR="00BB5C1E" w:rsidRDefault="00AF434F">
            <w:pPr>
              <w:jc w:val="center"/>
            </w:pPr>
            <w:r>
              <w:rPr>
                <w:rFonts w:eastAsiaTheme="minorEastAsia"/>
                <w:color w:val="000000"/>
                <w:szCs w:val="21"/>
              </w:rPr>
              <w:t>美国</w:t>
            </w:r>
          </w:p>
        </w:tc>
        <w:tc>
          <w:tcPr>
            <w:tcW w:w="1015" w:type="dxa"/>
            <w:vAlign w:val="center"/>
          </w:tcPr>
          <w:p w:rsidR="00BB5C1E" w:rsidRDefault="00AF434F">
            <w:pPr>
              <w:jc w:val="right"/>
            </w:pPr>
            <w:r>
              <w:rPr>
                <w:rFonts w:eastAsiaTheme="minorEastAsia"/>
                <w:color w:val="000000"/>
                <w:szCs w:val="21"/>
              </w:rPr>
              <w:t>1,410</w:t>
            </w:r>
          </w:p>
        </w:tc>
        <w:tc>
          <w:tcPr>
            <w:tcW w:w="1690" w:type="dxa"/>
            <w:vAlign w:val="center"/>
          </w:tcPr>
          <w:p w:rsidR="00BB5C1E" w:rsidRDefault="00AF434F">
            <w:pPr>
              <w:jc w:val="right"/>
            </w:pPr>
            <w:r>
              <w:rPr>
                <w:rFonts w:eastAsiaTheme="minorEastAsia"/>
                <w:color w:val="000000"/>
                <w:szCs w:val="21"/>
              </w:rPr>
              <w:t>733,184.88</w:t>
            </w:r>
          </w:p>
        </w:tc>
        <w:tc>
          <w:tcPr>
            <w:tcW w:w="997" w:type="dxa"/>
            <w:vAlign w:val="center"/>
          </w:tcPr>
          <w:p w:rsidR="00BB5C1E" w:rsidRDefault="00AF434F">
            <w:pPr>
              <w:jc w:val="right"/>
            </w:pPr>
            <w:r>
              <w:rPr>
                <w:rFonts w:eastAsiaTheme="minorEastAsia"/>
                <w:color w:val="000000"/>
                <w:szCs w:val="21"/>
              </w:rPr>
              <w:t>1.32</w:t>
            </w:r>
          </w:p>
        </w:tc>
      </w:tr>
      <w:tr w:rsidR="00BB5C1E">
        <w:trPr>
          <w:jc w:val="center"/>
        </w:trPr>
        <w:tc>
          <w:tcPr>
            <w:tcW w:w="771" w:type="dxa"/>
            <w:vAlign w:val="center"/>
          </w:tcPr>
          <w:p w:rsidR="00BB5C1E" w:rsidRDefault="00AF434F">
            <w:pPr>
              <w:jc w:val="center"/>
            </w:pPr>
            <w:r>
              <w:rPr>
                <w:rFonts w:eastAsiaTheme="minorEastAsia"/>
                <w:color w:val="000000"/>
                <w:szCs w:val="21"/>
              </w:rPr>
              <w:t>17</w:t>
            </w:r>
          </w:p>
        </w:tc>
        <w:tc>
          <w:tcPr>
            <w:tcW w:w="905" w:type="dxa"/>
            <w:vAlign w:val="center"/>
          </w:tcPr>
          <w:p w:rsidR="00BB5C1E" w:rsidRDefault="00AF434F">
            <w:pPr>
              <w:jc w:val="center"/>
            </w:pPr>
            <w:r>
              <w:rPr>
                <w:rFonts w:eastAsiaTheme="minorEastAsia"/>
                <w:color w:val="000000"/>
                <w:szCs w:val="21"/>
              </w:rPr>
              <w:t>Cie Financiere Richemont SA</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CFR SW</w:t>
            </w:r>
          </w:p>
        </w:tc>
        <w:tc>
          <w:tcPr>
            <w:tcW w:w="847" w:type="dxa"/>
            <w:vAlign w:val="center"/>
          </w:tcPr>
          <w:p w:rsidR="00BB5C1E" w:rsidRDefault="00AF434F">
            <w:pPr>
              <w:jc w:val="center"/>
            </w:pPr>
            <w:r>
              <w:rPr>
                <w:rFonts w:eastAsiaTheme="minorEastAsia"/>
                <w:color w:val="000000"/>
                <w:szCs w:val="21"/>
              </w:rPr>
              <w:t>瑞士证券交易所</w:t>
            </w:r>
          </w:p>
        </w:tc>
        <w:tc>
          <w:tcPr>
            <w:tcW w:w="1025" w:type="dxa"/>
            <w:vAlign w:val="center"/>
          </w:tcPr>
          <w:p w:rsidR="00BB5C1E" w:rsidRDefault="00AF434F">
            <w:pPr>
              <w:jc w:val="center"/>
            </w:pPr>
            <w:r>
              <w:rPr>
                <w:rFonts w:eastAsiaTheme="minorEastAsia"/>
                <w:color w:val="000000"/>
                <w:szCs w:val="21"/>
              </w:rPr>
              <w:t>瑞士</w:t>
            </w:r>
          </w:p>
        </w:tc>
        <w:tc>
          <w:tcPr>
            <w:tcW w:w="1015" w:type="dxa"/>
            <w:vAlign w:val="center"/>
          </w:tcPr>
          <w:p w:rsidR="00BB5C1E" w:rsidRDefault="00AF434F">
            <w:pPr>
              <w:jc w:val="right"/>
            </w:pPr>
            <w:r>
              <w:rPr>
                <w:rFonts w:eastAsiaTheme="minorEastAsia"/>
                <w:color w:val="000000"/>
                <w:szCs w:val="21"/>
              </w:rPr>
              <w:t>1,534</w:t>
            </w:r>
          </w:p>
        </w:tc>
        <w:tc>
          <w:tcPr>
            <w:tcW w:w="1690" w:type="dxa"/>
            <w:vAlign w:val="center"/>
          </w:tcPr>
          <w:p w:rsidR="00BB5C1E" w:rsidRDefault="00AF434F">
            <w:pPr>
              <w:jc w:val="right"/>
            </w:pPr>
            <w:r>
              <w:rPr>
                <w:rFonts w:eastAsiaTheme="minorEastAsia"/>
                <w:color w:val="000000"/>
                <w:szCs w:val="21"/>
              </w:rPr>
              <w:t>690,114.53</w:t>
            </w:r>
          </w:p>
        </w:tc>
        <w:tc>
          <w:tcPr>
            <w:tcW w:w="997" w:type="dxa"/>
            <w:vAlign w:val="center"/>
          </w:tcPr>
          <w:p w:rsidR="00BB5C1E" w:rsidRDefault="00AF434F">
            <w:pPr>
              <w:jc w:val="right"/>
            </w:pPr>
            <w:r>
              <w:rPr>
                <w:rFonts w:eastAsiaTheme="minorEastAsia"/>
                <w:color w:val="000000"/>
                <w:szCs w:val="21"/>
              </w:rPr>
              <w:t>1.25</w:t>
            </w:r>
          </w:p>
        </w:tc>
      </w:tr>
      <w:tr w:rsidR="00BB5C1E">
        <w:trPr>
          <w:jc w:val="center"/>
        </w:trPr>
        <w:tc>
          <w:tcPr>
            <w:tcW w:w="771" w:type="dxa"/>
            <w:vAlign w:val="center"/>
          </w:tcPr>
          <w:p w:rsidR="00BB5C1E" w:rsidRDefault="00AF434F">
            <w:pPr>
              <w:jc w:val="center"/>
            </w:pPr>
            <w:r>
              <w:rPr>
                <w:rFonts w:eastAsiaTheme="minorEastAsia"/>
                <w:color w:val="000000"/>
                <w:szCs w:val="21"/>
              </w:rPr>
              <w:t>18</w:t>
            </w:r>
          </w:p>
        </w:tc>
        <w:tc>
          <w:tcPr>
            <w:tcW w:w="905" w:type="dxa"/>
            <w:vAlign w:val="center"/>
          </w:tcPr>
          <w:p w:rsidR="00BB5C1E" w:rsidRDefault="00AF434F">
            <w:pPr>
              <w:jc w:val="center"/>
            </w:pPr>
            <w:r>
              <w:rPr>
                <w:rFonts w:eastAsiaTheme="minorEastAsia"/>
                <w:color w:val="000000"/>
                <w:szCs w:val="21"/>
              </w:rPr>
              <w:t>Sands China Ltd.</w:t>
            </w:r>
          </w:p>
        </w:tc>
        <w:tc>
          <w:tcPr>
            <w:tcW w:w="1015" w:type="dxa"/>
            <w:vAlign w:val="center"/>
          </w:tcPr>
          <w:p w:rsidR="00BB5C1E" w:rsidRDefault="00AF434F">
            <w:pPr>
              <w:jc w:val="center"/>
            </w:pPr>
            <w:r>
              <w:rPr>
                <w:rFonts w:eastAsiaTheme="minorEastAsia"/>
                <w:color w:val="000000"/>
                <w:szCs w:val="21"/>
              </w:rPr>
              <w:t>金沙中国有限公司</w:t>
            </w:r>
          </w:p>
        </w:tc>
        <w:tc>
          <w:tcPr>
            <w:tcW w:w="1184" w:type="dxa"/>
            <w:vAlign w:val="center"/>
          </w:tcPr>
          <w:p w:rsidR="00BB5C1E" w:rsidRDefault="00AF434F">
            <w:pPr>
              <w:jc w:val="center"/>
            </w:pPr>
            <w:r>
              <w:rPr>
                <w:rFonts w:eastAsiaTheme="minorEastAsia"/>
                <w:color w:val="000000"/>
                <w:szCs w:val="21"/>
              </w:rPr>
              <w:t>1928 HK</w:t>
            </w:r>
          </w:p>
        </w:tc>
        <w:tc>
          <w:tcPr>
            <w:tcW w:w="847" w:type="dxa"/>
            <w:vAlign w:val="center"/>
          </w:tcPr>
          <w:p w:rsidR="00BB5C1E" w:rsidRDefault="00AF434F">
            <w:pPr>
              <w:jc w:val="center"/>
            </w:pPr>
            <w:r>
              <w:rPr>
                <w:rFonts w:eastAsiaTheme="minorEastAsia"/>
                <w:color w:val="000000"/>
                <w:szCs w:val="21"/>
              </w:rPr>
              <w:t>香港证券交易所</w:t>
            </w:r>
          </w:p>
        </w:tc>
        <w:tc>
          <w:tcPr>
            <w:tcW w:w="1025" w:type="dxa"/>
            <w:vAlign w:val="center"/>
          </w:tcPr>
          <w:p w:rsidR="00BB5C1E" w:rsidRDefault="00AF434F">
            <w:pPr>
              <w:jc w:val="center"/>
            </w:pPr>
            <w:r>
              <w:rPr>
                <w:rFonts w:eastAsiaTheme="minorEastAsia"/>
                <w:color w:val="000000"/>
                <w:szCs w:val="21"/>
              </w:rPr>
              <w:t>中国香港</w:t>
            </w:r>
          </w:p>
        </w:tc>
        <w:tc>
          <w:tcPr>
            <w:tcW w:w="1015" w:type="dxa"/>
            <w:vAlign w:val="center"/>
          </w:tcPr>
          <w:p w:rsidR="00BB5C1E" w:rsidRDefault="00AF434F">
            <w:pPr>
              <w:jc w:val="right"/>
            </w:pPr>
            <w:r>
              <w:rPr>
                <w:rFonts w:eastAsiaTheme="minorEastAsia"/>
                <w:color w:val="000000"/>
                <w:szCs w:val="21"/>
              </w:rPr>
              <w:t>20,391</w:t>
            </w:r>
          </w:p>
        </w:tc>
        <w:tc>
          <w:tcPr>
            <w:tcW w:w="1690" w:type="dxa"/>
            <w:vAlign w:val="center"/>
          </w:tcPr>
          <w:p w:rsidR="00BB5C1E" w:rsidRDefault="00AF434F">
            <w:pPr>
              <w:jc w:val="right"/>
            </w:pPr>
            <w:r>
              <w:rPr>
                <w:rFonts w:eastAsiaTheme="minorEastAsia"/>
                <w:color w:val="000000"/>
                <w:szCs w:val="21"/>
              </w:rPr>
              <w:t>566,229.03</w:t>
            </w:r>
          </w:p>
        </w:tc>
        <w:tc>
          <w:tcPr>
            <w:tcW w:w="997" w:type="dxa"/>
            <w:vAlign w:val="center"/>
          </w:tcPr>
          <w:p w:rsidR="00BB5C1E" w:rsidRDefault="00AF434F">
            <w:pPr>
              <w:jc w:val="right"/>
            </w:pPr>
            <w:r>
              <w:rPr>
                <w:rFonts w:eastAsiaTheme="minorEastAsia"/>
                <w:color w:val="000000"/>
                <w:szCs w:val="21"/>
              </w:rPr>
              <w:t>1.02</w:t>
            </w:r>
          </w:p>
        </w:tc>
      </w:tr>
      <w:tr w:rsidR="00BB5C1E">
        <w:trPr>
          <w:jc w:val="center"/>
        </w:trPr>
        <w:tc>
          <w:tcPr>
            <w:tcW w:w="771" w:type="dxa"/>
            <w:vAlign w:val="center"/>
          </w:tcPr>
          <w:p w:rsidR="00BB5C1E" w:rsidRDefault="00AF434F">
            <w:pPr>
              <w:jc w:val="center"/>
            </w:pPr>
            <w:r>
              <w:rPr>
                <w:rFonts w:eastAsiaTheme="minorEastAsia"/>
                <w:color w:val="000000"/>
                <w:szCs w:val="21"/>
              </w:rPr>
              <w:t>19</w:t>
            </w:r>
          </w:p>
        </w:tc>
        <w:tc>
          <w:tcPr>
            <w:tcW w:w="905" w:type="dxa"/>
            <w:vAlign w:val="center"/>
          </w:tcPr>
          <w:p w:rsidR="00BB5C1E" w:rsidRDefault="00AF434F">
            <w:pPr>
              <w:jc w:val="center"/>
            </w:pPr>
            <w:r>
              <w:rPr>
                <w:rFonts w:eastAsiaTheme="minorEastAsia"/>
                <w:color w:val="000000"/>
                <w:szCs w:val="21"/>
              </w:rPr>
              <w:t>Burberry Group PLC</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BRBY LN</w:t>
            </w:r>
          </w:p>
        </w:tc>
        <w:tc>
          <w:tcPr>
            <w:tcW w:w="847" w:type="dxa"/>
            <w:vAlign w:val="center"/>
          </w:tcPr>
          <w:p w:rsidR="00BB5C1E" w:rsidRDefault="00AF434F">
            <w:pPr>
              <w:jc w:val="center"/>
            </w:pPr>
            <w:r>
              <w:rPr>
                <w:rFonts w:eastAsiaTheme="minorEastAsia"/>
                <w:color w:val="000000"/>
                <w:szCs w:val="21"/>
              </w:rPr>
              <w:t>伦敦证券交易所</w:t>
            </w:r>
          </w:p>
        </w:tc>
        <w:tc>
          <w:tcPr>
            <w:tcW w:w="1025" w:type="dxa"/>
            <w:vAlign w:val="center"/>
          </w:tcPr>
          <w:p w:rsidR="00BB5C1E" w:rsidRDefault="00AF434F">
            <w:pPr>
              <w:jc w:val="center"/>
            </w:pPr>
            <w:r>
              <w:rPr>
                <w:rFonts w:eastAsiaTheme="minorEastAsia"/>
                <w:color w:val="000000"/>
                <w:szCs w:val="21"/>
              </w:rPr>
              <w:t>英国</w:t>
            </w:r>
          </w:p>
        </w:tc>
        <w:tc>
          <w:tcPr>
            <w:tcW w:w="1015" w:type="dxa"/>
            <w:vAlign w:val="center"/>
          </w:tcPr>
          <w:p w:rsidR="00BB5C1E" w:rsidRDefault="00AF434F">
            <w:pPr>
              <w:jc w:val="right"/>
            </w:pPr>
            <w:r>
              <w:rPr>
                <w:rFonts w:eastAsiaTheme="minorEastAsia"/>
                <w:color w:val="000000"/>
                <w:szCs w:val="21"/>
              </w:rPr>
              <w:t>3,933</w:t>
            </w:r>
          </w:p>
        </w:tc>
        <w:tc>
          <w:tcPr>
            <w:tcW w:w="1690" w:type="dxa"/>
            <w:vAlign w:val="center"/>
          </w:tcPr>
          <w:p w:rsidR="00BB5C1E" w:rsidRDefault="00AF434F">
            <w:pPr>
              <w:jc w:val="right"/>
            </w:pPr>
            <w:r>
              <w:rPr>
                <w:rFonts w:eastAsiaTheme="minorEastAsia"/>
                <w:color w:val="000000"/>
                <w:szCs w:val="21"/>
              </w:rPr>
              <w:t>548,208.44</w:t>
            </w:r>
          </w:p>
        </w:tc>
        <w:tc>
          <w:tcPr>
            <w:tcW w:w="997" w:type="dxa"/>
            <w:vAlign w:val="center"/>
          </w:tcPr>
          <w:p w:rsidR="00BB5C1E" w:rsidRDefault="00AF434F">
            <w:pPr>
              <w:jc w:val="right"/>
            </w:pPr>
            <w:r>
              <w:rPr>
                <w:rFonts w:eastAsiaTheme="minorEastAsia"/>
                <w:color w:val="000000"/>
                <w:szCs w:val="21"/>
              </w:rPr>
              <w:t>0.99</w:t>
            </w:r>
          </w:p>
        </w:tc>
      </w:tr>
      <w:tr w:rsidR="00BB5C1E">
        <w:trPr>
          <w:jc w:val="center"/>
        </w:trPr>
        <w:tc>
          <w:tcPr>
            <w:tcW w:w="771" w:type="dxa"/>
            <w:vAlign w:val="center"/>
          </w:tcPr>
          <w:p w:rsidR="00BB5C1E" w:rsidRDefault="00AF434F">
            <w:pPr>
              <w:jc w:val="center"/>
            </w:pPr>
            <w:r>
              <w:rPr>
                <w:rFonts w:eastAsiaTheme="minorEastAsia"/>
                <w:color w:val="000000"/>
                <w:szCs w:val="21"/>
              </w:rPr>
              <w:t>20</w:t>
            </w:r>
          </w:p>
        </w:tc>
        <w:tc>
          <w:tcPr>
            <w:tcW w:w="905" w:type="dxa"/>
            <w:vAlign w:val="center"/>
          </w:tcPr>
          <w:p w:rsidR="00BB5C1E" w:rsidRDefault="00AF434F">
            <w:pPr>
              <w:jc w:val="center"/>
            </w:pPr>
            <w:r>
              <w:rPr>
                <w:rFonts w:eastAsiaTheme="minorEastAsia"/>
                <w:color w:val="000000"/>
                <w:szCs w:val="21"/>
              </w:rPr>
              <w:t>Galaxy Entertainment Group Limited</w:t>
            </w:r>
          </w:p>
        </w:tc>
        <w:tc>
          <w:tcPr>
            <w:tcW w:w="1015" w:type="dxa"/>
            <w:vAlign w:val="center"/>
          </w:tcPr>
          <w:p w:rsidR="00BB5C1E" w:rsidRDefault="00AF434F">
            <w:pPr>
              <w:jc w:val="center"/>
            </w:pPr>
            <w:r>
              <w:rPr>
                <w:rFonts w:eastAsiaTheme="minorEastAsia"/>
                <w:color w:val="000000"/>
                <w:szCs w:val="21"/>
              </w:rPr>
              <w:t>银河娱乐集团有限公司</w:t>
            </w:r>
          </w:p>
        </w:tc>
        <w:tc>
          <w:tcPr>
            <w:tcW w:w="1184" w:type="dxa"/>
            <w:vAlign w:val="center"/>
          </w:tcPr>
          <w:p w:rsidR="00BB5C1E" w:rsidRDefault="00AF434F">
            <w:pPr>
              <w:jc w:val="center"/>
            </w:pPr>
            <w:r>
              <w:rPr>
                <w:rFonts w:eastAsiaTheme="minorEastAsia"/>
                <w:color w:val="000000"/>
                <w:szCs w:val="21"/>
              </w:rPr>
              <w:t>27 HK</w:t>
            </w:r>
          </w:p>
        </w:tc>
        <w:tc>
          <w:tcPr>
            <w:tcW w:w="847" w:type="dxa"/>
            <w:vAlign w:val="center"/>
          </w:tcPr>
          <w:p w:rsidR="00BB5C1E" w:rsidRDefault="00AF434F">
            <w:pPr>
              <w:jc w:val="center"/>
            </w:pPr>
            <w:r>
              <w:rPr>
                <w:rFonts w:eastAsiaTheme="minorEastAsia"/>
                <w:color w:val="000000"/>
                <w:szCs w:val="21"/>
              </w:rPr>
              <w:t>香港证券交易所</w:t>
            </w:r>
          </w:p>
        </w:tc>
        <w:tc>
          <w:tcPr>
            <w:tcW w:w="1025" w:type="dxa"/>
            <w:vAlign w:val="center"/>
          </w:tcPr>
          <w:p w:rsidR="00BB5C1E" w:rsidRDefault="00AF434F">
            <w:pPr>
              <w:jc w:val="center"/>
            </w:pPr>
            <w:r>
              <w:rPr>
                <w:rFonts w:eastAsiaTheme="minorEastAsia"/>
                <w:color w:val="000000"/>
                <w:szCs w:val="21"/>
              </w:rPr>
              <w:t>中国香港</w:t>
            </w:r>
          </w:p>
        </w:tc>
        <w:tc>
          <w:tcPr>
            <w:tcW w:w="1015" w:type="dxa"/>
            <w:vAlign w:val="center"/>
          </w:tcPr>
          <w:p w:rsidR="00BB5C1E" w:rsidRDefault="00AF434F">
            <w:pPr>
              <w:jc w:val="right"/>
            </w:pPr>
            <w:r>
              <w:rPr>
                <w:rFonts w:eastAsiaTheme="minorEastAsia"/>
                <w:color w:val="000000"/>
                <w:szCs w:val="21"/>
              </w:rPr>
              <w:t>10,186</w:t>
            </w:r>
          </w:p>
        </w:tc>
        <w:tc>
          <w:tcPr>
            <w:tcW w:w="1690" w:type="dxa"/>
            <w:vAlign w:val="center"/>
          </w:tcPr>
          <w:p w:rsidR="00BB5C1E" w:rsidRDefault="00AF434F">
            <w:pPr>
              <w:jc w:val="right"/>
            </w:pPr>
            <w:r>
              <w:rPr>
                <w:rFonts w:eastAsiaTheme="minorEastAsia"/>
                <w:color w:val="000000"/>
                <w:szCs w:val="21"/>
              </w:rPr>
              <w:t>490,801.82</w:t>
            </w:r>
          </w:p>
        </w:tc>
        <w:tc>
          <w:tcPr>
            <w:tcW w:w="997" w:type="dxa"/>
            <w:vAlign w:val="center"/>
          </w:tcPr>
          <w:p w:rsidR="00BB5C1E" w:rsidRDefault="00AF434F">
            <w:pPr>
              <w:jc w:val="right"/>
            </w:pPr>
            <w:r>
              <w:rPr>
                <w:rFonts w:eastAsiaTheme="minorEastAsia"/>
                <w:color w:val="000000"/>
                <w:szCs w:val="21"/>
              </w:rPr>
              <w:t>0.89</w:t>
            </w:r>
          </w:p>
        </w:tc>
      </w:tr>
      <w:tr w:rsidR="00BB5C1E">
        <w:trPr>
          <w:jc w:val="center"/>
        </w:trPr>
        <w:tc>
          <w:tcPr>
            <w:tcW w:w="771" w:type="dxa"/>
            <w:vAlign w:val="center"/>
          </w:tcPr>
          <w:p w:rsidR="00BB5C1E" w:rsidRDefault="00AF434F">
            <w:pPr>
              <w:jc w:val="center"/>
            </w:pPr>
            <w:r>
              <w:rPr>
                <w:rFonts w:eastAsiaTheme="minorEastAsia"/>
                <w:color w:val="000000"/>
                <w:szCs w:val="21"/>
              </w:rPr>
              <w:t>21</w:t>
            </w:r>
          </w:p>
        </w:tc>
        <w:tc>
          <w:tcPr>
            <w:tcW w:w="905" w:type="dxa"/>
            <w:vAlign w:val="center"/>
          </w:tcPr>
          <w:p w:rsidR="00BB5C1E" w:rsidRDefault="00AF434F">
            <w:pPr>
              <w:jc w:val="center"/>
            </w:pPr>
            <w:r>
              <w:rPr>
                <w:rFonts w:eastAsiaTheme="minorEastAsia"/>
                <w:color w:val="000000"/>
                <w:szCs w:val="21"/>
              </w:rPr>
              <w:t>Brown-Forman Corp</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BF/B US</w:t>
            </w:r>
          </w:p>
        </w:tc>
        <w:tc>
          <w:tcPr>
            <w:tcW w:w="847" w:type="dxa"/>
            <w:vAlign w:val="center"/>
          </w:tcPr>
          <w:p w:rsidR="00BB5C1E" w:rsidRDefault="00AF434F">
            <w:pPr>
              <w:jc w:val="center"/>
            </w:pPr>
            <w:r>
              <w:rPr>
                <w:rFonts w:eastAsiaTheme="minorEastAsia"/>
                <w:color w:val="000000"/>
                <w:szCs w:val="21"/>
              </w:rPr>
              <w:t>纽约证券交易所</w:t>
            </w:r>
          </w:p>
        </w:tc>
        <w:tc>
          <w:tcPr>
            <w:tcW w:w="1025" w:type="dxa"/>
            <w:vAlign w:val="center"/>
          </w:tcPr>
          <w:p w:rsidR="00BB5C1E" w:rsidRDefault="00AF434F">
            <w:pPr>
              <w:jc w:val="center"/>
            </w:pPr>
            <w:r>
              <w:rPr>
                <w:rFonts w:eastAsiaTheme="minorEastAsia"/>
                <w:color w:val="000000"/>
                <w:szCs w:val="21"/>
              </w:rPr>
              <w:t>美国</w:t>
            </w:r>
          </w:p>
        </w:tc>
        <w:tc>
          <w:tcPr>
            <w:tcW w:w="1015" w:type="dxa"/>
            <w:vAlign w:val="center"/>
          </w:tcPr>
          <w:p w:rsidR="00BB5C1E" w:rsidRDefault="00AF434F">
            <w:pPr>
              <w:jc w:val="right"/>
            </w:pPr>
            <w:r>
              <w:rPr>
                <w:rFonts w:eastAsiaTheme="minorEastAsia"/>
                <w:color w:val="000000"/>
                <w:szCs w:val="21"/>
              </w:rPr>
              <w:t>948</w:t>
            </w:r>
          </w:p>
        </w:tc>
        <w:tc>
          <w:tcPr>
            <w:tcW w:w="1690" w:type="dxa"/>
            <w:vAlign w:val="center"/>
          </w:tcPr>
          <w:p w:rsidR="00BB5C1E" w:rsidRDefault="00AF434F">
            <w:pPr>
              <w:jc w:val="right"/>
            </w:pPr>
            <w:r>
              <w:rPr>
                <w:rFonts w:eastAsiaTheme="minorEastAsia"/>
                <w:color w:val="000000"/>
                <w:szCs w:val="21"/>
              </w:rPr>
              <w:t>427,245.56</w:t>
            </w:r>
          </w:p>
        </w:tc>
        <w:tc>
          <w:tcPr>
            <w:tcW w:w="997" w:type="dxa"/>
            <w:vAlign w:val="center"/>
          </w:tcPr>
          <w:p w:rsidR="00BB5C1E" w:rsidRDefault="00AF434F">
            <w:pPr>
              <w:jc w:val="right"/>
            </w:pPr>
            <w:r>
              <w:rPr>
                <w:rFonts w:eastAsiaTheme="minorEastAsia"/>
                <w:color w:val="000000"/>
                <w:szCs w:val="21"/>
              </w:rPr>
              <w:t>0.77</w:t>
            </w:r>
          </w:p>
        </w:tc>
      </w:tr>
      <w:tr w:rsidR="00BB5C1E">
        <w:trPr>
          <w:jc w:val="center"/>
        </w:trPr>
        <w:tc>
          <w:tcPr>
            <w:tcW w:w="771" w:type="dxa"/>
            <w:vAlign w:val="center"/>
          </w:tcPr>
          <w:p w:rsidR="00BB5C1E" w:rsidRDefault="00AF434F">
            <w:pPr>
              <w:jc w:val="center"/>
            </w:pPr>
            <w:r>
              <w:rPr>
                <w:rFonts w:eastAsiaTheme="minorEastAsia"/>
                <w:color w:val="000000"/>
                <w:szCs w:val="21"/>
              </w:rPr>
              <w:t>22</w:t>
            </w:r>
          </w:p>
        </w:tc>
        <w:tc>
          <w:tcPr>
            <w:tcW w:w="905" w:type="dxa"/>
            <w:vAlign w:val="center"/>
          </w:tcPr>
          <w:p w:rsidR="00BB5C1E" w:rsidRDefault="00AF434F">
            <w:pPr>
              <w:jc w:val="center"/>
            </w:pPr>
            <w:r>
              <w:rPr>
                <w:rFonts w:eastAsiaTheme="minorEastAsia"/>
                <w:color w:val="000000"/>
                <w:szCs w:val="21"/>
              </w:rPr>
              <w:t>Moncler SpA</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MONC IM</w:t>
            </w:r>
          </w:p>
        </w:tc>
        <w:tc>
          <w:tcPr>
            <w:tcW w:w="847" w:type="dxa"/>
            <w:vAlign w:val="center"/>
          </w:tcPr>
          <w:p w:rsidR="00BB5C1E" w:rsidRDefault="00AF434F">
            <w:pPr>
              <w:jc w:val="center"/>
            </w:pPr>
            <w:r>
              <w:rPr>
                <w:rFonts w:eastAsiaTheme="minorEastAsia"/>
                <w:color w:val="000000"/>
                <w:szCs w:val="21"/>
              </w:rPr>
              <w:t>意大利证券交易所</w:t>
            </w:r>
          </w:p>
        </w:tc>
        <w:tc>
          <w:tcPr>
            <w:tcW w:w="1025" w:type="dxa"/>
            <w:vAlign w:val="center"/>
          </w:tcPr>
          <w:p w:rsidR="00BB5C1E" w:rsidRDefault="00AF434F">
            <w:pPr>
              <w:jc w:val="center"/>
            </w:pPr>
            <w:r>
              <w:rPr>
                <w:rFonts w:eastAsiaTheme="minorEastAsia"/>
                <w:color w:val="000000"/>
                <w:szCs w:val="21"/>
              </w:rPr>
              <w:t>意大利</w:t>
            </w:r>
          </w:p>
        </w:tc>
        <w:tc>
          <w:tcPr>
            <w:tcW w:w="1015" w:type="dxa"/>
            <w:vAlign w:val="center"/>
          </w:tcPr>
          <w:p w:rsidR="00BB5C1E" w:rsidRDefault="00AF434F">
            <w:pPr>
              <w:jc w:val="right"/>
            </w:pPr>
            <w:r>
              <w:rPr>
                <w:rFonts w:eastAsiaTheme="minorEastAsia"/>
                <w:color w:val="000000"/>
                <w:szCs w:val="21"/>
              </w:rPr>
              <w:t>1,415</w:t>
            </w:r>
          </w:p>
        </w:tc>
        <w:tc>
          <w:tcPr>
            <w:tcW w:w="1690" w:type="dxa"/>
            <w:vAlign w:val="center"/>
          </w:tcPr>
          <w:p w:rsidR="00BB5C1E" w:rsidRDefault="00AF434F">
            <w:pPr>
              <w:jc w:val="right"/>
            </w:pPr>
            <w:r>
              <w:rPr>
                <w:rFonts w:eastAsiaTheme="minorEastAsia"/>
                <w:color w:val="000000"/>
                <w:szCs w:val="21"/>
              </w:rPr>
              <w:t>383,454.30</w:t>
            </w:r>
          </w:p>
        </w:tc>
        <w:tc>
          <w:tcPr>
            <w:tcW w:w="997" w:type="dxa"/>
            <w:vAlign w:val="center"/>
          </w:tcPr>
          <w:p w:rsidR="00BB5C1E" w:rsidRDefault="00AF434F">
            <w:pPr>
              <w:jc w:val="right"/>
            </w:pPr>
            <w:r>
              <w:rPr>
                <w:rFonts w:eastAsiaTheme="minorEastAsia"/>
                <w:color w:val="000000"/>
                <w:szCs w:val="21"/>
              </w:rPr>
              <w:t>0.69</w:t>
            </w:r>
          </w:p>
        </w:tc>
      </w:tr>
      <w:tr w:rsidR="00BB5C1E">
        <w:trPr>
          <w:jc w:val="center"/>
        </w:trPr>
        <w:tc>
          <w:tcPr>
            <w:tcW w:w="771" w:type="dxa"/>
            <w:vAlign w:val="center"/>
          </w:tcPr>
          <w:p w:rsidR="00BB5C1E" w:rsidRDefault="00AF434F">
            <w:pPr>
              <w:jc w:val="center"/>
            </w:pPr>
            <w:r>
              <w:rPr>
                <w:rFonts w:eastAsiaTheme="minorEastAsia"/>
                <w:color w:val="000000"/>
                <w:szCs w:val="21"/>
              </w:rPr>
              <w:t>23</w:t>
            </w:r>
          </w:p>
        </w:tc>
        <w:tc>
          <w:tcPr>
            <w:tcW w:w="905" w:type="dxa"/>
            <w:vAlign w:val="center"/>
          </w:tcPr>
          <w:p w:rsidR="00BB5C1E" w:rsidRDefault="00AF434F">
            <w:pPr>
              <w:jc w:val="center"/>
            </w:pPr>
            <w:r>
              <w:rPr>
                <w:rFonts w:eastAsiaTheme="minorEastAsia"/>
                <w:color w:val="000000"/>
                <w:szCs w:val="21"/>
              </w:rPr>
              <w:t>Marriott International Inc/MD</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MAR US</w:t>
            </w:r>
          </w:p>
        </w:tc>
        <w:tc>
          <w:tcPr>
            <w:tcW w:w="847" w:type="dxa"/>
            <w:vAlign w:val="center"/>
          </w:tcPr>
          <w:p w:rsidR="00BB5C1E" w:rsidRDefault="00AF434F">
            <w:pPr>
              <w:jc w:val="center"/>
            </w:pPr>
            <w:r>
              <w:rPr>
                <w:rFonts w:eastAsiaTheme="minorEastAsia"/>
                <w:color w:val="000000"/>
                <w:szCs w:val="21"/>
              </w:rPr>
              <w:t>纳斯达克证券交易所</w:t>
            </w:r>
          </w:p>
        </w:tc>
        <w:tc>
          <w:tcPr>
            <w:tcW w:w="1025" w:type="dxa"/>
            <w:vAlign w:val="center"/>
          </w:tcPr>
          <w:p w:rsidR="00BB5C1E" w:rsidRDefault="00AF434F">
            <w:pPr>
              <w:jc w:val="center"/>
            </w:pPr>
            <w:r>
              <w:rPr>
                <w:rFonts w:eastAsiaTheme="minorEastAsia"/>
                <w:color w:val="000000"/>
                <w:szCs w:val="21"/>
              </w:rPr>
              <w:t>美国</w:t>
            </w:r>
          </w:p>
        </w:tc>
        <w:tc>
          <w:tcPr>
            <w:tcW w:w="1015" w:type="dxa"/>
            <w:vAlign w:val="center"/>
          </w:tcPr>
          <w:p w:rsidR="00BB5C1E" w:rsidRDefault="00AF434F">
            <w:pPr>
              <w:jc w:val="right"/>
            </w:pPr>
            <w:r>
              <w:rPr>
                <w:rFonts w:eastAsiaTheme="minorEastAsia"/>
                <w:color w:val="000000"/>
                <w:szCs w:val="21"/>
              </w:rPr>
              <w:t>600</w:t>
            </w:r>
          </w:p>
        </w:tc>
        <w:tc>
          <w:tcPr>
            <w:tcW w:w="1690" w:type="dxa"/>
            <w:vAlign w:val="center"/>
          </w:tcPr>
          <w:p w:rsidR="00BB5C1E" w:rsidRDefault="00AF434F">
            <w:pPr>
              <w:jc w:val="right"/>
            </w:pPr>
            <w:r>
              <w:rPr>
                <w:rFonts w:eastAsiaTheme="minorEastAsia"/>
                <w:color w:val="000000"/>
                <w:szCs w:val="21"/>
              </w:rPr>
              <w:t>364,155.32</w:t>
            </w:r>
          </w:p>
        </w:tc>
        <w:tc>
          <w:tcPr>
            <w:tcW w:w="997" w:type="dxa"/>
            <w:vAlign w:val="center"/>
          </w:tcPr>
          <w:p w:rsidR="00BB5C1E" w:rsidRDefault="00AF434F">
            <w:pPr>
              <w:jc w:val="right"/>
            </w:pPr>
            <w:r>
              <w:rPr>
                <w:rFonts w:eastAsiaTheme="minorEastAsia"/>
                <w:color w:val="000000"/>
                <w:szCs w:val="21"/>
              </w:rPr>
              <w:t>0.66</w:t>
            </w:r>
          </w:p>
        </w:tc>
      </w:tr>
      <w:tr w:rsidR="00BB5C1E">
        <w:trPr>
          <w:jc w:val="center"/>
        </w:trPr>
        <w:tc>
          <w:tcPr>
            <w:tcW w:w="771" w:type="dxa"/>
            <w:vAlign w:val="center"/>
          </w:tcPr>
          <w:p w:rsidR="00BB5C1E" w:rsidRDefault="00AF434F">
            <w:pPr>
              <w:jc w:val="center"/>
            </w:pPr>
            <w:r>
              <w:rPr>
                <w:rFonts w:eastAsiaTheme="minorEastAsia"/>
                <w:color w:val="000000"/>
                <w:szCs w:val="21"/>
              </w:rPr>
              <w:t>24</w:t>
            </w:r>
          </w:p>
        </w:tc>
        <w:tc>
          <w:tcPr>
            <w:tcW w:w="905" w:type="dxa"/>
            <w:vAlign w:val="center"/>
          </w:tcPr>
          <w:p w:rsidR="00BB5C1E" w:rsidRDefault="00AF434F">
            <w:pPr>
              <w:jc w:val="center"/>
            </w:pPr>
            <w:r>
              <w:rPr>
                <w:rFonts w:eastAsiaTheme="minorEastAsia"/>
                <w:color w:val="000000"/>
                <w:szCs w:val="21"/>
              </w:rPr>
              <w:t>Treasury Wine Estates Ltd</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TWE AU</w:t>
            </w:r>
          </w:p>
        </w:tc>
        <w:tc>
          <w:tcPr>
            <w:tcW w:w="847" w:type="dxa"/>
            <w:vAlign w:val="center"/>
          </w:tcPr>
          <w:p w:rsidR="00BB5C1E" w:rsidRDefault="00AF434F">
            <w:pPr>
              <w:jc w:val="center"/>
            </w:pPr>
            <w:r>
              <w:rPr>
                <w:rFonts w:eastAsiaTheme="minorEastAsia"/>
                <w:color w:val="000000"/>
                <w:szCs w:val="21"/>
              </w:rPr>
              <w:t>澳大利亚证券交易所</w:t>
            </w:r>
          </w:p>
        </w:tc>
        <w:tc>
          <w:tcPr>
            <w:tcW w:w="1025" w:type="dxa"/>
            <w:vAlign w:val="center"/>
          </w:tcPr>
          <w:p w:rsidR="00BB5C1E" w:rsidRDefault="00AF434F">
            <w:pPr>
              <w:jc w:val="center"/>
            </w:pPr>
            <w:r>
              <w:rPr>
                <w:rFonts w:eastAsiaTheme="minorEastAsia"/>
                <w:color w:val="000000"/>
                <w:szCs w:val="21"/>
              </w:rPr>
              <w:t>澳大利亚</w:t>
            </w:r>
          </w:p>
        </w:tc>
        <w:tc>
          <w:tcPr>
            <w:tcW w:w="1015" w:type="dxa"/>
            <w:vAlign w:val="center"/>
          </w:tcPr>
          <w:p w:rsidR="00BB5C1E" w:rsidRDefault="00AF434F">
            <w:pPr>
              <w:jc w:val="right"/>
            </w:pPr>
            <w:r>
              <w:rPr>
                <w:rFonts w:eastAsiaTheme="minorEastAsia"/>
                <w:color w:val="000000"/>
                <w:szCs w:val="21"/>
              </w:rPr>
              <w:t>6,089</w:t>
            </w:r>
          </w:p>
        </w:tc>
        <w:tc>
          <w:tcPr>
            <w:tcW w:w="1690" w:type="dxa"/>
            <w:vAlign w:val="center"/>
          </w:tcPr>
          <w:p w:rsidR="00BB5C1E" w:rsidRDefault="00AF434F">
            <w:pPr>
              <w:jc w:val="right"/>
            </w:pPr>
            <w:r>
              <w:rPr>
                <w:rFonts w:eastAsiaTheme="minorEastAsia"/>
                <w:color w:val="000000"/>
                <w:szCs w:val="21"/>
              </w:rPr>
              <w:t>310,493.55</w:t>
            </w:r>
          </w:p>
        </w:tc>
        <w:tc>
          <w:tcPr>
            <w:tcW w:w="997" w:type="dxa"/>
            <w:vAlign w:val="center"/>
          </w:tcPr>
          <w:p w:rsidR="00BB5C1E" w:rsidRDefault="00AF434F">
            <w:pPr>
              <w:jc w:val="right"/>
            </w:pPr>
            <w:r>
              <w:rPr>
                <w:rFonts w:eastAsiaTheme="minorEastAsia"/>
                <w:color w:val="000000"/>
                <w:szCs w:val="21"/>
              </w:rPr>
              <w:t>0.56</w:t>
            </w:r>
          </w:p>
        </w:tc>
      </w:tr>
      <w:tr w:rsidR="00BB5C1E">
        <w:trPr>
          <w:jc w:val="center"/>
        </w:trPr>
        <w:tc>
          <w:tcPr>
            <w:tcW w:w="771" w:type="dxa"/>
            <w:vAlign w:val="center"/>
          </w:tcPr>
          <w:p w:rsidR="00BB5C1E" w:rsidRDefault="00AF434F">
            <w:pPr>
              <w:jc w:val="center"/>
            </w:pPr>
            <w:r>
              <w:rPr>
                <w:rFonts w:eastAsiaTheme="minorEastAsia"/>
                <w:color w:val="000000"/>
                <w:szCs w:val="21"/>
              </w:rPr>
              <w:t>25</w:t>
            </w:r>
          </w:p>
        </w:tc>
        <w:tc>
          <w:tcPr>
            <w:tcW w:w="905" w:type="dxa"/>
            <w:vAlign w:val="center"/>
          </w:tcPr>
          <w:p w:rsidR="00BB5C1E" w:rsidRDefault="00AF434F">
            <w:pPr>
              <w:jc w:val="center"/>
            </w:pPr>
            <w:r>
              <w:rPr>
                <w:rFonts w:eastAsiaTheme="minorEastAsia"/>
                <w:color w:val="000000"/>
                <w:szCs w:val="21"/>
              </w:rPr>
              <w:t>InterContinental Hotels Group</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IHG LN</w:t>
            </w:r>
          </w:p>
        </w:tc>
        <w:tc>
          <w:tcPr>
            <w:tcW w:w="847" w:type="dxa"/>
            <w:vAlign w:val="center"/>
          </w:tcPr>
          <w:p w:rsidR="00BB5C1E" w:rsidRDefault="00AF434F">
            <w:pPr>
              <w:jc w:val="center"/>
            </w:pPr>
            <w:r>
              <w:rPr>
                <w:rFonts w:eastAsiaTheme="minorEastAsia"/>
                <w:color w:val="000000"/>
                <w:szCs w:val="21"/>
              </w:rPr>
              <w:t>伦敦证券交易所</w:t>
            </w:r>
          </w:p>
        </w:tc>
        <w:tc>
          <w:tcPr>
            <w:tcW w:w="1025" w:type="dxa"/>
            <w:vAlign w:val="center"/>
          </w:tcPr>
          <w:p w:rsidR="00BB5C1E" w:rsidRDefault="00AF434F">
            <w:pPr>
              <w:jc w:val="center"/>
            </w:pPr>
            <w:r>
              <w:rPr>
                <w:rFonts w:eastAsiaTheme="minorEastAsia"/>
                <w:color w:val="000000"/>
                <w:szCs w:val="21"/>
              </w:rPr>
              <w:t>英国</w:t>
            </w:r>
          </w:p>
        </w:tc>
        <w:tc>
          <w:tcPr>
            <w:tcW w:w="1015" w:type="dxa"/>
            <w:vAlign w:val="center"/>
          </w:tcPr>
          <w:p w:rsidR="00BB5C1E" w:rsidRDefault="00AF434F">
            <w:pPr>
              <w:jc w:val="right"/>
            </w:pPr>
            <w:r>
              <w:rPr>
                <w:rFonts w:eastAsiaTheme="minorEastAsia"/>
                <w:color w:val="000000"/>
                <w:szCs w:val="21"/>
              </w:rPr>
              <w:t>979</w:t>
            </w:r>
          </w:p>
        </w:tc>
        <w:tc>
          <w:tcPr>
            <w:tcW w:w="1690" w:type="dxa"/>
            <w:vAlign w:val="center"/>
          </w:tcPr>
          <w:p w:rsidR="00BB5C1E" w:rsidRDefault="00AF434F">
            <w:pPr>
              <w:jc w:val="right"/>
            </w:pPr>
            <w:r>
              <w:rPr>
                <w:rFonts w:eastAsiaTheme="minorEastAsia"/>
                <w:color w:val="000000"/>
                <w:szCs w:val="21"/>
              </w:rPr>
              <w:t>304,314.95</w:t>
            </w:r>
          </w:p>
        </w:tc>
        <w:tc>
          <w:tcPr>
            <w:tcW w:w="997" w:type="dxa"/>
            <w:vAlign w:val="center"/>
          </w:tcPr>
          <w:p w:rsidR="00BB5C1E" w:rsidRDefault="00AF434F">
            <w:pPr>
              <w:jc w:val="right"/>
            </w:pPr>
            <w:r>
              <w:rPr>
                <w:rFonts w:eastAsiaTheme="minorEastAsia"/>
                <w:color w:val="000000"/>
                <w:szCs w:val="21"/>
              </w:rPr>
              <w:t>0.55</w:t>
            </w:r>
          </w:p>
        </w:tc>
      </w:tr>
      <w:tr w:rsidR="00BB5C1E">
        <w:trPr>
          <w:jc w:val="center"/>
        </w:trPr>
        <w:tc>
          <w:tcPr>
            <w:tcW w:w="771" w:type="dxa"/>
            <w:vAlign w:val="center"/>
          </w:tcPr>
          <w:p w:rsidR="00BB5C1E" w:rsidRDefault="00AF434F">
            <w:pPr>
              <w:jc w:val="center"/>
            </w:pPr>
            <w:r>
              <w:rPr>
                <w:rFonts w:eastAsiaTheme="minorEastAsia"/>
                <w:color w:val="000000"/>
                <w:szCs w:val="21"/>
              </w:rPr>
              <w:t>26</w:t>
            </w:r>
          </w:p>
        </w:tc>
        <w:tc>
          <w:tcPr>
            <w:tcW w:w="905" w:type="dxa"/>
            <w:vAlign w:val="center"/>
          </w:tcPr>
          <w:p w:rsidR="00BB5C1E" w:rsidRDefault="00AF434F">
            <w:pPr>
              <w:jc w:val="center"/>
            </w:pPr>
            <w:r>
              <w:rPr>
                <w:rFonts w:eastAsiaTheme="minorEastAsia"/>
                <w:color w:val="000000"/>
                <w:szCs w:val="21"/>
              </w:rPr>
              <w:t>PVH Corp</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PVH US</w:t>
            </w:r>
          </w:p>
        </w:tc>
        <w:tc>
          <w:tcPr>
            <w:tcW w:w="847" w:type="dxa"/>
            <w:vAlign w:val="center"/>
          </w:tcPr>
          <w:p w:rsidR="00BB5C1E" w:rsidRDefault="00AF434F">
            <w:pPr>
              <w:jc w:val="center"/>
            </w:pPr>
            <w:r>
              <w:rPr>
                <w:rFonts w:eastAsiaTheme="minorEastAsia"/>
                <w:color w:val="000000"/>
                <w:szCs w:val="21"/>
              </w:rPr>
              <w:t>纽约证券交易所</w:t>
            </w:r>
          </w:p>
        </w:tc>
        <w:tc>
          <w:tcPr>
            <w:tcW w:w="1025" w:type="dxa"/>
            <w:vAlign w:val="center"/>
          </w:tcPr>
          <w:p w:rsidR="00BB5C1E" w:rsidRDefault="00AF434F">
            <w:pPr>
              <w:jc w:val="center"/>
            </w:pPr>
            <w:r>
              <w:rPr>
                <w:rFonts w:eastAsiaTheme="minorEastAsia"/>
                <w:color w:val="000000"/>
                <w:szCs w:val="21"/>
              </w:rPr>
              <w:t>美国</w:t>
            </w:r>
          </w:p>
        </w:tc>
        <w:tc>
          <w:tcPr>
            <w:tcW w:w="1015" w:type="dxa"/>
            <w:vAlign w:val="center"/>
          </w:tcPr>
          <w:p w:rsidR="00BB5C1E" w:rsidRDefault="00AF434F">
            <w:pPr>
              <w:jc w:val="right"/>
            </w:pPr>
            <w:r>
              <w:rPr>
                <w:rFonts w:eastAsiaTheme="minorEastAsia"/>
                <w:color w:val="000000"/>
                <w:szCs w:val="21"/>
              </w:rPr>
              <w:t>611</w:t>
            </w:r>
          </w:p>
        </w:tc>
        <w:tc>
          <w:tcPr>
            <w:tcW w:w="1690" w:type="dxa"/>
            <w:vAlign w:val="center"/>
          </w:tcPr>
          <w:p w:rsidR="00BB5C1E" w:rsidRDefault="00AF434F">
            <w:pPr>
              <w:jc w:val="right"/>
            </w:pPr>
            <w:r>
              <w:rPr>
                <w:rFonts w:eastAsiaTheme="minorEastAsia"/>
                <w:color w:val="000000"/>
                <w:szCs w:val="21"/>
              </w:rPr>
              <w:t>207,843.85</w:t>
            </w:r>
          </w:p>
        </w:tc>
        <w:tc>
          <w:tcPr>
            <w:tcW w:w="997" w:type="dxa"/>
            <w:vAlign w:val="center"/>
          </w:tcPr>
          <w:p w:rsidR="00BB5C1E" w:rsidRDefault="00AF434F">
            <w:pPr>
              <w:jc w:val="right"/>
            </w:pPr>
            <w:r>
              <w:rPr>
                <w:rFonts w:eastAsiaTheme="minorEastAsia"/>
                <w:color w:val="000000"/>
                <w:szCs w:val="21"/>
              </w:rPr>
              <w:t>0.38</w:t>
            </w:r>
          </w:p>
        </w:tc>
      </w:tr>
      <w:tr w:rsidR="00BB5C1E">
        <w:trPr>
          <w:jc w:val="center"/>
        </w:trPr>
        <w:tc>
          <w:tcPr>
            <w:tcW w:w="771" w:type="dxa"/>
            <w:vAlign w:val="center"/>
          </w:tcPr>
          <w:p w:rsidR="00BB5C1E" w:rsidRDefault="00AF434F">
            <w:pPr>
              <w:jc w:val="center"/>
            </w:pPr>
            <w:r>
              <w:rPr>
                <w:rFonts w:eastAsiaTheme="minorEastAsia"/>
                <w:color w:val="000000"/>
                <w:szCs w:val="21"/>
              </w:rPr>
              <w:t>27</w:t>
            </w:r>
          </w:p>
        </w:tc>
        <w:tc>
          <w:tcPr>
            <w:tcW w:w="905" w:type="dxa"/>
            <w:vAlign w:val="center"/>
          </w:tcPr>
          <w:p w:rsidR="00BB5C1E" w:rsidRDefault="00AF434F">
            <w:pPr>
              <w:jc w:val="center"/>
            </w:pPr>
            <w:r>
              <w:rPr>
                <w:rFonts w:eastAsiaTheme="minorEastAsia"/>
                <w:color w:val="000000"/>
                <w:szCs w:val="21"/>
              </w:rPr>
              <w:t>Davide Campari-Milano SpA</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CPR IM</w:t>
            </w:r>
          </w:p>
        </w:tc>
        <w:tc>
          <w:tcPr>
            <w:tcW w:w="847" w:type="dxa"/>
            <w:vAlign w:val="center"/>
          </w:tcPr>
          <w:p w:rsidR="00BB5C1E" w:rsidRDefault="00AF434F">
            <w:pPr>
              <w:jc w:val="center"/>
            </w:pPr>
            <w:r>
              <w:rPr>
                <w:rFonts w:eastAsiaTheme="minorEastAsia"/>
                <w:color w:val="000000"/>
                <w:szCs w:val="21"/>
              </w:rPr>
              <w:t>意大利证券交易所</w:t>
            </w:r>
          </w:p>
        </w:tc>
        <w:tc>
          <w:tcPr>
            <w:tcW w:w="1025" w:type="dxa"/>
            <w:vAlign w:val="center"/>
          </w:tcPr>
          <w:p w:rsidR="00BB5C1E" w:rsidRDefault="00AF434F">
            <w:pPr>
              <w:jc w:val="center"/>
            </w:pPr>
            <w:r>
              <w:rPr>
                <w:rFonts w:eastAsiaTheme="minorEastAsia"/>
                <w:color w:val="000000"/>
                <w:szCs w:val="21"/>
              </w:rPr>
              <w:t>意大利</w:t>
            </w:r>
          </w:p>
        </w:tc>
        <w:tc>
          <w:tcPr>
            <w:tcW w:w="1015" w:type="dxa"/>
            <w:vAlign w:val="center"/>
          </w:tcPr>
          <w:p w:rsidR="00BB5C1E" w:rsidRDefault="00AF434F">
            <w:pPr>
              <w:jc w:val="right"/>
            </w:pPr>
            <w:r>
              <w:rPr>
                <w:rFonts w:eastAsiaTheme="minorEastAsia"/>
                <w:color w:val="000000"/>
                <w:szCs w:val="21"/>
              </w:rPr>
              <w:t>3,073</w:t>
            </w:r>
          </w:p>
        </w:tc>
        <w:tc>
          <w:tcPr>
            <w:tcW w:w="1690" w:type="dxa"/>
            <w:vAlign w:val="center"/>
          </w:tcPr>
          <w:p w:rsidR="00BB5C1E" w:rsidRDefault="00AF434F">
            <w:pPr>
              <w:jc w:val="right"/>
            </w:pPr>
            <w:r>
              <w:rPr>
                <w:rFonts w:eastAsiaTheme="minorEastAsia"/>
                <w:color w:val="000000"/>
                <w:szCs w:val="21"/>
              </w:rPr>
              <w:t>183,481.15</w:t>
            </w:r>
          </w:p>
        </w:tc>
        <w:tc>
          <w:tcPr>
            <w:tcW w:w="997" w:type="dxa"/>
            <w:vAlign w:val="center"/>
          </w:tcPr>
          <w:p w:rsidR="00BB5C1E" w:rsidRDefault="00AF434F">
            <w:pPr>
              <w:jc w:val="right"/>
            </w:pPr>
            <w:r>
              <w:rPr>
                <w:rFonts w:eastAsiaTheme="minorEastAsia"/>
                <w:color w:val="000000"/>
                <w:szCs w:val="21"/>
              </w:rPr>
              <w:t>0.33</w:t>
            </w:r>
          </w:p>
        </w:tc>
      </w:tr>
      <w:tr w:rsidR="00BB5C1E">
        <w:trPr>
          <w:jc w:val="center"/>
        </w:trPr>
        <w:tc>
          <w:tcPr>
            <w:tcW w:w="771" w:type="dxa"/>
            <w:vAlign w:val="center"/>
          </w:tcPr>
          <w:p w:rsidR="00BB5C1E" w:rsidRDefault="00AF434F">
            <w:pPr>
              <w:jc w:val="center"/>
            </w:pPr>
            <w:r>
              <w:rPr>
                <w:rFonts w:eastAsiaTheme="minorEastAsia"/>
                <w:color w:val="000000"/>
                <w:szCs w:val="21"/>
              </w:rPr>
              <w:t>28</w:t>
            </w:r>
          </w:p>
        </w:tc>
        <w:tc>
          <w:tcPr>
            <w:tcW w:w="905" w:type="dxa"/>
            <w:vAlign w:val="center"/>
          </w:tcPr>
          <w:p w:rsidR="00BB5C1E" w:rsidRDefault="00AF434F">
            <w:pPr>
              <w:jc w:val="center"/>
            </w:pPr>
            <w:r>
              <w:rPr>
                <w:rFonts w:eastAsiaTheme="minorEastAsia"/>
                <w:color w:val="000000"/>
                <w:szCs w:val="21"/>
              </w:rPr>
              <w:t>Lululemon Athletica Inc</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LULU US</w:t>
            </w:r>
          </w:p>
        </w:tc>
        <w:tc>
          <w:tcPr>
            <w:tcW w:w="847" w:type="dxa"/>
            <w:vAlign w:val="center"/>
          </w:tcPr>
          <w:p w:rsidR="00BB5C1E" w:rsidRDefault="00AF434F">
            <w:pPr>
              <w:jc w:val="center"/>
            </w:pPr>
            <w:r>
              <w:rPr>
                <w:rFonts w:eastAsiaTheme="minorEastAsia"/>
                <w:color w:val="000000"/>
                <w:szCs w:val="21"/>
              </w:rPr>
              <w:t>纳斯达克证券交易所</w:t>
            </w:r>
          </w:p>
        </w:tc>
        <w:tc>
          <w:tcPr>
            <w:tcW w:w="1025" w:type="dxa"/>
            <w:vAlign w:val="center"/>
          </w:tcPr>
          <w:p w:rsidR="00BB5C1E" w:rsidRDefault="00AF434F">
            <w:pPr>
              <w:jc w:val="center"/>
            </w:pPr>
            <w:r>
              <w:rPr>
                <w:rFonts w:eastAsiaTheme="minorEastAsia"/>
                <w:color w:val="000000"/>
                <w:szCs w:val="21"/>
              </w:rPr>
              <w:t>美国</w:t>
            </w:r>
          </w:p>
        </w:tc>
        <w:tc>
          <w:tcPr>
            <w:tcW w:w="1015" w:type="dxa"/>
            <w:vAlign w:val="center"/>
          </w:tcPr>
          <w:p w:rsidR="00BB5C1E" w:rsidRDefault="00AF434F">
            <w:pPr>
              <w:jc w:val="right"/>
            </w:pPr>
            <w:r>
              <w:rPr>
                <w:rFonts w:eastAsiaTheme="minorEastAsia"/>
                <w:color w:val="000000"/>
                <w:szCs w:val="21"/>
              </w:rPr>
              <w:t>68</w:t>
            </w:r>
          </w:p>
        </w:tc>
        <w:tc>
          <w:tcPr>
            <w:tcW w:w="1690" w:type="dxa"/>
            <w:vAlign w:val="center"/>
          </w:tcPr>
          <w:p w:rsidR="00BB5C1E" w:rsidRDefault="00AF434F">
            <w:pPr>
              <w:jc w:val="right"/>
            </w:pPr>
            <w:r>
              <w:rPr>
                <w:rFonts w:eastAsiaTheme="minorEastAsia"/>
                <w:color w:val="000000"/>
                <w:szCs w:val="21"/>
              </w:rPr>
              <w:t>150,203.49</w:t>
            </w:r>
          </w:p>
        </w:tc>
        <w:tc>
          <w:tcPr>
            <w:tcW w:w="997" w:type="dxa"/>
            <w:vAlign w:val="center"/>
          </w:tcPr>
          <w:p w:rsidR="00BB5C1E" w:rsidRDefault="00AF434F">
            <w:pPr>
              <w:jc w:val="right"/>
            </w:pPr>
            <w:r>
              <w:rPr>
                <w:rFonts w:eastAsiaTheme="minorEastAsia"/>
                <w:color w:val="000000"/>
                <w:szCs w:val="21"/>
              </w:rPr>
              <w:t>0.27</w:t>
            </w:r>
          </w:p>
        </w:tc>
      </w:tr>
      <w:tr w:rsidR="00BB5C1E">
        <w:trPr>
          <w:jc w:val="center"/>
        </w:trPr>
        <w:tc>
          <w:tcPr>
            <w:tcW w:w="771" w:type="dxa"/>
            <w:vAlign w:val="center"/>
          </w:tcPr>
          <w:p w:rsidR="00BB5C1E" w:rsidRDefault="00AF434F">
            <w:pPr>
              <w:jc w:val="center"/>
            </w:pPr>
            <w:r>
              <w:rPr>
                <w:rFonts w:eastAsiaTheme="minorEastAsia"/>
                <w:color w:val="000000"/>
                <w:szCs w:val="21"/>
              </w:rPr>
              <w:t>29</w:t>
            </w:r>
          </w:p>
        </w:tc>
        <w:tc>
          <w:tcPr>
            <w:tcW w:w="905" w:type="dxa"/>
            <w:vAlign w:val="center"/>
          </w:tcPr>
          <w:p w:rsidR="00BB5C1E" w:rsidRDefault="00AF434F">
            <w:pPr>
              <w:jc w:val="center"/>
            </w:pPr>
            <w:r>
              <w:rPr>
                <w:rFonts w:eastAsiaTheme="minorEastAsia"/>
                <w:color w:val="000000"/>
                <w:szCs w:val="21"/>
              </w:rPr>
              <w:t>Capri Holdings Limit</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CPRI US</w:t>
            </w:r>
          </w:p>
        </w:tc>
        <w:tc>
          <w:tcPr>
            <w:tcW w:w="847" w:type="dxa"/>
            <w:vAlign w:val="center"/>
          </w:tcPr>
          <w:p w:rsidR="00BB5C1E" w:rsidRDefault="00AF434F">
            <w:pPr>
              <w:jc w:val="center"/>
            </w:pPr>
            <w:r>
              <w:rPr>
                <w:rFonts w:eastAsiaTheme="minorEastAsia"/>
                <w:color w:val="000000"/>
                <w:szCs w:val="21"/>
              </w:rPr>
              <w:t>纽约证券交易所</w:t>
            </w:r>
          </w:p>
        </w:tc>
        <w:tc>
          <w:tcPr>
            <w:tcW w:w="1025" w:type="dxa"/>
            <w:vAlign w:val="center"/>
          </w:tcPr>
          <w:p w:rsidR="00BB5C1E" w:rsidRDefault="00AF434F">
            <w:pPr>
              <w:jc w:val="center"/>
            </w:pPr>
            <w:r>
              <w:rPr>
                <w:rFonts w:eastAsiaTheme="minorEastAsia"/>
                <w:color w:val="000000"/>
                <w:szCs w:val="21"/>
              </w:rPr>
              <w:t>美国</w:t>
            </w:r>
          </w:p>
        </w:tc>
        <w:tc>
          <w:tcPr>
            <w:tcW w:w="1015" w:type="dxa"/>
            <w:vAlign w:val="center"/>
          </w:tcPr>
          <w:p w:rsidR="00BB5C1E" w:rsidRDefault="00AF434F">
            <w:pPr>
              <w:jc w:val="right"/>
            </w:pPr>
            <w:r>
              <w:rPr>
                <w:rFonts w:eastAsiaTheme="minorEastAsia"/>
                <w:color w:val="000000"/>
                <w:szCs w:val="21"/>
              </w:rPr>
              <w:t>1,275</w:t>
            </w:r>
          </w:p>
        </w:tc>
        <w:tc>
          <w:tcPr>
            <w:tcW w:w="1690" w:type="dxa"/>
            <w:vAlign w:val="center"/>
          </w:tcPr>
          <w:p w:rsidR="00BB5C1E" w:rsidRDefault="00AF434F">
            <w:pPr>
              <w:jc w:val="right"/>
            </w:pPr>
            <w:r>
              <w:rPr>
                <w:rFonts w:eastAsiaTheme="minorEastAsia"/>
                <w:color w:val="000000"/>
                <w:szCs w:val="21"/>
              </w:rPr>
              <w:t>141,082.05</w:t>
            </w:r>
          </w:p>
        </w:tc>
        <w:tc>
          <w:tcPr>
            <w:tcW w:w="997" w:type="dxa"/>
            <w:vAlign w:val="center"/>
          </w:tcPr>
          <w:p w:rsidR="00BB5C1E" w:rsidRDefault="00AF434F">
            <w:pPr>
              <w:jc w:val="right"/>
            </w:pPr>
            <w:r>
              <w:rPr>
                <w:rFonts w:eastAsiaTheme="minorEastAsia"/>
                <w:color w:val="000000"/>
                <w:szCs w:val="21"/>
              </w:rPr>
              <w:t>0.25</w:t>
            </w:r>
          </w:p>
        </w:tc>
      </w:tr>
      <w:tr w:rsidR="00BB5C1E">
        <w:trPr>
          <w:jc w:val="center"/>
        </w:trPr>
        <w:tc>
          <w:tcPr>
            <w:tcW w:w="771" w:type="dxa"/>
            <w:vAlign w:val="center"/>
          </w:tcPr>
          <w:p w:rsidR="00BB5C1E" w:rsidRDefault="00AF434F">
            <w:pPr>
              <w:jc w:val="center"/>
            </w:pPr>
            <w:r>
              <w:rPr>
                <w:rFonts w:eastAsiaTheme="minorEastAsia"/>
                <w:color w:val="000000"/>
                <w:szCs w:val="21"/>
              </w:rPr>
              <w:t>30</w:t>
            </w:r>
          </w:p>
        </w:tc>
        <w:tc>
          <w:tcPr>
            <w:tcW w:w="905" w:type="dxa"/>
            <w:vAlign w:val="center"/>
          </w:tcPr>
          <w:p w:rsidR="00BB5C1E" w:rsidRDefault="00AF434F">
            <w:pPr>
              <w:jc w:val="center"/>
            </w:pPr>
            <w:r>
              <w:rPr>
                <w:rFonts w:eastAsiaTheme="minorEastAsia"/>
                <w:color w:val="000000"/>
                <w:szCs w:val="21"/>
              </w:rPr>
              <w:t>Remy Cointreau SA</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RCO FP</w:t>
            </w:r>
          </w:p>
        </w:tc>
        <w:tc>
          <w:tcPr>
            <w:tcW w:w="847" w:type="dxa"/>
            <w:vAlign w:val="center"/>
          </w:tcPr>
          <w:p w:rsidR="00BB5C1E" w:rsidRDefault="00AF434F">
            <w:pPr>
              <w:jc w:val="center"/>
            </w:pPr>
            <w:r>
              <w:rPr>
                <w:rFonts w:eastAsiaTheme="minorEastAsia"/>
                <w:color w:val="000000"/>
                <w:szCs w:val="21"/>
              </w:rPr>
              <w:t>泛欧证券交易所</w:t>
            </w:r>
          </w:p>
        </w:tc>
        <w:tc>
          <w:tcPr>
            <w:tcW w:w="1025" w:type="dxa"/>
            <w:vAlign w:val="center"/>
          </w:tcPr>
          <w:p w:rsidR="00BB5C1E" w:rsidRDefault="00AF434F">
            <w:pPr>
              <w:jc w:val="center"/>
            </w:pPr>
            <w:r>
              <w:rPr>
                <w:rFonts w:eastAsiaTheme="minorEastAsia"/>
                <w:color w:val="000000"/>
                <w:szCs w:val="21"/>
              </w:rPr>
              <w:t>法国</w:t>
            </w:r>
          </w:p>
        </w:tc>
        <w:tc>
          <w:tcPr>
            <w:tcW w:w="1015" w:type="dxa"/>
            <w:vAlign w:val="center"/>
          </w:tcPr>
          <w:p w:rsidR="00BB5C1E" w:rsidRDefault="00AF434F">
            <w:pPr>
              <w:jc w:val="right"/>
            </w:pPr>
            <w:r>
              <w:rPr>
                <w:rFonts w:eastAsiaTheme="minorEastAsia"/>
                <w:color w:val="000000"/>
                <w:szCs w:val="21"/>
              </w:rPr>
              <w:t>138</w:t>
            </w:r>
          </w:p>
        </w:tc>
        <w:tc>
          <w:tcPr>
            <w:tcW w:w="1690" w:type="dxa"/>
            <w:vAlign w:val="center"/>
          </w:tcPr>
          <w:p w:rsidR="00BB5C1E" w:rsidRDefault="00AF434F">
            <w:pPr>
              <w:jc w:val="right"/>
            </w:pPr>
            <w:r>
              <w:rPr>
                <w:rFonts w:eastAsiaTheme="minorEastAsia"/>
                <w:color w:val="000000"/>
                <w:szCs w:val="21"/>
              </w:rPr>
              <w:t>133,152.50</w:t>
            </w:r>
          </w:p>
        </w:tc>
        <w:tc>
          <w:tcPr>
            <w:tcW w:w="997" w:type="dxa"/>
            <w:vAlign w:val="center"/>
          </w:tcPr>
          <w:p w:rsidR="00BB5C1E" w:rsidRDefault="00AF434F">
            <w:pPr>
              <w:jc w:val="right"/>
            </w:pPr>
            <w:r>
              <w:rPr>
                <w:rFonts w:eastAsiaTheme="minorEastAsia"/>
                <w:color w:val="000000"/>
                <w:szCs w:val="21"/>
              </w:rPr>
              <w:t>0.24</w:t>
            </w:r>
          </w:p>
        </w:tc>
      </w:tr>
      <w:tr w:rsidR="00BB5C1E">
        <w:trPr>
          <w:jc w:val="center"/>
        </w:trPr>
        <w:tc>
          <w:tcPr>
            <w:tcW w:w="771" w:type="dxa"/>
            <w:vAlign w:val="center"/>
          </w:tcPr>
          <w:p w:rsidR="00BB5C1E" w:rsidRDefault="00AF434F">
            <w:pPr>
              <w:jc w:val="center"/>
            </w:pPr>
            <w:r>
              <w:rPr>
                <w:rFonts w:eastAsiaTheme="minorEastAsia"/>
                <w:color w:val="000000"/>
                <w:szCs w:val="21"/>
              </w:rPr>
              <w:t>31</w:t>
            </w:r>
          </w:p>
        </w:tc>
        <w:tc>
          <w:tcPr>
            <w:tcW w:w="905" w:type="dxa"/>
            <w:vAlign w:val="center"/>
          </w:tcPr>
          <w:p w:rsidR="00BB5C1E" w:rsidRDefault="00AF434F">
            <w:pPr>
              <w:jc w:val="center"/>
            </w:pPr>
            <w:r>
              <w:rPr>
                <w:rFonts w:eastAsiaTheme="minorEastAsia"/>
                <w:color w:val="000000"/>
                <w:szCs w:val="21"/>
              </w:rPr>
              <w:t>Canada Goose Holdings Inc</w:t>
            </w:r>
          </w:p>
        </w:tc>
        <w:tc>
          <w:tcPr>
            <w:tcW w:w="1015" w:type="dxa"/>
            <w:vAlign w:val="center"/>
          </w:tcPr>
          <w:p w:rsidR="00BB5C1E" w:rsidRDefault="00AF434F">
            <w:pPr>
              <w:jc w:val="center"/>
            </w:pPr>
            <w:r>
              <w:rPr>
                <w:rFonts w:eastAsiaTheme="minorEastAsia"/>
                <w:color w:val="000000"/>
                <w:szCs w:val="21"/>
              </w:rPr>
              <w:t>-</w:t>
            </w:r>
          </w:p>
        </w:tc>
        <w:tc>
          <w:tcPr>
            <w:tcW w:w="1184" w:type="dxa"/>
            <w:vAlign w:val="center"/>
          </w:tcPr>
          <w:p w:rsidR="00BB5C1E" w:rsidRDefault="00AF434F">
            <w:pPr>
              <w:jc w:val="center"/>
            </w:pPr>
            <w:r>
              <w:rPr>
                <w:rFonts w:eastAsiaTheme="minorEastAsia"/>
                <w:color w:val="000000"/>
                <w:szCs w:val="21"/>
              </w:rPr>
              <w:t>GOOS US</w:t>
            </w:r>
          </w:p>
        </w:tc>
        <w:tc>
          <w:tcPr>
            <w:tcW w:w="847" w:type="dxa"/>
            <w:vAlign w:val="center"/>
          </w:tcPr>
          <w:p w:rsidR="00BB5C1E" w:rsidRDefault="00AF434F">
            <w:pPr>
              <w:jc w:val="center"/>
            </w:pPr>
            <w:r>
              <w:rPr>
                <w:rFonts w:eastAsiaTheme="minorEastAsia"/>
                <w:color w:val="000000"/>
                <w:szCs w:val="21"/>
              </w:rPr>
              <w:t>纽约证券交易所</w:t>
            </w:r>
          </w:p>
        </w:tc>
        <w:tc>
          <w:tcPr>
            <w:tcW w:w="1025" w:type="dxa"/>
            <w:vAlign w:val="center"/>
          </w:tcPr>
          <w:p w:rsidR="00BB5C1E" w:rsidRDefault="00AF434F">
            <w:pPr>
              <w:jc w:val="center"/>
            </w:pPr>
            <w:r>
              <w:rPr>
                <w:rFonts w:eastAsiaTheme="minorEastAsia"/>
                <w:color w:val="000000"/>
                <w:szCs w:val="21"/>
              </w:rPr>
              <w:t>美国</w:t>
            </w:r>
          </w:p>
        </w:tc>
        <w:tc>
          <w:tcPr>
            <w:tcW w:w="1015" w:type="dxa"/>
            <w:vAlign w:val="center"/>
          </w:tcPr>
          <w:p w:rsidR="00BB5C1E" w:rsidRDefault="00AF434F">
            <w:pPr>
              <w:jc w:val="right"/>
            </w:pPr>
            <w:r>
              <w:rPr>
                <w:rFonts w:eastAsiaTheme="minorEastAsia"/>
                <w:color w:val="000000"/>
                <w:szCs w:val="21"/>
              </w:rPr>
              <w:t>800</w:t>
            </w:r>
          </w:p>
        </w:tc>
        <w:tc>
          <w:tcPr>
            <w:tcW w:w="1690" w:type="dxa"/>
            <w:vAlign w:val="center"/>
          </w:tcPr>
          <w:p w:rsidR="00BB5C1E" w:rsidRDefault="00AF434F">
            <w:pPr>
              <w:jc w:val="right"/>
            </w:pPr>
            <w:r>
              <w:rPr>
                <w:rFonts w:eastAsiaTheme="minorEastAsia"/>
                <w:color w:val="000000"/>
                <w:szCs w:val="21"/>
              </w:rPr>
              <w:t>131,225.61</w:t>
            </w:r>
          </w:p>
        </w:tc>
        <w:tc>
          <w:tcPr>
            <w:tcW w:w="997" w:type="dxa"/>
            <w:vAlign w:val="center"/>
          </w:tcPr>
          <w:p w:rsidR="00BB5C1E" w:rsidRDefault="00AF434F">
            <w:pPr>
              <w:jc w:val="right"/>
            </w:pPr>
            <w:r>
              <w:rPr>
                <w:rFonts w:eastAsiaTheme="minorEastAsia"/>
                <w:color w:val="000000"/>
                <w:szCs w:val="21"/>
              </w:rPr>
              <w:t>0.24</w:t>
            </w:r>
          </w:p>
        </w:tc>
      </w:tr>
    </w:tbl>
    <w:p w:rsidR="00FF05DE"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注：此处所用证券代码的类别是当地市场代码。</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25" w:name="_Toc224618380"/>
      <w:bookmarkStart w:id="226" w:name="_Toc248233027"/>
      <w:bookmarkStart w:id="227" w:name="_Toc249790559"/>
      <w:bookmarkStart w:id="228" w:name="_Toc286929760"/>
      <w:bookmarkStart w:id="229" w:name="_Toc352255999"/>
      <w:bookmarkStart w:id="230" w:name="_Toc352256067"/>
      <w:bookmarkStart w:id="231" w:name="_Toc352331245"/>
      <w:bookmarkStart w:id="232" w:name="_Toc390164827"/>
      <w:bookmarkStart w:id="233" w:name="_Toc48662931"/>
      <w:r w:rsidRPr="0087359D">
        <w:rPr>
          <w:rFonts w:ascii="宋体" w:hAnsi="宋体"/>
          <w:kern w:val="0"/>
          <w:sz w:val="21"/>
          <w:szCs w:val="21"/>
        </w:rPr>
        <w:t>7.5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w:t>
      </w:r>
      <w:r w:rsidR="0057004B" w:rsidRPr="004F2CA9">
        <w:rPr>
          <w:rFonts w:ascii="宋体" w:hAnsi="宋体" w:hint="eastAsia"/>
          <w:kern w:val="0"/>
          <w:sz w:val="21"/>
          <w:szCs w:val="21"/>
        </w:rPr>
        <w:t>权益</w:t>
      </w:r>
      <w:r w:rsidRPr="00C24ACA">
        <w:rPr>
          <w:rFonts w:ascii="Times New Roman" w:eastAsiaTheme="minorEastAsia" w:hAnsi="Times New Roman"/>
          <w:kern w:val="0"/>
          <w:sz w:val="21"/>
          <w:szCs w:val="21"/>
        </w:rPr>
        <w:t>投资组合的重大变动</w:t>
      </w:r>
      <w:bookmarkEnd w:id="225"/>
      <w:bookmarkEnd w:id="226"/>
      <w:bookmarkEnd w:id="227"/>
      <w:bookmarkEnd w:id="228"/>
      <w:bookmarkEnd w:id="229"/>
      <w:bookmarkEnd w:id="230"/>
      <w:bookmarkEnd w:id="231"/>
      <w:bookmarkEnd w:id="232"/>
      <w:bookmarkEnd w:id="233"/>
    </w:p>
    <w:p w:rsidR="008A5A5D" w:rsidRPr="00C24ACA" w:rsidRDefault="008A5A5D" w:rsidP="006313B1">
      <w:pPr>
        <w:autoSpaceDE w:val="0"/>
        <w:autoSpaceDN w:val="0"/>
        <w:adjustRightInd w:val="0"/>
        <w:snapToGrid w:val="0"/>
        <w:spacing w:line="360" w:lineRule="auto"/>
        <w:jc w:val="left"/>
        <w:rPr>
          <w:rFonts w:eastAsiaTheme="minorEastAsia"/>
          <w:b/>
          <w:color w:val="000000"/>
          <w:kern w:val="0"/>
          <w:szCs w:val="21"/>
        </w:rPr>
      </w:pPr>
      <w:r w:rsidRPr="00C24ACA">
        <w:rPr>
          <w:rFonts w:eastAsiaTheme="minorEastAsia"/>
          <w:b/>
          <w:kern w:val="0"/>
          <w:szCs w:val="21"/>
        </w:rPr>
        <w:t>7.5.1</w:t>
      </w:r>
      <w:r w:rsidRPr="00C24ACA">
        <w:rPr>
          <w:rFonts w:eastAsiaTheme="minorEastAsia"/>
          <w:b/>
          <w:color w:val="000000"/>
          <w:kern w:val="0"/>
          <w:szCs w:val="21"/>
        </w:rPr>
        <w:t>累计买入金额超出</w:t>
      </w:r>
      <w:r w:rsidR="00243C23" w:rsidRPr="00C24ACA">
        <w:rPr>
          <w:rFonts w:eastAsiaTheme="minorEastAsia"/>
          <w:b/>
          <w:color w:val="000000"/>
          <w:kern w:val="0"/>
          <w:szCs w:val="21"/>
        </w:rPr>
        <w:t>期初</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3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48"/>
        <w:gridCol w:w="2378"/>
        <w:gridCol w:w="2552"/>
        <w:gridCol w:w="2130"/>
        <w:gridCol w:w="1650"/>
      </w:tblGrid>
      <w:tr w:rsidR="008A5A5D" w:rsidRPr="00C24ACA" w:rsidTr="00B73AA7">
        <w:trPr>
          <w:trHeight w:val="315"/>
          <w:jc w:val="center"/>
        </w:trPr>
        <w:tc>
          <w:tcPr>
            <w:tcW w:w="648"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2378"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公司名称（英文）</w:t>
            </w:r>
          </w:p>
        </w:tc>
        <w:tc>
          <w:tcPr>
            <w:tcW w:w="2552"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证券代码</w:t>
            </w:r>
          </w:p>
        </w:tc>
        <w:tc>
          <w:tcPr>
            <w:tcW w:w="2130"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本期累计买入金额</w:t>
            </w:r>
          </w:p>
        </w:tc>
        <w:tc>
          <w:tcPr>
            <w:tcW w:w="1650"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w:t>
            </w:r>
            <w:r w:rsidR="00551AB1" w:rsidRPr="00C24ACA">
              <w:rPr>
                <w:rFonts w:eastAsiaTheme="minorEastAsia"/>
                <w:color w:val="000000"/>
                <w:szCs w:val="21"/>
              </w:rPr>
              <w:t>期初</w:t>
            </w:r>
            <w:r w:rsidRPr="00C24ACA">
              <w:rPr>
                <w:rFonts w:eastAsiaTheme="minorEastAsia"/>
                <w:color w:val="000000"/>
                <w:szCs w:val="21"/>
              </w:rPr>
              <w:t>基金</w:t>
            </w:r>
          </w:p>
          <w:p w:rsidR="008A5A5D" w:rsidRPr="00C24ACA" w:rsidRDefault="008A5A5D" w:rsidP="004A4847">
            <w:pPr>
              <w:jc w:val="center"/>
              <w:rPr>
                <w:rFonts w:eastAsiaTheme="minorEastAsia"/>
                <w:color w:val="000000"/>
                <w:szCs w:val="21"/>
              </w:rPr>
            </w:pPr>
            <w:r w:rsidRPr="00C24ACA">
              <w:rPr>
                <w:rFonts w:eastAsiaTheme="minorEastAsia"/>
                <w:color w:val="000000"/>
                <w:szCs w:val="21"/>
              </w:rPr>
              <w:t>资产净值比例（％）</w:t>
            </w:r>
          </w:p>
        </w:tc>
      </w:tr>
      <w:tr w:rsidR="00BB5C1E">
        <w:trPr>
          <w:jc w:val="center"/>
        </w:trPr>
        <w:tc>
          <w:tcPr>
            <w:tcW w:w="648" w:type="dxa"/>
            <w:vAlign w:val="center"/>
          </w:tcPr>
          <w:p w:rsidR="00BB5C1E" w:rsidRDefault="00AF434F">
            <w:pPr>
              <w:jc w:val="center"/>
            </w:pPr>
            <w:r>
              <w:rPr>
                <w:rFonts w:eastAsiaTheme="minorEastAsia"/>
                <w:color w:val="000000"/>
                <w:szCs w:val="21"/>
              </w:rPr>
              <w:t>1</w:t>
            </w:r>
          </w:p>
        </w:tc>
        <w:tc>
          <w:tcPr>
            <w:tcW w:w="2378" w:type="dxa"/>
            <w:vAlign w:val="center"/>
          </w:tcPr>
          <w:p w:rsidR="00BB5C1E" w:rsidRDefault="00AF434F">
            <w:pPr>
              <w:jc w:val="center"/>
            </w:pPr>
            <w:r>
              <w:rPr>
                <w:rFonts w:eastAsiaTheme="minorEastAsia"/>
                <w:color w:val="000000"/>
                <w:szCs w:val="21"/>
              </w:rPr>
              <w:t>Tencent Holdings Ltd</w:t>
            </w:r>
          </w:p>
        </w:tc>
        <w:tc>
          <w:tcPr>
            <w:tcW w:w="2552" w:type="dxa"/>
            <w:vAlign w:val="center"/>
          </w:tcPr>
          <w:p w:rsidR="00BB5C1E" w:rsidRDefault="00AF434F">
            <w:pPr>
              <w:jc w:val="center"/>
            </w:pPr>
            <w:r>
              <w:rPr>
                <w:rFonts w:eastAsiaTheme="minorEastAsia"/>
                <w:color w:val="000000"/>
                <w:szCs w:val="21"/>
              </w:rPr>
              <w:t>700 HK</w:t>
            </w:r>
          </w:p>
        </w:tc>
        <w:tc>
          <w:tcPr>
            <w:tcW w:w="2130" w:type="dxa"/>
            <w:vAlign w:val="center"/>
          </w:tcPr>
          <w:p w:rsidR="00BB5C1E" w:rsidRDefault="00AF434F">
            <w:pPr>
              <w:jc w:val="center"/>
            </w:pPr>
            <w:r>
              <w:rPr>
                <w:rFonts w:eastAsiaTheme="minorEastAsia"/>
                <w:color w:val="000000"/>
                <w:szCs w:val="21"/>
              </w:rPr>
              <w:t>3,856,735.36</w:t>
            </w:r>
          </w:p>
        </w:tc>
        <w:tc>
          <w:tcPr>
            <w:tcW w:w="1650" w:type="dxa"/>
            <w:vAlign w:val="center"/>
          </w:tcPr>
          <w:p w:rsidR="00BB5C1E" w:rsidRDefault="00AF434F">
            <w:pPr>
              <w:jc w:val="center"/>
            </w:pPr>
            <w:r>
              <w:rPr>
                <w:rFonts w:eastAsiaTheme="minorEastAsia"/>
                <w:color w:val="000000"/>
                <w:szCs w:val="21"/>
              </w:rPr>
              <w:t>6.96</w:t>
            </w:r>
          </w:p>
        </w:tc>
      </w:tr>
      <w:tr w:rsidR="00BB5C1E">
        <w:trPr>
          <w:jc w:val="center"/>
        </w:trPr>
        <w:tc>
          <w:tcPr>
            <w:tcW w:w="648" w:type="dxa"/>
            <w:vAlign w:val="center"/>
          </w:tcPr>
          <w:p w:rsidR="00BB5C1E" w:rsidRDefault="00AF434F">
            <w:pPr>
              <w:jc w:val="center"/>
            </w:pPr>
            <w:r>
              <w:rPr>
                <w:rFonts w:eastAsiaTheme="minorEastAsia"/>
                <w:color w:val="000000"/>
                <w:szCs w:val="21"/>
              </w:rPr>
              <w:t>2</w:t>
            </w:r>
          </w:p>
        </w:tc>
        <w:tc>
          <w:tcPr>
            <w:tcW w:w="2378" w:type="dxa"/>
            <w:vAlign w:val="center"/>
          </w:tcPr>
          <w:p w:rsidR="00BB5C1E" w:rsidRDefault="00AF434F">
            <w:pPr>
              <w:jc w:val="center"/>
            </w:pPr>
            <w:r>
              <w:rPr>
                <w:rFonts w:eastAsiaTheme="minorEastAsia"/>
                <w:color w:val="000000"/>
                <w:szCs w:val="21"/>
              </w:rPr>
              <w:t>Estee Lauder Cos Inc</w:t>
            </w:r>
          </w:p>
        </w:tc>
        <w:tc>
          <w:tcPr>
            <w:tcW w:w="2552" w:type="dxa"/>
            <w:vAlign w:val="center"/>
          </w:tcPr>
          <w:p w:rsidR="00BB5C1E" w:rsidRDefault="00AF434F">
            <w:pPr>
              <w:jc w:val="center"/>
            </w:pPr>
            <w:r>
              <w:rPr>
                <w:rFonts w:eastAsiaTheme="minorEastAsia"/>
                <w:color w:val="000000"/>
                <w:szCs w:val="21"/>
              </w:rPr>
              <w:t>EL US</w:t>
            </w:r>
          </w:p>
        </w:tc>
        <w:tc>
          <w:tcPr>
            <w:tcW w:w="2130" w:type="dxa"/>
            <w:vAlign w:val="center"/>
          </w:tcPr>
          <w:p w:rsidR="00BB5C1E" w:rsidRDefault="00AF434F">
            <w:pPr>
              <w:jc w:val="center"/>
            </w:pPr>
            <w:r>
              <w:rPr>
                <w:rFonts w:eastAsiaTheme="minorEastAsia"/>
                <w:color w:val="000000"/>
                <w:szCs w:val="21"/>
              </w:rPr>
              <w:t>1,952,881.59</w:t>
            </w:r>
          </w:p>
        </w:tc>
        <w:tc>
          <w:tcPr>
            <w:tcW w:w="1650" w:type="dxa"/>
            <w:vAlign w:val="center"/>
          </w:tcPr>
          <w:p w:rsidR="00BB5C1E" w:rsidRDefault="00AF434F">
            <w:pPr>
              <w:jc w:val="center"/>
            </w:pPr>
            <w:r>
              <w:rPr>
                <w:rFonts w:eastAsiaTheme="minorEastAsia"/>
                <w:color w:val="000000"/>
                <w:szCs w:val="21"/>
              </w:rPr>
              <w:t>3.52</w:t>
            </w:r>
          </w:p>
        </w:tc>
      </w:tr>
      <w:tr w:rsidR="00BB5C1E">
        <w:trPr>
          <w:jc w:val="center"/>
        </w:trPr>
        <w:tc>
          <w:tcPr>
            <w:tcW w:w="648" w:type="dxa"/>
            <w:vAlign w:val="center"/>
          </w:tcPr>
          <w:p w:rsidR="00BB5C1E" w:rsidRDefault="00AF434F">
            <w:pPr>
              <w:jc w:val="center"/>
            </w:pPr>
            <w:r>
              <w:rPr>
                <w:rFonts w:eastAsiaTheme="minorEastAsia"/>
                <w:color w:val="000000"/>
                <w:szCs w:val="21"/>
              </w:rPr>
              <w:t>3</w:t>
            </w:r>
          </w:p>
        </w:tc>
        <w:tc>
          <w:tcPr>
            <w:tcW w:w="2378" w:type="dxa"/>
            <w:vAlign w:val="center"/>
          </w:tcPr>
          <w:p w:rsidR="00BB5C1E" w:rsidRDefault="00AF434F">
            <w:pPr>
              <w:jc w:val="center"/>
            </w:pPr>
            <w:r>
              <w:rPr>
                <w:rFonts w:eastAsiaTheme="minorEastAsia"/>
                <w:color w:val="000000"/>
                <w:szCs w:val="21"/>
              </w:rPr>
              <w:t>Shiseido Co Ltd</w:t>
            </w:r>
          </w:p>
        </w:tc>
        <w:tc>
          <w:tcPr>
            <w:tcW w:w="2552" w:type="dxa"/>
            <w:vAlign w:val="center"/>
          </w:tcPr>
          <w:p w:rsidR="00BB5C1E" w:rsidRDefault="00AF434F">
            <w:pPr>
              <w:jc w:val="center"/>
            </w:pPr>
            <w:r>
              <w:rPr>
                <w:rFonts w:eastAsiaTheme="minorEastAsia"/>
                <w:color w:val="000000"/>
                <w:szCs w:val="21"/>
              </w:rPr>
              <w:t>4911 JP</w:t>
            </w:r>
          </w:p>
        </w:tc>
        <w:tc>
          <w:tcPr>
            <w:tcW w:w="2130" w:type="dxa"/>
            <w:vAlign w:val="center"/>
          </w:tcPr>
          <w:p w:rsidR="00BB5C1E" w:rsidRDefault="00AF434F">
            <w:pPr>
              <w:jc w:val="center"/>
            </w:pPr>
            <w:r>
              <w:rPr>
                <w:rFonts w:eastAsiaTheme="minorEastAsia"/>
                <w:color w:val="000000"/>
                <w:szCs w:val="21"/>
              </w:rPr>
              <w:t>1,755,143.89</w:t>
            </w:r>
          </w:p>
        </w:tc>
        <w:tc>
          <w:tcPr>
            <w:tcW w:w="1650" w:type="dxa"/>
            <w:vAlign w:val="center"/>
          </w:tcPr>
          <w:p w:rsidR="00BB5C1E" w:rsidRDefault="00AF434F">
            <w:pPr>
              <w:jc w:val="center"/>
            </w:pPr>
            <w:r>
              <w:rPr>
                <w:rFonts w:eastAsiaTheme="minorEastAsia"/>
                <w:color w:val="000000"/>
                <w:szCs w:val="21"/>
              </w:rPr>
              <w:t>3.17</w:t>
            </w:r>
          </w:p>
        </w:tc>
      </w:tr>
      <w:tr w:rsidR="00BB5C1E">
        <w:trPr>
          <w:jc w:val="center"/>
        </w:trPr>
        <w:tc>
          <w:tcPr>
            <w:tcW w:w="648" w:type="dxa"/>
            <w:vAlign w:val="center"/>
          </w:tcPr>
          <w:p w:rsidR="00BB5C1E" w:rsidRDefault="00AF434F">
            <w:pPr>
              <w:jc w:val="center"/>
            </w:pPr>
            <w:r>
              <w:rPr>
                <w:rFonts w:eastAsiaTheme="minorEastAsia"/>
                <w:color w:val="000000"/>
                <w:szCs w:val="21"/>
              </w:rPr>
              <w:t>4</w:t>
            </w:r>
          </w:p>
        </w:tc>
        <w:tc>
          <w:tcPr>
            <w:tcW w:w="2378" w:type="dxa"/>
            <w:vAlign w:val="center"/>
          </w:tcPr>
          <w:p w:rsidR="00BB5C1E" w:rsidRDefault="00AF434F">
            <w:pPr>
              <w:jc w:val="center"/>
            </w:pPr>
            <w:r>
              <w:rPr>
                <w:rFonts w:eastAsiaTheme="minorEastAsia"/>
                <w:color w:val="000000"/>
                <w:szCs w:val="21"/>
              </w:rPr>
              <w:t>Tesla Inc</w:t>
            </w:r>
          </w:p>
        </w:tc>
        <w:tc>
          <w:tcPr>
            <w:tcW w:w="2552" w:type="dxa"/>
            <w:vAlign w:val="center"/>
          </w:tcPr>
          <w:p w:rsidR="00BB5C1E" w:rsidRDefault="00AF434F">
            <w:pPr>
              <w:jc w:val="center"/>
            </w:pPr>
            <w:r>
              <w:rPr>
                <w:rFonts w:eastAsiaTheme="minorEastAsia"/>
                <w:color w:val="000000"/>
                <w:szCs w:val="21"/>
              </w:rPr>
              <w:t>TSLA US</w:t>
            </w:r>
          </w:p>
        </w:tc>
        <w:tc>
          <w:tcPr>
            <w:tcW w:w="2130" w:type="dxa"/>
            <w:vAlign w:val="center"/>
          </w:tcPr>
          <w:p w:rsidR="00BB5C1E" w:rsidRDefault="00AF434F">
            <w:pPr>
              <w:jc w:val="center"/>
            </w:pPr>
            <w:r>
              <w:rPr>
                <w:rFonts w:eastAsiaTheme="minorEastAsia"/>
                <w:color w:val="000000"/>
                <w:szCs w:val="21"/>
              </w:rPr>
              <w:t>1,692,374.12</w:t>
            </w:r>
          </w:p>
        </w:tc>
        <w:tc>
          <w:tcPr>
            <w:tcW w:w="1650" w:type="dxa"/>
            <w:vAlign w:val="center"/>
          </w:tcPr>
          <w:p w:rsidR="00BB5C1E" w:rsidRDefault="00AF434F">
            <w:pPr>
              <w:jc w:val="center"/>
            </w:pPr>
            <w:r>
              <w:rPr>
                <w:rFonts w:eastAsiaTheme="minorEastAsia"/>
                <w:color w:val="000000"/>
                <w:szCs w:val="21"/>
              </w:rPr>
              <w:t>3.05</w:t>
            </w:r>
          </w:p>
        </w:tc>
      </w:tr>
      <w:tr w:rsidR="00BB5C1E">
        <w:trPr>
          <w:jc w:val="center"/>
        </w:trPr>
        <w:tc>
          <w:tcPr>
            <w:tcW w:w="648" w:type="dxa"/>
            <w:vAlign w:val="center"/>
          </w:tcPr>
          <w:p w:rsidR="00BB5C1E" w:rsidRDefault="00AF434F">
            <w:pPr>
              <w:jc w:val="center"/>
            </w:pPr>
            <w:r>
              <w:rPr>
                <w:rFonts w:eastAsiaTheme="minorEastAsia"/>
                <w:color w:val="000000"/>
                <w:szCs w:val="21"/>
              </w:rPr>
              <w:t>5</w:t>
            </w:r>
          </w:p>
        </w:tc>
        <w:tc>
          <w:tcPr>
            <w:tcW w:w="2378" w:type="dxa"/>
            <w:vAlign w:val="center"/>
          </w:tcPr>
          <w:p w:rsidR="00BB5C1E" w:rsidRDefault="00AF434F">
            <w:pPr>
              <w:jc w:val="center"/>
            </w:pPr>
            <w:r>
              <w:rPr>
                <w:rFonts w:eastAsiaTheme="minorEastAsia"/>
                <w:color w:val="000000"/>
                <w:szCs w:val="21"/>
              </w:rPr>
              <w:t>Diageo PLC</w:t>
            </w:r>
          </w:p>
        </w:tc>
        <w:tc>
          <w:tcPr>
            <w:tcW w:w="2552" w:type="dxa"/>
            <w:vAlign w:val="center"/>
          </w:tcPr>
          <w:p w:rsidR="00BB5C1E" w:rsidRDefault="00AF434F">
            <w:pPr>
              <w:jc w:val="center"/>
            </w:pPr>
            <w:r>
              <w:rPr>
                <w:rFonts w:eastAsiaTheme="minorEastAsia"/>
                <w:color w:val="000000"/>
                <w:szCs w:val="21"/>
              </w:rPr>
              <w:t>DGE LN</w:t>
            </w:r>
          </w:p>
        </w:tc>
        <w:tc>
          <w:tcPr>
            <w:tcW w:w="2130" w:type="dxa"/>
            <w:vAlign w:val="center"/>
          </w:tcPr>
          <w:p w:rsidR="00BB5C1E" w:rsidRDefault="00AF434F">
            <w:pPr>
              <w:jc w:val="center"/>
            </w:pPr>
            <w:r>
              <w:rPr>
                <w:rFonts w:eastAsiaTheme="minorEastAsia"/>
                <w:color w:val="000000"/>
                <w:szCs w:val="21"/>
              </w:rPr>
              <w:t>1,158,270.30</w:t>
            </w:r>
          </w:p>
        </w:tc>
        <w:tc>
          <w:tcPr>
            <w:tcW w:w="1650" w:type="dxa"/>
            <w:vAlign w:val="center"/>
          </w:tcPr>
          <w:p w:rsidR="00BB5C1E" w:rsidRDefault="00AF434F">
            <w:pPr>
              <w:jc w:val="center"/>
            </w:pPr>
            <w:r>
              <w:rPr>
                <w:rFonts w:eastAsiaTheme="minorEastAsia"/>
                <w:color w:val="000000"/>
                <w:szCs w:val="21"/>
              </w:rPr>
              <w:t>2.09</w:t>
            </w:r>
          </w:p>
        </w:tc>
      </w:tr>
      <w:tr w:rsidR="00BB5C1E">
        <w:trPr>
          <w:jc w:val="center"/>
        </w:trPr>
        <w:tc>
          <w:tcPr>
            <w:tcW w:w="648" w:type="dxa"/>
            <w:vAlign w:val="center"/>
          </w:tcPr>
          <w:p w:rsidR="00BB5C1E" w:rsidRDefault="00AF434F">
            <w:pPr>
              <w:jc w:val="center"/>
            </w:pPr>
            <w:r>
              <w:rPr>
                <w:rFonts w:eastAsiaTheme="minorEastAsia"/>
                <w:color w:val="000000"/>
                <w:szCs w:val="21"/>
              </w:rPr>
              <w:t>6</w:t>
            </w:r>
          </w:p>
        </w:tc>
        <w:tc>
          <w:tcPr>
            <w:tcW w:w="2378" w:type="dxa"/>
            <w:vAlign w:val="center"/>
          </w:tcPr>
          <w:p w:rsidR="00BB5C1E" w:rsidRDefault="00AF434F">
            <w:pPr>
              <w:jc w:val="center"/>
            </w:pPr>
            <w:r>
              <w:rPr>
                <w:rFonts w:eastAsiaTheme="minorEastAsia"/>
                <w:color w:val="000000"/>
                <w:szCs w:val="21"/>
              </w:rPr>
              <w:t>LVMH Moet Hennessy Louis Vuitton SE</w:t>
            </w:r>
          </w:p>
        </w:tc>
        <w:tc>
          <w:tcPr>
            <w:tcW w:w="2552" w:type="dxa"/>
            <w:vAlign w:val="center"/>
          </w:tcPr>
          <w:p w:rsidR="00BB5C1E" w:rsidRDefault="00AF434F">
            <w:pPr>
              <w:jc w:val="center"/>
            </w:pPr>
            <w:r>
              <w:rPr>
                <w:rFonts w:eastAsiaTheme="minorEastAsia"/>
                <w:color w:val="000000"/>
                <w:szCs w:val="21"/>
              </w:rPr>
              <w:t>MC FP</w:t>
            </w:r>
          </w:p>
        </w:tc>
        <w:tc>
          <w:tcPr>
            <w:tcW w:w="2130" w:type="dxa"/>
            <w:vAlign w:val="center"/>
          </w:tcPr>
          <w:p w:rsidR="00BB5C1E" w:rsidRDefault="00AF434F">
            <w:pPr>
              <w:jc w:val="center"/>
            </w:pPr>
            <w:r>
              <w:rPr>
                <w:rFonts w:eastAsiaTheme="minorEastAsia"/>
                <w:color w:val="000000"/>
                <w:szCs w:val="21"/>
              </w:rPr>
              <w:t>1,085,548.90</w:t>
            </w:r>
          </w:p>
        </w:tc>
        <w:tc>
          <w:tcPr>
            <w:tcW w:w="1650" w:type="dxa"/>
            <w:vAlign w:val="center"/>
          </w:tcPr>
          <w:p w:rsidR="00BB5C1E" w:rsidRDefault="00AF434F">
            <w:pPr>
              <w:jc w:val="center"/>
            </w:pPr>
            <w:r>
              <w:rPr>
                <w:rFonts w:eastAsiaTheme="minorEastAsia"/>
                <w:color w:val="000000"/>
                <w:szCs w:val="21"/>
              </w:rPr>
              <w:t>1.96</w:t>
            </w:r>
          </w:p>
        </w:tc>
      </w:tr>
      <w:tr w:rsidR="00BB5C1E">
        <w:trPr>
          <w:jc w:val="center"/>
        </w:trPr>
        <w:tc>
          <w:tcPr>
            <w:tcW w:w="648" w:type="dxa"/>
            <w:vAlign w:val="center"/>
          </w:tcPr>
          <w:p w:rsidR="00BB5C1E" w:rsidRDefault="00AF434F">
            <w:pPr>
              <w:jc w:val="center"/>
            </w:pPr>
            <w:r>
              <w:rPr>
                <w:rFonts w:eastAsiaTheme="minorEastAsia"/>
                <w:color w:val="000000"/>
                <w:szCs w:val="21"/>
              </w:rPr>
              <w:t>7</w:t>
            </w:r>
          </w:p>
        </w:tc>
        <w:tc>
          <w:tcPr>
            <w:tcW w:w="2378" w:type="dxa"/>
            <w:vAlign w:val="center"/>
          </w:tcPr>
          <w:p w:rsidR="00BB5C1E" w:rsidRDefault="00AF434F">
            <w:pPr>
              <w:jc w:val="center"/>
            </w:pPr>
            <w:r>
              <w:rPr>
                <w:rFonts w:eastAsiaTheme="minorEastAsia"/>
                <w:color w:val="000000"/>
                <w:szCs w:val="21"/>
              </w:rPr>
              <w:t>Kering SA</w:t>
            </w:r>
          </w:p>
        </w:tc>
        <w:tc>
          <w:tcPr>
            <w:tcW w:w="2552" w:type="dxa"/>
            <w:vAlign w:val="center"/>
          </w:tcPr>
          <w:p w:rsidR="00BB5C1E" w:rsidRDefault="00AF434F">
            <w:pPr>
              <w:jc w:val="center"/>
            </w:pPr>
            <w:r>
              <w:rPr>
                <w:rFonts w:eastAsiaTheme="minorEastAsia"/>
                <w:color w:val="000000"/>
                <w:szCs w:val="21"/>
              </w:rPr>
              <w:t>KER FP</w:t>
            </w:r>
          </w:p>
        </w:tc>
        <w:tc>
          <w:tcPr>
            <w:tcW w:w="2130" w:type="dxa"/>
            <w:vAlign w:val="center"/>
          </w:tcPr>
          <w:p w:rsidR="00BB5C1E" w:rsidRDefault="00AF434F">
            <w:pPr>
              <w:jc w:val="center"/>
            </w:pPr>
            <w:r>
              <w:rPr>
                <w:rFonts w:eastAsiaTheme="minorEastAsia"/>
                <w:color w:val="000000"/>
                <w:szCs w:val="21"/>
              </w:rPr>
              <w:t>851,016.46</w:t>
            </w:r>
          </w:p>
        </w:tc>
        <w:tc>
          <w:tcPr>
            <w:tcW w:w="1650" w:type="dxa"/>
            <w:vAlign w:val="center"/>
          </w:tcPr>
          <w:p w:rsidR="00BB5C1E" w:rsidRDefault="00AF434F">
            <w:pPr>
              <w:jc w:val="center"/>
            </w:pPr>
            <w:r>
              <w:rPr>
                <w:rFonts w:eastAsiaTheme="minorEastAsia"/>
                <w:color w:val="000000"/>
                <w:szCs w:val="21"/>
              </w:rPr>
              <w:t>1.54</w:t>
            </w:r>
          </w:p>
        </w:tc>
      </w:tr>
      <w:tr w:rsidR="00BB5C1E">
        <w:trPr>
          <w:jc w:val="center"/>
        </w:trPr>
        <w:tc>
          <w:tcPr>
            <w:tcW w:w="648" w:type="dxa"/>
            <w:vAlign w:val="center"/>
          </w:tcPr>
          <w:p w:rsidR="00BB5C1E" w:rsidRDefault="00AF434F">
            <w:pPr>
              <w:jc w:val="center"/>
            </w:pPr>
            <w:r>
              <w:rPr>
                <w:rFonts w:eastAsiaTheme="minorEastAsia"/>
                <w:color w:val="000000"/>
                <w:szCs w:val="21"/>
              </w:rPr>
              <w:t>8</w:t>
            </w:r>
          </w:p>
        </w:tc>
        <w:tc>
          <w:tcPr>
            <w:tcW w:w="2378" w:type="dxa"/>
            <w:vAlign w:val="center"/>
          </w:tcPr>
          <w:p w:rsidR="00BB5C1E" w:rsidRDefault="00AF434F">
            <w:pPr>
              <w:jc w:val="center"/>
            </w:pPr>
            <w:r>
              <w:rPr>
                <w:rFonts w:eastAsiaTheme="minorEastAsia"/>
                <w:color w:val="000000"/>
                <w:szCs w:val="21"/>
              </w:rPr>
              <w:t>NIKE Inc</w:t>
            </w:r>
          </w:p>
        </w:tc>
        <w:tc>
          <w:tcPr>
            <w:tcW w:w="2552" w:type="dxa"/>
            <w:vAlign w:val="center"/>
          </w:tcPr>
          <w:p w:rsidR="00BB5C1E" w:rsidRDefault="00AF434F">
            <w:pPr>
              <w:jc w:val="center"/>
            </w:pPr>
            <w:r>
              <w:rPr>
                <w:rFonts w:eastAsiaTheme="minorEastAsia"/>
                <w:color w:val="000000"/>
                <w:szCs w:val="21"/>
              </w:rPr>
              <w:t>NKE US</w:t>
            </w:r>
          </w:p>
        </w:tc>
        <w:tc>
          <w:tcPr>
            <w:tcW w:w="2130" w:type="dxa"/>
            <w:vAlign w:val="center"/>
          </w:tcPr>
          <w:p w:rsidR="00BB5C1E" w:rsidRDefault="00AF434F">
            <w:pPr>
              <w:jc w:val="center"/>
            </w:pPr>
            <w:r>
              <w:rPr>
                <w:rFonts w:eastAsiaTheme="minorEastAsia"/>
                <w:color w:val="000000"/>
                <w:szCs w:val="21"/>
              </w:rPr>
              <w:t>549,658.55</w:t>
            </w:r>
          </w:p>
        </w:tc>
        <w:tc>
          <w:tcPr>
            <w:tcW w:w="1650" w:type="dxa"/>
            <w:vAlign w:val="center"/>
          </w:tcPr>
          <w:p w:rsidR="00BB5C1E" w:rsidRDefault="00AF434F">
            <w:pPr>
              <w:jc w:val="center"/>
            </w:pPr>
            <w:r>
              <w:rPr>
                <w:rFonts w:eastAsiaTheme="minorEastAsia"/>
                <w:color w:val="000000"/>
                <w:szCs w:val="21"/>
              </w:rPr>
              <w:t>0.99</w:t>
            </w:r>
          </w:p>
        </w:tc>
      </w:tr>
      <w:tr w:rsidR="00BB5C1E">
        <w:trPr>
          <w:jc w:val="center"/>
        </w:trPr>
        <w:tc>
          <w:tcPr>
            <w:tcW w:w="648" w:type="dxa"/>
            <w:vAlign w:val="center"/>
          </w:tcPr>
          <w:p w:rsidR="00BB5C1E" w:rsidRDefault="00AF434F">
            <w:pPr>
              <w:jc w:val="center"/>
            </w:pPr>
            <w:r>
              <w:rPr>
                <w:rFonts w:eastAsiaTheme="minorEastAsia"/>
                <w:color w:val="000000"/>
                <w:szCs w:val="21"/>
              </w:rPr>
              <w:t>9</w:t>
            </w:r>
          </w:p>
        </w:tc>
        <w:tc>
          <w:tcPr>
            <w:tcW w:w="2378" w:type="dxa"/>
            <w:vAlign w:val="center"/>
          </w:tcPr>
          <w:p w:rsidR="00BB5C1E" w:rsidRDefault="00AF434F">
            <w:pPr>
              <w:jc w:val="center"/>
            </w:pPr>
            <w:r>
              <w:rPr>
                <w:rFonts w:eastAsiaTheme="minorEastAsia"/>
                <w:color w:val="000000"/>
                <w:szCs w:val="21"/>
              </w:rPr>
              <w:t>Pernod-Ricard SA</w:t>
            </w:r>
          </w:p>
        </w:tc>
        <w:tc>
          <w:tcPr>
            <w:tcW w:w="2552" w:type="dxa"/>
            <w:vAlign w:val="center"/>
          </w:tcPr>
          <w:p w:rsidR="00BB5C1E" w:rsidRDefault="00AF434F">
            <w:pPr>
              <w:jc w:val="center"/>
            </w:pPr>
            <w:r>
              <w:rPr>
                <w:rFonts w:eastAsiaTheme="minorEastAsia"/>
                <w:color w:val="000000"/>
                <w:szCs w:val="21"/>
              </w:rPr>
              <w:t>RI FP</w:t>
            </w:r>
          </w:p>
        </w:tc>
        <w:tc>
          <w:tcPr>
            <w:tcW w:w="2130" w:type="dxa"/>
            <w:vAlign w:val="center"/>
          </w:tcPr>
          <w:p w:rsidR="00BB5C1E" w:rsidRDefault="00AF434F">
            <w:pPr>
              <w:jc w:val="center"/>
            </w:pPr>
            <w:r>
              <w:rPr>
                <w:rFonts w:eastAsiaTheme="minorEastAsia"/>
                <w:color w:val="000000"/>
                <w:szCs w:val="21"/>
              </w:rPr>
              <w:t>442,241.05</w:t>
            </w:r>
          </w:p>
        </w:tc>
        <w:tc>
          <w:tcPr>
            <w:tcW w:w="1650" w:type="dxa"/>
            <w:vAlign w:val="center"/>
          </w:tcPr>
          <w:p w:rsidR="00BB5C1E" w:rsidRDefault="00AF434F">
            <w:pPr>
              <w:jc w:val="center"/>
            </w:pPr>
            <w:r>
              <w:rPr>
                <w:rFonts w:eastAsiaTheme="minorEastAsia"/>
                <w:color w:val="000000"/>
                <w:szCs w:val="21"/>
              </w:rPr>
              <w:t>0.80</w:t>
            </w:r>
          </w:p>
        </w:tc>
      </w:tr>
      <w:tr w:rsidR="00BB5C1E">
        <w:trPr>
          <w:jc w:val="center"/>
        </w:trPr>
        <w:tc>
          <w:tcPr>
            <w:tcW w:w="648" w:type="dxa"/>
            <w:vAlign w:val="center"/>
          </w:tcPr>
          <w:p w:rsidR="00BB5C1E" w:rsidRDefault="00AF434F">
            <w:pPr>
              <w:jc w:val="center"/>
            </w:pPr>
            <w:r>
              <w:rPr>
                <w:rFonts w:eastAsiaTheme="minorEastAsia"/>
                <w:color w:val="000000"/>
                <w:szCs w:val="21"/>
              </w:rPr>
              <w:t>10</w:t>
            </w:r>
          </w:p>
        </w:tc>
        <w:tc>
          <w:tcPr>
            <w:tcW w:w="2378" w:type="dxa"/>
            <w:vAlign w:val="center"/>
          </w:tcPr>
          <w:p w:rsidR="00BB5C1E" w:rsidRDefault="00AF434F">
            <w:pPr>
              <w:jc w:val="center"/>
            </w:pPr>
            <w:r>
              <w:rPr>
                <w:rFonts w:eastAsiaTheme="minorEastAsia"/>
                <w:color w:val="000000"/>
                <w:szCs w:val="21"/>
              </w:rPr>
              <w:t>Christian Dior SE</w:t>
            </w:r>
          </w:p>
        </w:tc>
        <w:tc>
          <w:tcPr>
            <w:tcW w:w="2552" w:type="dxa"/>
            <w:vAlign w:val="center"/>
          </w:tcPr>
          <w:p w:rsidR="00BB5C1E" w:rsidRDefault="00AF434F">
            <w:pPr>
              <w:jc w:val="center"/>
            </w:pPr>
            <w:r>
              <w:rPr>
                <w:rFonts w:eastAsiaTheme="minorEastAsia"/>
                <w:color w:val="000000"/>
                <w:szCs w:val="21"/>
              </w:rPr>
              <w:t>CDI FP</w:t>
            </w:r>
          </w:p>
        </w:tc>
        <w:tc>
          <w:tcPr>
            <w:tcW w:w="2130" w:type="dxa"/>
            <w:vAlign w:val="center"/>
          </w:tcPr>
          <w:p w:rsidR="00BB5C1E" w:rsidRDefault="00AF434F">
            <w:pPr>
              <w:jc w:val="center"/>
            </w:pPr>
            <w:r>
              <w:rPr>
                <w:rFonts w:eastAsiaTheme="minorEastAsia"/>
                <w:color w:val="000000"/>
                <w:szCs w:val="21"/>
              </w:rPr>
              <w:t>280,759.99</w:t>
            </w:r>
          </w:p>
        </w:tc>
        <w:tc>
          <w:tcPr>
            <w:tcW w:w="1650" w:type="dxa"/>
            <w:vAlign w:val="center"/>
          </w:tcPr>
          <w:p w:rsidR="00BB5C1E" w:rsidRDefault="00AF434F">
            <w:pPr>
              <w:jc w:val="center"/>
            </w:pPr>
            <w:r>
              <w:rPr>
                <w:rFonts w:eastAsiaTheme="minorEastAsia"/>
                <w:color w:val="000000"/>
                <w:szCs w:val="21"/>
              </w:rPr>
              <w:t>0.51</w:t>
            </w:r>
          </w:p>
        </w:tc>
      </w:tr>
      <w:tr w:rsidR="00BB5C1E">
        <w:trPr>
          <w:jc w:val="center"/>
        </w:trPr>
        <w:tc>
          <w:tcPr>
            <w:tcW w:w="648" w:type="dxa"/>
            <w:vAlign w:val="center"/>
          </w:tcPr>
          <w:p w:rsidR="00BB5C1E" w:rsidRDefault="00AF434F">
            <w:pPr>
              <w:jc w:val="center"/>
            </w:pPr>
            <w:r>
              <w:rPr>
                <w:rFonts w:eastAsiaTheme="minorEastAsia"/>
                <w:color w:val="000000"/>
                <w:szCs w:val="21"/>
              </w:rPr>
              <w:t>11</w:t>
            </w:r>
          </w:p>
        </w:tc>
        <w:tc>
          <w:tcPr>
            <w:tcW w:w="2378" w:type="dxa"/>
            <w:vAlign w:val="center"/>
          </w:tcPr>
          <w:p w:rsidR="00BB5C1E" w:rsidRDefault="00AF434F">
            <w:pPr>
              <w:jc w:val="center"/>
            </w:pPr>
            <w:r>
              <w:rPr>
                <w:rFonts w:eastAsiaTheme="minorEastAsia"/>
                <w:color w:val="000000"/>
                <w:szCs w:val="21"/>
              </w:rPr>
              <w:t>Hermes International</w:t>
            </w:r>
          </w:p>
        </w:tc>
        <w:tc>
          <w:tcPr>
            <w:tcW w:w="2552" w:type="dxa"/>
            <w:vAlign w:val="center"/>
          </w:tcPr>
          <w:p w:rsidR="00BB5C1E" w:rsidRDefault="00AF434F">
            <w:pPr>
              <w:jc w:val="center"/>
            </w:pPr>
            <w:r>
              <w:rPr>
                <w:rFonts w:eastAsiaTheme="minorEastAsia"/>
                <w:color w:val="000000"/>
                <w:szCs w:val="21"/>
              </w:rPr>
              <w:t>RMS FP</w:t>
            </w:r>
          </w:p>
        </w:tc>
        <w:tc>
          <w:tcPr>
            <w:tcW w:w="2130" w:type="dxa"/>
            <w:vAlign w:val="center"/>
          </w:tcPr>
          <w:p w:rsidR="00BB5C1E" w:rsidRDefault="00AF434F">
            <w:pPr>
              <w:jc w:val="center"/>
            </w:pPr>
            <w:r>
              <w:rPr>
                <w:rFonts w:eastAsiaTheme="minorEastAsia"/>
                <w:color w:val="000000"/>
                <w:szCs w:val="21"/>
              </w:rPr>
              <w:t>196,231.11</w:t>
            </w:r>
          </w:p>
        </w:tc>
        <w:tc>
          <w:tcPr>
            <w:tcW w:w="1650" w:type="dxa"/>
            <w:vAlign w:val="center"/>
          </w:tcPr>
          <w:p w:rsidR="00BB5C1E" w:rsidRDefault="00AF434F">
            <w:pPr>
              <w:jc w:val="center"/>
            </w:pPr>
            <w:r>
              <w:rPr>
                <w:rFonts w:eastAsiaTheme="minorEastAsia"/>
                <w:color w:val="000000"/>
                <w:szCs w:val="21"/>
              </w:rPr>
              <w:t>0.35</w:t>
            </w:r>
          </w:p>
        </w:tc>
      </w:tr>
      <w:tr w:rsidR="00BB5C1E">
        <w:trPr>
          <w:jc w:val="center"/>
        </w:trPr>
        <w:tc>
          <w:tcPr>
            <w:tcW w:w="648" w:type="dxa"/>
            <w:vAlign w:val="center"/>
          </w:tcPr>
          <w:p w:rsidR="00BB5C1E" w:rsidRDefault="00AF434F">
            <w:pPr>
              <w:jc w:val="center"/>
            </w:pPr>
            <w:r>
              <w:rPr>
                <w:rFonts w:eastAsiaTheme="minorEastAsia"/>
                <w:color w:val="000000"/>
                <w:szCs w:val="21"/>
              </w:rPr>
              <w:t>12</w:t>
            </w:r>
          </w:p>
        </w:tc>
        <w:tc>
          <w:tcPr>
            <w:tcW w:w="2378" w:type="dxa"/>
            <w:vAlign w:val="center"/>
          </w:tcPr>
          <w:p w:rsidR="00BB5C1E" w:rsidRDefault="00AF434F">
            <w:pPr>
              <w:jc w:val="center"/>
            </w:pPr>
            <w:r>
              <w:rPr>
                <w:rFonts w:eastAsiaTheme="minorEastAsia"/>
                <w:color w:val="000000"/>
                <w:szCs w:val="21"/>
              </w:rPr>
              <w:t>Norwegian Cruise Line Holdings</w:t>
            </w:r>
          </w:p>
        </w:tc>
        <w:tc>
          <w:tcPr>
            <w:tcW w:w="2552" w:type="dxa"/>
            <w:vAlign w:val="center"/>
          </w:tcPr>
          <w:p w:rsidR="00BB5C1E" w:rsidRDefault="00AF434F">
            <w:pPr>
              <w:jc w:val="center"/>
            </w:pPr>
            <w:r>
              <w:rPr>
                <w:rFonts w:eastAsiaTheme="minorEastAsia"/>
                <w:color w:val="000000"/>
                <w:szCs w:val="21"/>
              </w:rPr>
              <w:t>NCLH US</w:t>
            </w:r>
          </w:p>
        </w:tc>
        <w:tc>
          <w:tcPr>
            <w:tcW w:w="2130" w:type="dxa"/>
            <w:vAlign w:val="center"/>
          </w:tcPr>
          <w:p w:rsidR="00BB5C1E" w:rsidRDefault="00AF434F">
            <w:pPr>
              <w:jc w:val="center"/>
            </w:pPr>
            <w:r>
              <w:rPr>
                <w:rFonts w:eastAsiaTheme="minorEastAsia"/>
                <w:color w:val="000000"/>
                <w:szCs w:val="21"/>
              </w:rPr>
              <w:t>166,623.81</w:t>
            </w:r>
          </w:p>
        </w:tc>
        <w:tc>
          <w:tcPr>
            <w:tcW w:w="1650" w:type="dxa"/>
            <w:vAlign w:val="center"/>
          </w:tcPr>
          <w:p w:rsidR="00BB5C1E" w:rsidRDefault="00AF434F">
            <w:pPr>
              <w:jc w:val="center"/>
            </w:pPr>
            <w:r>
              <w:rPr>
                <w:rFonts w:eastAsiaTheme="minorEastAsia"/>
                <w:color w:val="000000"/>
                <w:szCs w:val="21"/>
              </w:rPr>
              <w:t>0.30</w:t>
            </w:r>
          </w:p>
        </w:tc>
      </w:tr>
      <w:tr w:rsidR="00BB5C1E">
        <w:trPr>
          <w:jc w:val="center"/>
        </w:trPr>
        <w:tc>
          <w:tcPr>
            <w:tcW w:w="648" w:type="dxa"/>
            <w:vAlign w:val="center"/>
          </w:tcPr>
          <w:p w:rsidR="00BB5C1E" w:rsidRDefault="00AF434F">
            <w:pPr>
              <w:jc w:val="center"/>
            </w:pPr>
            <w:r>
              <w:rPr>
                <w:rFonts w:eastAsiaTheme="minorEastAsia"/>
                <w:color w:val="000000"/>
                <w:szCs w:val="21"/>
              </w:rPr>
              <w:t>13</w:t>
            </w:r>
          </w:p>
        </w:tc>
        <w:tc>
          <w:tcPr>
            <w:tcW w:w="2378" w:type="dxa"/>
            <w:vAlign w:val="center"/>
          </w:tcPr>
          <w:p w:rsidR="00BB5C1E" w:rsidRDefault="00AF434F">
            <w:pPr>
              <w:jc w:val="center"/>
            </w:pPr>
            <w:r>
              <w:rPr>
                <w:rFonts w:eastAsiaTheme="minorEastAsia"/>
                <w:color w:val="000000"/>
                <w:szCs w:val="21"/>
              </w:rPr>
              <w:t>Porsche Automobil Holding SE</w:t>
            </w:r>
          </w:p>
        </w:tc>
        <w:tc>
          <w:tcPr>
            <w:tcW w:w="2552" w:type="dxa"/>
            <w:vAlign w:val="center"/>
          </w:tcPr>
          <w:p w:rsidR="00BB5C1E" w:rsidRDefault="00AF434F">
            <w:pPr>
              <w:jc w:val="center"/>
            </w:pPr>
            <w:r>
              <w:rPr>
                <w:rFonts w:eastAsiaTheme="minorEastAsia"/>
                <w:color w:val="000000"/>
                <w:szCs w:val="21"/>
              </w:rPr>
              <w:t>PAH3 GR</w:t>
            </w:r>
          </w:p>
        </w:tc>
        <w:tc>
          <w:tcPr>
            <w:tcW w:w="2130" w:type="dxa"/>
            <w:vAlign w:val="center"/>
          </w:tcPr>
          <w:p w:rsidR="00BB5C1E" w:rsidRDefault="00AF434F">
            <w:pPr>
              <w:jc w:val="center"/>
            </w:pPr>
            <w:r>
              <w:rPr>
                <w:rFonts w:eastAsiaTheme="minorEastAsia"/>
                <w:color w:val="000000"/>
                <w:szCs w:val="21"/>
              </w:rPr>
              <w:t>164,946.38</w:t>
            </w:r>
          </w:p>
        </w:tc>
        <w:tc>
          <w:tcPr>
            <w:tcW w:w="1650" w:type="dxa"/>
            <w:vAlign w:val="center"/>
          </w:tcPr>
          <w:p w:rsidR="00BB5C1E" w:rsidRDefault="00AF434F">
            <w:pPr>
              <w:jc w:val="center"/>
            </w:pPr>
            <w:r>
              <w:rPr>
                <w:rFonts w:eastAsiaTheme="minorEastAsia"/>
                <w:color w:val="000000"/>
                <w:szCs w:val="21"/>
              </w:rPr>
              <w:t>0.30</w:t>
            </w:r>
          </w:p>
        </w:tc>
      </w:tr>
      <w:tr w:rsidR="00BB5C1E">
        <w:trPr>
          <w:jc w:val="center"/>
        </w:trPr>
        <w:tc>
          <w:tcPr>
            <w:tcW w:w="648" w:type="dxa"/>
            <w:vAlign w:val="center"/>
          </w:tcPr>
          <w:p w:rsidR="00BB5C1E" w:rsidRDefault="00AF434F">
            <w:pPr>
              <w:jc w:val="center"/>
            </w:pPr>
            <w:r>
              <w:rPr>
                <w:rFonts w:eastAsiaTheme="minorEastAsia"/>
                <w:color w:val="000000"/>
                <w:szCs w:val="21"/>
              </w:rPr>
              <w:t>14</w:t>
            </w:r>
          </w:p>
        </w:tc>
        <w:tc>
          <w:tcPr>
            <w:tcW w:w="2378" w:type="dxa"/>
            <w:vAlign w:val="center"/>
          </w:tcPr>
          <w:p w:rsidR="00BB5C1E" w:rsidRDefault="00AF434F">
            <w:pPr>
              <w:jc w:val="center"/>
            </w:pPr>
            <w:r>
              <w:rPr>
                <w:rFonts w:eastAsiaTheme="minorEastAsia"/>
                <w:color w:val="000000"/>
                <w:szCs w:val="21"/>
              </w:rPr>
              <w:t>Burberry Group PLC</w:t>
            </w:r>
          </w:p>
        </w:tc>
        <w:tc>
          <w:tcPr>
            <w:tcW w:w="2552" w:type="dxa"/>
            <w:vAlign w:val="center"/>
          </w:tcPr>
          <w:p w:rsidR="00BB5C1E" w:rsidRDefault="00AF434F">
            <w:pPr>
              <w:jc w:val="center"/>
            </w:pPr>
            <w:r>
              <w:rPr>
                <w:rFonts w:eastAsiaTheme="minorEastAsia"/>
                <w:color w:val="000000"/>
                <w:szCs w:val="21"/>
              </w:rPr>
              <w:t>BRBY LN</w:t>
            </w:r>
          </w:p>
        </w:tc>
        <w:tc>
          <w:tcPr>
            <w:tcW w:w="2130" w:type="dxa"/>
            <w:vAlign w:val="center"/>
          </w:tcPr>
          <w:p w:rsidR="00BB5C1E" w:rsidRDefault="00AF434F">
            <w:pPr>
              <w:jc w:val="center"/>
            </w:pPr>
            <w:r>
              <w:rPr>
                <w:rFonts w:eastAsiaTheme="minorEastAsia"/>
                <w:color w:val="000000"/>
                <w:szCs w:val="21"/>
              </w:rPr>
              <w:t>155,217.29</w:t>
            </w:r>
          </w:p>
        </w:tc>
        <w:tc>
          <w:tcPr>
            <w:tcW w:w="1650" w:type="dxa"/>
            <w:vAlign w:val="center"/>
          </w:tcPr>
          <w:p w:rsidR="00BB5C1E" w:rsidRDefault="00AF434F">
            <w:pPr>
              <w:jc w:val="center"/>
            </w:pPr>
            <w:r>
              <w:rPr>
                <w:rFonts w:eastAsiaTheme="minorEastAsia"/>
                <w:color w:val="000000"/>
                <w:szCs w:val="21"/>
              </w:rPr>
              <w:t>0.28</w:t>
            </w:r>
          </w:p>
        </w:tc>
      </w:tr>
    </w:tbl>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买入金额按买卖成交金额（成交单价乘以成交数量）填列，不考虑相关交易费用。</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w:t>
      </w:r>
      <w:r w:rsidRPr="00C24ACA">
        <w:rPr>
          <w:rFonts w:eastAsiaTheme="minorEastAsia"/>
          <w:kern w:val="0"/>
          <w:szCs w:val="21"/>
        </w:rPr>
        <w:t>此处所用证券代码的类别是当地市场代码。</w:t>
      </w:r>
    </w:p>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7.5.2</w:t>
      </w:r>
      <w:r w:rsidRPr="00C24ACA">
        <w:rPr>
          <w:rFonts w:eastAsiaTheme="minorEastAsia"/>
          <w:b/>
          <w:color w:val="000000"/>
          <w:kern w:val="0"/>
          <w:szCs w:val="21"/>
        </w:rPr>
        <w:t>累计卖出金额超出</w:t>
      </w:r>
      <w:r w:rsidR="00B7546A" w:rsidRPr="00C24ACA">
        <w:rPr>
          <w:rFonts w:eastAsiaTheme="minorEastAsia"/>
          <w:b/>
          <w:color w:val="000000"/>
          <w:kern w:val="0"/>
          <w:szCs w:val="21"/>
        </w:rPr>
        <w:t>期初</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3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48"/>
        <w:gridCol w:w="4583"/>
        <w:gridCol w:w="1007"/>
        <w:gridCol w:w="1470"/>
        <w:gridCol w:w="1650"/>
      </w:tblGrid>
      <w:tr w:rsidR="008A5A5D" w:rsidRPr="00C24ACA" w:rsidTr="00B73AA7">
        <w:trPr>
          <w:trHeight w:val="315"/>
          <w:jc w:val="center"/>
        </w:trPr>
        <w:tc>
          <w:tcPr>
            <w:tcW w:w="648"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4583"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公司名称（英文）</w:t>
            </w:r>
          </w:p>
        </w:tc>
        <w:tc>
          <w:tcPr>
            <w:tcW w:w="1007"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证券代码</w:t>
            </w:r>
          </w:p>
        </w:tc>
        <w:tc>
          <w:tcPr>
            <w:tcW w:w="1470"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本期累计卖出金额</w:t>
            </w:r>
          </w:p>
        </w:tc>
        <w:tc>
          <w:tcPr>
            <w:tcW w:w="1650"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w:t>
            </w:r>
            <w:r w:rsidR="00551AB1" w:rsidRPr="00C24ACA">
              <w:rPr>
                <w:rFonts w:eastAsiaTheme="minorEastAsia"/>
                <w:color w:val="000000"/>
                <w:szCs w:val="21"/>
              </w:rPr>
              <w:t>期初</w:t>
            </w:r>
            <w:r w:rsidRPr="00C24ACA">
              <w:rPr>
                <w:rFonts w:eastAsiaTheme="minorEastAsia"/>
                <w:color w:val="000000"/>
                <w:szCs w:val="21"/>
              </w:rPr>
              <w:t>基金</w:t>
            </w:r>
          </w:p>
          <w:p w:rsidR="008A5A5D" w:rsidRPr="00C24ACA" w:rsidRDefault="008A5A5D" w:rsidP="004A4847">
            <w:pPr>
              <w:jc w:val="center"/>
              <w:rPr>
                <w:rFonts w:eastAsiaTheme="minorEastAsia"/>
                <w:color w:val="000000"/>
                <w:szCs w:val="21"/>
              </w:rPr>
            </w:pPr>
            <w:r w:rsidRPr="00C24ACA">
              <w:rPr>
                <w:rFonts w:eastAsiaTheme="minorEastAsia"/>
                <w:color w:val="000000"/>
                <w:szCs w:val="21"/>
              </w:rPr>
              <w:t>资产净值比例（％）</w:t>
            </w:r>
          </w:p>
        </w:tc>
      </w:tr>
      <w:tr w:rsidR="00BB5C1E">
        <w:trPr>
          <w:jc w:val="center"/>
        </w:trPr>
        <w:tc>
          <w:tcPr>
            <w:tcW w:w="648" w:type="dxa"/>
            <w:vAlign w:val="center"/>
          </w:tcPr>
          <w:p w:rsidR="00BB5C1E" w:rsidRDefault="00AF434F">
            <w:pPr>
              <w:jc w:val="center"/>
            </w:pPr>
            <w:r>
              <w:rPr>
                <w:rFonts w:eastAsiaTheme="minorEastAsia"/>
                <w:color w:val="000000"/>
                <w:szCs w:val="21"/>
              </w:rPr>
              <w:t>1</w:t>
            </w:r>
          </w:p>
        </w:tc>
        <w:tc>
          <w:tcPr>
            <w:tcW w:w="4583" w:type="dxa"/>
            <w:vAlign w:val="center"/>
          </w:tcPr>
          <w:p w:rsidR="00BB5C1E" w:rsidRDefault="00AF434F">
            <w:pPr>
              <w:jc w:val="center"/>
            </w:pPr>
            <w:r>
              <w:rPr>
                <w:rFonts w:eastAsiaTheme="minorEastAsia"/>
                <w:color w:val="000000"/>
                <w:szCs w:val="21"/>
              </w:rPr>
              <w:t>Tesla Inc</w:t>
            </w:r>
          </w:p>
        </w:tc>
        <w:tc>
          <w:tcPr>
            <w:tcW w:w="1007" w:type="dxa"/>
            <w:vAlign w:val="center"/>
          </w:tcPr>
          <w:p w:rsidR="00BB5C1E" w:rsidRDefault="00AF434F">
            <w:pPr>
              <w:jc w:val="center"/>
            </w:pPr>
            <w:r>
              <w:rPr>
                <w:rFonts w:eastAsiaTheme="minorEastAsia"/>
                <w:color w:val="000000"/>
                <w:szCs w:val="21"/>
              </w:rPr>
              <w:t>TSLA US</w:t>
            </w:r>
          </w:p>
        </w:tc>
        <w:tc>
          <w:tcPr>
            <w:tcW w:w="1470" w:type="dxa"/>
            <w:vAlign w:val="center"/>
          </w:tcPr>
          <w:p w:rsidR="00BB5C1E" w:rsidRDefault="00AF434F">
            <w:pPr>
              <w:jc w:val="center"/>
            </w:pPr>
            <w:r>
              <w:rPr>
                <w:rFonts w:eastAsiaTheme="minorEastAsia"/>
                <w:color w:val="000000"/>
                <w:szCs w:val="21"/>
              </w:rPr>
              <w:t>2,888,193.46</w:t>
            </w:r>
          </w:p>
        </w:tc>
        <w:tc>
          <w:tcPr>
            <w:tcW w:w="1650" w:type="dxa"/>
            <w:vAlign w:val="center"/>
          </w:tcPr>
          <w:p w:rsidR="00BB5C1E" w:rsidRDefault="00AF434F">
            <w:pPr>
              <w:jc w:val="center"/>
            </w:pPr>
            <w:r>
              <w:rPr>
                <w:rFonts w:eastAsiaTheme="minorEastAsia"/>
                <w:color w:val="000000"/>
                <w:szCs w:val="21"/>
              </w:rPr>
              <w:t>5.21</w:t>
            </w:r>
          </w:p>
        </w:tc>
      </w:tr>
      <w:tr w:rsidR="00BB5C1E">
        <w:trPr>
          <w:jc w:val="center"/>
        </w:trPr>
        <w:tc>
          <w:tcPr>
            <w:tcW w:w="648" w:type="dxa"/>
            <w:vAlign w:val="center"/>
          </w:tcPr>
          <w:p w:rsidR="00BB5C1E" w:rsidRDefault="00AF434F">
            <w:pPr>
              <w:jc w:val="center"/>
            </w:pPr>
            <w:r>
              <w:rPr>
                <w:rFonts w:eastAsiaTheme="minorEastAsia"/>
                <w:color w:val="000000"/>
                <w:szCs w:val="21"/>
              </w:rPr>
              <w:t>2</w:t>
            </w:r>
          </w:p>
        </w:tc>
        <w:tc>
          <w:tcPr>
            <w:tcW w:w="4583" w:type="dxa"/>
            <w:vAlign w:val="center"/>
          </w:tcPr>
          <w:p w:rsidR="00BB5C1E" w:rsidRDefault="00AF434F">
            <w:pPr>
              <w:jc w:val="center"/>
            </w:pPr>
            <w:r>
              <w:rPr>
                <w:rFonts w:eastAsiaTheme="minorEastAsia"/>
                <w:color w:val="000000"/>
                <w:szCs w:val="21"/>
              </w:rPr>
              <w:t>Tiffany &amp; Co</w:t>
            </w:r>
          </w:p>
        </w:tc>
        <w:tc>
          <w:tcPr>
            <w:tcW w:w="1007" w:type="dxa"/>
            <w:vAlign w:val="center"/>
          </w:tcPr>
          <w:p w:rsidR="00BB5C1E" w:rsidRDefault="00AF434F">
            <w:pPr>
              <w:jc w:val="center"/>
            </w:pPr>
            <w:r>
              <w:rPr>
                <w:rFonts w:eastAsiaTheme="minorEastAsia"/>
                <w:color w:val="000000"/>
                <w:szCs w:val="21"/>
              </w:rPr>
              <w:t>TIF US</w:t>
            </w:r>
          </w:p>
        </w:tc>
        <w:tc>
          <w:tcPr>
            <w:tcW w:w="1470" w:type="dxa"/>
            <w:vAlign w:val="center"/>
          </w:tcPr>
          <w:p w:rsidR="00BB5C1E" w:rsidRDefault="00AF434F">
            <w:pPr>
              <w:jc w:val="center"/>
            </w:pPr>
            <w:r>
              <w:rPr>
                <w:rFonts w:eastAsiaTheme="minorEastAsia"/>
                <w:color w:val="000000"/>
                <w:szCs w:val="21"/>
              </w:rPr>
              <w:t>985,657.89</w:t>
            </w:r>
          </w:p>
        </w:tc>
        <w:tc>
          <w:tcPr>
            <w:tcW w:w="1650" w:type="dxa"/>
            <w:vAlign w:val="center"/>
          </w:tcPr>
          <w:p w:rsidR="00BB5C1E" w:rsidRDefault="00AF434F">
            <w:pPr>
              <w:jc w:val="center"/>
            </w:pPr>
            <w:r>
              <w:rPr>
                <w:rFonts w:eastAsiaTheme="minorEastAsia"/>
                <w:color w:val="000000"/>
                <w:szCs w:val="21"/>
              </w:rPr>
              <w:t>1.78</w:t>
            </w:r>
          </w:p>
        </w:tc>
      </w:tr>
      <w:tr w:rsidR="00BB5C1E">
        <w:trPr>
          <w:jc w:val="center"/>
        </w:trPr>
        <w:tc>
          <w:tcPr>
            <w:tcW w:w="648" w:type="dxa"/>
            <w:vAlign w:val="center"/>
          </w:tcPr>
          <w:p w:rsidR="00BB5C1E" w:rsidRDefault="00AF434F">
            <w:pPr>
              <w:jc w:val="center"/>
            </w:pPr>
            <w:r>
              <w:rPr>
                <w:rFonts w:eastAsiaTheme="minorEastAsia"/>
                <w:color w:val="000000"/>
                <w:szCs w:val="21"/>
              </w:rPr>
              <w:t>3</w:t>
            </w:r>
          </w:p>
        </w:tc>
        <w:tc>
          <w:tcPr>
            <w:tcW w:w="4583" w:type="dxa"/>
            <w:vAlign w:val="center"/>
          </w:tcPr>
          <w:p w:rsidR="00BB5C1E" w:rsidRDefault="00AF434F">
            <w:pPr>
              <w:jc w:val="center"/>
            </w:pPr>
            <w:r>
              <w:rPr>
                <w:rFonts w:eastAsiaTheme="minorEastAsia"/>
                <w:color w:val="000000"/>
                <w:szCs w:val="21"/>
              </w:rPr>
              <w:t>LVMH Moet Hennessy Louis Vuitton SE</w:t>
            </w:r>
          </w:p>
        </w:tc>
        <w:tc>
          <w:tcPr>
            <w:tcW w:w="1007" w:type="dxa"/>
            <w:vAlign w:val="center"/>
          </w:tcPr>
          <w:p w:rsidR="00BB5C1E" w:rsidRDefault="00AF434F">
            <w:pPr>
              <w:jc w:val="center"/>
            </w:pPr>
            <w:r>
              <w:rPr>
                <w:rFonts w:eastAsiaTheme="minorEastAsia"/>
                <w:color w:val="000000"/>
                <w:szCs w:val="21"/>
              </w:rPr>
              <w:t>MC FP</w:t>
            </w:r>
          </w:p>
        </w:tc>
        <w:tc>
          <w:tcPr>
            <w:tcW w:w="1470" w:type="dxa"/>
            <w:vAlign w:val="center"/>
          </w:tcPr>
          <w:p w:rsidR="00BB5C1E" w:rsidRDefault="00AF434F">
            <w:pPr>
              <w:jc w:val="center"/>
            </w:pPr>
            <w:r>
              <w:rPr>
                <w:rFonts w:eastAsiaTheme="minorEastAsia"/>
                <w:color w:val="000000"/>
                <w:szCs w:val="21"/>
              </w:rPr>
              <w:t>861,605.88</w:t>
            </w:r>
          </w:p>
        </w:tc>
        <w:tc>
          <w:tcPr>
            <w:tcW w:w="1650" w:type="dxa"/>
            <w:vAlign w:val="center"/>
          </w:tcPr>
          <w:p w:rsidR="00BB5C1E" w:rsidRDefault="00AF434F">
            <w:pPr>
              <w:jc w:val="center"/>
            </w:pPr>
            <w:r>
              <w:rPr>
                <w:rFonts w:eastAsiaTheme="minorEastAsia"/>
                <w:color w:val="000000"/>
                <w:szCs w:val="21"/>
              </w:rPr>
              <w:t>1.55</w:t>
            </w:r>
          </w:p>
        </w:tc>
      </w:tr>
      <w:tr w:rsidR="00BB5C1E">
        <w:trPr>
          <w:jc w:val="center"/>
        </w:trPr>
        <w:tc>
          <w:tcPr>
            <w:tcW w:w="648" w:type="dxa"/>
            <w:vAlign w:val="center"/>
          </w:tcPr>
          <w:p w:rsidR="00BB5C1E" w:rsidRDefault="00AF434F">
            <w:pPr>
              <w:jc w:val="center"/>
            </w:pPr>
            <w:r>
              <w:rPr>
                <w:rFonts w:eastAsiaTheme="minorEastAsia"/>
                <w:color w:val="000000"/>
                <w:szCs w:val="21"/>
              </w:rPr>
              <w:t>4</w:t>
            </w:r>
          </w:p>
        </w:tc>
        <w:tc>
          <w:tcPr>
            <w:tcW w:w="4583" w:type="dxa"/>
            <w:vAlign w:val="center"/>
          </w:tcPr>
          <w:p w:rsidR="00BB5C1E" w:rsidRDefault="00AF434F">
            <w:pPr>
              <w:jc w:val="center"/>
            </w:pPr>
            <w:r>
              <w:rPr>
                <w:rFonts w:eastAsiaTheme="minorEastAsia"/>
                <w:color w:val="000000"/>
                <w:szCs w:val="21"/>
              </w:rPr>
              <w:t>Cie Financiere Richemont SA</w:t>
            </w:r>
          </w:p>
        </w:tc>
        <w:tc>
          <w:tcPr>
            <w:tcW w:w="1007" w:type="dxa"/>
            <w:vAlign w:val="center"/>
          </w:tcPr>
          <w:p w:rsidR="00BB5C1E" w:rsidRDefault="00AF434F">
            <w:pPr>
              <w:jc w:val="center"/>
            </w:pPr>
            <w:r>
              <w:rPr>
                <w:rFonts w:eastAsiaTheme="minorEastAsia"/>
                <w:color w:val="000000"/>
                <w:szCs w:val="21"/>
              </w:rPr>
              <w:t>CFR SW</w:t>
            </w:r>
          </w:p>
        </w:tc>
        <w:tc>
          <w:tcPr>
            <w:tcW w:w="1470" w:type="dxa"/>
            <w:vAlign w:val="center"/>
          </w:tcPr>
          <w:p w:rsidR="00BB5C1E" w:rsidRDefault="00AF434F">
            <w:pPr>
              <w:jc w:val="center"/>
            </w:pPr>
            <w:r>
              <w:rPr>
                <w:rFonts w:eastAsiaTheme="minorEastAsia"/>
                <w:color w:val="000000"/>
                <w:szCs w:val="21"/>
              </w:rPr>
              <w:t>555,563.02</w:t>
            </w:r>
          </w:p>
        </w:tc>
        <w:tc>
          <w:tcPr>
            <w:tcW w:w="1650" w:type="dxa"/>
            <w:vAlign w:val="center"/>
          </w:tcPr>
          <w:p w:rsidR="00BB5C1E" w:rsidRDefault="00AF434F">
            <w:pPr>
              <w:jc w:val="center"/>
            </w:pPr>
            <w:r>
              <w:rPr>
                <w:rFonts w:eastAsiaTheme="minorEastAsia"/>
                <w:color w:val="000000"/>
                <w:szCs w:val="21"/>
              </w:rPr>
              <w:t>1.00</w:t>
            </w:r>
          </w:p>
        </w:tc>
      </w:tr>
      <w:tr w:rsidR="00BB5C1E">
        <w:trPr>
          <w:jc w:val="center"/>
        </w:trPr>
        <w:tc>
          <w:tcPr>
            <w:tcW w:w="648" w:type="dxa"/>
            <w:vAlign w:val="center"/>
          </w:tcPr>
          <w:p w:rsidR="00BB5C1E" w:rsidRDefault="00AF434F">
            <w:pPr>
              <w:jc w:val="center"/>
            </w:pPr>
            <w:r>
              <w:rPr>
                <w:rFonts w:eastAsiaTheme="minorEastAsia"/>
                <w:color w:val="000000"/>
                <w:szCs w:val="21"/>
              </w:rPr>
              <w:t>5</w:t>
            </w:r>
          </w:p>
        </w:tc>
        <w:tc>
          <w:tcPr>
            <w:tcW w:w="4583" w:type="dxa"/>
            <w:vAlign w:val="center"/>
          </w:tcPr>
          <w:p w:rsidR="00BB5C1E" w:rsidRDefault="00AF434F">
            <w:pPr>
              <w:jc w:val="center"/>
            </w:pPr>
            <w:r>
              <w:rPr>
                <w:rFonts w:eastAsiaTheme="minorEastAsia"/>
                <w:color w:val="000000"/>
                <w:szCs w:val="21"/>
              </w:rPr>
              <w:t>Las Vegas Sands Corp</w:t>
            </w:r>
          </w:p>
        </w:tc>
        <w:tc>
          <w:tcPr>
            <w:tcW w:w="1007" w:type="dxa"/>
            <w:vAlign w:val="center"/>
          </w:tcPr>
          <w:p w:rsidR="00BB5C1E" w:rsidRDefault="00AF434F">
            <w:pPr>
              <w:jc w:val="center"/>
            </w:pPr>
            <w:r>
              <w:rPr>
                <w:rFonts w:eastAsiaTheme="minorEastAsia"/>
                <w:color w:val="000000"/>
                <w:szCs w:val="21"/>
              </w:rPr>
              <w:t>LVS US</w:t>
            </w:r>
          </w:p>
        </w:tc>
        <w:tc>
          <w:tcPr>
            <w:tcW w:w="1470" w:type="dxa"/>
            <w:vAlign w:val="center"/>
          </w:tcPr>
          <w:p w:rsidR="00BB5C1E" w:rsidRDefault="00AF434F">
            <w:pPr>
              <w:jc w:val="center"/>
            </w:pPr>
            <w:r>
              <w:rPr>
                <w:rFonts w:eastAsiaTheme="minorEastAsia"/>
                <w:color w:val="000000"/>
                <w:szCs w:val="21"/>
              </w:rPr>
              <w:t>535,162.97</w:t>
            </w:r>
          </w:p>
        </w:tc>
        <w:tc>
          <w:tcPr>
            <w:tcW w:w="1650" w:type="dxa"/>
            <w:vAlign w:val="center"/>
          </w:tcPr>
          <w:p w:rsidR="00BB5C1E" w:rsidRDefault="00AF434F">
            <w:pPr>
              <w:jc w:val="center"/>
            </w:pPr>
            <w:r>
              <w:rPr>
                <w:rFonts w:eastAsiaTheme="minorEastAsia"/>
                <w:color w:val="000000"/>
                <w:szCs w:val="21"/>
              </w:rPr>
              <w:t>0.97</w:t>
            </w:r>
          </w:p>
        </w:tc>
      </w:tr>
      <w:tr w:rsidR="00BB5C1E">
        <w:trPr>
          <w:jc w:val="center"/>
        </w:trPr>
        <w:tc>
          <w:tcPr>
            <w:tcW w:w="648" w:type="dxa"/>
            <w:vAlign w:val="center"/>
          </w:tcPr>
          <w:p w:rsidR="00BB5C1E" w:rsidRDefault="00AF434F">
            <w:pPr>
              <w:jc w:val="center"/>
            </w:pPr>
            <w:r>
              <w:rPr>
                <w:rFonts w:eastAsiaTheme="minorEastAsia"/>
                <w:color w:val="000000"/>
                <w:szCs w:val="21"/>
              </w:rPr>
              <w:t>6</w:t>
            </w:r>
          </w:p>
        </w:tc>
        <w:tc>
          <w:tcPr>
            <w:tcW w:w="4583" w:type="dxa"/>
            <w:vAlign w:val="center"/>
          </w:tcPr>
          <w:p w:rsidR="00BB5C1E" w:rsidRDefault="00AF434F">
            <w:pPr>
              <w:jc w:val="center"/>
            </w:pPr>
            <w:r>
              <w:rPr>
                <w:rFonts w:eastAsiaTheme="minorEastAsia"/>
                <w:color w:val="000000"/>
                <w:szCs w:val="21"/>
              </w:rPr>
              <w:t>Alibaba Group Holding Ltd</w:t>
            </w:r>
          </w:p>
        </w:tc>
        <w:tc>
          <w:tcPr>
            <w:tcW w:w="1007" w:type="dxa"/>
            <w:vAlign w:val="center"/>
          </w:tcPr>
          <w:p w:rsidR="00BB5C1E" w:rsidRDefault="00AF434F">
            <w:pPr>
              <w:jc w:val="center"/>
            </w:pPr>
            <w:r>
              <w:rPr>
                <w:rFonts w:eastAsiaTheme="minorEastAsia"/>
                <w:color w:val="000000"/>
                <w:szCs w:val="21"/>
              </w:rPr>
              <w:t>BABA US</w:t>
            </w:r>
          </w:p>
        </w:tc>
        <w:tc>
          <w:tcPr>
            <w:tcW w:w="1470" w:type="dxa"/>
            <w:vAlign w:val="center"/>
          </w:tcPr>
          <w:p w:rsidR="00BB5C1E" w:rsidRDefault="00AF434F">
            <w:pPr>
              <w:jc w:val="center"/>
            </w:pPr>
            <w:r>
              <w:rPr>
                <w:rFonts w:eastAsiaTheme="minorEastAsia"/>
                <w:color w:val="000000"/>
                <w:szCs w:val="21"/>
              </w:rPr>
              <w:t>458,740.16</w:t>
            </w:r>
          </w:p>
        </w:tc>
        <w:tc>
          <w:tcPr>
            <w:tcW w:w="1650" w:type="dxa"/>
            <w:vAlign w:val="center"/>
          </w:tcPr>
          <w:p w:rsidR="00BB5C1E" w:rsidRDefault="00AF434F">
            <w:pPr>
              <w:jc w:val="center"/>
            </w:pPr>
            <w:r>
              <w:rPr>
                <w:rFonts w:eastAsiaTheme="minorEastAsia"/>
                <w:color w:val="000000"/>
                <w:szCs w:val="21"/>
              </w:rPr>
              <w:t>0.83</w:t>
            </w:r>
          </w:p>
        </w:tc>
      </w:tr>
      <w:tr w:rsidR="00BB5C1E">
        <w:trPr>
          <w:jc w:val="center"/>
        </w:trPr>
        <w:tc>
          <w:tcPr>
            <w:tcW w:w="648" w:type="dxa"/>
            <w:vAlign w:val="center"/>
          </w:tcPr>
          <w:p w:rsidR="00BB5C1E" w:rsidRDefault="00AF434F">
            <w:pPr>
              <w:jc w:val="center"/>
            </w:pPr>
            <w:r>
              <w:rPr>
                <w:rFonts w:eastAsiaTheme="minorEastAsia"/>
                <w:color w:val="000000"/>
                <w:szCs w:val="21"/>
              </w:rPr>
              <w:t>7</w:t>
            </w:r>
          </w:p>
        </w:tc>
        <w:tc>
          <w:tcPr>
            <w:tcW w:w="4583" w:type="dxa"/>
            <w:vAlign w:val="center"/>
          </w:tcPr>
          <w:p w:rsidR="00BB5C1E" w:rsidRDefault="00AF434F">
            <w:pPr>
              <w:jc w:val="center"/>
            </w:pPr>
            <w:r>
              <w:rPr>
                <w:rFonts w:eastAsiaTheme="minorEastAsia"/>
                <w:color w:val="000000"/>
                <w:szCs w:val="21"/>
              </w:rPr>
              <w:t>Kering SA</w:t>
            </w:r>
          </w:p>
        </w:tc>
        <w:tc>
          <w:tcPr>
            <w:tcW w:w="1007" w:type="dxa"/>
            <w:vAlign w:val="center"/>
          </w:tcPr>
          <w:p w:rsidR="00BB5C1E" w:rsidRDefault="00AF434F">
            <w:pPr>
              <w:jc w:val="center"/>
            </w:pPr>
            <w:r>
              <w:rPr>
                <w:rFonts w:eastAsiaTheme="minorEastAsia"/>
                <w:color w:val="000000"/>
                <w:szCs w:val="21"/>
              </w:rPr>
              <w:t>KER FP</w:t>
            </w:r>
          </w:p>
        </w:tc>
        <w:tc>
          <w:tcPr>
            <w:tcW w:w="1470" w:type="dxa"/>
            <w:vAlign w:val="center"/>
          </w:tcPr>
          <w:p w:rsidR="00BB5C1E" w:rsidRDefault="00AF434F">
            <w:pPr>
              <w:jc w:val="center"/>
            </w:pPr>
            <w:r>
              <w:rPr>
                <w:rFonts w:eastAsiaTheme="minorEastAsia"/>
                <w:color w:val="000000"/>
                <w:szCs w:val="21"/>
              </w:rPr>
              <w:t>342,512.50</w:t>
            </w:r>
          </w:p>
        </w:tc>
        <w:tc>
          <w:tcPr>
            <w:tcW w:w="1650" w:type="dxa"/>
            <w:vAlign w:val="center"/>
          </w:tcPr>
          <w:p w:rsidR="00BB5C1E" w:rsidRDefault="00AF434F">
            <w:pPr>
              <w:jc w:val="center"/>
            </w:pPr>
            <w:r>
              <w:rPr>
                <w:rFonts w:eastAsiaTheme="minorEastAsia"/>
                <w:color w:val="000000"/>
                <w:szCs w:val="21"/>
              </w:rPr>
              <w:t>0.62</w:t>
            </w:r>
          </w:p>
        </w:tc>
      </w:tr>
      <w:tr w:rsidR="00BB5C1E">
        <w:trPr>
          <w:jc w:val="center"/>
        </w:trPr>
        <w:tc>
          <w:tcPr>
            <w:tcW w:w="648" w:type="dxa"/>
            <w:vAlign w:val="center"/>
          </w:tcPr>
          <w:p w:rsidR="00BB5C1E" w:rsidRDefault="00AF434F">
            <w:pPr>
              <w:jc w:val="center"/>
            </w:pPr>
            <w:r>
              <w:rPr>
                <w:rFonts w:eastAsiaTheme="minorEastAsia"/>
                <w:color w:val="000000"/>
                <w:szCs w:val="21"/>
              </w:rPr>
              <w:t>8</w:t>
            </w:r>
          </w:p>
        </w:tc>
        <w:tc>
          <w:tcPr>
            <w:tcW w:w="4583" w:type="dxa"/>
            <w:vAlign w:val="center"/>
          </w:tcPr>
          <w:p w:rsidR="00BB5C1E" w:rsidRDefault="00AF434F">
            <w:pPr>
              <w:jc w:val="center"/>
            </w:pPr>
            <w:r>
              <w:rPr>
                <w:rFonts w:eastAsiaTheme="minorEastAsia"/>
                <w:color w:val="000000"/>
                <w:szCs w:val="21"/>
              </w:rPr>
              <w:t>Wynn Resorts Ltd</w:t>
            </w:r>
          </w:p>
        </w:tc>
        <w:tc>
          <w:tcPr>
            <w:tcW w:w="1007" w:type="dxa"/>
            <w:vAlign w:val="center"/>
          </w:tcPr>
          <w:p w:rsidR="00BB5C1E" w:rsidRDefault="00AF434F">
            <w:pPr>
              <w:jc w:val="center"/>
            </w:pPr>
            <w:r>
              <w:rPr>
                <w:rFonts w:eastAsiaTheme="minorEastAsia"/>
                <w:color w:val="000000"/>
                <w:szCs w:val="21"/>
              </w:rPr>
              <w:t>WYNN US</w:t>
            </w:r>
          </w:p>
        </w:tc>
        <w:tc>
          <w:tcPr>
            <w:tcW w:w="1470" w:type="dxa"/>
            <w:vAlign w:val="center"/>
          </w:tcPr>
          <w:p w:rsidR="00BB5C1E" w:rsidRDefault="00AF434F">
            <w:pPr>
              <w:jc w:val="center"/>
            </w:pPr>
            <w:r>
              <w:rPr>
                <w:rFonts w:eastAsiaTheme="minorEastAsia"/>
                <w:color w:val="000000"/>
                <w:szCs w:val="21"/>
              </w:rPr>
              <w:t>265,614.77</w:t>
            </w:r>
          </w:p>
        </w:tc>
        <w:tc>
          <w:tcPr>
            <w:tcW w:w="1650" w:type="dxa"/>
            <w:vAlign w:val="center"/>
          </w:tcPr>
          <w:p w:rsidR="00BB5C1E" w:rsidRDefault="00AF434F">
            <w:pPr>
              <w:jc w:val="center"/>
            </w:pPr>
            <w:r>
              <w:rPr>
                <w:rFonts w:eastAsiaTheme="minorEastAsia"/>
                <w:color w:val="000000"/>
                <w:szCs w:val="21"/>
              </w:rPr>
              <w:t>0.48</w:t>
            </w:r>
          </w:p>
        </w:tc>
      </w:tr>
      <w:tr w:rsidR="00BB5C1E">
        <w:trPr>
          <w:jc w:val="center"/>
        </w:trPr>
        <w:tc>
          <w:tcPr>
            <w:tcW w:w="648" w:type="dxa"/>
            <w:vAlign w:val="center"/>
          </w:tcPr>
          <w:p w:rsidR="00BB5C1E" w:rsidRDefault="00AF434F">
            <w:pPr>
              <w:jc w:val="center"/>
            </w:pPr>
            <w:r>
              <w:rPr>
                <w:rFonts w:eastAsiaTheme="minorEastAsia"/>
                <w:color w:val="000000"/>
                <w:szCs w:val="21"/>
              </w:rPr>
              <w:t>9</w:t>
            </w:r>
          </w:p>
        </w:tc>
        <w:tc>
          <w:tcPr>
            <w:tcW w:w="4583" w:type="dxa"/>
            <w:vAlign w:val="center"/>
          </w:tcPr>
          <w:p w:rsidR="00BB5C1E" w:rsidRDefault="00AF434F">
            <w:pPr>
              <w:jc w:val="center"/>
            </w:pPr>
            <w:r>
              <w:rPr>
                <w:rFonts w:eastAsiaTheme="minorEastAsia"/>
                <w:color w:val="000000"/>
                <w:szCs w:val="21"/>
              </w:rPr>
              <w:t>Norwegian Cruise Line Holdings</w:t>
            </w:r>
          </w:p>
        </w:tc>
        <w:tc>
          <w:tcPr>
            <w:tcW w:w="1007" w:type="dxa"/>
            <w:vAlign w:val="center"/>
          </w:tcPr>
          <w:p w:rsidR="00BB5C1E" w:rsidRDefault="00AF434F">
            <w:pPr>
              <w:jc w:val="center"/>
            </w:pPr>
            <w:r>
              <w:rPr>
                <w:rFonts w:eastAsiaTheme="minorEastAsia"/>
                <w:color w:val="000000"/>
                <w:szCs w:val="21"/>
              </w:rPr>
              <w:t>NCLH US</w:t>
            </w:r>
          </w:p>
        </w:tc>
        <w:tc>
          <w:tcPr>
            <w:tcW w:w="1470" w:type="dxa"/>
            <w:vAlign w:val="center"/>
          </w:tcPr>
          <w:p w:rsidR="00BB5C1E" w:rsidRDefault="00AF434F">
            <w:pPr>
              <w:jc w:val="center"/>
            </w:pPr>
            <w:r>
              <w:rPr>
                <w:rFonts w:eastAsiaTheme="minorEastAsia"/>
                <w:color w:val="000000"/>
                <w:szCs w:val="21"/>
              </w:rPr>
              <w:t>261,849.52</w:t>
            </w:r>
          </w:p>
        </w:tc>
        <w:tc>
          <w:tcPr>
            <w:tcW w:w="1650" w:type="dxa"/>
            <w:vAlign w:val="center"/>
          </w:tcPr>
          <w:p w:rsidR="00BB5C1E" w:rsidRDefault="00AF434F">
            <w:pPr>
              <w:jc w:val="center"/>
            </w:pPr>
            <w:r>
              <w:rPr>
                <w:rFonts w:eastAsiaTheme="minorEastAsia"/>
                <w:color w:val="000000"/>
                <w:szCs w:val="21"/>
              </w:rPr>
              <w:t>0.47</w:t>
            </w:r>
          </w:p>
        </w:tc>
      </w:tr>
      <w:tr w:rsidR="00BB5C1E">
        <w:trPr>
          <w:jc w:val="center"/>
        </w:trPr>
        <w:tc>
          <w:tcPr>
            <w:tcW w:w="648" w:type="dxa"/>
            <w:vAlign w:val="center"/>
          </w:tcPr>
          <w:p w:rsidR="00BB5C1E" w:rsidRDefault="00AF434F">
            <w:pPr>
              <w:jc w:val="center"/>
            </w:pPr>
            <w:r>
              <w:rPr>
                <w:rFonts w:eastAsiaTheme="minorEastAsia"/>
                <w:color w:val="000000"/>
                <w:szCs w:val="21"/>
              </w:rPr>
              <w:t>10</w:t>
            </w:r>
          </w:p>
        </w:tc>
        <w:tc>
          <w:tcPr>
            <w:tcW w:w="4583" w:type="dxa"/>
            <w:vAlign w:val="center"/>
          </w:tcPr>
          <w:p w:rsidR="00BB5C1E" w:rsidRDefault="00AF434F">
            <w:pPr>
              <w:jc w:val="center"/>
            </w:pPr>
            <w:r>
              <w:rPr>
                <w:rFonts w:eastAsiaTheme="minorEastAsia"/>
                <w:color w:val="000000"/>
                <w:szCs w:val="21"/>
              </w:rPr>
              <w:t>Vail Resorts Inc</w:t>
            </w:r>
          </w:p>
        </w:tc>
        <w:tc>
          <w:tcPr>
            <w:tcW w:w="1007" w:type="dxa"/>
            <w:vAlign w:val="center"/>
          </w:tcPr>
          <w:p w:rsidR="00BB5C1E" w:rsidRDefault="00AF434F">
            <w:pPr>
              <w:jc w:val="center"/>
            </w:pPr>
            <w:r>
              <w:rPr>
                <w:rFonts w:eastAsiaTheme="minorEastAsia"/>
                <w:color w:val="000000"/>
                <w:szCs w:val="21"/>
              </w:rPr>
              <w:t>MTN US</w:t>
            </w:r>
          </w:p>
        </w:tc>
        <w:tc>
          <w:tcPr>
            <w:tcW w:w="1470" w:type="dxa"/>
            <w:vAlign w:val="center"/>
          </w:tcPr>
          <w:p w:rsidR="00BB5C1E" w:rsidRDefault="00AF434F">
            <w:pPr>
              <w:jc w:val="center"/>
            </w:pPr>
            <w:r>
              <w:rPr>
                <w:rFonts w:eastAsiaTheme="minorEastAsia"/>
                <w:color w:val="000000"/>
                <w:szCs w:val="21"/>
              </w:rPr>
              <w:t>229,622.59</w:t>
            </w:r>
          </w:p>
        </w:tc>
        <w:tc>
          <w:tcPr>
            <w:tcW w:w="1650" w:type="dxa"/>
            <w:vAlign w:val="center"/>
          </w:tcPr>
          <w:p w:rsidR="00BB5C1E" w:rsidRDefault="00AF434F">
            <w:pPr>
              <w:jc w:val="center"/>
            </w:pPr>
            <w:r>
              <w:rPr>
                <w:rFonts w:eastAsiaTheme="minorEastAsia"/>
                <w:color w:val="000000"/>
                <w:szCs w:val="21"/>
              </w:rPr>
              <w:t>0.41</w:t>
            </w:r>
          </w:p>
        </w:tc>
      </w:tr>
      <w:tr w:rsidR="00BB5C1E">
        <w:trPr>
          <w:jc w:val="center"/>
        </w:trPr>
        <w:tc>
          <w:tcPr>
            <w:tcW w:w="648" w:type="dxa"/>
            <w:vAlign w:val="center"/>
          </w:tcPr>
          <w:p w:rsidR="00BB5C1E" w:rsidRDefault="00AF434F">
            <w:pPr>
              <w:jc w:val="center"/>
            </w:pPr>
            <w:r>
              <w:rPr>
                <w:rFonts w:eastAsiaTheme="minorEastAsia"/>
                <w:color w:val="000000"/>
                <w:szCs w:val="21"/>
              </w:rPr>
              <w:t>11</w:t>
            </w:r>
          </w:p>
        </w:tc>
        <w:tc>
          <w:tcPr>
            <w:tcW w:w="4583" w:type="dxa"/>
            <w:vAlign w:val="center"/>
          </w:tcPr>
          <w:p w:rsidR="00BB5C1E" w:rsidRDefault="00AF434F">
            <w:pPr>
              <w:jc w:val="center"/>
            </w:pPr>
            <w:r>
              <w:rPr>
                <w:rFonts w:eastAsiaTheme="minorEastAsia"/>
                <w:color w:val="000000"/>
                <w:szCs w:val="21"/>
              </w:rPr>
              <w:t>Moncler SpA</w:t>
            </w:r>
          </w:p>
        </w:tc>
        <w:tc>
          <w:tcPr>
            <w:tcW w:w="1007" w:type="dxa"/>
            <w:vAlign w:val="center"/>
          </w:tcPr>
          <w:p w:rsidR="00BB5C1E" w:rsidRDefault="00AF434F">
            <w:pPr>
              <w:jc w:val="center"/>
            </w:pPr>
            <w:r>
              <w:rPr>
                <w:rFonts w:eastAsiaTheme="minorEastAsia"/>
                <w:color w:val="000000"/>
                <w:szCs w:val="21"/>
              </w:rPr>
              <w:t>MONC IM</w:t>
            </w:r>
          </w:p>
        </w:tc>
        <w:tc>
          <w:tcPr>
            <w:tcW w:w="1470" w:type="dxa"/>
            <w:vAlign w:val="center"/>
          </w:tcPr>
          <w:p w:rsidR="00BB5C1E" w:rsidRDefault="00AF434F">
            <w:pPr>
              <w:jc w:val="center"/>
            </w:pPr>
            <w:r>
              <w:rPr>
                <w:rFonts w:eastAsiaTheme="minorEastAsia"/>
                <w:color w:val="000000"/>
                <w:szCs w:val="21"/>
              </w:rPr>
              <w:t>223,108.68</w:t>
            </w:r>
          </w:p>
        </w:tc>
        <w:tc>
          <w:tcPr>
            <w:tcW w:w="1650" w:type="dxa"/>
            <w:vAlign w:val="center"/>
          </w:tcPr>
          <w:p w:rsidR="00BB5C1E" w:rsidRDefault="00AF434F">
            <w:pPr>
              <w:jc w:val="center"/>
            </w:pPr>
            <w:r>
              <w:rPr>
                <w:rFonts w:eastAsiaTheme="minorEastAsia"/>
                <w:color w:val="000000"/>
                <w:szCs w:val="21"/>
              </w:rPr>
              <w:t>0.40</w:t>
            </w:r>
          </w:p>
        </w:tc>
      </w:tr>
      <w:tr w:rsidR="00BB5C1E">
        <w:trPr>
          <w:jc w:val="center"/>
        </w:trPr>
        <w:tc>
          <w:tcPr>
            <w:tcW w:w="648" w:type="dxa"/>
            <w:vAlign w:val="center"/>
          </w:tcPr>
          <w:p w:rsidR="00BB5C1E" w:rsidRDefault="00AF434F">
            <w:pPr>
              <w:jc w:val="center"/>
            </w:pPr>
            <w:r>
              <w:rPr>
                <w:rFonts w:eastAsiaTheme="minorEastAsia"/>
                <w:color w:val="000000"/>
                <w:szCs w:val="21"/>
              </w:rPr>
              <w:t>12</w:t>
            </w:r>
          </w:p>
        </w:tc>
        <w:tc>
          <w:tcPr>
            <w:tcW w:w="4583" w:type="dxa"/>
            <w:vAlign w:val="center"/>
          </w:tcPr>
          <w:p w:rsidR="00BB5C1E" w:rsidRDefault="00AF434F">
            <w:pPr>
              <w:jc w:val="center"/>
            </w:pPr>
            <w:r>
              <w:rPr>
                <w:rFonts w:eastAsiaTheme="minorEastAsia"/>
                <w:color w:val="000000"/>
                <w:szCs w:val="21"/>
              </w:rPr>
              <w:t>Bayerische Motoren Werke AG</w:t>
            </w:r>
          </w:p>
        </w:tc>
        <w:tc>
          <w:tcPr>
            <w:tcW w:w="1007" w:type="dxa"/>
            <w:vAlign w:val="center"/>
          </w:tcPr>
          <w:p w:rsidR="00BB5C1E" w:rsidRDefault="00AF434F">
            <w:pPr>
              <w:jc w:val="center"/>
            </w:pPr>
            <w:r>
              <w:rPr>
                <w:rFonts w:eastAsiaTheme="minorEastAsia"/>
                <w:color w:val="000000"/>
                <w:szCs w:val="21"/>
              </w:rPr>
              <w:t>BMW GR</w:t>
            </w:r>
          </w:p>
        </w:tc>
        <w:tc>
          <w:tcPr>
            <w:tcW w:w="1470" w:type="dxa"/>
            <w:vAlign w:val="center"/>
          </w:tcPr>
          <w:p w:rsidR="00BB5C1E" w:rsidRDefault="00AF434F">
            <w:pPr>
              <w:jc w:val="center"/>
            </w:pPr>
            <w:r>
              <w:rPr>
                <w:rFonts w:eastAsiaTheme="minorEastAsia"/>
                <w:color w:val="000000"/>
                <w:szCs w:val="21"/>
              </w:rPr>
              <w:t>208,830.64</w:t>
            </w:r>
          </w:p>
        </w:tc>
        <w:tc>
          <w:tcPr>
            <w:tcW w:w="1650" w:type="dxa"/>
            <w:vAlign w:val="center"/>
          </w:tcPr>
          <w:p w:rsidR="00BB5C1E" w:rsidRDefault="00AF434F">
            <w:pPr>
              <w:jc w:val="center"/>
            </w:pPr>
            <w:r>
              <w:rPr>
                <w:rFonts w:eastAsiaTheme="minorEastAsia"/>
                <w:color w:val="000000"/>
                <w:szCs w:val="21"/>
              </w:rPr>
              <w:t>0.38</w:t>
            </w:r>
          </w:p>
        </w:tc>
      </w:tr>
      <w:tr w:rsidR="00BB5C1E">
        <w:trPr>
          <w:jc w:val="center"/>
        </w:trPr>
        <w:tc>
          <w:tcPr>
            <w:tcW w:w="648" w:type="dxa"/>
            <w:vAlign w:val="center"/>
          </w:tcPr>
          <w:p w:rsidR="00BB5C1E" w:rsidRDefault="00AF434F">
            <w:pPr>
              <w:jc w:val="center"/>
            </w:pPr>
            <w:r>
              <w:rPr>
                <w:rFonts w:eastAsiaTheme="minorEastAsia"/>
                <w:color w:val="000000"/>
                <w:szCs w:val="21"/>
              </w:rPr>
              <w:t>13</w:t>
            </w:r>
          </w:p>
        </w:tc>
        <w:tc>
          <w:tcPr>
            <w:tcW w:w="4583" w:type="dxa"/>
            <w:vAlign w:val="center"/>
          </w:tcPr>
          <w:p w:rsidR="00BB5C1E" w:rsidRDefault="00AF434F">
            <w:pPr>
              <w:jc w:val="center"/>
            </w:pPr>
            <w:r>
              <w:rPr>
                <w:rFonts w:eastAsiaTheme="minorEastAsia"/>
                <w:color w:val="000000"/>
                <w:szCs w:val="21"/>
              </w:rPr>
              <w:t>Galaxy Entertainment Group Limited</w:t>
            </w:r>
          </w:p>
        </w:tc>
        <w:tc>
          <w:tcPr>
            <w:tcW w:w="1007" w:type="dxa"/>
            <w:vAlign w:val="center"/>
          </w:tcPr>
          <w:p w:rsidR="00BB5C1E" w:rsidRDefault="00AF434F">
            <w:pPr>
              <w:jc w:val="center"/>
            </w:pPr>
            <w:r>
              <w:rPr>
                <w:rFonts w:eastAsiaTheme="minorEastAsia"/>
                <w:color w:val="000000"/>
                <w:szCs w:val="21"/>
              </w:rPr>
              <w:t>27 HK</w:t>
            </w:r>
          </w:p>
        </w:tc>
        <w:tc>
          <w:tcPr>
            <w:tcW w:w="1470" w:type="dxa"/>
            <w:vAlign w:val="center"/>
          </w:tcPr>
          <w:p w:rsidR="00BB5C1E" w:rsidRDefault="00AF434F">
            <w:pPr>
              <w:jc w:val="center"/>
            </w:pPr>
            <w:r>
              <w:rPr>
                <w:rFonts w:eastAsiaTheme="minorEastAsia"/>
                <w:color w:val="000000"/>
                <w:szCs w:val="21"/>
              </w:rPr>
              <w:t>208,830.26</w:t>
            </w:r>
          </w:p>
        </w:tc>
        <w:tc>
          <w:tcPr>
            <w:tcW w:w="1650" w:type="dxa"/>
            <w:vAlign w:val="center"/>
          </w:tcPr>
          <w:p w:rsidR="00BB5C1E" w:rsidRDefault="00AF434F">
            <w:pPr>
              <w:jc w:val="center"/>
            </w:pPr>
            <w:r>
              <w:rPr>
                <w:rFonts w:eastAsiaTheme="minorEastAsia"/>
                <w:color w:val="000000"/>
                <w:szCs w:val="21"/>
              </w:rPr>
              <w:t>0.38</w:t>
            </w:r>
          </w:p>
        </w:tc>
      </w:tr>
      <w:tr w:rsidR="00BB5C1E">
        <w:trPr>
          <w:jc w:val="center"/>
        </w:trPr>
        <w:tc>
          <w:tcPr>
            <w:tcW w:w="648" w:type="dxa"/>
            <w:vAlign w:val="center"/>
          </w:tcPr>
          <w:p w:rsidR="00BB5C1E" w:rsidRDefault="00AF434F">
            <w:pPr>
              <w:jc w:val="center"/>
            </w:pPr>
            <w:r>
              <w:rPr>
                <w:rFonts w:eastAsiaTheme="minorEastAsia"/>
                <w:color w:val="000000"/>
                <w:szCs w:val="21"/>
              </w:rPr>
              <w:t>14</w:t>
            </w:r>
          </w:p>
        </w:tc>
        <w:tc>
          <w:tcPr>
            <w:tcW w:w="4583" w:type="dxa"/>
            <w:vAlign w:val="center"/>
          </w:tcPr>
          <w:p w:rsidR="00BB5C1E" w:rsidRDefault="00AF434F">
            <w:pPr>
              <w:jc w:val="center"/>
            </w:pPr>
            <w:r>
              <w:rPr>
                <w:rFonts w:eastAsiaTheme="minorEastAsia"/>
                <w:color w:val="000000"/>
                <w:szCs w:val="21"/>
              </w:rPr>
              <w:t>NIKE Inc</w:t>
            </w:r>
          </w:p>
        </w:tc>
        <w:tc>
          <w:tcPr>
            <w:tcW w:w="1007" w:type="dxa"/>
            <w:vAlign w:val="center"/>
          </w:tcPr>
          <w:p w:rsidR="00BB5C1E" w:rsidRDefault="00AF434F">
            <w:pPr>
              <w:jc w:val="center"/>
            </w:pPr>
            <w:r>
              <w:rPr>
                <w:rFonts w:eastAsiaTheme="minorEastAsia"/>
                <w:color w:val="000000"/>
                <w:szCs w:val="21"/>
              </w:rPr>
              <w:t>NKE US</w:t>
            </w:r>
          </w:p>
        </w:tc>
        <w:tc>
          <w:tcPr>
            <w:tcW w:w="1470" w:type="dxa"/>
            <w:vAlign w:val="center"/>
          </w:tcPr>
          <w:p w:rsidR="00BB5C1E" w:rsidRDefault="00AF434F">
            <w:pPr>
              <w:jc w:val="center"/>
            </w:pPr>
            <w:r>
              <w:rPr>
                <w:rFonts w:eastAsiaTheme="minorEastAsia"/>
                <w:color w:val="000000"/>
                <w:szCs w:val="21"/>
              </w:rPr>
              <w:t>205,414.30</w:t>
            </w:r>
          </w:p>
        </w:tc>
        <w:tc>
          <w:tcPr>
            <w:tcW w:w="1650" w:type="dxa"/>
            <w:vAlign w:val="center"/>
          </w:tcPr>
          <w:p w:rsidR="00BB5C1E" w:rsidRDefault="00AF434F">
            <w:pPr>
              <w:jc w:val="center"/>
            </w:pPr>
            <w:r>
              <w:rPr>
                <w:rFonts w:eastAsiaTheme="minorEastAsia"/>
                <w:color w:val="000000"/>
                <w:szCs w:val="21"/>
              </w:rPr>
              <w:t>0.37</w:t>
            </w:r>
          </w:p>
        </w:tc>
      </w:tr>
      <w:tr w:rsidR="00BB5C1E">
        <w:trPr>
          <w:jc w:val="center"/>
        </w:trPr>
        <w:tc>
          <w:tcPr>
            <w:tcW w:w="648" w:type="dxa"/>
            <w:vAlign w:val="center"/>
          </w:tcPr>
          <w:p w:rsidR="00BB5C1E" w:rsidRDefault="00AF434F">
            <w:pPr>
              <w:jc w:val="center"/>
            </w:pPr>
            <w:r>
              <w:rPr>
                <w:rFonts w:eastAsiaTheme="minorEastAsia"/>
                <w:color w:val="000000"/>
                <w:szCs w:val="21"/>
              </w:rPr>
              <w:t>15</w:t>
            </w:r>
          </w:p>
        </w:tc>
        <w:tc>
          <w:tcPr>
            <w:tcW w:w="4583" w:type="dxa"/>
            <w:vAlign w:val="center"/>
          </w:tcPr>
          <w:p w:rsidR="00BB5C1E" w:rsidRDefault="00AF434F">
            <w:pPr>
              <w:jc w:val="center"/>
            </w:pPr>
            <w:r>
              <w:rPr>
                <w:rFonts w:eastAsiaTheme="minorEastAsia"/>
                <w:color w:val="000000"/>
                <w:szCs w:val="21"/>
              </w:rPr>
              <w:t>Deckers Outdoor Corp</w:t>
            </w:r>
          </w:p>
        </w:tc>
        <w:tc>
          <w:tcPr>
            <w:tcW w:w="1007" w:type="dxa"/>
            <w:vAlign w:val="center"/>
          </w:tcPr>
          <w:p w:rsidR="00BB5C1E" w:rsidRDefault="00AF434F">
            <w:pPr>
              <w:jc w:val="center"/>
            </w:pPr>
            <w:r>
              <w:rPr>
                <w:rFonts w:eastAsiaTheme="minorEastAsia"/>
                <w:color w:val="000000"/>
                <w:szCs w:val="21"/>
              </w:rPr>
              <w:t>DECK US</w:t>
            </w:r>
          </w:p>
        </w:tc>
        <w:tc>
          <w:tcPr>
            <w:tcW w:w="1470" w:type="dxa"/>
            <w:vAlign w:val="center"/>
          </w:tcPr>
          <w:p w:rsidR="00BB5C1E" w:rsidRDefault="00AF434F">
            <w:pPr>
              <w:jc w:val="center"/>
            </w:pPr>
            <w:r>
              <w:rPr>
                <w:rFonts w:eastAsiaTheme="minorEastAsia"/>
                <w:color w:val="000000"/>
                <w:szCs w:val="21"/>
              </w:rPr>
              <w:t>204,270.63</w:t>
            </w:r>
          </w:p>
        </w:tc>
        <w:tc>
          <w:tcPr>
            <w:tcW w:w="1650" w:type="dxa"/>
            <w:vAlign w:val="center"/>
          </w:tcPr>
          <w:p w:rsidR="00BB5C1E" w:rsidRDefault="00AF434F">
            <w:pPr>
              <w:jc w:val="center"/>
            </w:pPr>
            <w:r>
              <w:rPr>
                <w:rFonts w:eastAsiaTheme="minorEastAsia"/>
                <w:color w:val="000000"/>
                <w:szCs w:val="21"/>
              </w:rPr>
              <w:t>0.37</w:t>
            </w:r>
          </w:p>
        </w:tc>
      </w:tr>
      <w:tr w:rsidR="00BB5C1E">
        <w:trPr>
          <w:jc w:val="center"/>
        </w:trPr>
        <w:tc>
          <w:tcPr>
            <w:tcW w:w="648" w:type="dxa"/>
            <w:vAlign w:val="center"/>
          </w:tcPr>
          <w:p w:rsidR="00BB5C1E" w:rsidRDefault="00AF434F">
            <w:pPr>
              <w:jc w:val="center"/>
            </w:pPr>
            <w:r>
              <w:rPr>
                <w:rFonts w:eastAsiaTheme="minorEastAsia"/>
                <w:color w:val="000000"/>
                <w:szCs w:val="21"/>
              </w:rPr>
              <w:t>16</w:t>
            </w:r>
          </w:p>
        </w:tc>
        <w:tc>
          <w:tcPr>
            <w:tcW w:w="4583" w:type="dxa"/>
            <w:vAlign w:val="center"/>
          </w:tcPr>
          <w:p w:rsidR="00BB5C1E" w:rsidRDefault="00AF434F">
            <w:pPr>
              <w:jc w:val="center"/>
            </w:pPr>
            <w:r>
              <w:rPr>
                <w:rFonts w:eastAsiaTheme="minorEastAsia"/>
                <w:color w:val="000000"/>
                <w:szCs w:val="21"/>
              </w:rPr>
              <w:t>Royal Caribbean Cruises Ltd</w:t>
            </w:r>
          </w:p>
        </w:tc>
        <w:tc>
          <w:tcPr>
            <w:tcW w:w="1007" w:type="dxa"/>
            <w:vAlign w:val="center"/>
          </w:tcPr>
          <w:p w:rsidR="00BB5C1E" w:rsidRDefault="00AF434F">
            <w:pPr>
              <w:jc w:val="center"/>
            </w:pPr>
            <w:r>
              <w:rPr>
                <w:rFonts w:eastAsiaTheme="minorEastAsia"/>
                <w:color w:val="000000"/>
                <w:szCs w:val="21"/>
              </w:rPr>
              <w:t>RCL US</w:t>
            </w:r>
          </w:p>
        </w:tc>
        <w:tc>
          <w:tcPr>
            <w:tcW w:w="1470" w:type="dxa"/>
            <w:vAlign w:val="center"/>
          </w:tcPr>
          <w:p w:rsidR="00BB5C1E" w:rsidRDefault="00AF434F">
            <w:pPr>
              <w:jc w:val="center"/>
            </w:pPr>
            <w:r>
              <w:rPr>
                <w:rFonts w:eastAsiaTheme="minorEastAsia"/>
                <w:color w:val="000000"/>
                <w:szCs w:val="21"/>
              </w:rPr>
              <w:t>166,064.58</w:t>
            </w:r>
          </w:p>
        </w:tc>
        <w:tc>
          <w:tcPr>
            <w:tcW w:w="1650" w:type="dxa"/>
            <w:vAlign w:val="center"/>
          </w:tcPr>
          <w:p w:rsidR="00BB5C1E" w:rsidRDefault="00AF434F">
            <w:pPr>
              <w:jc w:val="center"/>
            </w:pPr>
            <w:r>
              <w:rPr>
                <w:rFonts w:eastAsiaTheme="minorEastAsia"/>
                <w:color w:val="000000"/>
                <w:szCs w:val="21"/>
              </w:rPr>
              <w:t>0.30</w:t>
            </w:r>
          </w:p>
        </w:tc>
      </w:tr>
      <w:tr w:rsidR="00BB5C1E">
        <w:trPr>
          <w:jc w:val="center"/>
        </w:trPr>
        <w:tc>
          <w:tcPr>
            <w:tcW w:w="648" w:type="dxa"/>
            <w:vAlign w:val="center"/>
          </w:tcPr>
          <w:p w:rsidR="00BB5C1E" w:rsidRDefault="00AF434F">
            <w:pPr>
              <w:jc w:val="center"/>
            </w:pPr>
            <w:r>
              <w:rPr>
                <w:rFonts w:eastAsiaTheme="minorEastAsia"/>
                <w:color w:val="000000"/>
                <w:szCs w:val="21"/>
              </w:rPr>
              <w:t>17</w:t>
            </w:r>
          </w:p>
        </w:tc>
        <w:tc>
          <w:tcPr>
            <w:tcW w:w="4583" w:type="dxa"/>
            <w:vAlign w:val="center"/>
          </w:tcPr>
          <w:p w:rsidR="00BB5C1E" w:rsidRDefault="00AF434F">
            <w:pPr>
              <w:jc w:val="center"/>
            </w:pPr>
            <w:r>
              <w:rPr>
                <w:rFonts w:eastAsiaTheme="minorEastAsia"/>
                <w:color w:val="000000"/>
                <w:szCs w:val="21"/>
              </w:rPr>
              <w:t>Carnival Corp</w:t>
            </w:r>
          </w:p>
        </w:tc>
        <w:tc>
          <w:tcPr>
            <w:tcW w:w="1007" w:type="dxa"/>
            <w:vAlign w:val="center"/>
          </w:tcPr>
          <w:p w:rsidR="00BB5C1E" w:rsidRDefault="00AF434F">
            <w:pPr>
              <w:jc w:val="center"/>
            </w:pPr>
            <w:r>
              <w:rPr>
                <w:rFonts w:eastAsiaTheme="minorEastAsia"/>
                <w:color w:val="000000"/>
                <w:szCs w:val="21"/>
              </w:rPr>
              <w:t>CCL US</w:t>
            </w:r>
          </w:p>
        </w:tc>
        <w:tc>
          <w:tcPr>
            <w:tcW w:w="1470" w:type="dxa"/>
            <w:vAlign w:val="center"/>
          </w:tcPr>
          <w:p w:rsidR="00BB5C1E" w:rsidRDefault="00AF434F">
            <w:pPr>
              <w:jc w:val="center"/>
            </w:pPr>
            <w:r>
              <w:rPr>
                <w:rFonts w:eastAsiaTheme="minorEastAsia"/>
                <w:color w:val="000000"/>
                <w:szCs w:val="21"/>
              </w:rPr>
              <w:t>142,510.05</w:t>
            </w:r>
          </w:p>
        </w:tc>
        <w:tc>
          <w:tcPr>
            <w:tcW w:w="1650" w:type="dxa"/>
            <w:vAlign w:val="center"/>
          </w:tcPr>
          <w:p w:rsidR="00BB5C1E" w:rsidRDefault="00AF434F">
            <w:pPr>
              <w:jc w:val="center"/>
            </w:pPr>
            <w:r>
              <w:rPr>
                <w:rFonts w:eastAsiaTheme="minorEastAsia"/>
                <w:color w:val="000000"/>
                <w:szCs w:val="21"/>
              </w:rPr>
              <w:t>0.26</w:t>
            </w:r>
          </w:p>
        </w:tc>
      </w:tr>
      <w:tr w:rsidR="00BB5C1E">
        <w:trPr>
          <w:jc w:val="center"/>
        </w:trPr>
        <w:tc>
          <w:tcPr>
            <w:tcW w:w="648" w:type="dxa"/>
            <w:vAlign w:val="center"/>
          </w:tcPr>
          <w:p w:rsidR="00BB5C1E" w:rsidRDefault="00AF434F">
            <w:pPr>
              <w:jc w:val="center"/>
            </w:pPr>
            <w:r>
              <w:rPr>
                <w:rFonts w:eastAsiaTheme="minorEastAsia"/>
                <w:color w:val="000000"/>
                <w:szCs w:val="21"/>
              </w:rPr>
              <w:t>18</w:t>
            </w:r>
          </w:p>
        </w:tc>
        <w:tc>
          <w:tcPr>
            <w:tcW w:w="4583" w:type="dxa"/>
            <w:vAlign w:val="center"/>
          </w:tcPr>
          <w:p w:rsidR="00BB5C1E" w:rsidRDefault="00AF434F">
            <w:pPr>
              <w:jc w:val="center"/>
            </w:pPr>
            <w:r>
              <w:rPr>
                <w:rFonts w:eastAsiaTheme="minorEastAsia"/>
                <w:color w:val="000000"/>
                <w:szCs w:val="21"/>
              </w:rPr>
              <w:t>Tapestry Inc</w:t>
            </w:r>
          </w:p>
        </w:tc>
        <w:tc>
          <w:tcPr>
            <w:tcW w:w="1007" w:type="dxa"/>
            <w:vAlign w:val="center"/>
          </w:tcPr>
          <w:p w:rsidR="00BB5C1E" w:rsidRDefault="00AF434F">
            <w:pPr>
              <w:jc w:val="center"/>
            </w:pPr>
            <w:r>
              <w:rPr>
                <w:rFonts w:eastAsiaTheme="minorEastAsia"/>
                <w:color w:val="000000"/>
                <w:szCs w:val="21"/>
              </w:rPr>
              <w:t>TPR US</w:t>
            </w:r>
          </w:p>
        </w:tc>
        <w:tc>
          <w:tcPr>
            <w:tcW w:w="1470" w:type="dxa"/>
            <w:vAlign w:val="center"/>
          </w:tcPr>
          <w:p w:rsidR="00BB5C1E" w:rsidRDefault="00AF434F">
            <w:pPr>
              <w:jc w:val="center"/>
            </w:pPr>
            <w:r>
              <w:rPr>
                <w:rFonts w:eastAsiaTheme="minorEastAsia"/>
                <w:color w:val="000000"/>
                <w:szCs w:val="21"/>
              </w:rPr>
              <w:t>124,973.45</w:t>
            </w:r>
          </w:p>
        </w:tc>
        <w:tc>
          <w:tcPr>
            <w:tcW w:w="1650" w:type="dxa"/>
            <w:vAlign w:val="center"/>
          </w:tcPr>
          <w:p w:rsidR="00BB5C1E" w:rsidRDefault="00AF434F">
            <w:pPr>
              <w:jc w:val="center"/>
            </w:pPr>
            <w:r>
              <w:rPr>
                <w:rFonts w:eastAsiaTheme="minorEastAsia"/>
                <w:color w:val="000000"/>
                <w:szCs w:val="21"/>
              </w:rPr>
              <w:t>0.23</w:t>
            </w:r>
          </w:p>
        </w:tc>
      </w:tr>
      <w:tr w:rsidR="00BB5C1E">
        <w:trPr>
          <w:jc w:val="center"/>
        </w:trPr>
        <w:tc>
          <w:tcPr>
            <w:tcW w:w="648" w:type="dxa"/>
            <w:vAlign w:val="center"/>
          </w:tcPr>
          <w:p w:rsidR="00BB5C1E" w:rsidRDefault="00AF434F">
            <w:pPr>
              <w:jc w:val="center"/>
            </w:pPr>
            <w:r>
              <w:rPr>
                <w:rFonts w:eastAsiaTheme="minorEastAsia"/>
                <w:color w:val="000000"/>
                <w:szCs w:val="21"/>
              </w:rPr>
              <w:t>19</w:t>
            </w:r>
          </w:p>
        </w:tc>
        <w:tc>
          <w:tcPr>
            <w:tcW w:w="4583" w:type="dxa"/>
            <w:vAlign w:val="center"/>
          </w:tcPr>
          <w:p w:rsidR="00BB5C1E" w:rsidRDefault="00AF434F">
            <w:pPr>
              <w:jc w:val="center"/>
            </w:pPr>
            <w:r>
              <w:rPr>
                <w:rFonts w:eastAsiaTheme="minorEastAsia"/>
                <w:color w:val="000000"/>
                <w:szCs w:val="21"/>
              </w:rPr>
              <w:t>Burberry Group PLC</w:t>
            </w:r>
          </w:p>
        </w:tc>
        <w:tc>
          <w:tcPr>
            <w:tcW w:w="1007" w:type="dxa"/>
            <w:vAlign w:val="center"/>
          </w:tcPr>
          <w:p w:rsidR="00BB5C1E" w:rsidRDefault="00AF434F">
            <w:pPr>
              <w:jc w:val="center"/>
            </w:pPr>
            <w:r>
              <w:rPr>
                <w:rFonts w:eastAsiaTheme="minorEastAsia"/>
                <w:color w:val="000000"/>
                <w:szCs w:val="21"/>
              </w:rPr>
              <w:t>BRBY LN</w:t>
            </w:r>
          </w:p>
        </w:tc>
        <w:tc>
          <w:tcPr>
            <w:tcW w:w="1470" w:type="dxa"/>
            <w:vAlign w:val="center"/>
          </w:tcPr>
          <w:p w:rsidR="00BB5C1E" w:rsidRDefault="00AF434F">
            <w:pPr>
              <w:jc w:val="center"/>
            </w:pPr>
            <w:r>
              <w:rPr>
                <w:rFonts w:eastAsiaTheme="minorEastAsia"/>
                <w:color w:val="000000"/>
                <w:szCs w:val="21"/>
              </w:rPr>
              <w:t>123,423.00</w:t>
            </w:r>
          </w:p>
        </w:tc>
        <w:tc>
          <w:tcPr>
            <w:tcW w:w="1650" w:type="dxa"/>
            <w:vAlign w:val="center"/>
          </w:tcPr>
          <w:p w:rsidR="00BB5C1E" w:rsidRDefault="00AF434F">
            <w:pPr>
              <w:jc w:val="center"/>
            </w:pPr>
            <w:r>
              <w:rPr>
                <w:rFonts w:eastAsiaTheme="minorEastAsia"/>
                <w:color w:val="000000"/>
                <w:szCs w:val="21"/>
              </w:rPr>
              <w:t>0.22</w:t>
            </w:r>
          </w:p>
        </w:tc>
      </w:tr>
      <w:tr w:rsidR="00BB5C1E">
        <w:trPr>
          <w:jc w:val="center"/>
        </w:trPr>
        <w:tc>
          <w:tcPr>
            <w:tcW w:w="648" w:type="dxa"/>
            <w:vAlign w:val="center"/>
          </w:tcPr>
          <w:p w:rsidR="00BB5C1E" w:rsidRDefault="00AF434F">
            <w:pPr>
              <w:jc w:val="center"/>
            </w:pPr>
            <w:r>
              <w:rPr>
                <w:rFonts w:eastAsiaTheme="minorEastAsia"/>
                <w:color w:val="000000"/>
                <w:szCs w:val="21"/>
              </w:rPr>
              <w:t>20</w:t>
            </w:r>
          </w:p>
        </w:tc>
        <w:tc>
          <w:tcPr>
            <w:tcW w:w="4583" w:type="dxa"/>
            <w:vAlign w:val="center"/>
          </w:tcPr>
          <w:p w:rsidR="00BB5C1E" w:rsidRDefault="00AF434F">
            <w:pPr>
              <w:jc w:val="center"/>
            </w:pPr>
            <w:r>
              <w:rPr>
                <w:rFonts w:eastAsiaTheme="minorEastAsia"/>
                <w:color w:val="000000"/>
                <w:szCs w:val="21"/>
              </w:rPr>
              <w:t>HUGO BOSS AG</w:t>
            </w:r>
          </w:p>
        </w:tc>
        <w:tc>
          <w:tcPr>
            <w:tcW w:w="1007" w:type="dxa"/>
            <w:vAlign w:val="center"/>
          </w:tcPr>
          <w:p w:rsidR="00BB5C1E" w:rsidRDefault="00AF434F">
            <w:pPr>
              <w:jc w:val="center"/>
            </w:pPr>
            <w:r>
              <w:rPr>
                <w:rFonts w:eastAsiaTheme="minorEastAsia"/>
                <w:color w:val="000000"/>
                <w:szCs w:val="21"/>
              </w:rPr>
              <w:t>BOSS GR</w:t>
            </w:r>
          </w:p>
        </w:tc>
        <w:tc>
          <w:tcPr>
            <w:tcW w:w="1470" w:type="dxa"/>
            <w:vAlign w:val="center"/>
          </w:tcPr>
          <w:p w:rsidR="00BB5C1E" w:rsidRDefault="00AF434F">
            <w:pPr>
              <w:jc w:val="center"/>
            </w:pPr>
            <w:r>
              <w:rPr>
                <w:rFonts w:eastAsiaTheme="minorEastAsia"/>
                <w:color w:val="000000"/>
                <w:szCs w:val="21"/>
              </w:rPr>
              <w:t>89,641.34</w:t>
            </w:r>
          </w:p>
        </w:tc>
        <w:tc>
          <w:tcPr>
            <w:tcW w:w="1650" w:type="dxa"/>
            <w:vAlign w:val="center"/>
          </w:tcPr>
          <w:p w:rsidR="00BB5C1E" w:rsidRDefault="00AF434F">
            <w:pPr>
              <w:jc w:val="center"/>
            </w:pPr>
            <w:r>
              <w:rPr>
                <w:rFonts w:eastAsiaTheme="minorEastAsia"/>
                <w:color w:val="000000"/>
                <w:szCs w:val="21"/>
              </w:rPr>
              <w:t>0.16</w:t>
            </w:r>
          </w:p>
        </w:tc>
      </w:tr>
    </w:tbl>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卖出金额按买卖成交金额（成交单价乘以成交数量）填列，不考虑相关交易费用。</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w:t>
      </w:r>
      <w:r w:rsidRPr="00C24ACA">
        <w:rPr>
          <w:rFonts w:eastAsiaTheme="minorEastAsia"/>
          <w:kern w:val="0"/>
          <w:szCs w:val="21"/>
        </w:rPr>
        <w:t>此处所用证券代码的类别是当地市场代码。</w:t>
      </w:r>
    </w:p>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7.5.3</w:t>
      </w:r>
      <w:r w:rsidRPr="00C24ACA">
        <w:rPr>
          <w:rFonts w:eastAsiaTheme="minorEastAsia"/>
          <w:b/>
          <w:color w:val="000000"/>
          <w:kern w:val="0"/>
          <w:szCs w:val="21"/>
        </w:rPr>
        <w:t>权益投资的买入成本总额及卖出收入总额</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27"/>
        <w:gridCol w:w="5629"/>
      </w:tblGrid>
      <w:tr w:rsidR="008A5A5D" w:rsidRPr="00C24ACA" w:rsidTr="00B73AA7">
        <w:trPr>
          <w:trHeight w:val="285"/>
          <w:jc w:val="center"/>
        </w:trPr>
        <w:tc>
          <w:tcPr>
            <w:tcW w:w="3727" w:type="dxa"/>
            <w:vAlign w:val="center"/>
          </w:tcPr>
          <w:p w:rsidR="008A5A5D" w:rsidRPr="00C24ACA" w:rsidRDefault="008A5A5D" w:rsidP="004A4847">
            <w:pPr>
              <w:rPr>
                <w:rFonts w:eastAsiaTheme="minorEastAsia"/>
                <w:color w:val="000000"/>
                <w:szCs w:val="21"/>
              </w:rPr>
            </w:pPr>
            <w:r w:rsidRPr="00C24ACA">
              <w:rPr>
                <w:rFonts w:eastAsiaTheme="minorEastAsia"/>
                <w:color w:val="000000"/>
                <w:szCs w:val="21"/>
              </w:rPr>
              <w:t>买入成本（成交）总额</w:t>
            </w:r>
          </w:p>
        </w:tc>
        <w:tc>
          <w:tcPr>
            <w:tcW w:w="5629" w:type="dxa"/>
            <w:vAlign w:val="bottom"/>
          </w:tcPr>
          <w:p w:rsidR="008A5A5D" w:rsidRPr="00C24ACA" w:rsidRDefault="008A5A5D" w:rsidP="004A4847">
            <w:pPr>
              <w:jc w:val="right"/>
              <w:rPr>
                <w:rFonts w:eastAsiaTheme="minorEastAsia"/>
                <w:szCs w:val="21"/>
              </w:rPr>
            </w:pPr>
            <w:r w:rsidRPr="00C24ACA">
              <w:rPr>
                <w:rFonts w:eastAsiaTheme="minorEastAsia"/>
                <w:szCs w:val="21"/>
              </w:rPr>
              <w:t>14,307,648.80</w:t>
            </w:r>
          </w:p>
        </w:tc>
      </w:tr>
      <w:tr w:rsidR="008A5A5D" w:rsidRPr="00C24ACA" w:rsidTr="00B73AA7">
        <w:trPr>
          <w:trHeight w:val="285"/>
          <w:jc w:val="center"/>
        </w:trPr>
        <w:tc>
          <w:tcPr>
            <w:tcW w:w="3727" w:type="dxa"/>
            <w:vAlign w:val="center"/>
          </w:tcPr>
          <w:p w:rsidR="008A5A5D" w:rsidRPr="00C24ACA" w:rsidRDefault="008A5A5D" w:rsidP="004A4847">
            <w:pPr>
              <w:rPr>
                <w:rFonts w:eastAsiaTheme="minorEastAsia"/>
                <w:color w:val="000000"/>
                <w:szCs w:val="21"/>
              </w:rPr>
            </w:pPr>
            <w:r w:rsidRPr="00C24ACA">
              <w:rPr>
                <w:rFonts w:eastAsiaTheme="minorEastAsia"/>
                <w:color w:val="000000"/>
                <w:szCs w:val="21"/>
              </w:rPr>
              <w:t>卖出收入（成交）总额</w:t>
            </w:r>
          </w:p>
        </w:tc>
        <w:tc>
          <w:tcPr>
            <w:tcW w:w="5629" w:type="dxa"/>
            <w:vAlign w:val="bottom"/>
          </w:tcPr>
          <w:p w:rsidR="008A5A5D" w:rsidRPr="00C24ACA" w:rsidRDefault="008A5A5D" w:rsidP="004A4847">
            <w:pPr>
              <w:jc w:val="right"/>
              <w:rPr>
                <w:rFonts w:eastAsiaTheme="minorEastAsia"/>
                <w:szCs w:val="21"/>
              </w:rPr>
            </w:pPr>
            <w:r w:rsidRPr="00C24ACA">
              <w:rPr>
                <w:rFonts w:eastAsiaTheme="minorEastAsia"/>
                <w:szCs w:val="21"/>
              </w:rPr>
              <w:t>9,100,961.49</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w:t>
      </w:r>
      <w:r w:rsidRPr="00C24ACA">
        <w:rPr>
          <w:rFonts w:eastAsiaTheme="minorEastAsia"/>
          <w:kern w:val="0"/>
          <w:szCs w:val="21"/>
        </w:rPr>
        <w:t>“</w:t>
      </w:r>
      <w:r w:rsidRPr="00C24ACA">
        <w:rPr>
          <w:rFonts w:eastAsiaTheme="minorEastAsia"/>
          <w:kern w:val="0"/>
          <w:szCs w:val="21"/>
        </w:rPr>
        <w:t>买入成本</w:t>
      </w:r>
      <w:r w:rsidRPr="00C24ACA">
        <w:rPr>
          <w:rFonts w:eastAsiaTheme="minorEastAsia"/>
          <w:kern w:val="0"/>
          <w:szCs w:val="21"/>
        </w:rPr>
        <w:t>”</w:t>
      </w:r>
      <w:r w:rsidRPr="00C24ACA">
        <w:rPr>
          <w:rFonts w:eastAsiaTheme="minorEastAsia"/>
          <w:kern w:val="0"/>
          <w:szCs w:val="21"/>
        </w:rPr>
        <w:t>或</w:t>
      </w:r>
      <w:r w:rsidRPr="00C24ACA">
        <w:rPr>
          <w:rFonts w:eastAsiaTheme="minorEastAsia"/>
          <w:kern w:val="0"/>
          <w:szCs w:val="21"/>
        </w:rPr>
        <w:t>“</w:t>
      </w:r>
      <w:r w:rsidRPr="00C24ACA">
        <w:rPr>
          <w:rFonts w:eastAsiaTheme="minorEastAsia"/>
          <w:kern w:val="0"/>
          <w:szCs w:val="21"/>
        </w:rPr>
        <w:t>卖出收入</w:t>
      </w:r>
      <w:r w:rsidRPr="00C24ACA">
        <w:rPr>
          <w:rFonts w:eastAsiaTheme="minorEastAsia"/>
          <w:kern w:val="0"/>
          <w:szCs w:val="21"/>
        </w:rPr>
        <w:t>”</w:t>
      </w:r>
      <w:r w:rsidRPr="00C24ACA">
        <w:rPr>
          <w:rFonts w:eastAsiaTheme="minorEastAsia"/>
          <w:kern w:val="0"/>
          <w:szCs w:val="21"/>
        </w:rPr>
        <w:t>均按买卖成交金额（成交单价乘以成交数量）填列，不考虑相关交易费用。</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34" w:name="_Toc224618381"/>
      <w:bookmarkStart w:id="235" w:name="_Toc248233028"/>
      <w:bookmarkStart w:id="236" w:name="_Toc249790560"/>
      <w:bookmarkStart w:id="237" w:name="_Toc286929761"/>
      <w:bookmarkStart w:id="238" w:name="_Toc352256000"/>
      <w:bookmarkStart w:id="239" w:name="_Toc352256068"/>
      <w:bookmarkStart w:id="240" w:name="_Toc352331246"/>
      <w:bookmarkStart w:id="241" w:name="_Toc390164828"/>
      <w:bookmarkStart w:id="242" w:name="_Toc48662932"/>
      <w:r w:rsidRPr="0087359D">
        <w:rPr>
          <w:rFonts w:ascii="宋体" w:hAnsi="宋体"/>
          <w:kern w:val="0"/>
          <w:sz w:val="21"/>
          <w:szCs w:val="21"/>
        </w:rPr>
        <w:t>7.6</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期末按债券信用等级分类的债券投资组合</w:t>
      </w:r>
      <w:bookmarkEnd w:id="234"/>
      <w:bookmarkEnd w:id="235"/>
      <w:bookmarkEnd w:id="236"/>
      <w:bookmarkEnd w:id="237"/>
      <w:bookmarkEnd w:id="238"/>
      <w:bookmarkEnd w:id="239"/>
      <w:bookmarkEnd w:id="240"/>
      <w:bookmarkEnd w:id="241"/>
      <w:bookmarkEnd w:id="242"/>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本基金本报告期末未持有债券。</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43" w:name="_Toc224618382"/>
      <w:bookmarkStart w:id="244" w:name="_Toc248233029"/>
      <w:bookmarkStart w:id="245" w:name="_Toc249790561"/>
      <w:bookmarkStart w:id="246" w:name="_Toc286929762"/>
      <w:bookmarkStart w:id="247" w:name="_Toc352256001"/>
      <w:bookmarkStart w:id="248" w:name="_Toc352256069"/>
      <w:bookmarkStart w:id="249" w:name="_Toc352331247"/>
      <w:bookmarkStart w:id="250" w:name="_Toc390164829"/>
      <w:bookmarkStart w:id="251" w:name="_Toc48662933"/>
      <w:r w:rsidRPr="0087359D">
        <w:rPr>
          <w:rFonts w:ascii="宋体" w:hAnsi="宋体"/>
          <w:kern w:val="0"/>
          <w:sz w:val="21"/>
          <w:szCs w:val="21"/>
        </w:rPr>
        <w:t>7.7</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期末按公允价值占基金资产净值比例大小排名的前五名债券投资明细</w:t>
      </w:r>
      <w:bookmarkEnd w:id="243"/>
      <w:bookmarkEnd w:id="244"/>
      <w:bookmarkEnd w:id="245"/>
      <w:bookmarkEnd w:id="246"/>
      <w:bookmarkEnd w:id="247"/>
      <w:bookmarkEnd w:id="248"/>
      <w:bookmarkEnd w:id="249"/>
      <w:bookmarkEnd w:id="250"/>
      <w:bookmarkEnd w:id="251"/>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本基金本报告期末未持有债券。</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52" w:name="_Toc224618383"/>
      <w:bookmarkStart w:id="253" w:name="_Toc248233030"/>
      <w:bookmarkStart w:id="254" w:name="_Toc249790562"/>
      <w:bookmarkStart w:id="255" w:name="_Toc286929763"/>
      <w:bookmarkStart w:id="256" w:name="_Toc352256002"/>
      <w:bookmarkStart w:id="257" w:name="_Toc352256070"/>
      <w:bookmarkStart w:id="258" w:name="_Toc352331248"/>
      <w:bookmarkStart w:id="259" w:name="_Toc390164830"/>
      <w:bookmarkStart w:id="260" w:name="_Toc48662934"/>
      <w:r w:rsidRPr="0087359D">
        <w:rPr>
          <w:rFonts w:ascii="宋体" w:hAnsi="宋体"/>
          <w:kern w:val="0"/>
          <w:sz w:val="21"/>
          <w:szCs w:val="21"/>
        </w:rPr>
        <w:t>7.8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期末按公允价值占基金资产净值比例大小排名的所有资产支持证券投资明细</w:t>
      </w:r>
      <w:bookmarkEnd w:id="252"/>
      <w:bookmarkEnd w:id="253"/>
      <w:bookmarkEnd w:id="254"/>
      <w:bookmarkEnd w:id="255"/>
      <w:bookmarkEnd w:id="256"/>
      <w:bookmarkEnd w:id="257"/>
      <w:bookmarkEnd w:id="258"/>
      <w:bookmarkEnd w:id="259"/>
      <w:bookmarkEnd w:id="260"/>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本基金本报告期末未持有资产支持证券。</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61" w:name="_Toc224618384"/>
      <w:bookmarkStart w:id="262" w:name="_Toc248233031"/>
      <w:bookmarkStart w:id="263" w:name="_Toc249790563"/>
      <w:bookmarkStart w:id="264" w:name="_Toc286929764"/>
      <w:bookmarkStart w:id="265" w:name="_Toc352256003"/>
      <w:bookmarkStart w:id="266" w:name="_Toc352256071"/>
      <w:bookmarkStart w:id="267" w:name="_Toc352331249"/>
      <w:bookmarkStart w:id="268" w:name="_Toc390164831"/>
      <w:bookmarkStart w:id="269" w:name="_Toc48662935"/>
      <w:r w:rsidRPr="0087359D">
        <w:rPr>
          <w:rFonts w:ascii="宋体" w:hAnsi="宋体"/>
          <w:kern w:val="0"/>
          <w:sz w:val="21"/>
          <w:szCs w:val="21"/>
        </w:rPr>
        <w:t>7.9</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期末按公允价值占基金资产净值比例大小排名的前五名金融衍生品投资明细</w:t>
      </w:r>
      <w:bookmarkEnd w:id="261"/>
      <w:bookmarkEnd w:id="262"/>
      <w:bookmarkEnd w:id="263"/>
      <w:bookmarkEnd w:id="264"/>
      <w:bookmarkEnd w:id="265"/>
      <w:bookmarkEnd w:id="266"/>
      <w:bookmarkEnd w:id="267"/>
      <w:bookmarkEnd w:id="268"/>
      <w:bookmarkEnd w:id="269"/>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本基金本报告期末未持有金融衍生品。</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70" w:name="_Toc248233032"/>
      <w:bookmarkStart w:id="271" w:name="_Toc249790564"/>
      <w:bookmarkStart w:id="272" w:name="_Toc286929765"/>
      <w:bookmarkStart w:id="273" w:name="_Toc352256004"/>
      <w:bookmarkStart w:id="274" w:name="_Toc352256072"/>
      <w:bookmarkStart w:id="275" w:name="_Toc352331250"/>
      <w:bookmarkStart w:id="276" w:name="_Toc390164832"/>
      <w:bookmarkStart w:id="277" w:name="_Toc48662936"/>
      <w:r w:rsidRPr="0087359D">
        <w:rPr>
          <w:rFonts w:ascii="宋体" w:hAnsi="宋体"/>
          <w:kern w:val="0"/>
          <w:sz w:val="21"/>
          <w:szCs w:val="21"/>
        </w:rPr>
        <w:t>7.10</w:t>
      </w:r>
      <w:bookmarkStart w:id="278" w:name="_Toc224618385"/>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期末按公允价值占基金资产净值比例大小排序的前十名基金投资明细</w:t>
      </w:r>
      <w:bookmarkEnd w:id="270"/>
      <w:bookmarkEnd w:id="271"/>
      <w:bookmarkEnd w:id="272"/>
      <w:bookmarkEnd w:id="273"/>
      <w:bookmarkEnd w:id="274"/>
      <w:bookmarkEnd w:id="275"/>
      <w:bookmarkEnd w:id="276"/>
      <w:bookmarkEnd w:id="278"/>
      <w:bookmarkEnd w:id="277"/>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本基金本报告期末未持有基金。</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79" w:name="_Toc224618386"/>
      <w:bookmarkStart w:id="280" w:name="_Toc248233033"/>
      <w:bookmarkStart w:id="281" w:name="_Toc249790565"/>
      <w:bookmarkStart w:id="282" w:name="_Toc286929766"/>
      <w:bookmarkStart w:id="283" w:name="_Toc352256005"/>
      <w:bookmarkStart w:id="284" w:name="_Toc352256073"/>
      <w:bookmarkStart w:id="285" w:name="_Toc352331251"/>
      <w:bookmarkStart w:id="286" w:name="_Toc390164833"/>
      <w:bookmarkStart w:id="287" w:name="_Toc48662937"/>
      <w:r w:rsidRPr="0087359D">
        <w:rPr>
          <w:rFonts w:ascii="宋体" w:hAnsi="宋体"/>
          <w:kern w:val="0"/>
          <w:sz w:val="21"/>
          <w:szCs w:val="21"/>
        </w:rPr>
        <w:t>7.11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投资组合报告附注</w:t>
      </w:r>
      <w:bookmarkEnd w:id="279"/>
      <w:bookmarkEnd w:id="280"/>
      <w:bookmarkEnd w:id="281"/>
      <w:bookmarkEnd w:id="282"/>
      <w:bookmarkEnd w:id="283"/>
      <w:bookmarkEnd w:id="284"/>
      <w:bookmarkEnd w:id="285"/>
      <w:bookmarkEnd w:id="286"/>
      <w:bookmarkEnd w:id="287"/>
    </w:p>
    <w:p w:rsidR="008A5A5D" w:rsidRPr="00C24ACA" w:rsidRDefault="008A5A5D" w:rsidP="006313B1">
      <w:pPr>
        <w:spacing w:line="360" w:lineRule="auto"/>
        <w:rPr>
          <w:rFonts w:eastAsiaTheme="minorEastAsia"/>
          <w:kern w:val="0"/>
          <w:szCs w:val="21"/>
        </w:rPr>
      </w:pPr>
      <w:r w:rsidRPr="00C24ACA">
        <w:rPr>
          <w:rFonts w:eastAsiaTheme="minorEastAsia"/>
          <w:b/>
          <w:color w:val="000000"/>
          <w:szCs w:val="21"/>
        </w:rPr>
        <w:t>7.11.1</w:t>
      </w:r>
      <w:r w:rsidR="00ED31E5" w:rsidRPr="00C24ACA">
        <w:rPr>
          <w:rFonts w:eastAsiaTheme="minorEastAsia"/>
          <w:kern w:val="0"/>
          <w:szCs w:val="21"/>
        </w:rPr>
        <w:t xml:space="preserve"> </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2</w:t>
      </w:r>
      <w:r w:rsidRPr="00C24ACA">
        <w:rPr>
          <w:rFonts w:eastAsiaTheme="minorEastAsia"/>
          <w:kern w:val="0"/>
          <w:szCs w:val="21"/>
        </w:rPr>
        <w:t>月</w:t>
      </w:r>
      <w:r w:rsidRPr="00C24ACA">
        <w:rPr>
          <w:rFonts w:eastAsiaTheme="minorEastAsia"/>
          <w:kern w:val="0"/>
          <w:szCs w:val="21"/>
        </w:rPr>
        <w:t>19</w:t>
      </w:r>
      <w:r w:rsidRPr="00C24ACA">
        <w:rPr>
          <w:rFonts w:eastAsiaTheme="minorEastAsia"/>
          <w:kern w:val="0"/>
          <w:szCs w:val="21"/>
        </w:rPr>
        <w:t>日，美国证券交易委员会（</w:t>
      </w:r>
      <w:r w:rsidRPr="00C24ACA">
        <w:rPr>
          <w:rFonts w:eastAsiaTheme="minorEastAsia"/>
          <w:kern w:val="0"/>
          <w:szCs w:val="21"/>
        </w:rPr>
        <w:t>SEC</w:t>
      </w:r>
      <w:r w:rsidRPr="00C24ACA">
        <w:rPr>
          <w:rFonts w:eastAsiaTheme="minorEastAsia"/>
          <w:kern w:val="0"/>
          <w:szCs w:val="21"/>
        </w:rPr>
        <w:t>）针对帝亚吉欧公司北美业务财务业绩的</w:t>
      </w:r>
      <w:r w:rsidRPr="00C24ACA">
        <w:rPr>
          <w:rFonts w:eastAsiaTheme="minorEastAsia"/>
          <w:kern w:val="0"/>
          <w:szCs w:val="21"/>
        </w:rPr>
        <w:t>“</w:t>
      </w:r>
      <w:r w:rsidRPr="00C24ACA">
        <w:rPr>
          <w:rFonts w:eastAsiaTheme="minorEastAsia"/>
          <w:kern w:val="0"/>
          <w:szCs w:val="21"/>
        </w:rPr>
        <w:t>误导性描述</w:t>
      </w:r>
      <w:r w:rsidRPr="00C24ACA">
        <w:rPr>
          <w:rFonts w:eastAsiaTheme="minorEastAsia"/>
          <w:kern w:val="0"/>
          <w:szCs w:val="21"/>
        </w:rPr>
        <w:t>”</w:t>
      </w:r>
      <w:r w:rsidRPr="00C24ACA">
        <w:rPr>
          <w:rFonts w:eastAsiaTheme="minorEastAsia"/>
          <w:kern w:val="0"/>
          <w:szCs w:val="21"/>
        </w:rPr>
        <w:t>，对其处以</w:t>
      </w:r>
      <w:r w:rsidRPr="00C24ACA">
        <w:rPr>
          <w:rFonts w:eastAsiaTheme="minorEastAsia"/>
          <w:kern w:val="0"/>
          <w:szCs w:val="21"/>
        </w:rPr>
        <w:t>500</w:t>
      </w:r>
      <w:r w:rsidRPr="00C24ACA">
        <w:rPr>
          <w:rFonts w:eastAsiaTheme="minorEastAsia"/>
          <w:kern w:val="0"/>
          <w:szCs w:val="21"/>
        </w:rPr>
        <w:t>万美元的罚款。</w:t>
      </w:r>
    </w:p>
    <w:p w:rsidR="00BB5C1E" w:rsidRDefault="00AF434F">
      <w:pPr>
        <w:spacing w:line="360" w:lineRule="auto"/>
        <w:rPr>
          <w:rFonts w:eastAsiaTheme="minorEastAsia"/>
          <w:kern w:val="0"/>
          <w:szCs w:val="21"/>
        </w:rPr>
      </w:pPr>
      <w:r>
        <w:rPr>
          <w:rFonts w:eastAsiaTheme="minorEastAsia"/>
          <w:kern w:val="0"/>
          <w:szCs w:val="21"/>
        </w:rPr>
        <w:t>本基金投资帝亚吉欧的投资决策程序符合公司投资制度的规定。</w:t>
      </w:r>
    </w:p>
    <w:p w:rsidR="00BB5C1E" w:rsidRDefault="00AF434F">
      <w:pPr>
        <w:spacing w:line="360" w:lineRule="auto"/>
        <w:rPr>
          <w:rFonts w:eastAsiaTheme="minorEastAsia"/>
          <w:kern w:val="0"/>
          <w:szCs w:val="21"/>
        </w:rPr>
      </w:pPr>
      <w:r>
        <w:rPr>
          <w:rFonts w:eastAsiaTheme="minorEastAsia"/>
          <w:kern w:val="0"/>
          <w:szCs w:val="21"/>
        </w:rPr>
        <w:t>除帝亚吉欧外，本基金投资的前十名证券的发行主体本期没有出现被监管部门立案调查，或在报告编制日前一年内受到公开谴责、处罚的情形。</w:t>
      </w:r>
    </w:p>
    <w:p w:rsidR="008A5A5D" w:rsidRPr="00C24ACA" w:rsidRDefault="008A5A5D" w:rsidP="00732F5C">
      <w:pPr>
        <w:spacing w:beforeLines="100" w:before="312" w:line="360" w:lineRule="auto"/>
        <w:rPr>
          <w:rFonts w:eastAsiaTheme="minorEastAsia"/>
          <w:kern w:val="0"/>
          <w:szCs w:val="21"/>
        </w:rPr>
      </w:pPr>
      <w:r w:rsidRPr="00C24ACA">
        <w:rPr>
          <w:rFonts w:eastAsiaTheme="minorEastAsia"/>
          <w:b/>
          <w:color w:val="000000"/>
          <w:szCs w:val="21"/>
        </w:rPr>
        <w:t>7.11.2</w:t>
      </w:r>
      <w:r w:rsidRPr="00C24ACA">
        <w:rPr>
          <w:rFonts w:eastAsiaTheme="minorEastAsia"/>
          <w:kern w:val="0"/>
          <w:szCs w:val="21"/>
        </w:rPr>
        <w:t xml:space="preserve"> </w:t>
      </w:r>
      <w:r w:rsidRPr="00C24ACA">
        <w:rPr>
          <w:rFonts w:eastAsiaTheme="minorEastAsia"/>
          <w:kern w:val="0"/>
          <w:szCs w:val="21"/>
        </w:rPr>
        <w:t>本基金投资的前十名股票没有超出基金合同规定的备选股票库。</w:t>
      </w:r>
    </w:p>
    <w:p w:rsidR="008A5A5D" w:rsidRPr="00C24ACA" w:rsidRDefault="008A5A5D" w:rsidP="00732F5C">
      <w:pPr>
        <w:spacing w:beforeLines="100" w:before="312" w:line="360" w:lineRule="auto"/>
        <w:rPr>
          <w:rFonts w:eastAsiaTheme="minorEastAsia"/>
          <w:b/>
          <w:color w:val="000000"/>
          <w:kern w:val="0"/>
          <w:szCs w:val="21"/>
        </w:rPr>
      </w:pPr>
      <w:r w:rsidRPr="00C24ACA">
        <w:rPr>
          <w:rFonts w:eastAsiaTheme="minorEastAsia"/>
          <w:b/>
          <w:color w:val="000000"/>
          <w:szCs w:val="21"/>
        </w:rPr>
        <w:t>7.11.3</w:t>
      </w:r>
      <w:r w:rsidR="004E34BB" w:rsidRPr="00C24ACA">
        <w:rPr>
          <w:rFonts w:eastAsiaTheme="minorEastAsia"/>
          <w:b/>
          <w:szCs w:val="21"/>
        </w:rPr>
        <w:t>期末其他各项资产构成</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8A5A5D" w:rsidRPr="00C24ACA" w:rsidTr="00B73AA7">
        <w:trPr>
          <w:trHeight w:val="285"/>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序号</w:t>
            </w:r>
          </w:p>
        </w:tc>
        <w:tc>
          <w:tcPr>
            <w:tcW w:w="4431"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名称</w:t>
            </w:r>
          </w:p>
        </w:tc>
        <w:tc>
          <w:tcPr>
            <w:tcW w:w="410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1</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存出保证金</w:t>
            </w:r>
          </w:p>
        </w:tc>
        <w:tc>
          <w:tcPr>
            <w:tcW w:w="4105" w:type="dxa"/>
            <w:tcMar>
              <w:top w:w="15" w:type="dxa"/>
              <w:left w:w="15" w:type="dxa"/>
              <w:bottom w:w="0" w:type="dxa"/>
              <w:right w:w="15" w:type="dxa"/>
            </w:tcMar>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2</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应收证券清算款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3</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应收股利</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24,337.93</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4</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应收利息</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125.61</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5</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应收申购款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730,067.55</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6</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其他应收款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B73AA7">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7</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待摊费用</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E87EC9" w:rsidRPr="00C24ACA" w:rsidTr="00B73AA7">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8</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其他</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w:t>
            </w:r>
          </w:p>
        </w:tc>
      </w:tr>
      <w:tr w:rsidR="00E87EC9" w:rsidRPr="00C24ACA" w:rsidTr="00B73AA7">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9</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合计</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754,531.09</w:t>
            </w:r>
          </w:p>
        </w:tc>
      </w:tr>
    </w:tbl>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t>7.11.4</w:t>
      </w:r>
      <w:r w:rsidRPr="00C24ACA">
        <w:rPr>
          <w:rFonts w:eastAsiaTheme="minorEastAsia"/>
          <w:b/>
          <w:color w:val="000000"/>
          <w:kern w:val="0"/>
          <w:szCs w:val="21"/>
        </w:rPr>
        <w:t>期末持有的处于转股期的可转换债券明细</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本基金本报告期末未持有处于转股期的可转换债券。</w:t>
      </w:r>
    </w:p>
    <w:p w:rsidR="008A5A5D" w:rsidRPr="00C24ACA" w:rsidRDefault="008A5A5D" w:rsidP="00732F5C">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t>7.11.5</w:t>
      </w:r>
      <w:r w:rsidRPr="00C24ACA">
        <w:rPr>
          <w:rFonts w:eastAsiaTheme="minorEastAsia"/>
          <w:b/>
          <w:color w:val="000000"/>
          <w:kern w:val="0"/>
          <w:szCs w:val="21"/>
        </w:rPr>
        <w:t>期末前十名股票中存在流通受限情况的说明</w:t>
      </w:r>
    </w:p>
    <w:p w:rsidR="008A5A5D" w:rsidRPr="001412CA" w:rsidRDefault="00DC59DF"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本基金本报告期末前十名股票中不存在流通受限情况。</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88" w:name="_Toc225500050"/>
      <w:bookmarkStart w:id="289" w:name="_Toc352256006"/>
      <w:bookmarkStart w:id="290" w:name="_Toc352256074"/>
      <w:bookmarkStart w:id="291" w:name="_Toc352331252"/>
      <w:bookmarkStart w:id="292" w:name="_Toc390164834"/>
      <w:bookmarkStart w:id="293" w:name="_Toc48662938"/>
      <w:r w:rsidRPr="000C6CCD">
        <w:rPr>
          <w:rFonts w:ascii="宋体" w:hAnsi="宋体"/>
          <w:bCs w:val="0"/>
          <w:color w:val="000000"/>
          <w:sz w:val="21"/>
          <w:szCs w:val="21"/>
        </w:rPr>
        <w:t>8</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基金份额持有人信息</w:t>
      </w:r>
      <w:bookmarkEnd w:id="288"/>
      <w:bookmarkEnd w:id="289"/>
      <w:bookmarkEnd w:id="290"/>
      <w:bookmarkEnd w:id="291"/>
      <w:bookmarkEnd w:id="292"/>
      <w:bookmarkEnd w:id="293"/>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294" w:name="_Toc225500051"/>
      <w:bookmarkStart w:id="295" w:name="_Toc352256007"/>
      <w:bookmarkStart w:id="296" w:name="_Toc352256075"/>
      <w:bookmarkStart w:id="297" w:name="_Toc352331253"/>
      <w:bookmarkStart w:id="298" w:name="_Toc390164835"/>
      <w:bookmarkStart w:id="299" w:name="_Toc48662939"/>
      <w:r w:rsidRPr="0087359D">
        <w:rPr>
          <w:rFonts w:ascii="宋体" w:hAnsi="宋体"/>
          <w:kern w:val="0"/>
          <w:sz w:val="21"/>
          <w:szCs w:val="21"/>
        </w:rPr>
        <w:t>8.1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期末基金份额持有人户数及持有人结构</w:t>
      </w:r>
      <w:bookmarkEnd w:id="294"/>
      <w:bookmarkEnd w:id="295"/>
      <w:bookmarkEnd w:id="296"/>
      <w:bookmarkEnd w:id="297"/>
      <w:bookmarkEnd w:id="298"/>
      <w:bookmarkEnd w:id="299"/>
    </w:p>
    <w:p w:rsidR="002716BD" w:rsidRPr="00C24ACA" w:rsidRDefault="002716BD" w:rsidP="002716BD">
      <w:pPr>
        <w:autoSpaceDE w:val="0"/>
        <w:autoSpaceDN w:val="0"/>
        <w:adjustRightInd w:val="0"/>
        <w:spacing w:before="29" w:line="360" w:lineRule="auto"/>
        <w:ind w:left="15"/>
        <w:jc w:val="right"/>
        <w:rPr>
          <w:rFonts w:eastAsiaTheme="minorEastAsia"/>
          <w:color w:val="000000"/>
          <w:szCs w:val="21"/>
        </w:rPr>
      </w:pPr>
      <w:bookmarkStart w:id="300" w:name="_Toc352256008"/>
      <w:bookmarkStart w:id="301" w:name="_Toc352256076"/>
      <w:bookmarkStart w:id="302" w:name="_Toc352331254"/>
      <w:r w:rsidRPr="00C24ACA">
        <w:rPr>
          <w:rFonts w:eastAsiaTheme="minor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66"/>
        <w:gridCol w:w="1158"/>
        <w:gridCol w:w="1259"/>
        <w:gridCol w:w="1512"/>
        <w:gridCol w:w="971"/>
        <w:gridCol w:w="1543"/>
        <w:gridCol w:w="969"/>
      </w:tblGrid>
      <w:tr w:rsidR="002716BD" w:rsidRPr="00C24ACA" w:rsidTr="004322C7">
        <w:tc>
          <w:tcPr>
            <w:tcW w:w="964"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szCs w:val="21"/>
              </w:rPr>
              <w:t>份额级别</w:t>
            </w:r>
          </w:p>
        </w:tc>
        <w:tc>
          <w:tcPr>
            <w:tcW w:w="633"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持有人户数</w:t>
            </w:r>
            <w:r w:rsidRPr="00C24ACA">
              <w:rPr>
                <w:rFonts w:eastAsiaTheme="minorEastAsia"/>
                <w:bCs/>
                <w:color w:val="000000"/>
                <w:szCs w:val="21"/>
              </w:rPr>
              <w:t>(</w:t>
            </w:r>
            <w:r w:rsidRPr="00C24ACA">
              <w:rPr>
                <w:rFonts w:eastAsiaTheme="minorEastAsia"/>
                <w:bCs/>
                <w:color w:val="000000"/>
                <w:szCs w:val="21"/>
              </w:rPr>
              <w:t>户</w:t>
            </w:r>
            <w:r w:rsidRPr="00C24ACA">
              <w:rPr>
                <w:rFonts w:eastAsiaTheme="minorEastAsia"/>
                <w:bCs/>
                <w:color w:val="000000"/>
                <w:szCs w:val="21"/>
              </w:rPr>
              <w:t>)</w:t>
            </w:r>
          </w:p>
        </w:tc>
        <w:tc>
          <w:tcPr>
            <w:tcW w:w="688"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户均持有的基金份额</w:t>
            </w:r>
          </w:p>
        </w:tc>
        <w:tc>
          <w:tcPr>
            <w:tcW w:w="2715" w:type="pct"/>
            <w:gridSpan w:val="4"/>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持有人结构</w:t>
            </w:r>
          </w:p>
        </w:tc>
      </w:tr>
      <w:tr w:rsidR="002716BD" w:rsidRPr="00C24ACA" w:rsidTr="004322C7">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1357"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机构投资者</w:t>
            </w:r>
          </w:p>
        </w:tc>
        <w:tc>
          <w:tcPr>
            <w:tcW w:w="1358"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个人投资者</w:t>
            </w:r>
          </w:p>
        </w:tc>
      </w:tr>
      <w:tr w:rsidR="002716BD" w:rsidRPr="00C24ACA" w:rsidTr="004322C7">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826"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31"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c>
          <w:tcPr>
            <w:tcW w:w="84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15"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r>
      <w:tr w:rsidR="002716BD" w:rsidRPr="00C24ACA" w:rsidTr="004322C7">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易方达标普消费品指数增强（</w:t>
            </w:r>
            <w:r w:rsidRPr="00C24ACA">
              <w:rPr>
                <w:rFonts w:eastAsiaTheme="minorEastAsia"/>
                <w:bCs/>
                <w:color w:val="000000"/>
                <w:szCs w:val="21"/>
              </w:rPr>
              <w:t>QDII</w:t>
            </w:r>
            <w:r w:rsidRPr="00C24ACA">
              <w:rPr>
                <w:rFonts w:eastAsiaTheme="minorEastAsia"/>
                <w:bCs/>
                <w:color w:val="000000"/>
                <w:szCs w:val="21"/>
              </w:rPr>
              <w:t>）</w:t>
            </w:r>
            <w:r w:rsidRPr="00C24ACA">
              <w:rPr>
                <w:rFonts w:eastAsiaTheme="minorEastAsia"/>
                <w:bCs/>
                <w:color w:val="000000"/>
                <w:szCs w:val="21"/>
              </w:rPr>
              <w:t>A</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12,464</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1,775.41</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12,783.48</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0.06%</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22,115,916.53</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99.94%</w:t>
            </w:r>
          </w:p>
        </w:tc>
      </w:tr>
      <w:tr w:rsidR="002716BD" w:rsidRPr="00C24ACA" w:rsidTr="004322C7">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易方达标普消费品指数增强（</w:t>
            </w:r>
            <w:r w:rsidRPr="00C24ACA">
              <w:rPr>
                <w:rFonts w:eastAsiaTheme="minorEastAsia"/>
                <w:bCs/>
                <w:color w:val="000000"/>
                <w:szCs w:val="21"/>
              </w:rPr>
              <w:t>QDII</w:t>
            </w:r>
            <w:r w:rsidRPr="00C24ACA">
              <w:rPr>
                <w:rFonts w:eastAsiaTheme="minorEastAsia"/>
                <w:bCs/>
                <w:color w:val="000000"/>
                <w:szCs w:val="21"/>
              </w:rPr>
              <w:t>）</w:t>
            </w:r>
            <w:r w:rsidRPr="00C24ACA">
              <w:rPr>
                <w:rFonts w:eastAsiaTheme="minorEastAsia"/>
                <w:bCs/>
                <w:color w:val="000000"/>
                <w:szCs w:val="21"/>
              </w:rPr>
              <w:t>C</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6,223</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875.43</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0.00</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0.00%</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5,447,802.19</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100.00%</w:t>
            </w:r>
          </w:p>
        </w:tc>
      </w:tr>
      <w:tr w:rsidR="002716BD" w:rsidRPr="00C24ACA" w:rsidTr="004322C7">
        <w:tc>
          <w:tcPr>
            <w:tcW w:w="964" w:type="pct"/>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合计</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18,687</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1,475.71</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12,783.48</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0.05%</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27,563,718.72</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99.95%</w:t>
            </w:r>
          </w:p>
        </w:tc>
      </w:tr>
    </w:tbl>
    <w:p w:rsidR="002716BD" w:rsidRPr="001412CA" w:rsidRDefault="002716BD" w:rsidP="001412CA">
      <w:pPr>
        <w:tabs>
          <w:tab w:val="left" w:pos="426"/>
        </w:tabs>
        <w:spacing w:line="360" w:lineRule="auto"/>
        <w:ind w:firstLineChars="200" w:firstLine="420"/>
        <w:jc w:val="left"/>
        <w:rPr>
          <w:rFonts w:eastAsiaTheme="minorEastAsia"/>
          <w:kern w:val="0"/>
          <w:szCs w:val="21"/>
        </w:rPr>
      </w:pPr>
      <w:r w:rsidRPr="001412CA">
        <w:rPr>
          <w:rFonts w:eastAsiaTheme="minorEastAsia"/>
          <w:kern w:val="0"/>
          <w:szCs w:val="21"/>
        </w:rPr>
        <w:t>注：易方达标普消费品指数增强（</w:t>
      </w:r>
      <w:r w:rsidRPr="001412CA">
        <w:rPr>
          <w:rFonts w:eastAsiaTheme="minorEastAsia"/>
          <w:kern w:val="0"/>
          <w:szCs w:val="21"/>
        </w:rPr>
        <w:t>QDII</w:t>
      </w:r>
      <w:r w:rsidRPr="001412CA">
        <w:rPr>
          <w:rFonts w:eastAsiaTheme="minorEastAsia"/>
          <w:kern w:val="0"/>
          <w:szCs w:val="21"/>
        </w:rPr>
        <w:t>）</w:t>
      </w:r>
      <w:r w:rsidRPr="001412CA">
        <w:rPr>
          <w:rFonts w:eastAsiaTheme="minorEastAsia"/>
          <w:kern w:val="0"/>
          <w:szCs w:val="21"/>
        </w:rPr>
        <w:t>A</w:t>
      </w:r>
      <w:r w:rsidRPr="001412CA">
        <w:rPr>
          <w:rFonts w:eastAsiaTheme="minorEastAsia"/>
          <w:kern w:val="0"/>
          <w:szCs w:val="21"/>
        </w:rPr>
        <w:t>的持有人户数及结构含</w:t>
      </w:r>
      <w:r w:rsidRPr="001412CA">
        <w:rPr>
          <w:rFonts w:eastAsiaTheme="minorEastAsia"/>
          <w:kern w:val="0"/>
          <w:szCs w:val="21"/>
        </w:rPr>
        <w:t>A</w:t>
      </w:r>
      <w:r w:rsidRPr="001412CA">
        <w:rPr>
          <w:rFonts w:eastAsiaTheme="minorEastAsia"/>
          <w:kern w:val="0"/>
          <w:szCs w:val="21"/>
        </w:rPr>
        <w:t>类人民币份额及</w:t>
      </w:r>
      <w:r w:rsidRPr="001412CA">
        <w:rPr>
          <w:rFonts w:eastAsiaTheme="minorEastAsia"/>
          <w:kern w:val="0"/>
          <w:szCs w:val="21"/>
        </w:rPr>
        <w:t>A</w:t>
      </w:r>
      <w:r w:rsidRPr="001412CA">
        <w:rPr>
          <w:rFonts w:eastAsiaTheme="minorEastAsia"/>
          <w:kern w:val="0"/>
          <w:szCs w:val="21"/>
        </w:rPr>
        <w:t>类美元现汇份额；易方达标普消费品指数增强（</w:t>
      </w:r>
      <w:r w:rsidRPr="001412CA">
        <w:rPr>
          <w:rFonts w:eastAsiaTheme="minorEastAsia"/>
          <w:kern w:val="0"/>
          <w:szCs w:val="21"/>
        </w:rPr>
        <w:t>QDII</w:t>
      </w:r>
      <w:r w:rsidRPr="001412CA">
        <w:rPr>
          <w:rFonts w:eastAsiaTheme="minorEastAsia"/>
          <w:kern w:val="0"/>
          <w:szCs w:val="21"/>
        </w:rPr>
        <w:t>）</w:t>
      </w:r>
      <w:r w:rsidRPr="001412CA">
        <w:rPr>
          <w:rFonts w:eastAsiaTheme="minorEastAsia"/>
          <w:kern w:val="0"/>
          <w:szCs w:val="21"/>
        </w:rPr>
        <w:t>C</w:t>
      </w:r>
      <w:r w:rsidRPr="001412CA">
        <w:rPr>
          <w:rFonts w:eastAsiaTheme="minorEastAsia"/>
          <w:kern w:val="0"/>
          <w:szCs w:val="21"/>
        </w:rPr>
        <w:t>的持有人户数及结构含</w:t>
      </w:r>
      <w:r w:rsidRPr="001412CA">
        <w:rPr>
          <w:rFonts w:eastAsiaTheme="minorEastAsia"/>
          <w:kern w:val="0"/>
          <w:szCs w:val="21"/>
        </w:rPr>
        <w:t>C</w:t>
      </w:r>
      <w:r w:rsidRPr="001412CA">
        <w:rPr>
          <w:rFonts w:eastAsiaTheme="minorEastAsia"/>
          <w:kern w:val="0"/>
          <w:szCs w:val="21"/>
        </w:rPr>
        <w:t>类人民币份额。</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03" w:name="_Toc390164837"/>
      <w:bookmarkStart w:id="304" w:name="_Toc48662940"/>
      <w:r w:rsidRPr="0087359D">
        <w:rPr>
          <w:rFonts w:ascii="宋体" w:hAnsi="宋体"/>
          <w:kern w:val="0"/>
          <w:sz w:val="21"/>
          <w:szCs w:val="21"/>
        </w:rPr>
        <w:t>8.2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期末基金管理人的从业人员持有本基金的情况</w:t>
      </w:r>
      <w:bookmarkEnd w:id="300"/>
      <w:bookmarkEnd w:id="301"/>
      <w:bookmarkEnd w:id="302"/>
      <w:bookmarkEnd w:id="303"/>
      <w:bookmarkEnd w:id="304"/>
    </w:p>
    <w:tbl>
      <w:tblPr>
        <w:tblStyle w:val="af7"/>
        <w:tblW w:w="0" w:type="auto"/>
        <w:tblInd w:w="108" w:type="dxa"/>
        <w:tblLayout w:type="fixed"/>
        <w:tblLook w:val="04A0" w:firstRow="1" w:lastRow="0" w:firstColumn="1" w:lastColumn="0" w:noHBand="0" w:noVBand="1"/>
      </w:tblPr>
      <w:tblGrid>
        <w:gridCol w:w="2321"/>
        <w:gridCol w:w="2321"/>
        <w:gridCol w:w="2322"/>
        <w:gridCol w:w="2322"/>
      </w:tblGrid>
      <w:tr w:rsidR="00232443" w:rsidRPr="00C24ACA" w:rsidTr="005C3575">
        <w:tc>
          <w:tcPr>
            <w:tcW w:w="2321" w:type="dxa"/>
            <w:vAlign w:val="center"/>
          </w:tcPr>
          <w:p w:rsidR="00232443" w:rsidRPr="00C24ACA" w:rsidRDefault="00232443" w:rsidP="005C3575">
            <w:pPr>
              <w:pStyle w:val="a0"/>
              <w:ind w:firstLineChars="0" w:firstLine="0"/>
              <w:jc w:val="center"/>
              <w:rPr>
                <w:rFonts w:eastAsiaTheme="minorEastAsia"/>
                <w:szCs w:val="21"/>
              </w:rPr>
            </w:pPr>
            <w:bookmarkStart w:id="305" w:name="_Toc286911325"/>
            <w:bookmarkStart w:id="306" w:name="_Toc247957892"/>
            <w:r w:rsidRPr="00C24ACA">
              <w:rPr>
                <w:rFonts w:eastAsiaTheme="minorEastAsia"/>
                <w:szCs w:val="21"/>
              </w:rPr>
              <w:t>项目</w:t>
            </w:r>
          </w:p>
        </w:tc>
        <w:tc>
          <w:tcPr>
            <w:tcW w:w="2321"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份额级别</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持有份额总数（份）</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占基金总份额比例</w:t>
            </w:r>
          </w:p>
        </w:tc>
      </w:tr>
      <w:tr w:rsidR="00232443" w:rsidRPr="00C24ACA" w:rsidTr="005C3575">
        <w:tc>
          <w:tcPr>
            <w:tcW w:w="2321" w:type="dxa"/>
            <w:vMerge w:val="restart"/>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color w:val="000000"/>
                <w:szCs w:val="21"/>
              </w:rPr>
              <w:t>基金管理人所有从业人员持有本基金</w:t>
            </w: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易方达标普消费品指数增强（</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3,194.50</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0.0144%</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易方达标普消费品指数增强（</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1.62</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0.0000%</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widowControl/>
              <w:jc w:val="center"/>
              <w:rPr>
                <w:rFonts w:eastAsiaTheme="minorEastAsia"/>
                <w:color w:val="000000"/>
                <w:kern w:val="0"/>
                <w:szCs w:val="21"/>
              </w:rPr>
            </w:pPr>
            <w:r w:rsidRPr="00C24ACA">
              <w:rPr>
                <w:rFonts w:eastAsiaTheme="minorEastAsia"/>
                <w:color w:val="000000"/>
                <w:kern w:val="0"/>
                <w:szCs w:val="21"/>
              </w:rPr>
              <w:t>合计</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3,196.12</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0.0116%</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注：基金管理人的从业人员持有的易方达标普消费品指数增强（</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类份额含</w:t>
      </w:r>
      <w:r w:rsidRPr="00C24ACA">
        <w:rPr>
          <w:rFonts w:eastAsiaTheme="minorEastAsia"/>
          <w:kern w:val="0"/>
          <w:szCs w:val="21"/>
        </w:rPr>
        <w:t>A</w:t>
      </w:r>
      <w:r w:rsidRPr="00C24ACA">
        <w:rPr>
          <w:rFonts w:eastAsiaTheme="minorEastAsia"/>
          <w:kern w:val="0"/>
          <w:szCs w:val="21"/>
        </w:rPr>
        <w:t>类人民币份额及</w:t>
      </w:r>
      <w:r w:rsidRPr="00C24ACA">
        <w:rPr>
          <w:rFonts w:eastAsiaTheme="minorEastAsia"/>
          <w:kern w:val="0"/>
          <w:szCs w:val="21"/>
        </w:rPr>
        <w:t>A</w:t>
      </w:r>
      <w:r w:rsidRPr="00C24ACA">
        <w:rPr>
          <w:rFonts w:eastAsiaTheme="minorEastAsia"/>
          <w:kern w:val="0"/>
          <w:szCs w:val="21"/>
        </w:rPr>
        <w:t>类美元现汇份额；易方达标普消费品指数增强（</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类份额含</w:t>
      </w:r>
      <w:r w:rsidRPr="00C24ACA">
        <w:rPr>
          <w:rFonts w:eastAsiaTheme="minorEastAsia"/>
          <w:kern w:val="0"/>
          <w:szCs w:val="21"/>
        </w:rPr>
        <w:t>C</w:t>
      </w:r>
      <w:r w:rsidRPr="00C24ACA">
        <w:rPr>
          <w:rFonts w:eastAsiaTheme="minorEastAsia"/>
          <w:kern w:val="0"/>
          <w:szCs w:val="21"/>
        </w:rPr>
        <w:t>类人民币份额。</w:t>
      </w:r>
      <w:bookmarkEnd w:id="305"/>
      <w:bookmarkEnd w:id="306"/>
    </w:p>
    <w:p w:rsidR="000B6328" w:rsidRPr="00A317EA" w:rsidRDefault="00251D61" w:rsidP="00732F5C">
      <w:pPr>
        <w:pStyle w:val="20"/>
        <w:spacing w:beforeLines="100" w:before="312" w:after="0"/>
        <w:rPr>
          <w:rFonts w:ascii="Times New Roman" w:eastAsiaTheme="minorEastAsia" w:hAnsi="Times New Roman"/>
          <w:kern w:val="0"/>
          <w:sz w:val="21"/>
          <w:szCs w:val="21"/>
        </w:rPr>
      </w:pPr>
      <w:bookmarkStart w:id="307" w:name="_Toc48662941"/>
      <w:r w:rsidRPr="0087359D">
        <w:rPr>
          <w:rFonts w:ascii="宋体" w:hAnsi="宋体"/>
          <w:kern w:val="0"/>
          <w:sz w:val="21"/>
          <w:szCs w:val="21"/>
        </w:rPr>
        <w:t>8.3</w:t>
      </w:r>
      <w:r w:rsidR="00982AAE" w:rsidRPr="009A2157">
        <w:rPr>
          <w:rFonts w:ascii="Times New Roman" w:eastAsiaTheme="minorEastAsia" w:hAnsi="Times New Roman"/>
          <w:kern w:val="0"/>
          <w:sz w:val="21"/>
          <w:szCs w:val="21"/>
        </w:rPr>
        <w:t xml:space="preserve">   </w:t>
      </w:r>
      <w:r w:rsidR="000B6328" w:rsidRPr="00A317EA">
        <w:rPr>
          <w:rFonts w:ascii="Times New Roman" w:eastAsiaTheme="minorEastAsia" w:hAnsi="Times New Roman"/>
          <w:kern w:val="0"/>
          <w:sz w:val="21"/>
          <w:szCs w:val="21"/>
        </w:rPr>
        <w:t>期末基金管理人的从业人员持有本开放式基金份额总量区间的情况</w:t>
      </w:r>
      <w:bookmarkEnd w:id="3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232443" w:rsidRPr="00C24ACA" w:rsidTr="004322C7">
        <w:trPr>
          <w:trHeight w:val="285"/>
        </w:trPr>
        <w:tc>
          <w:tcPr>
            <w:tcW w:w="2548"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项目</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份额级别</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持有基金份额总量的数量区间（万份）</w:t>
            </w:r>
          </w:p>
        </w:tc>
      </w:tr>
      <w:tr w:rsidR="00232443" w:rsidRPr="00C24ACA" w:rsidTr="004322C7">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本公司高级管理人员、基金投资和研究部门负责人</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易方达标普消费品指数增强（</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易方达标普消费品指数增强（</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本基金基金经理</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易方达标普消费品指数增强（</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52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易方达标普消费品指数增强（</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4322C7">
        <w:trPr>
          <w:trHeight w:val="653"/>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bl>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08" w:name="_Toc225500053"/>
      <w:bookmarkStart w:id="309" w:name="_Toc352256009"/>
      <w:bookmarkStart w:id="310" w:name="_Toc352256077"/>
      <w:bookmarkStart w:id="311" w:name="_Toc352331255"/>
      <w:bookmarkStart w:id="312" w:name="_Toc390164839"/>
      <w:bookmarkStart w:id="313" w:name="_Toc48662942"/>
      <w:r w:rsidRPr="00A432E9">
        <w:rPr>
          <w:rFonts w:ascii="Times New Roman" w:hAnsi="Times New Roman"/>
          <w:bCs w:val="0"/>
          <w:color w:val="000000"/>
          <w:sz w:val="21"/>
          <w:szCs w:val="21"/>
        </w:rPr>
        <w:t>9</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开放式基金份额变动</w:t>
      </w:r>
      <w:bookmarkEnd w:id="308"/>
      <w:bookmarkEnd w:id="309"/>
      <w:bookmarkEnd w:id="310"/>
      <w:bookmarkEnd w:id="311"/>
      <w:bookmarkEnd w:id="312"/>
      <w:bookmarkEnd w:id="313"/>
    </w:p>
    <w:p w:rsidR="008A5A5D" w:rsidRPr="00C24ACA" w:rsidRDefault="008A5A5D" w:rsidP="002116B9">
      <w:pPr>
        <w:jc w:val="right"/>
        <w:rPr>
          <w:rFonts w:eastAsiaTheme="minorEastAsia"/>
          <w:szCs w:val="21"/>
        </w:rPr>
      </w:pPr>
      <w:r w:rsidRPr="00C24ACA">
        <w:rPr>
          <w:rFonts w:eastAsiaTheme="minorEastAsia"/>
          <w:szCs w:val="21"/>
        </w:rPr>
        <w:t>单位：份</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DE1120" w:rsidRPr="00C24ACA" w:rsidTr="005C3575">
        <w:tc>
          <w:tcPr>
            <w:tcW w:w="1771" w:type="pct"/>
            <w:vAlign w:val="center"/>
          </w:tcPr>
          <w:p w:rsidR="00DE1120" w:rsidRPr="00C24ACA" w:rsidRDefault="00DE1120" w:rsidP="005C3575">
            <w:pPr>
              <w:jc w:val="center"/>
              <w:rPr>
                <w:rFonts w:eastAsiaTheme="minorEastAsia"/>
                <w:szCs w:val="21"/>
              </w:rPr>
            </w:pPr>
            <w:r w:rsidRPr="00C24ACA">
              <w:rPr>
                <w:rFonts w:eastAsiaTheme="minorEastAsia"/>
                <w:szCs w:val="21"/>
              </w:rPr>
              <w:t>项目</w:t>
            </w:r>
          </w:p>
        </w:tc>
        <w:tc>
          <w:tcPr>
            <w:tcW w:w="1614"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易方达标普消费品指数增强（</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1615"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易方达标普消费品指数增强（</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DE1120" w:rsidRPr="00C24ACA" w:rsidTr="005C3575">
        <w:tc>
          <w:tcPr>
            <w:tcW w:w="1771" w:type="pct"/>
          </w:tcPr>
          <w:p w:rsidR="00DE1120" w:rsidRPr="00C24ACA" w:rsidRDefault="00DE1120" w:rsidP="005C3575">
            <w:pPr>
              <w:rPr>
                <w:rFonts w:eastAsiaTheme="minorEastAsia"/>
                <w:szCs w:val="21"/>
              </w:rPr>
            </w:pPr>
            <w:r w:rsidRPr="00C24ACA">
              <w:rPr>
                <w:rFonts w:eastAsiaTheme="minorEastAsia"/>
                <w:szCs w:val="21"/>
              </w:rPr>
              <w:t>基金合同生效日（</w:t>
            </w:r>
            <w:r w:rsidRPr="00C24ACA">
              <w:rPr>
                <w:rFonts w:eastAsiaTheme="minorEastAsia"/>
                <w:szCs w:val="21"/>
              </w:rPr>
              <w:t>2012</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4</w:t>
            </w:r>
            <w:r w:rsidRPr="00C24ACA">
              <w:rPr>
                <w:rFonts w:eastAsiaTheme="minorEastAsia"/>
                <w:szCs w:val="21"/>
              </w:rPr>
              <w:t>日）基金份额总额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384,051,169.28</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本报告期期初基金份额总额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24,753,399.65</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1,751,423.42</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本报告期基金总申购份额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13,812,133.60</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9,872,456.48</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减：本报告期基金总赎回份额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16,436,833.24</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6,176,077.71</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本报告期基金拆分变动份额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本报告期期末基金份额总额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22,128,700.01</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5,447,802.19</w:t>
            </w:r>
          </w:p>
        </w:tc>
      </w:tr>
    </w:tbl>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注：易方达标普消费品指数增强（</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r w:rsidRPr="00C24ACA">
        <w:rPr>
          <w:rFonts w:eastAsiaTheme="minorEastAsia"/>
          <w:kern w:val="0"/>
          <w:szCs w:val="21"/>
        </w:rPr>
        <w:t>份额变动含</w:t>
      </w:r>
      <w:r w:rsidRPr="00C24ACA">
        <w:rPr>
          <w:rFonts w:eastAsiaTheme="minorEastAsia"/>
          <w:kern w:val="0"/>
          <w:szCs w:val="21"/>
        </w:rPr>
        <w:t>A</w:t>
      </w:r>
      <w:r w:rsidRPr="00C24ACA">
        <w:rPr>
          <w:rFonts w:eastAsiaTheme="minorEastAsia"/>
          <w:kern w:val="0"/>
          <w:szCs w:val="21"/>
        </w:rPr>
        <w:t>类人民币份额及</w:t>
      </w:r>
      <w:r w:rsidRPr="00C24ACA">
        <w:rPr>
          <w:rFonts w:eastAsiaTheme="minorEastAsia"/>
          <w:kern w:val="0"/>
          <w:szCs w:val="21"/>
        </w:rPr>
        <w:t>A</w:t>
      </w:r>
      <w:r w:rsidRPr="00C24ACA">
        <w:rPr>
          <w:rFonts w:eastAsiaTheme="minorEastAsia"/>
          <w:kern w:val="0"/>
          <w:szCs w:val="21"/>
        </w:rPr>
        <w:t>类美元现汇份额；易方达标普消费品指数增强（</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份额变动含</w:t>
      </w:r>
      <w:r w:rsidRPr="00C24ACA">
        <w:rPr>
          <w:rFonts w:eastAsiaTheme="minorEastAsia"/>
          <w:kern w:val="0"/>
          <w:szCs w:val="21"/>
        </w:rPr>
        <w:t>C</w:t>
      </w:r>
      <w:r w:rsidRPr="00C24ACA">
        <w:rPr>
          <w:rFonts w:eastAsiaTheme="minorEastAsia"/>
          <w:kern w:val="0"/>
          <w:szCs w:val="21"/>
        </w:rPr>
        <w:t>类人民币份额。</w:t>
      </w:r>
    </w:p>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14" w:name="_Toc225500054"/>
      <w:bookmarkStart w:id="315" w:name="_Toc352256010"/>
      <w:bookmarkStart w:id="316" w:name="_Toc352256078"/>
      <w:bookmarkStart w:id="317" w:name="_Toc352331256"/>
      <w:bookmarkStart w:id="318" w:name="_Toc390164840"/>
      <w:bookmarkStart w:id="319" w:name="_Toc48662943"/>
      <w:r w:rsidRPr="000C6CCD">
        <w:rPr>
          <w:rFonts w:ascii="宋体" w:hAnsi="宋体"/>
          <w:bCs w:val="0"/>
          <w:color w:val="000000"/>
          <w:sz w:val="21"/>
          <w:szCs w:val="21"/>
        </w:rPr>
        <w:t>10</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重大事件揭示</w:t>
      </w:r>
      <w:bookmarkEnd w:id="314"/>
      <w:bookmarkEnd w:id="315"/>
      <w:bookmarkEnd w:id="316"/>
      <w:bookmarkEnd w:id="317"/>
      <w:bookmarkEnd w:id="318"/>
      <w:bookmarkEnd w:id="319"/>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20" w:name="_Toc352256011"/>
      <w:bookmarkStart w:id="321" w:name="_Toc352256079"/>
      <w:bookmarkStart w:id="322" w:name="_Toc352331257"/>
      <w:bookmarkStart w:id="323" w:name="_Toc390164841"/>
      <w:bookmarkStart w:id="324" w:name="_Toc48662944"/>
      <w:r w:rsidRPr="0087359D">
        <w:rPr>
          <w:rFonts w:ascii="宋体" w:hAnsi="宋体"/>
          <w:kern w:val="0"/>
          <w:sz w:val="21"/>
          <w:szCs w:val="21"/>
        </w:rPr>
        <w:t>10.</w:t>
      </w:r>
      <w:r w:rsidR="00F0322F">
        <w:rPr>
          <w:rFonts w:ascii="宋体" w:hAnsi="宋体" w:hint="eastAsia"/>
          <w:kern w:val="0"/>
          <w:sz w:val="21"/>
          <w:szCs w:val="21"/>
        </w:rPr>
        <w:t>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基金份额持有人大会决议</w:t>
      </w:r>
      <w:bookmarkEnd w:id="320"/>
      <w:bookmarkEnd w:id="321"/>
      <w:bookmarkEnd w:id="322"/>
      <w:bookmarkEnd w:id="323"/>
      <w:bookmarkEnd w:id="324"/>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本报告期内未召开基金份额持有人大会。</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25" w:name="_Toc352256012"/>
      <w:bookmarkStart w:id="326" w:name="_Toc352256080"/>
      <w:bookmarkStart w:id="327" w:name="_Toc352331258"/>
      <w:bookmarkStart w:id="328" w:name="_Toc390164842"/>
      <w:bookmarkStart w:id="329" w:name="_Toc48662945"/>
      <w:r w:rsidRPr="0087359D">
        <w:rPr>
          <w:rFonts w:ascii="宋体" w:hAnsi="宋体"/>
          <w:kern w:val="0"/>
          <w:sz w:val="21"/>
          <w:szCs w:val="21"/>
        </w:rPr>
        <w:t>10.</w:t>
      </w:r>
      <w:r>
        <w:rPr>
          <w:rFonts w:ascii="宋体" w:hAnsi="宋体" w:hint="eastAsia"/>
          <w:kern w:val="0"/>
          <w:sz w:val="21"/>
          <w:szCs w:val="21"/>
        </w:rPr>
        <w:t>2</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基金管理人、基金托管人的专门基金托管部门的重大人事变动</w:t>
      </w:r>
      <w:bookmarkEnd w:id="325"/>
      <w:bookmarkEnd w:id="326"/>
      <w:bookmarkEnd w:id="327"/>
      <w:bookmarkEnd w:id="328"/>
      <w:bookmarkEnd w:id="329"/>
    </w:p>
    <w:p w:rsidR="00BB5C1E" w:rsidRDefault="00AF434F">
      <w:pPr>
        <w:widowControl/>
        <w:spacing w:line="360" w:lineRule="auto"/>
        <w:ind w:firstLineChars="200" w:firstLine="420"/>
        <w:rPr>
          <w:rFonts w:eastAsiaTheme="minorEastAsia"/>
          <w:kern w:val="0"/>
          <w:szCs w:val="21"/>
        </w:rPr>
      </w:pPr>
      <w:r>
        <w:rPr>
          <w:rFonts w:eastAsiaTheme="minorEastAsia"/>
          <w:kern w:val="0"/>
          <w:szCs w:val="21"/>
        </w:rPr>
        <w:t>本基金管理人于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日发布公告，自</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日起聘任张坤先生、陈丽园女士担任公司副总经理级高级管理人员。</w:t>
      </w:r>
    </w:p>
    <w:p w:rsidR="008A5A5D" w:rsidRPr="00C24ACA" w:rsidRDefault="008A5A5D" w:rsidP="008134C7">
      <w:pPr>
        <w:widowControl/>
        <w:spacing w:line="360" w:lineRule="auto"/>
        <w:ind w:firstLineChars="200" w:firstLine="420"/>
        <w:rPr>
          <w:rFonts w:eastAsiaTheme="minorEastAsia"/>
          <w:kern w:val="0"/>
          <w:szCs w:val="21"/>
        </w:rPr>
      </w:pPr>
      <w:r w:rsidRPr="00C24ACA">
        <w:rPr>
          <w:rFonts w:eastAsiaTheme="minorEastAsia"/>
          <w:kern w:val="0"/>
          <w:szCs w:val="21"/>
        </w:rPr>
        <w:t>本报告期内本基金托管人的专门基金托管部门未发生重大人事变动。</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30" w:name="_Toc352256013"/>
      <w:bookmarkStart w:id="331" w:name="_Toc352256081"/>
      <w:bookmarkStart w:id="332" w:name="_Toc352331259"/>
      <w:bookmarkStart w:id="333" w:name="_Toc390164843"/>
      <w:bookmarkStart w:id="334" w:name="_Toc48662946"/>
      <w:r w:rsidRPr="0087359D">
        <w:rPr>
          <w:rFonts w:ascii="宋体" w:hAnsi="宋体"/>
          <w:kern w:val="0"/>
          <w:sz w:val="21"/>
          <w:szCs w:val="21"/>
        </w:rPr>
        <w:t>10.</w:t>
      </w:r>
      <w:r>
        <w:rPr>
          <w:rFonts w:ascii="宋体" w:hAnsi="宋体" w:hint="eastAsia"/>
          <w:kern w:val="0"/>
          <w:sz w:val="21"/>
          <w:szCs w:val="21"/>
        </w:rPr>
        <w:t>3</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涉及基金管理人、基金财产、基金托管业务的诉讼</w:t>
      </w:r>
      <w:bookmarkEnd w:id="330"/>
      <w:bookmarkEnd w:id="331"/>
      <w:bookmarkEnd w:id="332"/>
      <w:bookmarkEnd w:id="333"/>
      <w:bookmarkEnd w:id="334"/>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本报告期内无涉及本基金管理人、基金财产、基金托管业务的诉讼事项。</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35" w:name="_Toc352256014"/>
      <w:bookmarkStart w:id="336" w:name="_Toc352256082"/>
      <w:bookmarkStart w:id="337" w:name="_Toc352331260"/>
      <w:bookmarkStart w:id="338" w:name="_Toc390164844"/>
      <w:bookmarkStart w:id="339" w:name="_Toc48662947"/>
      <w:r w:rsidRPr="0087359D">
        <w:rPr>
          <w:rFonts w:ascii="宋体" w:hAnsi="宋体"/>
          <w:kern w:val="0"/>
          <w:sz w:val="21"/>
          <w:szCs w:val="21"/>
        </w:rPr>
        <w:t>10.</w:t>
      </w:r>
      <w:r>
        <w:rPr>
          <w:rFonts w:ascii="宋体" w:hAnsi="宋体" w:hint="eastAsia"/>
          <w:kern w:val="0"/>
          <w:sz w:val="21"/>
          <w:szCs w:val="21"/>
        </w:rPr>
        <w:t>4</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基金投资策略的改变</w:t>
      </w:r>
      <w:bookmarkEnd w:id="335"/>
      <w:bookmarkEnd w:id="336"/>
      <w:bookmarkEnd w:id="337"/>
      <w:bookmarkEnd w:id="338"/>
      <w:bookmarkEnd w:id="339"/>
    </w:p>
    <w:p w:rsidR="00F0322F" w:rsidRPr="00F13227" w:rsidRDefault="008A5A5D" w:rsidP="00F0322F">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本报告期内本基金的投资策略未有重大变化。</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40" w:name="_Toc352256015"/>
      <w:bookmarkStart w:id="341" w:name="_Toc352256083"/>
      <w:bookmarkStart w:id="342" w:name="_Toc352331261"/>
      <w:bookmarkStart w:id="343" w:name="_Toc390164845"/>
      <w:bookmarkStart w:id="344" w:name="_Toc48662948"/>
      <w:r w:rsidRPr="0087359D">
        <w:rPr>
          <w:rFonts w:ascii="宋体" w:hAnsi="宋体"/>
          <w:kern w:val="0"/>
          <w:sz w:val="21"/>
          <w:szCs w:val="21"/>
        </w:rPr>
        <w:t>10.</w:t>
      </w:r>
      <w:r>
        <w:rPr>
          <w:rFonts w:ascii="宋体" w:hAnsi="宋体" w:hint="eastAsia"/>
          <w:kern w:val="0"/>
          <w:sz w:val="21"/>
          <w:szCs w:val="21"/>
        </w:rPr>
        <w:t>5</w:t>
      </w:r>
      <w:r w:rsidR="00982AAE" w:rsidRPr="009A2157">
        <w:rPr>
          <w:rFonts w:ascii="Times New Roman" w:eastAsiaTheme="minorEastAsia" w:hAnsi="Times New Roman"/>
          <w:kern w:val="0"/>
          <w:sz w:val="21"/>
          <w:szCs w:val="21"/>
        </w:rPr>
        <w:t xml:space="preserve">  </w:t>
      </w:r>
      <w:bookmarkEnd w:id="340"/>
      <w:bookmarkEnd w:id="341"/>
      <w:bookmarkEnd w:id="342"/>
      <w:bookmarkEnd w:id="343"/>
      <w:r w:rsidR="00973DE4" w:rsidRPr="0087410D">
        <w:rPr>
          <w:rFonts w:ascii="宋体" w:hAnsi="宋体" w:hint="eastAsia"/>
          <w:kern w:val="0"/>
          <w:sz w:val="21"/>
          <w:szCs w:val="21"/>
        </w:rPr>
        <w:t>为基金进行审计的会计师事务所情况</w:t>
      </w:r>
      <w:bookmarkEnd w:id="344"/>
    </w:p>
    <w:p w:rsidR="008A5A5D" w:rsidRPr="00C24ACA" w:rsidRDefault="008A5A5D" w:rsidP="001412CA">
      <w:pPr>
        <w:tabs>
          <w:tab w:val="left" w:pos="426"/>
        </w:tabs>
        <w:spacing w:line="360" w:lineRule="auto"/>
        <w:ind w:firstLineChars="200" w:firstLine="420"/>
        <w:jc w:val="left"/>
        <w:rPr>
          <w:rFonts w:eastAsiaTheme="minorEastAsia"/>
          <w:kern w:val="0"/>
          <w:szCs w:val="21"/>
        </w:rPr>
      </w:pPr>
      <w:bookmarkStart w:id="345" w:name="OLE_LINK3"/>
      <w:r w:rsidRPr="00C24ACA">
        <w:rPr>
          <w:rFonts w:eastAsiaTheme="minorEastAsia"/>
          <w:kern w:val="0"/>
          <w:szCs w:val="21"/>
        </w:rPr>
        <w:t>本报告期内本基金未改聘会计师事务所。</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46" w:name="_Toc352256016"/>
      <w:bookmarkStart w:id="347" w:name="_Toc352256084"/>
      <w:bookmarkStart w:id="348" w:name="_Toc352331262"/>
      <w:bookmarkStart w:id="349" w:name="_Toc390164846"/>
      <w:bookmarkStart w:id="350" w:name="_Toc48662949"/>
      <w:bookmarkEnd w:id="345"/>
      <w:r w:rsidRPr="0087359D">
        <w:rPr>
          <w:rFonts w:ascii="宋体" w:hAnsi="宋体"/>
          <w:kern w:val="0"/>
          <w:sz w:val="21"/>
          <w:szCs w:val="21"/>
        </w:rPr>
        <w:t>10.</w:t>
      </w:r>
      <w:r>
        <w:rPr>
          <w:rFonts w:ascii="宋体" w:hAnsi="宋体" w:hint="eastAsia"/>
          <w:kern w:val="0"/>
          <w:sz w:val="21"/>
          <w:szCs w:val="21"/>
        </w:rPr>
        <w:t>6</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管理人、托管人及其高级管理人员受稽查或处罚等情况</w:t>
      </w:r>
      <w:bookmarkEnd w:id="346"/>
      <w:bookmarkEnd w:id="347"/>
      <w:bookmarkEnd w:id="348"/>
      <w:bookmarkEnd w:id="349"/>
      <w:bookmarkEnd w:id="350"/>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本报告期内，本基金管理人和托管人托管业务部门及其相关高级管理人员未受到稽查或处罚。</w:t>
      </w:r>
    </w:p>
    <w:p w:rsidR="008A5A5D" w:rsidRPr="00C24ACA" w:rsidRDefault="00F0322F" w:rsidP="00732F5C">
      <w:pPr>
        <w:pStyle w:val="20"/>
        <w:spacing w:beforeLines="100" w:before="312" w:after="0"/>
        <w:rPr>
          <w:rFonts w:ascii="Times New Roman" w:eastAsiaTheme="minorEastAsia" w:hAnsi="Times New Roman"/>
          <w:kern w:val="0"/>
          <w:sz w:val="21"/>
          <w:szCs w:val="21"/>
        </w:rPr>
      </w:pPr>
      <w:bookmarkStart w:id="351" w:name="_Toc352256017"/>
      <w:bookmarkStart w:id="352" w:name="_Toc352256085"/>
      <w:bookmarkStart w:id="353" w:name="_Toc352331263"/>
      <w:bookmarkStart w:id="354" w:name="_Toc390164847"/>
      <w:bookmarkStart w:id="355" w:name="_Toc48662950"/>
      <w:r w:rsidRPr="0087359D">
        <w:rPr>
          <w:rFonts w:ascii="宋体" w:hAnsi="宋体"/>
          <w:kern w:val="0"/>
          <w:sz w:val="21"/>
          <w:szCs w:val="21"/>
        </w:rPr>
        <w:t>10.</w:t>
      </w:r>
      <w:r>
        <w:rPr>
          <w:rFonts w:ascii="宋体" w:hAnsi="宋体" w:hint="eastAsia"/>
          <w:kern w:val="0"/>
          <w:sz w:val="21"/>
          <w:szCs w:val="21"/>
        </w:rPr>
        <w:t>7</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基金租用证券公司交易单元的有关情况</w:t>
      </w:r>
      <w:bookmarkEnd w:id="351"/>
      <w:bookmarkEnd w:id="352"/>
      <w:bookmarkEnd w:id="353"/>
      <w:bookmarkEnd w:id="354"/>
      <w:bookmarkEnd w:id="355"/>
    </w:p>
    <w:p w:rsidR="008A5A5D" w:rsidRPr="00C24ACA" w:rsidRDefault="000D1F25" w:rsidP="00E92B70">
      <w:pPr>
        <w:spacing w:line="360" w:lineRule="auto"/>
        <w:rPr>
          <w:rFonts w:eastAsiaTheme="minorEastAsia"/>
          <w:b/>
          <w:szCs w:val="21"/>
        </w:rPr>
      </w:pPr>
      <w:bookmarkStart w:id="356" w:name="_Toc249760070"/>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1</w:t>
      </w:r>
      <w:r w:rsidR="008A5A5D" w:rsidRPr="00C24ACA">
        <w:rPr>
          <w:rFonts w:eastAsiaTheme="minorEastAsia"/>
          <w:b/>
          <w:szCs w:val="21"/>
        </w:rPr>
        <w:t>基金租用证券公司交易单元进行股票投资及佣金支付情况</w:t>
      </w:r>
      <w:bookmarkEnd w:id="356"/>
    </w:p>
    <w:p w:rsidR="008A5A5D" w:rsidRPr="00C24ACA" w:rsidRDefault="008A5A5D" w:rsidP="008134C7">
      <w:pPr>
        <w:pStyle w:val="a0"/>
        <w:ind w:firstLineChars="2600" w:firstLine="5460"/>
        <w:jc w:val="right"/>
        <w:rPr>
          <w:rFonts w:eastAsiaTheme="minorEastAsia"/>
          <w:color w:val="000000"/>
          <w:szCs w:val="21"/>
        </w:rPr>
      </w:pPr>
      <w:r w:rsidRPr="00C24ACA">
        <w:rPr>
          <w:rFonts w:eastAsiaTheme="minor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8A5A5D" w:rsidRPr="00C24ACA" w:rsidTr="004A4847">
        <w:tc>
          <w:tcPr>
            <w:tcW w:w="1560" w:type="dxa"/>
            <w:vMerge w:val="restart"/>
            <w:vAlign w:val="center"/>
          </w:tcPr>
          <w:p w:rsidR="008A5A5D" w:rsidRPr="00C24ACA" w:rsidRDefault="008A5A5D" w:rsidP="004A4847">
            <w:pPr>
              <w:jc w:val="center"/>
              <w:rPr>
                <w:rFonts w:eastAsiaTheme="minorEastAsia"/>
                <w:color w:val="000000"/>
                <w:szCs w:val="21"/>
              </w:rPr>
            </w:pPr>
            <w:bookmarkStart w:id="357" w:name="_Toc249760071"/>
            <w:r w:rsidRPr="00C24ACA">
              <w:rPr>
                <w:rFonts w:eastAsiaTheme="minorEastAsia"/>
                <w:color w:val="000000"/>
                <w:szCs w:val="21"/>
              </w:rPr>
              <w:t>券商名称</w:t>
            </w:r>
          </w:p>
        </w:tc>
        <w:tc>
          <w:tcPr>
            <w:tcW w:w="780" w:type="dxa"/>
            <w:vMerge w:val="restart"/>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交易单元数量</w:t>
            </w:r>
          </w:p>
        </w:tc>
        <w:tc>
          <w:tcPr>
            <w:tcW w:w="288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股票交易</w:t>
            </w:r>
          </w:p>
        </w:tc>
        <w:tc>
          <w:tcPr>
            <w:tcW w:w="270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应支付该券商的佣金</w:t>
            </w:r>
          </w:p>
        </w:tc>
        <w:tc>
          <w:tcPr>
            <w:tcW w:w="1080" w:type="dxa"/>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备注</w:t>
            </w:r>
          </w:p>
        </w:tc>
      </w:tr>
      <w:tr w:rsidR="008A5A5D" w:rsidRPr="00C24ACA" w:rsidTr="004A4847">
        <w:tc>
          <w:tcPr>
            <w:tcW w:w="9000" w:type="dxa"/>
            <w:vMerge/>
            <w:vAlign w:val="center"/>
          </w:tcPr>
          <w:p w:rsidR="008A5A5D" w:rsidRPr="00C24ACA" w:rsidRDefault="008A5A5D" w:rsidP="004A4847">
            <w:pPr>
              <w:widowControl/>
              <w:jc w:val="left"/>
              <w:rPr>
                <w:rFonts w:eastAsiaTheme="minorEastAsia"/>
                <w:color w:val="000000"/>
                <w:szCs w:val="21"/>
              </w:rPr>
            </w:pPr>
          </w:p>
        </w:tc>
        <w:tc>
          <w:tcPr>
            <w:tcW w:w="780" w:type="dxa"/>
            <w:vMerge/>
            <w:vAlign w:val="center"/>
          </w:tcPr>
          <w:p w:rsidR="008A5A5D" w:rsidRPr="00C24ACA" w:rsidRDefault="008A5A5D" w:rsidP="004A4847">
            <w:pPr>
              <w:widowControl/>
              <w:jc w:val="left"/>
              <w:rPr>
                <w:rFonts w:eastAsiaTheme="minorEastAsia"/>
                <w:color w:val="000000"/>
                <w:szCs w:val="21"/>
              </w:rPr>
            </w:pPr>
          </w:p>
        </w:tc>
        <w:tc>
          <w:tcPr>
            <w:tcW w:w="180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成交金额</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占当期股票成交总额的比例</w:t>
            </w:r>
          </w:p>
        </w:tc>
        <w:tc>
          <w:tcPr>
            <w:tcW w:w="162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佣金</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占当期佣金总量的比例</w:t>
            </w:r>
          </w:p>
        </w:tc>
        <w:tc>
          <w:tcPr>
            <w:tcW w:w="1080" w:type="dxa"/>
            <w:vMerge/>
            <w:vAlign w:val="center"/>
          </w:tcPr>
          <w:p w:rsidR="008A5A5D" w:rsidRPr="00C24ACA" w:rsidRDefault="008A5A5D" w:rsidP="004A4847">
            <w:pPr>
              <w:widowControl/>
              <w:jc w:val="left"/>
              <w:rPr>
                <w:rFonts w:eastAsiaTheme="minorEastAsia"/>
                <w:color w:val="000000"/>
                <w:kern w:val="0"/>
                <w:szCs w:val="21"/>
              </w:rPr>
            </w:pPr>
          </w:p>
        </w:tc>
      </w:tr>
      <w:tr w:rsidR="00BB5C1E">
        <w:tc>
          <w:tcPr>
            <w:tcW w:w="1560" w:type="dxa"/>
            <w:vAlign w:val="center"/>
          </w:tcPr>
          <w:p w:rsidR="00BB5C1E" w:rsidRDefault="00AF434F">
            <w:pPr>
              <w:jc w:val="center"/>
            </w:pPr>
            <w:r>
              <w:rPr>
                <w:rFonts w:eastAsiaTheme="minorEastAsia"/>
                <w:color w:val="000000"/>
                <w:szCs w:val="21"/>
              </w:rPr>
              <w:t>China Merchants Securities (HK) Co Ltd</w:t>
            </w:r>
          </w:p>
        </w:tc>
        <w:tc>
          <w:tcPr>
            <w:tcW w:w="780" w:type="dxa"/>
            <w:vAlign w:val="center"/>
          </w:tcPr>
          <w:p w:rsidR="00BB5C1E" w:rsidRDefault="00AF434F">
            <w:pPr>
              <w:jc w:val="right"/>
            </w:pPr>
            <w:r>
              <w:rPr>
                <w:rFonts w:eastAsiaTheme="minorEastAsia"/>
                <w:color w:val="000000"/>
                <w:szCs w:val="21"/>
              </w:rPr>
              <w:t>1</w:t>
            </w:r>
          </w:p>
        </w:tc>
        <w:tc>
          <w:tcPr>
            <w:tcW w:w="1800" w:type="dxa"/>
            <w:vAlign w:val="center"/>
          </w:tcPr>
          <w:p w:rsidR="00BB5C1E" w:rsidRDefault="00AF434F">
            <w:pPr>
              <w:jc w:val="right"/>
            </w:pPr>
            <w:r>
              <w:rPr>
                <w:rFonts w:eastAsiaTheme="minorEastAsia"/>
                <w:color w:val="000000"/>
                <w:szCs w:val="21"/>
              </w:rPr>
              <w:t>2,129,614.25</w:t>
            </w:r>
          </w:p>
        </w:tc>
        <w:tc>
          <w:tcPr>
            <w:tcW w:w="1080" w:type="dxa"/>
            <w:vAlign w:val="center"/>
          </w:tcPr>
          <w:p w:rsidR="00BB5C1E" w:rsidRDefault="00AF434F">
            <w:pPr>
              <w:jc w:val="right"/>
            </w:pPr>
            <w:r>
              <w:rPr>
                <w:rFonts w:eastAsiaTheme="minorEastAsia"/>
                <w:color w:val="000000"/>
                <w:szCs w:val="21"/>
              </w:rPr>
              <w:t>9.10%</w:t>
            </w:r>
          </w:p>
        </w:tc>
        <w:tc>
          <w:tcPr>
            <w:tcW w:w="1620" w:type="dxa"/>
            <w:vAlign w:val="center"/>
          </w:tcPr>
          <w:p w:rsidR="00BB5C1E" w:rsidRDefault="00AF434F">
            <w:pPr>
              <w:jc w:val="right"/>
            </w:pPr>
            <w:r>
              <w:rPr>
                <w:rFonts w:eastAsiaTheme="minorEastAsia"/>
                <w:color w:val="000000"/>
                <w:szCs w:val="21"/>
              </w:rPr>
              <w:t>2,129.62</w:t>
            </w:r>
          </w:p>
        </w:tc>
        <w:tc>
          <w:tcPr>
            <w:tcW w:w="1080" w:type="dxa"/>
            <w:vAlign w:val="center"/>
          </w:tcPr>
          <w:p w:rsidR="00BB5C1E" w:rsidRDefault="00AF434F">
            <w:pPr>
              <w:jc w:val="right"/>
            </w:pPr>
            <w:r>
              <w:rPr>
                <w:rFonts w:eastAsiaTheme="minorEastAsia"/>
                <w:color w:val="000000"/>
                <w:szCs w:val="21"/>
              </w:rPr>
              <w:t>19.81%</w:t>
            </w:r>
          </w:p>
        </w:tc>
        <w:tc>
          <w:tcPr>
            <w:tcW w:w="1080" w:type="dxa"/>
            <w:vAlign w:val="center"/>
          </w:tcPr>
          <w:p w:rsidR="00BB5C1E" w:rsidRDefault="00AF434F">
            <w:pPr>
              <w:jc w:val="left"/>
            </w:pPr>
            <w:r>
              <w:rPr>
                <w:rFonts w:eastAsiaTheme="minorEastAsia"/>
                <w:color w:val="000000"/>
                <w:szCs w:val="21"/>
              </w:rPr>
              <w:t>-</w:t>
            </w:r>
          </w:p>
        </w:tc>
      </w:tr>
      <w:tr w:rsidR="00BB5C1E">
        <w:tc>
          <w:tcPr>
            <w:tcW w:w="1560" w:type="dxa"/>
            <w:vAlign w:val="center"/>
          </w:tcPr>
          <w:p w:rsidR="00BB5C1E" w:rsidRDefault="00AF434F">
            <w:pPr>
              <w:jc w:val="center"/>
            </w:pPr>
            <w:r>
              <w:rPr>
                <w:rFonts w:eastAsiaTheme="minorEastAsia"/>
                <w:color w:val="000000"/>
                <w:szCs w:val="21"/>
              </w:rPr>
              <w:t>Goldman Sachs</w:t>
            </w:r>
          </w:p>
        </w:tc>
        <w:tc>
          <w:tcPr>
            <w:tcW w:w="780" w:type="dxa"/>
            <w:vAlign w:val="center"/>
          </w:tcPr>
          <w:p w:rsidR="00BB5C1E" w:rsidRDefault="00AF434F">
            <w:pPr>
              <w:jc w:val="right"/>
            </w:pPr>
            <w:r>
              <w:rPr>
                <w:rFonts w:eastAsiaTheme="minorEastAsia"/>
                <w:color w:val="000000"/>
                <w:szCs w:val="21"/>
              </w:rPr>
              <w:t>1</w:t>
            </w:r>
          </w:p>
        </w:tc>
        <w:tc>
          <w:tcPr>
            <w:tcW w:w="1800" w:type="dxa"/>
            <w:vAlign w:val="center"/>
          </w:tcPr>
          <w:p w:rsidR="00BB5C1E" w:rsidRDefault="00AF434F">
            <w:pPr>
              <w:jc w:val="right"/>
            </w:pPr>
            <w:r>
              <w:rPr>
                <w:rFonts w:eastAsiaTheme="minorEastAsia"/>
                <w:color w:val="000000"/>
                <w:szCs w:val="21"/>
              </w:rPr>
              <w:t>3,185,005.86</w:t>
            </w:r>
          </w:p>
        </w:tc>
        <w:tc>
          <w:tcPr>
            <w:tcW w:w="1080" w:type="dxa"/>
            <w:vAlign w:val="center"/>
          </w:tcPr>
          <w:p w:rsidR="00BB5C1E" w:rsidRDefault="00AF434F">
            <w:pPr>
              <w:jc w:val="right"/>
            </w:pPr>
            <w:r>
              <w:rPr>
                <w:rFonts w:eastAsiaTheme="minorEastAsia"/>
                <w:color w:val="000000"/>
                <w:szCs w:val="21"/>
              </w:rPr>
              <w:t>13.61%</w:t>
            </w:r>
          </w:p>
        </w:tc>
        <w:tc>
          <w:tcPr>
            <w:tcW w:w="1620" w:type="dxa"/>
            <w:vAlign w:val="center"/>
          </w:tcPr>
          <w:p w:rsidR="00BB5C1E" w:rsidRDefault="00AF434F">
            <w:pPr>
              <w:jc w:val="right"/>
            </w:pPr>
            <w:r>
              <w:rPr>
                <w:rFonts w:eastAsiaTheme="minorEastAsia"/>
                <w:color w:val="000000"/>
                <w:szCs w:val="21"/>
              </w:rPr>
              <w:t>2,548.09</w:t>
            </w:r>
          </w:p>
        </w:tc>
        <w:tc>
          <w:tcPr>
            <w:tcW w:w="1080" w:type="dxa"/>
            <w:vAlign w:val="center"/>
          </w:tcPr>
          <w:p w:rsidR="00BB5C1E" w:rsidRDefault="00AF434F">
            <w:pPr>
              <w:jc w:val="right"/>
            </w:pPr>
            <w:r>
              <w:rPr>
                <w:rFonts w:eastAsiaTheme="minorEastAsia"/>
                <w:color w:val="000000"/>
                <w:szCs w:val="21"/>
              </w:rPr>
              <w:t>23.70%</w:t>
            </w:r>
          </w:p>
        </w:tc>
        <w:tc>
          <w:tcPr>
            <w:tcW w:w="1080" w:type="dxa"/>
            <w:vAlign w:val="center"/>
          </w:tcPr>
          <w:p w:rsidR="00BB5C1E" w:rsidRDefault="00AF434F">
            <w:pPr>
              <w:jc w:val="left"/>
            </w:pPr>
            <w:r>
              <w:rPr>
                <w:rFonts w:eastAsiaTheme="minorEastAsia"/>
                <w:color w:val="000000"/>
                <w:szCs w:val="21"/>
              </w:rPr>
              <w:t>-</w:t>
            </w:r>
          </w:p>
        </w:tc>
      </w:tr>
      <w:tr w:rsidR="00BB5C1E">
        <w:tc>
          <w:tcPr>
            <w:tcW w:w="1560" w:type="dxa"/>
            <w:vAlign w:val="center"/>
          </w:tcPr>
          <w:p w:rsidR="00BB5C1E" w:rsidRDefault="00AF434F">
            <w:pPr>
              <w:jc w:val="center"/>
            </w:pPr>
            <w:r>
              <w:rPr>
                <w:rFonts w:eastAsiaTheme="minorEastAsia"/>
                <w:color w:val="000000"/>
                <w:szCs w:val="21"/>
              </w:rPr>
              <w:t>Citigroup Global Markets Limited</w:t>
            </w:r>
          </w:p>
        </w:tc>
        <w:tc>
          <w:tcPr>
            <w:tcW w:w="780" w:type="dxa"/>
            <w:vAlign w:val="center"/>
          </w:tcPr>
          <w:p w:rsidR="00BB5C1E" w:rsidRDefault="00AF434F">
            <w:pPr>
              <w:jc w:val="right"/>
            </w:pPr>
            <w:r>
              <w:rPr>
                <w:rFonts w:eastAsiaTheme="minorEastAsia"/>
                <w:color w:val="000000"/>
                <w:szCs w:val="21"/>
              </w:rPr>
              <w:t>1</w:t>
            </w:r>
          </w:p>
        </w:tc>
        <w:tc>
          <w:tcPr>
            <w:tcW w:w="1800" w:type="dxa"/>
            <w:vAlign w:val="center"/>
          </w:tcPr>
          <w:p w:rsidR="00BB5C1E" w:rsidRDefault="00AF434F">
            <w:pPr>
              <w:jc w:val="right"/>
            </w:pPr>
            <w:r>
              <w:rPr>
                <w:rFonts w:eastAsiaTheme="minorEastAsia"/>
                <w:color w:val="000000"/>
                <w:szCs w:val="21"/>
              </w:rPr>
              <w:t>18,093,990.17</w:t>
            </w:r>
          </w:p>
        </w:tc>
        <w:tc>
          <w:tcPr>
            <w:tcW w:w="1080" w:type="dxa"/>
            <w:vAlign w:val="center"/>
          </w:tcPr>
          <w:p w:rsidR="00BB5C1E" w:rsidRDefault="00AF434F">
            <w:pPr>
              <w:jc w:val="right"/>
            </w:pPr>
            <w:r>
              <w:rPr>
                <w:rFonts w:eastAsiaTheme="minorEastAsia"/>
                <w:color w:val="000000"/>
                <w:szCs w:val="21"/>
              </w:rPr>
              <w:t>77.30%</w:t>
            </w:r>
          </w:p>
        </w:tc>
        <w:tc>
          <w:tcPr>
            <w:tcW w:w="1620" w:type="dxa"/>
            <w:vAlign w:val="center"/>
          </w:tcPr>
          <w:p w:rsidR="00BB5C1E" w:rsidRDefault="00AF434F">
            <w:pPr>
              <w:jc w:val="right"/>
            </w:pPr>
            <w:r>
              <w:rPr>
                <w:rFonts w:eastAsiaTheme="minorEastAsia"/>
                <w:color w:val="000000"/>
                <w:szCs w:val="21"/>
              </w:rPr>
              <w:t>6,072.21</w:t>
            </w:r>
          </w:p>
        </w:tc>
        <w:tc>
          <w:tcPr>
            <w:tcW w:w="1080" w:type="dxa"/>
            <w:vAlign w:val="center"/>
          </w:tcPr>
          <w:p w:rsidR="00BB5C1E" w:rsidRDefault="00AF434F">
            <w:pPr>
              <w:jc w:val="right"/>
            </w:pPr>
            <w:r>
              <w:rPr>
                <w:rFonts w:eastAsiaTheme="minorEastAsia"/>
                <w:color w:val="000000"/>
                <w:szCs w:val="21"/>
              </w:rPr>
              <w:t>56.49%</w:t>
            </w:r>
          </w:p>
        </w:tc>
        <w:tc>
          <w:tcPr>
            <w:tcW w:w="1080" w:type="dxa"/>
            <w:vAlign w:val="center"/>
          </w:tcPr>
          <w:p w:rsidR="00BB5C1E" w:rsidRDefault="00AF434F">
            <w:pPr>
              <w:jc w:val="left"/>
            </w:pPr>
            <w:r>
              <w:rPr>
                <w:rFonts w:eastAsiaTheme="minorEastAsia"/>
                <w:color w:val="000000"/>
                <w:szCs w:val="21"/>
              </w:rPr>
              <w:t>-</w:t>
            </w:r>
          </w:p>
        </w:tc>
      </w:tr>
      <w:tr w:rsidR="00BB5C1E">
        <w:tc>
          <w:tcPr>
            <w:tcW w:w="1560" w:type="dxa"/>
            <w:vAlign w:val="center"/>
          </w:tcPr>
          <w:p w:rsidR="00BB5C1E" w:rsidRDefault="00AF434F">
            <w:pPr>
              <w:jc w:val="center"/>
            </w:pPr>
            <w:r>
              <w:rPr>
                <w:rFonts w:eastAsiaTheme="minorEastAsia"/>
                <w:color w:val="000000"/>
                <w:szCs w:val="21"/>
              </w:rPr>
              <w:t>Morgan Stanley &amp; Co. International PLC</w:t>
            </w:r>
          </w:p>
        </w:tc>
        <w:tc>
          <w:tcPr>
            <w:tcW w:w="780" w:type="dxa"/>
            <w:vAlign w:val="center"/>
          </w:tcPr>
          <w:p w:rsidR="00BB5C1E" w:rsidRDefault="00AF434F">
            <w:pPr>
              <w:jc w:val="right"/>
            </w:pPr>
            <w:r>
              <w:rPr>
                <w:rFonts w:eastAsiaTheme="minorEastAsia"/>
                <w:color w:val="000000"/>
                <w:szCs w:val="21"/>
              </w:rPr>
              <w:t>1</w:t>
            </w:r>
          </w:p>
        </w:tc>
        <w:tc>
          <w:tcPr>
            <w:tcW w:w="1800" w:type="dxa"/>
            <w:vAlign w:val="center"/>
          </w:tcPr>
          <w:p w:rsidR="00BB5C1E" w:rsidRDefault="00AF434F">
            <w:pPr>
              <w:jc w:val="right"/>
            </w:pPr>
            <w:r>
              <w:rPr>
                <w:rFonts w:eastAsiaTheme="minorEastAsia"/>
                <w:color w:val="000000"/>
                <w:szCs w:val="21"/>
              </w:rPr>
              <w:t>-</w:t>
            </w:r>
          </w:p>
        </w:tc>
        <w:tc>
          <w:tcPr>
            <w:tcW w:w="1080" w:type="dxa"/>
            <w:vAlign w:val="center"/>
          </w:tcPr>
          <w:p w:rsidR="00BB5C1E" w:rsidRDefault="00AF434F">
            <w:pPr>
              <w:jc w:val="right"/>
            </w:pPr>
            <w:r>
              <w:rPr>
                <w:rFonts w:eastAsiaTheme="minorEastAsia"/>
                <w:color w:val="000000"/>
                <w:szCs w:val="21"/>
              </w:rPr>
              <w:t>-</w:t>
            </w:r>
          </w:p>
        </w:tc>
        <w:tc>
          <w:tcPr>
            <w:tcW w:w="1620" w:type="dxa"/>
            <w:vAlign w:val="center"/>
          </w:tcPr>
          <w:p w:rsidR="00BB5C1E" w:rsidRDefault="00AF434F">
            <w:pPr>
              <w:jc w:val="right"/>
            </w:pPr>
            <w:r>
              <w:rPr>
                <w:rFonts w:eastAsiaTheme="minorEastAsia"/>
                <w:color w:val="000000"/>
                <w:szCs w:val="21"/>
              </w:rPr>
              <w:t>-</w:t>
            </w:r>
          </w:p>
        </w:tc>
        <w:tc>
          <w:tcPr>
            <w:tcW w:w="1080" w:type="dxa"/>
            <w:vAlign w:val="center"/>
          </w:tcPr>
          <w:p w:rsidR="00BB5C1E" w:rsidRDefault="00AF434F">
            <w:pPr>
              <w:jc w:val="right"/>
            </w:pPr>
            <w:r>
              <w:rPr>
                <w:rFonts w:eastAsiaTheme="minorEastAsia"/>
                <w:color w:val="000000"/>
                <w:szCs w:val="21"/>
              </w:rPr>
              <w:t>-</w:t>
            </w:r>
          </w:p>
        </w:tc>
        <w:tc>
          <w:tcPr>
            <w:tcW w:w="1080" w:type="dxa"/>
            <w:vAlign w:val="center"/>
          </w:tcPr>
          <w:p w:rsidR="00BB5C1E" w:rsidRDefault="00AF434F">
            <w:pPr>
              <w:jc w:val="left"/>
            </w:pPr>
            <w:r>
              <w:rPr>
                <w:rFonts w:eastAsiaTheme="minorEastAsia"/>
                <w:color w:val="000000"/>
                <w:szCs w:val="21"/>
              </w:rPr>
              <w:t>-</w:t>
            </w:r>
          </w:p>
        </w:tc>
      </w:tr>
      <w:tr w:rsidR="00BB5C1E">
        <w:tc>
          <w:tcPr>
            <w:tcW w:w="1560" w:type="dxa"/>
            <w:vAlign w:val="center"/>
          </w:tcPr>
          <w:p w:rsidR="00BB5C1E" w:rsidRDefault="00AF434F">
            <w:pPr>
              <w:jc w:val="center"/>
            </w:pPr>
            <w:r>
              <w:rPr>
                <w:rFonts w:eastAsiaTheme="minorEastAsia"/>
                <w:color w:val="000000"/>
                <w:szCs w:val="21"/>
              </w:rPr>
              <w:t>Credit Suisse (Hong Kong) Limited</w:t>
            </w:r>
          </w:p>
        </w:tc>
        <w:tc>
          <w:tcPr>
            <w:tcW w:w="780" w:type="dxa"/>
            <w:vAlign w:val="center"/>
          </w:tcPr>
          <w:p w:rsidR="00BB5C1E" w:rsidRDefault="00AF434F">
            <w:pPr>
              <w:jc w:val="right"/>
            </w:pPr>
            <w:r>
              <w:rPr>
                <w:rFonts w:eastAsiaTheme="minorEastAsia"/>
                <w:color w:val="000000"/>
                <w:szCs w:val="21"/>
              </w:rPr>
              <w:t>1</w:t>
            </w:r>
          </w:p>
        </w:tc>
        <w:tc>
          <w:tcPr>
            <w:tcW w:w="1800" w:type="dxa"/>
            <w:vAlign w:val="center"/>
          </w:tcPr>
          <w:p w:rsidR="00BB5C1E" w:rsidRDefault="00AF434F">
            <w:pPr>
              <w:jc w:val="right"/>
            </w:pPr>
            <w:r>
              <w:rPr>
                <w:rFonts w:eastAsiaTheme="minorEastAsia"/>
                <w:color w:val="000000"/>
                <w:szCs w:val="21"/>
              </w:rPr>
              <w:t>-</w:t>
            </w:r>
          </w:p>
        </w:tc>
        <w:tc>
          <w:tcPr>
            <w:tcW w:w="1080" w:type="dxa"/>
            <w:vAlign w:val="center"/>
          </w:tcPr>
          <w:p w:rsidR="00BB5C1E" w:rsidRDefault="00AF434F">
            <w:pPr>
              <w:jc w:val="right"/>
            </w:pPr>
            <w:r>
              <w:rPr>
                <w:rFonts w:eastAsiaTheme="minorEastAsia"/>
                <w:color w:val="000000"/>
                <w:szCs w:val="21"/>
              </w:rPr>
              <w:t>-</w:t>
            </w:r>
          </w:p>
        </w:tc>
        <w:tc>
          <w:tcPr>
            <w:tcW w:w="1620" w:type="dxa"/>
            <w:vAlign w:val="center"/>
          </w:tcPr>
          <w:p w:rsidR="00BB5C1E" w:rsidRDefault="00AF434F">
            <w:pPr>
              <w:jc w:val="right"/>
            </w:pPr>
            <w:r>
              <w:rPr>
                <w:rFonts w:eastAsiaTheme="minorEastAsia"/>
                <w:color w:val="000000"/>
                <w:szCs w:val="21"/>
              </w:rPr>
              <w:t>-</w:t>
            </w:r>
          </w:p>
        </w:tc>
        <w:tc>
          <w:tcPr>
            <w:tcW w:w="1080" w:type="dxa"/>
            <w:vAlign w:val="center"/>
          </w:tcPr>
          <w:p w:rsidR="00BB5C1E" w:rsidRDefault="00AF434F">
            <w:pPr>
              <w:jc w:val="right"/>
            </w:pPr>
            <w:r>
              <w:rPr>
                <w:rFonts w:eastAsiaTheme="minorEastAsia"/>
                <w:color w:val="000000"/>
                <w:szCs w:val="21"/>
              </w:rPr>
              <w:t>-</w:t>
            </w:r>
          </w:p>
        </w:tc>
        <w:tc>
          <w:tcPr>
            <w:tcW w:w="1080" w:type="dxa"/>
            <w:vAlign w:val="center"/>
          </w:tcPr>
          <w:p w:rsidR="00BB5C1E" w:rsidRDefault="00AF434F">
            <w:pPr>
              <w:jc w:val="left"/>
            </w:pPr>
            <w:r>
              <w:rPr>
                <w:rFonts w:eastAsiaTheme="minorEastAsia"/>
                <w:color w:val="000000"/>
                <w:szCs w:val="21"/>
              </w:rPr>
              <w:t>-</w:t>
            </w:r>
          </w:p>
        </w:tc>
      </w:tr>
      <w:tr w:rsidR="00BB5C1E">
        <w:tc>
          <w:tcPr>
            <w:tcW w:w="1560" w:type="dxa"/>
            <w:vAlign w:val="center"/>
          </w:tcPr>
          <w:p w:rsidR="00BB5C1E" w:rsidRDefault="00AF434F">
            <w:pPr>
              <w:jc w:val="center"/>
            </w:pPr>
            <w:r>
              <w:rPr>
                <w:rFonts w:eastAsiaTheme="minorEastAsia"/>
                <w:color w:val="000000"/>
                <w:szCs w:val="21"/>
              </w:rPr>
              <w:t>UBS Securities Asia Limited</w:t>
            </w:r>
          </w:p>
        </w:tc>
        <w:tc>
          <w:tcPr>
            <w:tcW w:w="780" w:type="dxa"/>
            <w:vAlign w:val="center"/>
          </w:tcPr>
          <w:p w:rsidR="00BB5C1E" w:rsidRDefault="00AF434F">
            <w:pPr>
              <w:jc w:val="right"/>
            </w:pPr>
            <w:r>
              <w:rPr>
                <w:rFonts w:eastAsiaTheme="minorEastAsia"/>
                <w:color w:val="000000"/>
                <w:szCs w:val="21"/>
              </w:rPr>
              <w:t>1</w:t>
            </w:r>
          </w:p>
        </w:tc>
        <w:tc>
          <w:tcPr>
            <w:tcW w:w="1800" w:type="dxa"/>
            <w:vAlign w:val="center"/>
          </w:tcPr>
          <w:p w:rsidR="00BB5C1E" w:rsidRDefault="00AF434F">
            <w:pPr>
              <w:jc w:val="right"/>
            </w:pPr>
            <w:r>
              <w:rPr>
                <w:rFonts w:eastAsiaTheme="minorEastAsia"/>
                <w:color w:val="000000"/>
                <w:szCs w:val="21"/>
              </w:rPr>
              <w:t>-</w:t>
            </w:r>
          </w:p>
        </w:tc>
        <w:tc>
          <w:tcPr>
            <w:tcW w:w="1080" w:type="dxa"/>
            <w:vAlign w:val="center"/>
          </w:tcPr>
          <w:p w:rsidR="00BB5C1E" w:rsidRDefault="00AF434F">
            <w:pPr>
              <w:jc w:val="right"/>
            </w:pPr>
            <w:r>
              <w:rPr>
                <w:rFonts w:eastAsiaTheme="minorEastAsia"/>
                <w:color w:val="000000"/>
                <w:szCs w:val="21"/>
              </w:rPr>
              <w:t>-</w:t>
            </w:r>
          </w:p>
        </w:tc>
        <w:tc>
          <w:tcPr>
            <w:tcW w:w="1620" w:type="dxa"/>
            <w:vAlign w:val="center"/>
          </w:tcPr>
          <w:p w:rsidR="00BB5C1E" w:rsidRDefault="00AF434F">
            <w:pPr>
              <w:jc w:val="right"/>
            </w:pPr>
            <w:r>
              <w:rPr>
                <w:rFonts w:eastAsiaTheme="minorEastAsia"/>
                <w:color w:val="000000"/>
                <w:szCs w:val="21"/>
              </w:rPr>
              <w:t>-</w:t>
            </w:r>
          </w:p>
        </w:tc>
        <w:tc>
          <w:tcPr>
            <w:tcW w:w="1080" w:type="dxa"/>
            <w:vAlign w:val="center"/>
          </w:tcPr>
          <w:p w:rsidR="00BB5C1E" w:rsidRDefault="00AF434F">
            <w:pPr>
              <w:jc w:val="right"/>
            </w:pPr>
            <w:r>
              <w:rPr>
                <w:rFonts w:eastAsiaTheme="minorEastAsia"/>
                <w:color w:val="000000"/>
                <w:szCs w:val="21"/>
              </w:rPr>
              <w:t>-</w:t>
            </w:r>
          </w:p>
        </w:tc>
        <w:tc>
          <w:tcPr>
            <w:tcW w:w="1080" w:type="dxa"/>
            <w:vAlign w:val="center"/>
          </w:tcPr>
          <w:p w:rsidR="00BB5C1E" w:rsidRDefault="00AF434F">
            <w:pPr>
              <w:jc w:val="left"/>
            </w:pPr>
            <w:r>
              <w:rPr>
                <w:rFonts w:eastAsiaTheme="minorEastAsia"/>
                <w:color w:val="000000"/>
                <w:szCs w:val="21"/>
              </w:rPr>
              <w:t>-</w:t>
            </w:r>
          </w:p>
        </w:tc>
      </w:tr>
      <w:tr w:rsidR="00BB5C1E">
        <w:tc>
          <w:tcPr>
            <w:tcW w:w="1560" w:type="dxa"/>
            <w:vAlign w:val="center"/>
          </w:tcPr>
          <w:p w:rsidR="00BB5C1E" w:rsidRDefault="00AF434F">
            <w:pPr>
              <w:jc w:val="center"/>
            </w:pPr>
            <w:r>
              <w:rPr>
                <w:rFonts w:eastAsiaTheme="minorEastAsia"/>
                <w:color w:val="000000"/>
                <w:szCs w:val="21"/>
              </w:rPr>
              <w:t>CLSA Limited</w:t>
            </w:r>
          </w:p>
        </w:tc>
        <w:tc>
          <w:tcPr>
            <w:tcW w:w="780" w:type="dxa"/>
            <w:vAlign w:val="center"/>
          </w:tcPr>
          <w:p w:rsidR="00BB5C1E" w:rsidRDefault="00AF434F">
            <w:pPr>
              <w:jc w:val="right"/>
            </w:pPr>
            <w:r>
              <w:rPr>
                <w:rFonts w:eastAsiaTheme="minorEastAsia"/>
                <w:color w:val="000000"/>
                <w:szCs w:val="21"/>
              </w:rPr>
              <w:t>1</w:t>
            </w:r>
          </w:p>
        </w:tc>
        <w:tc>
          <w:tcPr>
            <w:tcW w:w="1800" w:type="dxa"/>
            <w:vAlign w:val="center"/>
          </w:tcPr>
          <w:p w:rsidR="00BB5C1E" w:rsidRDefault="00AF434F">
            <w:pPr>
              <w:jc w:val="right"/>
            </w:pPr>
            <w:r>
              <w:rPr>
                <w:rFonts w:eastAsiaTheme="minorEastAsia"/>
                <w:color w:val="000000"/>
                <w:szCs w:val="21"/>
              </w:rPr>
              <w:t>-</w:t>
            </w:r>
          </w:p>
        </w:tc>
        <w:tc>
          <w:tcPr>
            <w:tcW w:w="1080" w:type="dxa"/>
            <w:vAlign w:val="center"/>
          </w:tcPr>
          <w:p w:rsidR="00BB5C1E" w:rsidRDefault="00AF434F">
            <w:pPr>
              <w:jc w:val="right"/>
            </w:pPr>
            <w:r>
              <w:rPr>
                <w:rFonts w:eastAsiaTheme="minorEastAsia"/>
                <w:color w:val="000000"/>
                <w:szCs w:val="21"/>
              </w:rPr>
              <w:t>-</w:t>
            </w:r>
          </w:p>
        </w:tc>
        <w:tc>
          <w:tcPr>
            <w:tcW w:w="1620" w:type="dxa"/>
            <w:vAlign w:val="center"/>
          </w:tcPr>
          <w:p w:rsidR="00BB5C1E" w:rsidRDefault="00AF434F">
            <w:pPr>
              <w:jc w:val="right"/>
            </w:pPr>
            <w:r>
              <w:rPr>
                <w:rFonts w:eastAsiaTheme="minorEastAsia"/>
                <w:color w:val="000000"/>
                <w:szCs w:val="21"/>
              </w:rPr>
              <w:t>-</w:t>
            </w:r>
          </w:p>
        </w:tc>
        <w:tc>
          <w:tcPr>
            <w:tcW w:w="1080" w:type="dxa"/>
            <w:vAlign w:val="center"/>
          </w:tcPr>
          <w:p w:rsidR="00BB5C1E" w:rsidRDefault="00AF434F">
            <w:pPr>
              <w:jc w:val="right"/>
            </w:pPr>
            <w:r>
              <w:rPr>
                <w:rFonts w:eastAsiaTheme="minorEastAsia"/>
                <w:color w:val="000000"/>
                <w:szCs w:val="21"/>
              </w:rPr>
              <w:t>-</w:t>
            </w:r>
          </w:p>
        </w:tc>
        <w:tc>
          <w:tcPr>
            <w:tcW w:w="1080" w:type="dxa"/>
            <w:vAlign w:val="center"/>
          </w:tcPr>
          <w:p w:rsidR="00BB5C1E" w:rsidRDefault="00AF434F">
            <w:pPr>
              <w:jc w:val="left"/>
            </w:pPr>
            <w:r>
              <w:rPr>
                <w:rFonts w:eastAsiaTheme="minorEastAsia"/>
                <w:color w:val="000000"/>
                <w:szCs w:val="21"/>
              </w:rPr>
              <w:t>-</w:t>
            </w:r>
          </w:p>
        </w:tc>
      </w:tr>
      <w:tr w:rsidR="00BB5C1E">
        <w:tc>
          <w:tcPr>
            <w:tcW w:w="1560" w:type="dxa"/>
            <w:vAlign w:val="center"/>
          </w:tcPr>
          <w:p w:rsidR="00BB5C1E" w:rsidRDefault="00AF434F">
            <w:pPr>
              <w:jc w:val="center"/>
            </w:pPr>
            <w:r>
              <w:rPr>
                <w:rFonts w:eastAsiaTheme="minorEastAsia"/>
                <w:color w:val="000000"/>
                <w:szCs w:val="21"/>
              </w:rPr>
              <w:t>BOCOM International Securities Limited</w:t>
            </w:r>
          </w:p>
        </w:tc>
        <w:tc>
          <w:tcPr>
            <w:tcW w:w="780" w:type="dxa"/>
            <w:vAlign w:val="center"/>
          </w:tcPr>
          <w:p w:rsidR="00BB5C1E" w:rsidRDefault="00AF434F">
            <w:pPr>
              <w:jc w:val="right"/>
            </w:pPr>
            <w:r>
              <w:rPr>
                <w:rFonts w:eastAsiaTheme="minorEastAsia"/>
                <w:color w:val="000000"/>
                <w:szCs w:val="21"/>
              </w:rPr>
              <w:t>1</w:t>
            </w:r>
          </w:p>
        </w:tc>
        <w:tc>
          <w:tcPr>
            <w:tcW w:w="1800" w:type="dxa"/>
            <w:vAlign w:val="center"/>
          </w:tcPr>
          <w:p w:rsidR="00BB5C1E" w:rsidRDefault="00AF434F">
            <w:pPr>
              <w:jc w:val="right"/>
            </w:pPr>
            <w:r>
              <w:rPr>
                <w:rFonts w:eastAsiaTheme="minorEastAsia"/>
                <w:color w:val="000000"/>
                <w:szCs w:val="21"/>
              </w:rPr>
              <w:t>-</w:t>
            </w:r>
          </w:p>
        </w:tc>
        <w:tc>
          <w:tcPr>
            <w:tcW w:w="1080" w:type="dxa"/>
            <w:vAlign w:val="center"/>
          </w:tcPr>
          <w:p w:rsidR="00BB5C1E" w:rsidRDefault="00AF434F">
            <w:pPr>
              <w:jc w:val="right"/>
            </w:pPr>
            <w:r>
              <w:rPr>
                <w:rFonts w:eastAsiaTheme="minorEastAsia"/>
                <w:color w:val="000000"/>
                <w:szCs w:val="21"/>
              </w:rPr>
              <w:t>-</w:t>
            </w:r>
          </w:p>
        </w:tc>
        <w:tc>
          <w:tcPr>
            <w:tcW w:w="1620" w:type="dxa"/>
            <w:vAlign w:val="center"/>
          </w:tcPr>
          <w:p w:rsidR="00BB5C1E" w:rsidRDefault="00AF434F">
            <w:pPr>
              <w:jc w:val="right"/>
            </w:pPr>
            <w:r>
              <w:rPr>
                <w:rFonts w:eastAsiaTheme="minorEastAsia"/>
                <w:color w:val="000000"/>
                <w:szCs w:val="21"/>
              </w:rPr>
              <w:t>-</w:t>
            </w:r>
          </w:p>
        </w:tc>
        <w:tc>
          <w:tcPr>
            <w:tcW w:w="1080" w:type="dxa"/>
            <w:vAlign w:val="center"/>
          </w:tcPr>
          <w:p w:rsidR="00BB5C1E" w:rsidRDefault="00AF434F">
            <w:pPr>
              <w:jc w:val="right"/>
            </w:pPr>
            <w:r>
              <w:rPr>
                <w:rFonts w:eastAsiaTheme="minorEastAsia"/>
                <w:color w:val="000000"/>
                <w:szCs w:val="21"/>
              </w:rPr>
              <w:t>-</w:t>
            </w:r>
          </w:p>
        </w:tc>
        <w:tc>
          <w:tcPr>
            <w:tcW w:w="1080" w:type="dxa"/>
            <w:vAlign w:val="center"/>
          </w:tcPr>
          <w:p w:rsidR="00BB5C1E" w:rsidRDefault="00AF434F">
            <w:pPr>
              <w:jc w:val="left"/>
            </w:pPr>
            <w:r>
              <w:rPr>
                <w:rFonts w:eastAsiaTheme="minorEastAsia"/>
                <w:color w:val="000000"/>
                <w:szCs w:val="21"/>
              </w:rPr>
              <w:t>-</w:t>
            </w:r>
          </w:p>
        </w:tc>
      </w:tr>
    </w:tbl>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注：</w:t>
      </w:r>
      <w:r>
        <w:rPr>
          <w:rFonts w:eastAsiaTheme="minorEastAsia"/>
          <w:kern w:val="0"/>
          <w:szCs w:val="21"/>
        </w:rPr>
        <w:t>a</w:t>
      </w:r>
      <w:r>
        <w:rPr>
          <w:rFonts w:eastAsiaTheme="minorEastAsia"/>
          <w:kern w:val="0"/>
          <w:szCs w:val="21"/>
        </w:rPr>
        <w:t>）本报告期内本基金无减少交易账户，无新增交易账户。</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b</w:t>
      </w:r>
      <w:r>
        <w:rPr>
          <w:rFonts w:eastAsiaTheme="minorEastAsia"/>
          <w:kern w:val="0"/>
          <w:szCs w:val="21"/>
        </w:rPr>
        <w:t>）本基金管理人负责选择证券经营机构，并在该机构开立交易账户。基金交易账户的开立标准如下：</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）交易执行能力。主要指证券经营机构能否对投资指令进行有效地执行，以及能否取得较高质量的成交结果；</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）研究报告质量。主要指证券经营机构能否提供高质量的宏观经济研究、行业研究及市场走向、个股分析报告和专题研究报告等；</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3</w:t>
      </w:r>
      <w:r>
        <w:rPr>
          <w:rFonts w:eastAsiaTheme="minorEastAsia"/>
          <w:kern w:val="0"/>
          <w:szCs w:val="21"/>
        </w:rPr>
        <w:t>）提供研究服务的质量。主要包括协助安排上市公司调研、研究资料共享、路演服务、日常沟通交流、接受委托研究的服务质量等方面；</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4</w:t>
      </w:r>
      <w:r>
        <w:rPr>
          <w:rFonts w:eastAsiaTheme="minorEastAsia"/>
          <w:kern w:val="0"/>
          <w:szCs w:val="21"/>
        </w:rPr>
        <w:t>）法规监管资讯服务。主要包括境外投资法律规定、交易监管规则、信息披露、个人利益冲突、税收等资讯的提供与培训；</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5</w:t>
      </w:r>
      <w:r>
        <w:rPr>
          <w:rFonts w:eastAsiaTheme="minorEastAsia"/>
          <w:kern w:val="0"/>
          <w:szCs w:val="21"/>
        </w:rPr>
        <w:t>）价值贡献。主要是指证券经营机构对公司研究团队、投资团队在业务能力提升上所做的培训服务、对公司投资提升所作出的贡献；</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6</w:t>
      </w:r>
      <w:r>
        <w:rPr>
          <w:rFonts w:eastAsiaTheme="minorEastAsia"/>
          <w:kern w:val="0"/>
          <w:szCs w:val="21"/>
        </w:rPr>
        <w:t>）其他因素。主要是证券经营机构的财务状况、经营行为规范、风险管理机制、近年内有无重大违规行为等。</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c</w:t>
      </w:r>
      <w:r>
        <w:rPr>
          <w:rFonts w:eastAsiaTheme="minorEastAsia"/>
          <w:kern w:val="0"/>
          <w:szCs w:val="21"/>
        </w:rPr>
        <w:t>）基金交易账户的选择程序如下：</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）本基金管理人根据上述标准考察后确定选用交易账户的证券经营机构。</w:t>
      </w:r>
    </w:p>
    <w:p w:rsidR="008A5A5D" w:rsidRPr="00C24ACA" w:rsidRDefault="008A5A5D" w:rsidP="008134C7">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2</w:t>
      </w:r>
      <w:r w:rsidRPr="00C24ACA">
        <w:rPr>
          <w:rFonts w:eastAsiaTheme="minorEastAsia"/>
          <w:kern w:val="0"/>
          <w:szCs w:val="21"/>
        </w:rPr>
        <w:t>）基金管理人与所选定的证券经营机构办理开立交易账户事宜。</w:t>
      </w:r>
    </w:p>
    <w:p w:rsidR="008A5A5D" w:rsidRPr="00C24ACA" w:rsidRDefault="000D1F25" w:rsidP="00732F5C">
      <w:pPr>
        <w:spacing w:beforeLines="100" w:before="312" w:line="360" w:lineRule="auto"/>
        <w:rPr>
          <w:rFonts w:eastAsiaTheme="minorEastAsia"/>
          <w:b/>
          <w:szCs w:val="21"/>
        </w:rPr>
      </w:pPr>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2</w:t>
      </w:r>
      <w:r w:rsidR="008A5A5D" w:rsidRPr="00C24ACA">
        <w:rPr>
          <w:rFonts w:eastAsiaTheme="minorEastAsia"/>
          <w:b/>
          <w:szCs w:val="21"/>
        </w:rPr>
        <w:t>基金租用证券公司交易单元进行其他证券投资的情况</w:t>
      </w:r>
      <w:bookmarkEnd w:id="357"/>
    </w:p>
    <w:p w:rsidR="008A5A5D" w:rsidRPr="00C24ACA" w:rsidRDefault="008A5A5D" w:rsidP="002116B9">
      <w:pPr>
        <w:wordWrap w:val="0"/>
        <w:ind w:firstLine="420"/>
        <w:jc w:val="right"/>
        <w:rPr>
          <w:rFonts w:eastAsiaTheme="minorEastAsia"/>
          <w:color w:val="000000"/>
          <w:szCs w:val="21"/>
        </w:rPr>
      </w:pPr>
      <w:r w:rsidRPr="00C24ACA">
        <w:rPr>
          <w:rFonts w:eastAsiaTheme="minor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62C75" w:rsidRPr="00C24ACA" w:rsidTr="00762C75">
        <w:tc>
          <w:tcPr>
            <w:tcW w:w="709" w:type="dxa"/>
            <w:vMerge w:val="restart"/>
            <w:vAlign w:val="center"/>
          </w:tcPr>
          <w:p w:rsidR="00762C75" w:rsidRPr="00C24ACA" w:rsidRDefault="00762C75" w:rsidP="004A4847">
            <w:pPr>
              <w:jc w:val="center"/>
              <w:rPr>
                <w:rFonts w:eastAsiaTheme="minorEastAsia"/>
                <w:color w:val="000000"/>
                <w:kern w:val="0"/>
                <w:szCs w:val="21"/>
              </w:rPr>
            </w:pPr>
            <w:r w:rsidRPr="00C24ACA">
              <w:rPr>
                <w:rFonts w:eastAsiaTheme="minorEastAsia"/>
                <w:color w:val="000000"/>
                <w:szCs w:val="21"/>
              </w:rPr>
              <w:t>券商名称</w:t>
            </w:r>
          </w:p>
        </w:tc>
        <w:tc>
          <w:tcPr>
            <w:tcW w:w="1985"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债券交易</w:t>
            </w:r>
          </w:p>
        </w:tc>
        <w:tc>
          <w:tcPr>
            <w:tcW w:w="2023" w:type="dxa"/>
            <w:gridSpan w:val="2"/>
            <w:vAlign w:val="center"/>
          </w:tcPr>
          <w:p w:rsidR="00762C75" w:rsidRPr="00C24ACA" w:rsidRDefault="005A7B0E" w:rsidP="004A4847">
            <w:pPr>
              <w:jc w:val="center"/>
              <w:rPr>
                <w:rFonts w:eastAsiaTheme="minorEastAsia"/>
                <w:color w:val="000000"/>
                <w:szCs w:val="21"/>
              </w:rPr>
            </w:pPr>
            <w:r>
              <w:rPr>
                <w:rFonts w:eastAsiaTheme="minorEastAsia" w:hint="eastAsia"/>
                <w:color w:val="000000"/>
                <w:szCs w:val="21"/>
              </w:rPr>
              <w:t>债券</w:t>
            </w:r>
            <w:r w:rsidR="00762C75" w:rsidRPr="00C24ACA">
              <w:rPr>
                <w:rFonts w:eastAsiaTheme="minorEastAsia"/>
                <w:color w:val="000000"/>
                <w:szCs w:val="21"/>
              </w:rPr>
              <w:t>回购交易</w:t>
            </w:r>
          </w:p>
        </w:tc>
        <w:tc>
          <w:tcPr>
            <w:tcW w:w="2164"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权证交易</w:t>
            </w:r>
          </w:p>
        </w:tc>
        <w:tc>
          <w:tcPr>
            <w:tcW w:w="1962" w:type="dxa"/>
            <w:gridSpan w:val="2"/>
          </w:tcPr>
          <w:p w:rsidR="00762C75" w:rsidRPr="00C24ACA" w:rsidRDefault="00AF0AFC" w:rsidP="004A4847">
            <w:pPr>
              <w:jc w:val="center"/>
              <w:rPr>
                <w:rFonts w:eastAsiaTheme="minorEastAsia"/>
                <w:color w:val="000000"/>
                <w:szCs w:val="21"/>
              </w:rPr>
            </w:pPr>
            <w:r w:rsidRPr="00C24ACA">
              <w:rPr>
                <w:rFonts w:eastAsiaTheme="minorEastAsia"/>
                <w:color w:val="000000"/>
                <w:szCs w:val="21"/>
              </w:rPr>
              <w:t>基金交易</w:t>
            </w:r>
          </w:p>
        </w:tc>
      </w:tr>
      <w:tr w:rsidR="00762C75" w:rsidRPr="00C24ACA" w:rsidTr="00762C75">
        <w:tc>
          <w:tcPr>
            <w:tcW w:w="709" w:type="dxa"/>
            <w:vMerge/>
            <w:vAlign w:val="center"/>
          </w:tcPr>
          <w:p w:rsidR="00762C75" w:rsidRPr="00C24ACA" w:rsidRDefault="00762C75" w:rsidP="004A4847">
            <w:pPr>
              <w:widowControl/>
              <w:jc w:val="left"/>
              <w:rPr>
                <w:rFonts w:eastAsiaTheme="minorEastAsia"/>
                <w:color w:val="000000"/>
                <w:kern w:val="0"/>
                <w:szCs w:val="21"/>
              </w:rPr>
            </w:pPr>
          </w:p>
        </w:tc>
        <w:tc>
          <w:tcPr>
            <w:tcW w:w="709"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76"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占当期债券成交总额的比例</w:t>
            </w:r>
          </w:p>
        </w:tc>
        <w:tc>
          <w:tcPr>
            <w:tcW w:w="763"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6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w:t>
            </w:r>
            <w:r w:rsidR="005A7B0E">
              <w:rPr>
                <w:rFonts w:eastAsiaTheme="minorEastAsia" w:hint="eastAsia"/>
                <w:color w:val="000000"/>
                <w:szCs w:val="21"/>
              </w:rPr>
              <w:t>债券</w:t>
            </w:r>
            <w:r w:rsidRPr="00C24ACA">
              <w:rPr>
                <w:rFonts w:eastAsiaTheme="minorEastAsia"/>
                <w:color w:val="000000"/>
                <w:szCs w:val="21"/>
              </w:rPr>
              <w:t>回购成交总额的比例</w:t>
            </w:r>
          </w:p>
        </w:tc>
        <w:tc>
          <w:tcPr>
            <w:tcW w:w="724"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44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占当期权证成交总额的比例</w:t>
            </w:r>
          </w:p>
        </w:tc>
        <w:tc>
          <w:tcPr>
            <w:tcW w:w="781" w:type="dxa"/>
            <w:vAlign w:val="center"/>
          </w:tcPr>
          <w:p w:rsidR="00762C75" w:rsidRPr="00C24ACA" w:rsidRDefault="00762C75" w:rsidP="00B03EF5">
            <w:pPr>
              <w:jc w:val="center"/>
              <w:rPr>
                <w:rFonts w:eastAsiaTheme="minorEastAsia"/>
                <w:color w:val="000000"/>
                <w:szCs w:val="21"/>
              </w:rPr>
            </w:pPr>
            <w:r w:rsidRPr="00C24ACA">
              <w:rPr>
                <w:rFonts w:eastAsiaTheme="minorEastAsia"/>
                <w:color w:val="000000"/>
                <w:szCs w:val="21"/>
              </w:rPr>
              <w:t>成交金额</w:t>
            </w:r>
          </w:p>
        </w:tc>
        <w:tc>
          <w:tcPr>
            <w:tcW w:w="1181" w:type="dxa"/>
            <w:vAlign w:val="center"/>
          </w:tcPr>
          <w:p w:rsidR="00762C75" w:rsidRPr="00C24ACA" w:rsidRDefault="00762C75" w:rsidP="00511FD1">
            <w:pPr>
              <w:jc w:val="center"/>
              <w:rPr>
                <w:rFonts w:eastAsiaTheme="minorEastAsia"/>
                <w:color w:val="000000"/>
                <w:szCs w:val="21"/>
              </w:rPr>
            </w:pPr>
            <w:r w:rsidRPr="00C24ACA">
              <w:rPr>
                <w:rFonts w:eastAsiaTheme="minorEastAsia"/>
                <w:color w:val="000000"/>
                <w:szCs w:val="21"/>
              </w:rPr>
              <w:t>占当期</w:t>
            </w:r>
            <w:r w:rsidR="00511FD1" w:rsidRPr="00C24ACA">
              <w:rPr>
                <w:rFonts w:eastAsiaTheme="minorEastAsia"/>
                <w:color w:val="000000"/>
                <w:szCs w:val="21"/>
              </w:rPr>
              <w:t>基金</w:t>
            </w:r>
            <w:r w:rsidRPr="00C24ACA">
              <w:rPr>
                <w:rFonts w:eastAsiaTheme="minorEastAsia"/>
                <w:color w:val="000000"/>
                <w:szCs w:val="21"/>
              </w:rPr>
              <w:t>成交总额的比例</w:t>
            </w:r>
          </w:p>
        </w:tc>
      </w:tr>
      <w:tr w:rsidR="00BB5C1E">
        <w:tc>
          <w:tcPr>
            <w:tcW w:w="709" w:type="dxa"/>
            <w:vAlign w:val="center"/>
          </w:tcPr>
          <w:p w:rsidR="00BB5C1E" w:rsidRDefault="00AF434F">
            <w:pPr>
              <w:jc w:val="left"/>
            </w:pPr>
            <w:r>
              <w:rPr>
                <w:rFonts w:eastAsiaTheme="minorEastAsia"/>
                <w:color w:val="000000"/>
                <w:szCs w:val="21"/>
              </w:rPr>
              <w:t>China Merchants Securities (HK) Co Ltd</w:t>
            </w:r>
          </w:p>
        </w:tc>
        <w:tc>
          <w:tcPr>
            <w:tcW w:w="709" w:type="dxa"/>
            <w:vAlign w:val="center"/>
          </w:tcPr>
          <w:p w:rsidR="00BB5C1E" w:rsidRDefault="00AF434F">
            <w:pPr>
              <w:jc w:val="right"/>
            </w:pPr>
            <w:r>
              <w:rPr>
                <w:rFonts w:eastAsiaTheme="minorEastAsia"/>
                <w:color w:val="000000"/>
                <w:szCs w:val="21"/>
              </w:rPr>
              <w:t>-</w:t>
            </w:r>
          </w:p>
        </w:tc>
        <w:tc>
          <w:tcPr>
            <w:tcW w:w="1276" w:type="dxa"/>
            <w:vAlign w:val="center"/>
          </w:tcPr>
          <w:p w:rsidR="00BB5C1E" w:rsidRDefault="00AF434F">
            <w:pPr>
              <w:jc w:val="right"/>
            </w:pPr>
            <w:r>
              <w:rPr>
                <w:rFonts w:eastAsiaTheme="minorEastAsia"/>
                <w:color w:val="000000"/>
                <w:szCs w:val="21"/>
              </w:rPr>
              <w:t>-</w:t>
            </w:r>
          </w:p>
        </w:tc>
        <w:tc>
          <w:tcPr>
            <w:tcW w:w="763" w:type="dxa"/>
            <w:vAlign w:val="center"/>
          </w:tcPr>
          <w:p w:rsidR="00BB5C1E" w:rsidRDefault="00AF434F">
            <w:pPr>
              <w:jc w:val="right"/>
            </w:pPr>
            <w:r>
              <w:rPr>
                <w:rFonts w:eastAsiaTheme="minorEastAsia"/>
                <w:color w:val="000000"/>
                <w:szCs w:val="21"/>
              </w:rPr>
              <w:t>-</w:t>
            </w:r>
          </w:p>
        </w:tc>
        <w:tc>
          <w:tcPr>
            <w:tcW w:w="1260" w:type="dxa"/>
            <w:vAlign w:val="center"/>
          </w:tcPr>
          <w:p w:rsidR="00BB5C1E" w:rsidRDefault="00AF434F">
            <w:pPr>
              <w:jc w:val="right"/>
            </w:pPr>
            <w:r>
              <w:rPr>
                <w:rFonts w:eastAsiaTheme="minorEastAsia"/>
                <w:color w:val="000000"/>
                <w:szCs w:val="21"/>
              </w:rPr>
              <w:t>-</w:t>
            </w:r>
          </w:p>
        </w:tc>
        <w:tc>
          <w:tcPr>
            <w:tcW w:w="724" w:type="dxa"/>
            <w:vAlign w:val="center"/>
          </w:tcPr>
          <w:p w:rsidR="00BB5C1E" w:rsidRDefault="00AF434F">
            <w:pPr>
              <w:jc w:val="right"/>
            </w:pPr>
            <w:r>
              <w:rPr>
                <w:rFonts w:eastAsiaTheme="minorEastAsia"/>
                <w:color w:val="000000"/>
                <w:szCs w:val="21"/>
              </w:rPr>
              <w:t>-</w:t>
            </w:r>
          </w:p>
        </w:tc>
        <w:tc>
          <w:tcPr>
            <w:tcW w:w="1440" w:type="dxa"/>
            <w:vAlign w:val="center"/>
          </w:tcPr>
          <w:p w:rsidR="00BB5C1E" w:rsidRDefault="00AF434F">
            <w:pPr>
              <w:jc w:val="right"/>
            </w:pPr>
            <w:r>
              <w:rPr>
                <w:rFonts w:eastAsiaTheme="minorEastAsia"/>
                <w:color w:val="000000"/>
                <w:szCs w:val="21"/>
              </w:rPr>
              <w:t>-</w:t>
            </w:r>
          </w:p>
        </w:tc>
        <w:tc>
          <w:tcPr>
            <w:tcW w:w="781" w:type="dxa"/>
            <w:vAlign w:val="center"/>
          </w:tcPr>
          <w:p w:rsidR="00BB5C1E" w:rsidRDefault="00AF434F">
            <w:pPr>
              <w:jc w:val="right"/>
            </w:pPr>
            <w:r>
              <w:rPr>
                <w:rFonts w:eastAsiaTheme="minorEastAsia"/>
                <w:color w:val="000000"/>
                <w:szCs w:val="21"/>
              </w:rPr>
              <w:t>-</w:t>
            </w:r>
          </w:p>
        </w:tc>
        <w:tc>
          <w:tcPr>
            <w:tcW w:w="1181" w:type="dxa"/>
            <w:vAlign w:val="center"/>
          </w:tcPr>
          <w:p w:rsidR="00BB5C1E" w:rsidRDefault="00AF434F">
            <w:pPr>
              <w:jc w:val="right"/>
            </w:pPr>
            <w:r>
              <w:rPr>
                <w:rFonts w:eastAsiaTheme="minorEastAsia"/>
                <w:color w:val="000000"/>
                <w:szCs w:val="21"/>
              </w:rPr>
              <w:t>-</w:t>
            </w:r>
          </w:p>
        </w:tc>
      </w:tr>
      <w:tr w:rsidR="00BB5C1E">
        <w:tc>
          <w:tcPr>
            <w:tcW w:w="709" w:type="dxa"/>
            <w:vAlign w:val="center"/>
          </w:tcPr>
          <w:p w:rsidR="00BB5C1E" w:rsidRDefault="00AF434F">
            <w:pPr>
              <w:jc w:val="left"/>
            </w:pPr>
            <w:r>
              <w:rPr>
                <w:rFonts w:eastAsiaTheme="minorEastAsia"/>
                <w:color w:val="000000"/>
                <w:szCs w:val="21"/>
              </w:rPr>
              <w:t>Goldman Sachs</w:t>
            </w:r>
          </w:p>
        </w:tc>
        <w:tc>
          <w:tcPr>
            <w:tcW w:w="709" w:type="dxa"/>
            <w:vAlign w:val="center"/>
          </w:tcPr>
          <w:p w:rsidR="00BB5C1E" w:rsidRDefault="00AF434F">
            <w:pPr>
              <w:jc w:val="right"/>
            </w:pPr>
            <w:r>
              <w:rPr>
                <w:rFonts w:eastAsiaTheme="minorEastAsia"/>
                <w:color w:val="000000"/>
                <w:szCs w:val="21"/>
              </w:rPr>
              <w:t>-</w:t>
            </w:r>
          </w:p>
        </w:tc>
        <w:tc>
          <w:tcPr>
            <w:tcW w:w="1276" w:type="dxa"/>
            <w:vAlign w:val="center"/>
          </w:tcPr>
          <w:p w:rsidR="00BB5C1E" w:rsidRDefault="00AF434F">
            <w:pPr>
              <w:jc w:val="right"/>
            </w:pPr>
            <w:r>
              <w:rPr>
                <w:rFonts w:eastAsiaTheme="minorEastAsia"/>
                <w:color w:val="000000"/>
                <w:szCs w:val="21"/>
              </w:rPr>
              <w:t>-</w:t>
            </w:r>
          </w:p>
        </w:tc>
        <w:tc>
          <w:tcPr>
            <w:tcW w:w="763" w:type="dxa"/>
            <w:vAlign w:val="center"/>
          </w:tcPr>
          <w:p w:rsidR="00BB5C1E" w:rsidRDefault="00AF434F">
            <w:pPr>
              <w:jc w:val="right"/>
            </w:pPr>
            <w:r>
              <w:rPr>
                <w:rFonts w:eastAsiaTheme="minorEastAsia"/>
                <w:color w:val="000000"/>
                <w:szCs w:val="21"/>
              </w:rPr>
              <w:t>-</w:t>
            </w:r>
          </w:p>
        </w:tc>
        <w:tc>
          <w:tcPr>
            <w:tcW w:w="1260" w:type="dxa"/>
            <w:vAlign w:val="center"/>
          </w:tcPr>
          <w:p w:rsidR="00BB5C1E" w:rsidRDefault="00AF434F">
            <w:pPr>
              <w:jc w:val="right"/>
            </w:pPr>
            <w:r>
              <w:rPr>
                <w:rFonts w:eastAsiaTheme="minorEastAsia"/>
                <w:color w:val="000000"/>
                <w:szCs w:val="21"/>
              </w:rPr>
              <w:t>-</w:t>
            </w:r>
          </w:p>
        </w:tc>
        <w:tc>
          <w:tcPr>
            <w:tcW w:w="724" w:type="dxa"/>
            <w:vAlign w:val="center"/>
          </w:tcPr>
          <w:p w:rsidR="00BB5C1E" w:rsidRDefault="00AF434F">
            <w:pPr>
              <w:jc w:val="right"/>
            </w:pPr>
            <w:r>
              <w:rPr>
                <w:rFonts w:eastAsiaTheme="minorEastAsia"/>
                <w:color w:val="000000"/>
                <w:szCs w:val="21"/>
              </w:rPr>
              <w:t>-</w:t>
            </w:r>
          </w:p>
        </w:tc>
        <w:tc>
          <w:tcPr>
            <w:tcW w:w="1440" w:type="dxa"/>
            <w:vAlign w:val="center"/>
          </w:tcPr>
          <w:p w:rsidR="00BB5C1E" w:rsidRDefault="00AF434F">
            <w:pPr>
              <w:jc w:val="right"/>
            </w:pPr>
            <w:r>
              <w:rPr>
                <w:rFonts w:eastAsiaTheme="minorEastAsia"/>
                <w:color w:val="000000"/>
                <w:szCs w:val="21"/>
              </w:rPr>
              <w:t>-</w:t>
            </w:r>
          </w:p>
        </w:tc>
        <w:tc>
          <w:tcPr>
            <w:tcW w:w="781" w:type="dxa"/>
            <w:vAlign w:val="center"/>
          </w:tcPr>
          <w:p w:rsidR="00BB5C1E" w:rsidRDefault="00AF434F">
            <w:pPr>
              <w:jc w:val="right"/>
            </w:pPr>
            <w:r>
              <w:rPr>
                <w:rFonts w:eastAsiaTheme="minorEastAsia"/>
                <w:color w:val="000000"/>
                <w:szCs w:val="21"/>
              </w:rPr>
              <w:t>-</w:t>
            </w:r>
          </w:p>
        </w:tc>
        <w:tc>
          <w:tcPr>
            <w:tcW w:w="1181" w:type="dxa"/>
            <w:vAlign w:val="center"/>
          </w:tcPr>
          <w:p w:rsidR="00BB5C1E" w:rsidRDefault="00AF434F">
            <w:pPr>
              <w:jc w:val="right"/>
            </w:pPr>
            <w:r>
              <w:rPr>
                <w:rFonts w:eastAsiaTheme="minorEastAsia"/>
                <w:color w:val="000000"/>
                <w:szCs w:val="21"/>
              </w:rPr>
              <w:t>-</w:t>
            </w:r>
          </w:p>
        </w:tc>
      </w:tr>
      <w:tr w:rsidR="00BB5C1E">
        <w:tc>
          <w:tcPr>
            <w:tcW w:w="709" w:type="dxa"/>
            <w:vAlign w:val="center"/>
          </w:tcPr>
          <w:p w:rsidR="00BB5C1E" w:rsidRDefault="00AF434F">
            <w:pPr>
              <w:jc w:val="left"/>
            </w:pPr>
            <w:r>
              <w:rPr>
                <w:rFonts w:eastAsiaTheme="minorEastAsia"/>
                <w:color w:val="000000"/>
                <w:szCs w:val="21"/>
              </w:rPr>
              <w:t>Citigroup Global Markets Limited</w:t>
            </w:r>
          </w:p>
        </w:tc>
        <w:tc>
          <w:tcPr>
            <w:tcW w:w="709" w:type="dxa"/>
            <w:vAlign w:val="center"/>
          </w:tcPr>
          <w:p w:rsidR="00BB5C1E" w:rsidRDefault="00AF434F">
            <w:pPr>
              <w:jc w:val="right"/>
            </w:pPr>
            <w:r>
              <w:rPr>
                <w:rFonts w:eastAsiaTheme="minorEastAsia"/>
                <w:color w:val="000000"/>
                <w:szCs w:val="21"/>
              </w:rPr>
              <w:t>-</w:t>
            </w:r>
          </w:p>
        </w:tc>
        <w:tc>
          <w:tcPr>
            <w:tcW w:w="1276" w:type="dxa"/>
            <w:vAlign w:val="center"/>
          </w:tcPr>
          <w:p w:rsidR="00BB5C1E" w:rsidRDefault="00AF434F">
            <w:pPr>
              <w:jc w:val="right"/>
            </w:pPr>
            <w:r>
              <w:rPr>
                <w:rFonts w:eastAsiaTheme="minorEastAsia"/>
                <w:color w:val="000000"/>
                <w:szCs w:val="21"/>
              </w:rPr>
              <w:t>-</w:t>
            </w:r>
          </w:p>
        </w:tc>
        <w:tc>
          <w:tcPr>
            <w:tcW w:w="763" w:type="dxa"/>
            <w:vAlign w:val="center"/>
          </w:tcPr>
          <w:p w:rsidR="00BB5C1E" w:rsidRDefault="00AF434F">
            <w:pPr>
              <w:jc w:val="right"/>
            </w:pPr>
            <w:r>
              <w:rPr>
                <w:rFonts w:eastAsiaTheme="minorEastAsia"/>
                <w:color w:val="000000"/>
                <w:szCs w:val="21"/>
              </w:rPr>
              <w:t>-</w:t>
            </w:r>
          </w:p>
        </w:tc>
        <w:tc>
          <w:tcPr>
            <w:tcW w:w="1260" w:type="dxa"/>
            <w:vAlign w:val="center"/>
          </w:tcPr>
          <w:p w:rsidR="00BB5C1E" w:rsidRDefault="00AF434F">
            <w:pPr>
              <w:jc w:val="right"/>
            </w:pPr>
            <w:r>
              <w:rPr>
                <w:rFonts w:eastAsiaTheme="minorEastAsia"/>
                <w:color w:val="000000"/>
                <w:szCs w:val="21"/>
              </w:rPr>
              <w:t>-</w:t>
            </w:r>
          </w:p>
        </w:tc>
        <w:tc>
          <w:tcPr>
            <w:tcW w:w="724" w:type="dxa"/>
            <w:vAlign w:val="center"/>
          </w:tcPr>
          <w:p w:rsidR="00BB5C1E" w:rsidRDefault="00AF434F">
            <w:pPr>
              <w:jc w:val="right"/>
            </w:pPr>
            <w:r>
              <w:rPr>
                <w:rFonts w:eastAsiaTheme="minorEastAsia"/>
                <w:color w:val="000000"/>
                <w:szCs w:val="21"/>
              </w:rPr>
              <w:t>-</w:t>
            </w:r>
          </w:p>
        </w:tc>
        <w:tc>
          <w:tcPr>
            <w:tcW w:w="1440" w:type="dxa"/>
            <w:vAlign w:val="center"/>
          </w:tcPr>
          <w:p w:rsidR="00BB5C1E" w:rsidRDefault="00AF434F">
            <w:pPr>
              <w:jc w:val="right"/>
            </w:pPr>
            <w:r>
              <w:rPr>
                <w:rFonts w:eastAsiaTheme="minorEastAsia"/>
                <w:color w:val="000000"/>
                <w:szCs w:val="21"/>
              </w:rPr>
              <w:t>-</w:t>
            </w:r>
          </w:p>
        </w:tc>
        <w:tc>
          <w:tcPr>
            <w:tcW w:w="781" w:type="dxa"/>
            <w:vAlign w:val="center"/>
          </w:tcPr>
          <w:p w:rsidR="00BB5C1E" w:rsidRDefault="00AF434F">
            <w:pPr>
              <w:jc w:val="right"/>
            </w:pPr>
            <w:r>
              <w:rPr>
                <w:rFonts w:eastAsiaTheme="minorEastAsia"/>
                <w:color w:val="000000"/>
                <w:szCs w:val="21"/>
              </w:rPr>
              <w:t>-</w:t>
            </w:r>
          </w:p>
        </w:tc>
        <w:tc>
          <w:tcPr>
            <w:tcW w:w="1181" w:type="dxa"/>
            <w:vAlign w:val="center"/>
          </w:tcPr>
          <w:p w:rsidR="00BB5C1E" w:rsidRDefault="00AF434F">
            <w:pPr>
              <w:jc w:val="right"/>
            </w:pPr>
            <w:r>
              <w:rPr>
                <w:rFonts w:eastAsiaTheme="minorEastAsia"/>
                <w:color w:val="000000"/>
                <w:szCs w:val="21"/>
              </w:rPr>
              <w:t>-</w:t>
            </w:r>
          </w:p>
        </w:tc>
      </w:tr>
      <w:tr w:rsidR="00BB5C1E">
        <w:tc>
          <w:tcPr>
            <w:tcW w:w="709" w:type="dxa"/>
            <w:vAlign w:val="center"/>
          </w:tcPr>
          <w:p w:rsidR="00BB5C1E" w:rsidRDefault="00AF434F">
            <w:pPr>
              <w:jc w:val="left"/>
            </w:pPr>
            <w:r>
              <w:rPr>
                <w:rFonts w:eastAsiaTheme="minorEastAsia"/>
                <w:color w:val="000000"/>
                <w:szCs w:val="21"/>
              </w:rPr>
              <w:t>Morgan Stanley &amp; Co. International PLC</w:t>
            </w:r>
          </w:p>
        </w:tc>
        <w:tc>
          <w:tcPr>
            <w:tcW w:w="709" w:type="dxa"/>
            <w:vAlign w:val="center"/>
          </w:tcPr>
          <w:p w:rsidR="00BB5C1E" w:rsidRDefault="00AF434F">
            <w:pPr>
              <w:jc w:val="right"/>
            </w:pPr>
            <w:r>
              <w:rPr>
                <w:rFonts w:eastAsiaTheme="minorEastAsia"/>
                <w:color w:val="000000"/>
                <w:szCs w:val="21"/>
              </w:rPr>
              <w:t>-</w:t>
            </w:r>
          </w:p>
        </w:tc>
        <w:tc>
          <w:tcPr>
            <w:tcW w:w="1276" w:type="dxa"/>
            <w:vAlign w:val="center"/>
          </w:tcPr>
          <w:p w:rsidR="00BB5C1E" w:rsidRDefault="00AF434F">
            <w:pPr>
              <w:jc w:val="right"/>
            </w:pPr>
            <w:r>
              <w:rPr>
                <w:rFonts w:eastAsiaTheme="minorEastAsia"/>
                <w:color w:val="000000"/>
                <w:szCs w:val="21"/>
              </w:rPr>
              <w:t>-</w:t>
            </w:r>
          </w:p>
        </w:tc>
        <w:tc>
          <w:tcPr>
            <w:tcW w:w="763" w:type="dxa"/>
            <w:vAlign w:val="center"/>
          </w:tcPr>
          <w:p w:rsidR="00BB5C1E" w:rsidRDefault="00AF434F">
            <w:pPr>
              <w:jc w:val="right"/>
            </w:pPr>
            <w:r>
              <w:rPr>
                <w:rFonts w:eastAsiaTheme="minorEastAsia"/>
                <w:color w:val="000000"/>
                <w:szCs w:val="21"/>
              </w:rPr>
              <w:t>-</w:t>
            </w:r>
          </w:p>
        </w:tc>
        <w:tc>
          <w:tcPr>
            <w:tcW w:w="1260" w:type="dxa"/>
            <w:vAlign w:val="center"/>
          </w:tcPr>
          <w:p w:rsidR="00BB5C1E" w:rsidRDefault="00AF434F">
            <w:pPr>
              <w:jc w:val="right"/>
            </w:pPr>
            <w:r>
              <w:rPr>
                <w:rFonts w:eastAsiaTheme="minorEastAsia"/>
                <w:color w:val="000000"/>
                <w:szCs w:val="21"/>
              </w:rPr>
              <w:t>-</w:t>
            </w:r>
          </w:p>
        </w:tc>
        <w:tc>
          <w:tcPr>
            <w:tcW w:w="724" w:type="dxa"/>
            <w:vAlign w:val="center"/>
          </w:tcPr>
          <w:p w:rsidR="00BB5C1E" w:rsidRDefault="00AF434F">
            <w:pPr>
              <w:jc w:val="right"/>
            </w:pPr>
            <w:r>
              <w:rPr>
                <w:rFonts w:eastAsiaTheme="minorEastAsia"/>
                <w:color w:val="000000"/>
                <w:szCs w:val="21"/>
              </w:rPr>
              <w:t>-</w:t>
            </w:r>
          </w:p>
        </w:tc>
        <w:tc>
          <w:tcPr>
            <w:tcW w:w="1440" w:type="dxa"/>
            <w:vAlign w:val="center"/>
          </w:tcPr>
          <w:p w:rsidR="00BB5C1E" w:rsidRDefault="00AF434F">
            <w:pPr>
              <w:jc w:val="right"/>
            </w:pPr>
            <w:r>
              <w:rPr>
                <w:rFonts w:eastAsiaTheme="minorEastAsia"/>
                <w:color w:val="000000"/>
                <w:szCs w:val="21"/>
              </w:rPr>
              <w:t>-</w:t>
            </w:r>
          </w:p>
        </w:tc>
        <w:tc>
          <w:tcPr>
            <w:tcW w:w="781" w:type="dxa"/>
            <w:vAlign w:val="center"/>
          </w:tcPr>
          <w:p w:rsidR="00BB5C1E" w:rsidRDefault="00AF434F">
            <w:pPr>
              <w:jc w:val="right"/>
            </w:pPr>
            <w:r>
              <w:rPr>
                <w:rFonts w:eastAsiaTheme="minorEastAsia"/>
                <w:color w:val="000000"/>
                <w:szCs w:val="21"/>
              </w:rPr>
              <w:t>-</w:t>
            </w:r>
          </w:p>
        </w:tc>
        <w:tc>
          <w:tcPr>
            <w:tcW w:w="1181" w:type="dxa"/>
            <w:vAlign w:val="center"/>
          </w:tcPr>
          <w:p w:rsidR="00BB5C1E" w:rsidRDefault="00AF434F">
            <w:pPr>
              <w:jc w:val="right"/>
            </w:pPr>
            <w:r>
              <w:rPr>
                <w:rFonts w:eastAsiaTheme="minorEastAsia"/>
                <w:color w:val="000000"/>
                <w:szCs w:val="21"/>
              </w:rPr>
              <w:t>-</w:t>
            </w:r>
          </w:p>
        </w:tc>
      </w:tr>
      <w:tr w:rsidR="00BB5C1E">
        <w:tc>
          <w:tcPr>
            <w:tcW w:w="709" w:type="dxa"/>
            <w:vAlign w:val="center"/>
          </w:tcPr>
          <w:p w:rsidR="00BB5C1E" w:rsidRDefault="00AF434F">
            <w:pPr>
              <w:jc w:val="left"/>
            </w:pPr>
            <w:r>
              <w:rPr>
                <w:rFonts w:eastAsiaTheme="minorEastAsia"/>
                <w:color w:val="000000"/>
                <w:szCs w:val="21"/>
              </w:rPr>
              <w:t>Credit Suisse (Hong Kong) Limited</w:t>
            </w:r>
          </w:p>
        </w:tc>
        <w:tc>
          <w:tcPr>
            <w:tcW w:w="709" w:type="dxa"/>
            <w:vAlign w:val="center"/>
          </w:tcPr>
          <w:p w:rsidR="00BB5C1E" w:rsidRDefault="00AF434F">
            <w:pPr>
              <w:jc w:val="right"/>
            </w:pPr>
            <w:r>
              <w:rPr>
                <w:rFonts w:eastAsiaTheme="minorEastAsia"/>
                <w:color w:val="000000"/>
                <w:szCs w:val="21"/>
              </w:rPr>
              <w:t>-</w:t>
            </w:r>
          </w:p>
        </w:tc>
        <w:tc>
          <w:tcPr>
            <w:tcW w:w="1276" w:type="dxa"/>
            <w:vAlign w:val="center"/>
          </w:tcPr>
          <w:p w:rsidR="00BB5C1E" w:rsidRDefault="00AF434F">
            <w:pPr>
              <w:jc w:val="right"/>
            </w:pPr>
            <w:r>
              <w:rPr>
                <w:rFonts w:eastAsiaTheme="minorEastAsia"/>
                <w:color w:val="000000"/>
                <w:szCs w:val="21"/>
              </w:rPr>
              <w:t>-</w:t>
            </w:r>
          </w:p>
        </w:tc>
        <w:tc>
          <w:tcPr>
            <w:tcW w:w="763" w:type="dxa"/>
            <w:vAlign w:val="center"/>
          </w:tcPr>
          <w:p w:rsidR="00BB5C1E" w:rsidRDefault="00AF434F">
            <w:pPr>
              <w:jc w:val="right"/>
            </w:pPr>
            <w:r>
              <w:rPr>
                <w:rFonts w:eastAsiaTheme="minorEastAsia"/>
                <w:color w:val="000000"/>
                <w:szCs w:val="21"/>
              </w:rPr>
              <w:t>-</w:t>
            </w:r>
          </w:p>
        </w:tc>
        <w:tc>
          <w:tcPr>
            <w:tcW w:w="1260" w:type="dxa"/>
            <w:vAlign w:val="center"/>
          </w:tcPr>
          <w:p w:rsidR="00BB5C1E" w:rsidRDefault="00AF434F">
            <w:pPr>
              <w:jc w:val="right"/>
            </w:pPr>
            <w:r>
              <w:rPr>
                <w:rFonts w:eastAsiaTheme="minorEastAsia"/>
                <w:color w:val="000000"/>
                <w:szCs w:val="21"/>
              </w:rPr>
              <w:t>-</w:t>
            </w:r>
          </w:p>
        </w:tc>
        <w:tc>
          <w:tcPr>
            <w:tcW w:w="724" w:type="dxa"/>
            <w:vAlign w:val="center"/>
          </w:tcPr>
          <w:p w:rsidR="00BB5C1E" w:rsidRDefault="00AF434F">
            <w:pPr>
              <w:jc w:val="right"/>
            </w:pPr>
            <w:r>
              <w:rPr>
                <w:rFonts w:eastAsiaTheme="minorEastAsia"/>
                <w:color w:val="000000"/>
                <w:szCs w:val="21"/>
              </w:rPr>
              <w:t>-</w:t>
            </w:r>
          </w:p>
        </w:tc>
        <w:tc>
          <w:tcPr>
            <w:tcW w:w="1440" w:type="dxa"/>
            <w:vAlign w:val="center"/>
          </w:tcPr>
          <w:p w:rsidR="00BB5C1E" w:rsidRDefault="00AF434F">
            <w:pPr>
              <w:jc w:val="right"/>
            </w:pPr>
            <w:r>
              <w:rPr>
                <w:rFonts w:eastAsiaTheme="minorEastAsia"/>
                <w:color w:val="000000"/>
                <w:szCs w:val="21"/>
              </w:rPr>
              <w:t>-</w:t>
            </w:r>
          </w:p>
        </w:tc>
        <w:tc>
          <w:tcPr>
            <w:tcW w:w="781" w:type="dxa"/>
            <w:vAlign w:val="center"/>
          </w:tcPr>
          <w:p w:rsidR="00BB5C1E" w:rsidRDefault="00AF434F">
            <w:pPr>
              <w:jc w:val="right"/>
            </w:pPr>
            <w:r>
              <w:rPr>
                <w:rFonts w:eastAsiaTheme="minorEastAsia"/>
                <w:color w:val="000000"/>
                <w:szCs w:val="21"/>
              </w:rPr>
              <w:t>-</w:t>
            </w:r>
          </w:p>
        </w:tc>
        <w:tc>
          <w:tcPr>
            <w:tcW w:w="1181" w:type="dxa"/>
            <w:vAlign w:val="center"/>
          </w:tcPr>
          <w:p w:rsidR="00BB5C1E" w:rsidRDefault="00AF434F">
            <w:pPr>
              <w:jc w:val="right"/>
            </w:pPr>
            <w:r>
              <w:rPr>
                <w:rFonts w:eastAsiaTheme="minorEastAsia"/>
                <w:color w:val="000000"/>
                <w:szCs w:val="21"/>
              </w:rPr>
              <w:t>-</w:t>
            </w:r>
          </w:p>
        </w:tc>
      </w:tr>
      <w:tr w:rsidR="00BB5C1E">
        <w:tc>
          <w:tcPr>
            <w:tcW w:w="709" w:type="dxa"/>
            <w:vAlign w:val="center"/>
          </w:tcPr>
          <w:p w:rsidR="00BB5C1E" w:rsidRDefault="00AF434F">
            <w:pPr>
              <w:jc w:val="left"/>
            </w:pPr>
            <w:r>
              <w:rPr>
                <w:rFonts w:eastAsiaTheme="minorEastAsia"/>
                <w:color w:val="000000"/>
                <w:szCs w:val="21"/>
              </w:rPr>
              <w:t>UBS Securities Asia Limited</w:t>
            </w:r>
          </w:p>
        </w:tc>
        <w:tc>
          <w:tcPr>
            <w:tcW w:w="709" w:type="dxa"/>
            <w:vAlign w:val="center"/>
          </w:tcPr>
          <w:p w:rsidR="00BB5C1E" w:rsidRDefault="00AF434F">
            <w:pPr>
              <w:jc w:val="right"/>
            </w:pPr>
            <w:r>
              <w:rPr>
                <w:rFonts w:eastAsiaTheme="minorEastAsia"/>
                <w:color w:val="000000"/>
                <w:szCs w:val="21"/>
              </w:rPr>
              <w:t>-</w:t>
            </w:r>
          </w:p>
        </w:tc>
        <w:tc>
          <w:tcPr>
            <w:tcW w:w="1276" w:type="dxa"/>
            <w:vAlign w:val="center"/>
          </w:tcPr>
          <w:p w:rsidR="00BB5C1E" w:rsidRDefault="00AF434F">
            <w:pPr>
              <w:jc w:val="right"/>
            </w:pPr>
            <w:r>
              <w:rPr>
                <w:rFonts w:eastAsiaTheme="minorEastAsia"/>
                <w:color w:val="000000"/>
                <w:szCs w:val="21"/>
              </w:rPr>
              <w:t>-</w:t>
            </w:r>
          </w:p>
        </w:tc>
        <w:tc>
          <w:tcPr>
            <w:tcW w:w="763" w:type="dxa"/>
            <w:vAlign w:val="center"/>
          </w:tcPr>
          <w:p w:rsidR="00BB5C1E" w:rsidRDefault="00AF434F">
            <w:pPr>
              <w:jc w:val="right"/>
            </w:pPr>
            <w:r>
              <w:rPr>
                <w:rFonts w:eastAsiaTheme="minorEastAsia"/>
                <w:color w:val="000000"/>
                <w:szCs w:val="21"/>
              </w:rPr>
              <w:t>-</w:t>
            </w:r>
          </w:p>
        </w:tc>
        <w:tc>
          <w:tcPr>
            <w:tcW w:w="1260" w:type="dxa"/>
            <w:vAlign w:val="center"/>
          </w:tcPr>
          <w:p w:rsidR="00BB5C1E" w:rsidRDefault="00AF434F">
            <w:pPr>
              <w:jc w:val="right"/>
            </w:pPr>
            <w:r>
              <w:rPr>
                <w:rFonts w:eastAsiaTheme="minorEastAsia"/>
                <w:color w:val="000000"/>
                <w:szCs w:val="21"/>
              </w:rPr>
              <w:t>-</w:t>
            </w:r>
          </w:p>
        </w:tc>
        <w:tc>
          <w:tcPr>
            <w:tcW w:w="724" w:type="dxa"/>
            <w:vAlign w:val="center"/>
          </w:tcPr>
          <w:p w:rsidR="00BB5C1E" w:rsidRDefault="00AF434F">
            <w:pPr>
              <w:jc w:val="right"/>
            </w:pPr>
            <w:r>
              <w:rPr>
                <w:rFonts w:eastAsiaTheme="minorEastAsia"/>
                <w:color w:val="000000"/>
                <w:szCs w:val="21"/>
              </w:rPr>
              <w:t>-</w:t>
            </w:r>
          </w:p>
        </w:tc>
        <w:tc>
          <w:tcPr>
            <w:tcW w:w="1440" w:type="dxa"/>
            <w:vAlign w:val="center"/>
          </w:tcPr>
          <w:p w:rsidR="00BB5C1E" w:rsidRDefault="00AF434F">
            <w:pPr>
              <w:jc w:val="right"/>
            </w:pPr>
            <w:r>
              <w:rPr>
                <w:rFonts w:eastAsiaTheme="minorEastAsia"/>
                <w:color w:val="000000"/>
                <w:szCs w:val="21"/>
              </w:rPr>
              <w:t>-</w:t>
            </w:r>
          </w:p>
        </w:tc>
        <w:tc>
          <w:tcPr>
            <w:tcW w:w="781" w:type="dxa"/>
            <w:vAlign w:val="center"/>
          </w:tcPr>
          <w:p w:rsidR="00BB5C1E" w:rsidRDefault="00AF434F">
            <w:pPr>
              <w:jc w:val="right"/>
            </w:pPr>
            <w:r>
              <w:rPr>
                <w:rFonts w:eastAsiaTheme="minorEastAsia"/>
                <w:color w:val="000000"/>
                <w:szCs w:val="21"/>
              </w:rPr>
              <w:t>-</w:t>
            </w:r>
          </w:p>
        </w:tc>
        <w:tc>
          <w:tcPr>
            <w:tcW w:w="1181" w:type="dxa"/>
            <w:vAlign w:val="center"/>
          </w:tcPr>
          <w:p w:rsidR="00BB5C1E" w:rsidRDefault="00AF434F">
            <w:pPr>
              <w:jc w:val="right"/>
            </w:pPr>
            <w:r>
              <w:rPr>
                <w:rFonts w:eastAsiaTheme="minorEastAsia"/>
                <w:color w:val="000000"/>
                <w:szCs w:val="21"/>
              </w:rPr>
              <w:t>-</w:t>
            </w:r>
          </w:p>
        </w:tc>
      </w:tr>
      <w:tr w:rsidR="00BB5C1E">
        <w:tc>
          <w:tcPr>
            <w:tcW w:w="709" w:type="dxa"/>
            <w:vAlign w:val="center"/>
          </w:tcPr>
          <w:p w:rsidR="00BB5C1E" w:rsidRDefault="00AF434F">
            <w:pPr>
              <w:jc w:val="left"/>
            </w:pPr>
            <w:r>
              <w:rPr>
                <w:rFonts w:eastAsiaTheme="minorEastAsia"/>
                <w:color w:val="000000"/>
                <w:szCs w:val="21"/>
              </w:rPr>
              <w:t>CLSA Limited</w:t>
            </w:r>
          </w:p>
        </w:tc>
        <w:tc>
          <w:tcPr>
            <w:tcW w:w="709" w:type="dxa"/>
            <w:vAlign w:val="center"/>
          </w:tcPr>
          <w:p w:rsidR="00BB5C1E" w:rsidRDefault="00AF434F">
            <w:pPr>
              <w:jc w:val="right"/>
            </w:pPr>
            <w:r>
              <w:rPr>
                <w:rFonts w:eastAsiaTheme="minorEastAsia"/>
                <w:color w:val="000000"/>
                <w:szCs w:val="21"/>
              </w:rPr>
              <w:t>-</w:t>
            </w:r>
          </w:p>
        </w:tc>
        <w:tc>
          <w:tcPr>
            <w:tcW w:w="1276" w:type="dxa"/>
            <w:vAlign w:val="center"/>
          </w:tcPr>
          <w:p w:rsidR="00BB5C1E" w:rsidRDefault="00AF434F">
            <w:pPr>
              <w:jc w:val="right"/>
            </w:pPr>
            <w:r>
              <w:rPr>
                <w:rFonts w:eastAsiaTheme="minorEastAsia"/>
                <w:color w:val="000000"/>
                <w:szCs w:val="21"/>
              </w:rPr>
              <w:t>-</w:t>
            </w:r>
          </w:p>
        </w:tc>
        <w:tc>
          <w:tcPr>
            <w:tcW w:w="763" w:type="dxa"/>
            <w:vAlign w:val="center"/>
          </w:tcPr>
          <w:p w:rsidR="00BB5C1E" w:rsidRDefault="00AF434F">
            <w:pPr>
              <w:jc w:val="right"/>
            </w:pPr>
            <w:r>
              <w:rPr>
                <w:rFonts w:eastAsiaTheme="minorEastAsia"/>
                <w:color w:val="000000"/>
                <w:szCs w:val="21"/>
              </w:rPr>
              <w:t>-</w:t>
            </w:r>
          </w:p>
        </w:tc>
        <w:tc>
          <w:tcPr>
            <w:tcW w:w="1260" w:type="dxa"/>
            <w:vAlign w:val="center"/>
          </w:tcPr>
          <w:p w:rsidR="00BB5C1E" w:rsidRDefault="00AF434F">
            <w:pPr>
              <w:jc w:val="right"/>
            </w:pPr>
            <w:r>
              <w:rPr>
                <w:rFonts w:eastAsiaTheme="minorEastAsia"/>
                <w:color w:val="000000"/>
                <w:szCs w:val="21"/>
              </w:rPr>
              <w:t>-</w:t>
            </w:r>
          </w:p>
        </w:tc>
        <w:tc>
          <w:tcPr>
            <w:tcW w:w="724" w:type="dxa"/>
            <w:vAlign w:val="center"/>
          </w:tcPr>
          <w:p w:rsidR="00BB5C1E" w:rsidRDefault="00AF434F">
            <w:pPr>
              <w:jc w:val="right"/>
            </w:pPr>
            <w:r>
              <w:rPr>
                <w:rFonts w:eastAsiaTheme="minorEastAsia"/>
                <w:color w:val="000000"/>
                <w:szCs w:val="21"/>
              </w:rPr>
              <w:t>-</w:t>
            </w:r>
          </w:p>
        </w:tc>
        <w:tc>
          <w:tcPr>
            <w:tcW w:w="1440" w:type="dxa"/>
            <w:vAlign w:val="center"/>
          </w:tcPr>
          <w:p w:rsidR="00BB5C1E" w:rsidRDefault="00AF434F">
            <w:pPr>
              <w:jc w:val="right"/>
            </w:pPr>
            <w:r>
              <w:rPr>
                <w:rFonts w:eastAsiaTheme="minorEastAsia"/>
                <w:color w:val="000000"/>
                <w:szCs w:val="21"/>
              </w:rPr>
              <w:t>-</w:t>
            </w:r>
          </w:p>
        </w:tc>
        <w:tc>
          <w:tcPr>
            <w:tcW w:w="781" w:type="dxa"/>
            <w:vAlign w:val="center"/>
          </w:tcPr>
          <w:p w:rsidR="00BB5C1E" w:rsidRDefault="00AF434F">
            <w:pPr>
              <w:jc w:val="right"/>
            </w:pPr>
            <w:r>
              <w:rPr>
                <w:rFonts w:eastAsiaTheme="minorEastAsia"/>
                <w:color w:val="000000"/>
                <w:szCs w:val="21"/>
              </w:rPr>
              <w:t>-</w:t>
            </w:r>
          </w:p>
        </w:tc>
        <w:tc>
          <w:tcPr>
            <w:tcW w:w="1181" w:type="dxa"/>
            <w:vAlign w:val="center"/>
          </w:tcPr>
          <w:p w:rsidR="00BB5C1E" w:rsidRDefault="00AF434F">
            <w:pPr>
              <w:jc w:val="right"/>
            </w:pPr>
            <w:r>
              <w:rPr>
                <w:rFonts w:eastAsiaTheme="minorEastAsia"/>
                <w:color w:val="000000"/>
                <w:szCs w:val="21"/>
              </w:rPr>
              <w:t>-</w:t>
            </w:r>
          </w:p>
        </w:tc>
      </w:tr>
      <w:tr w:rsidR="00BB5C1E">
        <w:tc>
          <w:tcPr>
            <w:tcW w:w="709" w:type="dxa"/>
            <w:vAlign w:val="center"/>
          </w:tcPr>
          <w:p w:rsidR="00BB5C1E" w:rsidRDefault="00AF434F">
            <w:pPr>
              <w:jc w:val="left"/>
            </w:pPr>
            <w:r>
              <w:rPr>
                <w:rFonts w:eastAsiaTheme="minorEastAsia"/>
                <w:color w:val="000000"/>
                <w:szCs w:val="21"/>
              </w:rPr>
              <w:t>BOCOM International Securities Limited</w:t>
            </w:r>
          </w:p>
        </w:tc>
        <w:tc>
          <w:tcPr>
            <w:tcW w:w="709" w:type="dxa"/>
            <w:vAlign w:val="center"/>
          </w:tcPr>
          <w:p w:rsidR="00BB5C1E" w:rsidRDefault="00AF434F">
            <w:pPr>
              <w:jc w:val="right"/>
            </w:pPr>
            <w:r>
              <w:rPr>
                <w:rFonts w:eastAsiaTheme="minorEastAsia"/>
                <w:color w:val="000000"/>
                <w:szCs w:val="21"/>
              </w:rPr>
              <w:t>-</w:t>
            </w:r>
          </w:p>
        </w:tc>
        <w:tc>
          <w:tcPr>
            <w:tcW w:w="1276" w:type="dxa"/>
            <w:vAlign w:val="center"/>
          </w:tcPr>
          <w:p w:rsidR="00BB5C1E" w:rsidRDefault="00AF434F">
            <w:pPr>
              <w:jc w:val="right"/>
            </w:pPr>
            <w:r>
              <w:rPr>
                <w:rFonts w:eastAsiaTheme="minorEastAsia"/>
                <w:color w:val="000000"/>
                <w:szCs w:val="21"/>
              </w:rPr>
              <w:t>-</w:t>
            </w:r>
          </w:p>
        </w:tc>
        <w:tc>
          <w:tcPr>
            <w:tcW w:w="763" w:type="dxa"/>
            <w:vAlign w:val="center"/>
          </w:tcPr>
          <w:p w:rsidR="00BB5C1E" w:rsidRDefault="00AF434F">
            <w:pPr>
              <w:jc w:val="right"/>
            </w:pPr>
            <w:r>
              <w:rPr>
                <w:rFonts w:eastAsiaTheme="minorEastAsia"/>
                <w:color w:val="000000"/>
                <w:szCs w:val="21"/>
              </w:rPr>
              <w:t>-</w:t>
            </w:r>
          </w:p>
        </w:tc>
        <w:tc>
          <w:tcPr>
            <w:tcW w:w="1260" w:type="dxa"/>
            <w:vAlign w:val="center"/>
          </w:tcPr>
          <w:p w:rsidR="00BB5C1E" w:rsidRDefault="00AF434F">
            <w:pPr>
              <w:jc w:val="right"/>
            </w:pPr>
            <w:r>
              <w:rPr>
                <w:rFonts w:eastAsiaTheme="minorEastAsia"/>
                <w:color w:val="000000"/>
                <w:szCs w:val="21"/>
              </w:rPr>
              <w:t>-</w:t>
            </w:r>
          </w:p>
        </w:tc>
        <w:tc>
          <w:tcPr>
            <w:tcW w:w="724" w:type="dxa"/>
            <w:vAlign w:val="center"/>
          </w:tcPr>
          <w:p w:rsidR="00BB5C1E" w:rsidRDefault="00AF434F">
            <w:pPr>
              <w:jc w:val="right"/>
            </w:pPr>
            <w:r>
              <w:rPr>
                <w:rFonts w:eastAsiaTheme="minorEastAsia"/>
                <w:color w:val="000000"/>
                <w:szCs w:val="21"/>
              </w:rPr>
              <w:t>-</w:t>
            </w:r>
          </w:p>
        </w:tc>
        <w:tc>
          <w:tcPr>
            <w:tcW w:w="1440" w:type="dxa"/>
            <w:vAlign w:val="center"/>
          </w:tcPr>
          <w:p w:rsidR="00BB5C1E" w:rsidRDefault="00AF434F">
            <w:pPr>
              <w:jc w:val="right"/>
            </w:pPr>
            <w:r>
              <w:rPr>
                <w:rFonts w:eastAsiaTheme="minorEastAsia"/>
                <w:color w:val="000000"/>
                <w:szCs w:val="21"/>
              </w:rPr>
              <w:t>-</w:t>
            </w:r>
          </w:p>
        </w:tc>
        <w:tc>
          <w:tcPr>
            <w:tcW w:w="781" w:type="dxa"/>
            <w:vAlign w:val="center"/>
          </w:tcPr>
          <w:p w:rsidR="00BB5C1E" w:rsidRDefault="00AF434F">
            <w:pPr>
              <w:jc w:val="right"/>
            </w:pPr>
            <w:r>
              <w:rPr>
                <w:rFonts w:eastAsiaTheme="minorEastAsia"/>
                <w:color w:val="000000"/>
                <w:szCs w:val="21"/>
              </w:rPr>
              <w:t>-</w:t>
            </w:r>
          </w:p>
        </w:tc>
        <w:tc>
          <w:tcPr>
            <w:tcW w:w="1181" w:type="dxa"/>
            <w:vAlign w:val="center"/>
          </w:tcPr>
          <w:p w:rsidR="00BB5C1E" w:rsidRDefault="00AF434F">
            <w:pPr>
              <w:jc w:val="right"/>
            </w:pPr>
            <w:r>
              <w:rPr>
                <w:rFonts w:eastAsiaTheme="minorEastAsia"/>
                <w:color w:val="000000"/>
                <w:szCs w:val="21"/>
              </w:rPr>
              <w:t>-</w:t>
            </w:r>
          </w:p>
        </w:tc>
      </w:tr>
    </w:tbl>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58" w:name="_Toc352256018"/>
      <w:bookmarkStart w:id="359" w:name="_Toc352256086"/>
      <w:bookmarkStart w:id="360" w:name="_Toc352331264"/>
      <w:bookmarkStart w:id="361" w:name="_Toc390164848"/>
      <w:bookmarkStart w:id="362" w:name="_Toc48662951"/>
      <w:r w:rsidRPr="0087359D">
        <w:rPr>
          <w:rFonts w:ascii="宋体" w:hAnsi="宋体"/>
          <w:kern w:val="0"/>
          <w:sz w:val="21"/>
          <w:szCs w:val="21"/>
        </w:rPr>
        <w:t>10.8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其他重大事件</w:t>
      </w:r>
      <w:bookmarkEnd w:id="358"/>
      <w:bookmarkEnd w:id="359"/>
      <w:bookmarkEnd w:id="360"/>
      <w:bookmarkEnd w:id="361"/>
      <w:bookmarkEnd w:id="36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8A5A5D" w:rsidRPr="00C24ACA" w:rsidTr="004A4847">
        <w:tc>
          <w:tcPr>
            <w:tcW w:w="7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序号</w:t>
            </w:r>
          </w:p>
        </w:tc>
        <w:tc>
          <w:tcPr>
            <w:tcW w:w="43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公告事项</w:t>
            </w:r>
          </w:p>
        </w:tc>
        <w:tc>
          <w:tcPr>
            <w:tcW w:w="25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法定披露方式</w:t>
            </w:r>
          </w:p>
        </w:tc>
        <w:tc>
          <w:tcPr>
            <w:tcW w:w="144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法定披露日期</w:t>
            </w:r>
          </w:p>
        </w:tc>
      </w:tr>
      <w:tr w:rsidR="00BB5C1E">
        <w:tc>
          <w:tcPr>
            <w:tcW w:w="720" w:type="dxa"/>
            <w:vAlign w:val="center"/>
          </w:tcPr>
          <w:p w:rsidR="00BB5C1E" w:rsidRDefault="00AF434F">
            <w:pPr>
              <w:jc w:val="center"/>
            </w:pPr>
            <w:r>
              <w:rPr>
                <w:rFonts w:eastAsiaTheme="minorEastAsia"/>
                <w:color w:val="000000"/>
                <w:szCs w:val="21"/>
              </w:rPr>
              <w:t>1</w:t>
            </w:r>
          </w:p>
        </w:tc>
        <w:tc>
          <w:tcPr>
            <w:tcW w:w="4320" w:type="dxa"/>
            <w:vAlign w:val="center"/>
          </w:tcPr>
          <w:p w:rsidR="00BB5C1E" w:rsidRDefault="00AF434F">
            <w:pPr>
              <w:jc w:val="left"/>
            </w:pPr>
            <w:r>
              <w:rPr>
                <w:rFonts w:eastAsiaTheme="minorEastAsia"/>
                <w:color w:val="000000"/>
                <w:szCs w:val="21"/>
              </w:rPr>
              <w:t>易方达基金管理有限公司旗下部分开放式基金参加中国农业银行费率优惠活动的公告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2020-01-06</w:t>
            </w:r>
          </w:p>
        </w:tc>
      </w:tr>
      <w:tr w:rsidR="00BB5C1E">
        <w:tc>
          <w:tcPr>
            <w:tcW w:w="720" w:type="dxa"/>
            <w:vAlign w:val="center"/>
          </w:tcPr>
          <w:p w:rsidR="00BB5C1E" w:rsidRDefault="00AF434F">
            <w:pPr>
              <w:jc w:val="center"/>
            </w:pPr>
            <w:r>
              <w:rPr>
                <w:rFonts w:eastAsiaTheme="minorEastAsia"/>
                <w:color w:val="000000"/>
                <w:szCs w:val="21"/>
              </w:rPr>
              <w:t>2</w:t>
            </w:r>
          </w:p>
        </w:tc>
        <w:tc>
          <w:tcPr>
            <w:tcW w:w="4320" w:type="dxa"/>
            <w:vAlign w:val="center"/>
          </w:tcPr>
          <w:p w:rsidR="00BB5C1E" w:rsidRDefault="00AF434F">
            <w:pPr>
              <w:jc w:val="left"/>
            </w:pPr>
            <w:r>
              <w:rPr>
                <w:rFonts w:eastAsiaTheme="minorEastAsia"/>
                <w:color w:val="000000"/>
                <w:szCs w:val="21"/>
              </w:rPr>
              <w:t>易方达标普全球高端消费品指数增强型证券投资基金</w:t>
            </w:r>
            <w:r>
              <w:rPr>
                <w:rFonts w:eastAsiaTheme="minorEastAsia"/>
                <w:color w:val="000000"/>
                <w:szCs w:val="21"/>
              </w:rPr>
              <w:t>2020</w:t>
            </w:r>
            <w:r>
              <w:rPr>
                <w:rFonts w:eastAsiaTheme="minorEastAsia"/>
                <w:color w:val="000000"/>
                <w:szCs w:val="21"/>
              </w:rPr>
              <w:t>年</w:t>
            </w:r>
            <w:r>
              <w:rPr>
                <w:rFonts w:eastAsiaTheme="minorEastAsia"/>
                <w:color w:val="000000"/>
                <w:szCs w:val="21"/>
              </w:rPr>
              <w:t>1</w:t>
            </w:r>
            <w:r>
              <w:rPr>
                <w:rFonts w:eastAsiaTheme="minorEastAsia"/>
                <w:color w:val="000000"/>
                <w:szCs w:val="21"/>
              </w:rPr>
              <w:t>月</w:t>
            </w:r>
            <w:r>
              <w:rPr>
                <w:rFonts w:eastAsiaTheme="minorEastAsia"/>
                <w:color w:val="000000"/>
                <w:szCs w:val="21"/>
              </w:rPr>
              <w:t>20</w:t>
            </w:r>
            <w:r>
              <w:rPr>
                <w:rFonts w:eastAsiaTheme="minorEastAsia"/>
                <w:color w:val="000000"/>
                <w:szCs w:val="21"/>
              </w:rPr>
              <w:t>日暂停申购、赎回、定期定额投资业务的公告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2020-01-15</w:t>
            </w:r>
          </w:p>
        </w:tc>
      </w:tr>
      <w:tr w:rsidR="00BB5C1E">
        <w:tc>
          <w:tcPr>
            <w:tcW w:w="720" w:type="dxa"/>
            <w:vAlign w:val="center"/>
          </w:tcPr>
          <w:p w:rsidR="00BB5C1E" w:rsidRDefault="00AF434F">
            <w:pPr>
              <w:jc w:val="center"/>
            </w:pPr>
            <w:r>
              <w:rPr>
                <w:rFonts w:eastAsiaTheme="minorEastAsia"/>
                <w:color w:val="000000"/>
                <w:szCs w:val="21"/>
              </w:rPr>
              <w:t>3</w:t>
            </w:r>
          </w:p>
        </w:tc>
        <w:tc>
          <w:tcPr>
            <w:tcW w:w="4320" w:type="dxa"/>
            <w:vAlign w:val="center"/>
          </w:tcPr>
          <w:p w:rsidR="00BB5C1E" w:rsidRDefault="00AF434F">
            <w:pPr>
              <w:jc w:val="left"/>
            </w:pPr>
            <w:r>
              <w:rPr>
                <w:rFonts w:eastAsiaTheme="minorEastAsia"/>
                <w:color w:val="000000"/>
                <w:szCs w:val="21"/>
              </w:rPr>
              <w:t>易方达基金管理有限公司旗下基金</w:t>
            </w:r>
            <w:r>
              <w:rPr>
                <w:rFonts w:eastAsiaTheme="minorEastAsia"/>
                <w:color w:val="000000"/>
                <w:szCs w:val="21"/>
              </w:rPr>
              <w:t>2019</w:t>
            </w:r>
            <w:r>
              <w:rPr>
                <w:rFonts w:eastAsiaTheme="minorEastAsia"/>
                <w:color w:val="000000"/>
                <w:szCs w:val="21"/>
              </w:rPr>
              <w:t>年第</w:t>
            </w:r>
            <w:r>
              <w:rPr>
                <w:rFonts w:eastAsiaTheme="minorEastAsia"/>
                <w:color w:val="000000"/>
                <w:szCs w:val="21"/>
              </w:rPr>
              <w:t>4</w:t>
            </w:r>
            <w:r>
              <w:rPr>
                <w:rFonts w:eastAsiaTheme="minorEastAsia"/>
                <w:color w:val="000000"/>
                <w:szCs w:val="21"/>
              </w:rPr>
              <w:t>季度报告提示性公告</w:t>
            </w:r>
          </w:p>
        </w:tc>
        <w:tc>
          <w:tcPr>
            <w:tcW w:w="2520" w:type="dxa"/>
            <w:vAlign w:val="center"/>
          </w:tcPr>
          <w:p w:rsidR="00BB5C1E" w:rsidRDefault="00AF434F">
            <w:pPr>
              <w:jc w:val="left"/>
            </w:pPr>
            <w:r>
              <w:rPr>
                <w:rFonts w:eastAsiaTheme="minorEastAsia"/>
                <w:color w:val="000000"/>
                <w:szCs w:val="21"/>
              </w:rPr>
              <w:t>证券日报</w:t>
            </w:r>
          </w:p>
        </w:tc>
        <w:tc>
          <w:tcPr>
            <w:tcW w:w="1440" w:type="dxa"/>
            <w:vAlign w:val="center"/>
          </w:tcPr>
          <w:p w:rsidR="00BB5C1E" w:rsidRDefault="00AF434F">
            <w:pPr>
              <w:jc w:val="center"/>
            </w:pPr>
            <w:r>
              <w:rPr>
                <w:rFonts w:eastAsiaTheme="minorEastAsia"/>
                <w:color w:val="000000"/>
                <w:szCs w:val="21"/>
              </w:rPr>
              <w:t>2020-01-18</w:t>
            </w:r>
          </w:p>
        </w:tc>
      </w:tr>
      <w:tr w:rsidR="00BB5C1E">
        <w:tc>
          <w:tcPr>
            <w:tcW w:w="720" w:type="dxa"/>
            <w:vAlign w:val="center"/>
          </w:tcPr>
          <w:p w:rsidR="00BB5C1E" w:rsidRDefault="00AF434F">
            <w:pPr>
              <w:jc w:val="center"/>
            </w:pPr>
            <w:r>
              <w:rPr>
                <w:rFonts w:eastAsiaTheme="minorEastAsia"/>
                <w:color w:val="000000"/>
                <w:szCs w:val="21"/>
              </w:rPr>
              <w:t>4</w:t>
            </w:r>
          </w:p>
        </w:tc>
        <w:tc>
          <w:tcPr>
            <w:tcW w:w="4320" w:type="dxa"/>
            <w:vAlign w:val="center"/>
          </w:tcPr>
          <w:p w:rsidR="00BB5C1E" w:rsidRDefault="00AF434F">
            <w:pPr>
              <w:jc w:val="left"/>
            </w:pPr>
            <w:r>
              <w:rPr>
                <w:rFonts w:eastAsiaTheme="minorEastAsia"/>
                <w:color w:val="000000"/>
                <w:szCs w:val="21"/>
              </w:rPr>
              <w:t>易方达基金管理有限公司旗下部分开放式基金参加泉州银行费率优惠活动的公告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2020-01-23</w:t>
            </w:r>
          </w:p>
        </w:tc>
      </w:tr>
      <w:tr w:rsidR="00BB5C1E">
        <w:tc>
          <w:tcPr>
            <w:tcW w:w="720" w:type="dxa"/>
            <w:vAlign w:val="center"/>
          </w:tcPr>
          <w:p w:rsidR="00BB5C1E" w:rsidRDefault="00AF434F">
            <w:pPr>
              <w:jc w:val="center"/>
            </w:pPr>
            <w:r>
              <w:rPr>
                <w:rFonts w:eastAsiaTheme="minorEastAsia"/>
                <w:color w:val="000000"/>
                <w:szCs w:val="21"/>
              </w:rPr>
              <w:t>5</w:t>
            </w:r>
          </w:p>
        </w:tc>
        <w:tc>
          <w:tcPr>
            <w:tcW w:w="4320" w:type="dxa"/>
            <w:vAlign w:val="center"/>
          </w:tcPr>
          <w:p w:rsidR="00BB5C1E" w:rsidRDefault="00AF434F">
            <w:pPr>
              <w:jc w:val="left"/>
            </w:pPr>
            <w:r>
              <w:rPr>
                <w:rFonts w:eastAsiaTheme="minorEastAsia"/>
                <w:color w:val="000000"/>
                <w:szCs w:val="21"/>
              </w:rPr>
              <w:t>易方达基金管理有限公司关于旗下基金</w:t>
            </w:r>
            <w:r>
              <w:rPr>
                <w:rFonts w:eastAsiaTheme="minorEastAsia"/>
                <w:color w:val="000000"/>
                <w:szCs w:val="21"/>
              </w:rPr>
              <w:t>2020</w:t>
            </w:r>
            <w:r>
              <w:rPr>
                <w:rFonts w:eastAsiaTheme="minorEastAsia"/>
                <w:color w:val="000000"/>
                <w:szCs w:val="21"/>
              </w:rPr>
              <w:t>年</w:t>
            </w:r>
            <w:r>
              <w:rPr>
                <w:rFonts w:eastAsiaTheme="minorEastAsia"/>
                <w:color w:val="000000"/>
                <w:szCs w:val="21"/>
              </w:rPr>
              <w:t>1</w:t>
            </w:r>
            <w:r>
              <w:rPr>
                <w:rFonts w:eastAsiaTheme="minorEastAsia"/>
                <w:color w:val="000000"/>
                <w:szCs w:val="21"/>
              </w:rPr>
              <w:t>月</w:t>
            </w:r>
            <w:r>
              <w:rPr>
                <w:rFonts w:eastAsiaTheme="minorEastAsia"/>
                <w:color w:val="000000"/>
                <w:szCs w:val="21"/>
              </w:rPr>
              <w:t>31</w:t>
            </w:r>
            <w:r>
              <w:rPr>
                <w:rFonts w:eastAsiaTheme="minorEastAsia"/>
                <w:color w:val="000000"/>
                <w:szCs w:val="21"/>
              </w:rPr>
              <w:t>日不开放申购、赎回、转换、定期定额投资等业务的提示性公告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2020-01-30</w:t>
            </w:r>
          </w:p>
        </w:tc>
      </w:tr>
      <w:tr w:rsidR="00BB5C1E">
        <w:tc>
          <w:tcPr>
            <w:tcW w:w="720" w:type="dxa"/>
            <w:vAlign w:val="center"/>
          </w:tcPr>
          <w:p w:rsidR="00BB5C1E" w:rsidRDefault="00AF434F">
            <w:pPr>
              <w:jc w:val="center"/>
            </w:pPr>
            <w:r>
              <w:rPr>
                <w:rFonts w:eastAsiaTheme="minorEastAsia"/>
                <w:color w:val="000000"/>
                <w:szCs w:val="21"/>
              </w:rPr>
              <w:t>6</w:t>
            </w:r>
          </w:p>
        </w:tc>
        <w:tc>
          <w:tcPr>
            <w:tcW w:w="4320" w:type="dxa"/>
            <w:vAlign w:val="center"/>
          </w:tcPr>
          <w:p w:rsidR="00BB5C1E" w:rsidRDefault="00AF434F">
            <w:pPr>
              <w:jc w:val="left"/>
            </w:pPr>
            <w:r>
              <w:rPr>
                <w:rFonts w:eastAsiaTheme="minorEastAsia"/>
                <w:color w:val="000000"/>
                <w:szCs w:val="21"/>
              </w:rPr>
              <w:t>易方达基金管理有限公司及全资子公司投资旗下基金相关事宜的公告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2020-02-04</w:t>
            </w:r>
          </w:p>
        </w:tc>
      </w:tr>
      <w:tr w:rsidR="00BB5C1E">
        <w:tc>
          <w:tcPr>
            <w:tcW w:w="720" w:type="dxa"/>
            <w:vAlign w:val="center"/>
          </w:tcPr>
          <w:p w:rsidR="00BB5C1E" w:rsidRDefault="00AF434F">
            <w:pPr>
              <w:jc w:val="center"/>
            </w:pPr>
            <w:r>
              <w:rPr>
                <w:rFonts w:eastAsiaTheme="minorEastAsia"/>
                <w:color w:val="000000"/>
                <w:szCs w:val="21"/>
              </w:rPr>
              <w:t>7</w:t>
            </w:r>
          </w:p>
        </w:tc>
        <w:tc>
          <w:tcPr>
            <w:tcW w:w="4320" w:type="dxa"/>
            <w:vAlign w:val="center"/>
          </w:tcPr>
          <w:p w:rsidR="00BB5C1E" w:rsidRDefault="00AF434F">
            <w:pPr>
              <w:jc w:val="left"/>
            </w:pPr>
            <w:r>
              <w:rPr>
                <w:rFonts w:eastAsiaTheme="minorEastAsia"/>
                <w:color w:val="000000"/>
                <w:szCs w:val="21"/>
              </w:rPr>
              <w:t>易方达标普全球高端消费品指数增强型证券投资基金</w:t>
            </w:r>
            <w:r>
              <w:rPr>
                <w:rFonts w:eastAsiaTheme="minorEastAsia"/>
                <w:color w:val="000000"/>
                <w:szCs w:val="21"/>
              </w:rPr>
              <w:t>2020</w:t>
            </w:r>
            <w:r>
              <w:rPr>
                <w:rFonts w:eastAsiaTheme="minorEastAsia"/>
                <w:color w:val="000000"/>
                <w:szCs w:val="21"/>
              </w:rPr>
              <w:t>年</w:t>
            </w:r>
            <w:r>
              <w:rPr>
                <w:rFonts w:eastAsiaTheme="minorEastAsia"/>
                <w:color w:val="000000"/>
                <w:szCs w:val="21"/>
              </w:rPr>
              <w:t>2</w:t>
            </w:r>
            <w:r>
              <w:rPr>
                <w:rFonts w:eastAsiaTheme="minorEastAsia"/>
                <w:color w:val="000000"/>
                <w:szCs w:val="21"/>
              </w:rPr>
              <w:t>月</w:t>
            </w:r>
            <w:r>
              <w:rPr>
                <w:rFonts w:eastAsiaTheme="minorEastAsia"/>
                <w:color w:val="000000"/>
                <w:szCs w:val="21"/>
              </w:rPr>
              <w:t>17</w:t>
            </w:r>
            <w:r>
              <w:rPr>
                <w:rFonts w:eastAsiaTheme="minorEastAsia"/>
                <w:color w:val="000000"/>
                <w:szCs w:val="21"/>
              </w:rPr>
              <w:t>日暂停申购、赎回、定期定额投资业务的公告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2020-02-12</w:t>
            </w:r>
          </w:p>
        </w:tc>
      </w:tr>
      <w:tr w:rsidR="00BB5C1E">
        <w:tc>
          <w:tcPr>
            <w:tcW w:w="720" w:type="dxa"/>
            <w:vAlign w:val="center"/>
          </w:tcPr>
          <w:p w:rsidR="00BB5C1E" w:rsidRDefault="00AF434F">
            <w:pPr>
              <w:jc w:val="center"/>
            </w:pPr>
            <w:r>
              <w:rPr>
                <w:rFonts w:eastAsiaTheme="minorEastAsia"/>
                <w:color w:val="000000"/>
                <w:szCs w:val="21"/>
              </w:rPr>
              <w:t>8</w:t>
            </w:r>
          </w:p>
        </w:tc>
        <w:tc>
          <w:tcPr>
            <w:tcW w:w="4320" w:type="dxa"/>
            <w:vAlign w:val="center"/>
          </w:tcPr>
          <w:p w:rsidR="00BB5C1E" w:rsidRDefault="00AF434F">
            <w:pPr>
              <w:jc w:val="left"/>
            </w:pPr>
            <w:r>
              <w:rPr>
                <w:rFonts w:eastAsiaTheme="minorEastAsia"/>
                <w:color w:val="000000"/>
                <w:szCs w:val="21"/>
              </w:rPr>
              <w:t>易方达基金管理有限公司旗下部分开放式基金增加好买基金为销售机构的公告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2020-03-02</w:t>
            </w:r>
          </w:p>
        </w:tc>
      </w:tr>
      <w:tr w:rsidR="00BB5C1E">
        <w:tc>
          <w:tcPr>
            <w:tcW w:w="720" w:type="dxa"/>
            <w:vAlign w:val="center"/>
          </w:tcPr>
          <w:p w:rsidR="00BB5C1E" w:rsidRDefault="00AF434F">
            <w:pPr>
              <w:jc w:val="center"/>
            </w:pPr>
            <w:r>
              <w:rPr>
                <w:rFonts w:eastAsiaTheme="minorEastAsia"/>
                <w:color w:val="000000"/>
                <w:szCs w:val="21"/>
              </w:rPr>
              <w:t>9</w:t>
            </w:r>
          </w:p>
        </w:tc>
        <w:tc>
          <w:tcPr>
            <w:tcW w:w="4320" w:type="dxa"/>
            <w:vAlign w:val="center"/>
          </w:tcPr>
          <w:p w:rsidR="00BB5C1E" w:rsidRDefault="00AF434F">
            <w:pPr>
              <w:jc w:val="left"/>
            </w:pPr>
            <w:r>
              <w:rPr>
                <w:rFonts w:eastAsiaTheme="minorEastAsia"/>
                <w:color w:val="000000"/>
                <w:szCs w:val="21"/>
              </w:rPr>
              <w:t>易方达基金管理有限公司旗下部分开放式基金参加中金公司费率优惠活动的公告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2020-03-05</w:t>
            </w:r>
          </w:p>
        </w:tc>
      </w:tr>
      <w:tr w:rsidR="00BB5C1E">
        <w:tc>
          <w:tcPr>
            <w:tcW w:w="720" w:type="dxa"/>
            <w:vAlign w:val="center"/>
          </w:tcPr>
          <w:p w:rsidR="00BB5C1E" w:rsidRDefault="00AF434F">
            <w:pPr>
              <w:jc w:val="center"/>
            </w:pPr>
            <w:r>
              <w:rPr>
                <w:rFonts w:eastAsiaTheme="minorEastAsia"/>
                <w:color w:val="000000"/>
                <w:szCs w:val="21"/>
              </w:rPr>
              <w:t>10</w:t>
            </w:r>
          </w:p>
        </w:tc>
        <w:tc>
          <w:tcPr>
            <w:tcW w:w="4320" w:type="dxa"/>
            <w:vAlign w:val="center"/>
          </w:tcPr>
          <w:p w:rsidR="00BB5C1E" w:rsidRDefault="00AF434F">
            <w:pPr>
              <w:jc w:val="left"/>
            </w:pPr>
            <w:r>
              <w:rPr>
                <w:rFonts w:eastAsiaTheme="minorEastAsia"/>
                <w:color w:val="000000"/>
                <w:szCs w:val="21"/>
              </w:rPr>
              <w:t>易方达标普全球高端消费品指数增强型证券投资基金暂停大额申购业务的公告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2020-03-10</w:t>
            </w:r>
          </w:p>
        </w:tc>
      </w:tr>
      <w:tr w:rsidR="00BB5C1E">
        <w:tc>
          <w:tcPr>
            <w:tcW w:w="720" w:type="dxa"/>
            <w:vAlign w:val="center"/>
          </w:tcPr>
          <w:p w:rsidR="00BB5C1E" w:rsidRDefault="00AF434F">
            <w:pPr>
              <w:jc w:val="center"/>
            </w:pPr>
            <w:r>
              <w:rPr>
                <w:rFonts w:eastAsiaTheme="minorEastAsia"/>
                <w:color w:val="000000"/>
                <w:szCs w:val="21"/>
              </w:rPr>
              <w:t>11</w:t>
            </w:r>
          </w:p>
        </w:tc>
        <w:tc>
          <w:tcPr>
            <w:tcW w:w="4320" w:type="dxa"/>
            <w:vAlign w:val="center"/>
          </w:tcPr>
          <w:p w:rsidR="00BB5C1E" w:rsidRDefault="00AF434F">
            <w:pPr>
              <w:jc w:val="left"/>
            </w:pPr>
            <w:r>
              <w:rPr>
                <w:rFonts w:eastAsiaTheme="minorEastAsia"/>
                <w:color w:val="000000"/>
                <w:szCs w:val="21"/>
              </w:rPr>
              <w:t>易方达基金管理有限公司旗下部分开放式基金参加百度百盈费率优惠活动的公告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2020-03-10</w:t>
            </w:r>
          </w:p>
        </w:tc>
      </w:tr>
      <w:tr w:rsidR="00BB5C1E">
        <w:tc>
          <w:tcPr>
            <w:tcW w:w="720" w:type="dxa"/>
            <w:vAlign w:val="center"/>
          </w:tcPr>
          <w:p w:rsidR="00BB5C1E" w:rsidRDefault="00AF434F">
            <w:pPr>
              <w:jc w:val="center"/>
            </w:pPr>
            <w:r>
              <w:rPr>
                <w:rFonts w:eastAsiaTheme="minorEastAsia"/>
                <w:color w:val="000000"/>
                <w:szCs w:val="21"/>
              </w:rPr>
              <w:t>12</w:t>
            </w:r>
          </w:p>
        </w:tc>
        <w:tc>
          <w:tcPr>
            <w:tcW w:w="4320" w:type="dxa"/>
            <w:vAlign w:val="center"/>
          </w:tcPr>
          <w:p w:rsidR="00BB5C1E" w:rsidRDefault="00AF434F">
            <w:pPr>
              <w:jc w:val="left"/>
            </w:pPr>
            <w:r>
              <w:rPr>
                <w:rFonts w:eastAsiaTheme="minorEastAsia"/>
                <w:color w:val="000000"/>
                <w:szCs w:val="21"/>
              </w:rPr>
              <w:t>易方达标普全球高端消费品指数增强型证券投资基金暂停申购及定期定额投资业务的公告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2020-03-11</w:t>
            </w:r>
          </w:p>
        </w:tc>
      </w:tr>
      <w:tr w:rsidR="00BB5C1E">
        <w:tc>
          <w:tcPr>
            <w:tcW w:w="720" w:type="dxa"/>
            <w:vAlign w:val="center"/>
          </w:tcPr>
          <w:p w:rsidR="00BB5C1E" w:rsidRDefault="00AF434F">
            <w:pPr>
              <w:jc w:val="center"/>
            </w:pPr>
            <w:r>
              <w:rPr>
                <w:rFonts w:eastAsiaTheme="minorEastAsia"/>
                <w:color w:val="000000"/>
                <w:szCs w:val="21"/>
              </w:rPr>
              <w:t>13</w:t>
            </w:r>
          </w:p>
        </w:tc>
        <w:tc>
          <w:tcPr>
            <w:tcW w:w="4320" w:type="dxa"/>
            <w:vAlign w:val="center"/>
          </w:tcPr>
          <w:p w:rsidR="00BB5C1E" w:rsidRDefault="00AF434F">
            <w:pPr>
              <w:jc w:val="left"/>
            </w:pPr>
            <w:r>
              <w:rPr>
                <w:rFonts w:eastAsiaTheme="minorEastAsia"/>
                <w:color w:val="000000"/>
                <w:szCs w:val="21"/>
              </w:rPr>
              <w:t>易方达基金管理有限公司关于旗下部分开放式基金参加腾安基金费率优惠活动的公告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2020-03-17</w:t>
            </w:r>
          </w:p>
        </w:tc>
      </w:tr>
      <w:tr w:rsidR="00BB5C1E">
        <w:tc>
          <w:tcPr>
            <w:tcW w:w="720" w:type="dxa"/>
            <w:vAlign w:val="center"/>
          </w:tcPr>
          <w:p w:rsidR="00BB5C1E" w:rsidRDefault="00AF434F">
            <w:pPr>
              <w:jc w:val="center"/>
            </w:pPr>
            <w:r>
              <w:rPr>
                <w:rFonts w:eastAsiaTheme="minorEastAsia"/>
                <w:color w:val="000000"/>
                <w:szCs w:val="21"/>
              </w:rPr>
              <w:t>14</w:t>
            </w:r>
          </w:p>
        </w:tc>
        <w:tc>
          <w:tcPr>
            <w:tcW w:w="4320" w:type="dxa"/>
            <w:vAlign w:val="center"/>
          </w:tcPr>
          <w:p w:rsidR="00BB5C1E" w:rsidRDefault="00AF434F">
            <w:pPr>
              <w:jc w:val="left"/>
            </w:pPr>
            <w:r>
              <w:rPr>
                <w:rFonts w:eastAsiaTheme="minorEastAsia"/>
                <w:color w:val="000000"/>
                <w:szCs w:val="21"/>
              </w:rPr>
              <w:t>易方达标普全球高端消费品指数增强型证券投资基金恢复申购、定期定额投资业务并暂停大额申购业务的公告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2020-03-19</w:t>
            </w:r>
          </w:p>
        </w:tc>
      </w:tr>
      <w:tr w:rsidR="00BB5C1E">
        <w:tc>
          <w:tcPr>
            <w:tcW w:w="720" w:type="dxa"/>
            <w:vAlign w:val="center"/>
          </w:tcPr>
          <w:p w:rsidR="00BB5C1E" w:rsidRDefault="00AF434F">
            <w:pPr>
              <w:jc w:val="center"/>
            </w:pPr>
            <w:r>
              <w:rPr>
                <w:rFonts w:eastAsiaTheme="minorEastAsia"/>
                <w:color w:val="000000"/>
                <w:szCs w:val="21"/>
              </w:rPr>
              <w:t>15</w:t>
            </w:r>
          </w:p>
        </w:tc>
        <w:tc>
          <w:tcPr>
            <w:tcW w:w="4320" w:type="dxa"/>
            <w:vAlign w:val="center"/>
          </w:tcPr>
          <w:p w:rsidR="00BB5C1E" w:rsidRDefault="00AF434F">
            <w:pPr>
              <w:jc w:val="left"/>
            </w:pPr>
            <w:r>
              <w:rPr>
                <w:rFonts w:eastAsiaTheme="minorEastAsia"/>
                <w:color w:val="000000"/>
                <w:szCs w:val="21"/>
              </w:rPr>
              <w:t>易方达标普全球高端消费品指数增强型证券投资基金基金经理变更公告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2020-03-20</w:t>
            </w:r>
          </w:p>
        </w:tc>
      </w:tr>
      <w:tr w:rsidR="00BB5C1E">
        <w:tc>
          <w:tcPr>
            <w:tcW w:w="720" w:type="dxa"/>
            <w:vAlign w:val="center"/>
          </w:tcPr>
          <w:p w:rsidR="00BB5C1E" w:rsidRDefault="00AF434F">
            <w:pPr>
              <w:jc w:val="center"/>
            </w:pPr>
            <w:r>
              <w:rPr>
                <w:rFonts w:eastAsiaTheme="minorEastAsia"/>
                <w:color w:val="000000"/>
                <w:szCs w:val="21"/>
              </w:rPr>
              <w:t>16</w:t>
            </w:r>
          </w:p>
        </w:tc>
        <w:tc>
          <w:tcPr>
            <w:tcW w:w="4320" w:type="dxa"/>
            <w:vAlign w:val="center"/>
          </w:tcPr>
          <w:p w:rsidR="00BB5C1E" w:rsidRDefault="00AF434F">
            <w:pPr>
              <w:jc w:val="left"/>
            </w:pPr>
            <w:r>
              <w:rPr>
                <w:rFonts w:eastAsiaTheme="minorEastAsia"/>
                <w:color w:val="000000"/>
                <w:szCs w:val="21"/>
              </w:rPr>
              <w:t>易方达基金管理有限公司旗下部分开放式基金增加华瑞保险销售为销售机构、参加华瑞保险销售费率优惠活动的公告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2020-03-23</w:t>
            </w:r>
          </w:p>
        </w:tc>
      </w:tr>
      <w:tr w:rsidR="00BB5C1E">
        <w:tc>
          <w:tcPr>
            <w:tcW w:w="720" w:type="dxa"/>
            <w:vAlign w:val="center"/>
          </w:tcPr>
          <w:p w:rsidR="00BB5C1E" w:rsidRDefault="00AF434F">
            <w:pPr>
              <w:jc w:val="center"/>
            </w:pPr>
            <w:r>
              <w:rPr>
                <w:rFonts w:eastAsiaTheme="minorEastAsia"/>
                <w:color w:val="000000"/>
                <w:szCs w:val="21"/>
              </w:rPr>
              <w:t>17</w:t>
            </w:r>
          </w:p>
        </w:tc>
        <w:tc>
          <w:tcPr>
            <w:tcW w:w="4320" w:type="dxa"/>
            <w:vAlign w:val="center"/>
          </w:tcPr>
          <w:p w:rsidR="00BB5C1E" w:rsidRDefault="00AF434F">
            <w:pPr>
              <w:jc w:val="left"/>
            </w:pPr>
            <w:r>
              <w:rPr>
                <w:rFonts w:eastAsiaTheme="minorEastAsia"/>
                <w:color w:val="000000"/>
                <w:szCs w:val="21"/>
              </w:rPr>
              <w:t>易方达基金管理有限公司旗下部分开放式基金增加浙商证券为销售机构、参加浙商证券费率优惠活动的公告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2020-03-24</w:t>
            </w:r>
          </w:p>
        </w:tc>
      </w:tr>
      <w:tr w:rsidR="00BB5C1E">
        <w:tc>
          <w:tcPr>
            <w:tcW w:w="720" w:type="dxa"/>
            <w:vAlign w:val="center"/>
          </w:tcPr>
          <w:p w:rsidR="00BB5C1E" w:rsidRDefault="00AF434F">
            <w:pPr>
              <w:jc w:val="center"/>
            </w:pPr>
            <w:r>
              <w:rPr>
                <w:rFonts w:eastAsiaTheme="minorEastAsia"/>
                <w:color w:val="000000"/>
                <w:szCs w:val="21"/>
              </w:rPr>
              <w:t>18</w:t>
            </w:r>
          </w:p>
        </w:tc>
        <w:tc>
          <w:tcPr>
            <w:tcW w:w="4320" w:type="dxa"/>
            <w:vAlign w:val="center"/>
          </w:tcPr>
          <w:p w:rsidR="00BB5C1E" w:rsidRDefault="00AF434F">
            <w:pPr>
              <w:jc w:val="left"/>
            </w:pPr>
            <w:r>
              <w:rPr>
                <w:rFonts w:eastAsiaTheme="minorEastAsia"/>
                <w:color w:val="000000"/>
                <w:szCs w:val="21"/>
              </w:rPr>
              <w:t>易方达基金管理有限公司旗下基金</w:t>
            </w:r>
            <w:r>
              <w:rPr>
                <w:rFonts w:eastAsiaTheme="minorEastAsia"/>
                <w:color w:val="000000"/>
                <w:szCs w:val="21"/>
              </w:rPr>
              <w:t>2019</w:t>
            </w:r>
            <w:r>
              <w:rPr>
                <w:rFonts w:eastAsiaTheme="minorEastAsia"/>
                <w:color w:val="000000"/>
                <w:szCs w:val="21"/>
              </w:rPr>
              <w:t>年年度报告提示性公告</w:t>
            </w:r>
          </w:p>
        </w:tc>
        <w:tc>
          <w:tcPr>
            <w:tcW w:w="2520" w:type="dxa"/>
            <w:vAlign w:val="center"/>
          </w:tcPr>
          <w:p w:rsidR="00BB5C1E" w:rsidRDefault="00AF434F">
            <w:pPr>
              <w:jc w:val="left"/>
            </w:pPr>
            <w:r>
              <w:rPr>
                <w:rFonts w:eastAsiaTheme="minorEastAsia"/>
                <w:color w:val="000000"/>
                <w:szCs w:val="21"/>
              </w:rPr>
              <w:t>证券日报</w:t>
            </w:r>
          </w:p>
        </w:tc>
        <w:tc>
          <w:tcPr>
            <w:tcW w:w="1440" w:type="dxa"/>
            <w:vAlign w:val="center"/>
          </w:tcPr>
          <w:p w:rsidR="00BB5C1E" w:rsidRDefault="00AF434F">
            <w:pPr>
              <w:jc w:val="center"/>
            </w:pPr>
            <w:r>
              <w:rPr>
                <w:rFonts w:eastAsiaTheme="minorEastAsia"/>
                <w:color w:val="000000"/>
                <w:szCs w:val="21"/>
              </w:rPr>
              <w:t>2020-03-31</w:t>
            </w:r>
          </w:p>
        </w:tc>
      </w:tr>
      <w:tr w:rsidR="00BB5C1E">
        <w:tc>
          <w:tcPr>
            <w:tcW w:w="720" w:type="dxa"/>
            <w:vAlign w:val="center"/>
          </w:tcPr>
          <w:p w:rsidR="00BB5C1E" w:rsidRDefault="00AF434F">
            <w:pPr>
              <w:jc w:val="center"/>
            </w:pPr>
            <w:r>
              <w:rPr>
                <w:rFonts w:eastAsiaTheme="minorEastAsia"/>
                <w:color w:val="000000"/>
                <w:szCs w:val="21"/>
              </w:rPr>
              <w:t>19</w:t>
            </w:r>
          </w:p>
        </w:tc>
        <w:tc>
          <w:tcPr>
            <w:tcW w:w="4320" w:type="dxa"/>
            <w:vAlign w:val="center"/>
          </w:tcPr>
          <w:p w:rsidR="00BB5C1E" w:rsidRDefault="00AF434F">
            <w:pPr>
              <w:jc w:val="left"/>
            </w:pPr>
            <w:r>
              <w:rPr>
                <w:rFonts w:eastAsiaTheme="minorEastAsia"/>
                <w:color w:val="000000"/>
                <w:szCs w:val="21"/>
              </w:rPr>
              <w:t>易方达标普全球高端消费品指数增强型证券投资基金</w:t>
            </w:r>
            <w:r>
              <w:rPr>
                <w:rFonts w:eastAsiaTheme="minorEastAsia"/>
                <w:color w:val="000000"/>
                <w:szCs w:val="21"/>
              </w:rPr>
              <w:t>2020</w:t>
            </w:r>
            <w:r>
              <w:rPr>
                <w:rFonts w:eastAsiaTheme="minorEastAsia"/>
                <w:color w:val="000000"/>
                <w:szCs w:val="21"/>
              </w:rPr>
              <w:t>年</w:t>
            </w:r>
            <w:r>
              <w:rPr>
                <w:rFonts w:eastAsiaTheme="minorEastAsia"/>
                <w:color w:val="000000"/>
                <w:szCs w:val="21"/>
              </w:rPr>
              <w:t>4</w:t>
            </w:r>
            <w:r>
              <w:rPr>
                <w:rFonts w:eastAsiaTheme="minorEastAsia"/>
                <w:color w:val="000000"/>
                <w:szCs w:val="21"/>
              </w:rPr>
              <w:t>月</w:t>
            </w:r>
            <w:r>
              <w:rPr>
                <w:rFonts w:eastAsiaTheme="minorEastAsia"/>
                <w:color w:val="000000"/>
                <w:szCs w:val="21"/>
              </w:rPr>
              <w:t>10</w:t>
            </w:r>
            <w:r>
              <w:rPr>
                <w:rFonts w:eastAsiaTheme="minorEastAsia"/>
                <w:color w:val="000000"/>
                <w:szCs w:val="21"/>
              </w:rPr>
              <w:t>日、</w:t>
            </w:r>
            <w:r>
              <w:rPr>
                <w:rFonts w:eastAsiaTheme="minorEastAsia"/>
                <w:color w:val="000000"/>
                <w:szCs w:val="21"/>
              </w:rPr>
              <w:t>4</w:t>
            </w:r>
            <w:r>
              <w:rPr>
                <w:rFonts w:eastAsiaTheme="minorEastAsia"/>
                <w:color w:val="000000"/>
                <w:szCs w:val="21"/>
              </w:rPr>
              <w:t>月</w:t>
            </w:r>
            <w:r>
              <w:rPr>
                <w:rFonts w:eastAsiaTheme="minorEastAsia"/>
                <w:color w:val="000000"/>
                <w:szCs w:val="21"/>
              </w:rPr>
              <w:t>13</w:t>
            </w:r>
            <w:r>
              <w:rPr>
                <w:rFonts w:eastAsiaTheme="minorEastAsia"/>
                <w:color w:val="000000"/>
                <w:szCs w:val="21"/>
              </w:rPr>
              <w:t>日暂停申购、赎回及定期定额投资业务的公告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2020-04-07</w:t>
            </w:r>
          </w:p>
        </w:tc>
      </w:tr>
      <w:tr w:rsidR="00BB5C1E">
        <w:tc>
          <w:tcPr>
            <w:tcW w:w="720" w:type="dxa"/>
            <w:vAlign w:val="center"/>
          </w:tcPr>
          <w:p w:rsidR="00BB5C1E" w:rsidRDefault="00AF434F">
            <w:pPr>
              <w:jc w:val="center"/>
            </w:pPr>
            <w:r>
              <w:rPr>
                <w:rFonts w:eastAsiaTheme="minorEastAsia"/>
                <w:color w:val="000000"/>
                <w:szCs w:val="21"/>
              </w:rPr>
              <w:t>20</w:t>
            </w:r>
          </w:p>
        </w:tc>
        <w:tc>
          <w:tcPr>
            <w:tcW w:w="4320" w:type="dxa"/>
            <w:vAlign w:val="center"/>
          </w:tcPr>
          <w:p w:rsidR="00BB5C1E" w:rsidRDefault="00AF434F">
            <w:pPr>
              <w:jc w:val="left"/>
            </w:pPr>
            <w:r>
              <w:rPr>
                <w:rFonts w:eastAsiaTheme="minorEastAsia"/>
                <w:color w:val="000000"/>
                <w:szCs w:val="21"/>
              </w:rPr>
              <w:t>易方达基金管理有限公司关于提醒投资者及时提供或更新身份信息资料的公告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2020-04-10</w:t>
            </w:r>
          </w:p>
        </w:tc>
      </w:tr>
      <w:tr w:rsidR="00BB5C1E">
        <w:tc>
          <w:tcPr>
            <w:tcW w:w="720" w:type="dxa"/>
            <w:vAlign w:val="center"/>
          </w:tcPr>
          <w:p w:rsidR="00BB5C1E" w:rsidRDefault="00AF434F">
            <w:pPr>
              <w:jc w:val="center"/>
            </w:pPr>
            <w:r>
              <w:rPr>
                <w:rFonts w:eastAsiaTheme="minorEastAsia"/>
                <w:color w:val="000000"/>
                <w:szCs w:val="21"/>
              </w:rPr>
              <w:t>21</w:t>
            </w:r>
          </w:p>
        </w:tc>
        <w:tc>
          <w:tcPr>
            <w:tcW w:w="4320" w:type="dxa"/>
            <w:vAlign w:val="center"/>
          </w:tcPr>
          <w:p w:rsidR="00BB5C1E" w:rsidRDefault="00AF434F">
            <w:pPr>
              <w:jc w:val="left"/>
            </w:pPr>
            <w:r>
              <w:rPr>
                <w:rFonts w:eastAsiaTheme="minorEastAsia"/>
                <w:color w:val="000000"/>
                <w:szCs w:val="21"/>
              </w:rPr>
              <w:t>易方达基金管理有限公司旗下部分开放式基金参加诺亚正行费率优惠活动的公告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2020-04-17</w:t>
            </w:r>
          </w:p>
        </w:tc>
      </w:tr>
      <w:tr w:rsidR="00BB5C1E">
        <w:tc>
          <w:tcPr>
            <w:tcW w:w="720" w:type="dxa"/>
            <w:vAlign w:val="center"/>
          </w:tcPr>
          <w:p w:rsidR="00BB5C1E" w:rsidRDefault="00AF434F">
            <w:pPr>
              <w:jc w:val="center"/>
            </w:pPr>
            <w:r>
              <w:rPr>
                <w:rFonts w:eastAsiaTheme="minorEastAsia"/>
                <w:color w:val="000000"/>
                <w:szCs w:val="21"/>
              </w:rPr>
              <w:t>22</w:t>
            </w:r>
          </w:p>
        </w:tc>
        <w:tc>
          <w:tcPr>
            <w:tcW w:w="4320" w:type="dxa"/>
            <w:vAlign w:val="center"/>
          </w:tcPr>
          <w:p w:rsidR="00BB5C1E" w:rsidRDefault="00AF434F">
            <w:pPr>
              <w:jc w:val="left"/>
            </w:pPr>
            <w:r>
              <w:rPr>
                <w:rFonts w:eastAsiaTheme="minorEastAsia"/>
                <w:color w:val="000000"/>
                <w:szCs w:val="21"/>
              </w:rPr>
              <w:t>易方达基金管理有限公司旗下部分开放式基金参加中国国际期货费率优惠活动的公告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2020-04-17</w:t>
            </w:r>
          </w:p>
        </w:tc>
      </w:tr>
      <w:tr w:rsidR="00BB5C1E">
        <w:tc>
          <w:tcPr>
            <w:tcW w:w="720" w:type="dxa"/>
            <w:vAlign w:val="center"/>
          </w:tcPr>
          <w:p w:rsidR="00BB5C1E" w:rsidRDefault="00AF434F">
            <w:pPr>
              <w:jc w:val="center"/>
            </w:pPr>
            <w:r>
              <w:rPr>
                <w:rFonts w:eastAsiaTheme="minorEastAsia"/>
                <w:color w:val="000000"/>
                <w:szCs w:val="21"/>
              </w:rPr>
              <w:t>23</w:t>
            </w:r>
          </w:p>
        </w:tc>
        <w:tc>
          <w:tcPr>
            <w:tcW w:w="4320" w:type="dxa"/>
            <w:vAlign w:val="center"/>
          </w:tcPr>
          <w:p w:rsidR="00BB5C1E" w:rsidRDefault="00AF434F">
            <w:pPr>
              <w:jc w:val="left"/>
            </w:pPr>
            <w:r>
              <w:rPr>
                <w:rFonts w:eastAsiaTheme="minorEastAsia"/>
                <w:color w:val="000000"/>
                <w:szCs w:val="21"/>
              </w:rPr>
              <w:t>易方达基金管理有限公司旗下基金</w:t>
            </w:r>
            <w:r>
              <w:rPr>
                <w:rFonts w:eastAsiaTheme="minorEastAsia"/>
                <w:color w:val="000000"/>
                <w:szCs w:val="21"/>
              </w:rPr>
              <w:t>2020</w:t>
            </w:r>
            <w:r>
              <w:rPr>
                <w:rFonts w:eastAsiaTheme="minorEastAsia"/>
                <w:color w:val="000000"/>
                <w:szCs w:val="21"/>
              </w:rPr>
              <w:t>年第</w:t>
            </w:r>
            <w:r>
              <w:rPr>
                <w:rFonts w:eastAsiaTheme="minorEastAsia"/>
                <w:color w:val="000000"/>
                <w:szCs w:val="21"/>
              </w:rPr>
              <w:t>1</w:t>
            </w:r>
            <w:r>
              <w:rPr>
                <w:rFonts w:eastAsiaTheme="minorEastAsia"/>
                <w:color w:val="000000"/>
                <w:szCs w:val="21"/>
              </w:rPr>
              <w:t>季度报告提示性公告</w:t>
            </w:r>
          </w:p>
        </w:tc>
        <w:tc>
          <w:tcPr>
            <w:tcW w:w="2520" w:type="dxa"/>
            <w:vAlign w:val="center"/>
          </w:tcPr>
          <w:p w:rsidR="00BB5C1E" w:rsidRDefault="00AF434F">
            <w:pPr>
              <w:jc w:val="left"/>
            </w:pPr>
            <w:r>
              <w:rPr>
                <w:rFonts w:eastAsiaTheme="minorEastAsia"/>
                <w:color w:val="000000"/>
                <w:szCs w:val="21"/>
              </w:rPr>
              <w:t>证券日报</w:t>
            </w:r>
          </w:p>
        </w:tc>
        <w:tc>
          <w:tcPr>
            <w:tcW w:w="1440" w:type="dxa"/>
            <w:vAlign w:val="center"/>
          </w:tcPr>
          <w:p w:rsidR="00BB5C1E" w:rsidRDefault="00AF434F">
            <w:pPr>
              <w:jc w:val="center"/>
            </w:pPr>
            <w:r>
              <w:rPr>
                <w:rFonts w:eastAsiaTheme="minorEastAsia"/>
                <w:color w:val="000000"/>
                <w:szCs w:val="21"/>
              </w:rPr>
              <w:t>2020-04-21</w:t>
            </w:r>
          </w:p>
        </w:tc>
      </w:tr>
      <w:tr w:rsidR="00BB5C1E">
        <w:tc>
          <w:tcPr>
            <w:tcW w:w="720" w:type="dxa"/>
            <w:vAlign w:val="center"/>
          </w:tcPr>
          <w:p w:rsidR="00BB5C1E" w:rsidRDefault="00AF434F">
            <w:pPr>
              <w:jc w:val="center"/>
            </w:pPr>
            <w:r>
              <w:rPr>
                <w:rFonts w:eastAsiaTheme="minorEastAsia"/>
                <w:color w:val="000000"/>
                <w:szCs w:val="21"/>
              </w:rPr>
              <w:t>24</w:t>
            </w:r>
          </w:p>
        </w:tc>
        <w:tc>
          <w:tcPr>
            <w:tcW w:w="4320" w:type="dxa"/>
            <w:vAlign w:val="center"/>
          </w:tcPr>
          <w:p w:rsidR="00BB5C1E" w:rsidRDefault="00AF434F">
            <w:pPr>
              <w:jc w:val="left"/>
            </w:pPr>
            <w:r>
              <w:rPr>
                <w:rFonts w:eastAsiaTheme="minorEastAsia"/>
                <w:color w:val="000000"/>
                <w:szCs w:val="21"/>
              </w:rPr>
              <w:t>易方达基金管理有限公司旗下部分开放式基金参加国联证券费率优惠活动的公告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2020-04-22</w:t>
            </w:r>
          </w:p>
        </w:tc>
      </w:tr>
      <w:tr w:rsidR="00BB5C1E">
        <w:tc>
          <w:tcPr>
            <w:tcW w:w="720" w:type="dxa"/>
            <w:vAlign w:val="center"/>
          </w:tcPr>
          <w:p w:rsidR="00BB5C1E" w:rsidRDefault="00AF434F">
            <w:pPr>
              <w:jc w:val="center"/>
            </w:pPr>
            <w:r>
              <w:rPr>
                <w:rFonts w:eastAsiaTheme="minorEastAsia"/>
                <w:color w:val="000000"/>
                <w:szCs w:val="21"/>
              </w:rPr>
              <w:t>25</w:t>
            </w:r>
          </w:p>
        </w:tc>
        <w:tc>
          <w:tcPr>
            <w:tcW w:w="4320" w:type="dxa"/>
            <w:vAlign w:val="center"/>
          </w:tcPr>
          <w:p w:rsidR="00BB5C1E" w:rsidRDefault="00AF434F">
            <w:pPr>
              <w:jc w:val="left"/>
            </w:pPr>
            <w:r>
              <w:rPr>
                <w:rFonts w:eastAsiaTheme="minorEastAsia"/>
                <w:color w:val="000000"/>
                <w:szCs w:val="21"/>
              </w:rPr>
              <w:t>易方达标普全球高端消费品指数增强型证券投资基金</w:t>
            </w:r>
            <w:r>
              <w:rPr>
                <w:rFonts w:eastAsiaTheme="minorEastAsia"/>
                <w:color w:val="000000"/>
                <w:szCs w:val="21"/>
              </w:rPr>
              <w:t>2020</w:t>
            </w:r>
            <w:r>
              <w:rPr>
                <w:rFonts w:eastAsiaTheme="minorEastAsia"/>
                <w:color w:val="000000"/>
                <w:szCs w:val="21"/>
              </w:rPr>
              <w:t>年</w:t>
            </w:r>
            <w:r>
              <w:rPr>
                <w:rFonts w:eastAsiaTheme="minorEastAsia"/>
                <w:color w:val="000000"/>
                <w:szCs w:val="21"/>
              </w:rPr>
              <w:t>4</w:t>
            </w:r>
            <w:r>
              <w:rPr>
                <w:rFonts w:eastAsiaTheme="minorEastAsia"/>
                <w:color w:val="000000"/>
                <w:szCs w:val="21"/>
              </w:rPr>
              <w:t>月</w:t>
            </w:r>
            <w:r>
              <w:rPr>
                <w:rFonts w:eastAsiaTheme="minorEastAsia"/>
                <w:color w:val="000000"/>
                <w:szCs w:val="21"/>
              </w:rPr>
              <w:t>30</w:t>
            </w:r>
            <w:r>
              <w:rPr>
                <w:rFonts w:eastAsiaTheme="minorEastAsia"/>
                <w:color w:val="000000"/>
                <w:szCs w:val="21"/>
              </w:rPr>
              <w:t>日暂停申购、赎回及定期定额投资业务的公告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2020-04-27</w:t>
            </w:r>
          </w:p>
        </w:tc>
      </w:tr>
      <w:tr w:rsidR="00BB5C1E">
        <w:tc>
          <w:tcPr>
            <w:tcW w:w="720" w:type="dxa"/>
            <w:vAlign w:val="center"/>
          </w:tcPr>
          <w:p w:rsidR="00BB5C1E" w:rsidRDefault="00AF434F">
            <w:pPr>
              <w:jc w:val="center"/>
            </w:pPr>
            <w:r>
              <w:rPr>
                <w:rFonts w:eastAsiaTheme="minorEastAsia"/>
                <w:color w:val="000000"/>
                <w:szCs w:val="21"/>
              </w:rPr>
              <w:t>26</w:t>
            </w:r>
          </w:p>
        </w:tc>
        <w:tc>
          <w:tcPr>
            <w:tcW w:w="4320" w:type="dxa"/>
            <w:vAlign w:val="center"/>
          </w:tcPr>
          <w:p w:rsidR="00BB5C1E" w:rsidRDefault="00AF434F">
            <w:pPr>
              <w:jc w:val="left"/>
            </w:pPr>
            <w:r>
              <w:rPr>
                <w:rFonts w:eastAsiaTheme="minorEastAsia"/>
                <w:color w:val="000000"/>
                <w:szCs w:val="21"/>
              </w:rPr>
              <w:t>易方达标普全球高端消费品指数增强型证券投资基金</w:t>
            </w:r>
            <w:r>
              <w:rPr>
                <w:rFonts w:eastAsiaTheme="minorEastAsia"/>
                <w:color w:val="000000"/>
                <w:szCs w:val="21"/>
              </w:rPr>
              <w:t>2020</w:t>
            </w:r>
            <w:r>
              <w:rPr>
                <w:rFonts w:eastAsiaTheme="minorEastAsia"/>
                <w:color w:val="000000"/>
                <w:szCs w:val="21"/>
              </w:rPr>
              <w:t>年</w:t>
            </w:r>
            <w:r>
              <w:rPr>
                <w:rFonts w:eastAsiaTheme="minorEastAsia"/>
                <w:color w:val="000000"/>
                <w:szCs w:val="21"/>
              </w:rPr>
              <w:t>5</w:t>
            </w:r>
            <w:r>
              <w:rPr>
                <w:rFonts w:eastAsiaTheme="minorEastAsia"/>
                <w:color w:val="000000"/>
                <w:szCs w:val="21"/>
              </w:rPr>
              <w:t>月</w:t>
            </w:r>
            <w:r>
              <w:rPr>
                <w:rFonts w:eastAsiaTheme="minorEastAsia"/>
                <w:color w:val="000000"/>
                <w:szCs w:val="21"/>
              </w:rPr>
              <w:t>8</w:t>
            </w:r>
            <w:r>
              <w:rPr>
                <w:rFonts w:eastAsiaTheme="minorEastAsia"/>
                <w:color w:val="000000"/>
                <w:szCs w:val="21"/>
              </w:rPr>
              <w:t>日暂停申购、赎回及定期定额投资业务的公告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2020-04-30</w:t>
            </w:r>
          </w:p>
        </w:tc>
      </w:tr>
      <w:tr w:rsidR="00BB5C1E">
        <w:tc>
          <w:tcPr>
            <w:tcW w:w="720" w:type="dxa"/>
            <w:vAlign w:val="center"/>
          </w:tcPr>
          <w:p w:rsidR="00BB5C1E" w:rsidRDefault="00AF434F">
            <w:pPr>
              <w:jc w:val="center"/>
            </w:pPr>
            <w:r>
              <w:rPr>
                <w:rFonts w:eastAsiaTheme="minorEastAsia"/>
                <w:color w:val="000000"/>
                <w:szCs w:val="21"/>
              </w:rPr>
              <w:t>27</w:t>
            </w:r>
          </w:p>
        </w:tc>
        <w:tc>
          <w:tcPr>
            <w:tcW w:w="4320" w:type="dxa"/>
            <w:vAlign w:val="center"/>
          </w:tcPr>
          <w:p w:rsidR="00BB5C1E" w:rsidRDefault="00AF434F">
            <w:pPr>
              <w:jc w:val="left"/>
            </w:pPr>
            <w:r>
              <w:rPr>
                <w:rFonts w:eastAsiaTheme="minorEastAsia"/>
                <w:color w:val="000000"/>
                <w:szCs w:val="21"/>
              </w:rPr>
              <w:t>易方达基金管理有限公司旗下部分开放式基金增加中信证券华南为销售机构的公告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2020-04-30</w:t>
            </w:r>
          </w:p>
        </w:tc>
      </w:tr>
      <w:tr w:rsidR="00BB5C1E">
        <w:tc>
          <w:tcPr>
            <w:tcW w:w="720" w:type="dxa"/>
            <w:vAlign w:val="center"/>
          </w:tcPr>
          <w:p w:rsidR="00BB5C1E" w:rsidRDefault="00AF434F">
            <w:pPr>
              <w:jc w:val="center"/>
            </w:pPr>
            <w:r>
              <w:rPr>
                <w:rFonts w:eastAsiaTheme="minorEastAsia"/>
                <w:color w:val="000000"/>
                <w:szCs w:val="21"/>
              </w:rPr>
              <w:t>28</w:t>
            </w:r>
          </w:p>
        </w:tc>
        <w:tc>
          <w:tcPr>
            <w:tcW w:w="4320" w:type="dxa"/>
            <w:vAlign w:val="center"/>
          </w:tcPr>
          <w:p w:rsidR="00BB5C1E" w:rsidRDefault="00AF434F">
            <w:pPr>
              <w:jc w:val="left"/>
            </w:pPr>
            <w:r>
              <w:rPr>
                <w:rFonts w:eastAsiaTheme="minorEastAsia"/>
                <w:color w:val="000000"/>
                <w:szCs w:val="21"/>
              </w:rPr>
              <w:t>易方达基金管理有限公司旗下部分开放式基金参加中金公司申购费率优惠活动的公告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2020-05-14</w:t>
            </w:r>
          </w:p>
        </w:tc>
      </w:tr>
      <w:tr w:rsidR="00BB5C1E">
        <w:tc>
          <w:tcPr>
            <w:tcW w:w="720" w:type="dxa"/>
            <w:vAlign w:val="center"/>
          </w:tcPr>
          <w:p w:rsidR="00BB5C1E" w:rsidRDefault="00AF434F">
            <w:pPr>
              <w:jc w:val="center"/>
            </w:pPr>
            <w:r>
              <w:rPr>
                <w:rFonts w:eastAsiaTheme="minorEastAsia"/>
                <w:color w:val="000000"/>
                <w:szCs w:val="21"/>
              </w:rPr>
              <w:t>29</w:t>
            </w:r>
          </w:p>
        </w:tc>
        <w:tc>
          <w:tcPr>
            <w:tcW w:w="4320" w:type="dxa"/>
            <w:vAlign w:val="center"/>
          </w:tcPr>
          <w:p w:rsidR="00BB5C1E" w:rsidRDefault="00AF434F">
            <w:pPr>
              <w:jc w:val="left"/>
            </w:pPr>
            <w:r>
              <w:rPr>
                <w:rFonts w:eastAsiaTheme="minorEastAsia"/>
                <w:color w:val="000000"/>
                <w:szCs w:val="21"/>
              </w:rPr>
              <w:t>易方达标普全球高端消费品指数增强型证券投资基金</w:t>
            </w:r>
            <w:r>
              <w:rPr>
                <w:rFonts w:eastAsiaTheme="minorEastAsia"/>
                <w:color w:val="000000"/>
                <w:szCs w:val="21"/>
              </w:rPr>
              <w:t>2020</w:t>
            </w:r>
            <w:r>
              <w:rPr>
                <w:rFonts w:eastAsiaTheme="minorEastAsia"/>
                <w:color w:val="000000"/>
                <w:szCs w:val="21"/>
              </w:rPr>
              <w:t>年</w:t>
            </w:r>
            <w:r>
              <w:rPr>
                <w:rFonts w:eastAsiaTheme="minorEastAsia"/>
                <w:color w:val="000000"/>
                <w:szCs w:val="21"/>
              </w:rPr>
              <w:t>5</w:t>
            </w:r>
            <w:r>
              <w:rPr>
                <w:rFonts w:eastAsiaTheme="minorEastAsia"/>
                <w:color w:val="000000"/>
                <w:szCs w:val="21"/>
              </w:rPr>
              <w:t>月</w:t>
            </w:r>
            <w:r>
              <w:rPr>
                <w:rFonts w:eastAsiaTheme="minorEastAsia"/>
                <w:color w:val="000000"/>
                <w:szCs w:val="21"/>
              </w:rPr>
              <w:t>21</w:t>
            </w:r>
            <w:r>
              <w:rPr>
                <w:rFonts w:eastAsiaTheme="minorEastAsia"/>
                <w:color w:val="000000"/>
                <w:szCs w:val="21"/>
              </w:rPr>
              <w:t>日暂停申购、赎回及定期定额投资业务的公告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2020-05-18</w:t>
            </w:r>
          </w:p>
        </w:tc>
      </w:tr>
      <w:tr w:rsidR="00BB5C1E">
        <w:tc>
          <w:tcPr>
            <w:tcW w:w="720" w:type="dxa"/>
            <w:vAlign w:val="center"/>
          </w:tcPr>
          <w:p w:rsidR="00BB5C1E" w:rsidRDefault="00AF434F">
            <w:pPr>
              <w:jc w:val="center"/>
            </w:pPr>
            <w:r>
              <w:rPr>
                <w:rFonts w:eastAsiaTheme="minorEastAsia"/>
                <w:color w:val="000000"/>
                <w:szCs w:val="21"/>
              </w:rPr>
              <w:t>30</w:t>
            </w:r>
          </w:p>
        </w:tc>
        <w:tc>
          <w:tcPr>
            <w:tcW w:w="4320" w:type="dxa"/>
            <w:vAlign w:val="center"/>
          </w:tcPr>
          <w:p w:rsidR="00BB5C1E" w:rsidRDefault="00AF434F">
            <w:pPr>
              <w:jc w:val="left"/>
            </w:pPr>
            <w:r>
              <w:rPr>
                <w:rFonts w:eastAsiaTheme="minorEastAsia"/>
                <w:color w:val="000000"/>
                <w:szCs w:val="21"/>
              </w:rPr>
              <w:t>易方达基金管理有限公司旗下部分开放式基金参加万联证券费率优惠活动的公告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2020-05-18</w:t>
            </w:r>
          </w:p>
        </w:tc>
      </w:tr>
      <w:tr w:rsidR="00BB5C1E">
        <w:tc>
          <w:tcPr>
            <w:tcW w:w="720" w:type="dxa"/>
            <w:vAlign w:val="center"/>
          </w:tcPr>
          <w:p w:rsidR="00BB5C1E" w:rsidRDefault="00AF434F">
            <w:pPr>
              <w:jc w:val="center"/>
            </w:pPr>
            <w:r>
              <w:rPr>
                <w:rFonts w:eastAsiaTheme="minorEastAsia"/>
                <w:color w:val="000000"/>
                <w:szCs w:val="21"/>
              </w:rPr>
              <w:t>31</w:t>
            </w:r>
          </w:p>
        </w:tc>
        <w:tc>
          <w:tcPr>
            <w:tcW w:w="4320" w:type="dxa"/>
            <w:vAlign w:val="center"/>
          </w:tcPr>
          <w:p w:rsidR="00BB5C1E" w:rsidRDefault="00AF434F">
            <w:pPr>
              <w:jc w:val="left"/>
            </w:pPr>
            <w:r>
              <w:rPr>
                <w:rFonts w:eastAsiaTheme="minorEastAsia"/>
                <w:color w:val="000000"/>
                <w:szCs w:val="21"/>
              </w:rPr>
              <w:t>易方达标普全球高端消费品指数增强型证券投资基金</w:t>
            </w:r>
            <w:r>
              <w:rPr>
                <w:rFonts w:eastAsiaTheme="minorEastAsia"/>
                <w:color w:val="000000"/>
                <w:szCs w:val="21"/>
              </w:rPr>
              <w:t>2020</w:t>
            </w:r>
            <w:r>
              <w:rPr>
                <w:rFonts w:eastAsiaTheme="minorEastAsia"/>
                <w:color w:val="000000"/>
                <w:szCs w:val="21"/>
              </w:rPr>
              <w:t>年</w:t>
            </w:r>
            <w:r>
              <w:rPr>
                <w:rFonts w:eastAsiaTheme="minorEastAsia"/>
                <w:color w:val="000000"/>
                <w:szCs w:val="21"/>
              </w:rPr>
              <w:t>5</w:t>
            </w:r>
            <w:r>
              <w:rPr>
                <w:rFonts w:eastAsiaTheme="minorEastAsia"/>
                <w:color w:val="000000"/>
                <w:szCs w:val="21"/>
              </w:rPr>
              <w:t>月</w:t>
            </w:r>
            <w:r>
              <w:rPr>
                <w:rFonts w:eastAsiaTheme="minorEastAsia"/>
                <w:color w:val="000000"/>
                <w:szCs w:val="21"/>
              </w:rPr>
              <w:t>25</w:t>
            </w:r>
            <w:r>
              <w:rPr>
                <w:rFonts w:eastAsiaTheme="minorEastAsia"/>
                <w:color w:val="000000"/>
                <w:szCs w:val="21"/>
              </w:rPr>
              <w:t>日暂停申购、赎回及定期定额投资业务的公告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2020-05-20</w:t>
            </w:r>
          </w:p>
        </w:tc>
      </w:tr>
      <w:tr w:rsidR="00BB5C1E">
        <w:tc>
          <w:tcPr>
            <w:tcW w:w="720" w:type="dxa"/>
            <w:vAlign w:val="center"/>
          </w:tcPr>
          <w:p w:rsidR="00BB5C1E" w:rsidRDefault="00AF434F">
            <w:pPr>
              <w:jc w:val="center"/>
            </w:pPr>
            <w:r>
              <w:rPr>
                <w:rFonts w:eastAsiaTheme="minorEastAsia"/>
                <w:color w:val="000000"/>
                <w:szCs w:val="21"/>
              </w:rPr>
              <w:t>32</w:t>
            </w:r>
          </w:p>
        </w:tc>
        <w:tc>
          <w:tcPr>
            <w:tcW w:w="4320" w:type="dxa"/>
            <w:vAlign w:val="center"/>
          </w:tcPr>
          <w:p w:rsidR="00BB5C1E" w:rsidRDefault="00AF434F">
            <w:pPr>
              <w:jc w:val="left"/>
            </w:pPr>
            <w:r>
              <w:rPr>
                <w:rFonts w:eastAsiaTheme="minorEastAsia"/>
                <w:color w:val="000000"/>
                <w:szCs w:val="21"/>
              </w:rPr>
              <w:t>易方达基金管理有限公司旗下部分开放式基金参加华夏财富费率优惠活动的公告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2020-05-23</w:t>
            </w:r>
          </w:p>
        </w:tc>
      </w:tr>
      <w:tr w:rsidR="00BB5C1E">
        <w:tc>
          <w:tcPr>
            <w:tcW w:w="720" w:type="dxa"/>
            <w:vAlign w:val="center"/>
          </w:tcPr>
          <w:p w:rsidR="00BB5C1E" w:rsidRDefault="00AF434F">
            <w:pPr>
              <w:jc w:val="center"/>
            </w:pPr>
            <w:r>
              <w:rPr>
                <w:rFonts w:eastAsiaTheme="minorEastAsia"/>
                <w:color w:val="000000"/>
                <w:szCs w:val="21"/>
              </w:rPr>
              <w:t>33</w:t>
            </w:r>
          </w:p>
        </w:tc>
        <w:tc>
          <w:tcPr>
            <w:tcW w:w="4320" w:type="dxa"/>
            <w:vAlign w:val="center"/>
          </w:tcPr>
          <w:p w:rsidR="00BB5C1E" w:rsidRDefault="00AF434F">
            <w:pPr>
              <w:jc w:val="left"/>
            </w:pPr>
            <w:r>
              <w:rPr>
                <w:rFonts w:eastAsiaTheme="minorEastAsia"/>
                <w:color w:val="000000"/>
                <w:szCs w:val="21"/>
              </w:rPr>
              <w:t>易方达标普全球高端消费品指数增强型证券投资基金</w:t>
            </w: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1</w:t>
            </w:r>
            <w:r>
              <w:rPr>
                <w:rFonts w:eastAsiaTheme="minorEastAsia"/>
                <w:color w:val="000000"/>
                <w:szCs w:val="21"/>
              </w:rPr>
              <w:t>日暂停申购、赎回及定期定额投资业务的公告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2020-05-27</w:t>
            </w:r>
          </w:p>
        </w:tc>
      </w:tr>
      <w:tr w:rsidR="00BB5C1E">
        <w:tc>
          <w:tcPr>
            <w:tcW w:w="720" w:type="dxa"/>
            <w:vAlign w:val="center"/>
          </w:tcPr>
          <w:p w:rsidR="00BB5C1E" w:rsidRDefault="00AF434F">
            <w:pPr>
              <w:jc w:val="center"/>
            </w:pPr>
            <w:r>
              <w:rPr>
                <w:rFonts w:eastAsiaTheme="minorEastAsia"/>
                <w:color w:val="000000"/>
                <w:szCs w:val="21"/>
              </w:rPr>
              <w:t>34</w:t>
            </w:r>
          </w:p>
        </w:tc>
        <w:tc>
          <w:tcPr>
            <w:tcW w:w="4320" w:type="dxa"/>
            <w:vAlign w:val="center"/>
          </w:tcPr>
          <w:p w:rsidR="00BB5C1E" w:rsidRDefault="00AF434F">
            <w:pPr>
              <w:jc w:val="left"/>
            </w:pPr>
            <w:r>
              <w:rPr>
                <w:rFonts w:eastAsiaTheme="minorEastAsia"/>
                <w:color w:val="000000"/>
                <w:szCs w:val="21"/>
              </w:rPr>
              <w:t>易方达基金管理有限公司关于旗下基金在包商银行股份有限公司相关业务安排的提示性公告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2020-05-29</w:t>
            </w:r>
          </w:p>
        </w:tc>
      </w:tr>
      <w:tr w:rsidR="00BB5C1E">
        <w:tc>
          <w:tcPr>
            <w:tcW w:w="720" w:type="dxa"/>
            <w:vAlign w:val="center"/>
          </w:tcPr>
          <w:p w:rsidR="00BB5C1E" w:rsidRDefault="00AF434F">
            <w:pPr>
              <w:jc w:val="center"/>
            </w:pPr>
            <w:r>
              <w:rPr>
                <w:rFonts w:eastAsiaTheme="minorEastAsia"/>
                <w:color w:val="000000"/>
                <w:szCs w:val="21"/>
              </w:rPr>
              <w:t>35</w:t>
            </w:r>
          </w:p>
        </w:tc>
        <w:tc>
          <w:tcPr>
            <w:tcW w:w="4320" w:type="dxa"/>
            <w:vAlign w:val="center"/>
          </w:tcPr>
          <w:p w:rsidR="00BB5C1E" w:rsidRDefault="00AF434F">
            <w:pPr>
              <w:jc w:val="left"/>
            </w:pPr>
            <w:r>
              <w:rPr>
                <w:rFonts w:eastAsiaTheme="minorEastAsia"/>
                <w:color w:val="000000"/>
                <w:szCs w:val="21"/>
              </w:rPr>
              <w:t>易方达基金管理有限公司关于暂停上海朝阳永续基金销售有限公司办理旗下基金相关销售业务的公告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2020-06-03</w:t>
            </w:r>
          </w:p>
        </w:tc>
      </w:tr>
      <w:tr w:rsidR="00BB5C1E">
        <w:tc>
          <w:tcPr>
            <w:tcW w:w="720" w:type="dxa"/>
            <w:vAlign w:val="center"/>
          </w:tcPr>
          <w:p w:rsidR="00BB5C1E" w:rsidRDefault="00AF434F">
            <w:pPr>
              <w:jc w:val="center"/>
            </w:pPr>
            <w:r>
              <w:rPr>
                <w:rFonts w:eastAsiaTheme="minorEastAsia"/>
                <w:color w:val="000000"/>
                <w:szCs w:val="21"/>
              </w:rPr>
              <w:t>36</w:t>
            </w:r>
          </w:p>
        </w:tc>
        <w:tc>
          <w:tcPr>
            <w:tcW w:w="4320" w:type="dxa"/>
            <w:vAlign w:val="center"/>
          </w:tcPr>
          <w:p w:rsidR="00BB5C1E" w:rsidRDefault="00AF434F">
            <w:pPr>
              <w:jc w:val="left"/>
            </w:pPr>
            <w:r>
              <w:rPr>
                <w:rFonts w:eastAsiaTheme="minorEastAsia"/>
                <w:color w:val="000000"/>
                <w:szCs w:val="21"/>
              </w:rPr>
              <w:t>易方达基金管理有限公司关于调整旗下部分开放式基金在招商银行最低定期定额投资金额限制的公告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2020-06-04</w:t>
            </w:r>
          </w:p>
        </w:tc>
      </w:tr>
      <w:tr w:rsidR="00BB5C1E">
        <w:tc>
          <w:tcPr>
            <w:tcW w:w="720" w:type="dxa"/>
            <w:vAlign w:val="center"/>
          </w:tcPr>
          <w:p w:rsidR="00BB5C1E" w:rsidRDefault="00AF434F">
            <w:pPr>
              <w:jc w:val="center"/>
            </w:pPr>
            <w:r>
              <w:rPr>
                <w:rFonts w:eastAsiaTheme="minorEastAsia"/>
                <w:color w:val="000000"/>
                <w:szCs w:val="21"/>
              </w:rPr>
              <w:t>37</w:t>
            </w:r>
          </w:p>
        </w:tc>
        <w:tc>
          <w:tcPr>
            <w:tcW w:w="4320" w:type="dxa"/>
            <w:vAlign w:val="center"/>
          </w:tcPr>
          <w:p w:rsidR="00BB5C1E" w:rsidRDefault="00AF434F">
            <w:pPr>
              <w:jc w:val="left"/>
            </w:pPr>
            <w:r>
              <w:rPr>
                <w:rFonts w:eastAsiaTheme="minorEastAsia"/>
                <w:color w:val="000000"/>
                <w:szCs w:val="21"/>
              </w:rPr>
              <w:t>易方达基金管理有限公司高级管理人员变更公告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2020-06-22</w:t>
            </w:r>
          </w:p>
        </w:tc>
      </w:tr>
      <w:tr w:rsidR="00BB5C1E">
        <w:tc>
          <w:tcPr>
            <w:tcW w:w="720" w:type="dxa"/>
            <w:vAlign w:val="center"/>
          </w:tcPr>
          <w:p w:rsidR="00BB5C1E" w:rsidRDefault="00AF434F">
            <w:pPr>
              <w:jc w:val="center"/>
            </w:pPr>
            <w:r>
              <w:rPr>
                <w:rFonts w:eastAsiaTheme="minorEastAsia"/>
                <w:color w:val="000000"/>
                <w:szCs w:val="21"/>
              </w:rPr>
              <w:t>38</w:t>
            </w:r>
          </w:p>
        </w:tc>
        <w:tc>
          <w:tcPr>
            <w:tcW w:w="4320" w:type="dxa"/>
            <w:vAlign w:val="center"/>
          </w:tcPr>
          <w:p w:rsidR="00BB5C1E" w:rsidRDefault="00AF434F">
            <w:pPr>
              <w:jc w:val="left"/>
            </w:pPr>
            <w:r>
              <w:rPr>
                <w:rFonts w:eastAsiaTheme="minorEastAsia"/>
                <w:color w:val="000000"/>
                <w:szCs w:val="21"/>
              </w:rPr>
              <w:t>易方达标普全球高端消费品指数增强型证券投资基金</w:t>
            </w:r>
            <w:r>
              <w:rPr>
                <w:rFonts w:eastAsiaTheme="minorEastAsia"/>
                <w:color w:val="000000"/>
                <w:szCs w:val="21"/>
              </w:rPr>
              <w:t>2020</w:t>
            </w:r>
            <w:r>
              <w:rPr>
                <w:rFonts w:eastAsiaTheme="minorEastAsia"/>
                <w:color w:val="000000"/>
                <w:szCs w:val="21"/>
              </w:rPr>
              <w:t>年</w:t>
            </w:r>
            <w:r>
              <w:rPr>
                <w:rFonts w:eastAsiaTheme="minorEastAsia"/>
                <w:color w:val="000000"/>
                <w:szCs w:val="21"/>
              </w:rPr>
              <w:t>7</w:t>
            </w:r>
            <w:r>
              <w:rPr>
                <w:rFonts w:eastAsiaTheme="minorEastAsia"/>
                <w:color w:val="000000"/>
                <w:szCs w:val="21"/>
              </w:rPr>
              <w:t>月</w:t>
            </w:r>
            <w:r>
              <w:rPr>
                <w:rFonts w:eastAsiaTheme="minorEastAsia"/>
                <w:color w:val="000000"/>
                <w:szCs w:val="21"/>
              </w:rPr>
              <w:t>1</w:t>
            </w:r>
            <w:r>
              <w:rPr>
                <w:rFonts w:eastAsiaTheme="minorEastAsia"/>
                <w:color w:val="000000"/>
                <w:szCs w:val="21"/>
              </w:rPr>
              <w:t>日暂停申购、赎回及定期定额投资业务的公告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2020-06-24</w:t>
            </w:r>
          </w:p>
        </w:tc>
      </w:tr>
      <w:tr w:rsidR="00BB5C1E">
        <w:tc>
          <w:tcPr>
            <w:tcW w:w="720" w:type="dxa"/>
            <w:vAlign w:val="center"/>
          </w:tcPr>
          <w:p w:rsidR="00BB5C1E" w:rsidRDefault="00AF434F">
            <w:pPr>
              <w:jc w:val="center"/>
            </w:pPr>
            <w:r>
              <w:rPr>
                <w:rFonts w:eastAsiaTheme="minorEastAsia"/>
                <w:color w:val="000000"/>
                <w:szCs w:val="21"/>
              </w:rPr>
              <w:t>39</w:t>
            </w:r>
          </w:p>
        </w:tc>
        <w:tc>
          <w:tcPr>
            <w:tcW w:w="4320" w:type="dxa"/>
            <w:vAlign w:val="center"/>
          </w:tcPr>
          <w:p w:rsidR="00BB5C1E" w:rsidRDefault="00AF434F">
            <w:pPr>
              <w:jc w:val="left"/>
            </w:pPr>
            <w:r>
              <w:rPr>
                <w:rFonts w:eastAsiaTheme="minorEastAsia"/>
                <w:color w:val="000000"/>
                <w:szCs w:val="21"/>
              </w:rPr>
              <w:t>易方达标普全球高端消费品指数增强型证券投资基金</w:t>
            </w:r>
            <w:r>
              <w:rPr>
                <w:rFonts w:eastAsiaTheme="minorEastAsia"/>
                <w:color w:val="000000"/>
                <w:szCs w:val="21"/>
              </w:rPr>
              <w:t>2020</w:t>
            </w:r>
            <w:r>
              <w:rPr>
                <w:rFonts w:eastAsiaTheme="minorEastAsia"/>
                <w:color w:val="000000"/>
                <w:szCs w:val="21"/>
              </w:rPr>
              <w:t>年</w:t>
            </w:r>
            <w:r>
              <w:rPr>
                <w:rFonts w:eastAsiaTheme="minorEastAsia"/>
                <w:color w:val="000000"/>
                <w:szCs w:val="21"/>
              </w:rPr>
              <w:t>7</w:t>
            </w:r>
            <w:r>
              <w:rPr>
                <w:rFonts w:eastAsiaTheme="minorEastAsia"/>
                <w:color w:val="000000"/>
                <w:szCs w:val="21"/>
              </w:rPr>
              <w:t>月</w:t>
            </w:r>
            <w:r>
              <w:rPr>
                <w:rFonts w:eastAsiaTheme="minorEastAsia"/>
                <w:color w:val="000000"/>
                <w:szCs w:val="21"/>
              </w:rPr>
              <w:t>3</w:t>
            </w:r>
            <w:r>
              <w:rPr>
                <w:rFonts w:eastAsiaTheme="minorEastAsia"/>
                <w:color w:val="000000"/>
                <w:szCs w:val="21"/>
              </w:rPr>
              <w:t>日暂停申购、赎回及定期定额投资业务的公告</w:t>
            </w:r>
          </w:p>
        </w:tc>
        <w:tc>
          <w:tcPr>
            <w:tcW w:w="2520" w:type="dxa"/>
            <w:vAlign w:val="center"/>
          </w:tcPr>
          <w:p w:rsidR="00BB5C1E" w:rsidRDefault="00AF434F">
            <w:pPr>
              <w:jc w:val="left"/>
            </w:pPr>
            <w:r>
              <w:rPr>
                <w:rFonts w:eastAsiaTheme="minorEastAsia"/>
                <w:color w:val="000000"/>
                <w:szCs w:val="21"/>
              </w:rPr>
              <w:t>证券日报、基金管理人网站及中国证监会基金电子披露网站</w:t>
            </w:r>
          </w:p>
        </w:tc>
        <w:tc>
          <w:tcPr>
            <w:tcW w:w="1440" w:type="dxa"/>
            <w:vAlign w:val="center"/>
          </w:tcPr>
          <w:p w:rsidR="00BB5C1E" w:rsidRDefault="00AF434F">
            <w:pPr>
              <w:jc w:val="center"/>
            </w:pPr>
            <w:r>
              <w:rPr>
                <w:rFonts w:eastAsiaTheme="minorEastAsia"/>
                <w:color w:val="000000"/>
                <w:szCs w:val="21"/>
              </w:rPr>
              <w:t>2020-06-30</w:t>
            </w:r>
          </w:p>
        </w:tc>
      </w:tr>
    </w:tbl>
    <w:p w:rsidR="008A5A5D" w:rsidRPr="00A432E9" w:rsidRDefault="008A5A5D" w:rsidP="00732F5C">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63" w:name="_Toc225500055"/>
      <w:bookmarkStart w:id="364" w:name="_Toc352256020"/>
      <w:bookmarkStart w:id="365" w:name="_Toc352256088"/>
      <w:bookmarkStart w:id="366" w:name="_Toc352331266"/>
      <w:bookmarkStart w:id="367" w:name="_Toc390164850"/>
      <w:bookmarkStart w:id="368" w:name="_Toc48662952"/>
      <w:r w:rsidRPr="000C6CCD">
        <w:rPr>
          <w:rFonts w:ascii="宋体" w:hAnsi="宋体"/>
          <w:bCs w:val="0"/>
          <w:color w:val="000000"/>
          <w:sz w:val="21"/>
          <w:szCs w:val="21"/>
        </w:rPr>
        <w:t>11</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备查文件目录</w:t>
      </w:r>
      <w:bookmarkEnd w:id="363"/>
      <w:bookmarkEnd w:id="364"/>
      <w:bookmarkEnd w:id="365"/>
      <w:bookmarkEnd w:id="366"/>
      <w:bookmarkEnd w:id="367"/>
      <w:bookmarkEnd w:id="368"/>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69" w:name="_Toc352256021"/>
      <w:bookmarkStart w:id="370" w:name="_Toc352256089"/>
      <w:bookmarkStart w:id="371" w:name="_Toc352331267"/>
      <w:bookmarkStart w:id="372" w:name="_Toc390164851"/>
      <w:bookmarkStart w:id="373" w:name="_Toc48662953"/>
      <w:r w:rsidRPr="0087359D">
        <w:rPr>
          <w:rFonts w:ascii="宋体" w:hAnsi="宋体"/>
          <w:kern w:val="0"/>
          <w:sz w:val="21"/>
          <w:szCs w:val="21"/>
        </w:rPr>
        <w:t>11.1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备查文件目录</w:t>
      </w:r>
      <w:bookmarkEnd w:id="369"/>
      <w:bookmarkEnd w:id="370"/>
      <w:bookmarkEnd w:id="371"/>
      <w:bookmarkEnd w:id="372"/>
      <w:bookmarkEnd w:id="373"/>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1.</w:t>
      </w:r>
      <w:r>
        <w:rPr>
          <w:rFonts w:eastAsiaTheme="minorEastAsia"/>
          <w:kern w:val="0"/>
          <w:szCs w:val="21"/>
        </w:rPr>
        <w:t>中国证监会核准易方达标普全球高端消费品指数增强型证券投资基金募集的文件；</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2.</w:t>
      </w:r>
      <w:r>
        <w:rPr>
          <w:rFonts w:eastAsiaTheme="minorEastAsia"/>
          <w:kern w:val="0"/>
          <w:szCs w:val="21"/>
        </w:rPr>
        <w:t>《易方达标普全球高端消费品指数增强型证券投资基金基金合同》；</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3.</w:t>
      </w:r>
      <w:r>
        <w:rPr>
          <w:rFonts w:eastAsiaTheme="minorEastAsia"/>
          <w:kern w:val="0"/>
          <w:szCs w:val="21"/>
        </w:rPr>
        <w:t>《易方达标普全球高端消费品指数增强型证券投资基金托管协议》；</w:t>
      </w:r>
    </w:p>
    <w:p w:rsidR="00BB5C1E" w:rsidRDefault="00AF434F">
      <w:pPr>
        <w:tabs>
          <w:tab w:val="left" w:pos="426"/>
        </w:tabs>
        <w:spacing w:line="360" w:lineRule="auto"/>
        <w:ind w:firstLineChars="200" w:firstLine="420"/>
        <w:jc w:val="left"/>
        <w:rPr>
          <w:rFonts w:eastAsiaTheme="minorEastAsia"/>
          <w:kern w:val="0"/>
          <w:szCs w:val="21"/>
        </w:rPr>
      </w:pPr>
      <w:r>
        <w:rPr>
          <w:rFonts w:eastAsiaTheme="minorEastAsia"/>
          <w:kern w:val="0"/>
          <w:szCs w:val="21"/>
        </w:rPr>
        <w:t>4.</w:t>
      </w:r>
      <w:r>
        <w:rPr>
          <w:rFonts w:eastAsiaTheme="minorEastAsia"/>
          <w:kern w:val="0"/>
          <w:szCs w:val="21"/>
        </w:rPr>
        <w:t>《易方达基金管理有限公司开放式基金业务规则》；</w:t>
      </w:r>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5.</w:t>
      </w:r>
      <w:r w:rsidRPr="00C24ACA">
        <w:rPr>
          <w:rFonts w:eastAsiaTheme="minorEastAsia"/>
          <w:kern w:val="0"/>
          <w:szCs w:val="21"/>
        </w:rPr>
        <w:t>基金管理人业务资格批件和营业执照。</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74" w:name="_Toc352256022"/>
      <w:bookmarkStart w:id="375" w:name="_Toc352256090"/>
      <w:bookmarkStart w:id="376" w:name="_Toc352331268"/>
      <w:bookmarkStart w:id="377" w:name="_Toc390164852"/>
      <w:bookmarkStart w:id="378" w:name="_Toc48662954"/>
      <w:r w:rsidRPr="0087359D">
        <w:rPr>
          <w:rFonts w:ascii="宋体" w:hAnsi="宋体"/>
          <w:kern w:val="0"/>
          <w:sz w:val="21"/>
          <w:szCs w:val="21"/>
        </w:rPr>
        <w:t>11.2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存放地点</w:t>
      </w:r>
      <w:bookmarkEnd w:id="374"/>
      <w:bookmarkEnd w:id="375"/>
      <w:bookmarkEnd w:id="376"/>
      <w:bookmarkEnd w:id="377"/>
      <w:bookmarkEnd w:id="378"/>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广州市天河区珠江新城珠江东路</w:t>
      </w:r>
      <w:r w:rsidRPr="00C24ACA">
        <w:rPr>
          <w:rFonts w:eastAsiaTheme="minorEastAsia"/>
          <w:kern w:val="0"/>
          <w:szCs w:val="21"/>
        </w:rPr>
        <w:t>30</w:t>
      </w:r>
      <w:r w:rsidRPr="00C24ACA">
        <w:rPr>
          <w:rFonts w:eastAsiaTheme="minorEastAsia"/>
          <w:kern w:val="0"/>
          <w:szCs w:val="21"/>
        </w:rPr>
        <w:t>号广州银行大厦</w:t>
      </w:r>
      <w:r w:rsidRPr="00C24ACA">
        <w:rPr>
          <w:rFonts w:eastAsiaTheme="minorEastAsia"/>
          <w:kern w:val="0"/>
          <w:szCs w:val="21"/>
        </w:rPr>
        <w:t>40-43</w:t>
      </w:r>
      <w:r w:rsidRPr="00C24ACA">
        <w:rPr>
          <w:rFonts w:eastAsiaTheme="minorEastAsia"/>
          <w:kern w:val="0"/>
          <w:szCs w:val="21"/>
        </w:rPr>
        <w:t>楼。</w:t>
      </w:r>
    </w:p>
    <w:p w:rsidR="008A5A5D" w:rsidRPr="00C24ACA" w:rsidRDefault="008A5A5D" w:rsidP="00732F5C">
      <w:pPr>
        <w:pStyle w:val="20"/>
        <w:spacing w:beforeLines="100" w:before="312" w:after="0"/>
        <w:rPr>
          <w:rFonts w:ascii="Times New Roman" w:eastAsiaTheme="minorEastAsia" w:hAnsi="Times New Roman"/>
          <w:kern w:val="0"/>
          <w:sz w:val="21"/>
          <w:szCs w:val="21"/>
        </w:rPr>
      </w:pPr>
      <w:bookmarkStart w:id="379" w:name="_Toc352256023"/>
      <w:bookmarkStart w:id="380" w:name="_Toc352256091"/>
      <w:bookmarkStart w:id="381" w:name="_Toc352331269"/>
      <w:bookmarkStart w:id="382" w:name="_Toc390164853"/>
      <w:bookmarkStart w:id="383" w:name="_Toc48662955"/>
      <w:r w:rsidRPr="0087359D">
        <w:rPr>
          <w:rFonts w:ascii="宋体" w:hAnsi="宋体"/>
          <w:kern w:val="0"/>
          <w:sz w:val="21"/>
          <w:szCs w:val="21"/>
        </w:rPr>
        <w:t>11.3</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查阅方式</w:t>
      </w:r>
      <w:bookmarkEnd w:id="379"/>
      <w:bookmarkEnd w:id="380"/>
      <w:bookmarkEnd w:id="381"/>
      <w:bookmarkEnd w:id="382"/>
      <w:bookmarkEnd w:id="383"/>
    </w:p>
    <w:p w:rsidR="008A5A5D" w:rsidRPr="00C24ACA" w:rsidRDefault="008A5A5D" w:rsidP="001412CA">
      <w:pPr>
        <w:tabs>
          <w:tab w:val="left" w:pos="426"/>
        </w:tabs>
        <w:spacing w:line="360" w:lineRule="auto"/>
        <w:ind w:firstLineChars="200" w:firstLine="420"/>
        <w:jc w:val="left"/>
        <w:rPr>
          <w:rFonts w:eastAsiaTheme="minorEastAsia"/>
          <w:kern w:val="0"/>
          <w:szCs w:val="21"/>
        </w:rPr>
      </w:pPr>
      <w:r w:rsidRPr="00C24ACA">
        <w:rPr>
          <w:rFonts w:eastAsiaTheme="minorEastAsia"/>
          <w:kern w:val="0"/>
          <w:szCs w:val="21"/>
        </w:rPr>
        <w:t>投资者可在营业时间免费查阅，也可按工本费购买复印件。</w:t>
      </w: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2116B9">
      <w:pPr>
        <w:spacing w:line="360" w:lineRule="auto"/>
        <w:ind w:left="840"/>
        <w:jc w:val="right"/>
        <w:rPr>
          <w:rFonts w:eastAsiaTheme="minorEastAsia"/>
          <w:b/>
          <w:bCs/>
          <w:szCs w:val="21"/>
        </w:rPr>
      </w:pPr>
      <w:r w:rsidRPr="00C24ACA">
        <w:rPr>
          <w:rFonts w:eastAsiaTheme="minorEastAsia"/>
          <w:b/>
          <w:bCs/>
          <w:szCs w:val="21"/>
        </w:rPr>
        <w:t>易方达基金管理有限公司</w:t>
      </w:r>
    </w:p>
    <w:p w:rsidR="008A5A5D" w:rsidRPr="00C24ACA" w:rsidRDefault="00025106" w:rsidP="002116B9">
      <w:pPr>
        <w:spacing w:line="360" w:lineRule="auto"/>
        <w:ind w:left="840"/>
        <w:jc w:val="right"/>
        <w:rPr>
          <w:rFonts w:eastAsiaTheme="minorEastAsia"/>
          <w:b/>
          <w:bCs/>
          <w:szCs w:val="21"/>
        </w:rPr>
      </w:pPr>
      <w:r w:rsidRPr="00C24ACA">
        <w:rPr>
          <w:rFonts w:eastAsiaTheme="minorEastAsia"/>
          <w:b/>
          <w:bCs/>
          <w:szCs w:val="21"/>
        </w:rPr>
        <w:t>二〇二〇年八月二十八日</w:t>
      </w:r>
      <w:bookmarkEnd w:id="0"/>
    </w:p>
    <w:sectPr w:rsidR="008A5A5D" w:rsidRPr="00C24ACA" w:rsidSect="00937AC9">
      <w:footerReference w:type="even"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D43" w:rsidRDefault="00166D43">
      <w:r>
        <w:separator/>
      </w:r>
    </w:p>
  </w:endnote>
  <w:endnote w:type="continuationSeparator" w:id="0">
    <w:p w:rsidR="00166D43" w:rsidRDefault="0016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CEC" w:rsidRPr="00FF5BA7" w:rsidRDefault="00D93CEC" w:rsidP="008134C7">
    <w:pPr>
      <w:pStyle w:val="a7"/>
      <w:ind w:right="360"/>
      <w:jc w:val="center"/>
      <w:rPr>
        <w:sz w:val="21"/>
        <w:szCs w:val="21"/>
      </w:rPr>
    </w:pPr>
    <w:r w:rsidRPr="00FF5BA7">
      <w:rPr>
        <w:rFonts w:hint="eastAsia"/>
        <w:kern w:val="0"/>
        <w:sz w:val="21"/>
        <w:szCs w:val="21"/>
      </w:rPr>
      <w:t>第</w:t>
    </w:r>
    <w:r w:rsidRPr="00FF5BA7">
      <w:rPr>
        <w:kern w:val="0"/>
        <w:sz w:val="21"/>
        <w:szCs w:val="21"/>
      </w:rPr>
      <w:fldChar w:fldCharType="begin"/>
    </w:r>
    <w:r w:rsidRPr="00FF5BA7">
      <w:rPr>
        <w:kern w:val="0"/>
        <w:sz w:val="21"/>
        <w:szCs w:val="21"/>
      </w:rPr>
      <w:instrText xml:space="preserve"> PAGE </w:instrText>
    </w:r>
    <w:r w:rsidRPr="00FF5BA7">
      <w:rPr>
        <w:kern w:val="0"/>
        <w:sz w:val="21"/>
        <w:szCs w:val="21"/>
      </w:rPr>
      <w:fldChar w:fldCharType="separate"/>
    </w:r>
    <w:r w:rsidR="00D41B36">
      <w:rPr>
        <w:noProof/>
        <w:kern w:val="0"/>
        <w:sz w:val="21"/>
        <w:szCs w:val="21"/>
      </w:rPr>
      <w:t>55</w:t>
    </w:r>
    <w:r w:rsidRPr="00FF5BA7">
      <w:rPr>
        <w:kern w:val="0"/>
        <w:sz w:val="21"/>
        <w:szCs w:val="21"/>
      </w:rPr>
      <w:fldChar w:fldCharType="end"/>
    </w:r>
    <w:r w:rsidRPr="00FF5BA7">
      <w:rPr>
        <w:rFonts w:hint="eastAsia"/>
        <w:kern w:val="0"/>
        <w:sz w:val="21"/>
        <w:szCs w:val="21"/>
      </w:rPr>
      <w:t>页，共</w:t>
    </w:r>
    <w:r w:rsidRPr="00FF5BA7">
      <w:rPr>
        <w:kern w:val="0"/>
        <w:sz w:val="21"/>
        <w:szCs w:val="21"/>
      </w:rPr>
      <w:fldChar w:fldCharType="begin"/>
    </w:r>
    <w:r w:rsidRPr="00FF5BA7">
      <w:rPr>
        <w:kern w:val="0"/>
        <w:sz w:val="21"/>
        <w:szCs w:val="21"/>
      </w:rPr>
      <w:instrText xml:space="preserve"> NUMPAGES </w:instrText>
    </w:r>
    <w:r w:rsidRPr="00FF5BA7">
      <w:rPr>
        <w:kern w:val="0"/>
        <w:sz w:val="21"/>
        <w:szCs w:val="21"/>
      </w:rPr>
      <w:fldChar w:fldCharType="separate"/>
    </w:r>
    <w:r w:rsidR="00D41B36">
      <w:rPr>
        <w:noProof/>
        <w:kern w:val="0"/>
        <w:sz w:val="21"/>
        <w:szCs w:val="21"/>
      </w:rPr>
      <w:t>55</w:t>
    </w:r>
    <w:r w:rsidRPr="00FF5BA7">
      <w:rPr>
        <w:kern w:val="0"/>
        <w:sz w:val="21"/>
        <w:szCs w:val="21"/>
      </w:rPr>
      <w:fldChar w:fldCharType="end"/>
    </w:r>
    <w:r w:rsidRPr="00FF5BA7">
      <w:rPr>
        <w:rFonts w:hint="eastAsia"/>
        <w:kern w:val="0"/>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CEC" w:rsidRDefault="00D93CEC"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D93CEC" w:rsidRDefault="00D93CEC" w:rsidP="00C03B3A">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D43" w:rsidRDefault="00166D43">
      <w:r>
        <w:separator/>
      </w:r>
    </w:p>
  </w:footnote>
  <w:footnote w:type="continuationSeparator" w:id="0">
    <w:p w:rsidR="00166D43" w:rsidRDefault="00166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3CEC" w:rsidRPr="007018D6" w:rsidRDefault="00D93CEC" w:rsidP="009D66C1">
    <w:pPr>
      <w:pStyle w:val="aa"/>
      <w:pBdr>
        <w:bottom w:val="single" w:sz="6" w:space="0" w:color="auto"/>
      </w:pBdr>
      <w:jc w:val="right"/>
    </w:pPr>
    <w:r w:rsidRPr="007018D6">
      <w:t>易方达标普全球高端消费品指数增强型证券投资基金</w:t>
    </w:r>
    <w:r w:rsidRPr="007018D6">
      <w:t>2020</w:t>
    </w:r>
    <w:r w:rsidRPr="007018D6">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213"/>
    <w:rsid w:val="000019B6"/>
    <w:rsid w:val="00001B33"/>
    <w:rsid w:val="00001B39"/>
    <w:rsid w:val="00002644"/>
    <w:rsid w:val="00002FDA"/>
    <w:rsid w:val="00003577"/>
    <w:rsid w:val="0000403B"/>
    <w:rsid w:val="00004337"/>
    <w:rsid w:val="00005172"/>
    <w:rsid w:val="0000551D"/>
    <w:rsid w:val="00005911"/>
    <w:rsid w:val="00005C09"/>
    <w:rsid w:val="00005D29"/>
    <w:rsid w:val="000061CF"/>
    <w:rsid w:val="000102A7"/>
    <w:rsid w:val="00010918"/>
    <w:rsid w:val="00010A83"/>
    <w:rsid w:val="00010A8E"/>
    <w:rsid w:val="00010AC3"/>
    <w:rsid w:val="00010C1F"/>
    <w:rsid w:val="00010F11"/>
    <w:rsid w:val="00011081"/>
    <w:rsid w:val="00011EB5"/>
    <w:rsid w:val="0001280C"/>
    <w:rsid w:val="00013749"/>
    <w:rsid w:val="00013CAE"/>
    <w:rsid w:val="00015C4F"/>
    <w:rsid w:val="00015E54"/>
    <w:rsid w:val="000162AF"/>
    <w:rsid w:val="00016604"/>
    <w:rsid w:val="00016CEB"/>
    <w:rsid w:val="00016F07"/>
    <w:rsid w:val="00017581"/>
    <w:rsid w:val="0001767C"/>
    <w:rsid w:val="00020583"/>
    <w:rsid w:val="00020644"/>
    <w:rsid w:val="00021813"/>
    <w:rsid w:val="00021DD4"/>
    <w:rsid w:val="000221FE"/>
    <w:rsid w:val="00022F8F"/>
    <w:rsid w:val="00023BE7"/>
    <w:rsid w:val="00024491"/>
    <w:rsid w:val="0002453B"/>
    <w:rsid w:val="000246E6"/>
    <w:rsid w:val="00024C15"/>
    <w:rsid w:val="00024C62"/>
    <w:rsid w:val="00024CA0"/>
    <w:rsid w:val="00025106"/>
    <w:rsid w:val="00025805"/>
    <w:rsid w:val="000262B0"/>
    <w:rsid w:val="000274FE"/>
    <w:rsid w:val="000276C9"/>
    <w:rsid w:val="00027CFC"/>
    <w:rsid w:val="00027F5F"/>
    <w:rsid w:val="0003228A"/>
    <w:rsid w:val="000322D5"/>
    <w:rsid w:val="0003271C"/>
    <w:rsid w:val="000327EA"/>
    <w:rsid w:val="00032ADD"/>
    <w:rsid w:val="00032FE1"/>
    <w:rsid w:val="000331EA"/>
    <w:rsid w:val="00033E6C"/>
    <w:rsid w:val="00033EC1"/>
    <w:rsid w:val="00034BA5"/>
    <w:rsid w:val="000358FE"/>
    <w:rsid w:val="00036C37"/>
    <w:rsid w:val="00036CFB"/>
    <w:rsid w:val="00037267"/>
    <w:rsid w:val="000378BC"/>
    <w:rsid w:val="00037CF2"/>
    <w:rsid w:val="00037FCF"/>
    <w:rsid w:val="000400FF"/>
    <w:rsid w:val="0004087B"/>
    <w:rsid w:val="00040DAC"/>
    <w:rsid w:val="000415E6"/>
    <w:rsid w:val="00041BC8"/>
    <w:rsid w:val="000421B8"/>
    <w:rsid w:val="000429DF"/>
    <w:rsid w:val="00042AAD"/>
    <w:rsid w:val="000430CA"/>
    <w:rsid w:val="0004381B"/>
    <w:rsid w:val="00043ABF"/>
    <w:rsid w:val="00044158"/>
    <w:rsid w:val="000445E4"/>
    <w:rsid w:val="000471B4"/>
    <w:rsid w:val="00050260"/>
    <w:rsid w:val="0005049D"/>
    <w:rsid w:val="000510AB"/>
    <w:rsid w:val="000514E0"/>
    <w:rsid w:val="00052E9B"/>
    <w:rsid w:val="00053091"/>
    <w:rsid w:val="0005346A"/>
    <w:rsid w:val="000534CD"/>
    <w:rsid w:val="00053758"/>
    <w:rsid w:val="00053EED"/>
    <w:rsid w:val="00053F17"/>
    <w:rsid w:val="0005448A"/>
    <w:rsid w:val="00055AF1"/>
    <w:rsid w:val="00056F23"/>
    <w:rsid w:val="000573B5"/>
    <w:rsid w:val="00060423"/>
    <w:rsid w:val="00060597"/>
    <w:rsid w:val="00060A2C"/>
    <w:rsid w:val="00060CB4"/>
    <w:rsid w:val="00061167"/>
    <w:rsid w:val="00062997"/>
    <w:rsid w:val="00062D12"/>
    <w:rsid w:val="00063D34"/>
    <w:rsid w:val="00063FEA"/>
    <w:rsid w:val="000642EA"/>
    <w:rsid w:val="000643C3"/>
    <w:rsid w:val="0006475F"/>
    <w:rsid w:val="00064AE3"/>
    <w:rsid w:val="00064FC8"/>
    <w:rsid w:val="00066524"/>
    <w:rsid w:val="000671A3"/>
    <w:rsid w:val="00067CC5"/>
    <w:rsid w:val="00070CD1"/>
    <w:rsid w:val="00071022"/>
    <w:rsid w:val="000710CD"/>
    <w:rsid w:val="0007171B"/>
    <w:rsid w:val="000717A1"/>
    <w:rsid w:val="000726C0"/>
    <w:rsid w:val="00072DE0"/>
    <w:rsid w:val="00073DB1"/>
    <w:rsid w:val="00073F87"/>
    <w:rsid w:val="00076397"/>
    <w:rsid w:val="000764CB"/>
    <w:rsid w:val="00076CC5"/>
    <w:rsid w:val="000801F4"/>
    <w:rsid w:val="00080423"/>
    <w:rsid w:val="0008141B"/>
    <w:rsid w:val="00081A3D"/>
    <w:rsid w:val="00081D05"/>
    <w:rsid w:val="00082038"/>
    <w:rsid w:val="0008226A"/>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2FA"/>
    <w:rsid w:val="000908ED"/>
    <w:rsid w:val="0009091B"/>
    <w:rsid w:val="00090D5E"/>
    <w:rsid w:val="000917D5"/>
    <w:rsid w:val="000919B7"/>
    <w:rsid w:val="00093E08"/>
    <w:rsid w:val="00094876"/>
    <w:rsid w:val="000951F7"/>
    <w:rsid w:val="00095912"/>
    <w:rsid w:val="00095CE0"/>
    <w:rsid w:val="00096933"/>
    <w:rsid w:val="00096995"/>
    <w:rsid w:val="00096B18"/>
    <w:rsid w:val="00097013"/>
    <w:rsid w:val="00097230"/>
    <w:rsid w:val="000A010B"/>
    <w:rsid w:val="000A1448"/>
    <w:rsid w:val="000A1B79"/>
    <w:rsid w:val="000A1BFB"/>
    <w:rsid w:val="000A2779"/>
    <w:rsid w:val="000A3022"/>
    <w:rsid w:val="000A38DE"/>
    <w:rsid w:val="000A457E"/>
    <w:rsid w:val="000A4672"/>
    <w:rsid w:val="000A4FEF"/>
    <w:rsid w:val="000A53FD"/>
    <w:rsid w:val="000A549A"/>
    <w:rsid w:val="000A578A"/>
    <w:rsid w:val="000A6557"/>
    <w:rsid w:val="000A72F2"/>
    <w:rsid w:val="000B0C56"/>
    <w:rsid w:val="000B1EA7"/>
    <w:rsid w:val="000B2714"/>
    <w:rsid w:val="000B2B57"/>
    <w:rsid w:val="000B2C8D"/>
    <w:rsid w:val="000B36CC"/>
    <w:rsid w:val="000B3E43"/>
    <w:rsid w:val="000B417C"/>
    <w:rsid w:val="000B4365"/>
    <w:rsid w:val="000B5CC0"/>
    <w:rsid w:val="000B6328"/>
    <w:rsid w:val="000B682A"/>
    <w:rsid w:val="000B6D23"/>
    <w:rsid w:val="000C01F9"/>
    <w:rsid w:val="000C05AB"/>
    <w:rsid w:val="000C0871"/>
    <w:rsid w:val="000C0CA5"/>
    <w:rsid w:val="000C0F55"/>
    <w:rsid w:val="000C127D"/>
    <w:rsid w:val="000C15BE"/>
    <w:rsid w:val="000C1723"/>
    <w:rsid w:val="000C1B20"/>
    <w:rsid w:val="000C224F"/>
    <w:rsid w:val="000C2BDC"/>
    <w:rsid w:val="000C3FD9"/>
    <w:rsid w:val="000C4107"/>
    <w:rsid w:val="000C45E7"/>
    <w:rsid w:val="000C45F5"/>
    <w:rsid w:val="000C5E98"/>
    <w:rsid w:val="000C5F67"/>
    <w:rsid w:val="000C698D"/>
    <w:rsid w:val="000C6CCD"/>
    <w:rsid w:val="000C705C"/>
    <w:rsid w:val="000C7AE4"/>
    <w:rsid w:val="000D01F4"/>
    <w:rsid w:val="000D0B89"/>
    <w:rsid w:val="000D1497"/>
    <w:rsid w:val="000D1519"/>
    <w:rsid w:val="000D1F25"/>
    <w:rsid w:val="000D3145"/>
    <w:rsid w:val="000D36D1"/>
    <w:rsid w:val="000D4AAD"/>
    <w:rsid w:val="000D52DC"/>
    <w:rsid w:val="000D6054"/>
    <w:rsid w:val="000D619B"/>
    <w:rsid w:val="000D788B"/>
    <w:rsid w:val="000E1057"/>
    <w:rsid w:val="000E148A"/>
    <w:rsid w:val="000E28C9"/>
    <w:rsid w:val="000E34ED"/>
    <w:rsid w:val="000E4456"/>
    <w:rsid w:val="000E458D"/>
    <w:rsid w:val="000E56C3"/>
    <w:rsid w:val="000E6184"/>
    <w:rsid w:val="000E67FE"/>
    <w:rsid w:val="000E6DA9"/>
    <w:rsid w:val="000E7C24"/>
    <w:rsid w:val="000E7E16"/>
    <w:rsid w:val="000F0C0A"/>
    <w:rsid w:val="000F175F"/>
    <w:rsid w:val="000F17D1"/>
    <w:rsid w:val="000F1913"/>
    <w:rsid w:val="000F1B87"/>
    <w:rsid w:val="000F1EE4"/>
    <w:rsid w:val="000F2C75"/>
    <w:rsid w:val="000F3506"/>
    <w:rsid w:val="000F350C"/>
    <w:rsid w:val="000F3D90"/>
    <w:rsid w:val="000F4232"/>
    <w:rsid w:val="000F4DB9"/>
    <w:rsid w:val="000F593E"/>
    <w:rsid w:val="000F60F3"/>
    <w:rsid w:val="000F60FF"/>
    <w:rsid w:val="000F6198"/>
    <w:rsid w:val="000F635F"/>
    <w:rsid w:val="000F6C61"/>
    <w:rsid w:val="00100C12"/>
    <w:rsid w:val="001013A8"/>
    <w:rsid w:val="00102CC8"/>
    <w:rsid w:val="001030B5"/>
    <w:rsid w:val="0010352B"/>
    <w:rsid w:val="001049B6"/>
    <w:rsid w:val="00104A39"/>
    <w:rsid w:val="00104DE3"/>
    <w:rsid w:val="001051C6"/>
    <w:rsid w:val="00105211"/>
    <w:rsid w:val="0010577B"/>
    <w:rsid w:val="00105C9C"/>
    <w:rsid w:val="001069ED"/>
    <w:rsid w:val="00106A87"/>
    <w:rsid w:val="00106C1F"/>
    <w:rsid w:val="00107C33"/>
    <w:rsid w:val="001116BA"/>
    <w:rsid w:val="0011177A"/>
    <w:rsid w:val="0011179E"/>
    <w:rsid w:val="00111C71"/>
    <w:rsid w:val="00113B73"/>
    <w:rsid w:val="001141C0"/>
    <w:rsid w:val="001150A3"/>
    <w:rsid w:val="00115AD8"/>
    <w:rsid w:val="00116B10"/>
    <w:rsid w:val="00116E31"/>
    <w:rsid w:val="00120169"/>
    <w:rsid w:val="00120E31"/>
    <w:rsid w:val="00120EED"/>
    <w:rsid w:val="001212B4"/>
    <w:rsid w:val="00121A03"/>
    <w:rsid w:val="0012304E"/>
    <w:rsid w:val="0012380F"/>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0C28"/>
    <w:rsid w:val="00131EC2"/>
    <w:rsid w:val="0013226C"/>
    <w:rsid w:val="00132E82"/>
    <w:rsid w:val="0013374F"/>
    <w:rsid w:val="00135467"/>
    <w:rsid w:val="00136211"/>
    <w:rsid w:val="001364D3"/>
    <w:rsid w:val="001366C4"/>
    <w:rsid w:val="0013686A"/>
    <w:rsid w:val="00136BE0"/>
    <w:rsid w:val="0013718B"/>
    <w:rsid w:val="00137BB5"/>
    <w:rsid w:val="00137BB9"/>
    <w:rsid w:val="00137D50"/>
    <w:rsid w:val="00140038"/>
    <w:rsid w:val="001412CA"/>
    <w:rsid w:val="00142280"/>
    <w:rsid w:val="0014241E"/>
    <w:rsid w:val="001424C6"/>
    <w:rsid w:val="00142A56"/>
    <w:rsid w:val="001432A7"/>
    <w:rsid w:val="00143BE5"/>
    <w:rsid w:val="00144280"/>
    <w:rsid w:val="00144AAD"/>
    <w:rsid w:val="00144DF5"/>
    <w:rsid w:val="001455C7"/>
    <w:rsid w:val="00145A97"/>
    <w:rsid w:val="00145B50"/>
    <w:rsid w:val="00145CAE"/>
    <w:rsid w:val="00146485"/>
    <w:rsid w:val="0014666D"/>
    <w:rsid w:val="00146835"/>
    <w:rsid w:val="00146A28"/>
    <w:rsid w:val="00146FBA"/>
    <w:rsid w:val="00147492"/>
    <w:rsid w:val="0015080E"/>
    <w:rsid w:val="00150AD6"/>
    <w:rsid w:val="0015173F"/>
    <w:rsid w:val="00151B23"/>
    <w:rsid w:val="001529AD"/>
    <w:rsid w:val="00152B88"/>
    <w:rsid w:val="0015328C"/>
    <w:rsid w:val="001535AE"/>
    <w:rsid w:val="00153B40"/>
    <w:rsid w:val="00153B9D"/>
    <w:rsid w:val="00153BCF"/>
    <w:rsid w:val="00154ADA"/>
    <w:rsid w:val="00154B08"/>
    <w:rsid w:val="00154C44"/>
    <w:rsid w:val="0015531A"/>
    <w:rsid w:val="00155875"/>
    <w:rsid w:val="001558FD"/>
    <w:rsid w:val="00155A35"/>
    <w:rsid w:val="00157418"/>
    <w:rsid w:val="00157B5A"/>
    <w:rsid w:val="0016050B"/>
    <w:rsid w:val="00161476"/>
    <w:rsid w:val="0016380C"/>
    <w:rsid w:val="00163816"/>
    <w:rsid w:val="00163B27"/>
    <w:rsid w:val="0016425E"/>
    <w:rsid w:val="00164BF7"/>
    <w:rsid w:val="00165317"/>
    <w:rsid w:val="001657AB"/>
    <w:rsid w:val="00166D43"/>
    <w:rsid w:val="0016725E"/>
    <w:rsid w:val="0017073D"/>
    <w:rsid w:val="001707EF"/>
    <w:rsid w:val="00170D38"/>
    <w:rsid w:val="00171484"/>
    <w:rsid w:val="0017173B"/>
    <w:rsid w:val="00171BAD"/>
    <w:rsid w:val="00171F2C"/>
    <w:rsid w:val="001731C7"/>
    <w:rsid w:val="00173AF1"/>
    <w:rsid w:val="001744B4"/>
    <w:rsid w:val="001751EF"/>
    <w:rsid w:val="001756A1"/>
    <w:rsid w:val="001761EE"/>
    <w:rsid w:val="00176D47"/>
    <w:rsid w:val="00176EAA"/>
    <w:rsid w:val="00177030"/>
    <w:rsid w:val="0017725A"/>
    <w:rsid w:val="0017747A"/>
    <w:rsid w:val="00177C4B"/>
    <w:rsid w:val="00177F6A"/>
    <w:rsid w:val="00182708"/>
    <w:rsid w:val="00182A38"/>
    <w:rsid w:val="00182BB8"/>
    <w:rsid w:val="0018325A"/>
    <w:rsid w:val="00183BA8"/>
    <w:rsid w:val="00183D7A"/>
    <w:rsid w:val="00183F2D"/>
    <w:rsid w:val="00184CAE"/>
    <w:rsid w:val="00186199"/>
    <w:rsid w:val="00186F7A"/>
    <w:rsid w:val="00187CB2"/>
    <w:rsid w:val="00190AE2"/>
    <w:rsid w:val="00190E27"/>
    <w:rsid w:val="001928F7"/>
    <w:rsid w:val="00192AD3"/>
    <w:rsid w:val="00193182"/>
    <w:rsid w:val="00193575"/>
    <w:rsid w:val="0019389D"/>
    <w:rsid w:val="00193B62"/>
    <w:rsid w:val="00194537"/>
    <w:rsid w:val="00194F79"/>
    <w:rsid w:val="0019563C"/>
    <w:rsid w:val="001956CA"/>
    <w:rsid w:val="00195B79"/>
    <w:rsid w:val="00196BCF"/>
    <w:rsid w:val="00197CE2"/>
    <w:rsid w:val="001A02F4"/>
    <w:rsid w:val="001A088E"/>
    <w:rsid w:val="001A0AD5"/>
    <w:rsid w:val="001A0F4A"/>
    <w:rsid w:val="001A19C2"/>
    <w:rsid w:val="001A1B13"/>
    <w:rsid w:val="001A1D38"/>
    <w:rsid w:val="001A21A9"/>
    <w:rsid w:val="001A2A97"/>
    <w:rsid w:val="001A364F"/>
    <w:rsid w:val="001A39B7"/>
    <w:rsid w:val="001A3EE4"/>
    <w:rsid w:val="001A42FA"/>
    <w:rsid w:val="001A4AEC"/>
    <w:rsid w:val="001A5051"/>
    <w:rsid w:val="001A58FE"/>
    <w:rsid w:val="001A59D8"/>
    <w:rsid w:val="001A5FA6"/>
    <w:rsid w:val="001A644F"/>
    <w:rsid w:val="001A668F"/>
    <w:rsid w:val="001A71CC"/>
    <w:rsid w:val="001A7F30"/>
    <w:rsid w:val="001B017D"/>
    <w:rsid w:val="001B2F0C"/>
    <w:rsid w:val="001B30CA"/>
    <w:rsid w:val="001B3513"/>
    <w:rsid w:val="001B353A"/>
    <w:rsid w:val="001B3D3E"/>
    <w:rsid w:val="001B3F69"/>
    <w:rsid w:val="001B4CEC"/>
    <w:rsid w:val="001B50CD"/>
    <w:rsid w:val="001B52FE"/>
    <w:rsid w:val="001B7890"/>
    <w:rsid w:val="001C005A"/>
    <w:rsid w:val="001C00CF"/>
    <w:rsid w:val="001C0806"/>
    <w:rsid w:val="001C1110"/>
    <w:rsid w:val="001C156D"/>
    <w:rsid w:val="001C1C77"/>
    <w:rsid w:val="001C2F9C"/>
    <w:rsid w:val="001C3399"/>
    <w:rsid w:val="001C37F6"/>
    <w:rsid w:val="001C4928"/>
    <w:rsid w:val="001C4D9F"/>
    <w:rsid w:val="001C4EB6"/>
    <w:rsid w:val="001C5289"/>
    <w:rsid w:val="001C6288"/>
    <w:rsid w:val="001C67A1"/>
    <w:rsid w:val="001C7C6D"/>
    <w:rsid w:val="001C7E6F"/>
    <w:rsid w:val="001D0538"/>
    <w:rsid w:val="001D0634"/>
    <w:rsid w:val="001D0D6A"/>
    <w:rsid w:val="001D0F6A"/>
    <w:rsid w:val="001D21BC"/>
    <w:rsid w:val="001D2230"/>
    <w:rsid w:val="001D2D34"/>
    <w:rsid w:val="001D2E47"/>
    <w:rsid w:val="001D2FA5"/>
    <w:rsid w:val="001D35E0"/>
    <w:rsid w:val="001D5016"/>
    <w:rsid w:val="001D5045"/>
    <w:rsid w:val="001D5281"/>
    <w:rsid w:val="001D5494"/>
    <w:rsid w:val="001D5A44"/>
    <w:rsid w:val="001D6213"/>
    <w:rsid w:val="001D6BEF"/>
    <w:rsid w:val="001D724B"/>
    <w:rsid w:val="001D730C"/>
    <w:rsid w:val="001E03BE"/>
    <w:rsid w:val="001E07AE"/>
    <w:rsid w:val="001E09F9"/>
    <w:rsid w:val="001E0AAA"/>
    <w:rsid w:val="001E0F28"/>
    <w:rsid w:val="001E0F82"/>
    <w:rsid w:val="001E11D3"/>
    <w:rsid w:val="001E15F1"/>
    <w:rsid w:val="001E1C4F"/>
    <w:rsid w:val="001E1C7C"/>
    <w:rsid w:val="001E2332"/>
    <w:rsid w:val="001E287E"/>
    <w:rsid w:val="001E2A6A"/>
    <w:rsid w:val="001E3BB1"/>
    <w:rsid w:val="001E3DC2"/>
    <w:rsid w:val="001E49F3"/>
    <w:rsid w:val="001E56FF"/>
    <w:rsid w:val="001E5C6B"/>
    <w:rsid w:val="001E6862"/>
    <w:rsid w:val="001E6EBF"/>
    <w:rsid w:val="001F0307"/>
    <w:rsid w:val="001F03E1"/>
    <w:rsid w:val="001F0DE9"/>
    <w:rsid w:val="001F147B"/>
    <w:rsid w:val="001F221F"/>
    <w:rsid w:val="001F2246"/>
    <w:rsid w:val="001F3CC6"/>
    <w:rsid w:val="001F3F50"/>
    <w:rsid w:val="001F4530"/>
    <w:rsid w:val="001F489E"/>
    <w:rsid w:val="001F5CE2"/>
    <w:rsid w:val="001F5DBA"/>
    <w:rsid w:val="001F5DE3"/>
    <w:rsid w:val="001F5F74"/>
    <w:rsid w:val="002000DE"/>
    <w:rsid w:val="002010DE"/>
    <w:rsid w:val="00201962"/>
    <w:rsid w:val="00201B58"/>
    <w:rsid w:val="00201DDA"/>
    <w:rsid w:val="00202968"/>
    <w:rsid w:val="00202C32"/>
    <w:rsid w:val="00203940"/>
    <w:rsid w:val="00203973"/>
    <w:rsid w:val="00203AEF"/>
    <w:rsid w:val="00206D74"/>
    <w:rsid w:val="002075E2"/>
    <w:rsid w:val="00207E26"/>
    <w:rsid w:val="002116B9"/>
    <w:rsid w:val="00211A26"/>
    <w:rsid w:val="00212249"/>
    <w:rsid w:val="002125F7"/>
    <w:rsid w:val="00212901"/>
    <w:rsid w:val="00213709"/>
    <w:rsid w:val="0021397C"/>
    <w:rsid w:val="00214463"/>
    <w:rsid w:val="00214756"/>
    <w:rsid w:val="00215CF2"/>
    <w:rsid w:val="00215D9F"/>
    <w:rsid w:val="00216310"/>
    <w:rsid w:val="00216BCE"/>
    <w:rsid w:val="00216D8F"/>
    <w:rsid w:val="00217867"/>
    <w:rsid w:val="00220542"/>
    <w:rsid w:val="00220D7F"/>
    <w:rsid w:val="002210EB"/>
    <w:rsid w:val="00221174"/>
    <w:rsid w:val="00222DE3"/>
    <w:rsid w:val="002233F0"/>
    <w:rsid w:val="0022498A"/>
    <w:rsid w:val="00225756"/>
    <w:rsid w:val="00225ADC"/>
    <w:rsid w:val="00225CEB"/>
    <w:rsid w:val="0022692D"/>
    <w:rsid w:val="00227ABF"/>
    <w:rsid w:val="002318F3"/>
    <w:rsid w:val="00232443"/>
    <w:rsid w:val="00232763"/>
    <w:rsid w:val="00232F17"/>
    <w:rsid w:val="0023323F"/>
    <w:rsid w:val="00233A86"/>
    <w:rsid w:val="00234202"/>
    <w:rsid w:val="00235842"/>
    <w:rsid w:val="002359EB"/>
    <w:rsid w:val="002363AB"/>
    <w:rsid w:val="00236412"/>
    <w:rsid w:val="00236933"/>
    <w:rsid w:val="0023727B"/>
    <w:rsid w:val="00237579"/>
    <w:rsid w:val="00237675"/>
    <w:rsid w:val="00237C6D"/>
    <w:rsid w:val="0024096B"/>
    <w:rsid w:val="00241582"/>
    <w:rsid w:val="00241B45"/>
    <w:rsid w:val="00241D0E"/>
    <w:rsid w:val="002424D7"/>
    <w:rsid w:val="0024260D"/>
    <w:rsid w:val="00242657"/>
    <w:rsid w:val="002428F6"/>
    <w:rsid w:val="00242FA2"/>
    <w:rsid w:val="00243C23"/>
    <w:rsid w:val="0024402C"/>
    <w:rsid w:val="00244D4F"/>
    <w:rsid w:val="00245012"/>
    <w:rsid w:val="0024504E"/>
    <w:rsid w:val="00245761"/>
    <w:rsid w:val="00245F01"/>
    <w:rsid w:val="0024651F"/>
    <w:rsid w:val="00247729"/>
    <w:rsid w:val="0025158D"/>
    <w:rsid w:val="00251C7E"/>
    <w:rsid w:val="00251D61"/>
    <w:rsid w:val="00252697"/>
    <w:rsid w:val="0025281A"/>
    <w:rsid w:val="00253D3C"/>
    <w:rsid w:val="00254022"/>
    <w:rsid w:val="002544D7"/>
    <w:rsid w:val="00254C82"/>
    <w:rsid w:val="00255292"/>
    <w:rsid w:val="002561CC"/>
    <w:rsid w:val="002571F0"/>
    <w:rsid w:val="00257578"/>
    <w:rsid w:val="00257CCE"/>
    <w:rsid w:val="00260200"/>
    <w:rsid w:val="00260B06"/>
    <w:rsid w:val="00260BFB"/>
    <w:rsid w:val="00260DA3"/>
    <w:rsid w:val="00261D93"/>
    <w:rsid w:val="00261E92"/>
    <w:rsid w:val="00262029"/>
    <w:rsid w:val="00262553"/>
    <w:rsid w:val="002631B5"/>
    <w:rsid w:val="00263BBD"/>
    <w:rsid w:val="002648D8"/>
    <w:rsid w:val="00265AFB"/>
    <w:rsid w:val="00267EE3"/>
    <w:rsid w:val="00267F59"/>
    <w:rsid w:val="002700E9"/>
    <w:rsid w:val="00270CE9"/>
    <w:rsid w:val="002716BD"/>
    <w:rsid w:val="0027235A"/>
    <w:rsid w:val="00273CDB"/>
    <w:rsid w:val="00273F86"/>
    <w:rsid w:val="002741BE"/>
    <w:rsid w:val="002752EA"/>
    <w:rsid w:val="00275882"/>
    <w:rsid w:val="00275D56"/>
    <w:rsid w:val="00275EAD"/>
    <w:rsid w:val="00276B03"/>
    <w:rsid w:val="00276C3A"/>
    <w:rsid w:val="002773FB"/>
    <w:rsid w:val="002774F0"/>
    <w:rsid w:val="00277722"/>
    <w:rsid w:val="00280A4F"/>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5FE"/>
    <w:rsid w:val="002916E3"/>
    <w:rsid w:val="002916F1"/>
    <w:rsid w:val="00291A70"/>
    <w:rsid w:val="00291A85"/>
    <w:rsid w:val="00291F6F"/>
    <w:rsid w:val="0029379A"/>
    <w:rsid w:val="00293C97"/>
    <w:rsid w:val="002942CB"/>
    <w:rsid w:val="00294C7F"/>
    <w:rsid w:val="00294D8F"/>
    <w:rsid w:val="00295D5A"/>
    <w:rsid w:val="002964F9"/>
    <w:rsid w:val="0029690F"/>
    <w:rsid w:val="002969CC"/>
    <w:rsid w:val="00297D85"/>
    <w:rsid w:val="002A07F4"/>
    <w:rsid w:val="002A090A"/>
    <w:rsid w:val="002A0B47"/>
    <w:rsid w:val="002A1381"/>
    <w:rsid w:val="002A1C58"/>
    <w:rsid w:val="002A1F14"/>
    <w:rsid w:val="002A2678"/>
    <w:rsid w:val="002A2E01"/>
    <w:rsid w:val="002A32E5"/>
    <w:rsid w:val="002A34B9"/>
    <w:rsid w:val="002A398F"/>
    <w:rsid w:val="002A3DFD"/>
    <w:rsid w:val="002A46A7"/>
    <w:rsid w:val="002A4F2C"/>
    <w:rsid w:val="002A525F"/>
    <w:rsid w:val="002A5C6B"/>
    <w:rsid w:val="002A5D31"/>
    <w:rsid w:val="002A5E63"/>
    <w:rsid w:val="002A714F"/>
    <w:rsid w:val="002A75D7"/>
    <w:rsid w:val="002B09C0"/>
    <w:rsid w:val="002B1851"/>
    <w:rsid w:val="002B1EC9"/>
    <w:rsid w:val="002B27FF"/>
    <w:rsid w:val="002B2B42"/>
    <w:rsid w:val="002B2F4E"/>
    <w:rsid w:val="002B5C8E"/>
    <w:rsid w:val="002B6688"/>
    <w:rsid w:val="002B6793"/>
    <w:rsid w:val="002B7562"/>
    <w:rsid w:val="002B780B"/>
    <w:rsid w:val="002B7D25"/>
    <w:rsid w:val="002C03E0"/>
    <w:rsid w:val="002C1260"/>
    <w:rsid w:val="002C1726"/>
    <w:rsid w:val="002C21A6"/>
    <w:rsid w:val="002C26D5"/>
    <w:rsid w:val="002C5777"/>
    <w:rsid w:val="002C5889"/>
    <w:rsid w:val="002C5909"/>
    <w:rsid w:val="002C5B7A"/>
    <w:rsid w:val="002C65FA"/>
    <w:rsid w:val="002C661D"/>
    <w:rsid w:val="002C7C89"/>
    <w:rsid w:val="002D1A0F"/>
    <w:rsid w:val="002D1A88"/>
    <w:rsid w:val="002D22BF"/>
    <w:rsid w:val="002D237C"/>
    <w:rsid w:val="002D32E3"/>
    <w:rsid w:val="002D33F1"/>
    <w:rsid w:val="002D353D"/>
    <w:rsid w:val="002D4733"/>
    <w:rsid w:val="002D528B"/>
    <w:rsid w:val="002D52AD"/>
    <w:rsid w:val="002D58D8"/>
    <w:rsid w:val="002D5EB1"/>
    <w:rsid w:val="002D7777"/>
    <w:rsid w:val="002D77FF"/>
    <w:rsid w:val="002D7BFF"/>
    <w:rsid w:val="002E0394"/>
    <w:rsid w:val="002E0644"/>
    <w:rsid w:val="002E0FEB"/>
    <w:rsid w:val="002E171B"/>
    <w:rsid w:val="002E1BCA"/>
    <w:rsid w:val="002E204F"/>
    <w:rsid w:val="002E2625"/>
    <w:rsid w:val="002E319D"/>
    <w:rsid w:val="002E372D"/>
    <w:rsid w:val="002E3CD4"/>
    <w:rsid w:val="002E4AD5"/>
    <w:rsid w:val="002E4C2D"/>
    <w:rsid w:val="002E72C5"/>
    <w:rsid w:val="002F0F79"/>
    <w:rsid w:val="002F100F"/>
    <w:rsid w:val="002F19F9"/>
    <w:rsid w:val="002F1C9E"/>
    <w:rsid w:val="002F1EB2"/>
    <w:rsid w:val="002F2450"/>
    <w:rsid w:val="002F280E"/>
    <w:rsid w:val="002F2CBB"/>
    <w:rsid w:val="002F324A"/>
    <w:rsid w:val="002F3470"/>
    <w:rsid w:val="002F3709"/>
    <w:rsid w:val="002F3A6C"/>
    <w:rsid w:val="002F4296"/>
    <w:rsid w:val="002F5777"/>
    <w:rsid w:val="002F60EA"/>
    <w:rsid w:val="002F62F1"/>
    <w:rsid w:val="002F680E"/>
    <w:rsid w:val="002F7330"/>
    <w:rsid w:val="00300816"/>
    <w:rsid w:val="00300951"/>
    <w:rsid w:val="00300E8A"/>
    <w:rsid w:val="00301185"/>
    <w:rsid w:val="0030216B"/>
    <w:rsid w:val="003023C9"/>
    <w:rsid w:val="003029E6"/>
    <w:rsid w:val="00302CA8"/>
    <w:rsid w:val="00302DE9"/>
    <w:rsid w:val="00303EA9"/>
    <w:rsid w:val="00304860"/>
    <w:rsid w:val="00304E23"/>
    <w:rsid w:val="00305084"/>
    <w:rsid w:val="00305871"/>
    <w:rsid w:val="00305BCF"/>
    <w:rsid w:val="00306026"/>
    <w:rsid w:val="00306408"/>
    <w:rsid w:val="0030682A"/>
    <w:rsid w:val="00306B13"/>
    <w:rsid w:val="00307249"/>
    <w:rsid w:val="00307E35"/>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0DAB"/>
    <w:rsid w:val="0032160D"/>
    <w:rsid w:val="00321618"/>
    <w:rsid w:val="00321E8C"/>
    <w:rsid w:val="00321FDA"/>
    <w:rsid w:val="00322318"/>
    <w:rsid w:val="00322A86"/>
    <w:rsid w:val="00323041"/>
    <w:rsid w:val="00323AE8"/>
    <w:rsid w:val="00323B32"/>
    <w:rsid w:val="00324548"/>
    <w:rsid w:val="0032494A"/>
    <w:rsid w:val="003251F4"/>
    <w:rsid w:val="00325408"/>
    <w:rsid w:val="0032555D"/>
    <w:rsid w:val="00326927"/>
    <w:rsid w:val="003273A3"/>
    <w:rsid w:val="003277CD"/>
    <w:rsid w:val="003303E3"/>
    <w:rsid w:val="00330651"/>
    <w:rsid w:val="00331A88"/>
    <w:rsid w:val="003329EA"/>
    <w:rsid w:val="00332C6E"/>
    <w:rsid w:val="00332D73"/>
    <w:rsid w:val="0033368C"/>
    <w:rsid w:val="003338BE"/>
    <w:rsid w:val="00336AA2"/>
    <w:rsid w:val="00337271"/>
    <w:rsid w:val="00337B1B"/>
    <w:rsid w:val="00337ED3"/>
    <w:rsid w:val="003405DA"/>
    <w:rsid w:val="003407A5"/>
    <w:rsid w:val="00340CBC"/>
    <w:rsid w:val="003410A1"/>
    <w:rsid w:val="00341188"/>
    <w:rsid w:val="0034147B"/>
    <w:rsid w:val="003424CB"/>
    <w:rsid w:val="003439DB"/>
    <w:rsid w:val="00344FBE"/>
    <w:rsid w:val="00346759"/>
    <w:rsid w:val="00350238"/>
    <w:rsid w:val="00350315"/>
    <w:rsid w:val="0035109C"/>
    <w:rsid w:val="00351752"/>
    <w:rsid w:val="00351F0A"/>
    <w:rsid w:val="00352648"/>
    <w:rsid w:val="003532D4"/>
    <w:rsid w:val="00353AC6"/>
    <w:rsid w:val="00353E6B"/>
    <w:rsid w:val="003542B7"/>
    <w:rsid w:val="0035432B"/>
    <w:rsid w:val="00354765"/>
    <w:rsid w:val="00354E10"/>
    <w:rsid w:val="003574C8"/>
    <w:rsid w:val="0035753E"/>
    <w:rsid w:val="00357B15"/>
    <w:rsid w:val="00357BB3"/>
    <w:rsid w:val="003602EA"/>
    <w:rsid w:val="00360F81"/>
    <w:rsid w:val="00361E7E"/>
    <w:rsid w:val="00363564"/>
    <w:rsid w:val="003648F2"/>
    <w:rsid w:val="00364FA1"/>
    <w:rsid w:val="00366B02"/>
    <w:rsid w:val="003671F5"/>
    <w:rsid w:val="003700E2"/>
    <w:rsid w:val="00370348"/>
    <w:rsid w:val="00370AA4"/>
    <w:rsid w:val="003711F2"/>
    <w:rsid w:val="003717FC"/>
    <w:rsid w:val="00371FF4"/>
    <w:rsid w:val="003723C2"/>
    <w:rsid w:val="0037275D"/>
    <w:rsid w:val="00372797"/>
    <w:rsid w:val="003736DD"/>
    <w:rsid w:val="003745EC"/>
    <w:rsid w:val="003746F1"/>
    <w:rsid w:val="0037470E"/>
    <w:rsid w:val="00374D1B"/>
    <w:rsid w:val="00375CC4"/>
    <w:rsid w:val="00376103"/>
    <w:rsid w:val="003767B3"/>
    <w:rsid w:val="00376B49"/>
    <w:rsid w:val="00376FC5"/>
    <w:rsid w:val="003771E2"/>
    <w:rsid w:val="00377520"/>
    <w:rsid w:val="00380273"/>
    <w:rsid w:val="00380404"/>
    <w:rsid w:val="00380D36"/>
    <w:rsid w:val="00380F49"/>
    <w:rsid w:val="003819F9"/>
    <w:rsid w:val="00381AE2"/>
    <w:rsid w:val="003822D3"/>
    <w:rsid w:val="0038480C"/>
    <w:rsid w:val="00384DC9"/>
    <w:rsid w:val="0038566E"/>
    <w:rsid w:val="00385C66"/>
    <w:rsid w:val="00385EDA"/>
    <w:rsid w:val="00386630"/>
    <w:rsid w:val="00386A6C"/>
    <w:rsid w:val="00390379"/>
    <w:rsid w:val="00390741"/>
    <w:rsid w:val="003909FB"/>
    <w:rsid w:val="00390B25"/>
    <w:rsid w:val="00390DD9"/>
    <w:rsid w:val="00390DDD"/>
    <w:rsid w:val="003921B9"/>
    <w:rsid w:val="00392AE5"/>
    <w:rsid w:val="003933F1"/>
    <w:rsid w:val="003936AD"/>
    <w:rsid w:val="003937F7"/>
    <w:rsid w:val="00393A83"/>
    <w:rsid w:val="003955D3"/>
    <w:rsid w:val="00395809"/>
    <w:rsid w:val="00395CAA"/>
    <w:rsid w:val="00395F75"/>
    <w:rsid w:val="00395F76"/>
    <w:rsid w:val="00396588"/>
    <w:rsid w:val="00396863"/>
    <w:rsid w:val="00396F0A"/>
    <w:rsid w:val="00397156"/>
    <w:rsid w:val="00397960"/>
    <w:rsid w:val="00397D91"/>
    <w:rsid w:val="003A0663"/>
    <w:rsid w:val="003A10D5"/>
    <w:rsid w:val="003A1660"/>
    <w:rsid w:val="003A1FE0"/>
    <w:rsid w:val="003A2C23"/>
    <w:rsid w:val="003A3BC4"/>
    <w:rsid w:val="003A458A"/>
    <w:rsid w:val="003A551D"/>
    <w:rsid w:val="003A647F"/>
    <w:rsid w:val="003A6B26"/>
    <w:rsid w:val="003A7E6F"/>
    <w:rsid w:val="003B05F2"/>
    <w:rsid w:val="003B0F3D"/>
    <w:rsid w:val="003B2040"/>
    <w:rsid w:val="003B23CB"/>
    <w:rsid w:val="003B2F13"/>
    <w:rsid w:val="003B3353"/>
    <w:rsid w:val="003B405E"/>
    <w:rsid w:val="003B446F"/>
    <w:rsid w:val="003B4712"/>
    <w:rsid w:val="003B47EB"/>
    <w:rsid w:val="003B48BA"/>
    <w:rsid w:val="003B4F62"/>
    <w:rsid w:val="003B57D3"/>
    <w:rsid w:val="003B59CA"/>
    <w:rsid w:val="003B6067"/>
    <w:rsid w:val="003B632D"/>
    <w:rsid w:val="003B6AA4"/>
    <w:rsid w:val="003C0135"/>
    <w:rsid w:val="003C018A"/>
    <w:rsid w:val="003C05AF"/>
    <w:rsid w:val="003C08E3"/>
    <w:rsid w:val="003C09B5"/>
    <w:rsid w:val="003C0B69"/>
    <w:rsid w:val="003C0F62"/>
    <w:rsid w:val="003C1176"/>
    <w:rsid w:val="003C1D9A"/>
    <w:rsid w:val="003C1F58"/>
    <w:rsid w:val="003C3232"/>
    <w:rsid w:val="003C36E1"/>
    <w:rsid w:val="003C48B1"/>
    <w:rsid w:val="003C57A7"/>
    <w:rsid w:val="003C5C2B"/>
    <w:rsid w:val="003C6943"/>
    <w:rsid w:val="003C6BD2"/>
    <w:rsid w:val="003C7294"/>
    <w:rsid w:val="003C792F"/>
    <w:rsid w:val="003C7ABD"/>
    <w:rsid w:val="003C7B20"/>
    <w:rsid w:val="003C7C3D"/>
    <w:rsid w:val="003D08F8"/>
    <w:rsid w:val="003D124B"/>
    <w:rsid w:val="003D18F3"/>
    <w:rsid w:val="003D21FB"/>
    <w:rsid w:val="003D2CC1"/>
    <w:rsid w:val="003D33F2"/>
    <w:rsid w:val="003D3725"/>
    <w:rsid w:val="003D4FFC"/>
    <w:rsid w:val="003D51ED"/>
    <w:rsid w:val="003D535A"/>
    <w:rsid w:val="003D569B"/>
    <w:rsid w:val="003D73EF"/>
    <w:rsid w:val="003D78B5"/>
    <w:rsid w:val="003E0204"/>
    <w:rsid w:val="003E0918"/>
    <w:rsid w:val="003E099F"/>
    <w:rsid w:val="003E244F"/>
    <w:rsid w:val="003E37AE"/>
    <w:rsid w:val="003E5165"/>
    <w:rsid w:val="003E62A6"/>
    <w:rsid w:val="003E648D"/>
    <w:rsid w:val="003E6731"/>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C45"/>
    <w:rsid w:val="00400241"/>
    <w:rsid w:val="0040132C"/>
    <w:rsid w:val="0040145D"/>
    <w:rsid w:val="004016C4"/>
    <w:rsid w:val="00401D95"/>
    <w:rsid w:val="0040231A"/>
    <w:rsid w:val="00403562"/>
    <w:rsid w:val="004049BD"/>
    <w:rsid w:val="00404EB5"/>
    <w:rsid w:val="00405085"/>
    <w:rsid w:val="00405D28"/>
    <w:rsid w:val="0040629D"/>
    <w:rsid w:val="004066FC"/>
    <w:rsid w:val="00407481"/>
    <w:rsid w:val="00407753"/>
    <w:rsid w:val="00407C10"/>
    <w:rsid w:val="00407E90"/>
    <w:rsid w:val="004113B4"/>
    <w:rsid w:val="00413323"/>
    <w:rsid w:val="00413B17"/>
    <w:rsid w:val="004141C0"/>
    <w:rsid w:val="00414503"/>
    <w:rsid w:val="00414827"/>
    <w:rsid w:val="004153B3"/>
    <w:rsid w:val="00415772"/>
    <w:rsid w:val="004161F8"/>
    <w:rsid w:val="004163FD"/>
    <w:rsid w:val="0041683D"/>
    <w:rsid w:val="00416C10"/>
    <w:rsid w:val="00417976"/>
    <w:rsid w:val="00417A0E"/>
    <w:rsid w:val="0042053A"/>
    <w:rsid w:val="004213D6"/>
    <w:rsid w:val="00421425"/>
    <w:rsid w:val="00421B37"/>
    <w:rsid w:val="004222D0"/>
    <w:rsid w:val="00422440"/>
    <w:rsid w:val="00422916"/>
    <w:rsid w:val="00423BA3"/>
    <w:rsid w:val="00424213"/>
    <w:rsid w:val="00424EF3"/>
    <w:rsid w:val="0042551C"/>
    <w:rsid w:val="004267DB"/>
    <w:rsid w:val="004268BB"/>
    <w:rsid w:val="00426A4B"/>
    <w:rsid w:val="00427130"/>
    <w:rsid w:val="00427704"/>
    <w:rsid w:val="00427AA3"/>
    <w:rsid w:val="00427BFF"/>
    <w:rsid w:val="00430724"/>
    <w:rsid w:val="0043097C"/>
    <w:rsid w:val="00431047"/>
    <w:rsid w:val="00431B86"/>
    <w:rsid w:val="004322C7"/>
    <w:rsid w:val="00432E06"/>
    <w:rsid w:val="00433065"/>
    <w:rsid w:val="004332B5"/>
    <w:rsid w:val="00433EED"/>
    <w:rsid w:val="00436196"/>
    <w:rsid w:val="004375A2"/>
    <w:rsid w:val="00437C96"/>
    <w:rsid w:val="004408EC"/>
    <w:rsid w:val="004416A4"/>
    <w:rsid w:val="00441ABA"/>
    <w:rsid w:val="00441E6A"/>
    <w:rsid w:val="00442AEE"/>
    <w:rsid w:val="00443C8F"/>
    <w:rsid w:val="00444C60"/>
    <w:rsid w:val="00444E35"/>
    <w:rsid w:val="0044502D"/>
    <w:rsid w:val="00445F6B"/>
    <w:rsid w:val="0044755D"/>
    <w:rsid w:val="00447CEF"/>
    <w:rsid w:val="00447E28"/>
    <w:rsid w:val="00450BA9"/>
    <w:rsid w:val="00450F23"/>
    <w:rsid w:val="004515EB"/>
    <w:rsid w:val="0045169A"/>
    <w:rsid w:val="00452481"/>
    <w:rsid w:val="004528FA"/>
    <w:rsid w:val="00453DC8"/>
    <w:rsid w:val="00455165"/>
    <w:rsid w:val="004576F7"/>
    <w:rsid w:val="00457804"/>
    <w:rsid w:val="00460AEF"/>
    <w:rsid w:val="00460C52"/>
    <w:rsid w:val="00461108"/>
    <w:rsid w:val="0046209A"/>
    <w:rsid w:val="00462279"/>
    <w:rsid w:val="004626CD"/>
    <w:rsid w:val="00463182"/>
    <w:rsid w:val="004646BF"/>
    <w:rsid w:val="00464744"/>
    <w:rsid w:val="0046535F"/>
    <w:rsid w:val="004665A8"/>
    <w:rsid w:val="004665E3"/>
    <w:rsid w:val="0046760F"/>
    <w:rsid w:val="00471935"/>
    <w:rsid w:val="0047237D"/>
    <w:rsid w:val="00472561"/>
    <w:rsid w:val="004731F1"/>
    <w:rsid w:val="00473AE0"/>
    <w:rsid w:val="00473EB5"/>
    <w:rsid w:val="00474021"/>
    <w:rsid w:val="004743F8"/>
    <w:rsid w:val="0047456B"/>
    <w:rsid w:val="00475251"/>
    <w:rsid w:val="00475D19"/>
    <w:rsid w:val="00477400"/>
    <w:rsid w:val="0048088E"/>
    <w:rsid w:val="00480BC8"/>
    <w:rsid w:val="00481265"/>
    <w:rsid w:val="004814BF"/>
    <w:rsid w:val="00482649"/>
    <w:rsid w:val="00483630"/>
    <w:rsid w:val="004836EA"/>
    <w:rsid w:val="00483A13"/>
    <w:rsid w:val="00483F72"/>
    <w:rsid w:val="00485215"/>
    <w:rsid w:val="00485340"/>
    <w:rsid w:val="0048587E"/>
    <w:rsid w:val="00485B57"/>
    <w:rsid w:val="00486200"/>
    <w:rsid w:val="004868C8"/>
    <w:rsid w:val="00486C9C"/>
    <w:rsid w:val="00486D6A"/>
    <w:rsid w:val="00487815"/>
    <w:rsid w:val="00487830"/>
    <w:rsid w:val="00487C2B"/>
    <w:rsid w:val="004900FF"/>
    <w:rsid w:val="00490561"/>
    <w:rsid w:val="0049125B"/>
    <w:rsid w:val="004914B6"/>
    <w:rsid w:val="00491C58"/>
    <w:rsid w:val="00491FAB"/>
    <w:rsid w:val="00492081"/>
    <w:rsid w:val="0049227D"/>
    <w:rsid w:val="0049297D"/>
    <w:rsid w:val="004929F2"/>
    <w:rsid w:val="00492F1A"/>
    <w:rsid w:val="00492F5E"/>
    <w:rsid w:val="00493E9D"/>
    <w:rsid w:val="00495A03"/>
    <w:rsid w:val="00495E28"/>
    <w:rsid w:val="00497079"/>
    <w:rsid w:val="00497450"/>
    <w:rsid w:val="00497F49"/>
    <w:rsid w:val="004A1135"/>
    <w:rsid w:val="004A1BBA"/>
    <w:rsid w:val="004A23C2"/>
    <w:rsid w:val="004A2F25"/>
    <w:rsid w:val="004A3336"/>
    <w:rsid w:val="004A3E3C"/>
    <w:rsid w:val="004A4069"/>
    <w:rsid w:val="004A42E5"/>
    <w:rsid w:val="004A455B"/>
    <w:rsid w:val="004A4847"/>
    <w:rsid w:val="004A484E"/>
    <w:rsid w:val="004A5562"/>
    <w:rsid w:val="004A6513"/>
    <w:rsid w:val="004A7CCE"/>
    <w:rsid w:val="004B0440"/>
    <w:rsid w:val="004B0E6D"/>
    <w:rsid w:val="004B16E8"/>
    <w:rsid w:val="004B19EA"/>
    <w:rsid w:val="004B202D"/>
    <w:rsid w:val="004B2CA5"/>
    <w:rsid w:val="004B412E"/>
    <w:rsid w:val="004B5B92"/>
    <w:rsid w:val="004B5DB7"/>
    <w:rsid w:val="004B6250"/>
    <w:rsid w:val="004B66F3"/>
    <w:rsid w:val="004B68EC"/>
    <w:rsid w:val="004B759C"/>
    <w:rsid w:val="004B76B1"/>
    <w:rsid w:val="004C0057"/>
    <w:rsid w:val="004C02E0"/>
    <w:rsid w:val="004C030A"/>
    <w:rsid w:val="004C0541"/>
    <w:rsid w:val="004C07EB"/>
    <w:rsid w:val="004C0BBF"/>
    <w:rsid w:val="004C1D08"/>
    <w:rsid w:val="004C1D55"/>
    <w:rsid w:val="004C2836"/>
    <w:rsid w:val="004C2C46"/>
    <w:rsid w:val="004C405B"/>
    <w:rsid w:val="004C47DF"/>
    <w:rsid w:val="004C54CA"/>
    <w:rsid w:val="004C686E"/>
    <w:rsid w:val="004C6CE2"/>
    <w:rsid w:val="004C7214"/>
    <w:rsid w:val="004C7235"/>
    <w:rsid w:val="004C753B"/>
    <w:rsid w:val="004C7955"/>
    <w:rsid w:val="004D0213"/>
    <w:rsid w:val="004D047F"/>
    <w:rsid w:val="004D0B63"/>
    <w:rsid w:val="004D0FA5"/>
    <w:rsid w:val="004D1529"/>
    <w:rsid w:val="004D29F1"/>
    <w:rsid w:val="004D29F3"/>
    <w:rsid w:val="004D2E04"/>
    <w:rsid w:val="004D2F51"/>
    <w:rsid w:val="004D3D96"/>
    <w:rsid w:val="004D40BB"/>
    <w:rsid w:val="004D4854"/>
    <w:rsid w:val="004D4EA1"/>
    <w:rsid w:val="004D5316"/>
    <w:rsid w:val="004D575C"/>
    <w:rsid w:val="004D650F"/>
    <w:rsid w:val="004D679F"/>
    <w:rsid w:val="004D7269"/>
    <w:rsid w:val="004D74EE"/>
    <w:rsid w:val="004D7F01"/>
    <w:rsid w:val="004E0140"/>
    <w:rsid w:val="004E08FC"/>
    <w:rsid w:val="004E0B6E"/>
    <w:rsid w:val="004E2133"/>
    <w:rsid w:val="004E2BD2"/>
    <w:rsid w:val="004E34BB"/>
    <w:rsid w:val="004E37C3"/>
    <w:rsid w:val="004E395B"/>
    <w:rsid w:val="004E3A3B"/>
    <w:rsid w:val="004E3C7D"/>
    <w:rsid w:val="004E4CD7"/>
    <w:rsid w:val="004E5EDB"/>
    <w:rsid w:val="004E60FB"/>
    <w:rsid w:val="004E73A5"/>
    <w:rsid w:val="004E758A"/>
    <w:rsid w:val="004F09DD"/>
    <w:rsid w:val="004F1C42"/>
    <w:rsid w:val="004F23CE"/>
    <w:rsid w:val="004F2C5A"/>
    <w:rsid w:val="004F3870"/>
    <w:rsid w:val="004F3E01"/>
    <w:rsid w:val="004F3E31"/>
    <w:rsid w:val="004F409E"/>
    <w:rsid w:val="004F4541"/>
    <w:rsid w:val="004F4601"/>
    <w:rsid w:val="004F779C"/>
    <w:rsid w:val="004F7846"/>
    <w:rsid w:val="005000A6"/>
    <w:rsid w:val="005000D4"/>
    <w:rsid w:val="005004EE"/>
    <w:rsid w:val="005007AB"/>
    <w:rsid w:val="0050087E"/>
    <w:rsid w:val="00500B1E"/>
    <w:rsid w:val="00500B24"/>
    <w:rsid w:val="00500C17"/>
    <w:rsid w:val="005027F4"/>
    <w:rsid w:val="005036C2"/>
    <w:rsid w:val="0050492E"/>
    <w:rsid w:val="005051C9"/>
    <w:rsid w:val="00505E48"/>
    <w:rsid w:val="00506389"/>
    <w:rsid w:val="005067F4"/>
    <w:rsid w:val="00506FF7"/>
    <w:rsid w:val="0051084C"/>
    <w:rsid w:val="00510A69"/>
    <w:rsid w:val="00510CAF"/>
    <w:rsid w:val="0051114C"/>
    <w:rsid w:val="00511597"/>
    <w:rsid w:val="0051164A"/>
    <w:rsid w:val="00511915"/>
    <w:rsid w:val="005119A4"/>
    <w:rsid w:val="00511AC6"/>
    <w:rsid w:val="00511FD1"/>
    <w:rsid w:val="00512235"/>
    <w:rsid w:val="005128C5"/>
    <w:rsid w:val="00512905"/>
    <w:rsid w:val="00512D8B"/>
    <w:rsid w:val="00512E85"/>
    <w:rsid w:val="005136C7"/>
    <w:rsid w:val="0051478B"/>
    <w:rsid w:val="00514C1C"/>
    <w:rsid w:val="0051524F"/>
    <w:rsid w:val="0051559D"/>
    <w:rsid w:val="0051566A"/>
    <w:rsid w:val="00515D7B"/>
    <w:rsid w:val="00515DD8"/>
    <w:rsid w:val="005166E9"/>
    <w:rsid w:val="00516C92"/>
    <w:rsid w:val="00517917"/>
    <w:rsid w:val="0052009E"/>
    <w:rsid w:val="005200F7"/>
    <w:rsid w:val="00520AB5"/>
    <w:rsid w:val="00520D7F"/>
    <w:rsid w:val="00521596"/>
    <w:rsid w:val="00522066"/>
    <w:rsid w:val="005222FA"/>
    <w:rsid w:val="005247B4"/>
    <w:rsid w:val="00525059"/>
    <w:rsid w:val="00525740"/>
    <w:rsid w:val="00525E59"/>
    <w:rsid w:val="005278EE"/>
    <w:rsid w:val="00530A21"/>
    <w:rsid w:val="005310DD"/>
    <w:rsid w:val="00531851"/>
    <w:rsid w:val="005318CC"/>
    <w:rsid w:val="0053199E"/>
    <w:rsid w:val="00531D65"/>
    <w:rsid w:val="005321E1"/>
    <w:rsid w:val="00532255"/>
    <w:rsid w:val="00532FAE"/>
    <w:rsid w:val="005334E4"/>
    <w:rsid w:val="005349B1"/>
    <w:rsid w:val="00535AA4"/>
    <w:rsid w:val="00535DA3"/>
    <w:rsid w:val="005364A6"/>
    <w:rsid w:val="005364AE"/>
    <w:rsid w:val="0053652C"/>
    <w:rsid w:val="0053659B"/>
    <w:rsid w:val="005368A0"/>
    <w:rsid w:val="005374BC"/>
    <w:rsid w:val="0054069B"/>
    <w:rsid w:val="00540EC2"/>
    <w:rsid w:val="0054101E"/>
    <w:rsid w:val="005427DC"/>
    <w:rsid w:val="00543177"/>
    <w:rsid w:val="00543188"/>
    <w:rsid w:val="005432F0"/>
    <w:rsid w:val="00543367"/>
    <w:rsid w:val="00543741"/>
    <w:rsid w:val="0054384E"/>
    <w:rsid w:val="00543BFA"/>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3C4"/>
    <w:rsid w:val="005558FA"/>
    <w:rsid w:val="0055637C"/>
    <w:rsid w:val="00556B00"/>
    <w:rsid w:val="0055753F"/>
    <w:rsid w:val="00557618"/>
    <w:rsid w:val="00557782"/>
    <w:rsid w:val="00560866"/>
    <w:rsid w:val="00560C90"/>
    <w:rsid w:val="00560C94"/>
    <w:rsid w:val="00560FD5"/>
    <w:rsid w:val="0056101E"/>
    <w:rsid w:val="00561C0A"/>
    <w:rsid w:val="00562765"/>
    <w:rsid w:val="0056283B"/>
    <w:rsid w:val="0056291C"/>
    <w:rsid w:val="00563E82"/>
    <w:rsid w:val="00564289"/>
    <w:rsid w:val="005643FD"/>
    <w:rsid w:val="005646BB"/>
    <w:rsid w:val="005647F9"/>
    <w:rsid w:val="00564B19"/>
    <w:rsid w:val="00564C4B"/>
    <w:rsid w:val="0056586F"/>
    <w:rsid w:val="00565A63"/>
    <w:rsid w:val="00566588"/>
    <w:rsid w:val="0056662E"/>
    <w:rsid w:val="00566A26"/>
    <w:rsid w:val="00566F23"/>
    <w:rsid w:val="00566F6B"/>
    <w:rsid w:val="00567012"/>
    <w:rsid w:val="00567BA7"/>
    <w:rsid w:val="00567EA5"/>
    <w:rsid w:val="0057004B"/>
    <w:rsid w:val="00570514"/>
    <w:rsid w:val="005705B3"/>
    <w:rsid w:val="00571111"/>
    <w:rsid w:val="00571A41"/>
    <w:rsid w:val="0057216B"/>
    <w:rsid w:val="005721D0"/>
    <w:rsid w:val="0057275D"/>
    <w:rsid w:val="00572919"/>
    <w:rsid w:val="00572C41"/>
    <w:rsid w:val="0057329C"/>
    <w:rsid w:val="00573AD5"/>
    <w:rsid w:val="00573D1A"/>
    <w:rsid w:val="00574103"/>
    <w:rsid w:val="00574DA2"/>
    <w:rsid w:val="00575B68"/>
    <w:rsid w:val="00575DA6"/>
    <w:rsid w:val="00576423"/>
    <w:rsid w:val="00577104"/>
    <w:rsid w:val="0057737F"/>
    <w:rsid w:val="005800A9"/>
    <w:rsid w:val="00580488"/>
    <w:rsid w:val="005805A0"/>
    <w:rsid w:val="0058074D"/>
    <w:rsid w:val="00580FD1"/>
    <w:rsid w:val="00581A62"/>
    <w:rsid w:val="00582FAD"/>
    <w:rsid w:val="00583489"/>
    <w:rsid w:val="0058391F"/>
    <w:rsid w:val="00583A80"/>
    <w:rsid w:val="00584188"/>
    <w:rsid w:val="00584E33"/>
    <w:rsid w:val="00585432"/>
    <w:rsid w:val="00585AD4"/>
    <w:rsid w:val="00585E5C"/>
    <w:rsid w:val="00586819"/>
    <w:rsid w:val="00586E9A"/>
    <w:rsid w:val="00587419"/>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742"/>
    <w:rsid w:val="005A19CD"/>
    <w:rsid w:val="005A1C30"/>
    <w:rsid w:val="005A1CC6"/>
    <w:rsid w:val="005A31C9"/>
    <w:rsid w:val="005A3295"/>
    <w:rsid w:val="005A46FF"/>
    <w:rsid w:val="005A4AFF"/>
    <w:rsid w:val="005A65F0"/>
    <w:rsid w:val="005A7758"/>
    <w:rsid w:val="005A7B0E"/>
    <w:rsid w:val="005A7DB8"/>
    <w:rsid w:val="005B011E"/>
    <w:rsid w:val="005B028B"/>
    <w:rsid w:val="005B0764"/>
    <w:rsid w:val="005B2E84"/>
    <w:rsid w:val="005B352F"/>
    <w:rsid w:val="005B36DA"/>
    <w:rsid w:val="005B3E66"/>
    <w:rsid w:val="005B3FE8"/>
    <w:rsid w:val="005B436C"/>
    <w:rsid w:val="005B477E"/>
    <w:rsid w:val="005B4F97"/>
    <w:rsid w:val="005B50B0"/>
    <w:rsid w:val="005B52A4"/>
    <w:rsid w:val="005B5CA4"/>
    <w:rsid w:val="005B6E01"/>
    <w:rsid w:val="005B7476"/>
    <w:rsid w:val="005B7688"/>
    <w:rsid w:val="005B7849"/>
    <w:rsid w:val="005B7B0E"/>
    <w:rsid w:val="005C0DFA"/>
    <w:rsid w:val="005C0FF0"/>
    <w:rsid w:val="005C219B"/>
    <w:rsid w:val="005C3575"/>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0B95"/>
    <w:rsid w:val="005D15AE"/>
    <w:rsid w:val="005D1A7B"/>
    <w:rsid w:val="005D1EDD"/>
    <w:rsid w:val="005D456F"/>
    <w:rsid w:val="005D45B3"/>
    <w:rsid w:val="005D4AB3"/>
    <w:rsid w:val="005D4CEB"/>
    <w:rsid w:val="005D5344"/>
    <w:rsid w:val="005D5DA8"/>
    <w:rsid w:val="005D61EB"/>
    <w:rsid w:val="005E0AE0"/>
    <w:rsid w:val="005E518C"/>
    <w:rsid w:val="005E5F9A"/>
    <w:rsid w:val="005E6628"/>
    <w:rsid w:val="005E77F2"/>
    <w:rsid w:val="005F02B8"/>
    <w:rsid w:val="005F043C"/>
    <w:rsid w:val="005F0444"/>
    <w:rsid w:val="005F04E6"/>
    <w:rsid w:val="005F1138"/>
    <w:rsid w:val="005F13C8"/>
    <w:rsid w:val="005F17EC"/>
    <w:rsid w:val="005F1C2F"/>
    <w:rsid w:val="005F2F3F"/>
    <w:rsid w:val="005F39D5"/>
    <w:rsid w:val="005F3AB5"/>
    <w:rsid w:val="005F3E05"/>
    <w:rsid w:val="005F3E08"/>
    <w:rsid w:val="005F43B9"/>
    <w:rsid w:val="005F4BBF"/>
    <w:rsid w:val="005F55D6"/>
    <w:rsid w:val="005F5CA9"/>
    <w:rsid w:val="005F68CB"/>
    <w:rsid w:val="005F6BDE"/>
    <w:rsid w:val="005F7C62"/>
    <w:rsid w:val="005F7F90"/>
    <w:rsid w:val="00600242"/>
    <w:rsid w:val="00601974"/>
    <w:rsid w:val="00602652"/>
    <w:rsid w:val="00602B51"/>
    <w:rsid w:val="006033E3"/>
    <w:rsid w:val="00605FC7"/>
    <w:rsid w:val="00606218"/>
    <w:rsid w:val="00606CA3"/>
    <w:rsid w:val="00606E91"/>
    <w:rsid w:val="00607018"/>
    <w:rsid w:val="006077ED"/>
    <w:rsid w:val="00607C5F"/>
    <w:rsid w:val="00610954"/>
    <w:rsid w:val="00610CBE"/>
    <w:rsid w:val="00610E1F"/>
    <w:rsid w:val="0061321C"/>
    <w:rsid w:val="00614C5C"/>
    <w:rsid w:val="00614CA1"/>
    <w:rsid w:val="00615C2C"/>
    <w:rsid w:val="00616D42"/>
    <w:rsid w:val="00617297"/>
    <w:rsid w:val="0062038A"/>
    <w:rsid w:val="006203A8"/>
    <w:rsid w:val="00620E59"/>
    <w:rsid w:val="00621132"/>
    <w:rsid w:val="00622656"/>
    <w:rsid w:val="00622A77"/>
    <w:rsid w:val="00622C05"/>
    <w:rsid w:val="0062386E"/>
    <w:rsid w:val="00623D9A"/>
    <w:rsid w:val="00623F01"/>
    <w:rsid w:val="006242FB"/>
    <w:rsid w:val="00624738"/>
    <w:rsid w:val="0062670B"/>
    <w:rsid w:val="00626E2D"/>
    <w:rsid w:val="006272DE"/>
    <w:rsid w:val="00627A55"/>
    <w:rsid w:val="00627D94"/>
    <w:rsid w:val="00630490"/>
    <w:rsid w:val="006304D3"/>
    <w:rsid w:val="00630A33"/>
    <w:rsid w:val="00630AB9"/>
    <w:rsid w:val="00630B42"/>
    <w:rsid w:val="006310FC"/>
    <w:rsid w:val="006313B1"/>
    <w:rsid w:val="00631688"/>
    <w:rsid w:val="006316A4"/>
    <w:rsid w:val="006320D8"/>
    <w:rsid w:val="00632540"/>
    <w:rsid w:val="00632E88"/>
    <w:rsid w:val="0063454C"/>
    <w:rsid w:val="00634DBB"/>
    <w:rsid w:val="00635744"/>
    <w:rsid w:val="00635EA5"/>
    <w:rsid w:val="00637C26"/>
    <w:rsid w:val="00640732"/>
    <w:rsid w:val="006413B3"/>
    <w:rsid w:val="0064185E"/>
    <w:rsid w:val="00642072"/>
    <w:rsid w:val="00642088"/>
    <w:rsid w:val="00643DBD"/>
    <w:rsid w:val="006440ED"/>
    <w:rsid w:val="0064467C"/>
    <w:rsid w:val="00644F1E"/>
    <w:rsid w:val="00645213"/>
    <w:rsid w:val="00645293"/>
    <w:rsid w:val="006468CB"/>
    <w:rsid w:val="006469D9"/>
    <w:rsid w:val="00646CF8"/>
    <w:rsid w:val="00650A2D"/>
    <w:rsid w:val="00651B78"/>
    <w:rsid w:val="00652263"/>
    <w:rsid w:val="0065238F"/>
    <w:rsid w:val="00652881"/>
    <w:rsid w:val="00652985"/>
    <w:rsid w:val="006533AE"/>
    <w:rsid w:val="00653C38"/>
    <w:rsid w:val="006551AE"/>
    <w:rsid w:val="00657424"/>
    <w:rsid w:val="00661974"/>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2C9E"/>
    <w:rsid w:val="0067307E"/>
    <w:rsid w:val="0067333F"/>
    <w:rsid w:val="006739C0"/>
    <w:rsid w:val="00673F6D"/>
    <w:rsid w:val="00674850"/>
    <w:rsid w:val="00675116"/>
    <w:rsid w:val="00675D03"/>
    <w:rsid w:val="00676016"/>
    <w:rsid w:val="00676462"/>
    <w:rsid w:val="00676EA7"/>
    <w:rsid w:val="006805DF"/>
    <w:rsid w:val="00681B97"/>
    <w:rsid w:val="00682EC2"/>
    <w:rsid w:val="00683F61"/>
    <w:rsid w:val="00686A36"/>
    <w:rsid w:val="00687AD5"/>
    <w:rsid w:val="00687FBD"/>
    <w:rsid w:val="0069211A"/>
    <w:rsid w:val="00692775"/>
    <w:rsid w:val="00692B81"/>
    <w:rsid w:val="00692C4F"/>
    <w:rsid w:val="00693B90"/>
    <w:rsid w:val="00693F2C"/>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28BF"/>
    <w:rsid w:val="006A2EA3"/>
    <w:rsid w:val="006A303F"/>
    <w:rsid w:val="006A3CC1"/>
    <w:rsid w:val="006A3F9D"/>
    <w:rsid w:val="006A4899"/>
    <w:rsid w:val="006A62E1"/>
    <w:rsid w:val="006A6566"/>
    <w:rsid w:val="006A72C6"/>
    <w:rsid w:val="006A7310"/>
    <w:rsid w:val="006B02DA"/>
    <w:rsid w:val="006B08FB"/>
    <w:rsid w:val="006B0A5A"/>
    <w:rsid w:val="006B14BF"/>
    <w:rsid w:val="006B2065"/>
    <w:rsid w:val="006B275B"/>
    <w:rsid w:val="006B2D79"/>
    <w:rsid w:val="006B2F8B"/>
    <w:rsid w:val="006B30BF"/>
    <w:rsid w:val="006B38C6"/>
    <w:rsid w:val="006B3940"/>
    <w:rsid w:val="006B45A6"/>
    <w:rsid w:val="006B47D3"/>
    <w:rsid w:val="006B62F0"/>
    <w:rsid w:val="006B6C6B"/>
    <w:rsid w:val="006C09B6"/>
    <w:rsid w:val="006C111B"/>
    <w:rsid w:val="006C168D"/>
    <w:rsid w:val="006C2BF5"/>
    <w:rsid w:val="006C48EF"/>
    <w:rsid w:val="006C4A40"/>
    <w:rsid w:val="006C4E56"/>
    <w:rsid w:val="006C5CE0"/>
    <w:rsid w:val="006C5E49"/>
    <w:rsid w:val="006C5EDB"/>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B4D"/>
    <w:rsid w:val="006D41EF"/>
    <w:rsid w:val="006D53AA"/>
    <w:rsid w:val="006D6993"/>
    <w:rsid w:val="006D70F0"/>
    <w:rsid w:val="006D78AA"/>
    <w:rsid w:val="006E0D09"/>
    <w:rsid w:val="006E1F1D"/>
    <w:rsid w:val="006E241F"/>
    <w:rsid w:val="006E24EE"/>
    <w:rsid w:val="006E25BD"/>
    <w:rsid w:val="006E3379"/>
    <w:rsid w:val="006E34B7"/>
    <w:rsid w:val="006E36B8"/>
    <w:rsid w:val="006E3874"/>
    <w:rsid w:val="006E5585"/>
    <w:rsid w:val="006E5842"/>
    <w:rsid w:val="006E59EA"/>
    <w:rsid w:val="006E5BAC"/>
    <w:rsid w:val="006E5E32"/>
    <w:rsid w:val="006E62D5"/>
    <w:rsid w:val="006E633A"/>
    <w:rsid w:val="006E6A14"/>
    <w:rsid w:val="006E6B16"/>
    <w:rsid w:val="006E6DE8"/>
    <w:rsid w:val="006E780C"/>
    <w:rsid w:val="006F0823"/>
    <w:rsid w:val="006F0BA7"/>
    <w:rsid w:val="006F0EB9"/>
    <w:rsid w:val="006F0F01"/>
    <w:rsid w:val="006F174D"/>
    <w:rsid w:val="006F1F41"/>
    <w:rsid w:val="006F3222"/>
    <w:rsid w:val="006F32EF"/>
    <w:rsid w:val="006F3615"/>
    <w:rsid w:val="006F3788"/>
    <w:rsid w:val="006F3C54"/>
    <w:rsid w:val="006F4CD8"/>
    <w:rsid w:val="006F53D9"/>
    <w:rsid w:val="006F5812"/>
    <w:rsid w:val="006F609A"/>
    <w:rsid w:val="006F6E7A"/>
    <w:rsid w:val="006F7FDA"/>
    <w:rsid w:val="007004DC"/>
    <w:rsid w:val="00701093"/>
    <w:rsid w:val="007018D6"/>
    <w:rsid w:val="007022C4"/>
    <w:rsid w:val="007026E9"/>
    <w:rsid w:val="00703C8B"/>
    <w:rsid w:val="00703E8A"/>
    <w:rsid w:val="00704372"/>
    <w:rsid w:val="00704F60"/>
    <w:rsid w:val="00706045"/>
    <w:rsid w:val="00706EA3"/>
    <w:rsid w:val="007078BE"/>
    <w:rsid w:val="00710BF6"/>
    <w:rsid w:val="00711522"/>
    <w:rsid w:val="007118A6"/>
    <w:rsid w:val="007124FE"/>
    <w:rsid w:val="00712533"/>
    <w:rsid w:val="00713186"/>
    <w:rsid w:val="00713757"/>
    <w:rsid w:val="00713758"/>
    <w:rsid w:val="007137D8"/>
    <w:rsid w:val="00714064"/>
    <w:rsid w:val="00715517"/>
    <w:rsid w:val="00716A38"/>
    <w:rsid w:val="00717772"/>
    <w:rsid w:val="00717BDC"/>
    <w:rsid w:val="007200E5"/>
    <w:rsid w:val="00720622"/>
    <w:rsid w:val="00720C17"/>
    <w:rsid w:val="00721AF1"/>
    <w:rsid w:val="0072280F"/>
    <w:rsid w:val="00722B5E"/>
    <w:rsid w:val="007230F1"/>
    <w:rsid w:val="007235F5"/>
    <w:rsid w:val="00723B2C"/>
    <w:rsid w:val="007253CC"/>
    <w:rsid w:val="00725668"/>
    <w:rsid w:val="00726F5A"/>
    <w:rsid w:val="0072708F"/>
    <w:rsid w:val="00730172"/>
    <w:rsid w:val="00730E81"/>
    <w:rsid w:val="00731000"/>
    <w:rsid w:val="00731204"/>
    <w:rsid w:val="007319BC"/>
    <w:rsid w:val="0073222B"/>
    <w:rsid w:val="00732582"/>
    <w:rsid w:val="00732D1D"/>
    <w:rsid w:val="00732F5C"/>
    <w:rsid w:val="007332C4"/>
    <w:rsid w:val="00733C68"/>
    <w:rsid w:val="00734381"/>
    <w:rsid w:val="00735EAA"/>
    <w:rsid w:val="00736034"/>
    <w:rsid w:val="0073681C"/>
    <w:rsid w:val="0073725B"/>
    <w:rsid w:val="00737E96"/>
    <w:rsid w:val="00740189"/>
    <w:rsid w:val="0074033C"/>
    <w:rsid w:val="0074050E"/>
    <w:rsid w:val="0074065B"/>
    <w:rsid w:val="00740B66"/>
    <w:rsid w:val="00741AF8"/>
    <w:rsid w:val="00741EBE"/>
    <w:rsid w:val="00742112"/>
    <w:rsid w:val="00742181"/>
    <w:rsid w:val="00742218"/>
    <w:rsid w:val="007424EC"/>
    <w:rsid w:val="00742728"/>
    <w:rsid w:val="00742AB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2144"/>
    <w:rsid w:val="0076230F"/>
    <w:rsid w:val="00762ABF"/>
    <w:rsid w:val="00762C75"/>
    <w:rsid w:val="00762F29"/>
    <w:rsid w:val="00764A94"/>
    <w:rsid w:val="00764B26"/>
    <w:rsid w:val="00764EA6"/>
    <w:rsid w:val="0076511D"/>
    <w:rsid w:val="007651A9"/>
    <w:rsid w:val="007651E5"/>
    <w:rsid w:val="0076524F"/>
    <w:rsid w:val="00765584"/>
    <w:rsid w:val="007665B2"/>
    <w:rsid w:val="00766B12"/>
    <w:rsid w:val="007670DC"/>
    <w:rsid w:val="00767356"/>
    <w:rsid w:val="00770F2A"/>
    <w:rsid w:val="0077111A"/>
    <w:rsid w:val="00771F95"/>
    <w:rsid w:val="0077213A"/>
    <w:rsid w:val="007721E2"/>
    <w:rsid w:val="00772272"/>
    <w:rsid w:val="0077369F"/>
    <w:rsid w:val="0077463A"/>
    <w:rsid w:val="00774AB3"/>
    <w:rsid w:val="00774D0F"/>
    <w:rsid w:val="00774D7B"/>
    <w:rsid w:val="007756ED"/>
    <w:rsid w:val="0077589D"/>
    <w:rsid w:val="0077617F"/>
    <w:rsid w:val="00776A3D"/>
    <w:rsid w:val="0077707A"/>
    <w:rsid w:val="007776BF"/>
    <w:rsid w:val="00780B65"/>
    <w:rsid w:val="007819A1"/>
    <w:rsid w:val="00782B2A"/>
    <w:rsid w:val="00783BA5"/>
    <w:rsid w:val="00784F9E"/>
    <w:rsid w:val="0078533C"/>
    <w:rsid w:val="007857FB"/>
    <w:rsid w:val="007863A3"/>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3680"/>
    <w:rsid w:val="007A3BCD"/>
    <w:rsid w:val="007A5214"/>
    <w:rsid w:val="007A5357"/>
    <w:rsid w:val="007A59B8"/>
    <w:rsid w:val="007A65AF"/>
    <w:rsid w:val="007A7682"/>
    <w:rsid w:val="007A7F38"/>
    <w:rsid w:val="007A7F42"/>
    <w:rsid w:val="007B0E14"/>
    <w:rsid w:val="007B2862"/>
    <w:rsid w:val="007B2FD8"/>
    <w:rsid w:val="007B3968"/>
    <w:rsid w:val="007B3B0A"/>
    <w:rsid w:val="007B45AF"/>
    <w:rsid w:val="007B4DD0"/>
    <w:rsid w:val="007B611E"/>
    <w:rsid w:val="007B662A"/>
    <w:rsid w:val="007B684F"/>
    <w:rsid w:val="007B6A73"/>
    <w:rsid w:val="007B71DC"/>
    <w:rsid w:val="007B758B"/>
    <w:rsid w:val="007B7743"/>
    <w:rsid w:val="007C04F4"/>
    <w:rsid w:val="007C0CFB"/>
    <w:rsid w:val="007C2139"/>
    <w:rsid w:val="007C27DE"/>
    <w:rsid w:val="007C299E"/>
    <w:rsid w:val="007C2DFD"/>
    <w:rsid w:val="007C3C64"/>
    <w:rsid w:val="007C3F97"/>
    <w:rsid w:val="007C525F"/>
    <w:rsid w:val="007C5321"/>
    <w:rsid w:val="007C5E8A"/>
    <w:rsid w:val="007C5F4B"/>
    <w:rsid w:val="007C6AAB"/>
    <w:rsid w:val="007C6DDF"/>
    <w:rsid w:val="007C6EA8"/>
    <w:rsid w:val="007C7B84"/>
    <w:rsid w:val="007C7E09"/>
    <w:rsid w:val="007D1FE9"/>
    <w:rsid w:val="007D28C9"/>
    <w:rsid w:val="007D3009"/>
    <w:rsid w:val="007D326B"/>
    <w:rsid w:val="007D38F0"/>
    <w:rsid w:val="007D3CC8"/>
    <w:rsid w:val="007D430A"/>
    <w:rsid w:val="007D47FB"/>
    <w:rsid w:val="007D4DD3"/>
    <w:rsid w:val="007D4F6E"/>
    <w:rsid w:val="007D5362"/>
    <w:rsid w:val="007D576A"/>
    <w:rsid w:val="007D5AA3"/>
    <w:rsid w:val="007D62F9"/>
    <w:rsid w:val="007D63A4"/>
    <w:rsid w:val="007D6542"/>
    <w:rsid w:val="007D7313"/>
    <w:rsid w:val="007E1AA2"/>
    <w:rsid w:val="007E1EE3"/>
    <w:rsid w:val="007E1F2C"/>
    <w:rsid w:val="007E2429"/>
    <w:rsid w:val="007E2793"/>
    <w:rsid w:val="007E279D"/>
    <w:rsid w:val="007E2D69"/>
    <w:rsid w:val="007E3B9A"/>
    <w:rsid w:val="007E46E8"/>
    <w:rsid w:val="007E470F"/>
    <w:rsid w:val="007E4C1F"/>
    <w:rsid w:val="007E500F"/>
    <w:rsid w:val="007E55C0"/>
    <w:rsid w:val="007F01DE"/>
    <w:rsid w:val="007F0759"/>
    <w:rsid w:val="007F0BCC"/>
    <w:rsid w:val="007F0D5B"/>
    <w:rsid w:val="007F156E"/>
    <w:rsid w:val="007F1C97"/>
    <w:rsid w:val="007F1CF3"/>
    <w:rsid w:val="007F25C0"/>
    <w:rsid w:val="007F30BB"/>
    <w:rsid w:val="007F3368"/>
    <w:rsid w:val="007F3D6A"/>
    <w:rsid w:val="007F4C96"/>
    <w:rsid w:val="007F5F52"/>
    <w:rsid w:val="007F672A"/>
    <w:rsid w:val="007F6A1D"/>
    <w:rsid w:val="007F6A4B"/>
    <w:rsid w:val="007F77C6"/>
    <w:rsid w:val="007F79D4"/>
    <w:rsid w:val="008003A1"/>
    <w:rsid w:val="008006B7"/>
    <w:rsid w:val="00800FDB"/>
    <w:rsid w:val="00802081"/>
    <w:rsid w:val="008020F6"/>
    <w:rsid w:val="0080298E"/>
    <w:rsid w:val="00802F04"/>
    <w:rsid w:val="00803833"/>
    <w:rsid w:val="00804316"/>
    <w:rsid w:val="008044F8"/>
    <w:rsid w:val="00804B55"/>
    <w:rsid w:val="008050BC"/>
    <w:rsid w:val="00805D3E"/>
    <w:rsid w:val="00806461"/>
    <w:rsid w:val="008064C1"/>
    <w:rsid w:val="00806635"/>
    <w:rsid w:val="0081096D"/>
    <w:rsid w:val="00810EAD"/>
    <w:rsid w:val="00811833"/>
    <w:rsid w:val="008134C7"/>
    <w:rsid w:val="00814BDE"/>
    <w:rsid w:val="00814DBC"/>
    <w:rsid w:val="008159A9"/>
    <w:rsid w:val="008174D4"/>
    <w:rsid w:val="0082002E"/>
    <w:rsid w:val="0082083C"/>
    <w:rsid w:val="00820C54"/>
    <w:rsid w:val="00820F37"/>
    <w:rsid w:val="00820FE6"/>
    <w:rsid w:val="00821A66"/>
    <w:rsid w:val="00822476"/>
    <w:rsid w:val="008227FB"/>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1CAC"/>
    <w:rsid w:val="008320ED"/>
    <w:rsid w:val="00832A0F"/>
    <w:rsid w:val="008353D5"/>
    <w:rsid w:val="00835408"/>
    <w:rsid w:val="008358A2"/>
    <w:rsid w:val="008359DA"/>
    <w:rsid w:val="00837CEF"/>
    <w:rsid w:val="00837E2F"/>
    <w:rsid w:val="00840035"/>
    <w:rsid w:val="00842661"/>
    <w:rsid w:val="008428A9"/>
    <w:rsid w:val="00842D1E"/>
    <w:rsid w:val="00844112"/>
    <w:rsid w:val="008444D6"/>
    <w:rsid w:val="008456C9"/>
    <w:rsid w:val="00845CE1"/>
    <w:rsid w:val="0084611D"/>
    <w:rsid w:val="00846177"/>
    <w:rsid w:val="008462E0"/>
    <w:rsid w:val="0084654D"/>
    <w:rsid w:val="00846C9F"/>
    <w:rsid w:val="00847BD6"/>
    <w:rsid w:val="00850137"/>
    <w:rsid w:val="00850C62"/>
    <w:rsid w:val="00852B48"/>
    <w:rsid w:val="0085474D"/>
    <w:rsid w:val="008550E7"/>
    <w:rsid w:val="00856481"/>
    <w:rsid w:val="00856484"/>
    <w:rsid w:val="008567A2"/>
    <w:rsid w:val="00856E6C"/>
    <w:rsid w:val="008578A7"/>
    <w:rsid w:val="00857DE1"/>
    <w:rsid w:val="00860793"/>
    <w:rsid w:val="00862636"/>
    <w:rsid w:val="00863011"/>
    <w:rsid w:val="0086340E"/>
    <w:rsid w:val="00863C5B"/>
    <w:rsid w:val="00863D2E"/>
    <w:rsid w:val="00864E32"/>
    <w:rsid w:val="00865075"/>
    <w:rsid w:val="00865B2B"/>
    <w:rsid w:val="00865E2D"/>
    <w:rsid w:val="0086615F"/>
    <w:rsid w:val="0086748F"/>
    <w:rsid w:val="00870FBB"/>
    <w:rsid w:val="00871A0D"/>
    <w:rsid w:val="00871B95"/>
    <w:rsid w:val="008720A7"/>
    <w:rsid w:val="00872757"/>
    <w:rsid w:val="00872CE4"/>
    <w:rsid w:val="0087359D"/>
    <w:rsid w:val="0087391D"/>
    <w:rsid w:val="00873AA4"/>
    <w:rsid w:val="00873CA8"/>
    <w:rsid w:val="00873F3E"/>
    <w:rsid w:val="00873F5D"/>
    <w:rsid w:val="0087507A"/>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0FFF"/>
    <w:rsid w:val="0089214A"/>
    <w:rsid w:val="00892226"/>
    <w:rsid w:val="008922FA"/>
    <w:rsid w:val="00892D3E"/>
    <w:rsid w:val="008936DC"/>
    <w:rsid w:val="00893784"/>
    <w:rsid w:val="00893E53"/>
    <w:rsid w:val="008945EB"/>
    <w:rsid w:val="00894C2A"/>
    <w:rsid w:val="008964A8"/>
    <w:rsid w:val="0089690B"/>
    <w:rsid w:val="00896A5F"/>
    <w:rsid w:val="0089728F"/>
    <w:rsid w:val="008976C0"/>
    <w:rsid w:val="00897708"/>
    <w:rsid w:val="00897D88"/>
    <w:rsid w:val="008A14C7"/>
    <w:rsid w:val="008A17AF"/>
    <w:rsid w:val="008A1F98"/>
    <w:rsid w:val="008A2C65"/>
    <w:rsid w:val="008A2F16"/>
    <w:rsid w:val="008A36AE"/>
    <w:rsid w:val="008A3B1C"/>
    <w:rsid w:val="008A48C3"/>
    <w:rsid w:val="008A4E18"/>
    <w:rsid w:val="008A520C"/>
    <w:rsid w:val="008A5493"/>
    <w:rsid w:val="008A596C"/>
    <w:rsid w:val="008A5A5D"/>
    <w:rsid w:val="008A64C4"/>
    <w:rsid w:val="008A6789"/>
    <w:rsid w:val="008A6BF7"/>
    <w:rsid w:val="008A6CC1"/>
    <w:rsid w:val="008A7011"/>
    <w:rsid w:val="008A72FB"/>
    <w:rsid w:val="008A7F03"/>
    <w:rsid w:val="008B009C"/>
    <w:rsid w:val="008B1823"/>
    <w:rsid w:val="008B1B4E"/>
    <w:rsid w:val="008B24DC"/>
    <w:rsid w:val="008B2BDF"/>
    <w:rsid w:val="008B4198"/>
    <w:rsid w:val="008B586A"/>
    <w:rsid w:val="008B6651"/>
    <w:rsid w:val="008B6E16"/>
    <w:rsid w:val="008B7110"/>
    <w:rsid w:val="008B7A20"/>
    <w:rsid w:val="008C0DF9"/>
    <w:rsid w:val="008C2029"/>
    <w:rsid w:val="008C267C"/>
    <w:rsid w:val="008C2E44"/>
    <w:rsid w:val="008C3427"/>
    <w:rsid w:val="008C381D"/>
    <w:rsid w:val="008C3BC2"/>
    <w:rsid w:val="008C4413"/>
    <w:rsid w:val="008C4F76"/>
    <w:rsid w:val="008C55AD"/>
    <w:rsid w:val="008C6127"/>
    <w:rsid w:val="008C61D6"/>
    <w:rsid w:val="008C649D"/>
    <w:rsid w:val="008C64F1"/>
    <w:rsid w:val="008C69DE"/>
    <w:rsid w:val="008C6E7E"/>
    <w:rsid w:val="008C7163"/>
    <w:rsid w:val="008C7C1A"/>
    <w:rsid w:val="008D0DC1"/>
    <w:rsid w:val="008D1326"/>
    <w:rsid w:val="008D191C"/>
    <w:rsid w:val="008D1BB0"/>
    <w:rsid w:val="008D20FF"/>
    <w:rsid w:val="008D24F5"/>
    <w:rsid w:val="008D2B9A"/>
    <w:rsid w:val="008D396D"/>
    <w:rsid w:val="008D3DE6"/>
    <w:rsid w:val="008D4223"/>
    <w:rsid w:val="008D44CC"/>
    <w:rsid w:val="008D46E3"/>
    <w:rsid w:val="008D4CED"/>
    <w:rsid w:val="008D50F9"/>
    <w:rsid w:val="008D5CAF"/>
    <w:rsid w:val="008D6709"/>
    <w:rsid w:val="008E083A"/>
    <w:rsid w:val="008E12AD"/>
    <w:rsid w:val="008E21BC"/>
    <w:rsid w:val="008E22FF"/>
    <w:rsid w:val="008E2450"/>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668"/>
    <w:rsid w:val="008F48E1"/>
    <w:rsid w:val="008F4C10"/>
    <w:rsid w:val="008F5442"/>
    <w:rsid w:val="008F653E"/>
    <w:rsid w:val="008F7328"/>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753"/>
    <w:rsid w:val="00907264"/>
    <w:rsid w:val="00907488"/>
    <w:rsid w:val="0090765F"/>
    <w:rsid w:val="00907DE6"/>
    <w:rsid w:val="00910642"/>
    <w:rsid w:val="00911305"/>
    <w:rsid w:val="00912590"/>
    <w:rsid w:val="009125B5"/>
    <w:rsid w:val="00913200"/>
    <w:rsid w:val="00914EAB"/>
    <w:rsid w:val="009152D8"/>
    <w:rsid w:val="009154FD"/>
    <w:rsid w:val="00915A1D"/>
    <w:rsid w:val="0092042F"/>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0E85"/>
    <w:rsid w:val="00931040"/>
    <w:rsid w:val="00931663"/>
    <w:rsid w:val="00931D22"/>
    <w:rsid w:val="00932CC7"/>
    <w:rsid w:val="00935306"/>
    <w:rsid w:val="00935CDE"/>
    <w:rsid w:val="0093605E"/>
    <w:rsid w:val="00936688"/>
    <w:rsid w:val="00936F09"/>
    <w:rsid w:val="00937683"/>
    <w:rsid w:val="00937AC9"/>
    <w:rsid w:val="00937CFA"/>
    <w:rsid w:val="00937FC6"/>
    <w:rsid w:val="00940291"/>
    <w:rsid w:val="009406B3"/>
    <w:rsid w:val="00942286"/>
    <w:rsid w:val="00942EFD"/>
    <w:rsid w:val="00942F30"/>
    <w:rsid w:val="00943748"/>
    <w:rsid w:val="00943AB7"/>
    <w:rsid w:val="00943CEE"/>
    <w:rsid w:val="009444F4"/>
    <w:rsid w:val="00944674"/>
    <w:rsid w:val="00945727"/>
    <w:rsid w:val="00945CC4"/>
    <w:rsid w:val="00945CF5"/>
    <w:rsid w:val="0094691C"/>
    <w:rsid w:val="00947C95"/>
    <w:rsid w:val="00947EED"/>
    <w:rsid w:val="009500A1"/>
    <w:rsid w:val="009502B0"/>
    <w:rsid w:val="0095037E"/>
    <w:rsid w:val="00951D97"/>
    <w:rsid w:val="00952230"/>
    <w:rsid w:val="00952AAD"/>
    <w:rsid w:val="00953B2B"/>
    <w:rsid w:val="00954567"/>
    <w:rsid w:val="009547B3"/>
    <w:rsid w:val="00954A89"/>
    <w:rsid w:val="00954DE0"/>
    <w:rsid w:val="00955B17"/>
    <w:rsid w:val="00956671"/>
    <w:rsid w:val="009568D4"/>
    <w:rsid w:val="00956EEA"/>
    <w:rsid w:val="00957466"/>
    <w:rsid w:val="009576F7"/>
    <w:rsid w:val="00960646"/>
    <w:rsid w:val="00960722"/>
    <w:rsid w:val="00961356"/>
    <w:rsid w:val="00962401"/>
    <w:rsid w:val="00962510"/>
    <w:rsid w:val="0096260B"/>
    <w:rsid w:val="0096275C"/>
    <w:rsid w:val="009627FF"/>
    <w:rsid w:val="0096290F"/>
    <w:rsid w:val="00962A27"/>
    <w:rsid w:val="00962B9D"/>
    <w:rsid w:val="00962EDC"/>
    <w:rsid w:val="00964E3D"/>
    <w:rsid w:val="009664D5"/>
    <w:rsid w:val="009668A9"/>
    <w:rsid w:val="00966E6A"/>
    <w:rsid w:val="009670C1"/>
    <w:rsid w:val="00970C69"/>
    <w:rsid w:val="00971262"/>
    <w:rsid w:val="00971F1C"/>
    <w:rsid w:val="009720F0"/>
    <w:rsid w:val="0097211D"/>
    <w:rsid w:val="009724F9"/>
    <w:rsid w:val="0097263C"/>
    <w:rsid w:val="00972DF9"/>
    <w:rsid w:val="00972E10"/>
    <w:rsid w:val="009738AD"/>
    <w:rsid w:val="00973DE4"/>
    <w:rsid w:val="00974694"/>
    <w:rsid w:val="009746CA"/>
    <w:rsid w:val="00974E7C"/>
    <w:rsid w:val="00976F71"/>
    <w:rsid w:val="00977134"/>
    <w:rsid w:val="00980013"/>
    <w:rsid w:val="0098010E"/>
    <w:rsid w:val="009801B9"/>
    <w:rsid w:val="0098028A"/>
    <w:rsid w:val="0098030F"/>
    <w:rsid w:val="00980E65"/>
    <w:rsid w:val="0098122D"/>
    <w:rsid w:val="00981963"/>
    <w:rsid w:val="00982AAE"/>
    <w:rsid w:val="009831B9"/>
    <w:rsid w:val="00983A16"/>
    <w:rsid w:val="00983C82"/>
    <w:rsid w:val="009844D6"/>
    <w:rsid w:val="00984520"/>
    <w:rsid w:val="00985337"/>
    <w:rsid w:val="0098545C"/>
    <w:rsid w:val="00985F36"/>
    <w:rsid w:val="009862F1"/>
    <w:rsid w:val="00986F70"/>
    <w:rsid w:val="009871EA"/>
    <w:rsid w:val="00987CEA"/>
    <w:rsid w:val="00991675"/>
    <w:rsid w:val="00992BA2"/>
    <w:rsid w:val="00992F83"/>
    <w:rsid w:val="0099344F"/>
    <w:rsid w:val="00993577"/>
    <w:rsid w:val="00993A3C"/>
    <w:rsid w:val="00994633"/>
    <w:rsid w:val="0099508A"/>
    <w:rsid w:val="009967D7"/>
    <w:rsid w:val="009974EB"/>
    <w:rsid w:val="00997A12"/>
    <w:rsid w:val="009A0C49"/>
    <w:rsid w:val="009A1126"/>
    <w:rsid w:val="009A1CB4"/>
    <w:rsid w:val="009A2157"/>
    <w:rsid w:val="009A439E"/>
    <w:rsid w:val="009A5564"/>
    <w:rsid w:val="009A5C33"/>
    <w:rsid w:val="009A7469"/>
    <w:rsid w:val="009B07EE"/>
    <w:rsid w:val="009B1584"/>
    <w:rsid w:val="009B1B32"/>
    <w:rsid w:val="009B21CA"/>
    <w:rsid w:val="009B2648"/>
    <w:rsid w:val="009B424E"/>
    <w:rsid w:val="009B4317"/>
    <w:rsid w:val="009B4EBB"/>
    <w:rsid w:val="009B529C"/>
    <w:rsid w:val="009B5FA5"/>
    <w:rsid w:val="009B61B2"/>
    <w:rsid w:val="009B679E"/>
    <w:rsid w:val="009B7332"/>
    <w:rsid w:val="009B7420"/>
    <w:rsid w:val="009B7B09"/>
    <w:rsid w:val="009B7B46"/>
    <w:rsid w:val="009C0294"/>
    <w:rsid w:val="009C03E5"/>
    <w:rsid w:val="009C08B6"/>
    <w:rsid w:val="009C0920"/>
    <w:rsid w:val="009C12C3"/>
    <w:rsid w:val="009C1928"/>
    <w:rsid w:val="009C196C"/>
    <w:rsid w:val="009C1B5C"/>
    <w:rsid w:val="009C1FD2"/>
    <w:rsid w:val="009C36E6"/>
    <w:rsid w:val="009C3730"/>
    <w:rsid w:val="009C37BD"/>
    <w:rsid w:val="009C3888"/>
    <w:rsid w:val="009C3AAC"/>
    <w:rsid w:val="009C4D19"/>
    <w:rsid w:val="009C5F6C"/>
    <w:rsid w:val="009C5FDB"/>
    <w:rsid w:val="009C693E"/>
    <w:rsid w:val="009C6B2C"/>
    <w:rsid w:val="009C6ED6"/>
    <w:rsid w:val="009C70CB"/>
    <w:rsid w:val="009C7623"/>
    <w:rsid w:val="009C7D89"/>
    <w:rsid w:val="009C7E41"/>
    <w:rsid w:val="009D07C7"/>
    <w:rsid w:val="009D14EB"/>
    <w:rsid w:val="009D1B18"/>
    <w:rsid w:val="009D1E70"/>
    <w:rsid w:val="009D1EA4"/>
    <w:rsid w:val="009D27AA"/>
    <w:rsid w:val="009D2BFD"/>
    <w:rsid w:val="009D2FF8"/>
    <w:rsid w:val="009D3F20"/>
    <w:rsid w:val="009D428F"/>
    <w:rsid w:val="009D4991"/>
    <w:rsid w:val="009D597B"/>
    <w:rsid w:val="009D5A89"/>
    <w:rsid w:val="009D5BB5"/>
    <w:rsid w:val="009D6657"/>
    <w:rsid w:val="009D66C1"/>
    <w:rsid w:val="009D696D"/>
    <w:rsid w:val="009D6993"/>
    <w:rsid w:val="009D6ED2"/>
    <w:rsid w:val="009D78A3"/>
    <w:rsid w:val="009D7DB4"/>
    <w:rsid w:val="009E0603"/>
    <w:rsid w:val="009E08B3"/>
    <w:rsid w:val="009E0F1A"/>
    <w:rsid w:val="009E140D"/>
    <w:rsid w:val="009E43DD"/>
    <w:rsid w:val="009E4465"/>
    <w:rsid w:val="009E5318"/>
    <w:rsid w:val="009E6401"/>
    <w:rsid w:val="009E6C54"/>
    <w:rsid w:val="009E72E8"/>
    <w:rsid w:val="009F04C8"/>
    <w:rsid w:val="009F0812"/>
    <w:rsid w:val="009F0E02"/>
    <w:rsid w:val="009F1B6A"/>
    <w:rsid w:val="009F2408"/>
    <w:rsid w:val="009F248B"/>
    <w:rsid w:val="009F2A25"/>
    <w:rsid w:val="009F3A1A"/>
    <w:rsid w:val="009F4C7D"/>
    <w:rsid w:val="009F5235"/>
    <w:rsid w:val="009F531A"/>
    <w:rsid w:val="009F5EB9"/>
    <w:rsid w:val="009F6344"/>
    <w:rsid w:val="009F6550"/>
    <w:rsid w:val="009F6B65"/>
    <w:rsid w:val="009F786E"/>
    <w:rsid w:val="009F7B30"/>
    <w:rsid w:val="00A00817"/>
    <w:rsid w:val="00A00902"/>
    <w:rsid w:val="00A0098B"/>
    <w:rsid w:val="00A01A28"/>
    <w:rsid w:val="00A0294E"/>
    <w:rsid w:val="00A0327A"/>
    <w:rsid w:val="00A039FF"/>
    <w:rsid w:val="00A04524"/>
    <w:rsid w:val="00A046F6"/>
    <w:rsid w:val="00A05758"/>
    <w:rsid w:val="00A05ACE"/>
    <w:rsid w:val="00A06DBC"/>
    <w:rsid w:val="00A10C6C"/>
    <w:rsid w:val="00A114B9"/>
    <w:rsid w:val="00A11895"/>
    <w:rsid w:val="00A1211A"/>
    <w:rsid w:val="00A139BF"/>
    <w:rsid w:val="00A13A2E"/>
    <w:rsid w:val="00A13A65"/>
    <w:rsid w:val="00A13A67"/>
    <w:rsid w:val="00A14589"/>
    <w:rsid w:val="00A14AE3"/>
    <w:rsid w:val="00A151A0"/>
    <w:rsid w:val="00A16675"/>
    <w:rsid w:val="00A218AC"/>
    <w:rsid w:val="00A21955"/>
    <w:rsid w:val="00A22BB6"/>
    <w:rsid w:val="00A22CD6"/>
    <w:rsid w:val="00A234EC"/>
    <w:rsid w:val="00A24128"/>
    <w:rsid w:val="00A2417A"/>
    <w:rsid w:val="00A25642"/>
    <w:rsid w:val="00A26668"/>
    <w:rsid w:val="00A2681F"/>
    <w:rsid w:val="00A27804"/>
    <w:rsid w:val="00A317EA"/>
    <w:rsid w:val="00A320F6"/>
    <w:rsid w:val="00A3276D"/>
    <w:rsid w:val="00A330B0"/>
    <w:rsid w:val="00A334D1"/>
    <w:rsid w:val="00A34029"/>
    <w:rsid w:val="00A34257"/>
    <w:rsid w:val="00A34426"/>
    <w:rsid w:val="00A346FC"/>
    <w:rsid w:val="00A34F44"/>
    <w:rsid w:val="00A34F72"/>
    <w:rsid w:val="00A35CDF"/>
    <w:rsid w:val="00A3655D"/>
    <w:rsid w:val="00A36822"/>
    <w:rsid w:val="00A36AB5"/>
    <w:rsid w:val="00A374FD"/>
    <w:rsid w:val="00A3754B"/>
    <w:rsid w:val="00A402DD"/>
    <w:rsid w:val="00A4069E"/>
    <w:rsid w:val="00A40BBF"/>
    <w:rsid w:val="00A411D1"/>
    <w:rsid w:val="00A432E9"/>
    <w:rsid w:val="00A43389"/>
    <w:rsid w:val="00A434A7"/>
    <w:rsid w:val="00A43687"/>
    <w:rsid w:val="00A43E71"/>
    <w:rsid w:val="00A4526F"/>
    <w:rsid w:val="00A454C0"/>
    <w:rsid w:val="00A45753"/>
    <w:rsid w:val="00A457B8"/>
    <w:rsid w:val="00A46E47"/>
    <w:rsid w:val="00A479DC"/>
    <w:rsid w:val="00A47B15"/>
    <w:rsid w:val="00A5094A"/>
    <w:rsid w:val="00A51708"/>
    <w:rsid w:val="00A52F84"/>
    <w:rsid w:val="00A533CC"/>
    <w:rsid w:val="00A54284"/>
    <w:rsid w:val="00A5465A"/>
    <w:rsid w:val="00A54FB5"/>
    <w:rsid w:val="00A552C0"/>
    <w:rsid w:val="00A55BFA"/>
    <w:rsid w:val="00A56B05"/>
    <w:rsid w:val="00A56C06"/>
    <w:rsid w:val="00A56E50"/>
    <w:rsid w:val="00A57678"/>
    <w:rsid w:val="00A57972"/>
    <w:rsid w:val="00A579F5"/>
    <w:rsid w:val="00A57F07"/>
    <w:rsid w:val="00A57F83"/>
    <w:rsid w:val="00A60E2F"/>
    <w:rsid w:val="00A6199F"/>
    <w:rsid w:val="00A627AD"/>
    <w:rsid w:val="00A63246"/>
    <w:rsid w:val="00A63284"/>
    <w:rsid w:val="00A63458"/>
    <w:rsid w:val="00A634AE"/>
    <w:rsid w:val="00A6372D"/>
    <w:rsid w:val="00A64CB8"/>
    <w:rsid w:val="00A64E3E"/>
    <w:rsid w:val="00A66065"/>
    <w:rsid w:val="00A66D10"/>
    <w:rsid w:val="00A67018"/>
    <w:rsid w:val="00A671D2"/>
    <w:rsid w:val="00A67289"/>
    <w:rsid w:val="00A672F3"/>
    <w:rsid w:val="00A673DC"/>
    <w:rsid w:val="00A7076E"/>
    <w:rsid w:val="00A709BE"/>
    <w:rsid w:val="00A70D85"/>
    <w:rsid w:val="00A7162E"/>
    <w:rsid w:val="00A72D71"/>
    <w:rsid w:val="00A73112"/>
    <w:rsid w:val="00A73617"/>
    <w:rsid w:val="00A747D2"/>
    <w:rsid w:val="00A7511E"/>
    <w:rsid w:val="00A75123"/>
    <w:rsid w:val="00A753C0"/>
    <w:rsid w:val="00A75705"/>
    <w:rsid w:val="00A75F35"/>
    <w:rsid w:val="00A765A9"/>
    <w:rsid w:val="00A77BF3"/>
    <w:rsid w:val="00A77C69"/>
    <w:rsid w:val="00A812B1"/>
    <w:rsid w:val="00A82C61"/>
    <w:rsid w:val="00A8301B"/>
    <w:rsid w:val="00A83049"/>
    <w:rsid w:val="00A83945"/>
    <w:rsid w:val="00A83953"/>
    <w:rsid w:val="00A83CD7"/>
    <w:rsid w:val="00A8400B"/>
    <w:rsid w:val="00A8416A"/>
    <w:rsid w:val="00A846DA"/>
    <w:rsid w:val="00A853D8"/>
    <w:rsid w:val="00A8661E"/>
    <w:rsid w:val="00A8695A"/>
    <w:rsid w:val="00A86ACF"/>
    <w:rsid w:val="00A8708E"/>
    <w:rsid w:val="00A903B6"/>
    <w:rsid w:val="00A90F4F"/>
    <w:rsid w:val="00A919AD"/>
    <w:rsid w:val="00A91F90"/>
    <w:rsid w:val="00A92507"/>
    <w:rsid w:val="00A92579"/>
    <w:rsid w:val="00A92EF7"/>
    <w:rsid w:val="00A936F9"/>
    <w:rsid w:val="00A947AA"/>
    <w:rsid w:val="00A94888"/>
    <w:rsid w:val="00A94990"/>
    <w:rsid w:val="00A9681C"/>
    <w:rsid w:val="00A96867"/>
    <w:rsid w:val="00A96B3D"/>
    <w:rsid w:val="00A97141"/>
    <w:rsid w:val="00A97820"/>
    <w:rsid w:val="00A97A4E"/>
    <w:rsid w:val="00A97E07"/>
    <w:rsid w:val="00AA1B53"/>
    <w:rsid w:val="00AA1DEA"/>
    <w:rsid w:val="00AA256D"/>
    <w:rsid w:val="00AA311D"/>
    <w:rsid w:val="00AA3556"/>
    <w:rsid w:val="00AA35FD"/>
    <w:rsid w:val="00AA364F"/>
    <w:rsid w:val="00AA3DB7"/>
    <w:rsid w:val="00AA41D3"/>
    <w:rsid w:val="00AA46A1"/>
    <w:rsid w:val="00AA554C"/>
    <w:rsid w:val="00AA694F"/>
    <w:rsid w:val="00AA712F"/>
    <w:rsid w:val="00AB0039"/>
    <w:rsid w:val="00AB0D96"/>
    <w:rsid w:val="00AB15A3"/>
    <w:rsid w:val="00AB177A"/>
    <w:rsid w:val="00AB216D"/>
    <w:rsid w:val="00AB21AA"/>
    <w:rsid w:val="00AB2F94"/>
    <w:rsid w:val="00AB3012"/>
    <w:rsid w:val="00AB321C"/>
    <w:rsid w:val="00AB3CED"/>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FF3"/>
    <w:rsid w:val="00AC4938"/>
    <w:rsid w:val="00AC4A34"/>
    <w:rsid w:val="00AC4BC1"/>
    <w:rsid w:val="00AC5029"/>
    <w:rsid w:val="00AC5715"/>
    <w:rsid w:val="00AC7D8D"/>
    <w:rsid w:val="00AD04BD"/>
    <w:rsid w:val="00AD0765"/>
    <w:rsid w:val="00AD0F00"/>
    <w:rsid w:val="00AD14B8"/>
    <w:rsid w:val="00AD296B"/>
    <w:rsid w:val="00AD299E"/>
    <w:rsid w:val="00AD312A"/>
    <w:rsid w:val="00AD5374"/>
    <w:rsid w:val="00AD55A8"/>
    <w:rsid w:val="00AD5A2E"/>
    <w:rsid w:val="00AD5CA4"/>
    <w:rsid w:val="00AD6076"/>
    <w:rsid w:val="00AD634F"/>
    <w:rsid w:val="00AD6591"/>
    <w:rsid w:val="00AD6A91"/>
    <w:rsid w:val="00AD6EE3"/>
    <w:rsid w:val="00AD7214"/>
    <w:rsid w:val="00AE04DB"/>
    <w:rsid w:val="00AE0C58"/>
    <w:rsid w:val="00AE0E09"/>
    <w:rsid w:val="00AE103C"/>
    <w:rsid w:val="00AE1066"/>
    <w:rsid w:val="00AE14DD"/>
    <w:rsid w:val="00AE1A2D"/>
    <w:rsid w:val="00AE2CB7"/>
    <w:rsid w:val="00AE2FA5"/>
    <w:rsid w:val="00AE3215"/>
    <w:rsid w:val="00AE3A4F"/>
    <w:rsid w:val="00AE4518"/>
    <w:rsid w:val="00AE49D9"/>
    <w:rsid w:val="00AE4C42"/>
    <w:rsid w:val="00AE5D7F"/>
    <w:rsid w:val="00AE7140"/>
    <w:rsid w:val="00AE79F0"/>
    <w:rsid w:val="00AF07B0"/>
    <w:rsid w:val="00AF0AFC"/>
    <w:rsid w:val="00AF109C"/>
    <w:rsid w:val="00AF1752"/>
    <w:rsid w:val="00AF2896"/>
    <w:rsid w:val="00AF3F1D"/>
    <w:rsid w:val="00AF42FC"/>
    <w:rsid w:val="00AF434F"/>
    <w:rsid w:val="00AF4AC5"/>
    <w:rsid w:val="00AF4C2C"/>
    <w:rsid w:val="00AF597D"/>
    <w:rsid w:val="00AF6EC1"/>
    <w:rsid w:val="00AF7416"/>
    <w:rsid w:val="00AF784D"/>
    <w:rsid w:val="00AF7CE9"/>
    <w:rsid w:val="00B00331"/>
    <w:rsid w:val="00B00E46"/>
    <w:rsid w:val="00B01102"/>
    <w:rsid w:val="00B014A1"/>
    <w:rsid w:val="00B01A80"/>
    <w:rsid w:val="00B03EF5"/>
    <w:rsid w:val="00B046AF"/>
    <w:rsid w:val="00B06036"/>
    <w:rsid w:val="00B061F5"/>
    <w:rsid w:val="00B07C27"/>
    <w:rsid w:val="00B07DDE"/>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20203"/>
    <w:rsid w:val="00B203C4"/>
    <w:rsid w:val="00B20863"/>
    <w:rsid w:val="00B20CDD"/>
    <w:rsid w:val="00B20E37"/>
    <w:rsid w:val="00B21584"/>
    <w:rsid w:val="00B21F27"/>
    <w:rsid w:val="00B224DF"/>
    <w:rsid w:val="00B22683"/>
    <w:rsid w:val="00B22BC9"/>
    <w:rsid w:val="00B22E81"/>
    <w:rsid w:val="00B232FE"/>
    <w:rsid w:val="00B23996"/>
    <w:rsid w:val="00B23A8A"/>
    <w:rsid w:val="00B23BBE"/>
    <w:rsid w:val="00B23CB2"/>
    <w:rsid w:val="00B240CC"/>
    <w:rsid w:val="00B24E14"/>
    <w:rsid w:val="00B2561A"/>
    <w:rsid w:val="00B256C1"/>
    <w:rsid w:val="00B25A64"/>
    <w:rsid w:val="00B25A79"/>
    <w:rsid w:val="00B25B94"/>
    <w:rsid w:val="00B26E97"/>
    <w:rsid w:val="00B26EB9"/>
    <w:rsid w:val="00B271F2"/>
    <w:rsid w:val="00B277C4"/>
    <w:rsid w:val="00B31884"/>
    <w:rsid w:val="00B31D19"/>
    <w:rsid w:val="00B32155"/>
    <w:rsid w:val="00B32396"/>
    <w:rsid w:val="00B32AB3"/>
    <w:rsid w:val="00B32DAE"/>
    <w:rsid w:val="00B33825"/>
    <w:rsid w:val="00B34BB2"/>
    <w:rsid w:val="00B34E7C"/>
    <w:rsid w:val="00B35AF6"/>
    <w:rsid w:val="00B36228"/>
    <w:rsid w:val="00B366A3"/>
    <w:rsid w:val="00B368EA"/>
    <w:rsid w:val="00B3741E"/>
    <w:rsid w:val="00B37EEF"/>
    <w:rsid w:val="00B41344"/>
    <w:rsid w:val="00B418AD"/>
    <w:rsid w:val="00B41DAD"/>
    <w:rsid w:val="00B4229C"/>
    <w:rsid w:val="00B42F1A"/>
    <w:rsid w:val="00B43790"/>
    <w:rsid w:val="00B4430B"/>
    <w:rsid w:val="00B443D9"/>
    <w:rsid w:val="00B44531"/>
    <w:rsid w:val="00B445EA"/>
    <w:rsid w:val="00B46587"/>
    <w:rsid w:val="00B47AD2"/>
    <w:rsid w:val="00B47CF7"/>
    <w:rsid w:val="00B50686"/>
    <w:rsid w:val="00B50C50"/>
    <w:rsid w:val="00B50ED1"/>
    <w:rsid w:val="00B513C0"/>
    <w:rsid w:val="00B52CF8"/>
    <w:rsid w:val="00B53708"/>
    <w:rsid w:val="00B53DCB"/>
    <w:rsid w:val="00B5428F"/>
    <w:rsid w:val="00B54370"/>
    <w:rsid w:val="00B54DEA"/>
    <w:rsid w:val="00B54FDF"/>
    <w:rsid w:val="00B55185"/>
    <w:rsid w:val="00B55C03"/>
    <w:rsid w:val="00B55F0B"/>
    <w:rsid w:val="00B5695D"/>
    <w:rsid w:val="00B56A70"/>
    <w:rsid w:val="00B602D5"/>
    <w:rsid w:val="00B60638"/>
    <w:rsid w:val="00B606F8"/>
    <w:rsid w:val="00B60A44"/>
    <w:rsid w:val="00B616D5"/>
    <w:rsid w:val="00B61872"/>
    <w:rsid w:val="00B61923"/>
    <w:rsid w:val="00B621D6"/>
    <w:rsid w:val="00B63AF2"/>
    <w:rsid w:val="00B64278"/>
    <w:rsid w:val="00B65747"/>
    <w:rsid w:val="00B65D6F"/>
    <w:rsid w:val="00B65FAD"/>
    <w:rsid w:val="00B66174"/>
    <w:rsid w:val="00B661B5"/>
    <w:rsid w:val="00B67B37"/>
    <w:rsid w:val="00B67C23"/>
    <w:rsid w:val="00B7079B"/>
    <w:rsid w:val="00B70BE5"/>
    <w:rsid w:val="00B70DC7"/>
    <w:rsid w:val="00B721A4"/>
    <w:rsid w:val="00B72B5B"/>
    <w:rsid w:val="00B72EFF"/>
    <w:rsid w:val="00B73AA7"/>
    <w:rsid w:val="00B73C25"/>
    <w:rsid w:val="00B73DCE"/>
    <w:rsid w:val="00B746E4"/>
    <w:rsid w:val="00B74A6F"/>
    <w:rsid w:val="00B74D64"/>
    <w:rsid w:val="00B750C2"/>
    <w:rsid w:val="00B75411"/>
    <w:rsid w:val="00B7546A"/>
    <w:rsid w:val="00B756CB"/>
    <w:rsid w:val="00B75735"/>
    <w:rsid w:val="00B77142"/>
    <w:rsid w:val="00B77746"/>
    <w:rsid w:val="00B8010E"/>
    <w:rsid w:val="00B80879"/>
    <w:rsid w:val="00B80A2C"/>
    <w:rsid w:val="00B80D3B"/>
    <w:rsid w:val="00B8135C"/>
    <w:rsid w:val="00B814BB"/>
    <w:rsid w:val="00B81730"/>
    <w:rsid w:val="00B81F60"/>
    <w:rsid w:val="00B82123"/>
    <w:rsid w:val="00B823D4"/>
    <w:rsid w:val="00B82BEC"/>
    <w:rsid w:val="00B8314A"/>
    <w:rsid w:val="00B841AC"/>
    <w:rsid w:val="00B844A6"/>
    <w:rsid w:val="00B85873"/>
    <w:rsid w:val="00B85E95"/>
    <w:rsid w:val="00B865B0"/>
    <w:rsid w:val="00B865DC"/>
    <w:rsid w:val="00B86E3A"/>
    <w:rsid w:val="00B870E8"/>
    <w:rsid w:val="00B874E9"/>
    <w:rsid w:val="00B875E3"/>
    <w:rsid w:val="00B87ACB"/>
    <w:rsid w:val="00B87C29"/>
    <w:rsid w:val="00B90780"/>
    <w:rsid w:val="00B90968"/>
    <w:rsid w:val="00B918BB"/>
    <w:rsid w:val="00B91A15"/>
    <w:rsid w:val="00B91BC2"/>
    <w:rsid w:val="00B9240D"/>
    <w:rsid w:val="00B93E0B"/>
    <w:rsid w:val="00B94855"/>
    <w:rsid w:val="00B94960"/>
    <w:rsid w:val="00B9543E"/>
    <w:rsid w:val="00B96F6E"/>
    <w:rsid w:val="00B9702A"/>
    <w:rsid w:val="00B979D4"/>
    <w:rsid w:val="00BA027A"/>
    <w:rsid w:val="00BA0703"/>
    <w:rsid w:val="00BA22A8"/>
    <w:rsid w:val="00BA309F"/>
    <w:rsid w:val="00BA3B8F"/>
    <w:rsid w:val="00BA3E48"/>
    <w:rsid w:val="00BA4905"/>
    <w:rsid w:val="00BA4BD3"/>
    <w:rsid w:val="00BA5B51"/>
    <w:rsid w:val="00BA6120"/>
    <w:rsid w:val="00BA6E49"/>
    <w:rsid w:val="00BB0187"/>
    <w:rsid w:val="00BB0C2D"/>
    <w:rsid w:val="00BB0E56"/>
    <w:rsid w:val="00BB1473"/>
    <w:rsid w:val="00BB1EB3"/>
    <w:rsid w:val="00BB2678"/>
    <w:rsid w:val="00BB3077"/>
    <w:rsid w:val="00BB31D5"/>
    <w:rsid w:val="00BB33A8"/>
    <w:rsid w:val="00BB3927"/>
    <w:rsid w:val="00BB3D8C"/>
    <w:rsid w:val="00BB4B39"/>
    <w:rsid w:val="00BB4E17"/>
    <w:rsid w:val="00BB53AF"/>
    <w:rsid w:val="00BB5BDF"/>
    <w:rsid w:val="00BB5C1E"/>
    <w:rsid w:val="00BB5C26"/>
    <w:rsid w:val="00BB64B7"/>
    <w:rsid w:val="00BB6591"/>
    <w:rsid w:val="00BB6A40"/>
    <w:rsid w:val="00BC013A"/>
    <w:rsid w:val="00BC12F7"/>
    <w:rsid w:val="00BC162A"/>
    <w:rsid w:val="00BC2343"/>
    <w:rsid w:val="00BC2A29"/>
    <w:rsid w:val="00BC2BE7"/>
    <w:rsid w:val="00BC2E1B"/>
    <w:rsid w:val="00BC3F52"/>
    <w:rsid w:val="00BC43D7"/>
    <w:rsid w:val="00BC4ED3"/>
    <w:rsid w:val="00BC5824"/>
    <w:rsid w:val="00BC6B20"/>
    <w:rsid w:val="00BC702F"/>
    <w:rsid w:val="00BC7377"/>
    <w:rsid w:val="00BD0707"/>
    <w:rsid w:val="00BD0ECF"/>
    <w:rsid w:val="00BD13C1"/>
    <w:rsid w:val="00BD30C8"/>
    <w:rsid w:val="00BD38F4"/>
    <w:rsid w:val="00BD3EB4"/>
    <w:rsid w:val="00BD4C5B"/>
    <w:rsid w:val="00BD4F01"/>
    <w:rsid w:val="00BD5359"/>
    <w:rsid w:val="00BD556E"/>
    <w:rsid w:val="00BD5C65"/>
    <w:rsid w:val="00BD7906"/>
    <w:rsid w:val="00BD7BCC"/>
    <w:rsid w:val="00BE0557"/>
    <w:rsid w:val="00BE16E9"/>
    <w:rsid w:val="00BE1E11"/>
    <w:rsid w:val="00BE2730"/>
    <w:rsid w:val="00BE2A17"/>
    <w:rsid w:val="00BE2D83"/>
    <w:rsid w:val="00BE31BE"/>
    <w:rsid w:val="00BE3A1D"/>
    <w:rsid w:val="00BE3ABB"/>
    <w:rsid w:val="00BE3B92"/>
    <w:rsid w:val="00BE487E"/>
    <w:rsid w:val="00BE528E"/>
    <w:rsid w:val="00BE6018"/>
    <w:rsid w:val="00BE7086"/>
    <w:rsid w:val="00BE7278"/>
    <w:rsid w:val="00BF1F57"/>
    <w:rsid w:val="00BF20FD"/>
    <w:rsid w:val="00BF2239"/>
    <w:rsid w:val="00BF22C6"/>
    <w:rsid w:val="00BF27DD"/>
    <w:rsid w:val="00BF34C2"/>
    <w:rsid w:val="00BF3804"/>
    <w:rsid w:val="00BF3B4E"/>
    <w:rsid w:val="00BF3B89"/>
    <w:rsid w:val="00BF4086"/>
    <w:rsid w:val="00BF426C"/>
    <w:rsid w:val="00BF4594"/>
    <w:rsid w:val="00BF58D0"/>
    <w:rsid w:val="00BF6027"/>
    <w:rsid w:val="00BF6702"/>
    <w:rsid w:val="00BF7561"/>
    <w:rsid w:val="00BF7952"/>
    <w:rsid w:val="00BF7D6A"/>
    <w:rsid w:val="00C0021D"/>
    <w:rsid w:val="00C00300"/>
    <w:rsid w:val="00C0068D"/>
    <w:rsid w:val="00C00A6C"/>
    <w:rsid w:val="00C00B8B"/>
    <w:rsid w:val="00C013E1"/>
    <w:rsid w:val="00C01611"/>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153"/>
    <w:rsid w:val="00C11521"/>
    <w:rsid w:val="00C142AD"/>
    <w:rsid w:val="00C142C1"/>
    <w:rsid w:val="00C14A30"/>
    <w:rsid w:val="00C152FE"/>
    <w:rsid w:val="00C15D1B"/>
    <w:rsid w:val="00C16739"/>
    <w:rsid w:val="00C168DD"/>
    <w:rsid w:val="00C176CC"/>
    <w:rsid w:val="00C20E37"/>
    <w:rsid w:val="00C21031"/>
    <w:rsid w:val="00C221B9"/>
    <w:rsid w:val="00C225EA"/>
    <w:rsid w:val="00C226E6"/>
    <w:rsid w:val="00C22CCE"/>
    <w:rsid w:val="00C232BC"/>
    <w:rsid w:val="00C23BA2"/>
    <w:rsid w:val="00C2485F"/>
    <w:rsid w:val="00C248B1"/>
    <w:rsid w:val="00C24ACA"/>
    <w:rsid w:val="00C24B63"/>
    <w:rsid w:val="00C256C3"/>
    <w:rsid w:val="00C262A0"/>
    <w:rsid w:val="00C26A4E"/>
    <w:rsid w:val="00C271D2"/>
    <w:rsid w:val="00C31195"/>
    <w:rsid w:val="00C31774"/>
    <w:rsid w:val="00C3180E"/>
    <w:rsid w:val="00C32AF2"/>
    <w:rsid w:val="00C33051"/>
    <w:rsid w:val="00C33204"/>
    <w:rsid w:val="00C338EB"/>
    <w:rsid w:val="00C34389"/>
    <w:rsid w:val="00C3465D"/>
    <w:rsid w:val="00C347D5"/>
    <w:rsid w:val="00C35C57"/>
    <w:rsid w:val="00C379E9"/>
    <w:rsid w:val="00C37C29"/>
    <w:rsid w:val="00C37EDC"/>
    <w:rsid w:val="00C403CD"/>
    <w:rsid w:val="00C4082B"/>
    <w:rsid w:val="00C40ECA"/>
    <w:rsid w:val="00C411AC"/>
    <w:rsid w:val="00C41B04"/>
    <w:rsid w:val="00C42041"/>
    <w:rsid w:val="00C42949"/>
    <w:rsid w:val="00C42BD9"/>
    <w:rsid w:val="00C43934"/>
    <w:rsid w:val="00C43935"/>
    <w:rsid w:val="00C439FB"/>
    <w:rsid w:val="00C43AA8"/>
    <w:rsid w:val="00C43F23"/>
    <w:rsid w:val="00C441A4"/>
    <w:rsid w:val="00C452E1"/>
    <w:rsid w:val="00C45C1B"/>
    <w:rsid w:val="00C463C9"/>
    <w:rsid w:val="00C47648"/>
    <w:rsid w:val="00C47852"/>
    <w:rsid w:val="00C50011"/>
    <w:rsid w:val="00C51827"/>
    <w:rsid w:val="00C5254B"/>
    <w:rsid w:val="00C53973"/>
    <w:rsid w:val="00C5569A"/>
    <w:rsid w:val="00C55D39"/>
    <w:rsid w:val="00C55FBF"/>
    <w:rsid w:val="00C57E68"/>
    <w:rsid w:val="00C601C9"/>
    <w:rsid w:val="00C6038C"/>
    <w:rsid w:val="00C616D0"/>
    <w:rsid w:val="00C623C6"/>
    <w:rsid w:val="00C62C8A"/>
    <w:rsid w:val="00C631D3"/>
    <w:rsid w:val="00C631E8"/>
    <w:rsid w:val="00C645E6"/>
    <w:rsid w:val="00C64813"/>
    <w:rsid w:val="00C64D82"/>
    <w:rsid w:val="00C64FBC"/>
    <w:rsid w:val="00C65A83"/>
    <w:rsid w:val="00C66A00"/>
    <w:rsid w:val="00C66CBE"/>
    <w:rsid w:val="00C67118"/>
    <w:rsid w:val="00C67276"/>
    <w:rsid w:val="00C67DDD"/>
    <w:rsid w:val="00C70139"/>
    <w:rsid w:val="00C7072A"/>
    <w:rsid w:val="00C7191D"/>
    <w:rsid w:val="00C72603"/>
    <w:rsid w:val="00C728C2"/>
    <w:rsid w:val="00C72C6F"/>
    <w:rsid w:val="00C73BE3"/>
    <w:rsid w:val="00C74453"/>
    <w:rsid w:val="00C7473A"/>
    <w:rsid w:val="00C750E4"/>
    <w:rsid w:val="00C75AB0"/>
    <w:rsid w:val="00C75EDE"/>
    <w:rsid w:val="00C76166"/>
    <w:rsid w:val="00C76B7B"/>
    <w:rsid w:val="00C76BBD"/>
    <w:rsid w:val="00C76DE2"/>
    <w:rsid w:val="00C772BA"/>
    <w:rsid w:val="00C77555"/>
    <w:rsid w:val="00C7770C"/>
    <w:rsid w:val="00C802D1"/>
    <w:rsid w:val="00C8036C"/>
    <w:rsid w:val="00C80CD8"/>
    <w:rsid w:val="00C80F23"/>
    <w:rsid w:val="00C81151"/>
    <w:rsid w:val="00C82AC2"/>
    <w:rsid w:val="00C82CC6"/>
    <w:rsid w:val="00C839CB"/>
    <w:rsid w:val="00C841CE"/>
    <w:rsid w:val="00C84593"/>
    <w:rsid w:val="00C850A3"/>
    <w:rsid w:val="00C85C32"/>
    <w:rsid w:val="00C85D4F"/>
    <w:rsid w:val="00C85F45"/>
    <w:rsid w:val="00C86C8C"/>
    <w:rsid w:val="00C87473"/>
    <w:rsid w:val="00C87568"/>
    <w:rsid w:val="00C87FD0"/>
    <w:rsid w:val="00C902C8"/>
    <w:rsid w:val="00C903E7"/>
    <w:rsid w:val="00C90DB6"/>
    <w:rsid w:val="00C92603"/>
    <w:rsid w:val="00C93649"/>
    <w:rsid w:val="00C9394F"/>
    <w:rsid w:val="00C93B1A"/>
    <w:rsid w:val="00C95E97"/>
    <w:rsid w:val="00C96D24"/>
    <w:rsid w:val="00C96F5F"/>
    <w:rsid w:val="00C97055"/>
    <w:rsid w:val="00C97D41"/>
    <w:rsid w:val="00CA0351"/>
    <w:rsid w:val="00CA1E82"/>
    <w:rsid w:val="00CA2B4F"/>
    <w:rsid w:val="00CA30C3"/>
    <w:rsid w:val="00CA3549"/>
    <w:rsid w:val="00CA5927"/>
    <w:rsid w:val="00CA5D23"/>
    <w:rsid w:val="00CA635E"/>
    <w:rsid w:val="00CA6BB0"/>
    <w:rsid w:val="00CA70CE"/>
    <w:rsid w:val="00CA79EC"/>
    <w:rsid w:val="00CB002C"/>
    <w:rsid w:val="00CB1E4B"/>
    <w:rsid w:val="00CB259F"/>
    <w:rsid w:val="00CB389B"/>
    <w:rsid w:val="00CB39C2"/>
    <w:rsid w:val="00CB45FC"/>
    <w:rsid w:val="00CB4C8C"/>
    <w:rsid w:val="00CB4E90"/>
    <w:rsid w:val="00CB5850"/>
    <w:rsid w:val="00CB5C99"/>
    <w:rsid w:val="00CB633B"/>
    <w:rsid w:val="00CB6782"/>
    <w:rsid w:val="00CB6E3E"/>
    <w:rsid w:val="00CB72CD"/>
    <w:rsid w:val="00CC080A"/>
    <w:rsid w:val="00CC09EB"/>
    <w:rsid w:val="00CC0D0F"/>
    <w:rsid w:val="00CC1275"/>
    <w:rsid w:val="00CC12EE"/>
    <w:rsid w:val="00CC1A4D"/>
    <w:rsid w:val="00CC3588"/>
    <w:rsid w:val="00CC5767"/>
    <w:rsid w:val="00CC5D2F"/>
    <w:rsid w:val="00CC667C"/>
    <w:rsid w:val="00CC68CC"/>
    <w:rsid w:val="00CC6CB9"/>
    <w:rsid w:val="00CC701E"/>
    <w:rsid w:val="00CC7735"/>
    <w:rsid w:val="00CC7CAD"/>
    <w:rsid w:val="00CD0310"/>
    <w:rsid w:val="00CD0D09"/>
    <w:rsid w:val="00CD268B"/>
    <w:rsid w:val="00CD2E48"/>
    <w:rsid w:val="00CD4826"/>
    <w:rsid w:val="00CD4E19"/>
    <w:rsid w:val="00CD6219"/>
    <w:rsid w:val="00CD700F"/>
    <w:rsid w:val="00CD70EB"/>
    <w:rsid w:val="00CD7319"/>
    <w:rsid w:val="00CD7BA2"/>
    <w:rsid w:val="00CD7DF8"/>
    <w:rsid w:val="00CE04BC"/>
    <w:rsid w:val="00CE0A6E"/>
    <w:rsid w:val="00CE148E"/>
    <w:rsid w:val="00CE208D"/>
    <w:rsid w:val="00CE242D"/>
    <w:rsid w:val="00CE2453"/>
    <w:rsid w:val="00CE356D"/>
    <w:rsid w:val="00CE3FA4"/>
    <w:rsid w:val="00CE44F8"/>
    <w:rsid w:val="00CE485F"/>
    <w:rsid w:val="00CE5277"/>
    <w:rsid w:val="00CE58F6"/>
    <w:rsid w:val="00CE5B4D"/>
    <w:rsid w:val="00CE6358"/>
    <w:rsid w:val="00CE6686"/>
    <w:rsid w:val="00CE6E97"/>
    <w:rsid w:val="00CE7868"/>
    <w:rsid w:val="00CE789A"/>
    <w:rsid w:val="00CE7968"/>
    <w:rsid w:val="00CE796C"/>
    <w:rsid w:val="00CF0DB0"/>
    <w:rsid w:val="00CF1B70"/>
    <w:rsid w:val="00CF1DD1"/>
    <w:rsid w:val="00CF2161"/>
    <w:rsid w:val="00CF2307"/>
    <w:rsid w:val="00CF26AE"/>
    <w:rsid w:val="00CF2D54"/>
    <w:rsid w:val="00CF311F"/>
    <w:rsid w:val="00CF44D0"/>
    <w:rsid w:val="00CF5047"/>
    <w:rsid w:val="00D007BA"/>
    <w:rsid w:val="00D01344"/>
    <w:rsid w:val="00D01B90"/>
    <w:rsid w:val="00D024CD"/>
    <w:rsid w:val="00D02C7C"/>
    <w:rsid w:val="00D034DA"/>
    <w:rsid w:val="00D03538"/>
    <w:rsid w:val="00D0421D"/>
    <w:rsid w:val="00D046FD"/>
    <w:rsid w:val="00D047F7"/>
    <w:rsid w:val="00D049B8"/>
    <w:rsid w:val="00D04C8A"/>
    <w:rsid w:val="00D04EB2"/>
    <w:rsid w:val="00D0516C"/>
    <w:rsid w:val="00D05B56"/>
    <w:rsid w:val="00D05BBE"/>
    <w:rsid w:val="00D05C2F"/>
    <w:rsid w:val="00D05EE7"/>
    <w:rsid w:val="00D068D0"/>
    <w:rsid w:val="00D06FE0"/>
    <w:rsid w:val="00D07307"/>
    <w:rsid w:val="00D076A9"/>
    <w:rsid w:val="00D07754"/>
    <w:rsid w:val="00D078D1"/>
    <w:rsid w:val="00D07B2E"/>
    <w:rsid w:val="00D10824"/>
    <w:rsid w:val="00D1188B"/>
    <w:rsid w:val="00D1293B"/>
    <w:rsid w:val="00D129A8"/>
    <w:rsid w:val="00D12FB9"/>
    <w:rsid w:val="00D13431"/>
    <w:rsid w:val="00D135F2"/>
    <w:rsid w:val="00D13D00"/>
    <w:rsid w:val="00D147C0"/>
    <w:rsid w:val="00D15696"/>
    <w:rsid w:val="00D15C51"/>
    <w:rsid w:val="00D16C68"/>
    <w:rsid w:val="00D17FDD"/>
    <w:rsid w:val="00D200BD"/>
    <w:rsid w:val="00D201AA"/>
    <w:rsid w:val="00D204A7"/>
    <w:rsid w:val="00D20AA5"/>
    <w:rsid w:val="00D20DC4"/>
    <w:rsid w:val="00D21059"/>
    <w:rsid w:val="00D22399"/>
    <w:rsid w:val="00D26223"/>
    <w:rsid w:val="00D2662C"/>
    <w:rsid w:val="00D27FA3"/>
    <w:rsid w:val="00D30711"/>
    <w:rsid w:val="00D316D2"/>
    <w:rsid w:val="00D3176C"/>
    <w:rsid w:val="00D31B3F"/>
    <w:rsid w:val="00D31DE7"/>
    <w:rsid w:val="00D321AF"/>
    <w:rsid w:val="00D3249F"/>
    <w:rsid w:val="00D33751"/>
    <w:rsid w:val="00D34AB9"/>
    <w:rsid w:val="00D35D4A"/>
    <w:rsid w:val="00D36F6E"/>
    <w:rsid w:val="00D372B0"/>
    <w:rsid w:val="00D37343"/>
    <w:rsid w:val="00D376AD"/>
    <w:rsid w:val="00D41B36"/>
    <w:rsid w:val="00D41E6A"/>
    <w:rsid w:val="00D42034"/>
    <w:rsid w:val="00D4205E"/>
    <w:rsid w:val="00D44EB8"/>
    <w:rsid w:val="00D464AE"/>
    <w:rsid w:val="00D47399"/>
    <w:rsid w:val="00D47BB2"/>
    <w:rsid w:val="00D47D04"/>
    <w:rsid w:val="00D5056A"/>
    <w:rsid w:val="00D510A0"/>
    <w:rsid w:val="00D51F73"/>
    <w:rsid w:val="00D527EE"/>
    <w:rsid w:val="00D5286F"/>
    <w:rsid w:val="00D529C4"/>
    <w:rsid w:val="00D53929"/>
    <w:rsid w:val="00D539B5"/>
    <w:rsid w:val="00D539D0"/>
    <w:rsid w:val="00D53F2B"/>
    <w:rsid w:val="00D540DC"/>
    <w:rsid w:val="00D54CA4"/>
    <w:rsid w:val="00D55616"/>
    <w:rsid w:val="00D5574C"/>
    <w:rsid w:val="00D55DAC"/>
    <w:rsid w:val="00D561C5"/>
    <w:rsid w:val="00D5636F"/>
    <w:rsid w:val="00D57FDF"/>
    <w:rsid w:val="00D6153F"/>
    <w:rsid w:val="00D61982"/>
    <w:rsid w:val="00D61A2D"/>
    <w:rsid w:val="00D61EA9"/>
    <w:rsid w:val="00D61EFF"/>
    <w:rsid w:val="00D62655"/>
    <w:rsid w:val="00D6267A"/>
    <w:rsid w:val="00D62998"/>
    <w:rsid w:val="00D636B6"/>
    <w:rsid w:val="00D6468E"/>
    <w:rsid w:val="00D647DE"/>
    <w:rsid w:val="00D6501F"/>
    <w:rsid w:val="00D65347"/>
    <w:rsid w:val="00D6575E"/>
    <w:rsid w:val="00D67D12"/>
    <w:rsid w:val="00D700D9"/>
    <w:rsid w:val="00D70309"/>
    <w:rsid w:val="00D705FF"/>
    <w:rsid w:val="00D70B0C"/>
    <w:rsid w:val="00D70DE6"/>
    <w:rsid w:val="00D7145C"/>
    <w:rsid w:val="00D7332F"/>
    <w:rsid w:val="00D744BC"/>
    <w:rsid w:val="00D7585A"/>
    <w:rsid w:val="00D7604B"/>
    <w:rsid w:val="00D7751E"/>
    <w:rsid w:val="00D77C53"/>
    <w:rsid w:val="00D77E96"/>
    <w:rsid w:val="00D80618"/>
    <w:rsid w:val="00D8068C"/>
    <w:rsid w:val="00D807DF"/>
    <w:rsid w:val="00D81006"/>
    <w:rsid w:val="00D82339"/>
    <w:rsid w:val="00D82494"/>
    <w:rsid w:val="00D82696"/>
    <w:rsid w:val="00D82FF2"/>
    <w:rsid w:val="00D830B9"/>
    <w:rsid w:val="00D83774"/>
    <w:rsid w:val="00D83C1D"/>
    <w:rsid w:val="00D84A4B"/>
    <w:rsid w:val="00D84E83"/>
    <w:rsid w:val="00D8555A"/>
    <w:rsid w:val="00D85631"/>
    <w:rsid w:val="00D85D98"/>
    <w:rsid w:val="00D85F8D"/>
    <w:rsid w:val="00D879CB"/>
    <w:rsid w:val="00D87C11"/>
    <w:rsid w:val="00D90A81"/>
    <w:rsid w:val="00D90B7D"/>
    <w:rsid w:val="00D90B81"/>
    <w:rsid w:val="00D90CC7"/>
    <w:rsid w:val="00D90DCE"/>
    <w:rsid w:val="00D92168"/>
    <w:rsid w:val="00D9231C"/>
    <w:rsid w:val="00D92356"/>
    <w:rsid w:val="00D92A5E"/>
    <w:rsid w:val="00D935BD"/>
    <w:rsid w:val="00D93CEC"/>
    <w:rsid w:val="00D93EEC"/>
    <w:rsid w:val="00D940B5"/>
    <w:rsid w:val="00D953F2"/>
    <w:rsid w:val="00D9582D"/>
    <w:rsid w:val="00D95CB0"/>
    <w:rsid w:val="00D9654F"/>
    <w:rsid w:val="00D966FE"/>
    <w:rsid w:val="00D977C0"/>
    <w:rsid w:val="00D97E14"/>
    <w:rsid w:val="00DA00A3"/>
    <w:rsid w:val="00DA13F3"/>
    <w:rsid w:val="00DA2DE3"/>
    <w:rsid w:val="00DA3633"/>
    <w:rsid w:val="00DA400B"/>
    <w:rsid w:val="00DA4130"/>
    <w:rsid w:val="00DA4909"/>
    <w:rsid w:val="00DA5999"/>
    <w:rsid w:val="00DA6443"/>
    <w:rsid w:val="00DA6B5E"/>
    <w:rsid w:val="00DA7146"/>
    <w:rsid w:val="00DA716A"/>
    <w:rsid w:val="00DA7B82"/>
    <w:rsid w:val="00DB02ED"/>
    <w:rsid w:val="00DB02EE"/>
    <w:rsid w:val="00DB0843"/>
    <w:rsid w:val="00DB1F4F"/>
    <w:rsid w:val="00DB2CD0"/>
    <w:rsid w:val="00DB37EE"/>
    <w:rsid w:val="00DB401F"/>
    <w:rsid w:val="00DB4450"/>
    <w:rsid w:val="00DB4EE7"/>
    <w:rsid w:val="00DB5102"/>
    <w:rsid w:val="00DB521D"/>
    <w:rsid w:val="00DB5971"/>
    <w:rsid w:val="00DB5D51"/>
    <w:rsid w:val="00DB5F53"/>
    <w:rsid w:val="00DB6E27"/>
    <w:rsid w:val="00DB7B69"/>
    <w:rsid w:val="00DC0A2F"/>
    <w:rsid w:val="00DC0DBE"/>
    <w:rsid w:val="00DC1C8F"/>
    <w:rsid w:val="00DC1F57"/>
    <w:rsid w:val="00DC234A"/>
    <w:rsid w:val="00DC35DD"/>
    <w:rsid w:val="00DC41E4"/>
    <w:rsid w:val="00DC496E"/>
    <w:rsid w:val="00DC5116"/>
    <w:rsid w:val="00DC59DF"/>
    <w:rsid w:val="00DC7C77"/>
    <w:rsid w:val="00DC7FD5"/>
    <w:rsid w:val="00DD02FF"/>
    <w:rsid w:val="00DD0925"/>
    <w:rsid w:val="00DD24F9"/>
    <w:rsid w:val="00DD26EC"/>
    <w:rsid w:val="00DD2C06"/>
    <w:rsid w:val="00DD2DFB"/>
    <w:rsid w:val="00DD3604"/>
    <w:rsid w:val="00DD36B0"/>
    <w:rsid w:val="00DD3F4D"/>
    <w:rsid w:val="00DD6F2E"/>
    <w:rsid w:val="00DD72E1"/>
    <w:rsid w:val="00DD7848"/>
    <w:rsid w:val="00DD796C"/>
    <w:rsid w:val="00DD7EA2"/>
    <w:rsid w:val="00DE00F2"/>
    <w:rsid w:val="00DE1120"/>
    <w:rsid w:val="00DE117F"/>
    <w:rsid w:val="00DE22D3"/>
    <w:rsid w:val="00DE2D17"/>
    <w:rsid w:val="00DE353C"/>
    <w:rsid w:val="00DE401C"/>
    <w:rsid w:val="00DE549C"/>
    <w:rsid w:val="00DE5510"/>
    <w:rsid w:val="00DE5954"/>
    <w:rsid w:val="00DE5EC7"/>
    <w:rsid w:val="00DE6E2F"/>
    <w:rsid w:val="00DE6F47"/>
    <w:rsid w:val="00DE7D13"/>
    <w:rsid w:val="00DE7DD2"/>
    <w:rsid w:val="00DF1EAE"/>
    <w:rsid w:val="00DF2AF6"/>
    <w:rsid w:val="00DF2B22"/>
    <w:rsid w:val="00DF3816"/>
    <w:rsid w:val="00DF3818"/>
    <w:rsid w:val="00DF3F94"/>
    <w:rsid w:val="00DF4369"/>
    <w:rsid w:val="00DF4B8D"/>
    <w:rsid w:val="00DF55FC"/>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39F9"/>
    <w:rsid w:val="00E042A1"/>
    <w:rsid w:val="00E05E82"/>
    <w:rsid w:val="00E069E3"/>
    <w:rsid w:val="00E07425"/>
    <w:rsid w:val="00E1043E"/>
    <w:rsid w:val="00E104FA"/>
    <w:rsid w:val="00E1082A"/>
    <w:rsid w:val="00E10956"/>
    <w:rsid w:val="00E10B68"/>
    <w:rsid w:val="00E110B5"/>
    <w:rsid w:val="00E11166"/>
    <w:rsid w:val="00E12818"/>
    <w:rsid w:val="00E12887"/>
    <w:rsid w:val="00E12D39"/>
    <w:rsid w:val="00E13182"/>
    <w:rsid w:val="00E13426"/>
    <w:rsid w:val="00E141AF"/>
    <w:rsid w:val="00E14523"/>
    <w:rsid w:val="00E14972"/>
    <w:rsid w:val="00E14A89"/>
    <w:rsid w:val="00E14CB9"/>
    <w:rsid w:val="00E151F2"/>
    <w:rsid w:val="00E15383"/>
    <w:rsid w:val="00E15C82"/>
    <w:rsid w:val="00E1738C"/>
    <w:rsid w:val="00E17797"/>
    <w:rsid w:val="00E17C9D"/>
    <w:rsid w:val="00E201C0"/>
    <w:rsid w:val="00E21ABD"/>
    <w:rsid w:val="00E22775"/>
    <w:rsid w:val="00E22D28"/>
    <w:rsid w:val="00E22F81"/>
    <w:rsid w:val="00E22F87"/>
    <w:rsid w:val="00E230E3"/>
    <w:rsid w:val="00E23C97"/>
    <w:rsid w:val="00E244B0"/>
    <w:rsid w:val="00E24727"/>
    <w:rsid w:val="00E24D5F"/>
    <w:rsid w:val="00E250DB"/>
    <w:rsid w:val="00E265A7"/>
    <w:rsid w:val="00E26FC5"/>
    <w:rsid w:val="00E27B80"/>
    <w:rsid w:val="00E30EDF"/>
    <w:rsid w:val="00E31B43"/>
    <w:rsid w:val="00E31FBA"/>
    <w:rsid w:val="00E326D0"/>
    <w:rsid w:val="00E33513"/>
    <w:rsid w:val="00E33A4F"/>
    <w:rsid w:val="00E33F3E"/>
    <w:rsid w:val="00E341E5"/>
    <w:rsid w:val="00E34315"/>
    <w:rsid w:val="00E35FBC"/>
    <w:rsid w:val="00E36AAE"/>
    <w:rsid w:val="00E37198"/>
    <w:rsid w:val="00E3774C"/>
    <w:rsid w:val="00E41013"/>
    <w:rsid w:val="00E41313"/>
    <w:rsid w:val="00E41773"/>
    <w:rsid w:val="00E41ACD"/>
    <w:rsid w:val="00E42FE6"/>
    <w:rsid w:val="00E43B4A"/>
    <w:rsid w:val="00E44D25"/>
    <w:rsid w:val="00E44E78"/>
    <w:rsid w:val="00E45C40"/>
    <w:rsid w:val="00E460B6"/>
    <w:rsid w:val="00E46BD2"/>
    <w:rsid w:val="00E46CF3"/>
    <w:rsid w:val="00E473D4"/>
    <w:rsid w:val="00E474CF"/>
    <w:rsid w:val="00E513F6"/>
    <w:rsid w:val="00E519A7"/>
    <w:rsid w:val="00E51A4C"/>
    <w:rsid w:val="00E51EC6"/>
    <w:rsid w:val="00E5203E"/>
    <w:rsid w:val="00E52F3B"/>
    <w:rsid w:val="00E52F80"/>
    <w:rsid w:val="00E53BEE"/>
    <w:rsid w:val="00E53D94"/>
    <w:rsid w:val="00E53DEA"/>
    <w:rsid w:val="00E5424B"/>
    <w:rsid w:val="00E544BA"/>
    <w:rsid w:val="00E55B64"/>
    <w:rsid w:val="00E573EF"/>
    <w:rsid w:val="00E616DB"/>
    <w:rsid w:val="00E62442"/>
    <w:rsid w:val="00E627A4"/>
    <w:rsid w:val="00E62A5E"/>
    <w:rsid w:val="00E630ED"/>
    <w:rsid w:val="00E6395F"/>
    <w:rsid w:val="00E6437C"/>
    <w:rsid w:val="00E65237"/>
    <w:rsid w:val="00E66367"/>
    <w:rsid w:val="00E67862"/>
    <w:rsid w:val="00E67ADD"/>
    <w:rsid w:val="00E70ACF"/>
    <w:rsid w:val="00E70D46"/>
    <w:rsid w:val="00E712A9"/>
    <w:rsid w:val="00E713BC"/>
    <w:rsid w:val="00E72444"/>
    <w:rsid w:val="00E726A8"/>
    <w:rsid w:val="00E72D3D"/>
    <w:rsid w:val="00E72E07"/>
    <w:rsid w:val="00E72EAD"/>
    <w:rsid w:val="00E7410F"/>
    <w:rsid w:val="00E74EC5"/>
    <w:rsid w:val="00E75161"/>
    <w:rsid w:val="00E76B86"/>
    <w:rsid w:val="00E773F4"/>
    <w:rsid w:val="00E8000D"/>
    <w:rsid w:val="00E809F3"/>
    <w:rsid w:val="00E80C21"/>
    <w:rsid w:val="00E820BD"/>
    <w:rsid w:val="00E8227B"/>
    <w:rsid w:val="00E8342F"/>
    <w:rsid w:val="00E84210"/>
    <w:rsid w:val="00E844CD"/>
    <w:rsid w:val="00E847A7"/>
    <w:rsid w:val="00E84FE5"/>
    <w:rsid w:val="00E860D6"/>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EEF"/>
    <w:rsid w:val="00E936DA"/>
    <w:rsid w:val="00E9399B"/>
    <w:rsid w:val="00E939A7"/>
    <w:rsid w:val="00E94008"/>
    <w:rsid w:val="00E94762"/>
    <w:rsid w:val="00E94884"/>
    <w:rsid w:val="00E94BDB"/>
    <w:rsid w:val="00E95208"/>
    <w:rsid w:val="00E956BA"/>
    <w:rsid w:val="00E96B52"/>
    <w:rsid w:val="00EA0018"/>
    <w:rsid w:val="00EA08BE"/>
    <w:rsid w:val="00EA0A85"/>
    <w:rsid w:val="00EA14B0"/>
    <w:rsid w:val="00EA2244"/>
    <w:rsid w:val="00EA4DDC"/>
    <w:rsid w:val="00EA6FA7"/>
    <w:rsid w:val="00EB067F"/>
    <w:rsid w:val="00EB150C"/>
    <w:rsid w:val="00EB17BE"/>
    <w:rsid w:val="00EB1A1B"/>
    <w:rsid w:val="00EB1F02"/>
    <w:rsid w:val="00EB2A00"/>
    <w:rsid w:val="00EB2E64"/>
    <w:rsid w:val="00EB2FEF"/>
    <w:rsid w:val="00EB3290"/>
    <w:rsid w:val="00EB3F7A"/>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5256"/>
    <w:rsid w:val="00EC549A"/>
    <w:rsid w:val="00EC57B0"/>
    <w:rsid w:val="00EC5D33"/>
    <w:rsid w:val="00EC638F"/>
    <w:rsid w:val="00EC68BF"/>
    <w:rsid w:val="00EC7927"/>
    <w:rsid w:val="00ED095E"/>
    <w:rsid w:val="00ED1A0B"/>
    <w:rsid w:val="00ED27DD"/>
    <w:rsid w:val="00ED312F"/>
    <w:rsid w:val="00ED31E5"/>
    <w:rsid w:val="00ED4E9C"/>
    <w:rsid w:val="00ED5162"/>
    <w:rsid w:val="00ED697C"/>
    <w:rsid w:val="00EE06CA"/>
    <w:rsid w:val="00EE1E0C"/>
    <w:rsid w:val="00EE43AD"/>
    <w:rsid w:val="00EE4874"/>
    <w:rsid w:val="00EE48D6"/>
    <w:rsid w:val="00EE4A6E"/>
    <w:rsid w:val="00EE4BAB"/>
    <w:rsid w:val="00EE4D3B"/>
    <w:rsid w:val="00EE511D"/>
    <w:rsid w:val="00EE6FC6"/>
    <w:rsid w:val="00EE7922"/>
    <w:rsid w:val="00EE79A6"/>
    <w:rsid w:val="00EF11DF"/>
    <w:rsid w:val="00EF130D"/>
    <w:rsid w:val="00EF2E26"/>
    <w:rsid w:val="00EF30E0"/>
    <w:rsid w:val="00EF3A81"/>
    <w:rsid w:val="00EF3D05"/>
    <w:rsid w:val="00EF42CF"/>
    <w:rsid w:val="00EF45D8"/>
    <w:rsid w:val="00EF5403"/>
    <w:rsid w:val="00EF567D"/>
    <w:rsid w:val="00EF5B08"/>
    <w:rsid w:val="00EF5F11"/>
    <w:rsid w:val="00EF6111"/>
    <w:rsid w:val="00EF6CFA"/>
    <w:rsid w:val="00F005A0"/>
    <w:rsid w:val="00F01835"/>
    <w:rsid w:val="00F01891"/>
    <w:rsid w:val="00F01DE9"/>
    <w:rsid w:val="00F0229D"/>
    <w:rsid w:val="00F02B1B"/>
    <w:rsid w:val="00F0322F"/>
    <w:rsid w:val="00F032BB"/>
    <w:rsid w:val="00F032C8"/>
    <w:rsid w:val="00F03522"/>
    <w:rsid w:val="00F03567"/>
    <w:rsid w:val="00F03DD3"/>
    <w:rsid w:val="00F04BBE"/>
    <w:rsid w:val="00F0580C"/>
    <w:rsid w:val="00F06616"/>
    <w:rsid w:val="00F07485"/>
    <w:rsid w:val="00F07EDE"/>
    <w:rsid w:val="00F10BC6"/>
    <w:rsid w:val="00F11352"/>
    <w:rsid w:val="00F11AD0"/>
    <w:rsid w:val="00F12313"/>
    <w:rsid w:val="00F13D34"/>
    <w:rsid w:val="00F14308"/>
    <w:rsid w:val="00F14602"/>
    <w:rsid w:val="00F1498D"/>
    <w:rsid w:val="00F14DDF"/>
    <w:rsid w:val="00F152AD"/>
    <w:rsid w:val="00F15BA3"/>
    <w:rsid w:val="00F15D52"/>
    <w:rsid w:val="00F165B7"/>
    <w:rsid w:val="00F1722F"/>
    <w:rsid w:val="00F20C9C"/>
    <w:rsid w:val="00F21827"/>
    <w:rsid w:val="00F21A00"/>
    <w:rsid w:val="00F2285F"/>
    <w:rsid w:val="00F23155"/>
    <w:rsid w:val="00F23EE4"/>
    <w:rsid w:val="00F24236"/>
    <w:rsid w:val="00F24E0E"/>
    <w:rsid w:val="00F2525F"/>
    <w:rsid w:val="00F25504"/>
    <w:rsid w:val="00F25707"/>
    <w:rsid w:val="00F26693"/>
    <w:rsid w:val="00F26A13"/>
    <w:rsid w:val="00F26CEB"/>
    <w:rsid w:val="00F27D3B"/>
    <w:rsid w:val="00F30F7A"/>
    <w:rsid w:val="00F31261"/>
    <w:rsid w:val="00F31334"/>
    <w:rsid w:val="00F31BB3"/>
    <w:rsid w:val="00F31C67"/>
    <w:rsid w:val="00F323C3"/>
    <w:rsid w:val="00F32A15"/>
    <w:rsid w:val="00F32C93"/>
    <w:rsid w:val="00F32EE6"/>
    <w:rsid w:val="00F32F3C"/>
    <w:rsid w:val="00F339EC"/>
    <w:rsid w:val="00F3414F"/>
    <w:rsid w:val="00F3443B"/>
    <w:rsid w:val="00F34FDD"/>
    <w:rsid w:val="00F35279"/>
    <w:rsid w:val="00F35CC2"/>
    <w:rsid w:val="00F35F1A"/>
    <w:rsid w:val="00F36130"/>
    <w:rsid w:val="00F36278"/>
    <w:rsid w:val="00F3644F"/>
    <w:rsid w:val="00F36B71"/>
    <w:rsid w:val="00F373AE"/>
    <w:rsid w:val="00F37D22"/>
    <w:rsid w:val="00F4032F"/>
    <w:rsid w:val="00F40360"/>
    <w:rsid w:val="00F40444"/>
    <w:rsid w:val="00F40CE6"/>
    <w:rsid w:val="00F40EC2"/>
    <w:rsid w:val="00F41B59"/>
    <w:rsid w:val="00F42099"/>
    <w:rsid w:val="00F423BD"/>
    <w:rsid w:val="00F42AFB"/>
    <w:rsid w:val="00F42ED8"/>
    <w:rsid w:val="00F431C5"/>
    <w:rsid w:val="00F432FF"/>
    <w:rsid w:val="00F433C2"/>
    <w:rsid w:val="00F4457F"/>
    <w:rsid w:val="00F44B9C"/>
    <w:rsid w:val="00F456D2"/>
    <w:rsid w:val="00F45B0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5E6D"/>
    <w:rsid w:val="00F56024"/>
    <w:rsid w:val="00F565E8"/>
    <w:rsid w:val="00F56CB4"/>
    <w:rsid w:val="00F5754B"/>
    <w:rsid w:val="00F576DE"/>
    <w:rsid w:val="00F57747"/>
    <w:rsid w:val="00F578BC"/>
    <w:rsid w:val="00F633F1"/>
    <w:rsid w:val="00F63BF7"/>
    <w:rsid w:val="00F6453E"/>
    <w:rsid w:val="00F65215"/>
    <w:rsid w:val="00F655C6"/>
    <w:rsid w:val="00F65617"/>
    <w:rsid w:val="00F65A88"/>
    <w:rsid w:val="00F66494"/>
    <w:rsid w:val="00F700B9"/>
    <w:rsid w:val="00F7011F"/>
    <w:rsid w:val="00F710BE"/>
    <w:rsid w:val="00F71BF5"/>
    <w:rsid w:val="00F72016"/>
    <w:rsid w:val="00F72C08"/>
    <w:rsid w:val="00F72DAD"/>
    <w:rsid w:val="00F736D2"/>
    <w:rsid w:val="00F74CEE"/>
    <w:rsid w:val="00F7564C"/>
    <w:rsid w:val="00F76220"/>
    <w:rsid w:val="00F769BE"/>
    <w:rsid w:val="00F7735C"/>
    <w:rsid w:val="00F77BD5"/>
    <w:rsid w:val="00F82E6B"/>
    <w:rsid w:val="00F83662"/>
    <w:rsid w:val="00F838C0"/>
    <w:rsid w:val="00F85F83"/>
    <w:rsid w:val="00F86374"/>
    <w:rsid w:val="00F86739"/>
    <w:rsid w:val="00F87E7F"/>
    <w:rsid w:val="00F90D75"/>
    <w:rsid w:val="00F91049"/>
    <w:rsid w:val="00F912FD"/>
    <w:rsid w:val="00F91D43"/>
    <w:rsid w:val="00F92B65"/>
    <w:rsid w:val="00F9367F"/>
    <w:rsid w:val="00F9512B"/>
    <w:rsid w:val="00F95411"/>
    <w:rsid w:val="00F9619C"/>
    <w:rsid w:val="00F96339"/>
    <w:rsid w:val="00F9759C"/>
    <w:rsid w:val="00F97859"/>
    <w:rsid w:val="00F97973"/>
    <w:rsid w:val="00F97B71"/>
    <w:rsid w:val="00FA06A3"/>
    <w:rsid w:val="00FA0E23"/>
    <w:rsid w:val="00FA230F"/>
    <w:rsid w:val="00FA2CFC"/>
    <w:rsid w:val="00FA2DDA"/>
    <w:rsid w:val="00FA34CA"/>
    <w:rsid w:val="00FA3E3E"/>
    <w:rsid w:val="00FA4A55"/>
    <w:rsid w:val="00FA4D4F"/>
    <w:rsid w:val="00FA54E8"/>
    <w:rsid w:val="00FA5FE8"/>
    <w:rsid w:val="00FA668B"/>
    <w:rsid w:val="00FA67CF"/>
    <w:rsid w:val="00FA7659"/>
    <w:rsid w:val="00FA7F6F"/>
    <w:rsid w:val="00FB10EC"/>
    <w:rsid w:val="00FB2D17"/>
    <w:rsid w:val="00FB2F69"/>
    <w:rsid w:val="00FB368B"/>
    <w:rsid w:val="00FB3A3A"/>
    <w:rsid w:val="00FB3D98"/>
    <w:rsid w:val="00FB4217"/>
    <w:rsid w:val="00FB4379"/>
    <w:rsid w:val="00FB45FF"/>
    <w:rsid w:val="00FB4C09"/>
    <w:rsid w:val="00FB55D8"/>
    <w:rsid w:val="00FB5D97"/>
    <w:rsid w:val="00FB61EA"/>
    <w:rsid w:val="00FB6C7A"/>
    <w:rsid w:val="00FB732E"/>
    <w:rsid w:val="00FB79F7"/>
    <w:rsid w:val="00FC09E7"/>
    <w:rsid w:val="00FC1CA5"/>
    <w:rsid w:val="00FC1D8E"/>
    <w:rsid w:val="00FC24EB"/>
    <w:rsid w:val="00FC2733"/>
    <w:rsid w:val="00FC2979"/>
    <w:rsid w:val="00FC5041"/>
    <w:rsid w:val="00FC5407"/>
    <w:rsid w:val="00FC6D6C"/>
    <w:rsid w:val="00FC6E91"/>
    <w:rsid w:val="00FC71A8"/>
    <w:rsid w:val="00FD1BEF"/>
    <w:rsid w:val="00FD1C3C"/>
    <w:rsid w:val="00FD24F6"/>
    <w:rsid w:val="00FD2DB1"/>
    <w:rsid w:val="00FD38A8"/>
    <w:rsid w:val="00FD3A23"/>
    <w:rsid w:val="00FD5348"/>
    <w:rsid w:val="00FD6AC8"/>
    <w:rsid w:val="00FD6ADD"/>
    <w:rsid w:val="00FE06DF"/>
    <w:rsid w:val="00FE0A6C"/>
    <w:rsid w:val="00FE1727"/>
    <w:rsid w:val="00FE1738"/>
    <w:rsid w:val="00FE225B"/>
    <w:rsid w:val="00FE3638"/>
    <w:rsid w:val="00FE3EA1"/>
    <w:rsid w:val="00FE4818"/>
    <w:rsid w:val="00FE4CA4"/>
    <w:rsid w:val="00FE5AE4"/>
    <w:rsid w:val="00FE5D80"/>
    <w:rsid w:val="00FE637F"/>
    <w:rsid w:val="00FE64EE"/>
    <w:rsid w:val="00FE73F7"/>
    <w:rsid w:val="00FE745E"/>
    <w:rsid w:val="00FE7865"/>
    <w:rsid w:val="00FF05DE"/>
    <w:rsid w:val="00FF06C4"/>
    <w:rsid w:val="00FF0BB0"/>
    <w:rsid w:val="00FF1342"/>
    <w:rsid w:val="00FF1513"/>
    <w:rsid w:val="00FF1577"/>
    <w:rsid w:val="00FF17DD"/>
    <w:rsid w:val="00FF2145"/>
    <w:rsid w:val="00FF314D"/>
    <w:rsid w:val="00FF3334"/>
    <w:rsid w:val="00FF50AB"/>
    <w:rsid w:val="00FF54A3"/>
    <w:rsid w:val="00FF5733"/>
    <w:rsid w:val="00FF59BE"/>
    <w:rsid w:val="00FF5BA7"/>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9173B36A-99C3-4D0C-B40E-A290DAB4F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paragraph" w:styleId="40">
    <w:name w:val="heading 4"/>
    <w:basedOn w:val="a"/>
    <w:next w:val="a"/>
    <w:link w:val="4Char"/>
    <w:unhideWhenUsed/>
    <w:qFormat/>
    <w:locked/>
    <w:rsid w:val="0091064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4">
    <w:name w:val="Balloon Text"/>
    <w:basedOn w:val="a"/>
    <w:link w:val="Char"/>
    <w:uiPriority w:val="99"/>
    <w:semiHidden/>
    <w:rsid w:val="00FB732E"/>
    <w:rPr>
      <w:sz w:val="18"/>
      <w:szCs w:val="18"/>
    </w:rPr>
  </w:style>
  <w:style w:type="character" w:customStyle="1" w:styleId="Char">
    <w:name w:val="批注框文本 Char"/>
    <w:link w:val="a4"/>
    <w:uiPriority w:val="99"/>
    <w:semiHidden/>
    <w:locked/>
    <w:rsid w:val="006D141C"/>
    <w:rPr>
      <w:rFonts w:cs="Times New Roman"/>
      <w:kern w:val="2"/>
      <w:sz w:val="18"/>
      <w:szCs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0">
    <w:name w:val="正文文本缩进 Char"/>
    <w:link w:val="a5"/>
    <w:uiPriority w:val="99"/>
    <w:locked/>
    <w:rsid w:val="006D141C"/>
    <w:rPr>
      <w:rFonts w:ascii="Arial Unicode MS" w:eastAsia="Times New Roman" w:hAnsi="Arial Unicode MS" w:cs="Arial Unicode MS"/>
      <w:sz w:val="24"/>
      <w:szCs w:val="24"/>
    </w:rPr>
  </w:style>
  <w:style w:type="paragraph" w:styleId="a6">
    <w:name w:val="Plain Text"/>
    <w:basedOn w:val="a"/>
    <w:link w:val="Char1"/>
    <w:uiPriority w:val="99"/>
    <w:rsid w:val="00FB732E"/>
    <w:rPr>
      <w:rFonts w:ascii="宋体" w:hAnsi="Courier New"/>
      <w:szCs w:val="21"/>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7">
    <w:name w:val="footer"/>
    <w:basedOn w:val="a"/>
    <w:link w:val="Char2"/>
    <w:uiPriority w:val="99"/>
    <w:rsid w:val="00FB732E"/>
    <w:pPr>
      <w:tabs>
        <w:tab w:val="center" w:pos="4153"/>
        <w:tab w:val="right" w:pos="8306"/>
      </w:tabs>
      <w:snapToGrid w:val="0"/>
      <w:jc w:val="left"/>
    </w:pPr>
    <w:rPr>
      <w:sz w:val="18"/>
      <w:szCs w:val="18"/>
    </w:rPr>
  </w:style>
  <w:style w:type="character" w:customStyle="1" w:styleId="Char2">
    <w:name w:val="页脚 Char"/>
    <w:link w:val="a7"/>
    <w:uiPriority w:val="99"/>
    <w:locked/>
    <w:rsid w:val="006D141C"/>
    <w:rPr>
      <w:rFonts w:cs="Times New Roman"/>
      <w:kern w:val="2"/>
      <w:sz w:val="18"/>
      <w:szCs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a"/>
    <w:uiPriority w:val="99"/>
    <w:locked/>
    <w:rsid w:val="006D141C"/>
    <w:rPr>
      <w:rFonts w:cs="Times New Roman"/>
      <w:kern w:val="2"/>
      <w:sz w:val="18"/>
      <w:szCs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rPr>
      <w:szCs w:val="20"/>
    </w:rPr>
  </w:style>
  <w:style w:type="paragraph" w:styleId="ad">
    <w:name w:val="Body Text"/>
    <w:basedOn w:val="a"/>
    <w:link w:val="Char4"/>
    <w:uiPriority w:val="99"/>
    <w:rsid w:val="00FB732E"/>
    <w:pPr>
      <w:spacing w:after="120"/>
    </w:pPr>
  </w:style>
  <w:style w:type="character" w:customStyle="1" w:styleId="Char4">
    <w:name w:val="正文文本 Char"/>
    <w:link w:val="ad"/>
    <w:uiPriority w:val="99"/>
    <w:locked/>
    <w:rsid w:val="006D141C"/>
    <w:rPr>
      <w:rFonts w:cs="Times New Roman"/>
      <w:kern w:val="2"/>
      <w:sz w:val="24"/>
      <w:szCs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semiHidden/>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qFormat/>
    <w:rsid w:val="003D3725"/>
    <w:pPr>
      <w:tabs>
        <w:tab w:val="left" w:pos="1260"/>
        <w:tab w:val="right" w:leader="dot" w:pos="9072"/>
      </w:tabs>
      <w:ind w:leftChars="200" w:left="20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937FC6"/>
    <w:pPr>
      <w:tabs>
        <w:tab w:val="left" w:pos="420"/>
        <w:tab w:val="right" w:leader="dot" w:pos="9072"/>
      </w:tabs>
    </w:pPr>
  </w:style>
  <w:style w:type="paragraph" w:styleId="32">
    <w:name w:val="toc 3"/>
    <w:basedOn w:val="a"/>
    <w:next w:val="a"/>
    <w:autoRedefine/>
    <w:uiPriority w:val="99"/>
    <w:semiHidden/>
    <w:qFormat/>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numbering" w:customStyle="1" w:styleId="5">
    <w:name w:val="样式5"/>
    <w:rsid w:val="00CB660F"/>
    <w:pPr>
      <w:numPr>
        <w:numId w:val="8"/>
      </w:numPr>
    </w:pPr>
  </w:style>
  <w:style w:type="numbering" w:customStyle="1" w:styleId="3">
    <w:name w:val="样式3"/>
    <w:rsid w:val="00CB660F"/>
    <w:pPr>
      <w:numPr>
        <w:numId w:val="7"/>
      </w:numPr>
    </w:pPr>
  </w:style>
  <w:style w:type="numbering" w:customStyle="1" w:styleId="4">
    <w:name w:val="样式4"/>
    <w:rsid w:val="00CB660F"/>
    <w:pPr>
      <w:numPr>
        <w:numId w:val="9"/>
      </w:numPr>
    </w:pPr>
  </w:style>
  <w:style w:type="numbering" w:customStyle="1" w:styleId="2">
    <w:name w:val="样式2"/>
    <w:rsid w:val="00CB660F"/>
    <w:pPr>
      <w:numPr>
        <w:numId w:val="16"/>
      </w:numPr>
    </w:pPr>
  </w:style>
  <w:style w:type="character" w:styleId="af8">
    <w:name w:val="Strong"/>
    <w:basedOn w:val="a1"/>
    <w:uiPriority w:val="22"/>
    <w:qFormat/>
    <w:locked/>
    <w:rsid w:val="00490561"/>
    <w:rPr>
      <w:b/>
      <w:bCs/>
    </w:rPr>
  </w:style>
  <w:style w:type="paragraph" w:customStyle="1" w:styleId="af9">
    <w:name w:val="目录模式"/>
    <w:basedOn w:val="22"/>
    <w:link w:val="Charb"/>
    <w:qFormat/>
    <w:rsid w:val="00F655C6"/>
    <w:rPr>
      <w:rFonts w:ascii="宋体" w:hAnsi="宋体"/>
      <w:noProof/>
      <w:szCs w:val="24"/>
    </w:rPr>
  </w:style>
  <w:style w:type="paragraph" w:customStyle="1" w:styleId="12">
    <w:name w:val="样式1"/>
    <w:basedOn w:val="22"/>
    <w:link w:val="1Char0"/>
    <w:autoRedefine/>
    <w:qFormat/>
    <w:rsid w:val="00F655C6"/>
    <w:rPr>
      <w:rFonts w:ascii="宋体" w:hAnsi="宋体"/>
      <w:noProof/>
      <w:szCs w:val="24"/>
    </w:rPr>
  </w:style>
  <w:style w:type="character" w:customStyle="1" w:styleId="2Char1">
    <w:name w:val="目录 2 Char"/>
    <w:basedOn w:val="a1"/>
    <w:link w:val="22"/>
    <w:uiPriority w:val="99"/>
    <w:rsid w:val="003D3725"/>
    <w:rPr>
      <w:sz w:val="21"/>
      <w:szCs w:val="21"/>
    </w:rPr>
  </w:style>
  <w:style w:type="character" w:customStyle="1" w:styleId="Charb">
    <w:name w:val="目录模式 Char"/>
    <w:basedOn w:val="2Char1"/>
    <w:link w:val="af9"/>
    <w:rsid w:val="00F655C6"/>
    <w:rPr>
      <w:rFonts w:ascii="宋体" w:hAnsi="宋体"/>
      <w:noProof/>
      <w:sz w:val="24"/>
      <w:szCs w:val="24"/>
    </w:rPr>
  </w:style>
  <w:style w:type="character" w:customStyle="1" w:styleId="1Char0">
    <w:name w:val="样式1 Char"/>
    <w:basedOn w:val="2Char1"/>
    <w:link w:val="12"/>
    <w:rsid w:val="00F655C6"/>
    <w:rPr>
      <w:rFonts w:ascii="宋体" w:hAnsi="宋体"/>
      <w:noProof/>
      <w:sz w:val="24"/>
      <w:szCs w:val="24"/>
    </w:rPr>
  </w:style>
  <w:style w:type="character" w:customStyle="1" w:styleId="4Char">
    <w:name w:val="标题 4 Char"/>
    <w:basedOn w:val="a1"/>
    <w:link w:val="40"/>
    <w:rsid w:val="00910642"/>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45285">
      <w:bodyDiv w:val="1"/>
      <w:marLeft w:val="0"/>
      <w:marRight w:val="0"/>
      <w:marTop w:val="0"/>
      <w:marBottom w:val="0"/>
      <w:divBdr>
        <w:top w:val="none" w:sz="0" w:space="0" w:color="auto"/>
        <w:left w:val="none" w:sz="0" w:space="0" w:color="auto"/>
        <w:bottom w:val="none" w:sz="0" w:space="0" w:color="auto"/>
        <w:right w:val="none" w:sz="0" w:space="0" w:color="auto"/>
      </w:divBdr>
    </w:div>
    <w:div w:id="79330798">
      <w:bodyDiv w:val="1"/>
      <w:marLeft w:val="0"/>
      <w:marRight w:val="0"/>
      <w:marTop w:val="0"/>
      <w:marBottom w:val="0"/>
      <w:divBdr>
        <w:top w:val="none" w:sz="0" w:space="0" w:color="auto"/>
        <w:left w:val="none" w:sz="0" w:space="0" w:color="auto"/>
        <w:bottom w:val="none" w:sz="0" w:space="0" w:color="auto"/>
        <w:right w:val="none" w:sz="0" w:space="0" w:color="auto"/>
      </w:divBdr>
    </w:div>
    <w:div w:id="213123387">
      <w:marLeft w:val="0"/>
      <w:marRight w:val="0"/>
      <w:marTop w:val="0"/>
      <w:marBottom w:val="0"/>
      <w:divBdr>
        <w:top w:val="none" w:sz="0" w:space="0" w:color="auto"/>
        <w:left w:val="none" w:sz="0" w:space="0" w:color="auto"/>
        <w:bottom w:val="none" w:sz="0" w:space="0" w:color="auto"/>
        <w:right w:val="none" w:sz="0" w:space="0" w:color="auto"/>
      </w:divBdr>
    </w:div>
    <w:div w:id="213123388">
      <w:marLeft w:val="0"/>
      <w:marRight w:val="0"/>
      <w:marTop w:val="0"/>
      <w:marBottom w:val="0"/>
      <w:divBdr>
        <w:top w:val="none" w:sz="0" w:space="0" w:color="auto"/>
        <w:left w:val="none" w:sz="0" w:space="0" w:color="auto"/>
        <w:bottom w:val="none" w:sz="0" w:space="0" w:color="auto"/>
        <w:right w:val="none" w:sz="0" w:space="0" w:color="auto"/>
      </w:divBdr>
    </w:div>
    <w:div w:id="213123389">
      <w:marLeft w:val="0"/>
      <w:marRight w:val="0"/>
      <w:marTop w:val="0"/>
      <w:marBottom w:val="0"/>
      <w:divBdr>
        <w:top w:val="none" w:sz="0" w:space="0" w:color="auto"/>
        <w:left w:val="none" w:sz="0" w:space="0" w:color="auto"/>
        <w:bottom w:val="none" w:sz="0" w:space="0" w:color="auto"/>
        <w:right w:val="none" w:sz="0" w:space="0" w:color="auto"/>
      </w:divBdr>
    </w:div>
    <w:div w:id="213123390">
      <w:marLeft w:val="0"/>
      <w:marRight w:val="0"/>
      <w:marTop w:val="0"/>
      <w:marBottom w:val="0"/>
      <w:divBdr>
        <w:top w:val="none" w:sz="0" w:space="0" w:color="auto"/>
        <w:left w:val="none" w:sz="0" w:space="0" w:color="auto"/>
        <w:bottom w:val="none" w:sz="0" w:space="0" w:color="auto"/>
        <w:right w:val="none" w:sz="0" w:space="0" w:color="auto"/>
      </w:divBdr>
    </w:div>
    <w:div w:id="213123391">
      <w:marLeft w:val="0"/>
      <w:marRight w:val="0"/>
      <w:marTop w:val="0"/>
      <w:marBottom w:val="0"/>
      <w:divBdr>
        <w:top w:val="none" w:sz="0" w:space="0" w:color="auto"/>
        <w:left w:val="none" w:sz="0" w:space="0" w:color="auto"/>
        <w:bottom w:val="none" w:sz="0" w:space="0" w:color="auto"/>
        <w:right w:val="none" w:sz="0" w:space="0" w:color="auto"/>
      </w:divBdr>
    </w:div>
    <w:div w:id="213123392">
      <w:marLeft w:val="0"/>
      <w:marRight w:val="0"/>
      <w:marTop w:val="0"/>
      <w:marBottom w:val="0"/>
      <w:divBdr>
        <w:top w:val="none" w:sz="0" w:space="0" w:color="auto"/>
        <w:left w:val="none" w:sz="0" w:space="0" w:color="auto"/>
        <w:bottom w:val="none" w:sz="0" w:space="0" w:color="auto"/>
        <w:right w:val="none" w:sz="0" w:space="0" w:color="auto"/>
      </w:divBdr>
    </w:div>
    <w:div w:id="213123393">
      <w:marLeft w:val="0"/>
      <w:marRight w:val="0"/>
      <w:marTop w:val="0"/>
      <w:marBottom w:val="0"/>
      <w:divBdr>
        <w:top w:val="none" w:sz="0" w:space="0" w:color="auto"/>
        <w:left w:val="none" w:sz="0" w:space="0" w:color="auto"/>
        <w:bottom w:val="none" w:sz="0" w:space="0" w:color="auto"/>
        <w:right w:val="none" w:sz="0" w:space="0" w:color="auto"/>
      </w:divBdr>
    </w:div>
    <w:div w:id="213123394">
      <w:marLeft w:val="0"/>
      <w:marRight w:val="0"/>
      <w:marTop w:val="0"/>
      <w:marBottom w:val="0"/>
      <w:divBdr>
        <w:top w:val="none" w:sz="0" w:space="0" w:color="auto"/>
        <w:left w:val="none" w:sz="0" w:space="0" w:color="auto"/>
        <w:bottom w:val="none" w:sz="0" w:space="0" w:color="auto"/>
        <w:right w:val="none" w:sz="0" w:space="0" w:color="auto"/>
      </w:divBdr>
    </w:div>
    <w:div w:id="213123395">
      <w:marLeft w:val="0"/>
      <w:marRight w:val="0"/>
      <w:marTop w:val="0"/>
      <w:marBottom w:val="0"/>
      <w:divBdr>
        <w:top w:val="none" w:sz="0" w:space="0" w:color="auto"/>
        <w:left w:val="none" w:sz="0" w:space="0" w:color="auto"/>
        <w:bottom w:val="none" w:sz="0" w:space="0" w:color="auto"/>
        <w:right w:val="none" w:sz="0" w:space="0" w:color="auto"/>
      </w:divBdr>
    </w:div>
    <w:div w:id="213123396">
      <w:marLeft w:val="0"/>
      <w:marRight w:val="0"/>
      <w:marTop w:val="0"/>
      <w:marBottom w:val="0"/>
      <w:divBdr>
        <w:top w:val="none" w:sz="0" w:space="0" w:color="auto"/>
        <w:left w:val="none" w:sz="0" w:space="0" w:color="auto"/>
        <w:bottom w:val="none" w:sz="0" w:space="0" w:color="auto"/>
        <w:right w:val="none" w:sz="0" w:space="0" w:color="auto"/>
      </w:divBdr>
    </w:div>
    <w:div w:id="213123397">
      <w:marLeft w:val="0"/>
      <w:marRight w:val="0"/>
      <w:marTop w:val="0"/>
      <w:marBottom w:val="0"/>
      <w:divBdr>
        <w:top w:val="none" w:sz="0" w:space="0" w:color="auto"/>
        <w:left w:val="none" w:sz="0" w:space="0" w:color="auto"/>
        <w:bottom w:val="none" w:sz="0" w:space="0" w:color="auto"/>
        <w:right w:val="none" w:sz="0" w:space="0" w:color="auto"/>
      </w:divBdr>
    </w:div>
    <w:div w:id="213123398">
      <w:marLeft w:val="0"/>
      <w:marRight w:val="0"/>
      <w:marTop w:val="0"/>
      <w:marBottom w:val="0"/>
      <w:divBdr>
        <w:top w:val="none" w:sz="0" w:space="0" w:color="auto"/>
        <w:left w:val="none" w:sz="0" w:space="0" w:color="auto"/>
        <w:bottom w:val="none" w:sz="0" w:space="0" w:color="auto"/>
        <w:right w:val="none" w:sz="0" w:space="0" w:color="auto"/>
      </w:divBdr>
    </w:div>
    <w:div w:id="213123399">
      <w:marLeft w:val="0"/>
      <w:marRight w:val="0"/>
      <w:marTop w:val="0"/>
      <w:marBottom w:val="0"/>
      <w:divBdr>
        <w:top w:val="none" w:sz="0" w:space="0" w:color="auto"/>
        <w:left w:val="none" w:sz="0" w:space="0" w:color="auto"/>
        <w:bottom w:val="none" w:sz="0" w:space="0" w:color="auto"/>
        <w:right w:val="none" w:sz="0" w:space="0" w:color="auto"/>
      </w:divBdr>
    </w:div>
    <w:div w:id="213123400">
      <w:marLeft w:val="0"/>
      <w:marRight w:val="0"/>
      <w:marTop w:val="0"/>
      <w:marBottom w:val="0"/>
      <w:divBdr>
        <w:top w:val="none" w:sz="0" w:space="0" w:color="auto"/>
        <w:left w:val="none" w:sz="0" w:space="0" w:color="auto"/>
        <w:bottom w:val="none" w:sz="0" w:space="0" w:color="auto"/>
        <w:right w:val="none" w:sz="0" w:space="0" w:color="auto"/>
      </w:divBdr>
    </w:div>
    <w:div w:id="213123401">
      <w:marLeft w:val="0"/>
      <w:marRight w:val="0"/>
      <w:marTop w:val="0"/>
      <w:marBottom w:val="0"/>
      <w:divBdr>
        <w:top w:val="none" w:sz="0" w:space="0" w:color="auto"/>
        <w:left w:val="none" w:sz="0" w:space="0" w:color="auto"/>
        <w:bottom w:val="none" w:sz="0" w:space="0" w:color="auto"/>
        <w:right w:val="none" w:sz="0" w:space="0" w:color="auto"/>
      </w:divBdr>
    </w:div>
    <w:div w:id="213123402">
      <w:marLeft w:val="0"/>
      <w:marRight w:val="0"/>
      <w:marTop w:val="0"/>
      <w:marBottom w:val="0"/>
      <w:divBdr>
        <w:top w:val="none" w:sz="0" w:space="0" w:color="auto"/>
        <w:left w:val="none" w:sz="0" w:space="0" w:color="auto"/>
        <w:bottom w:val="none" w:sz="0" w:space="0" w:color="auto"/>
        <w:right w:val="none" w:sz="0" w:space="0" w:color="auto"/>
      </w:divBdr>
    </w:div>
    <w:div w:id="213123403">
      <w:marLeft w:val="0"/>
      <w:marRight w:val="0"/>
      <w:marTop w:val="0"/>
      <w:marBottom w:val="0"/>
      <w:divBdr>
        <w:top w:val="none" w:sz="0" w:space="0" w:color="auto"/>
        <w:left w:val="none" w:sz="0" w:space="0" w:color="auto"/>
        <w:bottom w:val="none" w:sz="0" w:space="0" w:color="auto"/>
        <w:right w:val="none" w:sz="0" w:space="0" w:color="auto"/>
      </w:divBdr>
    </w:div>
    <w:div w:id="213123404">
      <w:marLeft w:val="0"/>
      <w:marRight w:val="0"/>
      <w:marTop w:val="0"/>
      <w:marBottom w:val="0"/>
      <w:divBdr>
        <w:top w:val="none" w:sz="0" w:space="0" w:color="auto"/>
        <w:left w:val="none" w:sz="0" w:space="0" w:color="auto"/>
        <w:bottom w:val="none" w:sz="0" w:space="0" w:color="auto"/>
        <w:right w:val="none" w:sz="0" w:space="0" w:color="auto"/>
      </w:divBdr>
    </w:div>
    <w:div w:id="213123405">
      <w:marLeft w:val="0"/>
      <w:marRight w:val="0"/>
      <w:marTop w:val="0"/>
      <w:marBottom w:val="0"/>
      <w:divBdr>
        <w:top w:val="none" w:sz="0" w:space="0" w:color="auto"/>
        <w:left w:val="none" w:sz="0" w:space="0" w:color="auto"/>
        <w:bottom w:val="none" w:sz="0" w:space="0" w:color="auto"/>
        <w:right w:val="none" w:sz="0" w:space="0" w:color="auto"/>
      </w:divBdr>
    </w:div>
    <w:div w:id="213123406">
      <w:marLeft w:val="0"/>
      <w:marRight w:val="0"/>
      <w:marTop w:val="0"/>
      <w:marBottom w:val="0"/>
      <w:divBdr>
        <w:top w:val="none" w:sz="0" w:space="0" w:color="auto"/>
        <w:left w:val="none" w:sz="0" w:space="0" w:color="auto"/>
        <w:bottom w:val="none" w:sz="0" w:space="0" w:color="auto"/>
        <w:right w:val="none" w:sz="0" w:space="0" w:color="auto"/>
      </w:divBdr>
    </w:div>
    <w:div w:id="213123407">
      <w:marLeft w:val="0"/>
      <w:marRight w:val="0"/>
      <w:marTop w:val="0"/>
      <w:marBottom w:val="0"/>
      <w:divBdr>
        <w:top w:val="none" w:sz="0" w:space="0" w:color="auto"/>
        <w:left w:val="none" w:sz="0" w:space="0" w:color="auto"/>
        <w:bottom w:val="none" w:sz="0" w:space="0" w:color="auto"/>
        <w:right w:val="none" w:sz="0" w:space="0" w:color="auto"/>
      </w:divBdr>
    </w:div>
    <w:div w:id="213123408">
      <w:marLeft w:val="0"/>
      <w:marRight w:val="0"/>
      <w:marTop w:val="0"/>
      <w:marBottom w:val="0"/>
      <w:divBdr>
        <w:top w:val="none" w:sz="0" w:space="0" w:color="auto"/>
        <w:left w:val="none" w:sz="0" w:space="0" w:color="auto"/>
        <w:bottom w:val="none" w:sz="0" w:space="0" w:color="auto"/>
        <w:right w:val="none" w:sz="0" w:space="0" w:color="auto"/>
      </w:divBdr>
    </w:div>
    <w:div w:id="213123409">
      <w:marLeft w:val="0"/>
      <w:marRight w:val="0"/>
      <w:marTop w:val="0"/>
      <w:marBottom w:val="0"/>
      <w:divBdr>
        <w:top w:val="none" w:sz="0" w:space="0" w:color="auto"/>
        <w:left w:val="none" w:sz="0" w:space="0" w:color="auto"/>
        <w:bottom w:val="none" w:sz="0" w:space="0" w:color="auto"/>
        <w:right w:val="none" w:sz="0" w:space="0" w:color="auto"/>
      </w:divBdr>
    </w:div>
    <w:div w:id="213123410">
      <w:marLeft w:val="0"/>
      <w:marRight w:val="0"/>
      <w:marTop w:val="0"/>
      <w:marBottom w:val="0"/>
      <w:divBdr>
        <w:top w:val="none" w:sz="0" w:space="0" w:color="auto"/>
        <w:left w:val="none" w:sz="0" w:space="0" w:color="auto"/>
        <w:bottom w:val="none" w:sz="0" w:space="0" w:color="auto"/>
        <w:right w:val="none" w:sz="0" w:space="0" w:color="auto"/>
      </w:divBdr>
    </w:div>
    <w:div w:id="213123411">
      <w:marLeft w:val="0"/>
      <w:marRight w:val="0"/>
      <w:marTop w:val="0"/>
      <w:marBottom w:val="0"/>
      <w:divBdr>
        <w:top w:val="none" w:sz="0" w:space="0" w:color="auto"/>
        <w:left w:val="none" w:sz="0" w:space="0" w:color="auto"/>
        <w:bottom w:val="none" w:sz="0" w:space="0" w:color="auto"/>
        <w:right w:val="none" w:sz="0" w:space="0" w:color="auto"/>
      </w:divBdr>
    </w:div>
    <w:div w:id="213123412">
      <w:marLeft w:val="0"/>
      <w:marRight w:val="0"/>
      <w:marTop w:val="0"/>
      <w:marBottom w:val="0"/>
      <w:divBdr>
        <w:top w:val="none" w:sz="0" w:space="0" w:color="auto"/>
        <w:left w:val="none" w:sz="0" w:space="0" w:color="auto"/>
        <w:bottom w:val="none" w:sz="0" w:space="0" w:color="auto"/>
        <w:right w:val="none" w:sz="0" w:space="0" w:color="auto"/>
      </w:divBdr>
      <w:divsChild>
        <w:div w:id="213123536">
          <w:marLeft w:val="0"/>
          <w:marRight w:val="0"/>
          <w:marTop w:val="0"/>
          <w:marBottom w:val="0"/>
          <w:divBdr>
            <w:top w:val="none" w:sz="0" w:space="0" w:color="auto"/>
            <w:left w:val="none" w:sz="0" w:space="0" w:color="auto"/>
            <w:bottom w:val="none" w:sz="0" w:space="0" w:color="auto"/>
            <w:right w:val="none" w:sz="0" w:space="0" w:color="auto"/>
          </w:divBdr>
        </w:div>
      </w:divsChild>
    </w:div>
    <w:div w:id="213123413">
      <w:marLeft w:val="0"/>
      <w:marRight w:val="0"/>
      <w:marTop w:val="0"/>
      <w:marBottom w:val="0"/>
      <w:divBdr>
        <w:top w:val="none" w:sz="0" w:space="0" w:color="auto"/>
        <w:left w:val="none" w:sz="0" w:space="0" w:color="auto"/>
        <w:bottom w:val="none" w:sz="0" w:space="0" w:color="auto"/>
        <w:right w:val="none" w:sz="0" w:space="0" w:color="auto"/>
      </w:divBdr>
    </w:div>
    <w:div w:id="213123414">
      <w:marLeft w:val="0"/>
      <w:marRight w:val="0"/>
      <w:marTop w:val="0"/>
      <w:marBottom w:val="0"/>
      <w:divBdr>
        <w:top w:val="none" w:sz="0" w:space="0" w:color="auto"/>
        <w:left w:val="none" w:sz="0" w:space="0" w:color="auto"/>
        <w:bottom w:val="none" w:sz="0" w:space="0" w:color="auto"/>
        <w:right w:val="none" w:sz="0" w:space="0" w:color="auto"/>
      </w:divBdr>
    </w:div>
    <w:div w:id="213123415">
      <w:marLeft w:val="0"/>
      <w:marRight w:val="0"/>
      <w:marTop w:val="0"/>
      <w:marBottom w:val="0"/>
      <w:divBdr>
        <w:top w:val="none" w:sz="0" w:space="0" w:color="auto"/>
        <w:left w:val="none" w:sz="0" w:space="0" w:color="auto"/>
        <w:bottom w:val="none" w:sz="0" w:space="0" w:color="auto"/>
        <w:right w:val="none" w:sz="0" w:space="0" w:color="auto"/>
      </w:divBdr>
    </w:div>
    <w:div w:id="213123416">
      <w:marLeft w:val="0"/>
      <w:marRight w:val="0"/>
      <w:marTop w:val="0"/>
      <w:marBottom w:val="0"/>
      <w:divBdr>
        <w:top w:val="none" w:sz="0" w:space="0" w:color="auto"/>
        <w:left w:val="none" w:sz="0" w:space="0" w:color="auto"/>
        <w:bottom w:val="none" w:sz="0" w:space="0" w:color="auto"/>
        <w:right w:val="none" w:sz="0" w:space="0" w:color="auto"/>
      </w:divBdr>
    </w:div>
    <w:div w:id="213123417">
      <w:marLeft w:val="0"/>
      <w:marRight w:val="0"/>
      <w:marTop w:val="0"/>
      <w:marBottom w:val="0"/>
      <w:divBdr>
        <w:top w:val="none" w:sz="0" w:space="0" w:color="auto"/>
        <w:left w:val="none" w:sz="0" w:space="0" w:color="auto"/>
        <w:bottom w:val="none" w:sz="0" w:space="0" w:color="auto"/>
        <w:right w:val="none" w:sz="0" w:space="0" w:color="auto"/>
      </w:divBdr>
    </w:div>
    <w:div w:id="213123418">
      <w:marLeft w:val="0"/>
      <w:marRight w:val="0"/>
      <w:marTop w:val="0"/>
      <w:marBottom w:val="0"/>
      <w:divBdr>
        <w:top w:val="none" w:sz="0" w:space="0" w:color="auto"/>
        <w:left w:val="none" w:sz="0" w:space="0" w:color="auto"/>
        <w:bottom w:val="none" w:sz="0" w:space="0" w:color="auto"/>
        <w:right w:val="none" w:sz="0" w:space="0" w:color="auto"/>
      </w:divBdr>
    </w:div>
    <w:div w:id="213123419">
      <w:marLeft w:val="0"/>
      <w:marRight w:val="0"/>
      <w:marTop w:val="0"/>
      <w:marBottom w:val="0"/>
      <w:divBdr>
        <w:top w:val="none" w:sz="0" w:space="0" w:color="auto"/>
        <w:left w:val="none" w:sz="0" w:space="0" w:color="auto"/>
        <w:bottom w:val="none" w:sz="0" w:space="0" w:color="auto"/>
        <w:right w:val="none" w:sz="0" w:space="0" w:color="auto"/>
      </w:divBdr>
    </w:div>
    <w:div w:id="213123420">
      <w:marLeft w:val="0"/>
      <w:marRight w:val="0"/>
      <w:marTop w:val="0"/>
      <w:marBottom w:val="0"/>
      <w:divBdr>
        <w:top w:val="none" w:sz="0" w:space="0" w:color="auto"/>
        <w:left w:val="none" w:sz="0" w:space="0" w:color="auto"/>
        <w:bottom w:val="none" w:sz="0" w:space="0" w:color="auto"/>
        <w:right w:val="none" w:sz="0" w:space="0" w:color="auto"/>
      </w:divBdr>
    </w:div>
    <w:div w:id="213123421">
      <w:marLeft w:val="0"/>
      <w:marRight w:val="0"/>
      <w:marTop w:val="0"/>
      <w:marBottom w:val="0"/>
      <w:divBdr>
        <w:top w:val="none" w:sz="0" w:space="0" w:color="auto"/>
        <w:left w:val="none" w:sz="0" w:space="0" w:color="auto"/>
        <w:bottom w:val="none" w:sz="0" w:space="0" w:color="auto"/>
        <w:right w:val="none" w:sz="0" w:space="0" w:color="auto"/>
      </w:divBdr>
    </w:div>
    <w:div w:id="213123422">
      <w:marLeft w:val="0"/>
      <w:marRight w:val="0"/>
      <w:marTop w:val="0"/>
      <w:marBottom w:val="0"/>
      <w:divBdr>
        <w:top w:val="none" w:sz="0" w:space="0" w:color="auto"/>
        <w:left w:val="none" w:sz="0" w:space="0" w:color="auto"/>
        <w:bottom w:val="none" w:sz="0" w:space="0" w:color="auto"/>
        <w:right w:val="none" w:sz="0" w:space="0" w:color="auto"/>
      </w:divBdr>
    </w:div>
    <w:div w:id="213123423">
      <w:marLeft w:val="0"/>
      <w:marRight w:val="0"/>
      <w:marTop w:val="0"/>
      <w:marBottom w:val="0"/>
      <w:divBdr>
        <w:top w:val="none" w:sz="0" w:space="0" w:color="auto"/>
        <w:left w:val="none" w:sz="0" w:space="0" w:color="auto"/>
        <w:bottom w:val="none" w:sz="0" w:space="0" w:color="auto"/>
        <w:right w:val="none" w:sz="0" w:space="0" w:color="auto"/>
      </w:divBdr>
    </w:div>
    <w:div w:id="213123424">
      <w:marLeft w:val="0"/>
      <w:marRight w:val="0"/>
      <w:marTop w:val="0"/>
      <w:marBottom w:val="0"/>
      <w:divBdr>
        <w:top w:val="none" w:sz="0" w:space="0" w:color="auto"/>
        <w:left w:val="none" w:sz="0" w:space="0" w:color="auto"/>
        <w:bottom w:val="none" w:sz="0" w:space="0" w:color="auto"/>
        <w:right w:val="none" w:sz="0" w:space="0" w:color="auto"/>
      </w:divBdr>
    </w:div>
    <w:div w:id="213123425">
      <w:marLeft w:val="0"/>
      <w:marRight w:val="0"/>
      <w:marTop w:val="0"/>
      <w:marBottom w:val="0"/>
      <w:divBdr>
        <w:top w:val="none" w:sz="0" w:space="0" w:color="auto"/>
        <w:left w:val="none" w:sz="0" w:space="0" w:color="auto"/>
        <w:bottom w:val="none" w:sz="0" w:space="0" w:color="auto"/>
        <w:right w:val="none" w:sz="0" w:space="0" w:color="auto"/>
      </w:divBdr>
    </w:div>
    <w:div w:id="213123426">
      <w:marLeft w:val="0"/>
      <w:marRight w:val="0"/>
      <w:marTop w:val="0"/>
      <w:marBottom w:val="0"/>
      <w:divBdr>
        <w:top w:val="none" w:sz="0" w:space="0" w:color="auto"/>
        <w:left w:val="none" w:sz="0" w:space="0" w:color="auto"/>
        <w:bottom w:val="none" w:sz="0" w:space="0" w:color="auto"/>
        <w:right w:val="none" w:sz="0" w:space="0" w:color="auto"/>
      </w:divBdr>
    </w:div>
    <w:div w:id="213123427">
      <w:marLeft w:val="0"/>
      <w:marRight w:val="0"/>
      <w:marTop w:val="0"/>
      <w:marBottom w:val="0"/>
      <w:divBdr>
        <w:top w:val="none" w:sz="0" w:space="0" w:color="auto"/>
        <w:left w:val="none" w:sz="0" w:space="0" w:color="auto"/>
        <w:bottom w:val="none" w:sz="0" w:space="0" w:color="auto"/>
        <w:right w:val="none" w:sz="0" w:space="0" w:color="auto"/>
      </w:divBdr>
    </w:div>
    <w:div w:id="213123428">
      <w:marLeft w:val="0"/>
      <w:marRight w:val="0"/>
      <w:marTop w:val="0"/>
      <w:marBottom w:val="0"/>
      <w:divBdr>
        <w:top w:val="none" w:sz="0" w:space="0" w:color="auto"/>
        <w:left w:val="none" w:sz="0" w:space="0" w:color="auto"/>
        <w:bottom w:val="none" w:sz="0" w:space="0" w:color="auto"/>
        <w:right w:val="none" w:sz="0" w:space="0" w:color="auto"/>
      </w:divBdr>
    </w:div>
    <w:div w:id="213123429">
      <w:marLeft w:val="0"/>
      <w:marRight w:val="0"/>
      <w:marTop w:val="0"/>
      <w:marBottom w:val="0"/>
      <w:divBdr>
        <w:top w:val="none" w:sz="0" w:space="0" w:color="auto"/>
        <w:left w:val="none" w:sz="0" w:space="0" w:color="auto"/>
        <w:bottom w:val="none" w:sz="0" w:space="0" w:color="auto"/>
        <w:right w:val="none" w:sz="0" w:space="0" w:color="auto"/>
      </w:divBdr>
    </w:div>
    <w:div w:id="213123430">
      <w:marLeft w:val="0"/>
      <w:marRight w:val="0"/>
      <w:marTop w:val="0"/>
      <w:marBottom w:val="0"/>
      <w:divBdr>
        <w:top w:val="none" w:sz="0" w:space="0" w:color="auto"/>
        <w:left w:val="none" w:sz="0" w:space="0" w:color="auto"/>
        <w:bottom w:val="none" w:sz="0" w:space="0" w:color="auto"/>
        <w:right w:val="none" w:sz="0" w:space="0" w:color="auto"/>
      </w:divBdr>
    </w:div>
    <w:div w:id="213123431">
      <w:marLeft w:val="0"/>
      <w:marRight w:val="0"/>
      <w:marTop w:val="0"/>
      <w:marBottom w:val="0"/>
      <w:divBdr>
        <w:top w:val="none" w:sz="0" w:space="0" w:color="auto"/>
        <w:left w:val="none" w:sz="0" w:space="0" w:color="auto"/>
        <w:bottom w:val="none" w:sz="0" w:space="0" w:color="auto"/>
        <w:right w:val="none" w:sz="0" w:space="0" w:color="auto"/>
      </w:divBdr>
    </w:div>
    <w:div w:id="213123432">
      <w:marLeft w:val="0"/>
      <w:marRight w:val="0"/>
      <w:marTop w:val="0"/>
      <w:marBottom w:val="0"/>
      <w:divBdr>
        <w:top w:val="none" w:sz="0" w:space="0" w:color="auto"/>
        <w:left w:val="none" w:sz="0" w:space="0" w:color="auto"/>
        <w:bottom w:val="none" w:sz="0" w:space="0" w:color="auto"/>
        <w:right w:val="none" w:sz="0" w:space="0" w:color="auto"/>
      </w:divBdr>
    </w:div>
    <w:div w:id="213123433">
      <w:marLeft w:val="0"/>
      <w:marRight w:val="0"/>
      <w:marTop w:val="0"/>
      <w:marBottom w:val="0"/>
      <w:divBdr>
        <w:top w:val="none" w:sz="0" w:space="0" w:color="auto"/>
        <w:left w:val="none" w:sz="0" w:space="0" w:color="auto"/>
        <w:bottom w:val="none" w:sz="0" w:space="0" w:color="auto"/>
        <w:right w:val="none" w:sz="0" w:space="0" w:color="auto"/>
      </w:divBdr>
    </w:div>
    <w:div w:id="213123434">
      <w:marLeft w:val="0"/>
      <w:marRight w:val="0"/>
      <w:marTop w:val="0"/>
      <w:marBottom w:val="0"/>
      <w:divBdr>
        <w:top w:val="none" w:sz="0" w:space="0" w:color="auto"/>
        <w:left w:val="none" w:sz="0" w:space="0" w:color="auto"/>
        <w:bottom w:val="none" w:sz="0" w:space="0" w:color="auto"/>
        <w:right w:val="none" w:sz="0" w:space="0" w:color="auto"/>
      </w:divBdr>
    </w:div>
    <w:div w:id="213123435">
      <w:marLeft w:val="0"/>
      <w:marRight w:val="0"/>
      <w:marTop w:val="0"/>
      <w:marBottom w:val="0"/>
      <w:divBdr>
        <w:top w:val="none" w:sz="0" w:space="0" w:color="auto"/>
        <w:left w:val="none" w:sz="0" w:space="0" w:color="auto"/>
        <w:bottom w:val="none" w:sz="0" w:space="0" w:color="auto"/>
        <w:right w:val="none" w:sz="0" w:space="0" w:color="auto"/>
      </w:divBdr>
    </w:div>
    <w:div w:id="213123436">
      <w:marLeft w:val="0"/>
      <w:marRight w:val="0"/>
      <w:marTop w:val="0"/>
      <w:marBottom w:val="0"/>
      <w:divBdr>
        <w:top w:val="none" w:sz="0" w:space="0" w:color="auto"/>
        <w:left w:val="none" w:sz="0" w:space="0" w:color="auto"/>
        <w:bottom w:val="none" w:sz="0" w:space="0" w:color="auto"/>
        <w:right w:val="none" w:sz="0" w:space="0" w:color="auto"/>
      </w:divBdr>
    </w:div>
    <w:div w:id="213123437">
      <w:marLeft w:val="0"/>
      <w:marRight w:val="0"/>
      <w:marTop w:val="0"/>
      <w:marBottom w:val="0"/>
      <w:divBdr>
        <w:top w:val="none" w:sz="0" w:space="0" w:color="auto"/>
        <w:left w:val="none" w:sz="0" w:space="0" w:color="auto"/>
        <w:bottom w:val="none" w:sz="0" w:space="0" w:color="auto"/>
        <w:right w:val="none" w:sz="0" w:space="0" w:color="auto"/>
      </w:divBdr>
    </w:div>
    <w:div w:id="213123438">
      <w:marLeft w:val="0"/>
      <w:marRight w:val="0"/>
      <w:marTop w:val="0"/>
      <w:marBottom w:val="0"/>
      <w:divBdr>
        <w:top w:val="none" w:sz="0" w:space="0" w:color="auto"/>
        <w:left w:val="none" w:sz="0" w:space="0" w:color="auto"/>
        <w:bottom w:val="none" w:sz="0" w:space="0" w:color="auto"/>
        <w:right w:val="none" w:sz="0" w:space="0" w:color="auto"/>
      </w:divBdr>
    </w:div>
    <w:div w:id="213123439">
      <w:marLeft w:val="0"/>
      <w:marRight w:val="0"/>
      <w:marTop w:val="0"/>
      <w:marBottom w:val="0"/>
      <w:divBdr>
        <w:top w:val="none" w:sz="0" w:space="0" w:color="auto"/>
        <w:left w:val="none" w:sz="0" w:space="0" w:color="auto"/>
        <w:bottom w:val="none" w:sz="0" w:space="0" w:color="auto"/>
        <w:right w:val="none" w:sz="0" w:space="0" w:color="auto"/>
      </w:divBdr>
    </w:div>
    <w:div w:id="213123440">
      <w:marLeft w:val="0"/>
      <w:marRight w:val="0"/>
      <w:marTop w:val="0"/>
      <w:marBottom w:val="0"/>
      <w:divBdr>
        <w:top w:val="none" w:sz="0" w:space="0" w:color="auto"/>
        <w:left w:val="none" w:sz="0" w:space="0" w:color="auto"/>
        <w:bottom w:val="none" w:sz="0" w:space="0" w:color="auto"/>
        <w:right w:val="none" w:sz="0" w:space="0" w:color="auto"/>
      </w:divBdr>
    </w:div>
    <w:div w:id="213123441">
      <w:marLeft w:val="0"/>
      <w:marRight w:val="0"/>
      <w:marTop w:val="0"/>
      <w:marBottom w:val="0"/>
      <w:divBdr>
        <w:top w:val="none" w:sz="0" w:space="0" w:color="auto"/>
        <w:left w:val="none" w:sz="0" w:space="0" w:color="auto"/>
        <w:bottom w:val="none" w:sz="0" w:space="0" w:color="auto"/>
        <w:right w:val="none" w:sz="0" w:space="0" w:color="auto"/>
      </w:divBdr>
    </w:div>
    <w:div w:id="213123442">
      <w:marLeft w:val="0"/>
      <w:marRight w:val="0"/>
      <w:marTop w:val="0"/>
      <w:marBottom w:val="0"/>
      <w:divBdr>
        <w:top w:val="none" w:sz="0" w:space="0" w:color="auto"/>
        <w:left w:val="none" w:sz="0" w:space="0" w:color="auto"/>
        <w:bottom w:val="none" w:sz="0" w:space="0" w:color="auto"/>
        <w:right w:val="none" w:sz="0" w:space="0" w:color="auto"/>
      </w:divBdr>
    </w:div>
    <w:div w:id="213123443">
      <w:marLeft w:val="0"/>
      <w:marRight w:val="0"/>
      <w:marTop w:val="0"/>
      <w:marBottom w:val="0"/>
      <w:divBdr>
        <w:top w:val="none" w:sz="0" w:space="0" w:color="auto"/>
        <w:left w:val="none" w:sz="0" w:space="0" w:color="auto"/>
        <w:bottom w:val="none" w:sz="0" w:space="0" w:color="auto"/>
        <w:right w:val="none" w:sz="0" w:space="0" w:color="auto"/>
      </w:divBdr>
    </w:div>
    <w:div w:id="213123444">
      <w:marLeft w:val="0"/>
      <w:marRight w:val="0"/>
      <w:marTop w:val="0"/>
      <w:marBottom w:val="0"/>
      <w:divBdr>
        <w:top w:val="none" w:sz="0" w:space="0" w:color="auto"/>
        <w:left w:val="none" w:sz="0" w:space="0" w:color="auto"/>
        <w:bottom w:val="none" w:sz="0" w:space="0" w:color="auto"/>
        <w:right w:val="none" w:sz="0" w:space="0" w:color="auto"/>
      </w:divBdr>
    </w:div>
    <w:div w:id="213123445">
      <w:marLeft w:val="0"/>
      <w:marRight w:val="0"/>
      <w:marTop w:val="0"/>
      <w:marBottom w:val="0"/>
      <w:divBdr>
        <w:top w:val="none" w:sz="0" w:space="0" w:color="auto"/>
        <w:left w:val="none" w:sz="0" w:space="0" w:color="auto"/>
        <w:bottom w:val="none" w:sz="0" w:space="0" w:color="auto"/>
        <w:right w:val="none" w:sz="0" w:space="0" w:color="auto"/>
      </w:divBdr>
    </w:div>
    <w:div w:id="213123446">
      <w:marLeft w:val="0"/>
      <w:marRight w:val="0"/>
      <w:marTop w:val="0"/>
      <w:marBottom w:val="0"/>
      <w:divBdr>
        <w:top w:val="none" w:sz="0" w:space="0" w:color="auto"/>
        <w:left w:val="none" w:sz="0" w:space="0" w:color="auto"/>
        <w:bottom w:val="none" w:sz="0" w:space="0" w:color="auto"/>
        <w:right w:val="none" w:sz="0" w:space="0" w:color="auto"/>
      </w:divBdr>
    </w:div>
    <w:div w:id="213123447">
      <w:marLeft w:val="0"/>
      <w:marRight w:val="0"/>
      <w:marTop w:val="0"/>
      <w:marBottom w:val="0"/>
      <w:divBdr>
        <w:top w:val="none" w:sz="0" w:space="0" w:color="auto"/>
        <w:left w:val="none" w:sz="0" w:space="0" w:color="auto"/>
        <w:bottom w:val="none" w:sz="0" w:space="0" w:color="auto"/>
        <w:right w:val="none" w:sz="0" w:space="0" w:color="auto"/>
      </w:divBdr>
    </w:div>
    <w:div w:id="213123448">
      <w:marLeft w:val="0"/>
      <w:marRight w:val="0"/>
      <w:marTop w:val="0"/>
      <w:marBottom w:val="0"/>
      <w:divBdr>
        <w:top w:val="none" w:sz="0" w:space="0" w:color="auto"/>
        <w:left w:val="none" w:sz="0" w:space="0" w:color="auto"/>
        <w:bottom w:val="none" w:sz="0" w:space="0" w:color="auto"/>
        <w:right w:val="none" w:sz="0" w:space="0" w:color="auto"/>
      </w:divBdr>
    </w:div>
    <w:div w:id="213123449">
      <w:marLeft w:val="0"/>
      <w:marRight w:val="0"/>
      <w:marTop w:val="0"/>
      <w:marBottom w:val="0"/>
      <w:divBdr>
        <w:top w:val="none" w:sz="0" w:space="0" w:color="auto"/>
        <w:left w:val="none" w:sz="0" w:space="0" w:color="auto"/>
        <w:bottom w:val="none" w:sz="0" w:space="0" w:color="auto"/>
        <w:right w:val="none" w:sz="0" w:space="0" w:color="auto"/>
      </w:divBdr>
    </w:div>
    <w:div w:id="213123450">
      <w:marLeft w:val="0"/>
      <w:marRight w:val="0"/>
      <w:marTop w:val="0"/>
      <w:marBottom w:val="0"/>
      <w:divBdr>
        <w:top w:val="none" w:sz="0" w:space="0" w:color="auto"/>
        <w:left w:val="none" w:sz="0" w:space="0" w:color="auto"/>
        <w:bottom w:val="none" w:sz="0" w:space="0" w:color="auto"/>
        <w:right w:val="none" w:sz="0" w:space="0" w:color="auto"/>
      </w:divBdr>
    </w:div>
    <w:div w:id="213123451">
      <w:marLeft w:val="0"/>
      <w:marRight w:val="0"/>
      <w:marTop w:val="0"/>
      <w:marBottom w:val="0"/>
      <w:divBdr>
        <w:top w:val="none" w:sz="0" w:space="0" w:color="auto"/>
        <w:left w:val="none" w:sz="0" w:space="0" w:color="auto"/>
        <w:bottom w:val="none" w:sz="0" w:space="0" w:color="auto"/>
        <w:right w:val="none" w:sz="0" w:space="0" w:color="auto"/>
      </w:divBdr>
    </w:div>
    <w:div w:id="213123452">
      <w:marLeft w:val="0"/>
      <w:marRight w:val="0"/>
      <w:marTop w:val="0"/>
      <w:marBottom w:val="0"/>
      <w:divBdr>
        <w:top w:val="none" w:sz="0" w:space="0" w:color="auto"/>
        <w:left w:val="none" w:sz="0" w:space="0" w:color="auto"/>
        <w:bottom w:val="none" w:sz="0" w:space="0" w:color="auto"/>
        <w:right w:val="none" w:sz="0" w:space="0" w:color="auto"/>
      </w:divBdr>
    </w:div>
    <w:div w:id="213123453">
      <w:marLeft w:val="0"/>
      <w:marRight w:val="0"/>
      <w:marTop w:val="0"/>
      <w:marBottom w:val="0"/>
      <w:divBdr>
        <w:top w:val="none" w:sz="0" w:space="0" w:color="auto"/>
        <w:left w:val="none" w:sz="0" w:space="0" w:color="auto"/>
        <w:bottom w:val="none" w:sz="0" w:space="0" w:color="auto"/>
        <w:right w:val="none" w:sz="0" w:space="0" w:color="auto"/>
      </w:divBdr>
    </w:div>
    <w:div w:id="213123454">
      <w:marLeft w:val="0"/>
      <w:marRight w:val="0"/>
      <w:marTop w:val="0"/>
      <w:marBottom w:val="0"/>
      <w:divBdr>
        <w:top w:val="none" w:sz="0" w:space="0" w:color="auto"/>
        <w:left w:val="none" w:sz="0" w:space="0" w:color="auto"/>
        <w:bottom w:val="none" w:sz="0" w:space="0" w:color="auto"/>
        <w:right w:val="none" w:sz="0" w:space="0" w:color="auto"/>
      </w:divBdr>
    </w:div>
    <w:div w:id="213123455">
      <w:marLeft w:val="0"/>
      <w:marRight w:val="0"/>
      <w:marTop w:val="0"/>
      <w:marBottom w:val="0"/>
      <w:divBdr>
        <w:top w:val="none" w:sz="0" w:space="0" w:color="auto"/>
        <w:left w:val="none" w:sz="0" w:space="0" w:color="auto"/>
        <w:bottom w:val="none" w:sz="0" w:space="0" w:color="auto"/>
        <w:right w:val="none" w:sz="0" w:space="0" w:color="auto"/>
      </w:divBdr>
    </w:div>
    <w:div w:id="213123456">
      <w:marLeft w:val="0"/>
      <w:marRight w:val="0"/>
      <w:marTop w:val="0"/>
      <w:marBottom w:val="0"/>
      <w:divBdr>
        <w:top w:val="none" w:sz="0" w:space="0" w:color="auto"/>
        <w:left w:val="none" w:sz="0" w:space="0" w:color="auto"/>
        <w:bottom w:val="none" w:sz="0" w:space="0" w:color="auto"/>
        <w:right w:val="none" w:sz="0" w:space="0" w:color="auto"/>
      </w:divBdr>
    </w:div>
    <w:div w:id="213123457">
      <w:marLeft w:val="0"/>
      <w:marRight w:val="0"/>
      <w:marTop w:val="0"/>
      <w:marBottom w:val="0"/>
      <w:divBdr>
        <w:top w:val="none" w:sz="0" w:space="0" w:color="auto"/>
        <w:left w:val="none" w:sz="0" w:space="0" w:color="auto"/>
        <w:bottom w:val="none" w:sz="0" w:space="0" w:color="auto"/>
        <w:right w:val="none" w:sz="0" w:space="0" w:color="auto"/>
      </w:divBdr>
    </w:div>
    <w:div w:id="213123458">
      <w:marLeft w:val="0"/>
      <w:marRight w:val="0"/>
      <w:marTop w:val="0"/>
      <w:marBottom w:val="0"/>
      <w:divBdr>
        <w:top w:val="none" w:sz="0" w:space="0" w:color="auto"/>
        <w:left w:val="none" w:sz="0" w:space="0" w:color="auto"/>
        <w:bottom w:val="none" w:sz="0" w:space="0" w:color="auto"/>
        <w:right w:val="none" w:sz="0" w:space="0" w:color="auto"/>
      </w:divBdr>
    </w:div>
    <w:div w:id="213123459">
      <w:marLeft w:val="0"/>
      <w:marRight w:val="0"/>
      <w:marTop w:val="0"/>
      <w:marBottom w:val="0"/>
      <w:divBdr>
        <w:top w:val="none" w:sz="0" w:space="0" w:color="auto"/>
        <w:left w:val="none" w:sz="0" w:space="0" w:color="auto"/>
        <w:bottom w:val="none" w:sz="0" w:space="0" w:color="auto"/>
        <w:right w:val="none" w:sz="0" w:space="0" w:color="auto"/>
      </w:divBdr>
    </w:div>
    <w:div w:id="213123460">
      <w:marLeft w:val="0"/>
      <w:marRight w:val="0"/>
      <w:marTop w:val="0"/>
      <w:marBottom w:val="0"/>
      <w:divBdr>
        <w:top w:val="none" w:sz="0" w:space="0" w:color="auto"/>
        <w:left w:val="none" w:sz="0" w:space="0" w:color="auto"/>
        <w:bottom w:val="none" w:sz="0" w:space="0" w:color="auto"/>
        <w:right w:val="none" w:sz="0" w:space="0" w:color="auto"/>
      </w:divBdr>
    </w:div>
    <w:div w:id="213123461">
      <w:marLeft w:val="0"/>
      <w:marRight w:val="0"/>
      <w:marTop w:val="0"/>
      <w:marBottom w:val="0"/>
      <w:divBdr>
        <w:top w:val="none" w:sz="0" w:space="0" w:color="auto"/>
        <w:left w:val="none" w:sz="0" w:space="0" w:color="auto"/>
        <w:bottom w:val="none" w:sz="0" w:space="0" w:color="auto"/>
        <w:right w:val="none" w:sz="0" w:space="0" w:color="auto"/>
      </w:divBdr>
    </w:div>
    <w:div w:id="213123462">
      <w:marLeft w:val="0"/>
      <w:marRight w:val="0"/>
      <w:marTop w:val="0"/>
      <w:marBottom w:val="0"/>
      <w:divBdr>
        <w:top w:val="none" w:sz="0" w:space="0" w:color="auto"/>
        <w:left w:val="none" w:sz="0" w:space="0" w:color="auto"/>
        <w:bottom w:val="none" w:sz="0" w:space="0" w:color="auto"/>
        <w:right w:val="none" w:sz="0" w:space="0" w:color="auto"/>
      </w:divBdr>
    </w:div>
    <w:div w:id="213123463">
      <w:marLeft w:val="0"/>
      <w:marRight w:val="0"/>
      <w:marTop w:val="0"/>
      <w:marBottom w:val="0"/>
      <w:divBdr>
        <w:top w:val="none" w:sz="0" w:space="0" w:color="auto"/>
        <w:left w:val="none" w:sz="0" w:space="0" w:color="auto"/>
        <w:bottom w:val="none" w:sz="0" w:space="0" w:color="auto"/>
        <w:right w:val="none" w:sz="0" w:space="0" w:color="auto"/>
      </w:divBdr>
    </w:div>
    <w:div w:id="213123464">
      <w:marLeft w:val="0"/>
      <w:marRight w:val="0"/>
      <w:marTop w:val="0"/>
      <w:marBottom w:val="0"/>
      <w:divBdr>
        <w:top w:val="none" w:sz="0" w:space="0" w:color="auto"/>
        <w:left w:val="none" w:sz="0" w:space="0" w:color="auto"/>
        <w:bottom w:val="none" w:sz="0" w:space="0" w:color="auto"/>
        <w:right w:val="none" w:sz="0" w:space="0" w:color="auto"/>
      </w:divBdr>
    </w:div>
    <w:div w:id="213123465">
      <w:marLeft w:val="0"/>
      <w:marRight w:val="0"/>
      <w:marTop w:val="0"/>
      <w:marBottom w:val="0"/>
      <w:divBdr>
        <w:top w:val="none" w:sz="0" w:space="0" w:color="auto"/>
        <w:left w:val="none" w:sz="0" w:space="0" w:color="auto"/>
        <w:bottom w:val="none" w:sz="0" w:space="0" w:color="auto"/>
        <w:right w:val="none" w:sz="0" w:space="0" w:color="auto"/>
      </w:divBdr>
    </w:div>
    <w:div w:id="213123466">
      <w:marLeft w:val="0"/>
      <w:marRight w:val="0"/>
      <w:marTop w:val="0"/>
      <w:marBottom w:val="0"/>
      <w:divBdr>
        <w:top w:val="none" w:sz="0" w:space="0" w:color="auto"/>
        <w:left w:val="none" w:sz="0" w:space="0" w:color="auto"/>
        <w:bottom w:val="none" w:sz="0" w:space="0" w:color="auto"/>
        <w:right w:val="none" w:sz="0" w:space="0" w:color="auto"/>
      </w:divBdr>
    </w:div>
    <w:div w:id="213123467">
      <w:marLeft w:val="0"/>
      <w:marRight w:val="0"/>
      <w:marTop w:val="0"/>
      <w:marBottom w:val="0"/>
      <w:divBdr>
        <w:top w:val="none" w:sz="0" w:space="0" w:color="auto"/>
        <w:left w:val="none" w:sz="0" w:space="0" w:color="auto"/>
        <w:bottom w:val="none" w:sz="0" w:space="0" w:color="auto"/>
        <w:right w:val="none" w:sz="0" w:space="0" w:color="auto"/>
      </w:divBdr>
    </w:div>
    <w:div w:id="213123468">
      <w:marLeft w:val="0"/>
      <w:marRight w:val="0"/>
      <w:marTop w:val="0"/>
      <w:marBottom w:val="0"/>
      <w:divBdr>
        <w:top w:val="none" w:sz="0" w:space="0" w:color="auto"/>
        <w:left w:val="none" w:sz="0" w:space="0" w:color="auto"/>
        <w:bottom w:val="none" w:sz="0" w:space="0" w:color="auto"/>
        <w:right w:val="none" w:sz="0" w:space="0" w:color="auto"/>
      </w:divBdr>
    </w:div>
    <w:div w:id="213123469">
      <w:marLeft w:val="0"/>
      <w:marRight w:val="0"/>
      <w:marTop w:val="0"/>
      <w:marBottom w:val="0"/>
      <w:divBdr>
        <w:top w:val="none" w:sz="0" w:space="0" w:color="auto"/>
        <w:left w:val="none" w:sz="0" w:space="0" w:color="auto"/>
        <w:bottom w:val="none" w:sz="0" w:space="0" w:color="auto"/>
        <w:right w:val="none" w:sz="0" w:space="0" w:color="auto"/>
      </w:divBdr>
    </w:div>
    <w:div w:id="213123470">
      <w:marLeft w:val="0"/>
      <w:marRight w:val="0"/>
      <w:marTop w:val="0"/>
      <w:marBottom w:val="0"/>
      <w:divBdr>
        <w:top w:val="none" w:sz="0" w:space="0" w:color="auto"/>
        <w:left w:val="none" w:sz="0" w:space="0" w:color="auto"/>
        <w:bottom w:val="none" w:sz="0" w:space="0" w:color="auto"/>
        <w:right w:val="none" w:sz="0" w:space="0" w:color="auto"/>
      </w:divBdr>
    </w:div>
    <w:div w:id="213123471">
      <w:marLeft w:val="0"/>
      <w:marRight w:val="0"/>
      <w:marTop w:val="0"/>
      <w:marBottom w:val="0"/>
      <w:divBdr>
        <w:top w:val="none" w:sz="0" w:space="0" w:color="auto"/>
        <w:left w:val="none" w:sz="0" w:space="0" w:color="auto"/>
        <w:bottom w:val="none" w:sz="0" w:space="0" w:color="auto"/>
        <w:right w:val="none" w:sz="0" w:space="0" w:color="auto"/>
      </w:divBdr>
    </w:div>
    <w:div w:id="213123472">
      <w:marLeft w:val="0"/>
      <w:marRight w:val="0"/>
      <w:marTop w:val="0"/>
      <w:marBottom w:val="0"/>
      <w:divBdr>
        <w:top w:val="none" w:sz="0" w:space="0" w:color="auto"/>
        <w:left w:val="none" w:sz="0" w:space="0" w:color="auto"/>
        <w:bottom w:val="none" w:sz="0" w:space="0" w:color="auto"/>
        <w:right w:val="none" w:sz="0" w:space="0" w:color="auto"/>
      </w:divBdr>
    </w:div>
    <w:div w:id="213123473">
      <w:marLeft w:val="0"/>
      <w:marRight w:val="0"/>
      <w:marTop w:val="0"/>
      <w:marBottom w:val="0"/>
      <w:divBdr>
        <w:top w:val="none" w:sz="0" w:space="0" w:color="auto"/>
        <w:left w:val="none" w:sz="0" w:space="0" w:color="auto"/>
        <w:bottom w:val="none" w:sz="0" w:space="0" w:color="auto"/>
        <w:right w:val="none" w:sz="0" w:space="0" w:color="auto"/>
      </w:divBdr>
    </w:div>
    <w:div w:id="213123474">
      <w:marLeft w:val="0"/>
      <w:marRight w:val="0"/>
      <w:marTop w:val="0"/>
      <w:marBottom w:val="0"/>
      <w:divBdr>
        <w:top w:val="none" w:sz="0" w:space="0" w:color="auto"/>
        <w:left w:val="none" w:sz="0" w:space="0" w:color="auto"/>
        <w:bottom w:val="none" w:sz="0" w:space="0" w:color="auto"/>
        <w:right w:val="none" w:sz="0" w:space="0" w:color="auto"/>
      </w:divBdr>
    </w:div>
    <w:div w:id="213123475">
      <w:marLeft w:val="0"/>
      <w:marRight w:val="0"/>
      <w:marTop w:val="0"/>
      <w:marBottom w:val="0"/>
      <w:divBdr>
        <w:top w:val="none" w:sz="0" w:space="0" w:color="auto"/>
        <w:left w:val="none" w:sz="0" w:space="0" w:color="auto"/>
        <w:bottom w:val="none" w:sz="0" w:space="0" w:color="auto"/>
        <w:right w:val="none" w:sz="0" w:space="0" w:color="auto"/>
      </w:divBdr>
    </w:div>
    <w:div w:id="213123476">
      <w:marLeft w:val="0"/>
      <w:marRight w:val="0"/>
      <w:marTop w:val="0"/>
      <w:marBottom w:val="0"/>
      <w:divBdr>
        <w:top w:val="none" w:sz="0" w:space="0" w:color="auto"/>
        <w:left w:val="none" w:sz="0" w:space="0" w:color="auto"/>
        <w:bottom w:val="none" w:sz="0" w:space="0" w:color="auto"/>
        <w:right w:val="none" w:sz="0" w:space="0" w:color="auto"/>
      </w:divBdr>
    </w:div>
    <w:div w:id="213123477">
      <w:marLeft w:val="0"/>
      <w:marRight w:val="0"/>
      <w:marTop w:val="0"/>
      <w:marBottom w:val="0"/>
      <w:divBdr>
        <w:top w:val="none" w:sz="0" w:space="0" w:color="auto"/>
        <w:left w:val="none" w:sz="0" w:space="0" w:color="auto"/>
        <w:bottom w:val="none" w:sz="0" w:space="0" w:color="auto"/>
        <w:right w:val="none" w:sz="0" w:space="0" w:color="auto"/>
      </w:divBdr>
    </w:div>
    <w:div w:id="213123478">
      <w:marLeft w:val="0"/>
      <w:marRight w:val="0"/>
      <w:marTop w:val="0"/>
      <w:marBottom w:val="0"/>
      <w:divBdr>
        <w:top w:val="none" w:sz="0" w:space="0" w:color="auto"/>
        <w:left w:val="none" w:sz="0" w:space="0" w:color="auto"/>
        <w:bottom w:val="none" w:sz="0" w:space="0" w:color="auto"/>
        <w:right w:val="none" w:sz="0" w:space="0" w:color="auto"/>
      </w:divBdr>
    </w:div>
    <w:div w:id="213123479">
      <w:marLeft w:val="0"/>
      <w:marRight w:val="0"/>
      <w:marTop w:val="0"/>
      <w:marBottom w:val="0"/>
      <w:divBdr>
        <w:top w:val="none" w:sz="0" w:space="0" w:color="auto"/>
        <w:left w:val="none" w:sz="0" w:space="0" w:color="auto"/>
        <w:bottom w:val="none" w:sz="0" w:space="0" w:color="auto"/>
        <w:right w:val="none" w:sz="0" w:space="0" w:color="auto"/>
      </w:divBdr>
    </w:div>
    <w:div w:id="213123480">
      <w:marLeft w:val="0"/>
      <w:marRight w:val="0"/>
      <w:marTop w:val="0"/>
      <w:marBottom w:val="0"/>
      <w:divBdr>
        <w:top w:val="none" w:sz="0" w:space="0" w:color="auto"/>
        <w:left w:val="none" w:sz="0" w:space="0" w:color="auto"/>
        <w:bottom w:val="none" w:sz="0" w:space="0" w:color="auto"/>
        <w:right w:val="none" w:sz="0" w:space="0" w:color="auto"/>
      </w:divBdr>
    </w:div>
    <w:div w:id="213123481">
      <w:marLeft w:val="0"/>
      <w:marRight w:val="0"/>
      <w:marTop w:val="0"/>
      <w:marBottom w:val="0"/>
      <w:divBdr>
        <w:top w:val="none" w:sz="0" w:space="0" w:color="auto"/>
        <w:left w:val="none" w:sz="0" w:space="0" w:color="auto"/>
        <w:bottom w:val="none" w:sz="0" w:space="0" w:color="auto"/>
        <w:right w:val="none" w:sz="0" w:space="0" w:color="auto"/>
      </w:divBdr>
    </w:div>
    <w:div w:id="213123482">
      <w:marLeft w:val="0"/>
      <w:marRight w:val="0"/>
      <w:marTop w:val="0"/>
      <w:marBottom w:val="0"/>
      <w:divBdr>
        <w:top w:val="none" w:sz="0" w:space="0" w:color="auto"/>
        <w:left w:val="none" w:sz="0" w:space="0" w:color="auto"/>
        <w:bottom w:val="none" w:sz="0" w:space="0" w:color="auto"/>
        <w:right w:val="none" w:sz="0" w:space="0" w:color="auto"/>
      </w:divBdr>
    </w:div>
    <w:div w:id="213123483">
      <w:marLeft w:val="0"/>
      <w:marRight w:val="0"/>
      <w:marTop w:val="0"/>
      <w:marBottom w:val="0"/>
      <w:divBdr>
        <w:top w:val="none" w:sz="0" w:space="0" w:color="auto"/>
        <w:left w:val="none" w:sz="0" w:space="0" w:color="auto"/>
        <w:bottom w:val="none" w:sz="0" w:space="0" w:color="auto"/>
        <w:right w:val="none" w:sz="0" w:space="0" w:color="auto"/>
      </w:divBdr>
    </w:div>
    <w:div w:id="213123484">
      <w:marLeft w:val="0"/>
      <w:marRight w:val="0"/>
      <w:marTop w:val="0"/>
      <w:marBottom w:val="0"/>
      <w:divBdr>
        <w:top w:val="none" w:sz="0" w:space="0" w:color="auto"/>
        <w:left w:val="none" w:sz="0" w:space="0" w:color="auto"/>
        <w:bottom w:val="none" w:sz="0" w:space="0" w:color="auto"/>
        <w:right w:val="none" w:sz="0" w:space="0" w:color="auto"/>
      </w:divBdr>
    </w:div>
    <w:div w:id="213123485">
      <w:marLeft w:val="0"/>
      <w:marRight w:val="0"/>
      <w:marTop w:val="0"/>
      <w:marBottom w:val="0"/>
      <w:divBdr>
        <w:top w:val="none" w:sz="0" w:space="0" w:color="auto"/>
        <w:left w:val="none" w:sz="0" w:space="0" w:color="auto"/>
        <w:bottom w:val="none" w:sz="0" w:space="0" w:color="auto"/>
        <w:right w:val="none" w:sz="0" w:space="0" w:color="auto"/>
      </w:divBdr>
    </w:div>
    <w:div w:id="213123486">
      <w:marLeft w:val="0"/>
      <w:marRight w:val="0"/>
      <w:marTop w:val="0"/>
      <w:marBottom w:val="0"/>
      <w:divBdr>
        <w:top w:val="none" w:sz="0" w:space="0" w:color="auto"/>
        <w:left w:val="none" w:sz="0" w:space="0" w:color="auto"/>
        <w:bottom w:val="none" w:sz="0" w:space="0" w:color="auto"/>
        <w:right w:val="none" w:sz="0" w:space="0" w:color="auto"/>
      </w:divBdr>
    </w:div>
    <w:div w:id="213123487">
      <w:marLeft w:val="0"/>
      <w:marRight w:val="0"/>
      <w:marTop w:val="0"/>
      <w:marBottom w:val="0"/>
      <w:divBdr>
        <w:top w:val="none" w:sz="0" w:space="0" w:color="auto"/>
        <w:left w:val="none" w:sz="0" w:space="0" w:color="auto"/>
        <w:bottom w:val="none" w:sz="0" w:space="0" w:color="auto"/>
        <w:right w:val="none" w:sz="0" w:space="0" w:color="auto"/>
      </w:divBdr>
    </w:div>
    <w:div w:id="213123488">
      <w:marLeft w:val="0"/>
      <w:marRight w:val="0"/>
      <w:marTop w:val="0"/>
      <w:marBottom w:val="0"/>
      <w:divBdr>
        <w:top w:val="none" w:sz="0" w:space="0" w:color="auto"/>
        <w:left w:val="none" w:sz="0" w:space="0" w:color="auto"/>
        <w:bottom w:val="none" w:sz="0" w:space="0" w:color="auto"/>
        <w:right w:val="none" w:sz="0" w:space="0" w:color="auto"/>
      </w:divBdr>
    </w:div>
    <w:div w:id="213123489">
      <w:marLeft w:val="0"/>
      <w:marRight w:val="0"/>
      <w:marTop w:val="0"/>
      <w:marBottom w:val="0"/>
      <w:divBdr>
        <w:top w:val="none" w:sz="0" w:space="0" w:color="auto"/>
        <w:left w:val="none" w:sz="0" w:space="0" w:color="auto"/>
        <w:bottom w:val="none" w:sz="0" w:space="0" w:color="auto"/>
        <w:right w:val="none" w:sz="0" w:space="0" w:color="auto"/>
      </w:divBdr>
    </w:div>
    <w:div w:id="213123490">
      <w:marLeft w:val="0"/>
      <w:marRight w:val="0"/>
      <w:marTop w:val="0"/>
      <w:marBottom w:val="0"/>
      <w:divBdr>
        <w:top w:val="none" w:sz="0" w:space="0" w:color="auto"/>
        <w:left w:val="none" w:sz="0" w:space="0" w:color="auto"/>
        <w:bottom w:val="none" w:sz="0" w:space="0" w:color="auto"/>
        <w:right w:val="none" w:sz="0" w:space="0" w:color="auto"/>
      </w:divBdr>
    </w:div>
    <w:div w:id="213123491">
      <w:marLeft w:val="0"/>
      <w:marRight w:val="0"/>
      <w:marTop w:val="0"/>
      <w:marBottom w:val="0"/>
      <w:divBdr>
        <w:top w:val="none" w:sz="0" w:space="0" w:color="auto"/>
        <w:left w:val="none" w:sz="0" w:space="0" w:color="auto"/>
        <w:bottom w:val="none" w:sz="0" w:space="0" w:color="auto"/>
        <w:right w:val="none" w:sz="0" w:space="0" w:color="auto"/>
      </w:divBdr>
    </w:div>
    <w:div w:id="213123492">
      <w:marLeft w:val="0"/>
      <w:marRight w:val="0"/>
      <w:marTop w:val="0"/>
      <w:marBottom w:val="0"/>
      <w:divBdr>
        <w:top w:val="none" w:sz="0" w:space="0" w:color="auto"/>
        <w:left w:val="none" w:sz="0" w:space="0" w:color="auto"/>
        <w:bottom w:val="none" w:sz="0" w:space="0" w:color="auto"/>
        <w:right w:val="none" w:sz="0" w:space="0" w:color="auto"/>
      </w:divBdr>
    </w:div>
    <w:div w:id="213123493">
      <w:marLeft w:val="0"/>
      <w:marRight w:val="0"/>
      <w:marTop w:val="0"/>
      <w:marBottom w:val="0"/>
      <w:divBdr>
        <w:top w:val="none" w:sz="0" w:space="0" w:color="auto"/>
        <w:left w:val="none" w:sz="0" w:space="0" w:color="auto"/>
        <w:bottom w:val="none" w:sz="0" w:space="0" w:color="auto"/>
        <w:right w:val="none" w:sz="0" w:space="0" w:color="auto"/>
      </w:divBdr>
    </w:div>
    <w:div w:id="213123494">
      <w:marLeft w:val="0"/>
      <w:marRight w:val="0"/>
      <w:marTop w:val="0"/>
      <w:marBottom w:val="0"/>
      <w:divBdr>
        <w:top w:val="none" w:sz="0" w:space="0" w:color="auto"/>
        <w:left w:val="none" w:sz="0" w:space="0" w:color="auto"/>
        <w:bottom w:val="none" w:sz="0" w:space="0" w:color="auto"/>
        <w:right w:val="none" w:sz="0" w:space="0" w:color="auto"/>
      </w:divBdr>
    </w:div>
    <w:div w:id="213123495">
      <w:marLeft w:val="0"/>
      <w:marRight w:val="0"/>
      <w:marTop w:val="0"/>
      <w:marBottom w:val="0"/>
      <w:divBdr>
        <w:top w:val="none" w:sz="0" w:space="0" w:color="auto"/>
        <w:left w:val="none" w:sz="0" w:space="0" w:color="auto"/>
        <w:bottom w:val="none" w:sz="0" w:space="0" w:color="auto"/>
        <w:right w:val="none" w:sz="0" w:space="0" w:color="auto"/>
      </w:divBdr>
    </w:div>
    <w:div w:id="213123496">
      <w:marLeft w:val="0"/>
      <w:marRight w:val="0"/>
      <w:marTop w:val="0"/>
      <w:marBottom w:val="0"/>
      <w:divBdr>
        <w:top w:val="none" w:sz="0" w:space="0" w:color="auto"/>
        <w:left w:val="none" w:sz="0" w:space="0" w:color="auto"/>
        <w:bottom w:val="none" w:sz="0" w:space="0" w:color="auto"/>
        <w:right w:val="none" w:sz="0" w:space="0" w:color="auto"/>
      </w:divBdr>
    </w:div>
    <w:div w:id="213123497">
      <w:marLeft w:val="0"/>
      <w:marRight w:val="0"/>
      <w:marTop w:val="0"/>
      <w:marBottom w:val="0"/>
      <w:divBdr>
        <w:top w:val="none" w:sz="0" w:space="0" w:color="auto"/>
        <w:left w:val="none" w:sz="0" w:space="0" w:color="auto"/>
        <w:bottom w:val="none" w:sz="0" w:space="0" w:color="auto"/>
        <w:right w:val="none" w:sz="0" w:space="0" w:color="auto"/>
      </w:divBdr>
    </w:div>
    <w:div w:id="213123498">
      <w:marLeft w:val="0"/>
      <w:marRight w:val="0"/>
      <w:marTop w:val="0"/>
      <w:marBottom w:val="0"/>
      <w:divBdr>
        <w:top w:val="none" w:sz="0" w:space="0" w:color="auto"/>
        <w:left w:val="none" w:sz="0" w:space="0" w:color="auto"/>
        <w:bottom w:val="none" w:sz="0" w:space="0" w:color="auto"/>
        <w:right w:val="none" w:sz="0" w:space="0" w:color="auto"/>
      </w:divBdr>
    </w:div>
    <w:div w:id="213123499">
      <w:marLeft w:val="0"/>
      <w:marRight w:val="0"/>
      <w:marTop w:val="0"/>
      <w:marBottom w:val="0"/>
      <w:divBdr>
        <w:top w:val="none" w:sz="0" w:space="0" w:color="auto"/>
        <w:left w:val="none" w:sz="0" w:space="0" w:color="auto"/>
        <w:bottom w:val="none" w:sz="0" w:space="0" w:color="auto"/>
        <w:right w:val="none" w:sz="0" w:space="0" w:color="auto"/>
      </w:divBdr>
    </w:div>
    <w:div w:id="213123500">
      <w:marLeft w:val="0"/>
      <w:marRight w:val="0"/>
      <w:marTop w:val="0"/>
      <w:marBottom w:val="0"/>
      <w:divBdr>
        <w:top w:val="none" w:sz="0" w:space="0" w:color="auto"/>
        <w:left w:val="none" w:sz="0" w:space="0" w:color="auto"/>
        <w:bottom w:val="none" w:sz="0" w:space="0" w:color="auto"/>
        <w:right w:val="none" w:sz="0" w:space="0" w:color="auto"/>
      </w:divBdr>
    </w:div>
    <w:div w:id="213123501">
      <w:marLeft w:val="0"/>
      <w:marRight w:val="0"/>
      <w:marTop w:val="0"/>
      <w:marBottom w:val="0"/>
      <w:divBdr>
        <w:top w:val="none" w:sz="0" w:space="0" w:color="auto"/>
        <w:left w:val="none" w:sz="0" w:space="0" w:color="auto"/>
        <w:bottom w:val="none" w:sz="0" w:space="0" w:color="auto"/>
        <w:right w:val="none" w:sz="0" w:space="0" w:color="auto"/>
      </w:divBdr>
    </w:div>
    <w:div w:id="213123502">
      <w:marLeft w:val="0"/>
      <w:marRight w:val="0"/>
      <w:marTop w:val="0"/>
      <w:marBottom w:val="0"/>
      <w:divBdr>
        <w:top w:val="none" w:sz="0" w:space="0" w:color="auto"/>
        <w:left w:val="none" w:sz="0" w:space="0" w:color="auto"/>
        <w:bottom w:val="none" w:sz="0" w:space="0" w:color="auto"/>
        <w:right w:val="none" w:sz="0" w:space="0" w:color="auto"/>
      </w:divBdr>
    </w:div>
    <w:div w:id="213123503">
      <w:marLeft w:val="0"/>
      <w:marRight w:val="0"/>
      <w:marTop w:val="0"/>
      <w:marBottom w:val="0"/>
      <w:divBdr>
        <w:top w:val="none" w:sz="0" w:space="0" w:color="auto"/>
        <w:left w:val="none" w:sz="0" w:space="0" w:color="auto"/>
        <w:bottom w:val="none" w:sz="0" w:space="0" w:color="auto"/>
        <w:right w:val="none" w:sz="0" w:space="0" w:color="auto"/>
      </w:divBdr>
    </w:div>
    <w:div w:id="213123504">
      <w:marLeft w:val="0"/>
      <w:marRight w:val="0"/>
      <w:marTop w:val="0"/>
      <w:marBottom w:val="0"/>
      <w:divBdr>
        <w:top w:val="none" w:sz="0" w:space="0" w:color="auto"/>
        <w:left w:val="none" w:sz="0" w:space="0" w:color="auto"/>
        <w:bottom w:val="none" w:sz="0" w:space="0" w:color="auto"/>
        <w:right w:val="none" w:sz="0" w:space="0" w:color="auto"/>
      </w:divBdr>
    </w:div>
    <w:div w:id="213123505">
      <w:marLeft w:val="0"/>
      <w:marRight w:val="0"/>
      <w:marTop w:val="0"/>
      <w:marBottom w:val="0"/>
      <w:divBdr>
        <w:top w:val="none" w:sz="0" w:space="0" w:color="auto"/>
        <w:left w:val="none" w:sz="0" w:space="0" w:color="auto"/>
        <w:bottom w:val="none" w:sz="0" w:space="0" w:color="auto"/>
        <w:right w:val="none" w:sz="0" w:space="0" w:color="auto"/>
      </w:divBdr>
    </w:div>
    <w:div w:id="213123506">
      <w:marLeft w:val="0"/>
      <w:marRight w:val="0"/>
      <w:marTop w:val="0"/>
      <w:marBottom w:val="0"/>
      <w:divBdr>
        <w:top w:val="none" w:sz="0" w:space="0" w:color="auto"/>
        <w:left w:val="none" w:sz="0" w:space="0" w:color="auto"/>
        <w:bottom w:val="none" w:sz="0" w:space="0" w:color="auto"/>
        <w:right w:val="none" w:sz="0" w:space="0" w:color="auto"/>
      </w:divBdr>
    </w:div>
    <w:div w:id="213123507">
      <w:marLeft w:val="0"/>
      <w:marRight w:val="0"/>
      <w:marTop w:val="0"/>
      <w:marBottom w:val="0"/>
      <w:divBdr>
        <w:top w:val="none" w:sz="0" w:space="0" w:color="auto"/>
        <w:left w:val="none" w:sz="0" w:space="0" w:color="auto"/>
        <w:bottom w:val="none" w:sz="0" w:space="0" w:color="auto"/>
        <w:right w:val="none" w:sz="0" w:space="0" w:color="auto"/>
      </w:divBdr>
    </w:div>
    <w:div w:id="213123508">
      <w:marLeft w:val="0"/>
      <w:marRight w:val="0"/>
      <w:marTop w:val="0"/>
      <w:marBottom w:val="0"/>
      <w:divBdr>
        <w:top w:val="none" w:sz="0" w:space="0" w:color="auto"/>
        <w:left w:val="none" w:sz="0" w:space="0" w:color="auto"/>
        <w:bottom w:val="none" w:sz="0" w:space="0" w:color="auto"/>
        <w:right w:val="none" w:sz="0" w:space="0" w:color="auto"/>
      </w:divBdr>
    </w:div>
    <w:div w:id="213123509">
      <w:marLeft w:val="0"/>
      <w:marRight w:val="0"/>
      <w:marTop w:val="0"/>
      <w:marBottom w:val="0"/>
      <w:divBdr>
        <w:top w:val="none" w:sz="0" w:space="0" w:color="auto"/>
        <w:left w:val="none" w:sz="0" w:space="0" w:color="auto"/>
        <w:bottom w:val="none" w:sz="0" w:space="0" w:color="auto"/>
        <w:right w:val="none" w:sz="0" w:space="0" w:color="auto"/>
      </w:divBdr>
    </w:div>
    <w:div w:id="213123510">
      <w:marLeft w:val="0"/>
      <w:marRight w:val="0"/>
      <w:marTop w:val="0"/>
      <w:marBottom w:val="0"/>
      <w:divBdr>
        <w:top w:val="none" w:sz="0" w:space="0" w:color="auto"/>
        <w:left w:val="none" w:sz="0" w:space="0" w:color="auto"/>
        <w:bottom w:val="none" w:sz="0" w:space="0" w:color="auto"/>
        <w:right w:val="none" w:sz="0" w:space="0" w:color="auto"/>
      </w:divBdr>
    </w:div>
    <w:div w:id="213123511">
      <w:marLeft w:val="0"/>
      <w:marRight w:val="0"/>
      <w:marTop w:val="0"/>
      <w:marBottom w:val="0"/>
      <w:divBdr>
        <w:top w:val="none" w:sz="0" w:space="0" w:color="auto"/>
        <w:left w:val="none" w:sz="0" w:space="0" w:color="auto"/>
        <w:bottom w:val="none" w:sz="0" w:space="0" w:color="auto"/>
        <w:right w:val="none" w:sz="0" w:space="0" w:color="auto"/>
      </w:divBdr>
    </w:div>
    <w:div w:id="213123512">
      <w:marLeft w:val="0"/>
      <w:marRight w:val="0"/>
      <w:marTop w:val="0"/>
      <w:marBottom w:val="0"/>
      <w:divBdr>
        <w:top w:val="none" w:sz="0" w:space="0" w:color="auto"/>
        <w:left w:val="none" w:sz="0" w:space="0" w:color="auto"/>
        <w:bottom w:val="none" w:sz="0" w:space="0" w:color="auto"/>
        <w:right w:val="none" w:sz="0" w:space="0" w:color="auto"/>
      </w:divBdr>
    </w:div>
    <w:div w:id="213123513">
      <w:marLeft w:val="0"/>
      <w:marRight w:val="0"/>
      <w:marTop w:val="0"/>
      <w:marBottom w:val="0"/>
      <w:divBdr>
        <w:top w:val="none" w:sz="0" w:space="0" w:color="auto"/>
        <w:left w:val="none" w:sz="0" w:space="0" w:color="auto"/>
        <w:bottom w:val="none" w:sz="0" w:space="0" w:color="auto"/>
        <w:right w:val="none" w:sz="0" w:space="0" w:color="auto"/>
      </w:divBdr>
    </w:div>
    <w:div w:id="213123514">
      <w:marLeft w:val="0"/>
      <w:marRight w:val="0"/>
      <w:marTop w:val="0"/>
      <w:marBottom w:val="0"/>
      <w:divBdr>
        <w:top w:val="none" w:sz="0" w:space="0" w:color="auto"/>
        <w:left w:val="none" w:sz="0" w:space="0" w:color="auto"/>
        <w:bottom w:val="none" w:sz="0" w:space="0" w:color="auto"/>
        <w:right w:val="none" w:sz="0" w:space="0" w:color="auto"/>
      </w:divBdr>
    </w:div>
    <w:div w:id="213123515">
      <w:marLeft w:val="0"/>
      <w:marRight w:val="0"/>
      <w:marTop w:val="0"/>
      <w:marBottom w:val="0"/>
      <w:divBdr>
        <w:top w:val="none" w:sz="0" w:space="0" w:color="auto"/>
        <w:left w:val="none" w:sz="0" w:space="0" w:color="auto"/>
        <w:bottom w:val="none" w:sz="0" w:space="0" w:color="auto"/>
        <w:right w:val="none" w:sz="0" w:space="0" w:color="auto"/>
      </w:divBdr>
    </w:div>
    <w:div w:id="213123516">
      <w:marLeft w:val="0"/>
      <w:marRight w:val="0"/>
      <w:marTop w:val="0"/>
      <w:marBottom w:val="0"/>
      <w:divBdr>
        <w:top w:val="none" w:sz="0" w:space="0" w:color="auto"/>
        <w:left w:val="none" w:sz="0" w:space="0" w:color="auto"/>
        <w:bottom w:val="none" w:sz="0" w:space="0" w:color="auto"/>
        <w:right w:val="none" w:sz="0" w:space="0" w:color="auto"/>
      </w:divBdr>
    </w:div>
    <w:div w:id="213123517">
      <w:marLeft w:val="0"/>
      <w:marRight w:val="0"/>
      <w:marTop w:val="0"/>
      <w:marBottom w:val="0"/>
      <w:divBdr>
        <w:top w:val="none" w:sz="0" w:space="0" w:color="auto"/>
        <w:left w:val="none" w:sz="0" w:space="0" w:color="auto"/>
        <w:bottom w:val="none" w:sz="0" w:space="0" w:color="auto"/>
        <w:right w:val="none" w:sz="0" w:space="0" w:color="auto"/>
      </w:divBdr>
    </w:div>
    <w:div w:id="213123518">
      <w:marLeft w:val="0"/>
      <w:marRight w:val="0"/>
      <w:marTop w:val="0"/>
      <w:marBottom w:val="0"/>
      <w:divBdr>
        <w:top w:val="none" w:sz="0" w:space="0" w:color="auto"/>
        <w:left w:val="none" w:sz="0" w:space="0" w:color="auto"/>
        <w:bottom w:val="none" w:sz="0" w:space="0" w:color="auto"/>
        <w:right w:val="none" w:sz="0" w:space="0" w:color="auto"/>
      </w:divBdr>
    </w:div>
    <w:div w:id="213123519">
      <w:marLeft w:val="0"/>
      <w:marRight w:val="0"/>
      <w:marTop w:val="0"/>
      <w:marBottom w:val="0"/>
      <w:divBdr>
        <w:top w:val="none" w:sz="0" w:space="0" w:color="auto"/>
        <w:left w:val="none" w:sz="0" w:space="0" w:color="auto"/>
        <w:bottom w:val="none" w:sz="0" w:space="0" w:color="auto"/>
        <w:right w:val="none" w:sz="0" w:space="0" w:color="auto"/>
      </w:divBdr>
    </w:div>
    <w:div w:id="213123520">
      <w:marLeft w:val="0"/>
      <w:marRight w:val="0"/>
      <w:marTop w:val="0"/>
      <w:marBottom w:val="0"/>
      <w:divBdr>
        <w:top w:val="none" w:sz="0" w:space="0" w:color="auto"/>
        <w:left w:val="none" w:sz="0" w:space="0" w:color="auto"/>
        <w:bottom w:val="none" w:sz="0" w:space="0" w:color="auto"/>
        <w:right w:val="none" w:sz="0" w:space="0" w:color="auto"/>
      </w:divBdr>
    </w:div>
    <w:div w:id="213123521">
      <w:marLeft w:val="0"/>
      <w:marRight w:val="0"/>
      <w:marTop w:val="0"/>
      <w:marBottom w:val="0"/>
      <w:divBdr>
        <w:top w:val="none" w:sz="0" w:space="0" w:color="auto"/>
        <w:left w:val="none" w:sz="0" w:space="0" w:color="auto"/>
        <w:bottom w:val="none" w:sz="0" w:space="0" w:color="auto"/>
        <w:right w:val="none" w:sz="0" w:space="0" w:color="auto"/>
      </w:divBdr>
    </w:div>
    <w:div w:id="213123522">
      <w:marLeft w:val="0"/>
      <w:marRight w:val="0"/>
      <w:marTop w:val="0"/>
      <w:marBottom w:val="0"/>
      <w:divBdr>
        <w:top w:val="none" w:sz="0" w:space="0" w:color="auto"/>
        <w:left w:val="none" w:sz="0" w:space="0" w:color="auto"/>
        <w:bottom w:val="none" w:sz="0" w:space="0" w:color="auto"/>
        <w:right w:val="none" w:sz="0" w:space="0" w:color="auto"/>
      </w:divBdr>
    </w:div>
    <w:div w:id="213123523">
      <w:marLeft w:val="0"/>
      <w:marRight w:val="0"/>
      <w:marTop w:val="0"/>
      <w:marBottom w:val="0"/>
      <w:divBdr>
        <w:top w:val="none" w:sz="0" w:space="0" w:color="auto"/>
        <w:left w:val="none" w:sz="0" w:space="0" w:color="auto"/>
        <w:bottom w:val="none" w:sz="0" w:space="0" w:color="auto"/>
        <w:right w:val="none" w:sz="0" w:space="0" w:color="auto"/>
      </w:divBdr>
    </w:div>
    <w:div w:id="213123525">
      <w:marLeft w:val="0"/>
      <w:marRight w:val="0"/>
      <w:marTop w:val="0"/>
      <w:marBottom w:val="0"/>
      <w:divBdr>
        <w:top w:val="none" w:sz="0" w:space="0" w:color="auto"/>
        <w:left w:val="none" w:sz="0" w:space="0" w:color="auto"/>
        <w:bottom w:val="none" w:sz="0" w:space="0" w:color="auto"/>
        <w:right w:val="none" w:sz="0" w:space="0" w:color="auto"/>
      </w:divBdr>
    </w:div>
    <w:div w:id="213123526">
      <w:marLeft w:val="0"/>
      <w:marRight w:val="0"/>
      <w:marTop w:val="0"/>
      <w:marBottom w:val="0"/>
      <w:divBdr>
        <w:top w:val="none" w:sz="0" w:space="0" w:color="auto"/>
        <w:left w:val="none" w:sz="0" w:space="0" w:color="auto"/>
        <w:bottom w:val="none" w:sz="0" w:space="0" w:color="auto"/>
        <w:right w:val="none" w:sz="0" w:space="0" w:color="auto"/>
      </w:divBdr>
    </w:div>
    <w:div w:id="213123527">
      <w:marLeft w:val="0"/>
      <w:marRight w:val="0"/>
      <w:marTop w:val="0"/>
      <w:marBottom w:val="0"/>
      <w:divBdr>
        <w:top w:val="none" w:sz="0" w:space="0" w:color="auto"/>
        <w:left w:val="none" w:sz="0" w:space="0" w:color="auto"/>
        <w:bottom w:val="none" w:sz="0" w:space="0" w:color="auto"/>
        <w:right w:val="none" w:sz="0" w:space="0" w:color="auto"/>
      </w:divBdr>
    </w:div>
    <w:div w:id="213123528">
      <w:marLeft w:val="0"/>
      <w:marRight w:val="0"/>
      <w:marTop w:val="0"/>
      <w:marBottom w:val="0"/>
      <w:divBdr>
        <w:top w:val="none" w:sz="0" w:space="0" w:color="auto"/>
        <w:left w:val="none" w:sz="0" w:space="0" w:color="auto"/>
        <w:bottom w:val="none" w:sz="0" w:space="0" w:color="auto"/>
        <w:right w:val="none" w:sz="0" w:space="0" w:color="auto"/>
      </w:divBdr>
    </w:div>
    <w:div w:id="213123529">
      <w:marLeft w:val="0"/>
      <w:marRight w:val="0"/>
      <w:marTop w:val="0"/>
      <w:marBottom w:val="0"/>
      <w:divBdr>
        <w:top w:val="none" w:sz="0" w:space="0" w:color="auto"/>
        <w:left w:val="none" w:sz="0" w:space="0" w:color="auto"/>
        <w:bottom w:val="none" w:sz="0" w:space="0" w:color="auto"/>
        <w:right w:val="none" w:sz="0" w:space="0" w:color="auto"/>
      </w:divBdr>
    </w:div>
    <w:div w:id="213123530">
      <w:marLeft w:val="0"/>
      <w:marRight w:val="0"/>
      <w:marTop w:val="0"/>
      <w:marBottom w:val="0"/>
      <w:divBdr>
        <w:top w:val="none" w:sz="0" w:space="0" w:color="auto"/>
        <w:left w:val="none" w:sz="0" w:space="0" w:color="auto"/>
        <w:bottom w:val="none" w:sz="0" w:space="0" w:color="auto"/>
        <w:right w:val="none" w:sz="0" w:space="0" w:color="auto"/>
      </w:divBdr>
    </w:div>
    <w:div w:id="213123531">
      <w:marLeft w:val="0"/>
      <w:marRight w:val="0"/>
      <w:marTop w:val="0"/>
      <w:marBottom w:val="0"/>
      <w:divBdr>
        <w:top w:val="none" w:sz="0" w:space="0" w:color="auto"/>
        <w:left w:val="none" w:sz="0" w:space="0" w:color="auto"/>
        <w:bottom w:val="none" w:sz="0" w:space="0" w:color="auto"/>
        <w:right w:val="none" w:sz="0" w:space="0" w:color="auto"/>
      </w:divBdr>
    </w:div>
    <w:div w:id="213123532">
      <w:marLeft w:val="0"/>
      <w:marRight w:val="0"/>
      <w:marTop w:val="0"/>
      <w:marBottom w:val="0"/>
      <w:divBdr>
        <w:top w:val="none" w:sz="0" w:space="0" w:color="auto"/>
        <w:left w:val="none" w:sz="0" w:space="0" w:color="auto"/>
        <w:bottom w:val="none" w:sz="0" w:space="0" w:color="auto"/>
        <w:right w:val="none" w:sz="0" w:space="0" w:color="auto"/>
      </w:divBdr>
    </w:div>
    <w:div w:id="213123533">
      <w:marLeft w:val="0"/>
      <w:marRight w:val="0"/>
      <w:marTop w:val="0"/>
      <w:marBottom w:val="0"/>
      <w:divBdr>
        <w:top w:val="none" w:sz="0" w:space="0" w:color="auto"/>
        <w:left w:val="none" w:sz="0" w:space="0" w:color="auto"/>
        <w:bottom w:val="none" w:sz="0" w:space="0" w:color="auto"/>
        <w:right w:val="none" w:sz="0" w:space="0" w:color="auto"/>
      </w:divBdr>
    </w:div>
    <w:div w:id="213123534">
      <w:marLeft w:val="0"/>
      <w:marRight w:val="0"/>
      <w:marTop w:val="0"/>
      <w:marBottom w:val="0"/>
      <w:divBdr>
        <w:top w:val="none" w:sz="0" w:space="0" w:color="auto"/>
        <w:left w:val="none" w:sz="0" w:space="0" w:color="auto"/>
        <w:bottom w:val="none" w:sz="0" w:space="0" w:color="auto"/>
        <w:right w:val="none" w:sz="0" w:space="0" w:color="auto"/>
      </w:divBdr>
    </w:div>
    <w:div w:id="213123535">
      <w:marLeft w:val="0"/>
      <w:marRight w:val="0"/>
      <w:marTop w:val="0"/>
      <w:marBottom w:val="0"/>
      <w:divBdr>
        <w:top w:val="none" w:sz="0" w:space="0" w:color="auto"/>
        <w:left w:val="none" w:sz="0" w:space="0" w:color="auto"/>
        <w:bottom w:val="none" w:sz="0" w:space="0" w:color="auto"/>
        <w:right w:val="none" w:sz="0" w:space="0" w:color="auto"/>
      </w:divBdr>
    </w:div>
    <w:div w:id="213123537">
      <w:marLeft w:val="0"/>
      <w:marRight w:val="0"/>
      <w:marTop w:val="0"/>
      <w:marBottom w:val="0"/>
      <w:divBdr>
        <w:top w:val="none" w:sz="0" w:space="0" w:color="auto"/>
        <w:left w:val="none" w:sz="0" w:space="0" w:color="auto"/>
        <w:bottom w:val="none" w:sz="0" w:space="0" w:color="auto"/>
        <w:right w:val="none" w:sz="0" w:space="0" w:color="auto"/>
      </w:divBdr>
    </w:div>
    <w:div w:id="213123538">
      <w:marLeft w:val="0"/>
      <w:marRight w:val="0"/>
      <w:marTop w:val="0"/>
      <w:marBottom w:val="0"/>
      <w:divBdr>
        <w:top w:val="none" w:sz="0" w:space="0" w:color="auto"/>
        <w:left w:val="none" w:sz="0" w:space="0" w:color="auto"/>
        <w:bottom w:val="none" w:sz="0" w:space="0" w:color="auto"/>
        <w:right w:val="none" w:sz="0" w:space="0" w:color="auto"/>
      </w:divBdr>
    </w:div>
    <w:div w:id="213123539">
      <w:marLeft w:val="0"/>
      <w:marRight w:val="0"/>
      <w:marTop w:val="0"/>
      <w:marBottom w:val="0"/>
      <w:divBdr>
        <w:top w:val="none" w:sz="0" w:space="0" w:color="auto"/>
        <w:left w:val="none" w:sz="0" w:space="0" w:color="auto"/>
        <w:bottom w:val="none" w:sz="0" w:space="0" w:color="auto"/>
        <w:right w:val="none" w:sz="0" w:space="0" w:color="auto"/>
      </w:divBdr>
    </w:div>
    <w:div w:id="213123540">
      <w:marLeft w:val="0"/>
      <w:marRight w:val="0"/>
      <w:marTop w:val="0"/>
      <w:marBottom w:val="0"/>
      <w:divBdr>
        <w:top w:val="none" w:sz="0" w:space="0" w:color="auto"/>
        <w:left w:val="none" w:sz="0" w:space="0" w:color="auto"/>
        <w:bottom w:val="none" w:sz="0" w:space="0" w:color="auto"/>
        <w:right w:val="none" w:sz="0" w:space="0" w:color="auto"/>
      </w:divBdr>
    </w:div>
    <w:div w:id="213123541">
      <w:marLeft w:val="0"/>
      <w:marRight w:val="0"/>
      <w:marTop w:val="0"/>
      <w:marBottom w:val="0"/>
      <w:divBdr>
        <w:top w:val="none" w:sz="0" w:space="0" w:color="auto"/>
        <w:left w:val="none" w:sz="0" w:space="0" w:color="auto"/>
        <w:bottom w:val="none" w:sz="0" w:space="0" w:color="auto"/>
        <w:right w:val="none" w:sz="0" w:space="0" w:color="auto"/>
      </w:divBdr>
    </w:div>
    <w:div w:id="213123542">
      <w:marLeft w:val="0"/>
      <w:marRight w:val="0"/>
      <w:marTop w:val="0"/>
      <w:marBottom w:val="0"/>
      <w:divBdr>
        <w:top w:val="none" w:sz="0" w:space="0" w:color="auto"/>
        <w:left w:val="none" w:sz="0" w:space="0" w:color="auto"/>
        <w:bottom w:val="none" w:sz="0" w:space="0" w:color="auto"/>
        <w:right w:val="none" w:sz="0" w:space="0" w:color="auto"/>
      </w:divBdr>
    </w:div>
    <w:div w:id="213123543">
      <w:marLeft w:val="0"/>
      <w:marRight w:val="0"/>
      <w:marTop w:val="0"/>
      <w:marBottom w:val="0"/>
      <w:divBdr>
        <w:top w:val="none" w:sz="0" w:space="0" w:color="auto"/>
        <w:left w:val="none" w:sz="0" w:space="0" w:color="auto"/>
        <w:bottom w:val="none" w:sz="0" w:space="0" w:color="auto"/>
        <w:right w:val="none" w:sz="0" w:space="0" w:color="auto"/>
      </w:divBdr>
    </w:div>
    <w:div w:id="213123544">
      <w:marLeft w:val="0"/>
      <w:marRight w:val="0"/>
      <w:marTop w:val="0"/>
      <w:marBottom w:val="0"/>
      <w:divBdr>
        <w:top w:val="none" w:sz="0" w:space="0" w:color="auto"/>
        <w:left w:val="none" w:sz="0" w:space="0" w:color="auto"/>
        <w:bottom w:val="none" w:sz="0" w:space="0" w:color="auto"/>
        <w:right w:val="none" w:sz="0" w:space="0" w:color="auto"/>
      </w:divBdr>
    </w:div>
    <w:div w:id="213123545">
      <w:marLeft w:val="0"/>
      <w:marRight w:val="0"/>
      <w:marTop w:val="0"/>
      <w:marBottom w:val="0"/>
      <w:divBdr>
        <w:top w:val="none" w:sz="0" w:space="0" w:color="auto"/>
        <w:left w:val="none" w:sz="0" w:space="0" w:color="auto"/>
        <w:bottom w:val="none" w:sz="0" w:space="0" w:color="auto"/>
        <w:right w:val="none" w:sz="0" w:space="0" w:color="auto"/>
      </w:divBdr>
    </w:div>
    <w:div w:id="213123546">
      <w:marLeft w:val="0"/>
      <w:marRight w:val="0"/>
      <w:marTop w:val="0"/>
      <w:marBottom w:val="0"/>
      <w:divBdr>
        <w:top w:val="none" w:sz="0" w:space="0" w:color="auto"/>
        <w:left w:val="none" w:sz="0" w:space="0" w:color="auto"/>
        <w:bottom w:val="none" w:sz="0" w:space="0" w:color="auto"/>
        <w:right w:val="none" w:sz="0" w:space="0" w:color="auto"/>
      </w:divBdr>
    </w:div>
    <w:div w:id="213123547">
      <w:marLeft w:val="0"/>
      <w:marRight w:val="0"/>
      <w:marTop w:val="0"/>
      <w:marBottom w:val="0"/>
      <w:divBdr>
        <w:top w:val="none" w:sz="0" w:space="0" w:color="auto"/>
        <w:left w:val="none" w:sz="0" w:space="0" w:color="auto"/>
        <w:bottom w:val="none" w:sz="0" w:space="0" w:color="auto"/>
        <w:right w:val="none" w:sz="0" w:space="0" w:color="auto"/>
      </w:divBdr>
    </w:div>
    <w:div w:id="213123548">
      <w:marLeft w:val="0"/>
      <w:marRight w:val="0"/>
      <w:marTop w:val="0"/>
      <w:marBottom w:val="0"/>
      <w:divBdr>
        <w:top w:val="none" w:sz="0" w:space="0" w:color="auto"/>
        <w:left w:val="none" w:sz="0" w:space="0" w:color="auto"/>
        <w:bottom w:val="none" w:sz="0" w:space="0" w:color="auto"/>
        <w:right w:val="none" w:sz="0" w:space="0" w:color="auto"/>
      </w:divBdr>
    </w:div>
    <w:div w:id="213123549">
      <w:marLeft w:val="0"/>
      <w:marRight w:val="0"/>
      <w:marTop w:val="0"/>
      <w:marBottom w:val="0"/>
      <w:divBdr>
        <w:top w:val="none" w:sz="0" w:space="0" w:color="auto"/>
        <w:left w:val="none" w:sz="0" w:space="0" w:color="auto"/>
        <w:bottom w:val="none" w:sz="0" w:space="0" w:color="auto"/>
        <w:right w:val="none" w:sz="0" w:space="0" w:color="auto"/>
      </w:divBdr>
    </w:div>
    <w:div w:id="213123550">
      <w:marLeft w:val="0"/>
      <w:marRight w:val="0"/>
      <w:marTop w:val="0"/>
      <w:marBottom w:val="0"/>
      <w:divBdr>
        <w:top w:val="none" w:sz="0" w:space="0" w:color="auto"/>
        <w:left w:val="none" w:sz="0" w:space="0" w:color="auto"/>
        <w:bottom w:val="none" w:sz="0" w:space="0" w:color="auto"/>
        <w:right w:val="none" w:sz="0" w:space="0" w:color="auto"/>
      </w:divBdr>
    </w:div>
    <w:div w:id="213123551">
      <w:marLeft w:val="0"/>
      <w:marRight w:val="0"/>
      <w:marTop w:val="0"/>
      <w:marBottom w:val="0"/>
      <w:divBdr>
        <w:top w:val="none" w:sz="0" w:space="0" w:color="auto"/>
        <w:left w:val="none" w:sz="0" w:space="0" w:color="auto"/>
        <w:bottom w:val="none" w:sz="0" w:space="0" w:color="auto"/>
        <w:right w:val="none" w:sz="0" w:space="0" w:color="auto"/>
      </w:divBdr>
    </w:div>
    <w:div w:id="213123552">
      <w:marLeft w:val="0"/>
      <w:marRight w:val="0"/>
      <w:marTop w:val="0"/>
      <w:marBottom w:val="0"/>
      <w:divBdr>
        <w:top w:val="none" w:sz="0" w:space="0" w:color="auto"/>
        <w:left w:val="none" w:sz="0" w:space="0" w:color="auto"/>
        <w:bottom w:val="none" w:sz="0" w:space="0" w:color="auto"/>
        <w:right w:val="none" w:sz="0" w:space="0" w:color="auto"/>
      </w:divBdr>
    </w:div>
    <w:div w:id="213123553">
      <w:marLeft w:val="0"/>
      <w:marRight w:val="0"/>
      <w:marTop w:val="0"/>
      <w:marBottom w:val="0"/>
      <w:divBdr>
        <w:top w:val="none" w:sz="0" w:space="0" w:color="auto"/>
        <w:left w:val="none" w:sz="0" w:space="0" w:color="auto"/>
        <w:bottom w:val="none" w:sz="0" w:space="0" w:color="auto"/>
        <w:right w:val="none" w:sz="0" w:space="0" w:color="auto"/>
      </w:divBdr>
    </w:div>
    <w:div w:id="213123554">
      <w:marLeft w:val="0"/>
      <w:marRight w:val="0"/>
      <w:marTop w:val="0"/>
      <w:marBottom w:val="0"/>
      <w:divBdr>
        <w:top w:val="none" w:sz="0" w:space="0" w:color="auto"/>
        <w:left w:val="none" w:sz="0" w:space="0" w:color="auto"/>
        <w:bottom w:val="none" w:sz="0" w:space="0" w:color="auto"/>
        <w:right w:val="none" w:sz="0" w:space="0" w:color="auto"/>
      </w:divBdr>
    </w:div>
    <w:div w:id="213123555">
      <w:marLeft w:val="0"/>
      <w:marRight w:val="0"/>
      <w:marTop w:val="0"/>
      <w:marBottom w:val="0"/>
      <w:divBdr>
        <w:top w:val="none" w:sz="0" w:space="0" w:color="auto"/>
        <w:left w:val="none" w:sz="0" w:space="0" w:color="auto"/>
        <w:bottom w:val="none" w:sz="0" w:space="0" w:color="auto"/>
        <w:right w:val="none" w:sz="0" w:space="0" w:color="auto"/>
      </w:divBdr>
    </w:div>
    <w:div w:id="213123556">
      <w:marLeft w:val="0"/>
      <w:marRight w:val="0"/>
      <w:marTop w:val="0"/>
      <w:marBottom w:val="0"/>
      <w:divBdr>
        <w:top w:val="none" w:sz="0" w:space="0" w:color="auto"/>
        <w:left w:val="none" w:sz="0" w:space="0" w:color="auto"/>
        <w:bottom w:val="none" w:sz="0" w:space="0" w:color="auto"/>
        <w:right w:val="none" w:sz="0" w:space="0" w:color="auto"/>
      </w:divBdr>
    </w:div>
    <w:div w:id="213123557">
      <w:marLeft w:val="0"/>
      <w:marRight w:val="0"/>
      <w:marTop w:val="0"/>
      <w:marBottom w:val="0"/>
      <w:divBdr>
        <w:top w:val="none" w:sz="0" w:space="0" w:color="auto"/>
        <w:left w:val="none" w:sz="0" w:space="0" w:color="auto"/>
        <w:bottom w:val="none" w:sz="0" w:space="0" w:color="auto"/>
        <w:right w:val="none" w:sz="0" w:space="0" w:color="auto"/>
      </w:divBdr>
    </w:div>
    <w:div w:id="213123558">
      <w:marLeft w:val="0"/>
      <w:marRight w:val="0"/>
      <w:marTop w:val="0"/>
      <w:marBottom w:val="0"/>
      <w:divBdr>
        <w:top w:val="none" w:sz="0" w:space="0" w:color="auto"/>
        <w:left w:val="none" w:sz="0" w:space="0" w:color="auto"/>
        <w:bottom w:val="none" w:sz="0" w:space="0" w:color="auto"/>
        <w:right w:val="none" w:sz="0" w:space="0" w:color="auto"/>
      </w:divBdr>
    </w:div>
    <w:div w:id="213123559">
      <w:marLeft w:val="0"/>
      <w:marRight w:val="0"/>
      <w:marTop w:val="0"/>
      <w:marBottom w:val="0"/>
      <w:divBdr>
        <w:top w:val="none" w:sz="0" w:space="0" w:color="auto"/>
        <w:left w:val="none" w:sz="0" w:space="0" w:color="auto"/>
        <w:bottom w:val="none" w:sz="0" w:space="0" w:color="auto"/>
        <w:right w:val="none" w:sz="0" w:space="0" w:color="auto"/>
      </w:divBdr>
    </w:div>
    <w:div w:id="213123560">
      <w:marLeft w:val="0"/>
      <w:marRight w:val="0"/>
      <w:marTop w:val="0"/>
      <w:marBottom w:val="0"/>
      <w:divBdr>
        <w:top w:val="none" w:sz="0" w:space="0" w:color="auto"/>
        <w:left w:val="none" w:sz="0" w:space="0" w:color="auto"/>
        <w:bottom w:val="none" w:sz="0" w:space="0" w:color="auto"/>
        <w:right w:val="none" w:sz="0" w:space="0" w:color="auto"/>
      </w:divBdr>
    </w:div>
    <w:div w:id="213123561">
      <w:marLeft w:val="0"/>
      <w:marRight w:val="0"/>
      <w:marTop w:val="0"/>
      <w:marBottom w:val="0"/>
      <w:divBdr>
        <w:top w:val="none" w:sz="0" w:space="0" w:color="auto"/>
        <w:left w:val="none" w:sz="0" w:space="0" w:color="auto"/>
        <w:bottom w:val="none" w:sz="0" w:space="0" w:color="auto"/>
        <w:right w:val="none" w:sz="0" w:space="0" w:color="auto"/>
      </w:divBdr>
    </w:div>
    <w:div w:id="213123562">
      <w:marLeft w:val="0"/>
      <w:marRight w:val="0"/>
      <w:marTop w:val="0"/>
      <w:marBottom w:val="0"/>
      <w:divBdr>
        <w:top w:val="none" w:sz="0" w:space="0" w:color="auto"/>
        <w:left w:val="none" w:sz="0" w:space="0" w:color="auto"/>
        <w:bottom w:val="none" w:sz="0" w:space="0" w:color="auto"/>
        <w:right w:val="none" w:sz="0" w:space="0" w:color="auto"/>
      </w:divBdr>
    </w:div>
    <w:div w:id="213123563">
      <w:marLeft w:val="0"/>
      <w:marRight w:val="0"/>
      <w:marTop w:val="0"/>
      <w:marBottom w:val="0"/>
      <w:divBdr>
        <w:top w:val="none" w:sz="0" w:space="0" w:color="auto"/>
        <w:left w:val="none" w:sz="0" w:space="0" w:color="auto"/>
        <w:bottom w:val="none" w:sz="0" w:space="0" w:color="auto"/>
        <w:right w:val="none" w:sz="0" w:space="0" w:color="auto"/>
      </w:divBdr>
    </w:div>
    <w:div w:id="213123564">
      <w:marLeft w:val="0"/>
      <w:marRight w:val="0"/>
      <w:marTop w:val="0"/>
      <w:marBottom w:val="0"/>
      <w:divBdr>
        <w:top w:val="none" w:sz="0" w:space="0" w:color="auto"/>
        <w:left w:val="none" w:sz="0" w:space="0" w:color="auto"/>
        <w:bottom w:val="none" w:sz="0" w:space="0" w:color="auto"/>
        <w:right w:val="none" w:sz="0" w:space="0" w:color="auto"/>
      </w:divBdr>
    </w:div>
    <w:div w:id="213123565">
      <w:marLeft w:val="0"/>
      <w:marRight w:val="0"/>
      <w:marTop w:val="0"/>
      <w:marBottom w:val="0"/>
      <w:divBdr>
        <w:top w:val="none" w:sz="0" w:space="0" w:color="auto"/>
        <w:left w:val="none" w:sz="0" w:space="0" w:color="auto"/>
        <w:bottom w:val="none" w:sz="0" w:space="0" w:color="auto"/>
        <w:right w:val="none" w:sz="0" w:space="0" w:color="auto"/>
      </w:divBdr>
    </w:div>
    <w:div w:id="213123566">
      <w:marLeft w:val="0"/>
      <w:marRight w:val="0"/>
      <w:marTop w:val="0"/>
      <w:marBottom w:val="0"/>
      <w:divBdr>
        <w:top w:val="none" w:sz="0" w:space="0" w:color="auto"/>
        <w:left w:val="none" w:sz="0" w:space="0" w:color="auto"/>
        <w:bottom w:val="none" w:sz="0" w:space="0" w:color="auto"/>
        <w:right w:val="none" w:sz="0" w:space="0" w:color="auto"/>
      </w:divBdr>
    </w:div>
    <w:div w:id="213123567">
      <w:marLeft w:val="0"/>
      <w:marRight w:val="0"/>
      <w:marTop w:val="0"/>
      <w:marBottom w:val="0"/>
      <w:divBdr>
        <w:top w:val="none" w:sz="0" w:space="0" w:color="auto"/>
        <w:left w:val="none" w:sz="0" w:space="0" w:color="auto"/>
        <w:bottom w:val="none" w:sz="0" w:space="0" w:color="auto"/>
        <w:right w:val="none" w:sz="0" w:space="0" w:color="auto"/>
      </w:divBdr>
    </w:div>
    <w:div w:id="213123568">
      <w:marLeft w:val="0"/>
      <w:marRight w:val="0"/>
      <w:marTop w:val="0"/>
      <w:marBottom w:val="0"/>
      <w:divBdr>
        <w:top w:val="none" w:sz="0" w:space="0" w:color="auto"/>
        <w:left w:val="none" w:sz="0" w:space="0" w:color="auto"/>
        <w:bottom w:val="none" w:sz="0" w:space="0" w:color="auto"/>
        <w:right w:val="none" w:sz="0" w:space="0" w:color="auto"/>
      </w:divBdr>
    </w:div>
    <w:div w:id="213123569">
      <w:marLeft w:val="0"/>
      <w:marRight w:val="0"/>
      <w:marTop w:val="0"/>
      <w:marBottom w:val="0"/>
      <w:divBdr>
        <w:top w:val="none" w:sz="0" w:space="0" w:color="auto"/>
        <w:left w:val="none" w:sz="0" w:space="0" w:color="auto"/>
        <w:bottom w:val="none" w:sz="0" w:space="0" w:color="auto"/>
        <w:right w:val="none" w:sz="0" w:space="0" w:color="auto"/>
      </w:divBdr>
    </w:div>
    <w:div w:id="213123570">
      <w:marLeft w:val="0"/>
      <w:marRight w:val="0"/>
      <w:marTop w:val="0"/>
      <w:marBottom w:val="0"/>
      <w:divBdr>
        <w:top w:val="none" w:sz="0" w:space="0" w:color="auto"/>
        <w:left w:val="none" w:sz="0" w:space="0" w:color="auto"/>
        <w:bottom w:val="none" w:sz="0" w:space="0" w:color="auto"/>
        <w:right w:val="none" w:sz="0" w:space="0" w:color="auto"/>
      </w:divBdr>
    </w:div>
    <w:div w:id="213123571">
      <w:marLeft w:val="0"/>
      <w:marRight w:val="0"/>
      <w:marTop w:val="0"/>
      <w:marBottom w:val="0"/>
      <w:divBdr>
        <w:top w:val="none" w:sz="0" w:space="0" w:color="auto"/>
        <w:left w:val="none" w:sz="0" w:space="0" w:color="auto"/>
        <w:bottom w:val="none" w:sz="0" w:space="0" w:color="auto"/>
        <w:right w:val="none" w:sz="0" w:space="0" w:color="auto"/>
      </w:divBdr>
    </w:div>
    <w:div w:id="213123572">
      <w:marLeft w:val="0"/>
      <w:marRight w:val="0"/>
      <w:marTop w:val="0"/>
      <w:marBottom w:val="0"/>
      <w:divBdr>
        <w:top w:val="none" w:sz="0" w:space="0" w:color="auto"/>
        <w:left w:val="none" w:sz="0" w:space="0" w:color="auto"/>
        <w:bottom w:val="none" w:sz="0" w:space="0" w:color="auto"/>
        <w:right w:val="none" w:sz="0" w:space="0" w:color="auto"/>
      </w:divBdr>
    </w:div>
    <w:div w:id="213123573">
      <w:marLeft w:val="0"/>
      <w:marRight w:val="0"/>
      <w:marTop w:val="0"/>
      <w:marBottom w:val="0"/>
      <w:divBdr>
        <w:top w:val="none" w:sz="0" w:space="0" w:color="auto"/>
        <w:left w:val="none" w:sz="0" w:space="0" w:color="auto"/>
        <w:bottom w:val="none" w:sz="0" w:space="0" w:color="auto"/>
        <w:right w:val="none" w:sz="0" w:space="0" w:color="auto"/>
      </w:divBdr>
    </w:div>
    <w:div w:id="213123574">
      <w:marLeft w:val="0"/>
      <w:marRight w:val="0"/>
      <w:marTop w:val="0"/>
      <w:marBottom w:val="0"/>
      <w:divBdr>
        <w:top w:val="none" w:sz="0" w:space="0" w:color="auto"/>
        <w:left w:val="none" w:sz="0" w:space="0" w:color="auto"/>
        <w:bottom w:val="none" w:sz="0" w:space="0" w:color="auto"/>
        <w:right w:val="none" w:sz="0" w:space="0" w:color="auto"/>
      </w:divBdr>
    </w:div>
    <w:div w:id="213123575">
      <w:marLeft w:val="0"/>
      <w:marRight w:val="0"/>
      <w:marTop w:val="0"/>
      <w:marBottom w:val="0"/>
      <w:divBdr>
        <w:top w:val="none" w:sz="0" w:space="0" w:color="auto"/>
        <w:left w:val="none" w:sz="0" w:space="0" w:color="auto"/>
        <w:bottom w:val="none" w:sz="0" w:space="0" w:color="auto"/>
        <w:right w:val="none" w:sz="0" w:space="0" w:color="auto"/>
      </w:divBdr>
    </w:div>
    <w:div w:id="213123576">
      <w:marLeft w:val="0"/>
      <w:marRight w:val="0"/>
      <w:marTop w:val="0"/>
      <w:marBottom w:val="0"/>
      <w:divBdr>
        <w:top w:val="none" w:sz="0" w:space="0" w:color="auto"/>
        <w:left w:val="none" w:sz="0" w:space="0" w:color="auto"/>
        <w:bottom w:val="none" w:sz="0" w:space="0" w:color="auto"/>
        <w:right w:val="none" w:sz="0" w:space="0" w:color="auto"/>
      </w:divBdr>
    </w:div>
    <w:div w:id="213123577">
      <w:marLeft w:val="0"/>
      <w:marRight w:val="0"/>
      <w:marTop w:val="0"/>
      <w:marBottom w:val="0"/>
      <w:divBdr>
        <w:top w:val="none" w:sz="0" w:space="0" w:color="auto"/>
        <w:left w:val="none" w:sz="0" w:space="0" w:color="auto"/>
        <w:bottom w:val="none" w:sz="0" w:space="0" w:color="auto"/>
        <w:right w:val="none" w:sz="0" w:space="0" w:color="auto"/>
      </w:divBdr>
    </w:div>
    <w:div w:id="213123578">
      <w:marLeft w:val="0"/>
      <w:marRight w:val="0"/>
      <w:marTop w:val="0"/>
      <w:marBottom w:val="0"/>
      <w:divBdr>
        <w:top w:val="none" w:sz="0" w:space="0" w:color="auto"/>
        <w:left w:val="none" w:sz="0" w:space="0" w:color="auto"/>
        <w:bottom w:val="none" w:sz="0" w:space="0" w:color="auto"/>
        <w:right w:val="none" w:sz="0" w:space="0" w:color="auto"/>
      </w:divBdr>
    </w:div>
    <w:div w:id="213123579">
      <w:marLeft w:val="0"/>
      <w:marRight w:val="0"/>
      <w:marTop w:val="0"/>
      <w:marBottom w:val="0"/>
      <w:divBdr>
        <w:top w:val="none" w:sz="0" w:space="0" w:color="auto"/>
        <w:left w:val="none" w:sz="0" w:space="0" w:color="auto"/>
        <w:bottom w:val="none" w:sz="0" w:space="0" w:color="auto"/>
        <w:right w:val="none" w:sz="0" w:space="0" w:color="auto"/>
      </w:divBdr>
    </w:div>
    <w:div w:id="213123580">
      <w:marLeft w:val="0"/>
      <w:marRight w:val="0"/>
      <w:marTop w:val="0"/>
      <w:marBottom w:val="0"/>
      <w:divBdr>
        <w:top w:val="none" w:sz="0" w:space="0" w:color="auto"/>
        <w:left w:val="none" w:sz="0" w:space="0" w:color="auto"/>
        <w:bottom w:val="none" w:sz="0" w:space="0" w:color="auto"/>
        <w:right w:val="none" w:sz="0" w:space="0" w:color="auto"/>
      </w:divBdr>
    </w:div>
    <w:div w:id="213123581">
      <w:marLeft w:val="0"/>
      <w:marRight w:val="0"/>
      <w:marTop w:val="0"/>
      <w:marBottom w:val="0"/>
      <w:divBdr>
        <w:top w:val="none" w:sz="0" w:space="0" w:color="auto"/>
        <w:left w:val="none" w:sz="0" w:space="0" w:color="auto"/>
        <w:bottom w:val="none" w:sz="0" w:space="0" w:color="auto"/>
        <w:right w:val="none" w:sz="0" w:space="0" w:color="auto"/>
      </w:divBdr>
    </w:div>
    <w:div w:id="213123582">
      <w:marLeft w:val="0"/>
      <w:marRight w:val="0"/>
      <w:marTop w:val="0"/>
      <w:marBottom w:val="0"/>
      <w:divBdr>
        <w:top w:val="none" w:sz="0" w:space="0" w:color="auto"/>
        <w:left w:val="none" w:sz="0" w:space="0" w:color="auto"/>
        <w:bottom w:val="none" w:sz="0" w:space="0" w:color="auto"/>
        <w:right w:val="none" w:sz="0" w:space="0" w:color="auto"/>
      </w:divBdr>
    </w:div>
    <w:div w:id="213123583">
      <w:marLeft w:val="0"/>
      <w:marRight w:val="0"/>
      <w:marTop w:val="0"/>
      <w:marBottom w:val="0"/>
      <w:divBdr>
        <w:top w:val="none" w:sz="0" w:space="0" w:color="auto"/>
        <w:left w:val="none" w:sz="0" w:space="0" w:color="auto"/>
        <w:bottom w:val="none" w:sz="0" w:space="0" w:color="auto"/>
        <w:right w:val="none" w:sz="0" w:space="0" w:color="auto"/>
      </w:divBdr>
    </w:div>
    <w:div w:id="213123584">
      <w:marLeft w:val="0"/>
      <w:marRight w:val="0"/>
      <w:marTop w:val="0"/>
      <w:marBottom w:val="0"/>
      <w:divBdr>
        <w:top w:val="none" w:sz="0" w:space="0" w:color="auto"/>
        <w:left w:val="none" w:sz="0" w:space="0" w:color="auto"/>
        <w:bottom w:val="none" w:sz="0" w:space="0" w:color="auto"/>
        <w:right w:val="none" w:sz="0" w:space="0" w:color="auto"/>
      </w:divBdr>
    </w:div>
    <w:div w:id="213123585">
      <w:marLeft w:val="0"/>
      <w:marRight w:val="0"/>
      <w:marTop w:val="0"/>
      <w:marBottom w:val="0"/>
      <w:divBdr>
        <w:top w:val="none" w:sz="0" w:space="0" w:color="auto"/>
        <w:left w:val="none" w:sz="0" w:space="0" w:color="auto"/>
        <w:bottom w:val="none" w:sz="0" w:space="0" w:color="auto"/>
        <w:right w:val="none" w:sz="0" w:space="0" w:color="auto"/>
      </w:divBdr>
    </w:div>
    <w:div w:id="213123586">
      <w:marLeft w:val="0"/>
      <w:marRight w:val="0"/>
      <w:marTop w:val="0"/>
      <w:marBottom w:val="0"/>
      <w:divBdr>
        <w:top w:val="none" w:sz="0" w:space="0" w:color="auto"/>
        <w:left w:val="none" w:sz="0" w:space="0" w:color="auto"/>
        <w:bottom w:val="none" w:sz="0" w:space="0" w:color="auto"/>
        <w:right w:val="none" w:sz="0" w:space="0" w:color="auto"/>
      </w:divBdr>
    </w:div>
    <w:div w:id="213123587">
      <w:marLeft w:val="0"/>
      <w:marRight w:val="0"/>
      <w:marTop w:val="0"/>
      <w:marBottom w:val="0"/>
      <w:divBdr>
        <w:top w:val="none" w:sz="0" w:space="0" w:color="auto"/>
        <w:left w:val="none" w:sz="0" w:space="0" w:color="auto"/>
        <w:bottom w:val="none" w:sz="0" w:space="0" w:color="auto"/>
        <w:right w:val="none" w:sz="0" w:space="0" w:color="auto"/>
      </w:divBdr>
      <w:divsChild>
        <w:div w:id="213123524">
          <w:marLeft w:val="0"/>
          <w:marRight w:val="0"/>
          <w:marTop w:val="0"/>
          <w:marBottom w:val="0"/>
          <w:divBdr>
            <w:top w:val="none" w:sz="0" w:space="0" w:color="auto"/>
            <w:left w:val="none" w:sz="0" w:space="0" w:color="auto"/>
            <w:bottom w:val="none" w:sz="0" w:space="0" w:color="auto"/>
            <w:right w:val="none" w:sz="0" w:space="0" w:color="auto"/>
          </w:divBdr>
        </w:div>
      </w:divsChild>
    </w:div>
    <w:div w:id="213123588">
      <w:marLeft w:val="0"/>
      <w:marRight w:val="0"/>
      <w:marTop w:val="0"/>
      <w:marBottom w:val="0"/>
      <w:divBdr>
        <w:top w:val="none" w:sz="0" w:space="0" w:color="auto"/>
        <w:left w:val="none" w:sz="0" w:space="0" w:color="auto"/>
        <w:bottom w:val="none" w:sz="0" w:space="0" w:color="auto"/>
        <w:right w:val="none" w:sz="0" w:space="0" w:color="auto"/>
      </w:divBdr>
    </w:div>
    <w:div w:id="213123589">
      <w:marLeft w:val="0"/>
      <w:marRight w:val="0"/>
      <w:marTop w:val="0"/>
      <w:marBottom w:val="0"/>
      <w:divBdr>
        <w:top w:val="none" w:sz="0" w:space="0" w:color="auto"/>
        <w:left w:val="none" w:sz="0" w:space="0" w:color="auto"/>
        <w:bottom w:val="none" w:sz="0" w:space="0" w:color="auto"/>
        <w:right w:val="none" w:sz="0" w:space="0" w:color="auto"/>
      </w:divBdr>
    </w:div>
    <w:div w:id="213123590">
      <w:marLeft w:val="0"/>
      <w:marRight w:val="0"/>
      <w:marTop w:val="0"/>
      <w:marBottom w:val="0"/>
      <w:divBdr>
        <w:top w:val="none" w:sz="0" w:space="0" w:color="auto"/>
        <w:left w:val="none" w:sz="0" w:space="0" w:color="auto"/>
        <w:bottom w:val="none" w:sz="0" w:space="0" w:color="auto"/>
        <w:right w:val="none" w:sz="0" w:space="0" w:color="auto"/>
      </w:divBdr>
    </w:div>
    <w:div w:id="213123591">
      <w:marLeft w:val="0"/>
      <w:marRight w:val="0"/>
      <w:marTop w:val="0"/>
      <w:marBottom w:val="0"/>
      <w:divBdr>
        <w:top w:val="none" w:sz="0" w:space="0" w:color="auto"/>
        <w:left w:val="none" w:sz="0" w:space="0" w:color="auto"/>
        <w:bottom w:val="none" w:sz="0" w:space="0" w:color="auto"/>
        <w:right w:val="none" w:sz="0" w:space="0" w:color="auto"/>
      </w:divBdr>
    </w:div>
    <w:div w:id="213123592">
      <w:marLeft w:val="0"/>
      <w:marRight w:val="0"/>
      <w:marTop w:val="0"/>
      <w:marBottom w:val="0"/>
      <w:divBdr>
        <w:top w:val="none" w:sz="0" w:space="0" w:color="auto"/>
        <w:left w:val="none" w:sz="0" w:space="0" w:color="auto"/>
        <w:bottom w:val="none" w:sz="0" w:space="0" w:color="auto"/>
        <w:right w:val="none" w:sz="0" w:space="0" w:color="auto"/>
      </w:divBdr>
    </w:div>
    <w:div w:id="213123593">
      <w:marLeft w:val="0"/>
      <w:marRight w:val="0"/>
      <w:marTop w:val="0"/>
      <w:marBottom w:val="0"/>
      <w:divBdr>
        <w:top w:val="none" w:sz="0" w:space="0" w:color="auto"/>
        <w:left w:val="none" w:sz="0" w:space="0" w:color="auto"/>
        <w:bottom w:val="none" w:sz="0" w:space="0" w:color="auto"/>
        <w:right w:val="none" w:sz="0" w:space="0" w:color="auto"/>
      </w:divBdr>
    </w:div>
    <w:div w:id="213123594">
      <w:marLeft w:val="0"/>
      <w:marRight w:val="0"/>
      <w:marTop w:val="0"/>
      <w:marBottom w:val="0"/>
      <w:divBdr>
        <w:top w:val="none" w:sz="0" w:space="0" w:color="auto"/>
        <w:left w:val="none" w:sz="0" w:space="0" w:color="auto"/>
        <w:bottom w:val="none" w:sz="0" w:space="0" w:color="auto"/>
        <w:right w:val="none" w:sz="0" w:space="0" w:color="auto"/>
      </w:divBdr>
    </w:div>
    <w:div w:id="213123595">
      <w:marLeft w:val="0"/>
      <w:marRight w:val="0"/>
      <w:marTop w:val="0"/>
      <w:marBottom w:val="0"/>
      <w:divBdr>
        <w:top w:val="none" w:sz="0" w:space="0" w:color="auto"/>
        <w:left w:val="none" w:sz="0" w:space="0" w:color="auto"/>
        <w:bottom w:val="none" w:sz="0" w:space="0" w:color="auto"/>
        <w:right w:val="none" w:sz="0" w:space="0" w:color="auto"/>
      </w:divBdr>
    </w:div>
    <w:div w:id="213123596">
      <w:marLeft w:val="0"/>
      <w:marRight w:val="0"/>
      <w:marTop w:val="0"/>
      <w:marBottom w:val="0"/>
      <w:divBdr>
        <w:top w:val="none" w:sz="0" w:space="0" w:color="auto"/>
        <w:left w:val="none" w:sz="0" w:space="0" w:color="auto"/>
        <w:bottom w:val="none" w:sz="0" w:space="0" w:color="auto"/>
        <w:right w:val="none" w:sz="0" w:space="0" w:color="auto"/>
      </w:divBdr>
    </w:div>
    <w:div w:id="213123597">
      <w:marLeft w:val="0"/>
      <w:marRight w:val="0"/>
      <w:marTop w:val="0"/>
      <w:marBottom w:val="0"/>
      <w:divBdr>
        <w:top w:val="none" w:sz="0" w:space="0" w:color="auto"/>
        <w:left w:val="none" w:sz="0" w:space="0" w:color="auto"/>
        <w:bottom w:val="none" w:sz="0" w:space="0" w:color="auto"/>
        <w:right w:val="none" w:sz="0" w:space="0" w:color="auto"/>
      </w:divBdr>
    </w:div>
    <w:div w:id="213123598">
      <w:marLeft w:val="0"/>
      <w:marRight w:val="0"/>
      <w:marTop w:val="0"/>
      <w:marBottom w:val="0"/>
      <w:divBdr>
        <w:top w:val="none" w:sz="0" w:space="0" w:color="auto"/>
        <w:left w:val="none" w:sz="0" w:space="0" w:color="auto"/>
        <w:bottom w:val="none" w:sz="0" w:space="0" w:color="auto"/>
        <w:right w:val="none" w:sz="0" w:space="0" w:color="auto"/>
      </w:divBdr>
    </w:div>
    <w:div w:id="213123599">
      <w:marLeft w:val="0"/>
      <w:marRight w:val="0"/>
      <w:marTop w:val="0"/>
      <w:marBottom w:val="0"/>
      <w:divBdr>
        <w:top w:val="none" w:sz="0" w:space="0" w:color="auto"/>
        <w:left w:val="none" w:sz="0" w:space="0" w:color="auto"/>
        <w:bottom w:val="none" w:sz="0" w:space="0" w:color="auto"/>
        <w:right w:val="none" w:sz="0" w:space="0" w:color="auto"/>
      </w:divBdr>
    </w:div>
    <w:div w:id="213123600">
      <w:marLeft w:val="0"/>
      <w:marRight w:val="0"/>
      <w:marTop w:val="0"/>
      <w:marBottom w:val="0"/>
      <w:divBdr>
        <w:top w:val="none" w:sz="0" w:space="0" w:color="auto"/>
        <w:left w:val="none" w:sz="0" w:space="0" w:color="auto"/>
        <w:bottom w:val="none" w:sz="0" w:space="0" w:color="auto"/>
        <w:right w:val="none" w:sz="0" w:space="0" w:color="auto"/>
      </w:divBdr>
    </w:div>
    <w:div w:id="213123601">
      <w:marLeft w:val="0"/>
      <w:marRight w:val="0"/>
      <w:marTop w:val="0"/>
      <w:marBottom w:val="0"/>
      <w:divBdr>
        <w:top w:val="none" w:sz="0" w:space="0" w:color="auto"/>
        <w:left w:val="none" w:sz="0" w:space="0" w:color="auto"/>
        <w:bottom w:val="none" w:sz="0" w:space="0" w:color="auto"/>
        <w:right w:val="none" w:sz="0" w:space="0" w:color="auto"/>
      </w:divBdr>
    </w:div>
    <w:div w:id="213123602">
      <w:marLeft w:val="0"/>
      <w:marRight w:val="0"/>
      <w:marTop w:val="0"/>
      <w:marBottom w:val="0"/>
      <w:divBdr>
        <w:top w:val="none" w:sz="0" w:space="0" w:color="auto"/>
        <w:left w:val="none" w:sz="0" w:space="0" w:color="auto"/>
        <w:bottom w:val="none" w:sz="0" w:space="0" w:color="auto"/>
        <w:right w:val="none" w:sz="0" w:space="0" w:color="auto"/>
      </w:divBdr>
    </w:div>
    <w:div w:id="213123603">
      <w:marLeft w:val="0"/>
      <w:marRight w:val="0"/>
      <w:marTop w:val="0"/>
      <w:marBottom w:val="0"/>
      <w:divBdr>
        <w:top w:val="none" w:sz="0" w:space="0" w:color="auto"/>
        <w:left w:val="none" w:sz="0" w:space="0" w:color="auto"/>
        <w:bottom w:val="none" w:sz="0" w:space="0" w:color="auto"/>
        <w:right w:val="none" w:sz="0" w:space="0" w:color="auto"/>
      </w:divBdr>
    </w:div>
    <w:div w:id="213123604">
      <w:marLeft w:val="0"/>
      <w:marRight w:val="0"/>
      <w:marTop w:val="0"/>
      <w:marBottom w:val="0"/>
      <w:divBdr>
        <w:top w:val="none" w:sz="0" w:space="0" w:color="auto"/>
        <w:left w:val="none" w:sz="0" w:space="0" w:color="auto"/>
        <w:bottom w:val="none" w:sz="0" w:space="0" w:color="auto"/>
        <w:right w:val="none" w:sz="0" w:space="0" w:color="auto"/>
      </w:divBdr>
    </w:div>
    <w:div w:id="213123605">
      <w:marLeft w:val="0"/>
      <w:marRight w:val="0"/>
      <w:marTop w:val="0"/>
      <w:marBottom w:val="0"/>
      <w:divBdr>
        <w:top w:val="none" w:sz="0" w:space="0" w:color="auto"/>
        <w:left w:val="none" w:sz="0" w:space="0" w:color="auto"/>
        <w:bottom w:val="none" w:sz="0" w:space="0" w:color="auto"/>
        <w:right w:val="none" w:sz="0" w:space="0" w:color="auto"/>
      </w:divBdr>
    </w:div>
    <w:div w:id="213123606">
      <w:marLeft w:val="0"/>
      <w:marRight w:val="0"/>
      <w:marTop w:val="0"/>
      <w:marBottom w:val="0"/>
      <w:divBdr>
        <w:top w:val="none" w:sz="0" w:space="0" w:color="auto"/>
        <w:left w:val="none" w:sz="0" w:space="0" w:color="auto"/>
        <w:bottom w:val="none" w:sz="0" w:space="0" w:color="auto"/>
        <w:right w:val="none" w:sz="0" w:space="0" w:color="auto"/>
      </w:divBdr>
    </w:div>
    <w:div w:id="213123607">
      <w:marLeft w:val="0"/>
      <w:marRight w:val="0"/>
      <w:marTop w:val="0"/>
      <w:marBottom w:val="0"/>
      <w:divBdr>
        <w:top w:val="none" w:sz="0" w:space="0" w:color="auto"/>
        <w:left w:val="none" w:sz="0" w:space="0" w:color="auto"/>
        <w:bottom w:val="none" w:sz="0" w:space="0" w:color="auto"/>
        <w:right w:val="none" w:sz="0" w:space="0" w:color="auto"/>
      </w:divBdr>
    </w:div>
    <w:div w:id="213123608">
      <w:marLeft w:val="0"/>
      <w:marRight w:val="0"/>
      <w:marTop w:val="0"/>
      <w:marBottom w:val="0"/>
      <w:divBdr>
        <w:top w:val="none" w:sz="0" w:space="0" w:color="auto"/>
        <w:left w:val="none" w:sz="0" w:space="0" w:color="auto"/>
        <w:bottom w:val="none" w:sz="0" w:space="0" w:color="auto"/>
        <w:right w:val="none" w:sz="0" w:space="0" w:color="auto"/>
      </w:divBdr>
    </w:div>
    <w:div w:id="213123609">
      <w:marLeft w:val="0"/>
      <w:marRight w:val="0"/>
      <w:marTop w:val="0"/>
      <w:marBottom w:val="0"/>
      <w:divBdr>
        <w:top w:val="none" w:sz="0" w:space="0" w:color="auto"/>
        <w:left w:val="none" w:sz="0" w:space="0" w:color="auto"/>
        <w:bottom w:val="none" w:sz="0" w:space="0" w:color="auto"/>
        <w:right w:val="none" w:sz="0" w:space="0" w:color="auto"/>
      </w:divBdr>
    </w:div>
    <w:div w:id="213123610">
      <w:marLeft w:val="0"/>
      <w:marRight w:val="0"/>
      <w:marTop w:val="0"/>
      <w:marBottom w:val="0"/>
      <w:divBdr>
        <w:top w:val="none" w:sz="0" w:space="0" w:color="auto"/>
        <w:left w:val="none" w:sz="0" w:space="0" w:color="auto"/>
        <w:bottom w:val="none" w:sz="0" w:space="0" w:color="auto"/>
        <w:right w:val="none" w:sz="0" w:space="0" w:color="auto"/>
      </w:divBdr>
    </w:div>
    <w:div w:id="213123611">
      <w:marLeft w:val="0"/>
      <w:marRight w:val="0"/>
      <w:marTop w:val="0"/>
      <w:marBottom w:val="0"/>
      <w:divBdr>
        <w:top w:val="none" w:sz="0" w:space="0" w:color="auto"/>
        <w:left w:val="none" w:sz="0" w:space="0" w:color="auto"/>
        <w:bottom w:val="none" w:sz="0" w:space="0" w:color="auto"/>
        <w:right w:val="none" w:sz="0" w:space="0" w:color="auto"/>
      </w:divBdr>
    </w:div>
    <w:div w:id="213123612">
      <w:marLeft w:val="0"/>
      <w:marRight w:val="0"/>
      <w:marTop w:val="0"/>
      <w:marBottom w:val="0"/>
      <w:divBdr>
        <w:top w:val="none" w:sz="0" w:space="0" w:color="auto"/>
        <w:left w:val="none" w:sz="0" w:space="0" w:color="auto"/>
        <w:bottom w:val="none" w:sz="0" w:space="0" w:color="auto"/>
        <w:right w:val="none" w:sz="0" w:space="0" w:color="auto"/>
      </w:divBdr>
    </w:div>
    <w:div w:id="213123613">
      <w:marLeft w:val="0"/>
      <w:marRight w:val="0"/>
      <w:marTop w:val="0"/>
      <w:marBottom w:val="0"/>
      <w:divBdr>
        <w:top w:val="none" w:sz="0" w:space="0" w:color="auto"/>
        <w:left w:val="none" w:sz="0" w:space="0" w:color="auto"/>
        <w:bottom w:val="none" w:sz="0" w:space="0" w:color="auto"/>
        <w:right w:val="none" w:sz="0" w:space="0" w:color="auto"/>
      </w:divBdr>
    </w:div>
    <w:div w:id="213123614">
      <w:marLeft w:val="0"/>
      <w:marRight w:val="0"/>
      <w:marTop w:val="0"/>
      <w:marBottom w:val="0"/>
      <w:divBdr>
        <w:top w:val="none" w:sz="0" w:space="0" w:color="auto"/>
        <w:left w:val="none" w:sz="0" w:space="0" w:color="auto"/>
        <w:bottom w:val="none" w:sz="0" w:space="0" w:color="auto"/>
        <w:right w:val="none" w:sz="0" w:space="0" w:color="auto"/>
      </w:divBdr>
    </w:div>
    <w:div w:id="213123615">
      <w:marLeft w:val="0"/>
      <w:marRight w:val="0"/>
      <w:marTop w:val="0"/>
      <w:marBottom w:val="0"/>
      <w:divBdr>
        <w:top w:val="none" w:sz="0" w:space="0" w:color="auto"/>
        <w:left w:val="none" w:sz="0" w:space="0" w:color="auto"/>
        <w:bottom w:val="none" w:sz="0" w:space="0" w:color="auto"/>
        <w:right w:val="none" w:sz="0" w:space="0" w:color="auto"/>
      </w:divBdr>
    </w:div>
    <w:div w:id="213123616">
      <w:marLeft w:val="0"/>
      <w:marRight w:val="0"/>
      <w:marTop w:val="0"/>
      <w:marBottom w:val="0"/>
      <w:divBdr>
        <w:top w:val="none" w:sz="0" w:space="0" w:color="auto"/>
        <w:left w:val="none" w:sz="0" w:space="0" w:color="auto"/>
        <w:bottom w:val="none" w:sz="0" w:space="0" w:color="auto"/>
        <w:right w:val="none" w:sz="0" w:space="0" w:color="auto"/>
      </w:divBdr>
    </w:div>
    <w:div w:id="213123617">
      <w:marLeft w:val="0"/>
      <w:marRight w:val="0"/>
      <w:marTop w:val="0"/>
      <w:marBottom w:val="0"/>
      <w:divBdr>
        <w:top w:val="none" w:sz="0" w:space="0" w:color="auto"/>
        <w:left w:val="none" w:sz="0" w:space="0" w:color="auto"/>
        <w:bottom w:val="none" w:sz="0" w:space="0" w:color="auto"/>
        <w:right w:val="none" w:sz="0" w:space="0" w:color="auto"/>
      </w:divBdr>
    </w:div>
    <w:div w:id="213123618">
      <w:marLeft w:val="0"/>
      <w:marRight w:val="0"/>
      <w:marTop w:val="0"/>
      <w:marBottom w:val="0"/>
      <w:divBdr>
        <w:top w:val="none" w:sz="0" w:space="0" w:color="auto"/>
        <w:left w:val="none" w:sz="0" w:space="0" w:color="auto"/>
        <w:bottom w:val="none" w:sz="0" w:space="0" w:color="auto"/>
        <w:right w:val="none" w:sz="0" w:space="0" w:color="auto"/>
      </w:divBdr>
    </w:div>
    <w:div w:id="213123619">
      <w:marLeft w:val="0"/>
      <w:marRight w:val="0"/>
      <w:marTop w:val="0"/>
      <w:marBottom w:val="0"/>
      <w:divBdr>
        <w:top w:val="none" w:sz="0" w:space="0" w:color="auto"/>
        <w:left w:val="none" w:sz="0" w:space="0" w:color="auto"/>
        <w:bottom w:val="none" w:sz="0" w:space="0" w:color="auto"/>
        <w:right w:val="none" w:sz="0" w:space="0" w:color="auto"/>
      </w:divBdr>
    </w:div>
    <w:div w:id="213123620">
      <w:marLeft w:val="0"/>
      <w:marRight w:val="0"/>
      <w:marTop w:val="0"/>
      <w:marBottom w:val="0"/>
      <w:divBdr>
        <w:top w:val="none" w:sz="0" w:space="0" w:color="auto"/>
        <w:left w:val="none" w:sz="0" w:space="0" w:color="auto"/>
        <w:bottom w:val="none" w:sz="0" w:space="0" w:color="auto"/>
        <w:right w:val="none" w:sz="0" w:space="0" w:color="auto"/>
      </w:divBdr>
    </w:div>
    <w:div w:id="213123621">
      <w:marLeft w:val="0"/>
      <w:marRight w:val="0"/>
      <w:marTop w:val="0"/>
      <w:marBottom w:val="0"/>
      <w:divBdr>
        <w:top w:val="none" w:sz="0" w:space="0" w:color="auto"/>
        <w:left w:val="none" w:sz="0" w:space="0" w:color="auto"/>
        <w:bottom w:val="none" w:sz="0" w:space="0" w:color="auto"/>
        <w:right w:val="none" w:sz="0" w:space="0" w:color="auto"/>
      </w:divBdr>
    </w:div>
    <w:div w:id="213123622">
      <w:marLeft w:val="0"/>
      <w:marRight w:val="0"/>
      <w:marTop w:val="0"/>
      <w:marBottom w:val="0"/>
      <w:divBdr>
        <w:top w:val="none" w:sz="0" w:space="0" w:color="auto"/>
        <w:left w:val="none" w:sz="0" w:space="0" w:color="auto"/>
        <w:bottom w:val="none" w:sz="0" w:space="0" w:color="auto"/>
        <w:right w:val="none" w:sz="0" w:space="0" w:color="auto"/>
      </w:divBdr>
    </w:div>
    <w:div w:id="213123623">
      <w:marLeft w:val="0"/>
      <w:marRight w:val="0"/>
      <w:marTop w:val="0"/>
      <w:marBottom w:val="0"/>
      <w:divBdr>
        <w:top w:val="none" w:sz="0" w:space="0" w:color="auto"/>
        <w:left w:val="none" w:sz="0" w:space="0" w:color="auto"/>
        <w:bottom w:val="none" w:sz="0" w:space="0" w:color="auto"/>
        <w:right w:val="none" w:sz="0" w:space="0" w:color="auto"/>
      </w:divBdr>
    </w:div>
    <w:div w:id="213123624">
      <w:marLeft w:val="0"/>
      <w:marRight w:val="0"/>
      <w:marTop w:val="0"/>
      <w:marBottom w:val="0"/>
      <w:divBdr>
        <w:top w:val="none" w:sz="0" w:space="0" w:color="auto"/>
        <w:left w:val="none" w:sz="0" w:space="0" w:color="auto"/>
        <w:bottom w:val="none" w:sz="0" w:space="0" w:color="auto"/>
        <w:right w:val="none" w:sz="0" w:space="0" w:color="auto"/>
      </w:divBdr>
    </w:div>
    <w:div w:id="213123625">
      <w:marLeft w:val="0"/>
      <w:marRight w:val="0"/>
      <w:marTop w:val="0"/>
      <w:marBottom w:val="0"/>
      <w:divBdr>
        <w:top w:val="none" w:sz="0" w:space="0" w:color="auto"/>
        <w:left w:val="none" w:sz="0" w:space="0" w:color="auto"/>
        <w:bottom w:val="none" w:sz="0" w:space="0" w:color="auto"/>
        <w:right w:val="none" w:sz="0" w:space="0" w:color="auto"/>
      </w:divBdr>
    </w:div>
    <w:div w:id="213123626">
      <w:marLeft w:val="0"/>
      <w:marRight w:val="0"/>
      <w:marTop w:val="0"/>
      <w:marBottom w:val="0"/>
      <w:divBdr>
        <w:top w:val="none" w:sz="0" w:space="0" w:color="auto"/>
        <w:left w:val="none" w:sz="0" w:space="0" w:color="auto"/>
        <w:bottom w:val="none" w:sz="0" w:space="0" w:color="auto"/>
        <w:right w:val="none" w:sz="0" w:space="0" w:color="auto"/>
      </w:divBdr>
    </w:div>
    <w:div w:id="213123627">
      <w:marLeft w:val="0"/>
      <w:marRight w:val="0"/>
      <w:marTop w:val="0"/>
      <w:marBottom w:val="0"/>
      <w:divBdr>
        <w:top w:val="none" w:sz="0" w:space="0" w:color="auto"/>
        <w:left w:val="none" w:sz="0" w:space="0" w:color="auto"/>
        <w:bottom w:val="none" w:sz="0" w:space="0" w:color="auto"/>
        <w:right w:val="none" w:sz="0" w:space="0" w:color="auto"/>
      </w:divBdr>
    </w:div>
    <w:div w:id="213123628">
      <w:marLeft w:val="0"/>
      <w:marRight w:val="0"/>
      <w:marTop w:val="0"/>
      <w:marBottom w:val="0"/>
      <w:divBdr>
        <w:top w:val="none" w:sz="0" w:space="0" w:color="auto"/>
        <w:left w:val="none" w:sz="0" w:space="0" w:color="auto"/>
        <w:bottom w:val="none" w:sz="0" w:space="0" w:color="auto"/>
        <w:right w:val="none" w:sz="0" w:space="0" w:color="auto"/>
      </w:divBdr>
    </w:div>
    <w:div w:id="213123629">
      <w:marLeft w:val="0"/>
      <w:marRight w:val="0"/>
      <w:marTop w:val="0"/>
      <w:marBottom w:val="0"/>
      <w:divBdr>
        <w:top w:val="none" w:sz="0" w:space="0" w:color="auto"/>
        <w:left w:val="none" w:sz="0" w:space="0" w:color="auto"/>
        <w:bottom w:val="none" w:sz="0" w:space="0" w:color="auto"/>
        <w:right w:val="none" w:sz="0" w:space="0" w:color="auto"/>
      </w:divBdr>
    </w:div>
    <w:div w:id="213123630">
      <w:marLeft w:val="0"/>
      <w:marRight w:val="0"/>
      <w:marTop w:val="0"/>
      <w:marBottom w:val="0"/>
      <w:divBdr>
        <w:top w:val="none" w:sz="0" w:space="0" w:color="auto"/>
        <w:left w:val="none" w:sz="0" w:space="0" w:color="auto"/>
        <w:bottom w:val="none" w:sz="0" w:space="0" w:color="auto"/>
        <w:right w:val="none" w:sz="0" w:space="0" w:color="auto"/>
      </w:divBdr>
    </w:div>
    <w:div w:id="213123631">
      <w:marLeft w:val="0"/>
      <w:marRight w:val="0"/>
      <w:marTop w:val="0"/>
      <w:marBottom w:val="0"/>
      <w:divBdr>
        <w:top w:val="none" w:sz="0" w:space="0" w:color="auto"/>
        <w:left w:val="none" w:sz="0" w:space="0" w:color="auto"/>
        <w:bottom w:val="none" w:sz="0" w:space="0" w:color="auto"/>
        <w:right w:val="none" w:sz="0" w:space="0" w:color="auto"/>
      </w:divBdr>
    </w:div>
    <w:div w:id="213123632">
      <w:marLeft w:val="0"/>
      <w:marRight w:val="0"/>
      <w:marTop w:val="0"/>
      <w:marBottom w:val="0"/>
      <w:divBdr>
        <w:top w:val="none" w:sz="0" w:space="0" w:color="auto"/>
        <w:left w:val="none" w:sz="0" w:space="0" w:color="auto"/>
        <w:bottom w:val="none" w:sz="0" w:space="0" w:color="auto"/>
        <w:right w:val="none" w:sz="0" w:space="0" w:color="auto"/>
      </w:divBdr>
    </w:div>
    <w:div w:id="213123633">
      <w:marLeft w:val="0"/>
      <w:marRight w:val="0"/>
      <w:marTop w:val="0"/>
      <w:marBottom w:val="0"/>
      <w:divBdr>
        <w:top w:val="none" w:sz="0" w:space="0" w:color="auto"/>
        <w:left w:val="none" w:sz="0" w:space="0" w:color="auto"/>
        <w:bottom w:val="none" w:sz="0" w:space="0" w:color="auto"/>
        <w:right w:val="none" w:sz="0" w:space="0" w:color="auto"/>
      </w:divBdr>
    </w:div>
    <w:div w:id="213123634">
      <w:marLeft w:val="0"/>
      <w:marRight w:val="0"/>
      <w:marTop w:val="0"/>
      <w:marBottom w:val="0"/>
      <w:divBdr>
        <w:top w:val="none" w:sz="0" w:space="0" w:color="auto"/>
        <w:left w:val="none" w:sz="0" w:space="0" w:color="auto"/>
        <w:bottom w:val="none" w:sz="0" w:space="0" w:color="auto"/>
        <w:right w:val="none" w:sz="0" w:space="0" w:color="auto"/>
      </w:divBdr>
    </w:div>
    <w:div w:id="213123635">
      <w:marLeft w:val="0"/>
      <w:marRight w:val="0"/>
      <w:marTop w:val="0"/>
      <w:marBottom w:val="0"/>
      <w:divBdr>
        <w:top w:val="none" w:sz="0" w:space="0" w:color="auto"/>
        <w:left w:val="none" w:sz="0" w:space="0" w:color="auto"/>
        <w:bottom w:val="none" w:sz="0" w:space="0" w:color="auto"/>
        <w:right w:val="none" w:sz="0" w:space="0" w:color="auto"/>
      </w:divBdr>
    </w:div>
    <w:div w:id="213123636">
      <w:marLeft w:val="0"/>
      <w:marRight w:val="0"/>
      <w:marTop w:val="0"/>
      <w:marBottom w:val="0"/>
      <w:divBdr>
        <w:top w:val="none" w:sz="0" w:space="0" w:color="auto"/>
        <w:left w:val="none" w:sz="0" w:space="0" w:color="auto"/>
        <w:bottom w:val="none" w:sz="0" w:space="0" w:color="auto"/>
        <w:right w:val="none" w:sz="0" w:space="0" w:color="auto"/>
      </w:divBdr>
    </w:div>
    <w:div w:id="213123637">
      <w:marLeft w:val="0"/>
      <w:marRight w:val="0"/>
      <w:marTop w:val="0"/>
      <w:marBottom w:val="0"/>
      <w:divBdr>
        <w:top w:val="none" w:sz="0" w:space="0" w:color="auto"/>
        <w:left w:val="none" w:sz="0" w:space="0" w:color="auto"/>
        <w:bottom w:val="none" w:sz="0" w:space="0" w:color="auto"/>
        <w:right w:val="none" w:sz="0" w:space="0" w:color="auto"/>
      </w:divBdr>
    </w:div>
    <w:div w:id="213123638">
      <w:marLeft w:val="0"/>
      <w:marRight w:val="0"/>
      <w:marTop w:val="0"/>
      <w:marBottom w:val="0"/>
      <w:divBdr>
        <w:top w:val="none" w:sz="0" w:space="0" w:color="auto"/>
        <w:left w:val="none" w:sz="0" w:space="0" w:color="auto"/>
        <w:bottom w:val="none" w:sz="0" w:space="0" w:color="auto"/>
        <w:right w:val="none" w:sz="0" w:space="0" w:color="auto"/>
      </w:divBdr>
    </w:div>
    <w:div w:id="273754158">
      <w:bodyDiv w:val="1"/>
      <w:marLeft w:val="0"/>
      <w:marRight w:val="0"/>
      <w:marTop w:val="0"/>
      <w:marBottom w:val="0"/>
      <w:divBdr>
        <w:top w:val="none" w:sz="0" w:space="0" w:color="auto"/>
        <w:left w:val="none" w:sz="0" w:space="0" w:color="auto"/>
        <w:bottom w:val="none" w:sz="0" w:space="0" w:color="auto"/>
        <w:right w:val="none" w:sz="0" w:space="0" w:color="auto"/>
      </w:divBdr>
    </w:div>
    <w:div w:id="322703213">
      <w:bodyDiv w:val="1"/>
      <w:marLeft w:val="0"/>
      <w:marRight w:val="0"/>
      <w:marTop w:val="0"/>
      <w:marBottom w:val="0"/>
      <w:divBdr>
        <w:top w:val="none" w:sz="0" w:space="0" w:color="auto"/>
        <w:left w:val="none" w:sz="0" w:space="0" w:color="auto"/>
        <w:bottom w:val="none" w:sz="0" w:space="0" w:color="auto"/>
        <w:right w:val="none" w:sz="0" w:space="0" w:color="auto"/>
      </w:divBdr>
    </w:div>
    <w:div w:id="644042538">
      <w:bodyDiv w:val="1"/>
      <w:marLeft w:val="0"/>
      <w:marRight w:val="0"/>
      <w:marTop w:val="0"/>
      <w:marBottom w:val="0"/>
      <w:divBdr>
        <w:top w:val="none" w:sz="0" w:space="0" w:color="auto"/>
        <w:left w:val="none" w:sz="0" w:space="0" w:color="auto"/>
        <w:bottom w:val="none" w:sz="0" w:space="0" w:color="auto"/>
        <w:right w:val="none" w:sz="0" w:space="0" w:color="auto"/>
      </w:divBdr>
    </w:div>
    <w:div w:id="670062225">
      <w:bodyDiv w:val="1"/>
      <w:marLeft w:val="0"/>
      <w:marRight w:val="0"/>
      <w:marTop w:val="0"/>
      <w:marBottom w:val="0"/>
      <w:divBdr>
        <w:top w:val="none" w:sz="0" w:space="0" w:color="auto"/>
        <w:left w:val="none" w:sz="0" w:space="0" w:color="auto"/>
        <w:bottom w:val="none" w:sz="0" w:space="0" w:color="auto"/>
        <w:right w:val="none" w:sz="0" w:space="0" w:color="auto"/>
      </w:divBdr>
    </w:div>
    <w:div w:id="1005747553">
      <w:bodyDiv w:val="1"/>
      <w:marLeft w:val="0"/>
      <w:marRight w:val="0"/>
      <w:marTop w:val="0"/>
      <w:marBottom w:val="0"/>
      <w:divBdr>
        <w:top w:val="none" w:sz="0" w:space="0" w:color="auto"/>
        <w:left w:val="none" w:sz="0" w:space="0" w:color="auto"/>
        <w:bottom w:val="none" w:sz="0" w:space="0" w:color="auto"/>
        <w:right w:val="none" w:sz="0" w:space="0" w:color="auto"/>
      </w:divBdr>
    </w:div>
    <w:div w:id="1114250943">
      <w:bodyDiv w:val="1"/>
      <w:marLeft w:val="0"/>
      <w:marRight w:val="0"/>
      <w:marTop w:val="0"/>
      <w:marBottom w:val="0"/>
      <w:divBdr>
        <w:top w:val="none" w:sz="0" w:space="0" w:color="auto"/>
        <w:left w:val="none" w:sz="0" w:space="0" w:color="auto"/>
        <w:bottom w:val="none" w:sz="0" w:space="0" w:color="auto"/>
        <w:right w:val="none" w:sz="0" w:space="0" w:color="auto"/>
      </w:divBdr>
    </w:div>
    <w:div w:id="1115947171">
      <w:bodyDiv w:val="1"/>
      <w:marLeft w:val="0"/>
      <w:marRight w:val="0"/>
      <w:marTop w:val="0"/>
      <w:marBottom w:val="0"/>
      <w:divBdr>
        <w:top w:val="none" w:sz="0" w:space="0" w:color="auto"/>
        <w:left w:val="none" w:sz="0" w:space="0" w:color="auto"/>
        <w:bottom w:val="none" w:sz="0" w:space="0" w:color="auto"/>
        <w:right w:val="none" w:sz="0" w:space="0" w:color="auto"/>
      </w:divBdr>
    </w:div>
    <w:div w:id="1117068689">
      <w:bodyDiv w:val="1"/>
      <w:marLeft w:val="0"/>
      <w:marRight w:val="0"/>
      <w:marTop w:val="0"/>
      <w:marBottom w:val="0"/>
      <w:divBdr>
        <w:top w:val="none" w:sz="0" w:space="0" w:color="auto"/>
        <w:left w:val="none" w:sz="0" w:space="0" w:color="auto"/>
        <w:bottom w:val="none" w:sz="0" w:space="0" w:color="auto"/>
        <w:right w:val="none" w:sz="0" w:space="0" w:color="auto"/>
      </w:divBdr>
    </w:div>
    <w:div w:id="1170172822">
      <w:bodyDiv w:val="1"/>
      <w:marLeft w:val="0"/>
      <w:marRight w:val="0"/>
      <w:marTop w:val="0"/>
      <w:marBottom w:val="0"/>
      <w:divBdr>
        <w:top w:val="none" w:sz="0" w:space="0" w:color="auto"/>
        <w:left w:val="none" w:sz="0" w:space="0" w:color="auto"/>
        <w:bottom w:val="none" w:sz="0" w:space="0" w:color="auto"/>
        <w:right w:val="none" w:sz="0" w:space="0" w:color="auto"/>
      </w:divBdr>
    </w:div>
    <w:div w:id="1210190248">
      <w:bodyDiv w:val="1"/>
      <w:marLeft w:val="0"/>
      <w:marRight w:val="0"/>
      <w:marTop w:val="0"/>
      <w:marBottom w:val="0"/>
      <w:divBdr>
        <w:top w:val="none" w:sz="0" w:space="0" w:color="auto"/>
        <w:left w:val="none" w:sz="0" w:space="0" w:color="auto"/>
        <w:bottom w:val="none" w:sz="0" w:space="0" w:color="auto"/>
        <w:right w:val="none" w:sz="0" w:space="0" w:color="auto"/>
      </w:divBdr>
    </w:div>
    <w:div w:id="1289781119">
      <w:bodyDiv w:val="1"/>
      <w:marLeft w:val="0"/>
      <w:marRight w:val="0"/>
      <w:marTop w:val="0"/>
      <w:marBottom w:val="0"/>
      <w:divBdr>
        <w:top w:val="none" w:sz="0" w:space="0" w:color="auto"/>
        <w:left w:val="none" w:sz="0" w:space="0" w:color="auto"/>
        <w:bottom w:val="none" w:sz="0" w:space="0" w:color="auto"/>
        <w:right w:val="none" w:sz="0" w:space="0" w:color="auto"/>
      </w:divBdr>
    </w:div>
    <w:div w:id="1530484841">
      <w:bodyDiv w:val="1"/>
      <w:marLeft w:val="0"/>
      <w:marRight w:val="0"/>
      <w:marTop w:val="0"/>
      <w:marBottom w:val="0"/>
      <w:divBdr>
        <w:top w:val="none" w:sz="0" w:space="0" w:color="auto"/>
        <w:left w:val="none" w:sz="0" w:space="0" w:color="auto"/>
        <w:bottom w:val="none" w:sz="0" w:space="0" w:color="auto"/>
        <w:right w:val="none" w:sz="0" w:space="0" w:color="auto"/>
      </w:divBdr>
    </w:div>
    <w:div w:id="1549417623">
      <w:bodyDiv w:val="1"/>
      <w:marLeft w:val="0"/>
      <w:marRight w:val="0"/>
      <w:marTop w:val="0"/>
      <w:marBottom w:val="0"/>
      <w:divBdr>
        <w:top w:val="none" w:sz="0" w:space="0" w:color="auto"/>
        <w:left w:val="none" w:sz="0" w:space="0" w:color="auto"/>
        <w:bottom w:val="none" w:sz="0" w:space="0" w:color="auto"/>
        <w:right w:val="none" w:sz="0" w:space="0" w:color="auto"/>
      </w:divBdr>
    </w:div>
    <w:div w:id="1556355356">
      <w:bodyDiv w:val="1"/>
      <w:marLeft w:val="0"/>
      <w:marRight w:val="0"/>
      <w:marTop w:val="0"/>
      <w:marBottom w:val="0"/>
      <w:divBdr>
        <w:top w:val="none" w:sz="0" w:space="0" w:color="auto"/>
        <w:left w:val="none" w:sz="0" w:space="0" w:color="auto"/>
        <w:bottom w:val="none" w:sz="0" w:space="0" w:color="auto"/>
        <w:right w:val="none" w:sz="0" w:space="0" w:color="auto"/>
      </w:divBdr>
    </w:div>
    <w:div w:id="1630475139">
      <w:bodyDiv w:val="1"/>
      <w:marLeft w:val="0"/>
      <w:marRight w:val="0"/>
      <w:marTop w:val="0"/>
      <w:marBottom w:val="0"/>
      <w:divBdr>
        <w:top w:val="none" w:sz="0" w:space="0" w:color="auto"/>
        <w:left w:val="none" w:sz="0" w:space="0" w:color="auto"/>
        <w:bottom w:val="none" w:sz="0" w:space="0" w:color="auto"/>
        <w:right w:val="none" w:sz="0" w:space="0" w:color="auto"/>
      </w:divBdr>
    </w:div>
    <w:div w:id="1782407786">
      <w:bodyDiv w:val="1"/>
      <w:marLeft w:val="180"/>
      <w:marRight w:val="180"/>
      <w:marTop w:val="180"/>
      <w:marBottom w:val="180"/>
      <w:divBdr>
        <w:top w:val="none" w:sz="0" w:space="0" w:color="auto"/>
        <w:left w:val="none" w:sz="0" w:space="0" w:color="auto"/>
        <w:bottom w:val="none" w:sz="0" w:space="0" w:color="auto"/>
        <w:right w:val="none" w:sz="0" w:space="0" w:color="auto"/>
      </w:divBdr>
      <w:divsChild>
        <w:div w:id="776758508">
          <w:marLeft w:val="0"/>
          <w:marRight w:val="0"/>
          <w:marTop w:val="0"/>
          <w:marBottom w:val="0"/>
          <w:divBdr>
            <w:top w:val="none" w:sz="0" w:space="0" w:color="auto"/>
            <w:left w:val="none" w:sz="0" w:space="0" w:color="auto"/>
            <w:bottom w:val="none" w:sz="0" w:space="0" w:color="auto"/>
            <w:right w:val="none" w:sz="0" w:space="0" w:color="auto"/>
          </w:divBdr>
        </w:div>
      </w:divsChild>
    </w:div>
    <w:div w:id="1875339606">
      <w:bodyDiv w:val="1"/>
      <w:marLeft w:val="0"/>
      <w:marRight w:val="0"/>
      <w:marTop w:val="0"/>
      <w:marBottom w:val="0"/>
      <w:divBdr>
        <w:top w:val="none" w:sz="0" w:space="0" w:color="auto"/>
        <w:left w:val="none" w:sz="0" w:space="0" w:color="auto"/>
        <w:bottom w:val="none" w:sz="0" w:space="0" w:color="auto"/>
        <w:right w:val="none" w:sz="0" w:space="0" w:color="auto"/>
      </w:divBdr>
    </w:div>
    <w:div w:id="191077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454F6-7FEB-4060-B00A-365EFFF0B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6803</Words>
  <Characters>38779</Characters>
  <Application>Microsoft Office Word</Application>
  <DocSecurity>0</DocSecurity>
  <Lines>323</Lines>
  <Paragraphs>90</Paragraphs>
  <ScaleCrop>false</ScaleCrop>
  <Company/>
  <LinksUpToDate>false</LinksUpToDate>
  <CharactersWithSpaces>45492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2020-08-18T06:50:00Z</dcterms:modified>
</cp:coreProperties>
</file>