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A5D" w:rsidRPr="00862636" w:rsidRDefault="008A5A5D" w:rsidP="006D141C">
      <w:pPr>
        <w:autoSpaceDE w:val="0"/>
        <w:autoSpaceDN w:val="0"/>
        <w:adjustRightInd w:val="0"/>
        <w:spacing w:line="360" w:lineRule="auto"/>
        <w:jc w:val="left"/>
        <w:rPr>
          <w:rFonts w:eastAsiaTheme="minorEastAsia"/>
          <w:color w:val="000000"/>
          <w:kern w:val="0"/>
          <w:szCs w:val="21"/>
        </w:rPr>
      </w:pPr>
      <w:bookmarkStart w:id="0" w:name="_GoBack"/>
    </w:p>
    <w:p w:rsidR="008A5A5D" w:rsidRPr="00862636" w:rsidRDefault="008A5A5D" w:rsidP="006D141C">
      <w:pPr>
        <w:autoSpaceDE w:val="0"/>
        <w:autoSpaceDN w:val="0"/>
        <w:adjustRightInd w:val="0"/>
        <w:spacing w:line="360" w:lineRule="auto"/>
        <w:jc w:val="left"/>
        <w:rPr>
          <w:rFonts w:eastAsiaTheme="minorEastAsia"/>
          <w:color w:val="000000"/>
          <w:kern w:val="0"/>
          <w:szCs w:val="21"/>
        </w:rPr>
      </w:pPr>
    </w:p>
    <w:p w:rsidR="006A28BF" w:rsidRPr="00862636" w:rsidRDefault="006A28BF" w:rsidP="006D141C">
      <w:pPr>
        <w:autoSpaceDE w:val="0"/>
        <w:autoSpaceDN w:val="0"/>
        <w:adjustRightInd w:val="0"/>
        <w:spacing w:line="360" w:lineRule="auto"/>
        <w:jc w:val="left"/>
        <w:rPr>
          <w:rFonts w:eastAsiaTheme="minorEastAsia"/>
          <w:color w:val="000000"/>
          <w:kern w:val="0"/>
          <w:szCs w:val="21"/>
        </w:rPr>
      </w:pPr>
    </w:p>
    <w:p w:rsidR="008A5A5D" w:rsidRPr="00862636" w:rsidRDefault="008A5A5D" w:rsidP="006D141C">
      <w:pPr>
        <w:autoSpaceDE w:val="0"/>
        <w:autoSpaceDN w:val="0"/>
        <w:adjustRightInd w:val="0"/>
        <w:spacing w:line="360" w:lineRule="auto"/>
        <w:jc w:val="left"/>
        <w:rPr>
          <w:rStyle w:val="af8"/>
          <w:rFonts w:eastAsiaTheme="minorEastAsia"/>
          <w:szCs w:val="21"/>
        </w:rPr>
      </w:pPr>
    </w:p>
    <w:p w:rsidR="008A5A5D" w:rsidRPr="00307E35" w:rsidRDefault="008A5A5D" w:rsidP="00F07EDE">
      <w:pPr>
        <w:spacing w:line="360" w:lineRule="auto"/>
        <w:jc w:val="center"/>
        <w:rPr>
          <w:b/>
          <w:sz w:val="44"/>
          <w:szCs w:val="44"/>
        </w:rPr>
      </w:pPr>
      <w:bookmarkStart w:id="1" w:name="_Toc352254876"/>
      <w:bookmarkStart w:id="2" w:name="_Toc352255956"/>
      <w:bookmarkStart w:id="3" w:name="_Toc352256024"/>
      <w:bookmarkStart w:id="4" w:name="_Toc352256201"/>
      <w:bookmarkStart w:id="5" w:name="_Toc352331202"/>
      <w:r w:rsidRPr="00307E35">
        <w:rPr>
          <w:b/>
          <w:sz w:val="44"/>
          <w:szCs w:val="44"/>
        </w:rPr>
        <w:t>易方达恒生中国企业交易型开放式指数证券投资基金联接基金</w:t>
      </w:r>
      <w:bookmarkEnd w:id="1"/>
      <w:bookmarkEnd w:id="2"/>
      <w:bookmarkEnd w:id="3"/>
      <w:bookmarkEnd w:id="4"/>
      <w:bookmarkEnd w:id="5"/>
    </w:p>
    <w:p w:rsidR="008A5A5D" w:rsidRPr="00307E35" w:rsidRDefault="008A5A5D" w:rsidP="00F07EDE">
      <w:pPr>
        <w:spacing w:line="360" w:lineRule="auto"/>
        <w:jc w:val="center"/>
        <w:rPr>
          <w:b/>
          <w:sz w:val="44"/>
          <w:szCs w:val="44"/>
        </w:rPr>
      </w:pPr>
      <w:bookmarkStart w:id="6" w:name="_Toc352254877"/>
      <w:bookmarkStart w:id="7" w:name="_Toc352255957"/>
      <w:bookmarkStart w:id="8" w:name="_Toc352256025"/>
      <w:bookmarkStart w:id="9" w:name="_Toc352256202"/>
      <w:bookmarkStart w:id="10" w:name="_Toc352331203"/>
      <w:r w:rsidRPr="00307E35">
        <w:rPr>
          <w:b/>
          <w:sz w:val="44"/>
          <w:szCs w:val="44"/>
        </w:rPr>
        <w:t>2020</w:t>
      </w:r>
      <w:r w:rsidRPr="00307E35">
        <w:rPr>
          <w:b/>
          <w:sz w:val="44"/>
          <w:szCs w:val="44"/>
        </w:rPr>
        <w:t>年中期报告</w:t>
      </w:r>
      <w:bookmarkEnd w:id="6"/>
      <w:bookmarkEnd w:id="7"/>
      <w:bookmarkEnd w:id="8"/>
      <w:bookmarkEnd w:id="9"/>
      <w:bookmarkEnd w:id="10"/>
    </w:p>
    <w:p w:rsidR="008A5A5D" w:rsidRPr="00307E35" w:rsidRDefault="00146FBA" w:rsidP="00F07EDE">
      <w:pPr>
        <w:spacing w:line="360" w:lineRule="auto"/>
        <w:jc w:val="center"/>
        <w:rPr>
          <w:b/>
          <w:sz w:val="44"/>
          <w:szCs w:val="44"/>
        </w:rPr>
      </w:pPr>
      <w:r w:rsidRPr="00307E35">
        <w:rPr>
          <w:b/>
          <w:sz w:val="44"/>
          <w:szCs w:val="44"/>
        </w:rPr>
        <w:t>2020</w:t>
      </w:r>
      <w:r w:rsidRPr="00307E35">
        <w:rPr>
          <w:b/>
          <w:sz w:val="44"/>
          <w:szCs w:val="44"/>
        </w:rPr>
        <w:t>年</w:t>
      </w:r>
      <w:r w:rsidRPr="00307E35">
        <w:rPr>
          <w:b/>
          <w:sz w:val="44"/>
          <w:szCs w:val="44"/>
        </w:rPr>
        <w:t>6</w:t>
      </w:r>
      <w:r w:rsidRPr="00307E35">
        <w:rPr>
          <w:b/>
          <w:sz w:val="44"/>
          <w:szCs w:val="44"/>
        </w:rPr>
        <w:t>月</w:t>
      </w:r>
      <w:r w:rsidRPr="00307E35">
        <w:rPr>
          <w:b/>
          <w:sz w:val="44"/>
          <w:szCs w:val="44"/>
        </w:rPr>
        <w:t>30</w:t>
      </w:r>
      <w:r w:rsidRPr="00307E35">
        <w:rPr>
          <w:b/>
          <w:sz w:val="44"/>
          <w:szCs w:val="44"/>
        </w:rPr>
        <w:t>日</w:t>
      </w:r>
    </w:p>
    <w:p w:rsidR="008A5A5D" w:rsidRPr="008134C7" w:rsidRDefault="008A5A5D" w:rsidP="006D141C">
      <w:pPr>
        <w:spacing w:line="360" w:lineRule="auto"/>
        <w:jc w:val="center"/>
        <w:rPr>
          <w:rStyle w:val="af8"/>
          <w:rFonts w:eastAsiaTheme="minorEastAsia"/>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rPr>
          <w:rFonts w:eastAsiaTheme="minorEastAsia"/>
          <w:b/>
          <w:color w:val="000000"/>
          <w:sz w:val="24"/>
        </w:rPr>
      </w:pPr>
    </w:p>
    <w:p w:rsidR="008A5A5D" w:rsidRPr="008134C7" w:rsidRDefault="008A5A5D" w:rsidP="00FA230F">
      <w:pPr>
        <w:spacing w:line="360" w:lineRule="auto"/>
        <w:ind w:firstLineChars="900" w:firstLine="2160"/>
        <w:rPr>
          <w:rFonts w:eastAsiaTheme="minorEastAsia"/>
          <w:color w:val="000000"/>
          <w:sz w:val="24"/>
        </w:rPr>
      </w:pPr>
      <w:r w:rsidRPr="008134C7">
        <w:rPr>
          <w:rFonts w:eastAsiaTheme="minorEastAsia"/>
          <w:color w:val="000000"/>
          <w:sz w:val="24"/>
        </w:rPr>
        <w:t>基金管理人：易方达基金管理有限公司</w:t>
      </w:r>
    </w:p>
    <w:p w:rsidR="008A5A5D" w:rsidRPr="008134C7" w:rsidRDefault="008A5A5D" w:rsidP="00FA230F">
      <w:pPr>
        <w:spacing w:line="360" w:lineRule="auto"/>
        <w:ind w:firstLineChars="900" w:firstLine="2160"/>
        <w:rPr>
          <w:rFonts w:eastAsiaTheme="minorEastAsia"/>
          <w:color w:val="000000"/>
          <w:sz w:val="24"/>
        </w:rPr>
      </w:pPr>
      <w:r w:rsidRPr="008134C7">
        <w:rPr>
          <w:rFonts w:eastAsiaTheme="minorEastAsia"/>
          <w:color w:val="000000"/>
          <w:sz w:val="24"/>
        </w:rPr>
        <w:t>基金托管人：交通银行股份有限公司</w:t>
      </w:r>
    </w:p>
    <w:p w:rsidR="008A5A5D" w:rsidRPr="00862636" w:rsidRDefault="008A5A5D" w:rsidP="00FA230F">
      <w:pPr>
        <w:spacing w:line="360" w:lineRule="auto"/>
        <w:ind w:firstLineChars="900" w:firstLine="2160"/>
        <w:rPr>
          <w:rFonts w:eastAsiaTheme="minorEastAsia"/>
          <w:color w:val="000000"/>
          <w:sz w:val="24"/>
        </w:rPr>
      </w:pPr>
      <w:r w:rsidRPr="008134C7">
        <w:rPr>
          <w:rFonts w:eastAsiaTheme="minorEastAsia"/>
          <w:color w:val="000000"/>
          <w:sz w:val="24"/>
        </w:rPr>
        <w:t>送出日期：二〇二〇年八月二十八日</w:t>
      </w:r>
    </w:p>
    <w:p w:rsidR="008A5A5D" w:rsidRPr="00862636" w:rsidRDefault="008A5A5D" w:rsidP="00F07EDE">
      <w:pPr>
        <w:spacing w:line="288" w:lineRule="auto"/>
        <w:ind w:firstLineChars="900" w:firstLine="1897"/>
        <w:rPr>
          <w:rFonts w:eastAsiaTheme="minorEastAsia"/>
          <w:b/>
          <w:color w:val="000000"/>
          <w:szCs w:val="21"/>
        </w:rPr>
        <w:sectPr w:rsidR="008A5A5D" w:rsidRPr="00862636">
          <w:headerReference w:type="default" r:id="rId8"/>
          <w:footerReference w:type="default" r:id="rId9"/>
          <w:pgSz w:w="11926" w:h="15840"/>
          <w:pgMar w:top="1418" w:right="1418" w:bottom="851" w:left="1418" w:header="851" w:footer="992" w:gutter="0"/>
          <w:cols w:space="720"/>
        </w:sectPr>
      </w:pPr>
    </w:p>
    <w:p w:rsidR="00937FC6" w:rsidRPr="00A432E9" w:rsidRDefault="00937FC6"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1" w:name="_Toc225498243"/>
      <w:bookmarkStart w:id="12" w:name="_Toc352255958"/>
      <w:bookmarkStart w:id="13" w:name="_Toc352256026"/>
      <w:bookmarkStart w:id="14" w:name="_Toc352331204"/>
      <w:bookmarkStart w:id="15" w:name="_Toc48662464"/>
      <w:r w:rsidRPr="000C6CCD">
        <w:rPr>
          <w:rFonts w:ascii="宋体" w:hAnsi="宋体"/>
          <w:bCs w:val="0"/>
          <w:color w:val="000000"/>
          <w:sz w:val="21"/>
          <w:szCs w:val="21"/>
        </w:rPr>
        <w:lastRenderedPageBreak/>
        <w:t>1</w:t>
      </w:r>
      <w:r w:rsidR="000C6CCD">
        <w:rPr>
          <w:rFonts w:ascii="Times New Roman" w:hAnsi="Times New Roman"/>
          <w:bCs w:val="0"/>
          <w:color w:val="000000"/>
          <w:sz w:val="21"/>
          <w:szCs w:val="21"/>
        </w:rPr>
        <w:t xml:space="preserve">    </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重要提示及目录</w:t>
      </w:r>
      <w:bookmarkEnd w:id="11"/>
      <w:bookmarkEnd w:id="12"/>
      <w:bookmarkEnd w:id="13"/>
      <w:bookmarkEnd w:id="14"/>
      <w:bookmarkEnd w:id="15"/>
    </w:p>
    <w:p w:rsidR="00C24ACA" w:rsidRPr="00A432E9" w:rsidRDefault="00C24ACA" w:rsidP="006C64F3">
      <w:pPr>
        <w:pStyle w:val="20"/>
        <w:spacing w:beforeLines="100" w:before="312" w:after="0"/>
        <w:rPr>
          <w:rFonts w:ascii="Times New Roman" w:eastAsiaTheme="minorEastAsia" w:hAnsi="Times New Roman"/>
          <w:kern w:val="0"/>
          <w:sz w:val="21"/>
          <w:szCs w:val="21"/>
        </w:rPr>
      </w:pPr>
      <w:bookmarkStart w:id="16" w:name="_Toc352255959"/>
      <w:bookmarkStart w:id="17" w:name="_Toc352256027"/>
      <w:bookmarkStart w:id="18" w:name="_Toc352331205"/>
      <w:bookmarkStart w:id="19" w:name="_Toc48662465"/>
      <w:r w:rsidRPr="0087359D">
        <w:rPr>
          <w:rFonts w:ascii="宋体" w:hAnsi="宋体"/>
          <w:kern w:val="0"/>
          <w:sz w:val="21"/>
          <w:szCs w:val="21"/>
        </w:rPr>
        <w:t>1.1</w:t>
      </w:r>
      <w:r w:rsidR="009A2157" w:rsidRPr="009A2157">
        <w:rPr>
          <w:rFonts w:ascii="Times New Roman" w:eastAsiaTheme="minorEastAsia" w:hAnsi="Times New Roman"/>
          <w:kern w:val="0"/>
          <w:sz w:val="21"/>
          <w:szCs w:val="21"/>
        </w:rPr>
        <w:t xml:space="preserve">   </w:t>
      </w:r>
      <w:r w:rsidRPr="00A432E9">
        <w:rPr>
          <w:rFonts w:ascii="Times New Roman" w:eastAsiaTheme="minorEastAsia" w:hAnsi="Times New Roman" w:hint="eastAsia"/>
          <w:kern w:val="0"/>
          <w:sz w:val="21"/>
          <w:szCs w:val="21"/>
        </w:rPr>
        <w:t>重要提示</w:t>
      </w:r>
      <w:bookmarkEnd w:id="16"/>
      <w:bookmarkEnd w:id="17"/>
      <w:bookmarkEnd w:id="18"/>
      <w:bookmarkEnd w:id="19"/>
    </w:p>
    <w:p w:rsidR="00871824" w:rsidRDefault="00672BD5">
      <w:pPr>
        <w:spacing w:line="360" w:lineRule="auto"/>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871824" w:rsidRDefault="00672BD5">
      <w:pPr>
        <w:spacing w:line="360" w:lineRule="auto"/>
        <w:ind w:firstLineChars="200" w:firstLine="420"/>
        <w:rPr>
          <w:szCs w:val="21"/>
        </w:rPr>
      </w:pPr>
      <w:r>
        <w:rPr>
          <w:color w:val="000000"/>
          <w:szCs w:val="21"/>
        </w:rPr>
        <w:t>基金托管人交通银行股份有限公司根据本基金合同规定，于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871824" w:rsidRDefault="00672BD5">
      <w:pPr>
        <w:spacing w:line="360" w:lineRule="auto"/>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871824" w:rsidRDefault="00672BD5">
      <w:pPr>
        <w:spacing w:line="360" w:lineRule="auto"/>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871824" w:rsidRDefault="00672BD5">
      <w:pPr>
        <w:spacing w:line="360" w:lineRule="auto"/>
        <w:ind w:firstLineChars="200" w:firstLine="420"/>
        <w:rPr>
          <w:szCs w:val="21"/>
        </w:rPr>
      </w:pPr>
      <w:r>
        <w:rPr>
          <w:color w:val="000000"/>
          <w:szCs w:val="21"/>
        </w:rPr>
        <w:t>本报告中财务资料未经审计。</w:t>
      </w:r>
      <w:r>
        <w:rPr>
          <w:color w:val="000000"/>
          <w:szCs w:val="21"/>
        </w:rPr>
        <w:t xml:space="preserve"> </w:t>
      </w:r>
    </w:p>
    <w:p w:rsidR="00C24ACA" w:rsidRPr="00C24ACA" w:rsidRDefault="00C24ACA" w:rsidP="008707EB">
      <w:pPr>
        <w:spacing w:line="360" w:lineRule="auto"/>
        <w:ind w:firstLineChars="200" w:firstLine="420"/>
        <w:rPr>
          <w:szCs w:val="21"/>
        </w:rPr>
      </w:pPr>
      <w:r w:rsidRPr="00C24ACA">
        <w:rPr>
          <w:color w:val="000000"/>
          <w:szCs w:val="21"/>
        </w:rPr>
        <w:t>本报告期自</w:t>
      </w:r>
      <w:r w:rsidRPr="00C24ACA">
        <w:rPr>
          <w:color w:val="000000"/>
          <w:szCs w:val="21"/>
        </w:rPr>
        <w:t>2020</w:t>
      </w:r>
      <w:r w:rsidRPr="00C24ACA">
        <w:rPr>
          <w:color w:val="000000"/>
          <w:szCs w:val="21"/>
        </w:rPr>
        <w:t>年</w:t>
      </w:r>
      <w:r w:rsidRPr="00C24ACA">
        <w:rPr>
          <w:color w:val="000000"/>
          <w:szCs w:val="21"/>
        </w:rPr>
        <w:t>1</w:t>
      </w:r>
      <w:r w:rsidRPr="00C24ACA">
        <w:rPr>
          <w:color w:val="000000"/>
          <w:szCs w:val="21"/>
        </w:rPr>
        <w:t>月</w:t>
      </w:r>
      <w:r w:rsidRPr="00C24ACA">
        <w:rPr>
          <w:color w:val="000000"/>
          <w:szCs w:val="21"/>
        </w:rPr>
        <w:t>1</w:t>
      </w:r>
      <w:r w:rsidRPr="00C24ACA">
        <w:rPr>
          <w:color w:val="000000"/>
          <w:szCs w:val="21"/>
        </w:rPr>
        <w:t>日起至</w:t>
      </w:r>
      <w:r w:rsidRPr="00C24ACA">
        <w:rPr>
          <w:color w:val="000000"/>
          <w:szCs w:val="21"/>
        </w:rPr>
        <w:t>6</w:t>
      </w:r>
      <w:r w:rsidRPr="00C24ACA">
        <w:rPr>
          <w:color w:val="000000"/>
          <w:szCs w:val="21"/>
        </w:rPr>
        <w:t>月</w:t>
      </w:r>
      <w:r w:rsidRPr="00C24ACA">
        <w:rPr>
          <w:color w:val="000000"/>
          <w:szCs w:val="21"/>
        </w:rPr>
        <w:t>30</w:t>
      </w:r>
      <w:r w:rsidRPr="00C24ACA">
        <w:rPr>
          <w:color w:val="000000"/>
          <w:szCs w:val="21"/>
        </w:rPr>
        <w:t>日止。</w:t>
      </w:r>
    </w:p>
    <w:p w:rsidR="00937FC6" w:rsidRPr="00C24ACA" w:rsidRDefault="00871A0D" w:rsidP="006C64F3">
      <w:pPr>
        <w:pStyle w:val="20"/>
        <w:spacing w:beforeLines="100" w:before="312" w:after="0"/>
        <w:rPr>
          <w:rFonts w:eastAsiaTheme="minorEastAsia"/>
          <w:b w:val="0"/>
          <w:szCs w:val="21"/>
        </w:rPr>
      </w:pPr>
      <w:r w:rsidRPr="00C24ACA">
        <w:rPr>
          <w:rFonts w:eastAsiaTheme="minorEastAsia"/>
          <w:szCs w:val="21"/>
        </w:rPr>
        <w:br w:type="page"/>
      </w:r>
      <w:bookmarkStart w:id="20" w:name="_Toc48662466"/>
      <w:r w:rsidR="00937FC6" w:rsidRPr="00E141AF">
        <w:rPr>
          <w:rFonts w:ascii="宋体" w:hAnsi="宋体"/>
          <w:kern w:val="0"/>
          <w:sz w:val="21"/>
          <w:szCs w:val="21"/>
        </w:rPr>
        <w:lastRenderedPageBreak/>
        <w:t>1.2</w:t>
      </w:r>
      <w:r w:rsidR="00EC4AF6" w:rsidRPr="00EC4AF6">
        <w:rPr>
          <w:rFonts w:ascii="宋体" w:hAnsi="宋体"/>
          <w:kern w:val="0"/>
          <w:sz w:val="21"/>
          <w:szCs w:val="21"/>
        </w:rPr>
        <w:t xml:space="preserve">   </w:t>
      </w:r>
      <w:r w:rsidR="00937FC6" w:rsidRPr="00E141AF">
        <w:rPr>
          <w:rFonts w:ascii="宋体" w:hAnsi="宋体"/>
          <w:kern w:val="0"/>
          <w:sz w:val="21"/>
          <w:szCs w:val="21"/>
        </w:rPr>
        <w:t>目录</w:t>
      </w:r>
      <w:bookmarkEnd w:id="20"/>
    </w:p>
    <w:p w:rsidR="0077340B" w:rsidRDefault="00EF5FA8">
      <w:pPr>
        <w:pStyle w:val="22"/>
        <w:ind w:left="420"/>
        <w:rPr>
          <w:rFonts w:asciiTheme="minorHAnsi" w:eastAsiaTheme="minorEastAsia" w:hAnsiTheme="minorHAnsi" w:cstheme="minorBidi"/>
          <w:noProof/>
          <w:kern w:val="2"/>
          <w:szCs w:val="22"/>
        </w:rPr>
      </w:pPr>
      <w:r w:rsidRPr="006F3222">
        <w:rPr>
          <w:rFonts w:eastAsiaTheme="minorEastAsia"/>
        </w:rPr>
        <w:fldChar w:fldCharType="begin"/>
      </w:r>
      <w:r w:rsidR="00937FC6" w:rsidRPr="006F3222">
        <w:rPr>
          <w:rFonts w:eastAsiaTheme="minorEastAsia"/>
        </w:rPr>
        <w:instrText xml:space="preserve"> TOC \o "1-3" \h \z \u </w:instrText>
      </w:r>
      <w:r w:rsidRPr="006F3222">
        <w:rPr>
          <w:rFonts w:eastAsiaTheme="minorEastAsia"/>
        </w:rPr>
        <w:fldChar w:fldCharType="separate"/>
      </w:r>
      <w:hyperlink w:anchor="_Toc48662464" w:history="1">
        <w:r w:rsidR="0077340B" w:rsidRPr="00D2375B">
          <w:rPr>
            <w:rStyle w:val="a9"/>
            <w:rFonts w:ascii="宋体" w:hAnsi="宋体"/>
            <w:noProof/>
          </w:rPr>
          <w:t>1</w:t>
        </w:r>
        <w:r w:rsidR="0077340B" w:rsidRPr="00D2375B">
          <w:rPr>
            <w:rStyle w:val="a9"/>
            <w:noProof/>
          </w:rPr>
          <w:t xml:space="preserve">     </w:t>
        </w:r>
        <w:r w:rsidR="0077340B" w:rsidRPr="00D2375B">
          <w:rPr>
            <w:rStyle w:val="a9"/>
            <w:rFonts w:hint="eastAsia"/>
            <w:noProof/>
          </w:rPr>
          <w:t>重要提示及目录</w:t>
        </w:r>
        <w:r w:rsidR="0077340B">
          <w:rPr>
            <w:noProof/>
            <w:webHidden/>
          </w:rPr>
          <w:tab/>
        </w:r>
        <w:r w:rsidR="0077340B">
          <w:rPr>
            <w:noProof/>
            <w:webHidden/>
          </w:rPr>
          <w:fldChar w:fldCharType="begin"/>
        </w:r>
        <w:r w:rsidR="0077340B">
          <w:rPr>
            <w:noProof/>
            <w:webHidden/>
          </w:rPr>
          <w:instrText xml:space="preserve"> PAGEREF _Toc48662464 \h </w:instrText>
        </w:r>
        <w:r w:rsidR="0077340B">
          <w:rPr>
            <w:noProof/>
            <w:webHidden/>
          </w:rPr>
        </w:r>
        <w:r w:rsidR="0077340B">
          <w:rPr>
            <w:noProof/>
            <w:webHidden/>
          </w:rPr>
          <w:fldChar w:fldCharType="separate"/>
        </w:r>
        <w:r w:rsidR="0077340B">
          <w:rPr>
            <w:noProof/>
            <w:webHidden/>
          </w:rPr>
          <w:t>2</w:t>
        </w:r>
        <w:r w:rsidR="0077340B">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65" w:history="1">
        <w:r w:rsidRPr="00D2375B">
          <w:rPr>
            <w:rStyle w:val="a9"/>
            <w:rFonts w:ascii="宋体" w:hAnsi="宋体"/>
            <w:noProof/>
          </w:rPr>
          <w:t>1.1</w:t>
        </w:r>
        <w:r w:rsidRPr="00D2375B">
          <w:rPr>
            <w:rStyle w:val="a9"/>
            <w:noProof/>
          </w:rPr>
          <w:t xml:space="preserve">   </w:t>
        </w:r>
        <w:r w:rsidRPr="00D2375B">
          <w:rPr>
            <w:rStyle w:val="a9"/>
            <w:rFonts w:hint="eastAsia"/>
            <w:noProof/>
          </w:rPr>
          <w:t>重要提示</w:t>
        </w:r>
        <w:r>
          <w:rPr>
            <w:noProof/>
            <w:webHidden/>
          </w:rPr>
          <w:tab/>
        </w:r>
        <w:r>
          <w:rPr>
            <w:noProof/>
            <w:webHidden/>
          </w:rPr>
          <w:fldChar w:fldCharType="begin"/>
        </w:r>
        <w:r>
          <w:rPr>
            <w:noProof/>
            <w:webHidden/>
          </w:rPr>
          <w:instrText xml:space="preserve"> PAGEREF _Toc48662465 \h </w:instrText>
        </w:r>
        <w:r>
          <w:rPr>
            <w:noProof/>
            <w:webHidden/>
          </w:rPr>
        </w:r>
        <w:r>
          <w:rPr>
            <w:noProof/>
            <w:webHidden/>
          </w:rPr>
          <w:fldChar w:fldCharType="separate"/>
        </w:r>
        <w:r>
          <w:rPr>
            <w:noProof/>
            <w:webHidden/>
          </w:rPr>
          <w:t>2</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66" w:history="1">
        <w:r w:rsidRPr="00D2375B">
          <w:rPr>
            <w:rStyle w:val="a9"/>
            <w:rFonts w:ascii="宋体" w:hAnsi="宋体"/>
            <w:noProof/>
          </w:rPr>
          <w:t xml:space="preserve">1.2   </w:t>
        </w:r>
        <w:r w:rsidRPr="00D2375B">
          <w:rPr>
            <w:rStyle w:val="a9"/>
            <w:rFonts w:ascii="宋体" w:hAnsi="宋体" w:hint="eastAsia"/>
            <w:noProof/>
          </w:rPr>
          <w:t>目录</w:t>
        </w:r>
        <w:r>
          <w:rPr>
            <w:noProof/>
            <w:webHidden/>
          </w:rPr>
          <w:tab/>
        </w:r>
        <w:r>
          <w:rPr>
            <w:noProof/>
            <w:webHidden/>
          </w:rPr>
          <w:fldChar w:fldCharType="begin"/>
        </w:r>
        <w:r>
          <w:rPr>
            <w:noProof/>
            <w:webHidden/>
          </w:rPr>
          <w:instrText xml:space="preserve"> PAGEREF _Toc48662466 \h </w:instrText>
        </w:r>
        <w:r>
          <w:rPr>
            <w:noProof/>
            <w:webHidden/>
          </w:rPr>
        </w:r>
        <w:r>
          <w:rPr>
            <w:noProof/>
            <w:webHidden/>
          </w:rPr>
          <w:fldChar w:fldCharType="separate"/>
        </w:r>
        <w:r>
          <w:rPr>
            <w:noProof/>
            <w:webHidden/>
          </w:rPr>
          <w:t>3</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67" w:history="1">
        <w:r w:rsidRPr="00D2375B">
          <w:rPr>
            <w:rStyle w:val="a9"/>
            <w:rFonts w:ascii="宋体" w:hAnsi="宋体"/>
            <w:noProof/>
          </w:rPr>
          <w:t>2</w:t>
        </w:r>
        <w:r w:rsidRPr="00D2375B">
          <w:rPr>
            <w:rStyle w:val="a9"/>
            <w:noProof/>
          </w:rPr>
          <w:t xml:space="preserve">     </w:t>
        </w:r>
        <w:r w:rsidRPr="00D2375B">
          <w:rPr>
            <w:rStyle w:val="a9"/>
            <w:rFonts w:hint="eastAsia"/>
            <w:noProof/>
          </w:rPr>
          <w:t>基金简介</w:t>
        </w:r>
        <w:r>
          <w:rPr>
            <w:noProof/>
            <w:webHidden/>
          </w:rPr>
          <w:tab/>
        </w:r>
        <w:r>
          <w:rPr>
            <w:noProof/>
            <w:webHidden/>
          </w:rPr>
          <w:fldChar w:fldCharType="begin"/>
        </w:r>
        <w:r>
          <w:rPr>
            <w:noProof/>
            <w:webHidden/>
          </w:rPr>
          <w:instrText xml:space="preserve"> PAGEREF _Toc48662467 \h </w:instrText>
        </w:r>
        <w:r>
          <w:rPr>
            <w:noProof/>
            <w:webHidden/>
          </w:rPr>
        </w:r>
        <w:r>
          <w:rPr>
            <w:noProof/>
            <w:webHidden/>
          </w:rPr>
          <w:fldChar w:fldCharType="separate"/>
        </w:r>
        <w:r>
          <w:rPr>
            <w:noProof/>
            <w:webHidden/>
          </w:rPr>
          <w:t>5</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68" w:history="1">
        <w:r w:rsidRPr="00D2375B">
          <w:rPr>
            <w:rStyle w:val="a9"/>
            <w:rFonts w:ascii="宋体" w:hAnsi="宋体"/>
            <w:noProof/>
          </w:rPr>
          <w:t>2.1</w:t>
        </w:r>
        <w:r w:rsidRPr="00D2375B">
          <w:rPr>
            <w:rStyle w:val="a9"/>
            <w:noProof/>
          </w:rPr>
          <w:t xml:space="preserve">   </w:t>
        </w:r>
        <w:r w:rsidRPr="00D2375B">
          <w:rPr>
            <w:rStyle w:val="a9"/>
            <w:rFonts w:hint="eastAsia"/>
            <w:noProof/>
          </w:rPr>
          <w:t>基金基本情况</w:t>
        </w:r>
        <w:r>
          <w:rPr>
            <w:noProof/>
            <w:webHidden/>
          </w:rPr>
          <w:tab/>
        </w:r>
        <w:r>
          <w:rPr>
            <w:noProof/>
            <w:webHidden/>
          </w:rPr>
          <w:fldChar w:fldCharType="begin"/>
        </w:r>
        <w:r>
          <w:rPr>
            <w:noProof/>
            <w:webHidden/>
          </w:rPr>
          <w:instrText xml:space="preserve"> PAGEREF _Toc48662468 \h </w:instrText>
        </w:r>
        <w:r>
          <w:rPr>
            <w:noProof/>
            <w:webHidden/>
          </w:rPr>
        </w:r>
        <w:r>
          <w:rPr>
            <w:noProof/>
            <w:webHidden/>
          </w:rPr>
          <w:fldChar w:fldCharType="separate"/>
        </w:r>
        <w:r>
          <w:rPr>
            <w:noProof/>
            <w:webHidden/>
          </w:rPr>
          <w:t>5</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69" w:history="1">
        <w:r w:rsidRPr="00D2375B">
          <w:rPr>
            <w:rStyle w:val="a9"/>
            <w:rFonts w:ascii="宋体" w:hAnsi="宋体"/>
            <w:noProof/>
          </w:rPr>
          <w:t>2.2</w:t>
        </w:r>
        <w:r w:rsidRPr="00D2375B">
          <w:rPr>
            <w:rStyle w:val="a9"/>
            <w:noProof/>
          </w:rPr>
          <w:t xml:space="preserve">   </w:t>
        </w:r>
        <w:r w:rsidRPr="00D2375B">
          <w:rPr>
            <w:rStyle w:val="a9"/>
            <w:rFonts w:hint="eastAsia"/>
            <w:noProof/>
          </w:rPr>
          <w:t>基金产品说明</w:t>
        </w:r>
        <w:r>
          <w:rPr>
            <w:noProof/>
            <w:webHidden/>
          </w:rPr>
          <w:tab/>
        </w:r>
        <w:r>
          <w:rPr>
            <w:noProof/>
            <w:webHidden/>
          </w:rPr>
          <w:fldChar w:fldCharType="begin"/>
        </w:r>
        <w:r>
          <w:rPr>
            <w:noProof/>
            <w:webHidden/>
          </w:rPr>
          <w:instrText xml:space="preserve"> PAGEREF _Toc48662469 \h </w:instrText>
        </w:r>
        <w:r>
          <w:rPr>
            <w:noProof/>
            <w:webHidden/>
          </w:rPr>
        </w:r>
        <w:r>
          <w:rPr>
            <w:noProof/>
            <w:webHidden/>
          </w:rPr>
          <w:fldChar w:fldCharType="separate"/>
        </w:r>
        <w:r>
          <w:rPr>
            <w:noProof/>
            <w:webHidden/>
          </w:rPr>
          <w:t>5</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70" w:history="1">
        <w:r w:rsidRPr="00D2375B">
          <w:rPr>
            <w:rStyle w:val="a9"/>
            <w:rFonts w:ascii="宋体" w:hAnsi="宋体"/>
            <w:noProof/>
          </w:rPr>
          <w:t>2.3</w:t>
        </w:r>
        <w:r w:rsidRPr="00D2375B">
          <w:rPr>
            <w:rStyle w:val="a9"/>
            <w:noProof/>
          </w:rPr>
          <w:t xml:space="preserve">   </w:t>
        </w:r>
        <w:r w:rsidRPr="00D2375B">
          <w:rPr>
            <w:rStyle w:val="a9"/>
            <w:rFonts w:hint="eastAsia"/>
            <w:noProof/>
          </w:rPr>
          <w:t>基金管理人和基金托管人</w:t>
        </w:r>
        <w:r>
          <w:rPr>
            <w:noProof/>
            <w:webHidden/>
          </w:rPr>
          <w:tab/>
        </w:r>
        <w:r>
          <w:rPr>
            <w:noProof/>
            <w:webHidden/>
          </w:rPr>
          <w:fldChar w:fldCharType="begin"/>
        </w:r>
        <w:r>
          <w:rPr>
            <w:noProof/>
            <w:webHidden/>
          </w:rPr>
          <w:instrText xml:space="preserve"> PAGEREF _Toc48662470 \h </w:instrText>
        </w:r>
        <w:r>
          <w:rPr>
            <w:noProof/>
            <w:webHidden/>
          </w:rPr>
        </w:r>
        <w:r>
          <w:rPr>
            <w:noProof/>
            <w:webHidden/>
          </w:rPr>
          <w:fldChar w:fldCharType="separate"/>
        </w:r>
        <w:r>
          <w:rPr>
            <w:noProof/>
            <w:webHidden/>
          </w:rPr>
          <w:t>6</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71" w:history="1">
        <w:r w:rsidRPr="00D2375B">
          <w:rPr>
            <w:rStyle w:val="a9"/>
            <w:rFonts w:ascii="宋体" w:hAnsi="宋体"/>
            <w:noProof/>
          </w:rPr>
          <w:t>2.4</w:t>
        </w:r>
        <w:r w:rsidRPr="00D2375B">
          <w:rPr>
            <w:rStyle w:val="a9"/>
            <w:noProof/>
          </w:rPr>
          <w:t xml:space="preserve">   </w:t>
        </w:r>
        <w:r w:rsidRPr="00D2375B">
          <w:rPr>
            <w:rStyle w:val="a9"/>
            <w:rFonts w:hint="eastAsia"/>
            <w:noProof/>
          </w:rPr>
          <w:t>境外投资顾问和境外资产托管人</w:t>
        </w:r>
        <w:r>
          <w:rPr>
            <w:noProof/>
            <w:webHidden/>
          </w:rPr>
          <w:tab/>
        </w:r>
        <w:r>
          <w:rPr>
            <w:noProof/>
            <w:webHidden/>
          </w:rPr>
          <w:fldChar w:fldCharType="begin"/>
        </w:r>
        <w:r>
          <w:rPr>
            <w:noProof/>
            <w:webHidden/>
          </w:rPr>
          <w:instrText xml:space="preserve"> PAGEREF _Toc48662471 \h </w:instrText>
        </w:r>
        <w:r>
          <w:rPr>
            <w:noProof/>
            <w:webHidden/>
          </w:rPr>
        </w:r>
        <w:r>
          <w:rPr>
            <w:noProof/>
            <w:webHidden/>
          </w:rPr>
          <w:fldChar w:fldCharType="separate"/>
        </w:r>
        <w:r>
          <w:rPr>
            <w:noProof/>
            <w:webHidden/>
          </w:rPr>
          <w:t>7</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72" w:history="1">
        <w:r w:rsidRPr="00D2375B">
          <w:rPr>
            <w:rStyle w:val="a9"/>
            <w:rFonts w:ascii="宋体" w:hAnsi="宋体"/>
            <w:noProof/>
          </w:rPr>
          <w:t>2.5</w:t>
        </w:r>
        <w:r w:rsidRPr="00D2375B">
          <w:rPr>
            <w:rStyle w:val="a9"/>
            <w:noProof/>
          </w:rPr>
          <w:t xml:space="preserve">   </w:t>
        </w:r>
        <w:r w:rsidRPr="00D2375B">
          <w:rPr>
            <w:rStyle w:val="a9"/>
            <w:rFonts w:hint="eastAsia"/>
            <w:noProof/>
          </w:rPr>
          <w:t>信息披露方式</w:t>
        </w:r>
        <w:r>
          <w:rPr>
            <w:noProof/>
            <w:webHidden/>
          </w:rPr>
          <w:tab/>
        </w:r>
        <w:r>
          <w:rPr>
            <w:noProof/>
            <w:webHidden/>
          </w:rPr>
          <w:fldChar w:fldCharType="begin"/>
        </w:r>
        <w:r>
          <w:rPr>
            <w:noProof/>
            <w:webHidden/>
          </w:rPr>
          <w:instrText xml:space="preserve"> PAGEREF _Toc48662472 \h </w:instrText>
        </w:r>
        <w:r>
          <w:rPr>
            <w:noProof/>
            <w:webHidden/>
          </w:rPr>
        </w:r>
        <w:r>
          <w:rPr>
            <w:noProof/>
            <w:webHidden/>
          </w:rPr>
          <w:fldChar w:fldCharType="separate"/>
        </w:r>
        <w:r>
          <w:rPr>
            <w:noProof/>
            <w:webHidden/>
          </w:rPr>
          <w:t>7</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73" w:history="1">
        <w:r w:rsidRPr="00D2375B">
          <w:rPr>
            <w:rStyle w:val="a9"/>
            <w:rFonts w:ascii="宋体" w:hAnsi="宋体"/>
            <w:noProof/>
          </w:rPr>
          <w:t>2.6</w:t>
        </w:r>
        <w:r w:rsidRPr="00D2375B">
          <w:rPr>
            <w:rStyle w:val="a9"/>
            <w:noProof/>
          </w:rPr>
          <w:t xml:space="preserve">   </w:t>
        </w:r>
        <w:r w:rsidRPr="00D2375B">
          <w:rPr>
            <w:rStyle w:val="a9"/>
            <w:rFonts w:hint="eastAsia"/>
            <w:noProof/>
          </w:rPr>
          <w:t>其他相关资料</w:t>
        </w:r>
        <w:r>
          <w:rPr>
            <w:noProof/>
            <w:webHidden/>
          </w:rPr>
          <w:tab/>
        </w:r>
        <w:r>
          <w:rPr>
            <w:noProof/>
            <w:webHidden/>
          </w:rPr>
          <w:fldChar w:fldCharType="begin"/>
        </w:r>
        <w:r>
          <w:rPr>
            <w:noProof/>
            <w:webHidden/>
          </w:rPr>
          <w:instrText xml:space="preserve"> PAGEREF _Toc48662473 \h </w:instrText>
        </w:r>
        <w:r>
          <w:rPr>
            <w:noProof/>
            <w:webHidden/>
          </w:rPr>
        </w:r>
        <w:r>
          <w:rPr>
            <w:noProof/>
            <w:webHidden/>
          </w:rPr>
          <w:fldChar w:fldCharType="separate"/>
        </w:r>
        <w:r>
          <w:rPr>
            <w:noProof/>
            <w:webHidden/>
          </w:rPr>
          <w:t>7</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74" w:history="1">
        <w:r w:rsidRPr="00D2375B">
          <w:rPr>
            <w:rStyle w:val="a9"/>
            <w:rFonts w:ascii="宋体" w:hAnsi="宋体"/>
            <w:noProof/>
          </w:rPr>
          <w:t>3</w:t>
        </w:r>
        <w:r w:rsidRPr="00D2375B">
          <w:rPr>
            <w:rStyle w:val="a9"/>
            <w:noProof/>
          </w:rPr>
          <w:t xml:space="preserve">     </w:t>
        </w:r>
        <w:r w:rsidRPr="00D2375B">
          <w:rPr>
            <w:rStyle w:val="a9"/>
            <w:rFonts w:hint="eastAsia"/>
            <w:noProof/>
          </w:rPr>
          <w:t>主要财务指标和基金净值表现</w:t>
        </w:r>
        <w:r>
          <w:rPr>
            <w:noProof/>
            <w:webHidden/>
          </w:rPr>
          <w:tab/>
        </w:r>
        <w:r>
          <w:rPr>
            <w:noProof/>
            <w:webHidden/>
          </w:rPr>
          <w:fldChar w:fldCharType="begin"/>
        </w:r>
        <w:r>
          <w:rPr>
            <w:noProof/>
            <w:webHidden/>
          </w:rPr>
          <w:instrText xml:space="preserve"> PAGEREF _Toc48662474 \h </w:instrText>
        </w:r>
        <w:r>
          <w:rPr>
            <w:noProof/>
            <w:webHidden/>
          </w:rPr>
        </w:r>
        <w:r>
          <w:rPr>
            <w:noProof/>
            <w:webHidden/>
          </w:rPr>
          <w:fldChar w:fldCharType="separate"/>
        </w:r>
        <w:r>
          <w:rPr>
            <w:noProof/>
            <w:webHidden/>
          </w:rPr>
          <w:t>7</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75" w:history="1">
        <w:r w:rsidRPr="00D2375B">
          <w:rPr>
            <w:rStyle w:val="a9"/>
            <w:rFonts w:ascii="宋体" w:hAnsi="宋体"/>
            <w:noProof/>
          </w:rPr>
          <w:t>3.1</w:t>
        </w:r>
        <w:r w:rsidRPr="00D2375B">
          <w:rPr>
            <w:rStyle w:val="a9"/>
            <w:noProof/>
          </w:rPr>
          <w:t xml:space="preserve">   </w:t>
        </w:r>
        <w:r w:rsidRPr="00D2375B">
          <w:rPr>
            <w:rStyle w:val="a9"/>
            <w:rFonts w:hint="eastAsia"/>
            <w:noProof/>
          </w:rPr>
          <w:t>主要会计数据和财务指标</w:t>
        </w:r>
        <w:r>
          <w:rPr>
            <w:noProof/>
            <w:webHidden/>
          </w:rPr>
          <w:tab/>
        </w:r>
        <w:r>
          <w:rPr>
            <w:noProof/>
            <w:webHidden/>
          </w:rPr>
          <w:fldChar w:fldCharType="begin"/>
        </w:r>
        <w:r>
          <w:rPr>
            <w:noProof/>
            <w:webHidden/>
          </w:rPr>
          <w:instrText xml:space="preserve"> PAGEREF _Toc48662475 \h </w:instrText>
        </w:r>
        <w:r>
          <w:rPr>
            <w:noProof/>
            <w:webHidden/>
          </w:rPr>
        </w:r>
        <w:r>
          <w:rPr>
            <w:noProof/>
            <w:webHidden/>
          </w:rPr>
          <w:fldChar w:fldCharType="separate"/>
        </w:r>
        <w:r>
          <w:rPr>
            <w:noProof/>
            <w:webHidden/>
          </w:rPr>
          <w:t>7</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76" w:history="1">
        <w:r w:rsidRPr="00D2375B">
          <w:rPr>
            <w:rStyle w:val="a9"/>
            <w:rFonts w:ascii="宋体" w:hAnsi="宋体"/>
            <w:noProof/>
          </w:rPr>
          <w:t>3.2</w:t>
        </w:r>
        <w:r w:rsidRPr="00D2375B">
          <w:rPr>
            <w:rStyle w:val="a9"/>
            <w:noProof/>
          </w:rPr>
          <w:t xml:space="preserve">   </w:t>
        </w:r>
        <w:r w:rsidRPr="00D2375B">
          <w:rPr>
            <w:rStyle w:val="a9"/>
            <w:rFonts w:hint="eastAsia"/>
            <w:noProof/>
          </w:rPr>
          <w:t>基金净值表现</w:t>
        </w:r>
        <w:r>
          <w:rPr>
            <w:noProof/>
            <w:webHidden/>
          </w:rPr>
          <w:tab/>
        </w:r>
        <w:r>
          <w:rPr>
            <w:noProof/>
            <w:webHidden/>
          </w:rPr>
          <w:fldChar w:fldCharType="begin"/>
        </w:r>
        <w:r>
          <w:rPr>
            <w:noProof/>
            <w:webHidden/>
          </w:rPr>
          <w:instrText xml:space="preserve"> PAGEREF _Toc48662476 \h </w:instrText>
        </w:r>
        <w:r>
          <w:rPr>
            <w:noProof/>
            <w:webHidden/>
          </w:rPr>
        </w:r>
        <w:r>
          <w:rPr>
            <w:noProof/>
            <w:webHidden/>
          </w:rPr>
          <w:fldChar w:fldCharType="separate"/>
        </w:r>
        <w:r>
          <w:rPr>
            <w:noProof/>
            <w:webHidden/>
          </w:rPr>
          <w:t>8</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77" w:history="1">
        <w:r w:rsidRPr="00D2375B">
          <w:rPr>
            <w:rStyle w:val="a9"/>
            <w:rFonts w:ascii="宋体" w:hAnsi="宋体"/>
            <w:noProof/>
          </w:rPr>
          <w:t>4</w:t>
        </w:r>
        <w:r w:rsidRPr="00D2375B">
          <w:rPr>
            <w:rStyle w:val="a9"/>
            <w:noProof/>
          </w:rPr>
          <w:t xml:space="preserve">     </w:t>
        </w:r>
        <w:r w:rsidRPr="00D2375B">
          <w:rPr>
            <w:rStyle w:val="a9"/>
            <w:rFonts w:hint="eastAsia"/>
            <w:noProof/>
          </w:rPr>
          <w:t>管理人报告</w:t>
        </w:r>
        <w:r>
          <w:rPr>
            <w:noProof/>
            <w:webHidden/>
          </w:rPr>
          <w:tab/>
        </w:r>
        <w:r>
          <w:rPr>
            <w:noProof/>
            <w:webHidden/>
          </w:rPr>
          <w:fldChar w:fldCharType="begin"/>
        </w:r>
        <w:r>
          <w:rPr>
            <w:noProof/>
            <w:webHidden/>
          </w:rPr>
          <w:instrText xml:space="preserve"> PAGEREF _Toc48662477 \h </w:instrText>
        </w:r>
        <w:r>
          <w:rPr>
            <w:noProof/>
            <w:webHidden/>
          </w:rPr>
        </w:r>
        <w:r>
          <w:rPr>
            <w:noProof/>
            <w:webHidden/>
          </w:rPr>
          <w:fldChar w:fldCharType="separate"/>
        </w:r>
        <w:r>
          <w:rPr>
            <w:noProof/>
            <w:webHidden/>
          </w:rPr>
          <w:t>10</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78" w:history="1">
        <w:r w:rsidRPr="00D2375B">
          <w:rPr>
            <w:rStyle w:val="a9"/>
            <w:rFonts w:ascii="宋体" w:hAnsi="宋体"/>
            <w:noProof/>
          </w:rPr>
          <w:t>4.1</w:t>
        </w:r>
        <w:r w:rsidRPr="00D2375B">
          <w:rPr>
            <w:rStyle w:val="a9"/>
            <w:noProof/>
          </w:rPr>
          <w:t xml:space="preserve">   </w:t>
        </w:r>
        <w:r w:rsidRPr="00D2375B">
          <w:rPr>
            <w:rStyle w:val="a9"/>
            <w:rFonts w:hint="eastAsia"/>
            <w:noProof/>
          </w:rPr>
          <w:t>基金管理人及基金经理情况</w:t>
        </w:r>
        <w:r>
          <w:rPr>
            <w:noProof/>
            <w:webHidden/>
          </w:rPr>
          <w:tab/>
        </w:r>
        <w:r>
          <w:rPr>
            <w:noProof/>
            <w:webHidden/>
          </w:rPr>
          <w:fldChar w:fldCharType="begin"/>
        </w:r>
        <w:r>
          <w:rPr>
            <w:noProof/>
            <w:webHidden/>
          </w:rPr>
          <w:instrText xml:space="preserve"> PAGEREF _Toc48662478 \h </w:instrText>
        </w:r>
        <w:r>
          <w:rPr>
            <w:noProof/>
            <w:webHidden/>
          </w:rPr>
        </w:r>
        <w:r>
          <w:rPr>
            <w:noProof/>
            <w:webHidden/>
          </w:rPr>
          <w:fldChar w:fldCharType="separate"/>
        </w:r>
        <w:r>
          <w:rPr>
            <w:noProof/>
            <w:webHidden/>
          </w:rPr>
          <w:t>10</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79" w:history="1">
        <w:r w:rsidRPr="00D2375B">
          <w:rPr>
            <w:rStyle w:val="a9"/>
            <w:rFonts w:ascii="宋体" w:hAnsi="宋体"/>
            <w:noProof/>
          </w:rPr>
          <w:t>4.2</w:t>
        </w:r>
        <w:r w:rsidRPr="00D2375B">
          <w:rPr>
            <w:rStyle w:val="a9"/>
            <w:noProof/>
          </w:rPr>
          <w:t xml:space="preserve">   </w:t>
        </w:r>
        <w:r w:rsidRPr="00D2375B">
          <w:rPr>
            <w:rStyle w:val="a9"/>
            <w:rFonts w:hint="eastAsia"/>
            <w:noProof/>
          </w:rPr>
          <w:t>境外投资顾问为本基金提供投资建议的主要成员简介</w:t>
        </w:r>
        <w:r>
          <w:rPr>
            <w:noProof/>
            <w:webHidden/>
          </w:rPr>
          <w:tab/>
        </w:r>
        <w:r>
          <w:rPr>
            <w:noProof/>
            <w:webHidden/>
          </w:rPr>
          <w:fldChar w:fldCharType="begin"/>
        </w:r>
        <w:r>
          <w:rPr>
            <w:noProof/>
            <w:webHidden/>
          </w:rPr>
          <w:instrText xml:space="preserve"> PAGEREF _Toc48662479 \h </w:instrText>
        </w:r>
        <w:r>
          <w:rPr>
            <w:noProof/>
            <w:webHidden/>
          </w:rPr>
        </w:r>
        <w:r>
          <w:rPr>
            <w:noProof/>
            <w:webHidden/>
          </w:rPr>
          <w:fldChar w:fldCharType="separate"/>
        </w:r>
        <w:r>
          <w:rPr>
            <w:noProof/>
            <w:webHidden/>
          </w:rPr>
          <w:t>16</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80" w:history="1">
        <w:r w:rsidRPr="00D2375B">
          <w:rPr>
            <w:rStyle w:val="a9"/>
            <w:rFonts w:ascii="宋体" w:hAnsi="宋体"/>
            <w:noProof/>
          </w:rPr>
          <w:t>4.3</w:t>
        </w:r>
        <w:r w:rsidRPr="00D2375B">
          <w:rPr>
            <w:rStyle w:val="a9"/>
            <w:noProof/>
          </w:rPr>
          <w:t xml:space="preserve">   </w:t>
        </w:r>
        <w:r w:rsidRPr="00D2375B">
          <w:rPr>
            <w:rStyle w:val="a9"/>
            <w:rFonts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_Toc48662480 \h </w:instrText>
        </w:r>
        <w:r>
          <w:rPr>
            <w:noProof/>
            <w:webHidden/>
          </w:rPr>
        </w:r>
        <w:r>
          <w:rPr>
            <w:noProof/>
            <w:webHidden/>
          </w:rPr>
          <w:fldChar w:fldCharType="separate"/>
        </w:r>
        <w:r>
          <w:rPr>
            <w:noProof/>
            <w:webHidden/>
          </w:rPr>
          <w:t>16</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81" w:history="1">
        <w:r w:rsidRPr="00D2375B">
          <w:rPr>
            <w:rStyle w:val="a9"/>
            <w:rFonts w:ascii="宋体" w:hAnsi="宋体"/>
            <w:noProof/>
          </w:rPr>
          <w:t>4.4</w:t>
        </w:r>
        <w:r w:rsidRPr="00D2375B">
          <w:rPr>
            <w:rStyle w:val="a9"/>
            <w:noProof/>
          </w:rPr>
          <w:t xml:space="preserve">   </w:t>
        </w:r>
        <w:r w:rsidRPr="00D2375B">
          <w:rPr>
            <w:rStyle w:val="a9"/>
            <w:rFonts w:hint="eastAsia"/>
            <w:noProof/>
          </w:rPr>
          <w:t>管理人对报告期内公平交易情况的专项说明</w:t>
        </w:r>
        <w:r>
          <w:rPr>
            <w:noProof/>
            <w:webHidden/>
          </w:rPr>
          <w:tab/>
        </w:r>
        <w:r>
          <w:rPr>
            <w:noProof/>
            <w:webHidden/>
          </w:rPr>
          <w:fldChar w:fldCharType="begin"/>
        </w:r>
        <w:r>
          <w:rPr>
            <w:noProof/>
            <w:webHidden/>
          </w:rPr>
          <w:instrText xml:space="preserve"> PAGEREF _Toc48662481 \h </w:instrText>
        </w:r>
        <w:r>
          <w:rPr>
            <w:noProof/>
            <w:webHidden/>
          </w:rPr>
        </w:r>
        <w:r>
          <w:rPr>
            <w:noProof/>
            <w:webHidden/>
          </w:rPr>
          <w:fldChar w:fldCharType="separate"/>
        </w:r>
        <w:r>
          <w:rPr>
            <w:noProof/>
            <w:webHidden/>
          </w:rPr>
          <w:t>17</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82" w:history="1">
        <w:r w:rsidRPr="00D2375B">
          <w:rPr>
            <w:rStyle w:val="a9"/>
            <w:rFonts w:ascii="宋体" w:hAnsi="宋体"/>
            <w:noProof/>
          </w:rPr>
          <w:t>4.5</w:t>
        </w:r>
        <w:r w:rsidRPr="00D2375B">
          <w:rPr>
            <w:rStyle w:val="a9"/>
            <w:noProof/>
          </w:rPr>
          <w:t xml:space="preserve">   </w:t>
        </w:r>
        <w:r w:rsidRPr="00D2375B">
          <w:rPr>
            <w:rStyle w:val="a9"/>
            <w:rFonts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_Toc48662482 \h </w:instrText>
        </w:r>
        <w:r>
          <w:rPr>
            <w:noProof/>
            <w:webHidden/>
          </w:rPr>
        </w:r>
        <w:r>
          <w:rPr>
            <w:noProof/>
            <w:webHidden/>
          </w:rPr>
          <w:fldChar w:fldCharType="separate"/>
        </w:r>
        <w:r>
          <w:rPr>
            <w:noProof/>
            <w:webHidden/>
          </w:rPr>
          <w:t>17</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83" w:history="1">
        <w:r w:rsidRPr="00D2375B">
          <w:rPr>
            <w:rStyle w:val="a9"/>
            <w:rFonts w:ascii="宋体" w:hAnsi="宋体"/>
            <w:noProof/>
          </w:rPr>
          <w:t>4.6</w:t>
        </w:r>
        <w:r w:rsidRPr="00D2375B">
          <w:rPr>
            <w:rStyle w:val="a9"/>
            <w:noProof/>
          </w:rPr>
          <w:t xml:space="preserve">   </w:t>
        </w:r>
        <w:r w:rsidRPr="00D2375B">
          <w:rPr>
            <w:rStyle w:val="a9"/>
            <w:rFonts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_Toc48662483 \h </w:instrText>
        </w:r>
        <w:r>
          <w:rPr>
            <w:noProof/>
            <w:webHidden/>
          </w:rPr>
        </w:r>
        <w:r>
          <w:rPr>
            <w:noProof/>
            <w:webHidden/>
          </w:rPr>
          <w:fldChar w:fldCharType="separate"/>
        </w:r>
        <w:r>
          <w:rPr>
            <w:noProof/>
            <w:webHidden/>
          </w:rPr>
          <w:t>18</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84" w:history="1">
        <w:r w:rsidRPr="00D2375B">
          <w:rPr>
            <w:rStyle w:val="a9"/>
            <w:rFonts w:ascii="宋体" w:hAnsi="宋体"/>
            <w:noProof/>
          </w:rPr>
          <w:t>4.7</w:t>
        </w:r>
        <w:r w:rsidRPr="00D2375B">
          <w:rPr>
            <w:rStyle w:val="a9"/>
            <w:noProof/>
          </w:rPr>
          <w:t xml:space="preserve">   </w:t>
        </w:r>
        <w:r w:rsidRPr="00D2375B">
          <w:rPr>
            <w:rStyle w:val="a9"/>
            <w:rFonts w:hint="eastAsia"/>
            <w:noProof/>
          </w:rPr>
          <w:t>管理人对报告期内基金估值程序等事项的说明</w:t>
        </w:r>
        <w:r>
          <w:rPr>
            <w:noProof/>
            <w:webHidden/>
          </w:rPr>
          <w:tab/>
        </w:r>
        <w:r>
          <w:rPr>
            <w:noProof/>
            <w:webHidden/>
          </w:rPr>
          <w:fldChar w:fldCharType="begin"/>
        </w:r>
        <w:r>
          <w:rPr>
            <w:noProof/>
            <w:webHidden/>
          </w:rPr>
          <w:instrText xml:space="preserve"> PAGEREF _Toc48662484 \h </w:instrText>
        </w:r>
        <w:r>
          <w:rPr>
            <w:noProof/>
            <w:webHidden/>
          </w:rPr>
        </w:r>
        <w:r>
          <w:rPr>
            <w:noProof/>
            <w:webHidden/>
          </w:rPr>
          <w:fldChar w:fldCharType="separate"/>
        </w:r>
        <w:r>
          <w:rPr>
            <w:noProof/>
            <w:webHidden/>
          </w:rPr>
          <w:t>18</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85" w:history="1">
        <w:r w:rsidRPr="00D2375B">
          <w:rPr>
            <w:rStyle w:val="a9"/>
            <w:rFonts w:ascii="宋体" w:hAnsi="宋体"/>
            <w:noProof/>
          </w:rPr>
          <w:t>4.8</w:t>
        </w:r>
        <w:r w:rsidRPr="00D2375B">
          <w:rPr>
            <w:rStyle w:val="a9"/>
            <w:noProof/>
          </w:rPr>
          <w:t xml:space="preserve">   </w:t>
        </w:r>
        <w:r w:rsidRPr="00D2375B">
          <w:rPr>
            <w:rStyle w:val="a9"/>
            <w:rFonts w:hint="eastAsia"/>
            <w:noProof/>
          </w:rPr>
          <w:t>管理人对报告期内基金利润分配情况的说明</w:t>
        </w:r>
        <w:r>
          <w:rPr>
            <w:noProof/>
            <w:webHidden/>
          </w:rPr>
          <w:tab/>
        </w:r>
        <w:r>
          <w:rPr>
            <w:noProof/>
            <w:webHidden/>
          </w:rPr>
          <w:fldChar w:fldCharType="begin"/>
        </w:r>
        <w:r>
          <w:rPr>
            <w:noProof/>
            <w:webHidden/>
          </w:rPr>
          <w:instrText xml:space="preserve"> PAGEREF _Toc48662485 \h </w:instrText>
        </w:r>
        <w:r>
          <w:rPr>
            <w:noProof/>
            <w:webHidden/>
          </w:rPr>
        </w:r>
        <w:r>
          <w:rPr>
            <w:noProof/>
            <w:webHidden/>
          </w:rPr>
          <w:fldChar w:fldCharType="separate"/>
        </w:r>
        <w:r>
          <w:rPr>
            <w:noProof/>
            <w:webHidden/>
          </w:rPr>
          <w:t>19</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86" w:history="1">
        <w:r w:rsidRPr="00D2375B">
          <w:rPr>
            <w:rStyle w:val="a9"/>
            <w:rFonts w:ascii="宋体" w:hAnsi="宋体"/>
            <w:noProof/>
          </w:rPr>
          <w:t>5</w:t>
        </w:r>
        <w:r w:rsidRPr="00D2375B">
          <w:rPr>
            <w:rStyle w:val="a9"/>
            <w:noProof/>
          </w:rPr>
          <w:t xml:space="preserve">     </w:t>
        </w:r>
        <w:r w:rsidRPr="00D2375B">
          <w:rPr>
            <w:rStyle w:val="a9"/>
            <w:rFonts w:hint="eastAsia"/>
            <w:noProof/>
          </w:rPr>
          <w:t>托管人报告</w:t>
        </w:r>
        <w:r>
          <w:rPr>
            <w:noProof/>
            <w:webHidden/>
          </w:rPr>
          <w:tab/>
        </w:r>
        <w:r>
          <w:rPr>
            <w:noProof/>
            <w:webHidden/>
          </w:rPr>
          <w:fldChar w:fldCharType="begin"/>
        </w:r>
        <w:r>
          <w:rPr>
            <w:noProof/>
            <w:webHidden/>
          </w:rPr>
          <w:instrText xml:space="preserve"> PAGEREF _Toc48662486 \h </w:instrText>
        </w:r>
        <w:r>
          <w:rPr>
            <w:noProof/>
            <w:webHidden/>
          </w:rPr>
        </w:r>
        <w:r>
          <w:rPr>
            <w:noProof/>
            <w:webHidden/>
          </w:rPr>
          <w:fldChar w:fldCharType="separate"/>
        </w:r>
        <w:r>
          <w:rPr>
            <w:noProof/>
            <w:webHidden/>
          </w:rPr>
          <w:t>19</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87" w:history="1">
        <w:r w:rsidRPr="00D2375B">
          <w:rPr>
            <w:rStyle w:val="a9"/>
            <w:rFonts w:ascii="宋体" w:hAnsi="宋体"/>
            <w:noProof/>
          </w:rPr>
          <w:t>5.1</w:t>
        </w:r>
        <w:r w:rsidRPr="00D2375B">
          <w:rPr>
            <w:rStyle w:val="a9"/>
            <w:noProof/>
          </w:rPr>
          <w:t xml:space="preserve">   </w:t>
        </w:r>
        <w:r w:rsidRPr="00D2375B">
          <w:rPr>
            <w:rStyle w:val="a9"/>
            <w:rFonts w:hint="eastAsia"/>
            <w:noProof/>
          </w:rPr>
          <w:t>报告期内本基金托管人遵规守信情况声明</w:t>
        </w:r>
        <w:r>
          <w:rPr>
            <w:noProof/>
            <w:webHidden/>
          </w:rPr>
          <w:tab/>
        </w:r>
        <w:r>
          <w:rPr>
            <w:noProof/>
            <w:webHidden/>
          </w:rPr>
          <w:fldChar w:fldCharType="begin"/>
        </w:r>
        <w:r>
          <w:rPr>
            <w:noProof/>
            <w:webHidden/>
          </w:rPr>
          <w:instrText xml:space="preserve"> PAGEREF _Toc48662487 \h </w:instrText>
        </w:r>
        <w:r>
          <w:rPr>
            <w:noProof/>
            <w:webHidden/>
          </w:rPr>
        </w:r>
        <w:r>
          <w:rPr>
            <w:noProof/>
            <w:webHidden/>
          </w:rPr>
          <w:fldChar w:fldCharType="separate"/>
        </w:r>
        <w:r>
          <w:rPr>
            <w:noProof/>
            <w:webHidden/>
          </w:rPr>
          <w:t>19</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88" w:history="1">
        <w:r w:rsidRPr="00D2375B">
          <w:rPr>
            <w:rStyle w:val="a9"/>
            <w:rFonts w:ascii="宋体" w:hAnsi="宋体"/>
            <w:noProof/>
          </w:rPr>
          <w:t>5.2</w:t>
        </w:r>
        <w:r w:rsidRPr="00D2375B">
          <w:rPr>
            <w:rStyle w:val="a9"/>
            <w:noProof/>
          </w:rPr>
          <w:t xml:space="preserve">   </w:t>
        </w:r>
        <w:r w:rsidRPr="00D2375B">
          <w:rPr>
            <w:rStyle w:val="a9"/>
            <w:rFonts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_Toc48662488 \h </w:instrText>
        </w:r>
        <w:r>
          <w:rPr>
            <w:noProof/>
            <w:webHidden/>
          </w:rPr>
        </w:r>
        <w:r>
          <w:rPr>
            <w:noProof/>
            <w:webHidden/>
          </w:rPr>
          <w:fldChar w:fldCharType="separate"/>
        </w:r>
        <w:r>
          <w:rPr>
            <w:noProof/>
            <w:webHidden/>
          </w:rPr>
          <w:t>19</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89" w:history="1">
        <w:r w:rsidRPr="00D2375B">
          <w:rPr>
            <w:rStyle w:val="a9"/>
            <w:rFonts w:ascii="宋体" w:hAnsi="宋体"/>
            <w:noProof/>
          </w:rPr>
          <w:t>5.3</w:t>
        </w:r>
        <w:r w:rsidRPr="00D2375B">
          <w:rPr>
            <w:rStyle w:val="a9"/>
            <w:noProof/>
          </w:rPr>
          <w:t xml:space="preserve">   </w:t>
        </w:r>
        <w:r w:rsidRPr="00D2375B">
          <w:rPr>
            <w:rStyle w:val="a9"/>
            <w:rFonts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_Toc48662489 \h </w:instrText>
        </w:r>
        <w:r>
          <w:rPr>
            <w:noProof/>
            <w:webHidden/>
          </w:rPr>
        </w:r>
        <w:r>
          <w:rPr>
            <w:noProof/>
            <w:webHidden/>
          </w:rPr>
          <w:fldChar w:fldCharType="separate"/>
        </w:r>
        <w:r>
          <w:rPr>
            <w:noProof/>
            <w:webHidden/>
          </w:rPr>
          <w:t>19</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90" w:history="1">
        <w:r w:rsidRPr="00D2375B">
          <w:rPr>
            <w:rStyle w:val="a9"/>
            <w:rFonts w:ascii="宋体" w:hAnsi="宋体"/>
            <w:noProof/>
          </w:rPr>
          <w:t>6</w:t>
        </w:r>
        <w:r w:rsidRPr="00D2375B">
          <w:rPr>
            <w:rStyle w:val="a9"/>
            <w:noProof/>
          </w:rPr>
          <w:t xml:space="preserve">     </w:t>
        </w:r>
        <w:r w:rsidRPr="00D2375B">
          <w:rPr>
            <w:rStyle w:val="a9"/>
            <w:rFonts w:hint="eastAsia"/>
            <w:noProof/>
          </w:rPr>
          <w:t>半年度财务会计报告（未经审计）</w:t>
        </w:r>
        <w:r>
          <w:rPr>
            <w:noProof/>
            <w:webHidden/>
          </w:rPr>
          <w:tab/>
        </w:r>
        <w:r>
          <w:rPr>
            <w:noProof/>
            <w:webHidden/>
          </w:rPr>
          <w:fldChar w:fldCharType="begin"/>
        </w:r>
        <w:r>
          <w:rPr>
            <w:noProof/>
            <w:webHidden/>
          </w:rPr>
          <w:instrText xml:space="preserve"> PAGEREF _Toc48662490 \h </w:instrText>
        </w:r>
        <w:r>
          <w:rPr>
            <w:noProof/>
            <w:webHidden/>
          </w:rPr>
        </w:r>
        <w:r>
          <w:rPr>
            <w:noProof/>
            <w:webHidden/>
          </w:rPr>
          <w:fldChar w:fldCharType="separate"/>
        </w:r>
        <w:r>
          <w:rPr>
            <w:noProof/>
            <w:webHidden/>
          </w:rPr>
          <w:t>20</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91" w:history="1">
        <w:r w:rsidRPr="00D2375B">
          <w:rPr>
            <w:rStyle w:val="a9"/>
            <w:rFonts w:ascii="宋体" w:hAnsi="宋体"/>
            <w:noProof/>
          </w:rPr>
          <w:t>6.1</w:t>
        </w:r>
        <w:r w:rsidRPr="00D2375B">
          <w:rPr>
            <w:rStyle w:val="a9"/>
            <w:noProof/>
          </w:rPr>
          <w:t xml:space="preserve">   </w:t>
        </w:r>
        <w:r w:rsidRPr="00D2375B">
          <w:rPr>
            <w:rStyle w:val="a9"/>
            <w:rFonts w:hint="eastAsia"/>
            <w:noProof/>
          </w:rPr>
          <w:t>资产负债表</w:t>
        </w:r>
        <w:r>
          <w:rPr>
            <w:noProof/>
            <w:webHidden/>
          </w:rPr>
          <w:tab/>
        </w:r>
        <w:r>
          <w:rPr>
            <w:noProof/>
            <w:webHidden/>
          </w:rPr>
          <w:fldChar w:fldCharType="begin"/>
        </w:r>
        <w:r>
          <w:rPr>
            <w:noProof/>
            <w:webHidden/>
          </w:rPr>
          <w:instrText xml:space="preserve"> PAGEREF _Toc48662491 \h </w:instrText>
        </w:r>
        <w:r>
          <w:rPr>
            <w:noProof/>
            <w:webHidden/>
          </w:rPr>
        </w:r>
        <w:r>
          <w:rPr>
            <w:noProof/>
            <w:webHidden/>
          </w:rPr>
          <w:fldChar w:fldCharType="separate"/>
        </w:r>
        <w:r>
          <w:rPr>
            <w:noProof/>
            <w:webHidden/>
          </w:rPr>
          <w:t>20</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92" w:history="1">
        <w:r w:rsidRPr="00D2375B">
          <w:rPr>
            <w:rStyle w:val="a9"/>
            <w:rFonts w:ascii="宋体" w:hAnsi="宋体"/>
            <w:noProof/>
          </w:rPr>
          <w:t>6.2</w:t>
        </w:r>
        <w:r w:rsidRPr="00D2375B">
          <w:rPr>
            <w:rStyle w:val="a9"/>
            <w:noProof/>
          </w:rPr>
          <w:t xml:space="preserve">   </w:t>
        </w:r>
        <w:r w:rsidRPr="00D2375B">
          <w:rPr>
            <w:rStyle w:val="a9"/>
            <w:rFonts w:hint="eastAsia"/>
            <w:noProof/>
          </w:rPr>
          <w:t>利润表</w:t>
        </w:r>
        <w:r>
          <w:rPr>
            <w:noProof/>
            <w:webHidden/>
          </w:rPr>
          <w:tab/>
        </w:r>
        <w:r>
          <w:rPr>
            <w:noProof/>
            <w:webHidden/>
          </w:rPr>
          <w:fldChar w:fldCharType="begin"/>
        </w:r>
        <w:r>
          <w:rPr>
            <w:noProof/>
            <w:webHidden/>
          </w:rPr>
          <w:instrText xml:space="preserve"> PAGEREF _Toc48662492 \h </w:instrText>
        </w:r>
        <w:r>
          <w:rPr>
            <w:noProof/>
            <w:webHidden/>
          </w:rPr>
        </w:r>
        <w:r>
          <w:rPr>
            <w:noProof/>
            <w:webHidden/>
          </w:rPr>
          <w:fldChar w:fldCharType="separate"/>
        </w:r>
        <w:r>
          <w:rPr>
            <w:noProof/>
            <w:webHidden/>
          </w:rPr>
          <w:t>21</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93" w:history="1">
        <w:r w:rsidRPr="00D2375B">
          <w:rPr>
            <w:rStyle w:val="a9"/>
            <w:rFonts w:ascii="宋体" w:hAnsi="宋体"/>
            <w:noProof/>
          </w:rPr>
          <w:t>6.3</w:t>
        </w:r>
        <w:r w:rsidRPr="00D2375B">
          <w:rPr>
            <w:rStyle w:val="a9"/>
            <w:noProof/>
          </w:rPr>
          <w:t xml:space="preserve">   </w:t>
        </w:r>
        <w:r w:rsidRPr="00D2375B">
          <w:rPr>
            <w:rStyle w:val="a9"/>
            <w:rFonts w:hint="eastAsia"/>
            <w:noProof/>
          </w:rPr>
          <w:t>所有者权益（基金净值）变动表</w:t>
        </w:r>
        <w:r>
          <w:rPr>
            <w:noProof/>
            <w:webHidden/>
          </w:rPr>
          <w:tab/>
        </w:r>
        <w:r>
          <w:rPr>
            <w:noProof/>
            <w:webHidden/>
          </w:rPr>
          <w:fldChar w:fldCharType="begin"/>
        </w:r>
        <w:r>
          <w:rPr>
            <w:noProof/>
            <w:webHidden/>
          </w:rPr>
          <w:instrText xml:space="preserve"> PAGEREF _Toc48662493 \h </w:instrText>
        </w:r>
        <w:r>
          <w:rPr>
            <w:noProof/>
            <w:webHidden/>
          </w:rPr>
        </w:r>
        <w:r>
          <w:rPr>
            <w:noProof/>
            <w:webHidden/>
          </w:rPr>
          <w:fldChar w:fldCharType="separate"/>
        </w:r>
        <w:r>
          <w:rPr>
            <w:noProof/>
            <w:webHidden/>
          </w:rPr>
          <w:t>22</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94" w:history="1">
        <w:r w:rsidRPr="00D2375B">
          <w:rPr>
            <w:rStyle w:val="a9"/>
            <w:rFonts w:ascii="宋体" w:hAnsi="宋体"/>
            <w:noProof/>
          </w:rPr>
          <w:t>6.4</w:t>
        </w:r>
        <w:r w:rsidRPr="00D2375B">
          <w:rPr>
            <w:rStyle w:val="a9"/>
            <w:noProof/>
          </w:rPr>
          <w:t xml:space="preserve">   </w:t>
        </w:r>
        <w:r w:rsidRPr="00D2375B">
          <w:rPr>
            <w:rStyle w:val="a9"/>
            <w:rFonts w:hint="eastAsia"/>
            <w:noProof/>
          </w:rPr>
          <w:t>报表附注</w:t>
        </w:r>
        <w:r>
          <w:rPr>
            <w:noProof/>
            <w:webHidden/>
          </w:rPr>
          <w:tab/>
        </w:r>
        <w:r>
          <w:rPr>
            <w:noProof/>
            <w:webHidden/>
          </w:rPr>
          <w:fldChar w:fldCharType="begin"/>
        </w:r>
        <w:r>
          <w:rPr>
            <w:noProof/>
            <w:webHidden/>
          </w:rPr>
          <w:instrText xml:space="preserve"> PAGEREF _Toc48662494 \h </w:instrText>
        </w:r>
        <w:r>
          <w:rPr>
            <w:noProof/>
            <w:webHidden/>
          </w:rPr>
        </w:r>
        <w:r>
          <w:rPr>
            <w:noProof/>
            <w:webHidden/>
          </w:rPr>
          <w:fldChar w:fldCharType="separate"/>
        </w:r>
        <w:r>
          <w:rPr>
            <w:noProof/>
            <w:webHidden/>
          </w:rPr>
          <w:t>23</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95" w:history="1">
        <w:r w:rsidRPr="00D2375B">
          <w:rPr>
            <w:rStyle w:val="a9"/>
            <w:rFonts w:ascii="宋体" w:hAnsi="宋体"/>
            <w:noProof/>
          </w:rPr>
          <w:t>7</w:t>
        </w:r>
        <w:r w:rsidRPr="00D2375B">
          <w:rPr>
            <w:rStyle w:val="a9"/>
            <w:noProof/>
          </w:rPr>
          <w:t xml:space="preserve">     </w:t>
        </w:r>
        <w:r w:rsidRPr="00D2375B">
          <w:rPr>
            <w:rStyle w:val="a9"/>
            <w:rFonts w:hint="eastAsia"/>
            <w:noProof/>
          </w:rPr>
          <w:t>投资组合报告</w:t>
        </w:r>
        <w:r>
          <w:rPr>
            <w:noProof/>
            <w:webHidden/>
          </w:rPr>
          <w:tab/>
        </w:r>
        <w:r>
          <w:rPr>
            <w:noProof/>
            <w:webHidden/>
          </w:rPr>
          <w:fldChar w:fldCharType="begin"/>
        </w:r>
        <w:r>
          <w:rPr>
            <w:noProof/>
            <w:webHidden/>
          </w:rPr>
          <w:instrText xml:space="preserve"> PAGEREF _Toc48662495 \h </w:instrText>
        </w:r>
        <w:r>
          <w:rPr>
            <w:noProof/>
            <w:webHidden/>
          </w:rPr>
        </w:r>
        <w:r>
          <w:rPr>
            <w:noProof/>
            <w:webHidden/>
          </w:rPr>
          <w:fldChar w:fldCharType="separate"/>
        </w:r>
        <w:r>
          <w:rPr>
            <w:noProof/>
            <w:webHidden/>
          </w:rPr>
          <w:t>45</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96" w:history="1">
        <w:r w:rsidRPr="00D2375B">
          <w:rPr>
            <w:rStyle w:val="a9"/>
            <w:rFonts w:ascii="宋体" w:hAnsi="宋体"/>
            <w:noProof/>
          </w:rPr>
          <w:t>7.1</w:t>
        </w:r>
        <w:r w:rsidRPr="00D2375B">
          <w:rPr>
            <w:rStyle w:val="a9"/>
            <w:noProof/>
          </w:rPr>
          <w:t xml:space="preserve">   </w:t>
        </w:r>
        <w:r w:rsidRPr="00D2375B">
          <w:rPr>
            <w:rStyle w:val="a9"/>
            <w:rFonts w:hint="eastAsia"/>
            <w:noProof/>
          </w:rPr>
          <w:t>期末基金资产组合情况</w:t>
        </w:r>
        <w:r>
          <w:rPr>
            <w:noProof/>
            <w:webHidden/>
          </w:rPr>
          <w:tab/>
        </w:r>
        <w:r>
          <w:rPr>
            <w:noProof/>
            <w:webHidden/>
          </w:rPr>
          <w:fldChar w:fldCharType="begin"/>
        </w:r>
        <w:r>
          <w:rPr>
            <w:noProof/>
            <w:webHidden/>
          </w:rPr>
          <w:instrText xml:space="preserve"> PAGEREF _Toc48662496 \h </w:instrText>
        </w:r>
        <w:r>
          <w:rPr>
            <w:noProof/>
            <w:webHidden/>
          </w:rPr>
        </w:r>
        <w:r>
          <w:rPr>
            <w:noProof/>
            <w:webHidden/>
          </w:rPr>
          <w:fldChar w:fldCharType="separate"/>
        </w:r>
        <w:r>
          <w:rPr>
            <w:noProof/>
            <w:webHidden/>
          </w:rPr>
          <w:t>45</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97" w:history="1">
        <w:r w:rsidRPr="00D2375B">
          <w:rPr>
            <w:rStyle w:val="a9"/>
            <w:rFonts w:ascii="宋体" w:hAnsi="宋体"/>
            <w:noProof/>
          </w:rPr>
          <w:t>7.2</w:t>
        </w:r>
        <w:r w:rsidRPr="00D2375B">
          <w:rPr>
            <w:rStyle w:val="a9"/>
            <w:noProof/>
          </w:rPr>
          <w:t xml:space="preserve">   </w:t>
        </w:r>
        <w:r w:rsidRPr="00D2375B">
          <w:rPr>
            <w:rStyle w:val="a9"/>
            <w:rFonts w:hint="eastAsia"/>
            <w:noProof/>
          </w:rPr>
          <w:t>期末投资目标基金明细</w:t>
        </w:r>
        <w:r>
          <w:rPr>
            <w:noProof/>
            <w:webHidden/>
          </w:rPr>
          <w:tab/>
        </w:r>
        <w:r>
          <w:rPr>
            <w:noProof/>
            <w:webHidden/>
          </w:rPr>
          <w:fldChar w:fldCharType="begin"/>
        </w:r>
        <w:r>
          <w:rPr>
            <w:noProof/>
            <w:webHidden/>
          </w:rPr>
          <w:instrText xml:space="preserve"> PAGEREF _Toc48662497 \h </w:instrText>
        </w:r>
        <w:r>
          <w:rPr>
            <w:noProof/>
            <w:webHidden/>
          </w:rPr>
        </w:r>
        <w:r>
          <w:rPr>
            <w:noProof/>
            <w:webHidden/>
          </w:rPr>
          <w:fldChar w:fldCharType="separate"/>
        </w:r>
        <w:r>
          <w:rPr>
            <w:noProof/>
            <w:webHidden/>
          </w:rPr>
          <w:t>46</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98" w:history="1">
        <w:r w:rsidRPr="00D2375B">
          <w:rPr>
            <w:rStyle w:val="a9"/>
            <w:rFonts w:ascii="宋体" w:hAnsi="宋体"/>
            <w:noProof/>
          </w:rPr>
          <w:t>7.3</w:t>
        </w:r>
        <w:r w:rsidRPr="00D2375B">
          <w:rPr>
            <w:rStyle w:val="a9"/>
            <w:noProof/>
          </w:rPr>
          <w:t xml:space="preserve">   </w:t>
        </w:r>
        <w:r w:rsidRPr="00D2375B">
          <w:rPr>
            <w:rStyle w:val="a9"/>
            <w:rFonts w:hint="eastAsia"/>
            <w:noProof/>
          </w:rPr>
          <w:t>期末在各个国家（地区）证券市场的权益投资分布</w:t>
        </w:r>
        <w:r>
          <w:rPr>
            <w:noProof/>
            <w:webHidden/>
          </w:rPr>
          <w:tab/>
        </w:r>
        <w:r>
          <w:rPr>
            <w:noProof/>
            <w:webHidden/>
          </w:rPr>
          <w:fldChar w:fldCharType="begin"/>
        </w:r>
        <w:r>
          <w:rPr>
            <w:noProof/>
            <w:webHidden/>
          </w:rPr>
          <w:instrText xml:space="preserve"> PAGEREF _Toc48662498 \h </w:instrText>
        </w:r>
        <w:r>
          <w:rPr>
            <w:noProof/>
            <w:webHidden/>
          </w:rPr>
        </w:r>
        <w:r>
          <w:rPr>
            <w:noProof/>
            <w:webHidden/>
          </w:rPr>
          <w:fldChar w:fldCharType="separate"/>
        </w:r>
        <w:r>
          <w:rPr>
            <w:noProof/>
            <w:webHidden/>
          </w:rPr>
          <w:t>46</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499" w:history="1">
        <w:r w:rsidRPr="00D2375B">
          <w:rPr>
            <w:rStyle w:val="a9"/>
            <w:rFonts w:ascii="宋体" w:hAnsi="宋体"/>
            <w:noProof/>
          </w:rPr>
          <w:t>7.4</w:t>
        </w:r>
        <w:r w:rsidRPr="00D2375B">
          <w:rPr>
            <w:rStyle w:val="a9"/>
            <w:noProof/>
          </w:rPr>
          <w:t xml:space="preserve">   </w:t>
        </w:r>
        <w:r w:rsidRPr="00D2375B">
          <w:rPr>
            <w:rStyle w:val="a9"/>
            <w:rFonts w:hint="eastAsia"/>
            <w:noProof/>
          </w:rPr>
          <w:t>期末按行业分类的权益投资组合</w:t>
        </w:r>
        <w:r>
          <w:rPr>
            <w:noProof/>
            <w:webHidden/>
          </w:rPr>
          <w:tab/>
        </w:r>
        <w:r>
          <w:rPr>
            <w:noProof/>
            <w:webHidden/>
          </w:rPr>
          <w:fldChar w:fldCharType="begin"/>
        </w:r>
        <w:r>
          <w:rPr>
            <w:noProof/>
            <w:webHidden/>
          </w:rPr>
          <w:instrText xml:space="preserve"> PAGEREF _Toc48662499 \h </w:instrText>
        </w:r>
        <w:r>
          <w:rPr>
            <w:noProof/>
            <w:webHidden/>
          </w:rPr>
        </w:r>
        <w:r>
          <w:rPr>
            <w:noProof/>
            <w:webHidden/>
          </w:rPr>
          <w:fldChar w:fldCharType="separate"/>
        </w:r>
        <w:r>
          <w:rPr>
            <w:noProof/>
            <w:webHidden/>
          </w:rPr>
          <w:t>46</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00" w:history="1">
        <w:r w:rsidRPr="00D2375B">
          <w:rPr>
            <w:rStyle w:val="a9"/>
            <w:rFonts w:ascii="宋体" w:hAnsi="宋体"/>
            <w:noProof/>
          </w:rPr>
          <w:t>7.5</w:t>
        </w:r>
        <w:r w:rsidRPr="00D2375B">
          <w:rPr>
            <w:rStyle w:val="a9"/>
            <w:noProof/>
          </w:rPr>
          <w:t xml:space="preserve">   </w:t>
        </w:r>
        <w:r w:rsidRPr="00D2375B">
          <w:rPr>
            <w:rStyle w:val="a9"/>
            <w:rFonts w:hint="eastAsia"/>
            <w:noProof/>
          </w:rPr>
          <w:t>期末按公允价值占基金资产净值比例大小排序的所有权益投资明细</w:t>
        </w:r>
        <w:r>
          <w:rPr>
            <w:noProof/>
            <w:webHidden/>
          </w:rPr>
          <w:tab/>
        </w:r>
        <w:r>
          <w:rPr>
            <w:noProof/>
            <w:webHidden/>
          </w:rPr>
          <w:fldChar w:fldCharType="begin"/>
        </w:r>
        <w:r>
          <w:rPr>
            <w:noProof/>
            <w:webHidden/>
          </w:rPr>
          <w:instrText xml:space="preserve"> PAGEREF _Toc48662500 \h </w:instrText>
        </w:r>
        <w:r>
          <w:rPr>
            <w:noProof/>
            <w:webHidden/>
          </w:rPr>
        </w:r>
        <w:r>
          <w:rPr>
            <w:noProof/>
            <w:webHidden/>
          </w:rPr>
          <w:fldChar w:fldCharType="separate"/>
        </w:r>
        <w:r>
          <w:rPr>
            <w:noProof/>
            <w:webHidden/>
          </w:rPr>
          <w:t>46</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01" w:history="1">
        <w:r w:rsidRPr="00D2375B">
          <w:rPr>
            <w:rStyle w:val="a9"/>
            <w:rFonts w:ascii="宋体" w:hAnsi="宋体"/>
            <w:noProof/>
          </w:rPr>
          <w:t>7.6</w:t>
        </w:r>
        <w:r w:rsidRPr="00D2375B">
          <w:rPr>
            <w:rStyle w:val="a9"/>
            <w:noProof/>
          </w:rPr>
          <w:t xml:space="preserve">   </w:t>
        </w:r>
        <w:r w:rsidRPr="00D2375B">
          <w:rPr>
            <w:rStyle w:val="a9"/>
            <w:rFonts w:hint="eastAsia"/>
            <w:noProof/>
          </w:rPr>
          <w:t>报告期内权益投资组合的重大变动</w:t>
        </w:r>
        <w:r>
          <w:rPr>
            <w:noProof/>
            <w:webHidden/>
          </w:rPr>
          <w:tab/>
        </w:r>
        <w:r>
          <w:rPr>
            <w:noProof/>
            <w:webHidden/>
          </w:rPr>
          <w:fldChar w:fldCharType="begin"/>
        </w:r>
        <w:r>
          <w:rPr>
            <w:noProof/>
            <w:webHidden/>
          </w:rPr>
          <w:instrText xml:space="preserve"> PAGEREF _Toc48662501 \h </w:instrText>
        </w:r>
        <w:r>
          <w:rPr>
            <w:noProof/>
            <w:webHidden/>
          </w:rPr>
        </w:r>
        <w:r>
          <w:rPr>
            <w:noProof/>
            <w:webHidden/>
          </w:rPr>
          <w:fldChar w:fldCharType="separate"/>
        </w:r>
        <w:r>
          <w:rPr>
            <w:noProof/>
            <w:webHidden/>
          </w:rPr>
          <w:t>46</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02" w:history="1">
        <w:r w:rsidRPr="00D2375B">
          <w:rPr>
            <w:rStyle w:val="a9"/>
            <w:rFonts w:ascii="宋体" w:hAnsi="宋体"/>
            <w:noProof/>
          </w:rPr>
          <w:t>7.7</w:t>
        </w:r>
        <w:r w:rsidRPr="00D2375B">
          <w:rPr>
            <w:rStyle w:val="a9"/>
            <w:noProof/>
          </w:rPr>
          <w:t xml:space="preserve">   </w:t>
        </w:r>
        <w:r w:rsidRPr="00D2375B">
          <w:rPr>
            <w:rStyle w:val="a9"/>
            <w:rFonts w:hint="eastAsia"/>
            <w:noProof/>
          </w:rPr>
          <w:t>期末按债券信用等级分类的债券投资组合</w:t>
        </w:r>
        <w:r>
          <w:rPr>
            <w:noProof/>
            <w:webHidden/>
          </w:rPr>
          <w:tab/>
        </w:r>
        <w:r>
          <w:rPr>
            <w:noProof/>
            <w:webHidden/>
          </w:rPr>
          <w:fldChar w:fldCharType="begin"/>
        </w:r>
        <w:r>
          <w:rPr>
            <w:noProof/>
            <w:webHidden/>
          </w:rPr>
          <w:instrText xml:space="preserve"> PAGEREF _Toc48662502 \h </w:instrText>
        </w:r>
        <w:r>
          <w:rPr>
            <w:noProof/>
            <w:webHidden/>
          </w:rPr>
        </w:r>
        <w:r>
          <w:rPr>
            <w:noProof/>
            <w:webHidden/>
          </w:rPr>
          <w:fldChar w:fldCharType="separate"/>
        </w:r>
        <w:r>
          <w:rPr>
            <w:noProof/>
            <w:webHidden/>
          </w:rPr>
          <w:t>47</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03" w:history="1">
        <w:r w:rsidRPr="00D2375B">
          <w:rPr>
            <w:rStyle w:val="a9"/>
            <w:rFonts w:ascii="宋体" w:hAnsi="宋体"/>
            <w:noProof/>
          </w:rPr>
          <w:t>7.8</w:t>
        </w:r>
        <w:r w:rsidRPr="00D2375B">
          <w:rPr>
            <w:rStyle w:val="a9"/>
            <w:noProof/>
          </w:rPr>
          <w:t xml:space="preserve">   </w:t>
        </w:r>
        <w:r w:rsidRPr="00D2375B">
          <w:rPr>
            <w:rStyle w:val="a9"/>
            <w:rFonts w:hint="eastAsia"/>
            <w:noProof/>
          </w:rPr>
          <w:t>期末按公允价值占基金资产净值比例大小排名的前五名债券投资明细</w:t>
        </w:r>
        <w:r>
          <w:rPr>
            <w:noProof/>
            <w:webHidden/>
          </w:rPr>
          <w:tab/>
        </w:r>
        <w:r>
          <w:rPr>
            <w:noProof/>
            <w:webHidden/>
          </w:rPr>
          <w:fldChar w:fldCharType="begin"/>
        </w:r>
        <w:r>
          <w:rPr>
            <w:noProof/>
            <w:webHidden/>
          </w:rPr>
          <w:instrText xml:space="preserve"> PAGEREF _Toc48662503 \h </w:instrText>
        </w:r>
        <w:r>
          <w:rPr>
            <w:noProof/>
            <w:webHidden/>
          </w:rPr>
        </w:r>
        <w:r>
          <w:rPr>
            <w:noProof/>
            <w:webHidden/>
          </w:rPr>
          <w:fldChar w:fldCharType="separate"/>
        </w:r>
        <w:r>
          <w:rPr>
            <w:noProof/>
            <w:webHidden/>
          </w:rPr>
          <w:t>47</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04" w:history="1">
        <w:r w:rsidRPr="00D2375B">
          <w:rPr>
            <w:rStyle w:val="a9"/>
            <w:rFonts w:ascii="宋体" w:hAnsi="宋体"/>
            <w:noProof/>
          </w:rPr>
          <w:t>7.9</w:t>
        </w:r>
        <w:r w:rsidRPr="00D2375B">
          <w:rPr>
            <w:rStyle w:val="a9"/>
            <w:noProof/>
          </w:rPr>
          <w:t xml:space="preserve">   </w:t>
        </w:r>
        <w:r w:rsidRPr="00D2375B">
          <w:rPr>
            <w:rStyle w:val="a9"/>
            <w:rFonts w:hint="eastAsia"/>
            <w:noProof/>
          </w:rPr>
          <w:t>期末按公允价值占基金资产净值比例大小排名的所有资产支持证券投资明细</w:t>
        </w:r>
        <w:r>
          <w:rPr>
            <w:noProof/>
            <w:webHidden/>
          </w:rPr>
          <w:tab/>
        </w:r>
        <w:r>
          <w:rPr>
            <w:noProof/>
            <w:webHidden/>
          </w:rPr>
          <w:fldChar w:fldCharType="begin"/>
        </w:r>
        <w:r>
          <w:rPr>
            <w:noProof/>
            <w:webHidden/>
          </w:rPr>
          <w:instrText xml:space="preserve"> PAGEREF _Toc48662504 \h </w:instrText>
        </w:r>
        <w:r>
          <w:rPr>
            <w:noProof/>
            <w:webHidden/>
          </w:rPr>
        </w:r>
        <w:r>
          <w:rPr>
            <w:noProof/>
            <w:webHidden/>
          </w:rPr>
          <w:fldChar w:fldCharType="separate"/>
        </w:r>
        <w:r>
          <w:rPr>
            <w:noProof/>
            <w:webHidden/>
          </w:rPr>
          <w:t>47</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05" w:history="1">
        <w:r w:rsidRPr="00D2375B">
          <w:rPr>
            <w:rStyle w:val="a9"/>
            <w:rFonts w:ascii="宋体" w:hAnsi="宋体"/>
            <w:noProof/>
          </w:rPr>
          <w:t>7.10</w:t>
        </w:r>
        <w:r w:rsidRPr="00D2375B">
          <w:rPr>
            <w:rStyle w:val="a9"/>
            <w:noProof/>
          </w:rPr>
          <w:t xml:space="preserve">   </w:t>
        </w:r>
        <w:r w:rsidRPr="00D2375B">
          <w:rPr>
            <w:rStyle w:val="a9"/>
            <w:rFonts w:hint="eastAsia"/>
            <w:noProof/>
          </w:rPr>
          <w:t>期末按公允价值占基金资产净值比例大小排名的前五名金融衍生品投资明细</w:t>
        </w:r>
        <w:r>
          <w:rPr>
            <w:noProof/>
            <w:webHidden/>
          </w:rPr>
          <w:tab/>
        </w:r>
        <w:r>
          <w:rPr>
            <w:noProof/>
            <w:webHidden/>
          </w:rPr>
          <w:fldChar w:fldCharType="begin"/>
        </w:r>
        <w:r>
          <w:rPr>
            <w:noProof/>
            <w:webHidden/>
          </w:rPr>
          <w:instrText xml:space="preserve"> PAGEREF _Toc48662505 \h </w:instrText>
        </w:r>
        <w:r>
          <w:rPr>
            <w:noProof/>
            <w:webHidden/>
          </w:rPr>
        </w:r>
        <w:r>
          <w:rPr>
            <w:noProof/>
            <w:webHidden/>
          </w:rPr>
          <w:fldChar w:fldCharType="separate"/>
        </w:r>
        <w:r>
          <w:rPr>
            <w:noProof/>
            <w:webHidden/>
          </w:rPr>
          <w:t>47</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06" w:history="1">
        <w:r w:rsidRPr="00D2375B">
          <w:rPr>
            <w:rStyle w:val="a9"/>
            <w:rFonts w:ascii="宋体" w:hAnsi="宋体"/>
            <w:noProof/>
          </w:rPr>
          <w:t>7.11</w:t>
        </w:r>
        <w:r w:rsidRPr="00D2375B">
          <w:rPr>
            <w:rStyle w:val="a9"/>
            <w:noProof/>
          </w:rPr>
          <w:t xml:space="preserve">   </w:t>
        </w:r>
        <w:r w:rsidRPr="00D2375B">
          <w:rPr>
            <w:rStyle w:val="a9"/>
            <w:rFonts w:hint="eastAsia"/>
            <w:noProof/>
          </w:rPr>
          <w:t>期末按公允价值占基金资产净值比例大小排序的前十名基金投资明细</w:t>
        </w:r>
        <w:r>
          <w:rPr>
            <w:noProof/>
            <w:webHidden/>
          </w:rPr>
          <w:tab/>
        </w:r>
        <w:r>
          <w:rPr>
            <w:noProof/>
            <w:webHidden/>
          </w:rPr>
          <w:fldChar w:fldCharType="begin"/>
        </w:r>
        <w:r>
          <w:rPr>
            <w:noProof/>
            <w:webHidden/>
          </w:rPr>
          <w:instrText xml:space="preserve"> PAGEREF _Toc48662506 \h </w:instrText>
        </w:r>
        <w:r>
          <w:rPr>
            <w:noProof/>
            <w:webHidden/>
          </w:rPr>
        </w:r>
        <w:r>
          <w:rPr>
            <w:noProof/>
            <w:webHidden/>
          </w:rPr>
          <w:fldChar w:fldCharType="separate"/>
        </w:r>
        <w:r>
          <w:rPr>
            <w:noProof/>
            <w:webHidden/>
          </w:rPr>
          <w:t>47</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07" w:history="1">
        <w:r w:rsidRPr="00D2375B">
          <w:rPr>
            <w:rStyle w:val="a9"/>
            <w:rFonts w:ascii="宋体" w:hAnsi="宋体"/>
            <w:noProof/>
          </w:rPr>
          <w:t>7.12</w:t>
        </w:r>
        <w:r w:rsidRPr="00D2375B">
          <w:rPr>
            <w:rStyle w:val="a9"/>
            <w:noProof/>
          </w:rPr>
          <w:t xml:space="preserve">   </w:t>
        </w:r>
        <w:r w:rsidRPr="00D2375B">
          <w:rPr>
            <w:rStyle w:val="a9"/>
            <w:rFonts w:hint="eastAsia"/>
            <w:noProof/>
          </w:rPr>
          <w:t>投资组合报告附注</w:t>
        </w:r>
        <w:r>
          <w:rPr>
            <w:noProof/>
            <w:webHidden/>
          </w:rPr>
          <w:tab/>
        </w:r>
        <w:r>
          <w:rPr>
            <w:noProof/>
            <w:webHidden/>
          </w:rPr>
          <w:fldChar w:fldCharType="begin"/>
        </w:r>
        <w:r>
          <w:rPr>
            <w:noProof/>
            <w:webHidden/>
          </w:rPr>
          <w:instrText xml:space="preserve"> PAGEREF _Toc48662507 \h </w:instrText>
        </w:r>
        <w:r>
          <w:rPr>
            <w:noProof/>
            <w:webHidden/>
          </w:rPr>
        </w:r>
        <w:r>
          <w:rPr>
            <w:noProof/>
            <w:webHidden/>
          </w:rPr>
          <w:fldChar w:fldCharType="separate"/>
        </w:r>
        <w:r>
          <w:rPr>
            <w:noProof/>
            <w:webHidden/>
          </w:rPr>
          <w:t>47</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08" w:history="1">
        <w:r w:rsidRPr="00D2375B">
          <w:rPr>
            <w:rStyle w:val="a9"/>
            <w:rFonts w:ascii="宋体" w:hAnsi="宋体"/>
            <w:noProof/>
          </w:rPr>
          <w:t>8</w:t>
        </w:r>
        <w:r w:rsidRPr="00D2375B">
          <w:rPr>
            <w:rStyle w:val="a9"/>
            <w:noProof/>
          </w:rPr>
          <w:t xml:space="preserve">     </w:t>
        </w:r>
        <w:r w:rsidRPr="00D2375B">
          <w:rPr>
            <w:rStyle w:val="a9"/>
            <w:rFonts w:hint="eastAsia"/>
            <w:noProof/>
          </w:rPr>
          <w:t>基金份额持有人信息</w:t>
        </w:r>
        <w:r>
          <w:rPr>
            <w:noProof/>
            <w:webHidden/>
          </w:rPr>
          <w:tab/>
        </w:r>
        <w:r>
          <w:rPr>
            <w:noProof/>
            <w:webHidden/>
          </w:rPr>
          <w:fldChar w:fldCharType="begin"/>
        </w:r>
        <w:r>
          <w:rPr>
            <w:noProof/>
            <w:webHidden/>
          </w:rPr>
          <w:instrText xml:space="preserve"> PAGEREF _Toc48662508 \h </w:instrText>
        </w:r>
        <w:r>
          <w:rPr>
            <w:noProof/>
            <w:webHidden/>
          </w:rPr>
        </w:r>
        <w:r>
          <w:rPr>
            <w:noProof/>
            <w:webHidden/>
          </w:rPr>
          <w:fldChar w:fldCharType="separate"/>
        </w:r>
        <w:r>
          <w:rPr>
            <w:noProof/>
            <w:webHidden/>
          </w:rPr>
          <w:t>49</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09" w:history="1">
        <w:r w:rsidRPr="00D2375B">
          <w:rPr>
            <w:rStyle w:val="a9"/>
            <w:rFonts w:ascii="宋体" w:hAnsi="宋体"/>
            <w:noProof/>
          </w:rPr>
          <w:t>8.1</w:t>
        </w:r>
        <w:r w:rsidRPr="00D2375B">
          <w:rPr>
            <w:rStyle w:val="a9"/>
            <w:noProof/>
          </w:rPr>
          <w:t xml:space="preserve">   </w:t>
        </w:r>
        <w:r w:rsidRPr="00D2375B">
          <w:rPr>
            <w:rStyle w:val="a9"/>
            <w:rFonts w:hint="eastAsia"/>
            <w:noProof/>
          </w:rPr>
          <w:t>期末基金份额持有人户数及持有人结构</w:t>
        </w:r>
        <w:r>
          <w:rPr>
            <w:noProof/>
            <w:webHidden/>
          </w:rPr>
          <w:tab/>
        </w:r>
        <w:r>
          <w:rPr>
            <w:noProof/>
            <w:webHidden/>
          </w:rPr>
          <w:fldChar w:fldCharType="begin"/>
        </w:r>
        <w:r>
          <w:rPr>
            <w:noProof/>
            <w:webHidden/>
          </w:rPr>
          <w:instrText xml:space="preserve"> PAGEREF _Toc48662509 \h </w:instrText>
        </w:r>
        <w:r>
          <w:rPr>
            <w:noProof/>
            <w:webHidden/>
          </w:rPr>
        </w:r>
        <w:r>
          <w:rPr>
            <w:noProof/>
            <w:webHidden/>
          </w:rPr>
          <w:fldChar w:fldCharType="separate"/>
        </w:r>
        <w:r>
          <w:rPr>
            <w:noProof/>
            <w:webHidden/>
          </w:rPr>
          <w:t>49</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10" w:history="1">
        <w:r w:rsidRPr="00D2375B">
          <w:rPr>
            <w:rStyle w:val="a9"/>
            <w:rFonts w:ascii="宋体" w:hAnsi="宋体"/>
            <w:noProof/>
          </w:rPr>
          <w:t>8.2</w:t>
        </w:r>
        <w:r w:rsidRPr="00D2375B">
          <w:rPr>
            <w:rStyle w:val="a9"/>
            <w:noProof/>
          </w:rPr>
          <w:t xml:space="preserve">   </w:t>
        </w:r>
        <w:r w:rsidRPr="00D2375B">
          <w:rPr>
            <w:rStyle w:val="a9"/>
            <w:rFonts w:hint="eastAsia"/>
            <w:noProof/>
          </w:rPr>
          <w:t>期末基金管理人的从业人员持有本基金的情况</w:t>
        </w:r>
        <w:r>
          <w:rPr>
            <w:noProof/>
            <w:webHidden/>
          </w:rPr>
          <w:tab/>
        </w:r>
        <w:r>
          <w:rPr>
            <w:noProof/>
            <w:webHidden/>
          </w:rPr>
          <w:fldChar w:fldCharType="begin"/>
        </w:r>
        <w:r>
          <w:rPr>
            <w:noProof/>
            <w:webHidden/>
          </w:rPr>
          <w:instrText xml:space="preserve"> PAGEREF _Toc48662510 \h </w:instrText>
        </w:r>
        <w:r>
          <w:rPr>
            <w:noProof/>
            <w:webHidden/>
          </w:rPr>
        </w:r>
        <w:r>
          <w:rPr>
            <w:noProof/>
            <w:webHidden/>
          </w:rPr>
          <w:fldChar w:fldCharType="separate"/>
        </w:r>
        <w:r>
          <w:rPr>
            <w:noProof/>
            <w:webHidden/>
          </w:rPr>
          <w:t>49</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11" w:history="1">
        <w:r w:rsidRPr="00D2375B">
          <w:rPr>
            <w:rStyle w:val="a9"/>
            <w:rFonts w:ascii="宋体" w:hAnsi="宋体"/>
            <w:noProof/>
          </w:rPr>
          <w:t>8.3</w:t>
        </w:r>
        <w:r w:rsidRPr="00D2375B">
          <w:rPr>
            <w:rStyle w:val="a9"/>
            <w:noProof/>
          </w:rPr>
          <w:t xml:space="preserve">   </w:t>
        </w:r>
        <w:r w:rsidRPr="00D2375B">
          <w:rPr>
            <w:rStyle w:val="a9"/>
            <w:rFonts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_Toc48662511 \h </w:instrText>
        </w:r>
        <w:r>
          <w:rPr>
            <w:noProof/>
            <w:webHidden/>
          </w:rPr>
        </w:r>
        <w:r>
          <w:rPr>
            <w:noProof/>
            <w:webHidden/>
          </w:rPr>
          <w:fldChar w:fldCharType="separate"/>
        </w:r>
        <w:r>
          <w:rPr>
            <w:noProof/>
            <w:webHidden/>
          </w:rPr>
          <w:t>50</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12" w:history="1">
        <w:r w:rsidRPr="00D2375B">
          <w:rPr>
            <w:rStyle w:val="a9"/>
            <w:noProof/>
          </w:rPr>
          <w:t xml:space="preserve">9     </w:t>
        </w:r>
        <w:r w:rsidRPr="00D2375B">
          <w:rPr>
            <w:rStyle w:val="a9"/>
            <w:rFonts w:hint="eastAsia"/>
            <w:noProof/>
          </w:rPr>
          <w:t>开放式基金份额变动</w:t>
        </w:r>
        <w:r>
          <w:rPr>
            <w:noProof/>
            <w:webHidden/>
          </w:rPr>
          <w:tab/>
        </w:r>
        <w:r>
          <w:rPr>
            <w:noProof/>
            <w:webHidden/>
          </w:rPr>
          <w:fldChar w:fldCharType="begin"/>
        </w:r>
        <w:r>
          <w:rPr>
            <w:noProof/>
            <w:webHidden/>
          </w:rPr>
          <w:instrText xml:space="preserve"> PAGEREF _Toc48662512 \h </w:instrText>
        </w:r>
        <w:r>
          <w:rPr>
            <w:noProof/>
            <w:webHidden/>
          </w:rPr>
        </w:r>
        <w:r>
          <w:rPr>
            <w:noProof/>
            <w:webHidden/>
          </w:rPr>
          <w:fldChar w:fldCharType="separate"/>
        </w:r>
        <w:r>
          <w:rPr>
            <w:noProof/>
            <w:webHidden/>
          </w:rPr>
          <w:t>50</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13" w:history="1">
        <w:r w:rsidRPr="00D2375B">
          <w:rPr>
            <w:rStyle w:val="a9"/>
            <w:rFonts w:ascii="宋体" w:hAnsi="宋体"/>
            <w:noProof/>
          </w:rPr>
          <w:t>10</w:t>
        </w:r>
        <w:r w:rsidRPr="00D2375B">
          <w:rPr>
            <w:rStyle w:val="a9"/>
            <w:noProof/>
          </w:rPr>
          <w:t xml:space="preserve">     </w:t>
        </w:r>
        <w:r w:rsidRPr="00D2375B">
          <w:rPr>
            <w:rStyle w:val="a9"/>
            <w:rFonts w:hint="eastAsia"/>
            <w:noProof/>
          </w:rPr>
          <w:t>重大事件揭示</w:t>
        </w:r>
        <w:r>
          <w:rPr>
            <w:noProof/>
            <w:webHidden/>
          </w:rPr>
          <w:tab/>
        </w:r>
        <w:r>
          <w:rPr>
            <w:noProof/>
            <w:webHidden/>
          </w:rPr>
          <w:fldChar w:fldCharType="begin"/>
        </w:r>
        <w:r>
          <w:rPr>
            <w:noProof/>
            <w:webHidden/>
          </w:rPr>
          <w:instrText xml:space="preserve"> PAGEREF _Toc48662513 \h </w:instrText>
        </w:r>
        <w:r>
          <w:rPr>
            <w:noProof/>
            <w:webHidden/>
          </w:rPr>
        </w:r>
        <w:r>
          <w:rPr>
            <w:noProof/>
            <w:webHidden/>
          </w:rPr>
          <w:fldChar w:fldCharType="separate"/>
        </w:r>
        <w:r>
          <w:rPr>
            <w:noProof/>
            <w:webHidden/>
          </w:rPr>
          <w:t>50</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14" w:history="1">
        <w:r w:rsidRPr="00D2375B">
          <w:rPr>
            <w:rStyle w:val="a9"/>
            <w:rFonts w:ascii="宋体" w:hAnsi="宋体"/>
            <w:noProof/>
          </w:rPr>
          <w:t>10.1</w:t>
        </w:r>
        <w:r w:rsidRPr="00D2375B">
          <w:rPr>
            <w:rStyle w:val="a9"/>
            <w:noProof/>
          </w:rPr>
          <w:t xml:space="preserve">   </w:t>
        </w:r>
        <w:r w:rsidRPr="00D2375B">
          <w:rPr>
            <w:rStyle w:val="a9"/>
            <w:rFonts w:hint="eastAsia"/>
            <w:noProof/>
          </w:rPr>
          <w:t>基金份额持有人大会决议</w:t>
        </w:r>
        <w:r>
          <w:rPr>
            <w:noProof/>
            <w:webHidden/>
          </w:rPr>
          <w:tab/>
        </w:r>
        <w:r>
          <w:rPr>
            <w:noProof/>
            <w:webHidden/>
          </w:rPr>
          <w:fldChar w:fldCharType="begin"/>
        </w:r>
        <w:r>
          <w:rPr>
            <w:noProof/>
            <w:webHidden/>
          </w:rPr>
          <w:instrText xml:space="preserve"> PAGEREF _Toc48662514 \h </w:instrText>
        </w:r>
        <w:r>
          <w:rPr>
            <w:noProof/>
            <w:webHidden/>
          </w:rPr>
        </w:r>
        <w:r>
          <w:rPr>
            <w:noProof/>
            <w:webHidden/>
          </w:rPr>
          <w:fldChar w:fldCharType="separate"/>
        </w:r>
        <w:r>
          <w:rPr>
            <w:noProof/>
            <w:webHidden/>
          </w:rPr>
          <w:t>50</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15" w:history="1">
        <w:r w:rsidRPr="00D2375B">
          <w:rPr>
            <w:rStyle w:val="a9"/>
            <w:rFonts w:ascii="宋体" w:hAnsi="宋体"/>
            <w:noProof/>
          </w:rPr>
          <w:t>10.2</w:t>
        </w:r>
        <w:r w:rsidRPr="00D2375B">
          <w:rPr>
            <w:rStyle w:val="a9"/>
            <w:noProof/>
          </w:rPr>
          <w:t xml:space="preserve">   </w:t>
        </w:r>
        <w:r w:rsidRPr="00D2375B">
          <w:rPr>
            <w:rStyle w:val="a9"/>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_Toc48662515 \h </w:instrText>
        </w:r>
        <w:r>
          <w:rPr>
            <w:noProof/>
            <w:webHidden/>
          </w:rPr>
        </w:r>
        <w:r>
          <w:rPr>
            <w:noProof/>
            <w:webHidden/>
          </w:rPr>
          <w:fldChar w:fldCharType="separate"/>
        </w:r>
        <w:r>
          <w:rPr>
            <w:noProof/>
            <w:webHidden/>
          </w:rPr>
          <w:t>51</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16" w:history="1">
        <w:r w:rsidRPr="00D2375B">
          <w:rPr>
            <w:rStyle w:val="a9"/>
            <w:rFonts w:ascii="宋体" w:hAnsi="宋体"/>
            <w:noProof/>
          </w:rPr>
          <w:t>10.3</w:t>
        </w:r>
        <w:r w:rsidRPr="00D2375B">
          <w:rPr>
            <w:rStyle w:val="a9"/>
            <w:noProof/>
          </w:rPr>
          <w:t xml:space="preserve">   </w:t>
        </w:r>
        <w:r w:rsidRPr="00D2375B">
          <w:rPr>
            <w:rStyle w:val="a9"/>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_Toc48662516 \h </w:instrText>
        </w:r>
        <w:r>
          <w:rPr>
            <w:noProof/>
            <w:webHidden/>
          </w:rPr>
        </w:r>
        <w:r>
          <w:rPr>
            <w:noProof/>
            <w:webHidden/>
          </w:rPr>
          <w:fldChar w:fldCharType="separate"/>
        </w:r>
        <w:r>
          <w:rPr>
            <w:noProof/>
            <w:webHidden/>
          </w:rPr>
          <w:t>51</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17" w:history="1">
        <w:r w:rsidRPr="00D2375B">
          <w:rPr>
            <w:rStyle w:val="a9"/>
            <w:rFonts w:ascii="宋体" w:hAnsi="宋体"/>
            <w:noProof/>
          </w:rPr>
          <w:t>10.4</w:t>
        </w:r>
        <w:r w:rsidRPr="00D2375B">
          <w:rPr>
            <w:rStyle w:val="a9"/>
            <w:noProof/>
          </w:rPr>
          <w:t xml:space="preserve">   </w:t>
        </w:r>
        <w:r w:rsidRPr="00D2375B">
          <w:rPr>
            <w:rStyle w:val="a9"/>
            <w:rFonts w:hint="eastAsia"/>
            <w:noProof/>
          </w:rPr>
          <w:t>基金投资策略的改变</w:t>
        </w:r>
        <w:r>
          <w:rPr>
            <w:noProof/>
            <w:webHidden/>
          </w:rPr>
          <w:tab/>
        </w:r>
        <w:r>
          <w:rPr>
            <w:noProof/>
            <w:webHidden/>
          </w:rPr>
          <w:fldChar w:fldCharType="begin"/>
        </w:r>
        <w:r>
          <w:rPr>
            <w:noProof/>
            <w:webHidden/>
          </w:rPr>
          <w:instrText xml:space="preserve"> PAGEREF _Toc48662517 \h </w:instrText>
        </w:r>
        <w:r>
          <w:rPr>
            <w:noProof/>
            <w:webHidden/>
          </w:rPr>
        </w:r>
        <w:r>
          <w:rPr>
            <w:noProof/>
            <w:webHidden/>
          </w:rPr>
          <w:fldChar w:fldCharType="separate"/>
        </w:r>
        <w:r>
          <w:rPr>
            <w:noProof/>
            <w:webHidden/>
          </w:rPr>
          <w:t>51</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18" w:history="1">
        <w:r w:rsidRPr="00D2375B">
          <w:rPr>
            <w:rStyle w:val="a9"/>
            <w:rFonts w:ascii="宋体" w:hAnsi="宋体"/>
            <w:noProof/>
          </w:rPr>
          <w:t>10.5</w:t>
        </w:r>
        <w:r w:rsidRPr="00D2375B">
          <w:rPr>
            <w:rStyle w:val="a9"/>
            <w:noProof/>
          </w:rPr>
          <w:t xml:space="preserve">  </w:t>
        </w:r>
        <w:r w:rsidRPr="00D2375B">
          <w:rPr>
            <w:rStyle w:val="a9"/>
            <w:rFonts w:ascii="宋体" w:hAnsi="宋体" w:hint="eastAsia"/>
            <w:noProof/>
          </w:rPr>
          <w:t>为基金进行审计的会计师事务所情况</w:t>
        </w:r>
        <w:r>
          <w:rPr>
            <w:noProof/>
            <w:webHidden/>
          </w:rPr>
          <w:tab/>
        </w:r>
        <w:r>
          <w:rPr>
            <w:noProof/>
            <w:webHidden/>
          </w:rPr>
          <w:fldChar w:fldCharType="begin"/>
        </w:r>
        <w:r>
          <w:rPr>
            <w:noProof/>
            <w:webHidden/>
          </w:rPr>
          <w:instrText xml:space="preserve"> PAGEREF _Toc48662518 \h </w:instrText>
        </w:r>
        <w:r>
          <w:rPr>
            <w:noProof/>
            <w:webHidden/>
          </w:rPr>
        </w:r>
        <w:r>
          <w:rPr>
            <w:noProof/>
            <w:webHidden/>
          </w:rPr>
          <w:fldChar w:fldCharType="separate"/>
        </w:r>
        <w:r>
          <w:rPr>
            <w:noProof/>
            <w:webHidden/>
          </w:rPr>
          <w:t>51</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19" w:history="1">
        <w:r w:rsidRPr="00D2375B">
          <w:rPr>
            <w:rStyle w:val="a9"/>
            <w:rFonts w:ascii="宋体" w:hAnsi="宋体"/>
            <w:noProof/>
          </w:rPr>
          <w:t>10.6</w:t>
        </w:r>
        <w:r w:rsidRPr="00D2375B">
          <w:rPr>
            <w:rStyle w:val="a9"/>
            <w:noProof/>
          </w:rPr>
          <w:t xml:space="preserve">  </w:t>
        </w:r>
        <w:r w:rsidRPr="00D2375B">
          <w:rPr>
            <w:rStyle w:val="a9"/>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_Toc48662519 \h </w:instrText>
        </w:r>
        <w:r>
          <w:rPr>
            <w:noProof/>
            <w:webHidden/>
          </w:rPr>
        </w:r>
        <w:r>
          <w:rPr>
            <w:noProof/>
            <w:webHidden/>
          </w:rPr>
          <w:fldChar w:fldCharType="separate"/>
        </w:r>
        <w:r>
          <w:rPr>
            <w:noProof/>
            <w:webHidden/>
          </w:rPr>
          <w:t>51</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20" w:history="1">
        <w:r w:rsidRPr="00D2375B">
          <w:rPr>
            <w:rStyle w:val="a9"/>
            <w:rFonts w:ascii="宋体" w:hAnsi="宋体"/>
            <w:noProof/>
          </w:rPr>
          <w:t>10.7</w:t>
        </w:r>
        <w:r w:rsidRPr="00D2375B">
          <w:rPr>
            <w:rStyle w:val="a9"/>
            <w:noProof/>
          </w:rPr>
          <w:t xml:space="preserve">  </w:t>
        </w:r>
        <w:r w:rsidRPr="00D2375B">
          <w:rPr>
            <w:rStyle w:val="a9"/>
            <w:rFonts w:hint="eastAsia"/>
            <w:noProof/>
          </w:rPr>
          <w:t>基金租用证券公司交易单元的有关情况</w:t>
        </w:r>
        <w:r>
          <w:rPr>
            <w:noProof/>
            <w:webHidden/>
          </w:rPr>
          <w:tab/>
        </w:r>
        <w:r>
          <w:rPr>
            <w:noProof/>
            <w:webHidden/>
          </w:rPr>
          <w:fldChar w:fldCharType="begin"/>
        </w:r>
        <w:r>
          <w:rPr>
            <w:noProof/>
            <w:webHidden/>
          </w:rPr>
          <w:instrText xml:space="preserve"> PAGEREF _Toc48662520 \h </w:instrText>
        </w:r>
        <w:r>
          <w:rPr>
            <w:noProof/>
            <w:webHidden/>
          </w:rPr>
        </w:r>
        <w:r>
          <w:rPr>
            <w:noProof/>
            <w:webHidden/>
          </w:rPr>
          <w:fldChar w:fldCharType="separate"/>
        </w:r>
        <w:r>
          <w:rPr>
            <w:noProof/>
            <w:webHidden/>
          </w:rPr>
          <w:t>51</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21" w:history="1">
        <w:r w:rsidRPr="00D2375B">
          <w:rPr>
            <w:rStyle w:val="a9"/>
            <w:rFonts w:ascii="宋体" w:hAnsi="宋体"/>
            <w:noProof/>
          </w:rPr>
          <w:t>10.8</w:t>
        </w:r>
        <w:r w:rsidRPr="00D2375B">
          <w:rPr>
            <w:rStyle w:val="a9"/>
            <w:noProof/>
          </w:rPr>
          <w:t xml:space="preserve">   </w:t>
        </w:r>
        <w:r w:rsidRPr="00D2375B">
          <w:rPr>
            <w:rStyle w:val="a9"/>
            <w:rFonts w:hint="eastAsia"/>
            <w:noProof/>
          </w:rPr>
          <w:t>其他重大事件</w:t>
        </w:r>
        <w:r>
          <w:rPr>
            <w:noProof/>
            <w:webHidden/>
          </w:rPr>
          <w:tab/>
        </w:r>
        <w:r>
          <w:rPr>
            <w:noProof/>
            <w:webHidden/>
          </w:rPr>
          <w:fldChar w:fldCharType="begin"/>
        </w:r>
        <w:r>
          <w:rPr>
            <w:noProof/>
            <w:webHidden/>
          </w:rPr>
          <w:instrText xml:space="preserve"> PAGEREF _Toc48662521 \h </w:instrText>
        </w:r>
        <w:r>
          <w:rPr>
            <w:noProof/>
            <w:webHidden/>
          </w:rPr>
        </w:r>
        <w:r>
          <w:rPr>
            <w:noProof/>
            <w:webHidden/>
          </w:rPr>
          <w:fldChar w:fldCharType="separate"/>
        </w:r>
        <w:r>
          <w:rPr>
            <w:noProof/>
            <w:webHidden/>
          </w:rPr>
          <w:t>53</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22" w:history="1">
        <w:r w:rsidRPr="00D2375B">
          <w:rPr>
            <w:rStyle w:val="a9"/>
            <w:rFonts w:ascii="宋体" w:hAnsi="宋体"/>
            <w:noProof/>
          </w:rPr>
          <w:t>11</w:t>
        </w:r>
        <w:r w:rsidRPr="00D2375B">
          <w:rPr>
            <w:rStyle w:val="a9"/>
            <w:noProof/>
          </w:rPr>
          <w:t xml:space="preserve">     </w:t>
        </w:r>
        <w:r w:rsidRPr="00D2375B">
          <w:rPr>
            <w:rStyle w:val="a9"/>
            <w:rFonts w:hint="eastAsia"/>
            <w:noProof/>
          </w:rPr>
          <w:t>影响投资者决策的其他重要信息</w:t>
        </w:r>
        <w:r>
          <w:rPr>
            <w:noProof/>
            <w:webHidden/>
          </w:rPr>
          <w:tab/>
        </w:r>
        <w:r>
          <w:rPr>
            <w:noProof/>
            <w:webHidden/>
          </w:rPr>
          <w:fldChar w:fldCharType="begin"/>
        </w:r>
        <w:r>
          <w:rPr>
            <w:noProof/>
            <w:webHidden/>
          </w:rPr>
          <w:instrText xml:space="preserve"> PAGEREF _Toc48662522 \h </w:instrText>
        </w:r>
        <w:r>
          <w:rPr>
            <w:noProof/>
            <w:webHidden/>
          </w:rPr>
        </w:r>
        <w:r>
          <w:rPr>
            <w:noProof/>
            <w:webHidden/>
          </w:rPr>
          <w:fldChar w:fldCharType="separate"/>
        </w:r>
        <w:r>
          <w:rPr>
            <w:noProof/>
            <w:webHidden/>
          </w:rPr>
          <w:t>55</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23" w:history="1">
        <w:r w:rsidRPr="00D2375B">
          <w:rPr>
            <w:rStyle w:val="a9"/>
            <w:rFonts w:ascii="宋体" w:hAnsi="宋体"/>
            <w:noProof/>
          </w:rPr>
          <w:t>11.1</w:t>
        </w:r>
        <w:r w:rsidRPr="00D2375B">
          <w:rPr>
            <w:rStyle w:val="a9"/>
            <w:noProof/>
          </w:rPr>
          <w:t xml:space="preserve">   </w:t>
        </w:r>
        <w:r w:rsidRPr="00D2375B">
          <w:rPr>
            <w:rStyle w:val="a9"/>
            <w:rFonts w:hint="eastAsia"/>
            <w:noProof/>
          </w:rPr>
          <w:t>报告期内单一投资者持有基金份额比例达到或超过</w:t>
        </w:r>
        <w:r w:rsidRPr="00D2375B">
          <w:rPr>
            <w:rStyle w:val="a9"/>
            <w:noProof/>
          </w:rPr>
          <w:t>20%</w:t>
        </w:r>
        <w:r w:rsidRPr="00D2375B">
          <w:rPr>
            <w:rStyle w:val="a9"/>
            <w:rFonts w:hint="eastAsia"/>
            <w:noProof/>
          </w:rPr>
          <w:t>的情况</w:t>
        </w:r>
        <w:r>
          <w:rPr>
            <w:noProof/>
            <w:webHidden/>
          </w:rPr>
          <w:tab/>
        </w:r>
        <w:r>
          <w:rPr>
            <w:noProof/>
            <w:webHidden/>
          </w:rPr>
          <w:fldChar w:fldCharType="begin"/>
        </w:r>
        <w:r>
          <w:rPr>
            <w:noProof/>
            <w:webHidden/>
          </w:rPr>
          <w:instrText xml:space="preserve"> PAGEREF _Toc48662523 \h </w:instrText>
        </w:r>
        <w:r>
          <w:rPr>
            <w:noProof/>
            <w:webHidden/>
          </w:rPr>
        </w:r>
        <w:r>
          <w:rPr>
            <w:noProof/>
            <w:webHidden/>
          </w:rPr>
          <w:fldChar w:fldCharType="separate"/>
        </w:r>
        <w:r>
          <w:rPr>
            <w:noProof/>
            <w:webHidden/>
          </w:rPr>
          <w:t>55</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24" w:history="1">
        <w:r w:rsidRPr="00D2375B">
          <w:rPr>
            <w:rStyle w:val="a9"/>
            <w:rFonts w:ascii="宋体" w:hAnsi="宋体"/>
            <w:noProof/>
          </w:rPr>
          <w:t>12</w:t>
        </w:r>
        <w:r w:rsidRPr="00D2375B">
          <w:rPr>
            <w:rStyle w:val="a9"/>
            <w:noProof/>
          </w:rPr>
          <w:t xml:space="preserve">     </w:t>
        </w:r>
        <w:r w:rsidRPr="00D2375B">
          <w:rPr>
            <w:rStyle w:val="a9"/>
            <w:rFonts w:hint="eastAsia"/>
            <w:noProof/>
          </w:rPr>
          <w:t>备查文件目录</w:t>
        </w:r>
        <w:r>
          <w:rPr>
            <w:noProof/>
            <w:webHidden/>
          </w:rPr>
          <w:tab/>
        </w:r>
        <w:r>
          <w:rPr>
            <w:noProof/>
            <w:webHidden/>
          </w:rPr>
          <w:fldChar w:fldCharType="begin"/>
        </w:r>
        <w:r>
          <w:rPr>
            <w:noProof/>
            <w:webHidden/>
          </w:rPr>
          <w:instrText xml:space="preserve"> PAGEREF _Toc48662524 \h </w:instrText>
        </w:r>
        <w:r>
          <w:rPr>
            <w:noProof/>
            <w:webHidden/>
          </w:rPr>
        </w:r>
        <w:r>
          <w:rPr>
            <w:noProof/>
            <w:webHidden/>
          </w:rPr>
          <w:fldChar w:fldCharType="separate"/>
        </w:r>
        <w:r>
          <w:rPr>
            <w:noProof/>
            <w:webHidden/>
          </w:rPr>
          <w:t>55</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25" w:history="1">
        <w:r w:rsidRPr="00D2375B">
          <w:rPr>
            <w:rStyle w:val="a9"/>
            <w:rFonts w:ascii="宋体" w:hAnsi="宋体"/>
            <w:noProof/>
          </w:rPr>
          <w:t>12.1</w:t>
        </w:r>
        <w:r w:rsidRPr="00D2375B">
          <w:rPr>
            <w:rStyle w:val="a9"/>
            <w:noProof/>
          </w:rPr>
          <w:t xml:space="preserve">   </w:t>
        </w:r>
        <w:r w:rsidRPr="00D2375B">
          <w:rPr>
            <w:rStyle w:val="a9"/>
            <w:rFonts w:hint="eastAsia"/>
            <w:noProof/>
          </w:rPr>
          <w:t>备查文件目录</w:t>
        </w:r>
        <w:r>
          <w:rPr>
            <w:noProof/>
            <w:webHidden/>
          </w:rPr>
          <w:tab/>
        </w:r>
        <w:r>
          <w:rPr>
            <w:noProof/>
            <w:webHidden/>
          </w:rPr>
          <w:fldChar w:fldCharType="begin"/>
        </w:r>
        <w:r>
          <w:rPr>
            <w:noProof/>
            <w:webHidden/>
          </w:rPr>
          <w:instrText xml:space="preserve"> PAGEREF _Toc48662525 \h </w:instrText>
        </w:r>
        <w:r>
          <w:rPr>
            <w:noProof/>
            <w:webHidden/>
          </w:rPr>
        </w:r>
        <w:r>
          <w:rPr>
            <w:noProof/>
            <w:webHidden/>
          </w:rPr>
          <w:fldChar w:fldCharType="separate"/>
        </w:r>
        <w:r>
          <w:rPr>
            <w:noProof/>
            <w:webHidden/>
          </w:rPr>
          <w:t>55</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26" w:history="1">
        <w:r w:rsidRPr="00D2375B">
          <w:rPr>
            <w:rStyle w:val="a9"/>
            <w:rFonts w:ascii="宋体" w:hAnsi="宋体"/>
            <w:noProof/>
          </w:rPr>
          <w:t>12.2</w:t>
        </w:r>
        <w:r w:rsidRPr="00D2375B">
          <w:rPr>
            <w:rStyle w:val="a9"/>
            <w:noProof/>
          </w:rPr>
          <w:t xml:space="preserve">   </w:t>
        </w:r>
        <w:r w:rsidRPr="00D2375B">
          <w:rPr>
            <w:rStyle w:val="a9"/>
            <w:rFonts w:hint="eastAsia"/>
            <w:noProof/>
          </w:rPr>
          <w:t>存放地点</w:t>
        </w:r>
        <w:r>
          <w:rPr>
            <w:noProof/>
            <w:webHidden/>
          </w:rPr>
          <w:tab/>
        </w:r>
        <w:r>
          <w:rPr>
            <w:noProof/>
            <w:webHidden/>
          </w:rPr>
          <w:fldChar w:fldCharType="begin"/>
        </w:r>
        <w:r>
          <w:rPr>
            <w:noProof/>
            <w:webHidden/>
          </w:rPr>
          <w:instrText xml:space="preserve"> PAGEREF _Toc48662526 \h </w:instrText>
        </w:r>
        <w:r>
          <w:rPr>
            <w:noProof/>
            <w:webHidden/>
          </w:rPr>
        </w:r>
        <w:r>
          <w:rPr>
            <w:noProof/>
            <w:webHidden/>
          </w:rPr>
          <w:fldChar w:fldCharType="separate"/>
        </w:r>
        <w:r>
          <w:rPr>
            <w:noProof/>
            <w:webHidden/>
          </w:rPr>
          <w:t>55</w:t>
        </w:r>
        <w:r>
          <w:rPr>
            <w:noProof/>
            <w:webHidden/>
          </w:rPr>
          <w:fldChar w:fldCharType="end"/>
        </w:r>
      </w:hyperlink>
    </w:p>
    <w:p w:rsidR="0077340B" w:rsidRDefault="0077340B">
      <w:pPr>
        <w:pStyle w:val="22"/>
        <w:ind w:left="420"/>
        <w:rPr>
          <w:rFonts w:asciiTheme="minorHAnsi" w:eastAsiaTheme="minorEastAsia" w:hAnsiTheme="minorHAnsi" w:cstheme="minorBidi"/>
          <w:noProof/>
          <w:kern w:val="2"/>
          <w:szCs w:val="22"/>
        </w:rPr>
      </w:pPr>
      <w:hyperlink w:anchor="_Toc48662527" w:history="1">
        <w:r w:rsidRPr="00D2375B">
          <w:rPr>
            <w:rStyle w:val="a9"/>
            <w:rFonts w:ascii="宋体" w:hAnsi="宋体"/>
            <w:noProof/>
          </w:rPr>
          <w:t>12.3</w:t>
        </w:r>
        <w:r w:rsidRPr="00D2375B">
          <w:rPr>
            <w:rStyle w:val="a9"/>
            <w:noProof/>
          </w:rPr>
          <w:t xml:space="preserve">   </w:t>
        </w:r>
        <w:r w:rsidRPr="00D2375B">
          <w:rPr>
            <w:rStyle w:val="a9"/>
            <w:rFonts w:hint="eastAsia"/>
            <w:noProof/>
          </w:rPr>
          <w:t>查阅方式</w:t>
        </w:r>
        <w:r>
          <w:rPr>
            <w:noProof/>
            <w:webHidden/>
          </w:rPr>
          <w:tab/>
        </w:r>
        <w:r>
          <w:rPr>
            <w:noProof/>
            <w:webHidden/>
          </w:rPr>
          <w:fldChar w:fldCharType="begin"/>
        </w:r>
        <w:r>
          <w:rPr>
            <w:noProof/>
            <w:webHidden/>
          </w:rPr>
          <w:instrText xml:space="preserve"> PAGEREF _Toc48662527 \h </w:instrText>
        </w:r>
        <w:r>
          <w:rPr>
            <w:noProof/>
            <w:webHidden/>
          </w:rPr>
        </w:r>
        <w:r>
          <w:rPr>
            <w:noProof/>
            <w:webHidden/>
          </w:rPr>
          <w:fldChar w:fldCharType="separate"/>
        </w:r>
        <w:r>
          <w:rPr>
            <w:noProof/>
            <w:webHidden/>
          </w:rPr>
          <w:t>56</w:t>
        </w:r>
        <w:r>
          <w:rPr>
            <w:noProof/>
            <w:webHidden/>
          </w:rPr>
          <w:fldChar w:fldCharType="end"/>
        </w:r>
      </w:hyperlink>
    </w:p>
    <w:p w:rsidR="00871A0D" w:rsidRPr="00C24ACA" w:rsidRDefault="00EF5FA8" w:rsidP="00793233">
      <w:pPr>
        <w:pStyle w:val="22"/>
        <w:tabs>
          <w:tab w:val="clear" w:pos="9072"/>
          <w:tab w:val="right" w:leader="dot" w:pos="8834"/>
        </w:tabs>
        <w:ind w:left="420"/>
        <w:rPr>
          <w:rFonts w:eastAsiaTheme="minorEastAsia"/>
        </w:rPr>
      </w:pPr>
      <w:r w:rsidRPr="006F3222">
        <w:rPr>
          <w:rFonts w:eastAsiaTheme="minorEastAsia"/>
          <w:color w:val="000000"/>
        </w:rPr>
        <w:fldChar w:fldCharType="end"/>
      </w:r>
      <w:r w:rsidR="00871A0D" w:rsidRPr="00C24ACA">
        <w:rPr>
          <w:rFonts w:eastAsiaTheme="minorEastAsia"/>
        </w:rPr>
        <w:br w:type="page"/>
      </w:r>
    </w:p>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21" w:name="_Toc225498244"/>
      <w:bookmarkStart w:id="22" w:name="_Toc352255960"/>
      <w:bookmarkStart w:id="23" w:name="_Toc352256028"/>
      <w:bookmarkStart w:id="24" w:name="_Toc352331206"/>
      <w:bookmarkStart w:id="25" w:name="_Toc390164792"/>
      <w:bookmarkStart w:id="26" w:name="_Toc48662467"/>
      <w:r w:rsidRPr="000C6CCD">
        <w:rPr>
          <w:rFonts w:ascii="宋体" w:hAnsi="宋体"/>
          <w:bCs w:val="0"/>
          <w:color w:val="000000"/>
          <w:sz w:val="21"/>
          <w:szCs w:val="21"/>
        </w:rPr>
        <w:t>2</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基金简介</w:t>
      </w:r>
      <w:bookmarkEnd w:id="21"/>
      <w:bookmarkEnd w:id="22"/>
      <w:bookmarkEnd w:id="23"/>
      <w:bookmarkEnd w:id="24"/>
      <w:bookmarkEnd w:id="25"/>
      <w:bookmarkEnd w:id="26"/>
    </w:p>
    <w:p w:rsidR="008A5A5D" w:rsidRPr="00A317EA" w:rsidRDefault="008A5A5D" w:rsidP="006C64F3">
      <w:pPr>
        <w:pStyle w:val="20"/>
        <w:spacing w:beforeLines="100" w:before="312" w:after="0"/>
        <w:rPr>
          <w:rFonts w:ascii="Times New Roman" w:eastAsiaTheme="minorEastAsia" w:hAnsi="Times New Roman"/>
          <w:kern w:val="0"/>
          <w:sz w:val="21"/>
          <w:szCs w:val="21"/>
        </w:rPr>
      </w:pPr>
      <w:bookmarkStart w:id="27" w:name="_Toc352255961"/>
      <w:bookmarkStart w:id="28" w:name="_Toc352256029"/>
      <w:bookmarkStart w:id="29" w:name="_Toc352331207"/>
      <w:bookmarkStart w:id="30" w:name="_Toc390164793"/>
      <w:bookmarkStart w:id="31" w:name="_Toc48662468"/>
      <w:r w:rsidRPr="0087359D">
        <w:rPr>
          <w:rFonts w:ascii="宋体" w:hAnsi="宋体"/>
          <w:kern w:val="0"/>
          <w:sz w:val="21"/>
          <w:szCs w:val="21"/>
        </w:rPr>
        <w:t>2.1</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基金基本情况</w:t>
      </w:r>
      <w:bookmarkEnd w:id="27"/>
      <w:bookmarkEnd w:id="28"/>
      <w:bookmarkEnd w:id="29"/>
      <w:bookmarkEnd w:id="30"/>
      <w:bookmarkEnd w:id="3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58"/>
        <w:gridCol w:w="2580"/>
        <w:gridCol w:w="2637"/>
      </w:tblGrid>
      <w:tr w:rsidR="008A5A5D" w:rsidRPr="00C24ACA" w:rsidTr="00862636">
        <w:tc>
          <w:tcPr>
            <w:tcW w:w="3258" w:type="dxa"/>
          </w:tcPr>
          <w:p w:rsidR="008A5A5D" w:rsidRPr="00C24ACA" w:rsidRDefault="008A5A5D" w:rsidP="008F4C10">
            <w:pPr>
              <w:rPr>
                <w:rFonts w:eastAsiaTheme="minorEastAsia"/>
                <w:color w:val="000000"/>
                <w:kern w:val="0"/>
                <w:szCs w:val="21"/>
              </w:rPr>
            </w:pPr>
            <w:r w:rsidRPr="00C24ACA">
              <w:rPr>
                <w:rFonts w:eastAsiaTheme="minorEastAsia"/>
                <w:szCs w:val="21"/>
              </w:rPr>
              <w:t>基金名称</w:t>
            </w:r>
          </w:p>
        </w:tc>
        <w:tc>
          <w:tcPr>
            <w:tcW w:w="5217" w:type="dxa"/>
            <w:gridSpan w:val="2"/>
            <w:vAlign w:val="center"/>
          </w:tcPr>
          <w:p w:rsidR="008A5A5D" w:rsidRPr="00C24ACA" w:rsidRDefault="008A5A5D" w:rsidP="008F4C10">
            <w:pPr>
              <w:jc w:val="right"/>
              <w:rPr>
                <w:rFonts w:eastAsiaTheme="minorEastAsia"/>
                <w:szCs w:val="21"/>
              </w:rPr>
            </w:pPr>
            <w:r w:rsidRPr="00C24ACA">
              <w:rPr>
                <w:rFonts w:eastAsiaTheme="minorEastAsia"/>
                <w:szCs w:val="21"/>
              </w:rPr>
              <w:t>易方达恒生中国企业交易型开放式指数证券投资基金联接基金</w:t>
            </w:r>
          </w:p>
        </w:tc>
      </w:tr>
      <w:tr w:rsidR="008A5A5D" w:rsidRPr="00C24ACA" w:rsidTr="00862636">
        <w:tc>
          <w:tcPr>
            <w:tcW w:w="3258" w:type="dxa"/>
          </w:tcPr>
          <w:p w:rsidR="008A5A5D" w:rsidRPr="00C24ACA" w:rsidRDefault="008A5A5D" w:rsidP="008F4C10">
            <w:pPr>
              <w:rPr>
                <w:rFonts w:eastAsiaTheme="minorEastAsia"/>
                <w:color w:val="000000"/>
                <w:kern w:val="0"/>
                <w:szCs w:val="21"/>
              </w:rPr>
            </w:pPr>
            <w:r w:rsidRPr="00C24ACA">
              <w:rPr>
                <w:rFonts w:eastAsiaTheme="minorEastAsia"/>
                <w:szCs w:val="21"/>
              </w:rPr>
              <w:t>基金简称</w:t>
            </w:r>
          </w:p>
        </w:tc>
        <w:tc>
          <w:tcPr>
            <w:tcW w:w="5217" w:type="dxa"/>
            <w:gridSpan w:val="2"/>
            <w:vAlign w:val="center"/>
          </w:tcPr>
          <w:p w:rsidR="008A5A5D" w:rsidRPr="00C24ACA" w:rsidRDefault="008A5A5D" w:rsidP="008F4C10">
            <w:pPr>
              <w:jc w:val="right"/>
              <w:rPr>
                <w:rFonts w:eastAsiaTheme="minorEastAsia"/>
                <w:szCs w:val="21"/>
              </w:rPr>
            </w:pPr>
            <w:r w:rsidRPr="00C24ACA">
              <w:rPr>
                <w:rFonts w:eastAsiaTheme="minorEastAsia"/>
                <w:szCs w:val="21"/>
              </w:rPr>
              <w:t>易方达恒生国企联接（</w:t>
            </w:r>
            <w:r w:rsidRPr="00C24ACA">
              <w:rPr>
                <w:rFonts w:eastAsiaTheme="minorEastAsia"/>
                <w:szCs w:val="21"/>
              </w:rPr>
              <w:t>QDII</w:t>
            </w:r>
            <w:r w:rsidRPr="00C24ACA">
              <w:rPr>
                <w:rFonts w:eastAsiaTheme="minorEastAsia"/>
                <w:szCs w:val="21"/>
              </w:rPr>
              <w:t>）</w:t>
            </w:r>
          </w:p>
        </w:tc>
      </w:tr>
      <w:tr w:rsidR="008A5A5D" w:rsidRPr="00C24ACA" w:rsidTr="00862636">
        <w:tc>
          <w:tcPr>
            <w:tcW w:w="3258" w:type="dxa"/>
            <w:vAlign w:val="center"/>
          </w:tcPr>
          <w:p w:rsidR="008A5A5D" w:rsidRPr="00C24ACA" w:rsidRDefault="008A5A5D" w:rsidP="008F4C10">
            <w:pPr>
              <w:rPr>
                <w:rFonts w:eastAsiaTheme="minorEastAsia"/>
                <w:color w:val="000000"/>
                <w:kern w:val="0"/>
                <w:szCs w:val="21"/>
              </w:rPr>
            </w:pPr>
            <w:r w:rsidRPr="00C24ACA">
              <w:rPr>
                <w:rFonts w:eastAsiaTheme="minorEastAsia"/>
                <w:szCs w:val="21"/>
              </w:rPr>
              <w:t>基金主代码</w:t>
            </w:r>
          </w:p>
        </w:tc>
        <w:tc>
          <w:tcPr>
            <w:tcW w:w="5217" w:type="dxa"/>
            <w:gridSpan w:val="2"/>
            <w:vAlign w:val="center"/>
          </w:tcPr>
          <w:p w:rsidR="008A5A5D" w:rsidRPr="00C24ACA" w:rsidRDefault="008A5A5D" w:rsidP="008F4C10">
            <w:pPr>
              <w:jc w:val="right"/>
              <w:rPr>
                <w:rFonts w:eastAsiaTheme="minorEastAsia"/>
                <w:szCs w:val="21"/>
              </w:rPr>
            </w:pPr>
            <w:r w:rsidRPr="00C24ACA">
              <w:rPr>
                <w:rFonts w:eastAsiaTheme="minorEastAsia"/>
                <w:szCs w:val="21"/>
              </w:rPr>
              <w:t>110031</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基金运作方式</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契约型开放式、指数基金、联接基金</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基金合同生效日</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2012</w:t>
            </w:r>
            <w:r w:rsidRPr="00C24ACA">
              <w:rPr>
                <w:rFonts w:eastAsiaTheme="minorEastAsia"/>
                <w:szCs w:val="21"/>
              </w:rPr>
              <w:t>年</w:t>
            </w:r>
            <w:r w:rsidRPr="00C24ACA">
              <w:rPr>
                <w:rFonts w:eastAsiaTheme="minorEastAsia"/>
                <w:szCs w:val="21"/>
              </w:rPr>
              <w:t>8</w:t>
            </w:r>
            <w:r w:rsidRPr="00C24ACA">
              <w:rPr>
                <w:rFonts w:eastAsiaTheme="minorEastAsia"/>
                <w:szCs w:val="21"/>
              </w:rPr>
              <w:t>月</w:t>
            </w:r>
            <w:r w:rsidRPr="00C24ACA">
              <w:rPr>
                <w:rFonts w:eastAsiaTheme="minorEastAsia"/>
                <w:szCs w:val="21"/>
              </w:rPr>
              <w:t>21</w:t>
            </w:r>
            <w:r w:rsidRPr="00C24ACA">
              <w:rPr>
                <w:rFonts w:eastAsiaTheme="minorEastAsia"/>
                <w:szCs w:val="21"/>
              </w:rPr>
              <w:t>日</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基金管理人</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易方达基金管理有限公司</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基金托管人</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交通银行股份有限公司</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报告期末基金份额总额</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1,499,285,082.13</w:t>
            </w:r>
            <w:r w:rsidRPr="00C24ACA">
              <w:rPr>
                <w:rFonts w:eastAsiaTheme="minorEastAsia"/>
                <w:szCs w:val="21"/>
              </w:rPr>
              <w:t>份</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基金合同存续期</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不定期</w:t>
            </w:r>
          </w:p>
        </w:tc>
      </w:tr>
      <w:tr w:rsidR="008F4C10" w:rsidRPr="00C24ACA" w:rsidTr="00DC4F67">
        <w:tc>
          <w:tcPr>
            <w:tcW w:w="3258" w:type="dxa"/>
            <w:vAlign w:val="center"/>
          </w:tcPr>
          <w:p w:rsidR="008F4C10" w:rsidRPr="00C24ACA" w:rsidRDefault="008F4C10" w:rsidP="008F4C10">
            <w:pPr>
              <w:rPr>
                <w:rFonts w:eastAsiaTheme="minorEastAsia"/>
                <w:szCs w:val="21"/>
              </w:rPr>
            </w:pPr>
            <w:r w:rsidRPr="00C24ACA">
              <w:rPr>
                <w:rFonts w:eastAsiaTheme="minorEastAsia"/>
                <w:szCs w:val="21"/>
              </w:rPr>
              <w:t>下属分级基金的基金简称</w:t>
            </w:r>
          </w:p>
        </w:tc>
        <w:tc>
          <w:tcPr>
            <w:tcW w:w="2580" w:type="dxa"/>
            <w:vAlign w:val="center"/>
          </w:tcPr>
          <w:p w:rsidR="008F4C10" w:rsidRPr="00C24ACA" w:rsidRDefault="008F4C10" w:rsidP="008F4C10">
            <w:pPr>
              <w:jc w:val="right"/>
              <w:rPr>
                <w:rFonts w:eastAsiaTheme="minorEastAsia"/>
                <w:szCs w:val="21"/>
              </w:rPr>
            </w:pPr>
            <w:r w:rsidRPr="00C24ACA">
              <w:rPr>
                <w:rFonts w:eastAsiaTheme="minorEastAsia"/>
                <w:szCs w:val="21"/>
              </w:rPr>
              <w:t>易方达恒生国企联接（</w:t>
            </w:r>
            <w:r w:rsidRPr="00C24ACA">
              <w:rPr>
                <w:rFonts w:eastAsiaTheme="minorEastAsia"/>
                <w:szCs w:val="21"/>
              </w:rPr>
              <w:t>QDII</w:t>
            </w:r>
            <w:r w:rsidRPr="00C24ACA">
              <w:rPr>
                <w:rFonts w:eastAsiaTheme="minorEastAsia"/>
                <w:szCs w:val="21"/>
              </w:rPr>
              <w:t>）</w:t>
            </w:r>
            <w:r w:rsidRPr="00C24ACA">
              <w:rPr>
                <w:rFonts w:eastAsiaTheme="minorEastAsia"/>
                <w:szCs w:val="21"/>
              </w:rPr>
              <w:t>A</w:t>
            </w:r>
          </w:p>
        </w:tc>
        <w:tc>
          <w:tcPr>
            <w:tcW w:w="2637" w:type="dxa"/>
            <w:vAlign w:val="center"/>
          </w:tcPr>
          <w:p w:rsidR="008F4C10" w:rsidRPr="00C24ACA" w:rsidRDefault="008F4C10" w:rsidP="008F4C10">
            <w:pPr>
              <w:jc w:val="right"/>
              <w:rPr>
                <w:rFonts w:eastAsiaTheme="minorEastAsia"/>
                <w:szCs w:val="21"/>
              </w:rPr>
            </w:pPr>
            <w:r w:rsidRPr="00C24ACA">
              <w:rPr>
                <w:rFonts w:eastAsiaTheme="minorEastAsia"/>
                <w:szCs w:val="21"/>
              </w:rPr>
              <w:t>易方达恒生国企联接（</w:t>
            </w:r>
            <w:r w:rsidRPr="00C24ACA">
              <w:rPr>
                <w:rFonts w:eastAsiaTheme="minorEastAsia"/>
                <w:szCs w:val="21"/>
              </w:rPr>
              <w:t>QDII</w:t>
            </w:r>
            <w:r w:rsidRPr="00C24ACA">
              <w:rPr>
                <w:rFonts w:eastAsiaTheme="minorEastAsia"/>
                <w:szCs w:val="21"/>
              </w:rPr>
              <w:t>）</w:t>
            </w:r>
            <w:r w:rsidRPr="00C24ACA">
              <w:rPr>
                <w:rFonts w:eastAsiaTheme="minorEastAsia"/>
                <w:szCs w:val="21"/>
              </w:rPr>
              <w:t>C</w:t>
            </w:r>
          </w:p>
        </w:tc>
      </w:tr>
      <w:tr w:rsidR="008F4C10" w:rsidRPr="00C24ACA" w:rsidTr="00DC4F67">
        <w:tc>
          <w:tcPr>
            <w:tcW w:w="3258" w:type="dxa"/>
            <w:vAlign w:val="center"/>
          </w:tcPr>
          <w:p w:rsidR="008F4C10" w:rsidRPr="00C24ACA" w:rsidRDefault="008F4C10" w:rsidP="008F4C10">
            <w:pPr>
              <w:rPr>
                <w:rFonts w:eastAsiaTheme="minorEastAsia"/>
                <w:szCs w:val="21"/>
              </w:rPr>
            </w:pPr>
            <w:r w:rsidRPr="00C24ACA">
              <w:rPr>
                <w:rFonts w:eastAsiaTheme="minorEastAsia"/>
                <w:szCs w:val="21"/>
              </w:rPr>
              <w:t>下属分级基金的交易代码</w:t>
            </w:r>
          </w:p>
        </w:tc>
        <w:tc>
          <w:tcPr>
            <w:tcW w:w="2580" w:type="dxa"/>
            <w:vAlign w:val="center"/>
          </w:tcPr>
          <w:p w:rsidR="008F4C10" w:rsidRPr="00C24ACA" w:rsidRDefault="008F4C10" w:rsidP="008F4C10">
            <w:pPr>
              <w:jc w:val="right"/>
              <w:rPr>
                <w:rFonts w:eastAsiaTheme="minorEastAsia"/>
                <w:szCs w:val="21"/>
              </w:rPr>
            </w:pPr>
            <w:r w:rsidRPr="00C24ACA">
              <w:rPr>
                <w:rFonts w:eastAsiaTheme="minorEastAsia"/>
                <w:szCs w:val="21"/>
              </w:rPr>
              <w:t>110031</w:t>
            </w:r>
          </w:p>
        </w:tc>
        <w:tc>
          <w:tcPr>
            <w:tcW w:w="2637" w:type="dxa"/>
            <w:vAlign w:val="center"/>
          </w:tcPr>
          <w:p w:rsidR="008F4C10" w:rsidRPr="00C24ACA" w:rsidRDefault="008F4C10" w:rsidP="008F4C10">
            <w:pPr>
              <w:jc w:val="right"/>
              <w:rPr>
                <w:rFonts w:eastAsiaTheme="minorEastAsia"/>
                <w:szCs w:val="21"/>
              </w:rPr>
            </w:pPr>
            <w:r w:rsidRPr="00C24ACA">
              <w:rPr>
                <w:rFonts w:eastAsiaTheme="minorEastAsia"/>
                <w:szCs w:val="21"/>
              </w:rPr>
              <w:t>005675</w:t>
            </w:r>
          </w:p>
        </w:tc>
      </w:tr>
      <w:tr w:rsidR="008F4C10" w:rsidRPr="00C24ACA" w:rsidTr="00DC4F67">
        <w:tc>
          <w:tcPr>
            <w:tcW w:w="3258" w:type="dxa"/>
            <w:vAlign w:val="center"/>
          </w:tcPr>
          <w:p w:rsidR="008F4C10" w:rsidRPr="00C24ACA" w:rsidRDefault="008F4C10" w:rsidP="008F4C10">
            <w:pPr>
              <w:rPr>
                <w:rFonts w:eastAsiaTheme="minorEastAsia"/>
                <w:szCs w:val="21"/>
              </w:rPr>
            </w:pPr>
            <w:r w:rsidRPr="00C24ACA">
              <w:rPr>
                <w:rFonts w:eastAsiaTheme="minorEastAsia"/>
                <w:szCs w:val="21"/>
              </w:rPr>
              <w:t>报告期末下属分级基金的份额总额</w:t>
            </w:r>
          </w:p>
        </w:tc>
        <w:tc>
          <w:tcPr>
            <w:tcW w:w="2580" w:type="dxa"/>
            <w:vAlign w:val="center"/>
          </w:tcPr>
          <w:p w:rsidR="008F4C10" w:rsidRPr="00C24ACA" w:rsidRDefault="008F4C10" w:rsidP="008F4C10">
            <w:pPr>
              <w:jc w:val="right"/>
              <w:rPr>
                <w:rFonts w:eastAsiaTheme="minorEastAsia"/>
                <w:szCs w:val="21"/>
              </w:rPr>
            </w:pPr>
            <w:r w:rsidRPr="00C24ACA">
              <w:rPr>
                <w:rFonts w:eastAsiaTheme="minorEastAsia"/>
                <w:szCs w:val="21"/>
              </w:rPr>
              <w:t>1,304,972,915.03</w:t>
            </w:r>
            <w:r w:rsidRPr="00C24ACA">
              <w:rPr>
                <w:rFonts w:eastAsiaTheme="minorEastAsia"/>
                <w:szCs w:val="21"/>
              </w:rPr>
              <w:t>份</w:t>
            </w:r>
          </w:p>
        </w:tc>
        <w:tc>
          <w:tcPr>
            <w:tcW w:w="2637" w:type="dxa"/>
            <w:vAlign w:val="center"/>
          </w:tcPr>
          <w:p w:rsidR="008F4C10" w:rsidRPr="00C24ACA" w:rsidRDefault="008F4C10" w:rsidP="008F4C10">
            <w:pPr>
              <w:jc w:val="right"/>
              <w:rPr>
                <w:rFonts w:eastAsiaTheme="minorEastAsia"/>
                <w:szCs w:val="21"/>
              </w:rPr>
            </w:pPr>
            <w:r w:rsidRPr="00C24ACA">
              <w:rPr>
                <w:rFonts w:eastAsiaTheme="minorEastAsia"/>
                <w:szCs w:val="21"/>
              </w:rPr>
              <w:t>194,312,167.10</w:t>
            </w:r>
            <w:r w:rsidRPr="00C24ACA">
              <w:rPr>
                <w:rFonts w:eastAsiaTheme="minorEastAsia"/>
                <w:szCs w:val="21"/>
              </w:rPr>
              <w:t>份</w:t>
            </w:r>
          </w:p>
        </w:tc>
      </w:tr>
    </w:tbl>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自</w:t>
      </w:r>
      <w:r>
        <w:rPr>
          <w:rFonts w:eastAsiaTheme="minorEastAsia"/>
          <w:kern w:val="0"/>
          <w:szCs w:val="21"/>
        </w:rPr>
        <w:t>2018</w:t>
      </w:r>
      <w:r>
        <w:rPr>
          <w:rFonts w:eastAsiaTheme="minorEastAsia"/>
          <w:kern w:val="0"/>
          <w:szCs w:val="21"/>
        </w:rPr>
        <w:t>年</w:t>
      </w:r>
      <w:r>
        <w:rPr>
          <w:rFonts w:eastAsiaTheme="minorEastAsia"/>
          <w:kern w:val="0"/>
          <w:szCs w:val="21"/>
        </w:rPr>
        <w:t>2</w:t>
      </w:r>
      <w:r>
        <w:rPr>
          <w:rFonts w:eastAsiaTheme="minorEastAsia"/>
          <w:kern w:val="0"/>
          <w:szCs w:val="21"/>
        </w:rPr>
        <w:t>月</w:t>
      </w:r>
      <w:r>
        <w:rPr>
          <w:rFonts w:eastAsiaTheme="minorEastAsia"/>
          <w:kern w:val="0"/>
          <w:szCs w:val="21"/>
        </w:rPr>
        <w:t>9</w:t>
      </w:r>
      <w:r>
        <w:rPr>
          <w:rFonts w:eastAsiaTheme="minorEastAsia"/>
          <w:kern w:val="0"/>
          <w:szCs w:val="21"/>
        </w:rPr>
        <w:t>日起，本基金增设</w:t>
      </w:r>
      <w:r>
        <w:rPr>
          <w:rFonts w:eastAsiaTheme="minorEastAsia"/>
          <w:kern w:val="0"/>
          <w:szCs w:val="21"/>
        </w:rPr>
        <w:t>C</w:t>
      </w:r>
      <w:r>
        <w:rPr>
          <w:rFonts w:eastAsiaTheme="minorEastAsia"/>
          <w:kern w:val="0"/>
          <w:szCs w:val="21"/>
        </w:rPr>
        <w:t>类份额类别，份额首次确认日为</w:t>
      </w:r>
      <w:r>
        <w:rPr>
          <w:rFonts w:eastAsiaTheme="minorEastAsia"/>
          <w:kern w:val="0"/>
          <w:szCs w:val="21"/>
        </w:rPr>
        <w:t>2018</w:t>
      </w:r>
      <w:r>
        <w:rPr>
          <w:rFonts w:eastAsiaTheme="minorEastAsia"/>
          <w:kern w:val="0"/>
          <w:szCs w:val="21"/>
        </w:rPr>
        <w:t>年</w:t>
      </w:r>
      <w:r>
        <w:rPr>
          <w:rFonts w:eastAsiaTheme="minorEastAsia"/>
          <w:kern w:val="0"/>
          <w:szCs w:val="21"/>
        </w:rPr>
        <w:t>2</w:t>
      </w:r>
      <w:r>
        <w:rPr>
          <w:rFonts w:eastAsiaTheme="minorEastAsia"/>
          <w:kern w:val="0"/>
          <w:szCs w:val="21"/>
        </w:rPr>
        <w:t>月</w:t>
      </w:r>
      <w:r>
        <w:rPr>
          <w:rFonts w:eastAsiaTheme="minorEastAsia"/>
          <w:kern w:val="0"/>
          <w:szCs w:val="21"/>
        </w:rPr>
        <w:t>12</w:t>
      </w:r>
      <w:r>
        <w:rPr>
          <w:rFonts w:eastAsiaTheme="minorEastAsia"/>
          <w:kern w:val="0"/>
          <w:szCs w:val="21"/>
        </w:rPr>
        <w:t>日。</w:t>
      </w:r>
      <w:r>
        <w:rPr>
          <w:rFonts w:eastAsiaTheme="minorEastAsia"/>
          <w:kern w:val="0"/>
          <w:szCs w:val="21"/>
        </w:rPr>
        <w:t xml:space="preserve"> </w:t>
      </w:r>
    </w:p>
    <w:p w:rsidR="008A5A5D"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ab/>
        <w:t>2.</w:t>
      </w:r>
      <w:r w:rsidRPr="00C24ACA">
        <w:rPr>
          <w:rFonts w:eastAsiaTheme="minorEastAsia"/>
          <w:kern w:val="0"/>
          <w:szCs w:val="21"/>
        </w:rPr>
        <w:t>易方达恒生国企联接（</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A</w:t>
      </w:r>
      <w:r w:rsidRPr="00C24ACA">
        <w:rPr>
          <w:rFonts w:eastAsiaTheme="minorEastAsia"/>
          <w:kern w:val="0"/>
          <w:szCs w:val="21"/>
        </w:rPr>
        <w:t>含</w:t>
      </w:r>
      <w:r w:rsidRPr="00C24ACA">
        <w:rPr>
          <w:rFonts w:eastAsiaTheme="minorEastAsia"/>
          <w:kern w:val="0"/>
          <w:szCs w:val="21"/>
        </w:rPr>
        <w:t>A</w:t>
      </w:r>
      <w:r w:rsidRPr="00C24ACA">
        <w:rPr>
          <w:rFonts w:eastAsiaTheme="minorEastAsia"/>
          <w:kern w:val="0"/>
          <w:szCs w:val="21"/>
        </w:rPr>
        <w:t>类人民币份额（份额代码：</w:t>
      </w:r>
      <w:r w:rsidRPr="00C24ACA">
        <w:rPr>
          <w:rFonts w:eastAsiaTheme="minorEastAsia"/>
          <w:kern w:val="0"/>
          <w:szCs w:val="21"/>
        </w:rPr>
        <w:t>110031</w:t>
      </w:r>
      <w:r w:rsidRPr="00C24ACA">
        <w:rPr>
          <w:rFonts w:eastAsiaTheme="minorEastAsia"/>
          <w:kern w:val="0"/>
          <w:szCs w:val="21"/>
        </w:rPr>
        <w:t>）、</w:t>
      </w:r>
      <w:r w:rsidRPr="00C24ACA">
        <w:rPr>
          <w:rFonts w:eastAsiaTheme="minorEastAsia"/>
          <w:kern w:val="0"/>
          <w:szCs w:val="21"/>
        </w:rPr>
        <w:t>A</w:t>
      </w:r>
      <w:r w:rsidRPr="00C24ACA">
        <w:rPr>
          <w:rFonts w:eastAsiaTheme="minorEastAsia"/>
          <w:kern w:val="0"/>
          <w:szCs w:val="21"/>
        </w:rPr>
        <w:t>类美元现汇份额（份额代码：</w:t>
      </w:r>
      <w:r w:rsidRPr="00C24ACA">
        <w:rPr>
          <w:rFonts w:eastAsiaTheme="minorEastAsia"/>
          <w:kern w:val="0"/>
          <w:szCs w:val="21"/>
        </w:rPr>
        <w:t>110032</w:t>
      </w:r>
      <w:r w:rsidRPr="00C24ACA">
        <w:rPr>
          <w:rFonts w:eastAsiaTheme="minorEastAsia"/>
          <w:kern w:val="0"/>
          <w:szCs w:val="21"/>
        </w:rPr>
        <w:t>）及</w:t>
      </w:r>
      <w:r w:rsidRPr="00C24ACA">
        <w:rPr>
          <w:rFonts w:eastAsiaTheme="minorEastAsia"/>
          <w:kern w:val="0"/>
          <w:szCs w:val="21"/>
        </w:rPr>
        <w:t>A</w:t>
      </w:r>
      <w:r w:rsidRPr="00C24ACA">
        <w:rPr>
          <w:rFonts w:eastAsiaTheme="minorEastAsia"/>
          <w:kern w:val="0"/>
          <w:szCs w:val="21"/>
        </w:rPr>
        <w:t>类美元现钞份额（份额代码：</w:t>
      </w:r>
      <w:r w:rsidRPr="00C24ACA">
        <w:rPr>
          <w:rFonts w:eastAsiaTheme="minorEastAsia"/>
          <w:kern w:val="0"/>
          <w:szCs w:val="21"/>
        </w:rPr>
        <w:t>110033</w:t>
      </w:r>
      <w:r w:rsidRPr="00C24ACA">
        <w:rPr>
          <w:rFonts w:eastAsiaTheme="minorEastAsia"/>
          <w:kern w:val="0"/>
          <w:szCs w:val="21"/>
        </w:rPr>
        <w:t>），交易代码仅列示</w:t>
      </w:r>
      <w:r w:rsidRPr="00C24ACA">
        <w:rPr>
          <w:rFonts w:eastAsiaTheme="minorEastAsia"/>
          <w:kern w:val="0"/>
          <w:szCs w:val="21"/>
        </w:rPr>
        <w:t>A</w:t>
      </w:r>
      <w:r w:rsidRPr="00C24ACA">
        <w:rPr>
          <w:rFonts w:eastAsiaTheme="minorEastAsia"/>
          <w:kern w:val="0"/>
          <w:szCs w:val="21"/>
        </w:rPr>
        <w:t>类人民币份额代码。易方达恒生国企联接（</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C</w:t>
      </w:r>
      <w:r w:rsidRPr="00C24ACA">
        <w:rPr>
          <w:rFonts w:eastAsiaTheme="minorEastAsia"/>
          <w:kern w:val="0"/>
          <w:szCs w:val="21"/>
        </w:rPr>
        <w:t>含</w:t>
      </w:r>
      <w:r w:rsidRPr="00C24ACA">
        <w:rPr>
          <w:rFonts w:eastAsiaTheme="minorEastAsia"/>
          <w:kern w:val="0"/>
          <w:szCs w:val="21"/>
        </w:rPr>
        <w:t>C</w:t>
      </w:r>
      <w:r w:rsidRPr="00C24ACA">
        <w:rPr>
          <w:rFonts w:eastAsiaTheme="minorEastAsia"/>
          <w:kern w:val="0"/>
          <w:szCs w:val="21"/>
        </w:rPr>
        <w:t>类人民币份额（份额代码：</w:t>
      </w:r>
      <w:r w:rsidRPr="00C24ACA">
        <w:rPr>
          <w:rFonts w:eastAsiaTheme="minorEastAsia"/>
          <w:kern w:val="0"/>
          <w:szCs w:val="21"/>
        </w:rPr>
        <w:t>005675</w:t>
      </w:r>
      <w:r w:rsidRPr="00C24ACA">
        <w:rPr>
          <w:rFonts w:eastAsiaTheme="minorEastAsia"/>
          <w:kern w:val="0"/>
          <w:szCs w:val="21"/>
        </w:rPr>
        <w:t>）。</w:t>
      </w:r>
    </w:p>
    <w:p w:rsidR="005A152F" w:rsidRPr="00F33D3D" w:rsidRDefault="005A152F" w:rsidP="00820BF6">
      <w:pPr>
        <w:spacing w:line="360" w:lineRule="auto"/>
        <w:rPr>
          <w:rFonts w:ascii="宋体" w:hAnsi="宋体"/>
          <w:b/>
          <w:bCs/>
          <w:color w:val="000000"/>
          <w:kern w:val="0"/>
          <w:szCs w:val="21"/>
        </w:rPr>
      </w:pPr>
      <w:r w:rsidRPr="00740D02">
        <w:rPr>
          <w:rFonts w:ascii="宋体" w:hAnsi="宋体"/>
          <w:b/>
          <w:bCs/>
          <w:color w:val="000000"/>
          <w:kern w:val="0"/>
          <w:szCs w:val="21"/>
        </w:rPr>
        <w:t xml:space="preserve">2.1.1 </w:t>
      </w:r>
      <w:r w:rsidRPr="00740D02">
        <w:rPr>
          <w:rFonts w:ascii="宋体" w:hAnsi="宋体" w:hint="eastAsia"/>
          <w:b/>
          <w:bCs/>
          <w:color w:val="000000"/>
          <w:kern w:val="0"/>
          <w:szCs w:val="21"/>
        </w:rPr>
        <w:t>目标基金基本情况</w:t>
      </w:r>
    </w:p>
    <w:tbl>
      <w:tblPr>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5"/>
        <w:gridCol w:w="5670"/>
      </w:tblGrid>
      <w:tr w:rsidR="005A152F" w:rsidRPr="000D12C1" w:rsidTr="00DC4F67">
        <w:tc>
          <w:tcPr>
            <w:tcW w:w="2835" w:type="dxa"/>
            <w:vAlign w:val="center"/>
          </w:tcPr>
          <w:p w:rsidR="005A152F" w:rsidRPr="003B55A6" w:rsidRDefault="005A152F" w:rsidP="005D2965">
            <w:pPr>
              <w:rPr>
                <w:szCs w:val="21"/>
              </w:rPr>
            </w:pPr>
            <w:r w:rsidRPr="003B55A6">
              <w:rPr>
                <w:rFonts w:hint="eastAsia"/>
                <w:szCs w:val="21"/>
              </w:rPr>
              <w:t>基金名称</w:t>
            </w:r>
          </w:p>
        </w:tc>
        <w:tc>
          <w:tcPr>
            <w:tcW w:w="5670" w:type="dxa"/>
            <w:vAlign w:val="center"/>
          </w:tcPr>
          <w:p w:rsidR="005A152F" w:rsidRPr="003B55A6" w:rsidRDefault="005A152F" w:rsidP="005D2965">
            <w:pPr>
              <w:jc w:val="right"/>
              <w:rPr>
                <w:szCs w:val="21"/>
              </w:rPr>
            </w:pPr>
            <w:r w:rsidRPr="003B55A6">
              <w:rPr>
                <w:szCs w:val="21"/>
              </w:rPr>
              <w:t>易方达恒生中国企业交易型开放式指数证券投资基金</w:t>
            </w:r>
          </w:p>
        </w:tc>
      </w:tr>
      <w:tr w:rsidR="005A152F" w:rsidRPr="000D12C1" w:rsidTr="00DC4F67">
        <w:tc>
          <w:tcPr>
            <w:tcW w:w="2835" w:type="dxa"/>
            <w:vAlign w:val="center"/>
          </w:tcPr>
          <w:p w:rsidR="005A152F" w:rsidRPr="003B55A6" w:rsidRDefault="005A152F" w:rsidP="005D2965">
            <w:pPr>
              <w:rPr>
                <w:szCs w:val="21"/>
              </w:rPr>
            </w:pPr>
            <w:r w:rsidRPr="003B55A6">
              <w:rPr>
                <w:rFonts w:hint="eastAsia"/>
                <w:szCs w:val="21"/>
              </w:rPr>
              <w:t>基金主代码</w:t>
            </w:r>
          </w:p>
        </w:tc>
        <w:tc>
          <w:tcPr>
            <w:tcW w:w="5670" w:type="dxa"/>
            <w:vAlign w:val="center"/>
          </w:tcPr>
          <w:p w:rsidR="005A152F" w:rsidRPr="003B55A6" w:rsidRDefault="005A152F" w:rsidP="005D2965">
            <w:pPr>
              <w:jc w:val="right"/>
              <w:rPr>
                <w:szCs w:val="21"/>
              </w:rPr>
            </w:pPr>
            <w:r w:rsidRPr="003B55A6">
              <w:rPr>
                <w:szCs w:val="21"/>
              </w:rPr>
              <w:t>510900</w:t>
            </w:r>
          </w:p>
        </w:tc>
      </w:tr>
      <w:tr w:rsidR="005A152F" w:rsidRPr="000D12C1" w:rsidTr="00DC4F67">
        <w:tc>
          <w:tcPr>
            <w:tcW w:w="2835" w:type="dxa"/>
            <w:vAlign w:val="center"/>
          </w:tcPr>
          <w:p w:rsidR="005A152F" w:rsidRPr="003B55A6" w:rsidRDefault="005A152F" w:rsidP="005D2965">
            <w:pPr>
              <w:rPr>
                <w:szCs w:val="21"/>
              </w:rPr>
            </w:pPr>
            <w:r w:rsidRPr="003B55A6">
              <w:rPr>
                <w:rFonts w:hint="eastAsia"/>
                <w:szCs w:val="21"/>
              </w:rPr>
              <w:t>基金运作方式</w:t>
            </w:r>
          </w:p>
        </w:tc>
        <w:tc>
          <w:tcPr>
            <w:tcW w:w="5670" w:type="dxa"/>
            <w:vAlign w:val="center"/>
          </w:tcPr>
          <w:p w:rsidR="005A152F" w:rsidRPr="003B55A6" w:rsidRDefault="005A152F" w:rsidP="005D2965">
            <w:pPr>
              <w:jc w:val="right"/>
              <w:rPr>
                <w:szCs w:val="21"/>
              </w:rPr>
            </w:pPr>
            <w:r w:rsidRPr="003B55A6">
              <w:rPr>
                <w:szCs w:val="21"/>
              </w:rPr>
              <w:t>交易型开放式（</w:t>
            </w:r>
            <w:r w:rsidRPr="003B55A6">
              <w:rPr>
                <w:szCs w:val="21"/>
              </w:rPr>
              <w:t>ETF</w:t>
            </w:r>
            <w:r w:rsidRPr="003B55A6">
              <w:rPr>
                <w:szCs w:val="21"/>
              </w:rPr>
              <w:t>）</w:t>
            </w:r>
          </w:p>
        </w:tc>
      </w:tr>
      <w:tr w:rsidR="005A152F" w:rsidRPr="000D12C1" w:rsidTr="00DC4F67">
        <w:tc>
          <w:tcPr>
            <w:tcW w:w="2835" w:type="dxa"/>
            <w:vAlign w:val="center"/>
          </w:tcPr>
          <w:p w:rsidR="005A152F" w:rsidRPr="003B55A6" w:rsidRDefault="005A152F" w:rsidP="005D2965">
            <w:pPr>
              <w:rPr>
                <w:szCs w:val="21"/>
              </w:rPr>
            </w:pPr>
            <w:r w:rsidRPr="003B55A6">
              <w:rPr>
                <w:rFonts w:hint="eastAsia"/>
                <w:szCs w:val="21"/>
              </w:rPr>
              <w:t>基金合同生效日</w:t>
            </w:r>
          </w:p>
        </w:tc>
        <w:tc>
          <w:tcPr>
            <w:tcW w:w="5670" w:type="dxa"/>
            <w:vAlign w:val="center"/>
          </w:tcPr>
          <w:p w:rsidR="005A152F" w:rsidRPr="003B55A6" w:rsidRDefault="005A152F" w:rsidP="005D2965">
            <w:pPr>
              <w:jc w:val="right"/>
              <w:rPr>
                <w:szCs w:val="21"/>
              </w:rPr>
            </w:pPr>
            <w:r w:rsidRPr="003B55A6">
              <w:rPr>
                <w:szCs w:val="21"/>
              </w:rPr>
              <w:t>2012</w:t>
            </w:r>
            <w:r w:rsidRPr="003B55A6">
              <w:rPr>
                <w:szCs w:val="21"/>
              </w:rPr>
              <w:t>年</w:t>
            </w:r>
            <w:r w:rsidRPr="003B55A6">
              <w:rPr>
                <w:szCs w:val="21"/>
              </w:rPr>
              <w:t>8</w:t>
            </w:r>
            <w:r w:rsidRPr="003B55A6">
              <w:rPr>
                <w:szCs w:val="21"/>
              </w:rPr>
              <w:t>月</w:t>
            </w:r>
            <w:r w:rsidRPr="003B55A6">
              <w:rPr>
                <w:szCs w:val="21"/>
              </w:rPr>
              <w:t>9</w:t>
            </w:r>
            <w:r w:rsidRPr="003B55A6">
              <w:rPr>
                <w:szCs w:val="21"/>
              </w:rPr>
              <w:t>日</w:t>
            </w:r>
          </w:p>
        </w:tc>
      </w:tr>
      <w:tr w:rsidR="005A152F" w:rsidRPr="000D12C1" w:rsidTr="00DC4F67">
        <w:tc>
          <w:tcPr>
            <w:tcW w:w="2835" w:type="dxa"/>
            <w:vAlign w:val="center"/>
          </w:tcPr>
          <w:p w:rsidR="005A152F" w:rsidRPr="003B55A6" w:rsidRDefault="005A152F" w:rsidP="005D2965">
            <w:pPr>
              <w:rPr>
                <w:szCs w:val="21"/>
              </w:rPr>
            </w:pPr>
            <w:r w:rsidRPr="003B55A6">
              <w:rPr>
                <w:rFonts w:hint="eastAsia"/>
                <w:szCs w:val="21"/>
              </w:rPr>
              <w:t>基金份额上市的证券交易所</w:t>
            </w:r>
          </w:p>
        </w:tc>
        <w:tc>
          <w:tcPr>
            <w:tcW w:w="5670" w:type="dxa"/>
            <w:vAlign w:val="center"/>
          </w:tcPr>
          <w:p w:rsidR="005A152F" w:rsidRPr="003B55A6" w:rsidRDefault="005A152F" w:rsidP="005D2965">
            <w:pPr>
              <w:jc w:val="right"/>
              <w:rPr>
                <w:szCs w:val="21"/>
              </w:rPr>
            </w:pPr>
            <w:r w:rsidRPr="003B55A6">
              <w:rPr>
                <w:szCs w:val="21"/>
              </w:rPr>
              <w:t>上海证券交易所</w:t>
            </w:r>
          </w:p>
        </w:tc>
      </w:tr>
      <w:tr w:rsidR="005A152F" w:rsidRPr="000D12C1" w:rsidTr="00DC4F67">
        <w:tc>
          <w:tcPr>
            <w:tcW w:w="2835" w:type="dxa"/>
            <w:vAlign w:val="center"/>
          </w:tcPr>
          <w:p w:rsidR="005A152F" w:rsidRPr="003B55A6" w:rsidRDefault="005A152F" w:rsidP="005D2965">
            <w:pPr>
              <w:rPr>
                <w:szCs w:val="21"/>
              </w:rPr>
            </w:pPr>
            <w:r w:rsidRPr="003B55A6">
              <w:rPr>
                <w:rFonts w:hint="eastAsia"/>
                <w:szCs w:val="21"/>
              </w:rPr>
              <w:t>上市日期</w:t>
            </w:r>
          </w:p>
        </w:tc>
        <w:tc>
          <w:tcPr>
            <w:tcW w:w="5670" w:type="dxa"/>
            <w:vAlign w:val="center"/>
          </w:tcPr>
          <w:p w:rsidR="005A152F" w:rsidRPr="003B55A6" w:rsidRDefault="005A152F" w:rsidP="005D2965">
            <w:pPr>
              <w:jc w:val="right"/>
              <w:rPr>
                <w:szCs w:val="21"/>
              </w:rPr>
            </w:pPr>
            <w:r w:rsidRPr="003B55A6">
              <w:rPr>
                <w:szCs w:val="21"/>
              </w:rPr>
              <w:t>2012</w:t>
            </w:r>
            <w:r w:rsidRPr="003B55A6">
              <w:rPr>
                <w:szCs w:val="21"/>
              </w:rPr>
              <w:t>年</w:t>
            </w:r>
            <w:r w:rsidRPr="003B55A6">
              <w:rPr>
                <w:szCs w:val="21"/>
              </w:rPr>
              <w:t>10</w:t>
            </w:r>
            <w:r w:rsidRPr="003B55A6">
              <w:rPr>
                <w:szCs w:val="21"/>
              </w:rPr>
              <w:t>月</w:t>
            </w:r>
            <w:r w:rsidRPr="003B55A6">
              <w:rPr>
                <w:szCs w:val="21"/>
              </w:rPr>
              <w:t>22</w:t>
            </w:r>
            <w:r w:rsidRPr="003B55A6">
              <w:rPr>
                <w:szCs w:val="21"/>
              </w:rPr>
              <w:t>日</w:t>
            </w:r>
          </w:p>
        </w:tc>
      </w:tr>
      <w:tr w:rsidR="005A152F" w:rsidRPr="000D12C1" w:rsidTr="00DC4F67">
        <w:tc>
          <w:tcPr>
            <w:tcW w:w="2835" w:type="dxa"/>
            <w:vAlign w:val="center"/>
          </w:tcPr>
          <w:p w:rsidR="005A152F" w:rsidRPr="003B55A6" w:rsidRDefault="005A152F" w:rsidP="005D2965">
            <w:pPr>
              <w:rPr>
                <w:szCs w:val="21"/>
              </w:rPr>
            </w:pPr>
            <w:r w:rsidRPr="003B55A6">
              <w:rPr>
                <w:rFonts w:hint="eastAsia"/>
                <w:szCs w:val="21"/>
              </w:rPr>
              <w:t>基金管理人名称</w:t>
            </w:r>
          </w:p>
        </w:tc>
        <w:tc>
          <w:tcPr>
            <w:tcW w:w="5670" w:type="dxa"/>
            <w:vAlign w:val="center"/>
          </w:tcPr>
          <w:p w:rsidR="005A152F" w:rsidRPr="003B55A6" w:rsidRDefault="005A152F" w:rsidP="005D2965">
            <w:pPr>
              <w:jc w:val="right"/>
              <w:rPr>
                <w:szCs w:val="21"/>
              </w:rPr>
            </w:pPr>
            <w:r w:rsidRPr="003B55A6">
              <w:rPr>
                <w:szCs w:val="21"/>
              </w:rPr>
              <w:t>易方达基金管理有限公司</w:t>
            </w:r>
          </w:p>
        </w:tc>
      </w:tr>
      <w:tr w:rsidR="005A152F" w:rsidRPr="000D12C1" w:rsidTr="00DC4F67">
        <w:tc>
          <w:tcPr>
            <w:tcW w:w="2835" w:type="dxa"/>
            <w:vAlign w:val="center"/>
          </w:tcPr>
          <w:p w:rsidR="005A152F" w:rsidRPr="003B55A6" w:rsidRDefault="005A152F" w:rsidP="005D2965">
            <w:pPr>
              <w:rPr>
                <w:szCs w:val="21"/>
              </w:rPr>
            </w:pPr>
            <w:r w:rsidRPr="003B55A6">
              <w:rPr>
                <w:rFonts w:hint="eastAsia"/>
                <w:szCs w:val="21"/>
              </w:rPr>
              <w:t>基金托管人名称</w:t>
            </w:r>
          </w:p>
        </w:tc>
        <w:tc>
          <w:tcPr>
            <w:tcW w:w="5670" w:type="dxa"/>
            <w:vAlign w:val="center"/>
          </w:tcPr>
          <w:p w:rsidR="005A152F" w:rsidRPr="003B55A6" w:rsidRDefault="005A152F" w:rsidP="005D2965">
            <w:pPr>
              <w:jc w:val="right"/>
              <w:rPr>
                <w:szCs w:val="21"/>
              </w:rPr>
            </w:pPr>
            <w:r w:rsidRPr="003B55A6">
              <w:rPr>
                <w:szCs w:val="21"/>
              </w:rPr>
              <w:t>交通银行股份有限公司</w:t>
            </w:r>
          </w:p>
        </w:tc>
      </w:tr>
    </w:tbl>
    <w:p w:rsidR="008A5A5D" w:rsidRPr="00A317EA" w:rsidRDefault="008A5A5D" w:rsidP="006C64F3">
      <w:pPr>
        <w:pStyle w:val="20"/>
        <w:spacing w:beforeLines="100" w:before="312" w:after="0"/>
        <w:rPr>
          <w:rFonts w:ascii="Times New Roman" w:eastAsiaTheme="minorEastAsia" w:hAnsi="Times New Roman"/>
          <w:kern w:val="0"/>
          <w:sz w:val="21"/>
          <w:szCs w:val="21"/>
        </w:rPr>
      </w:pPr>
      <w:bookmarkStart w:id="32" w:name="_Toc352255962"/>
      <w:bookmarkStart w:id="33" w:name="_Toc352256030"/>
      <w:bookmarkStart w:id="34" w:name="_Toc352331208"/>
      <w:bookmarkStart w:id="35" w:name="_Toc390164794"/>
      <w:bookmarkStart w:id="36" w:name="_Toc48662469"/>
      <w:r w:rsidRPr="0087359D">
        <w:rPr>
          <w:rFonts w:ascii="宋体" w:hAnsi="宋体"/>
          <w:kern w:val="0"/>
          <w:sz w:val="21"/>
          <w:szCs w:val="21"/>
        </w:rPr>
        <w:t>2.2</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基金产品说明</w:t>
      </w:r>
      <w:bookmarkEnd w:id="32"/>
      <w:bookmarkEnd w:id="33"/>
      <w:bookmarkEnd w:id="34"/>
      <w:bookmarkEnd w:id="35"/>
      <w:bookmarkEnd w:id="3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投资目标</w:t>
            </w:r>
          </w:p>
        </w:tc>
        <w:tc>
          <w:tcPr>
            <w:tcW w:w="6873" w:type="dxa"/>
            <w:vAlign w:val="bottom"/>
          </w:tcPr>
          <w:p w:rsidR="008A5A5D" w:rsidRPr="00C24ACA" w:rsidRDefault="008A5A5D">
            <w:pPr>
              <w:rPr>
                <w:rFonts w:eastAsiaTheme="minorEastAsia"/>
                <w:szCs w:val="21"/>
              </w:rPr>
            </w:pPr>
            <w:r w:rsidRPr="00C24ACA">
              <w:rPr>
                <w:rFonts w:eastAsiaTheme="minorEastAsia"/>
                <w:szCs w:val="21"/>
              </w:rPr>
              <w:t>紧密跟踪业绩比较基准，追求跟踪偏离度及跟踪误差的最小化。</w:t>
            </w:r>
          </w:p>
        </w:tc>
      </w:tr>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投资策略</w:t>
            </w:r>
          </w:p>
        </w:tc>
        <w:tc>
          <w:tcPr>
            <w:tcW w:w="6873" w:type="dxa"/>
            <w:vAlign w:val="bottom"/>
          </w:tcPr>
          <w:p w:rsidR="008A5A5D" w:rsidRPr="00C24ACA" w:rsidRDefault="008A5A5D">
            <w:pPr>
              <w:rPr>
                <w:rFonts w:eastAsiaTheme="minorEastAsia"/>
                <w:szCs w:val="21"/>
              </w:rPr>
            </w:pPr>
            <w:r w:rsidRPr="00C24ACA">
              <w:rPr>
                <w:rFonts w:eastAsiaTheme="minorEastAsia"/>
                <w:szCs w:val="21"/>
              </w:rPr>
              <w:t>本基金为易方达恒生中国企业</w:t>
            </w:r>
            <w:r w:rsidRPr="00C24ACA">
              <w:rPr>
                <w:rFonts w:eastAsiaTheme="minorEastAsia"/>
                <w:szCs w:val="21"/>
              </w:rPr>
              <w:t>ETF</w:t>
            </w:r>
            <w:r w:rsidRPr="00C24ACA">
              <w:rPr>
                <w:rFonts w:eastAsiaTheme="minorEastAsia"/>
                <w:szCs w:val="21"/>
              </w:rPr>
              <w:t>的联接基金，主要通过投资于易方达恒生中国企业</w:t>
            </w:r>
            <w:r w:rsidRPr="00C24ACA">
              <w:rPr>
                <w:rFonts w:eastAsiaTheme="minorEastAsia"/>
                <w:szCs w:val="21"/>
              </w:rPr>
              <w:t>ETF</w:t>
            </w:r>
            <w:r w:rsidRPr="00C24ACA">
              <w:rPr>
                <w:rFonts w:eastAsiaTheme="minorEastAsia"/>
                <w:szCs w:val="21"/>
              </w:rPr>
              <w:t>实现对业绩比较基准的紧密跟踪。本基金将在综合考虑合规、风险、效率、成本等因素的基础上，决定采用申赎的方式或证券二级市场交易的方式进行易方达恒生中国企业</w:t>
            </w:r>
            <w:r w:rsidRPr="00C24ACA">
              <w:rPr>
                <w:rFonts w:eastAsiaTheme="minorEastAsia"/>
                <w:szCs w:val="21"/>
              </w:rPr>
              <w:t>ETF</w:t>
            </w:r>
            <w:r w:rsidRPr="00C24ACA">
              <w:rPr>
                <w:rFonts w:eastAsiaTheme="minorEastAsia"/>
                <w:szCs w:val="21"/>
              </w:rPr>
              <w:t>的投资。为进行流动性管理、应付赎回、降低跟踪误差以及提高投资效率，本基金可投资恒生中国企业指数成份股及备选成份股、恒生中国企业指数期货或期权等金融衍生工具。本基金力争将年化跟踪误差控制在</w:t>
            </w:r>
            <w:r w:rsidRPr="00C24ACA">
              <w:rPr>
                <w:rFonts w:eastAsiaTheme="minorEastAsia"/>
                <w:szCs w:val="21"/>
              </w:rPr>
              <w:t>4%</w:t>
            </w:r>
            <w:r w:rsidRPr="00C24ACA">
              <w:rPr>
                <w:rFonts w:eastAsiaTheme="minorEastAsia"/>
                <w:szCs w:val="21"/>
              </w:rPr>
              <w:t>以内。</w:t>
            </w:r>
          </w:p>
        </w:tc>
      </w:tr>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业绩比较基准</w:t>
            </w:r>
          </w:p>
        </w:tc>
        <w:tc>
          <w:tcPr>
            <w:tcW w:w="6873" w:type="dxa"/>
            <w:vAlign w:val="bottom"/>
          </w:tcPr>
          <w:p w:rsidR="008A5A5D" w:rsidRPr="00C24ACA" w:rsidRDefault="008A5A5D">
            <w:pPr>
              <w:rPr>
                <w:rFonts w:eastAsiaTheme="minorEastAsia"/>
                <w:szCs w:val="21"/>
              </w:rPr>
            </w:pPr>
            <w:r w:rsidRPr="00C24ACA">
              <w:rPr>
                <w:rFonts w:eastAsiaTheme="minorEastAsia"/>
                <w:szCs w:val="21"/>
              </w:rPr>
              <w:t>恒生中国企业指数（使用估值汇率折算）收益率</w:t>
            </w:r>
            <w:r w:rsidRPr="00C24ACA">
              <w:rPr>
                <w:rFonts w:eastAsiaTheme="minorEastAsia"/>
                <w:szCs w:val="21"/>
              </w:rPr>
              <w:t>×95%+</w:t>
            </w:r>
            <w:r w:rsidRPr="00C24ACA">
              <w:rPr>
                <w:rFonts w:eastAsiaTheme="minorEastAsia"/>
                <w:szCs w:val="21"/>
              </w:rPr>
              <w:t>活期存款利率（税后）</w:t>
            </w:r>
            <w:r w:rsidRPr="00C24ACA">
              <w:rPr>
                <w:rFonts w:eastAsiaTheme="minorEastAsia"/>
                <w:szCs w:val="21"/>
              </w:rPr>
              <w:t>×5%</w:t>
            </w:r>
          </w:p>
        </w:tc>
      </w:tr>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风险收益特征</w:t>
            </w:r>
          </w:p>
        </w:tc>
        <w:tc>
          <w:tcPr>
            <w:tcW w:w="6873" w:type="dxa"/>
            <w:vAlign w:val="bottom"/>
          </w:tcPr>
          <w:p w:rsidR="00871824" w:rsidRDefault="00672BD5">
            <w:pPr>
              <w:rPr>
                <w:rFonts w:eastAsiaTheme="minorEastAsia"/>
                <w:szCs w:val="21"/>
              </w:rPr>
            </w:pPr>
            <w:r>
              <w:rPr>
                <w:rFonts w:eastAsiaTheme="minorEastAsia"/>
                <w:szCs w:val="21"/>
              </w:rPr>
              <w:t>本基金是</w:t>
            </w:r>
            <w:r>
              <w:rPr>
                <w:rFonts w:eastAsiaTheme="minorEastAsia"/>
                <w:szCs w:val="21"/>
              </w:rPr>
              <w:t xml:space="preserve">ETF </w:t>
            </w:r>
            <w:r>
              <w:rPr>
                <w:rFonts w:eastAsiaTheme="minorEastAsia"/>
                <w:szCs w:val="21"/>
              </w:rPr>
              <w:t>联接基金，理论上其风险收益水平高于混合型基金、债券基金和货币市场基金。</w:t>
            </w:r>
          </w:p>
          <w:p w:rsidR="008A5A5D" w:rsidRPr="00C24ACA" w:rsidRDefault="008A5A5D">
            <w:pPr>
              <w:rPr>
                <w:rFonts w:eastAsiaTheme="minorEastAsia"/>
                <w:szCs w:val="21"/>
              </w:rPr>
            </w:pPr>
            <w:r w:rsidRPr="00C24ACA">
              <w:rPr>
                <w:rFonts w:eastAsiaTheme="minorEastAsia"/>
                <w:szCs w:val="21"/>
              </w:rPr>
              <w:t>本基金主要通过投资于易方达恒生中国企业</w:t>
            </w:r>
            <w:r w:rsidRPr="00C24ACA">
              <w:rPr>
                <w:rFonts w:eastAsiaTheme="minorEastAsia"/>
                <w:szCs w:val="21"/>
              </w:rPr>
              <w:t xml:space="preserve">ETF </w:t>
            </w:r>
            <w:r w:rsidRPr="00C24ACA">
              <w:rPr>
                <w:rFonts w:eastAsiaTheme="minorEastAsia"/>
                <w:szCs w:val="21"/>
              </w:rPr>
              <w:t>实现对业绩比较基准的紧密跟踪。因此，本基金的业绩表现与恒生中国企业指数的表现密切相关。此外，本基金通过主要投资于易方达恒生中国企业</w:t>
            </w:r>
            <w:r w:rsidRPr="00C24ACA">
              <w:rPr>
                <w:rFonts w:eastAsiaTheme="minorEastAsia"/>
                <w:szCs w:val="21"/>
              </w:rPr>
              <w:t xml:space="preserve">ETF </w:t>
            </w:r>
            <w:r w:rsidRPr="00C24ACA">
              <w:rPr>
                <w:rFonts w:eastAsiaTheme="minorEastAsia"/>
                <w:szCs w:val="21"/>
              </w:rPr>
              <w:t>间接投资于香港证券市场，需承担汇率风险以及境外市场的风险。</w:t>
            </w:r>
          </w:p>
        </w:tc>
      </w:tr>
    </w:tbl>
    <w:p w:rsidR="006C64F3" w:rsidRPr="006C64F3" w:rsidRDefault="006C64F3" w:rsidP="00152AB0">
      <w:pPr>
        <w:spacing w:line="360" w:lineRule="auto"/>
        <w:rPr>
          <w:rFonts w:eastAsiaTheme="minorEastAsia"/>
          <w:b/>
          <w:color w:val="000000"/>
          <w:kern w:val="0"/>
          <w:szCs w:val="21"/>
        </w:rPr>
      </w:pPr>
      <w:r w:rsidRPr="00152AB0">
        <w:rPr>
          <w:rFonts w:ascii="宋体" w:hAnsi="宋体"/>
          <w:b/>
          <w:bCs/>
          <w:color w:val="000000"/>
          <w:kern w:val="0"/>
          <w:szCs w:val="21"/>
        </w:rPr>
        <w:t xml:space="preserve">2.2.1 </w:t>
      </w:r>
      <w:r w:rsidRPr="00152AB0">
        <w:rPr>
          <w:rFonts w:ascii="宋体" w:hAnsi="宋体" w:hint="eastAsia"/>
          <w:b/>
          <w:bCs/>
          <w:color w:val="000000"/>
          <w:kern w:val="0"/>
          <w:szCs w:val="21"/>
        </w:rPr>
        <w:t>目标基金产品说明</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5"/>
        <w:gridCol w:w="5652"/>
      </w:tblGrid>
      <w:tr w:rsidR="006C64F3" w:rsidRPr="00F059CF" w:rsidTr="00DC4F67">
        <w:tc>
          <w:tcPr>
            <w:tcW w:w="2835" w:type="dxa"/>
            <w:vAlign w:val="center"/>
          </w:tcPr>
          <w:p w:rsidR="006C64F3" w:rsidRPr="0009709F" w:rsidRDefault="006C64F3" w:rsidP="005D2965">
            <w:pPr>
              <w:rPr>
                <w:szCs w:val="21"/>
              </w:rPr>
            </w:pPr>
            <w:r w:rsidRPr="0009709F">
              <w:rPr>
                <w:rFonts w:hint="eastAsia"/>
                <w:szCs w:val="21"/>
              </w:rPr>
              <w:t>投资目标</w:t>
            </w:r>
          </w:p>
        </w:tc>
        <w:tc>
          <w:tcPr>
            <w:tcW w:w="5652" w:type="dxa"/>
            <w:vAlign w:val="center"/>
          </w:tcPr>
          <w:p w:rsidR="006C64F3" w:rsidRPr="0009709F" w:rsidRDefault="006C64F3" w:rsidP="005D2965">
            <w:pPr>
              <w:rPr>
                <w:szCs w:val="21"/>
              </w:rPr>
            </w:pPr>
            <w:r w:rsidRPr="0009709F">
              <w:rPr>
                <w:szCs w:val="21"/>
              </w:rPr>
              <w:t>紧密跟踪标的指数，追求跟踪偏离度及跟踪误差的最小化。</w:t>
            </w:r>
          </w:p>
        </w:tc>
      </w:tr>
      <w:tr w:rsidR="006C64F3" w:rsidRPr="00F059CF" w:rsidTr="00DC4F67">
        <w:tc>
          <w:tcPr>
            <w:tcW w:w="2835" w:type="dxa"/>
            <w:vAlign w:val="center"/>
          </w:tcPr>
          <w:p w:rsidR="006C64F3" w:rsidRPr="0009709F" w:rsidRDefault="006C64F3" w:rsidP="005D2965">
            <w:pPr>
              <w:rPr>
                <w:szCs w:val="21"/>
              </w:rPr>
            </w:pPr>
            <w:r w:rsidRPr="0009709F">
              <w:rPr>
                <w:rFonts w:hint="eastAsia"/>
                <w:szCs w:val="21"/>
              </w:rPr>
              <w:t>投资策略</w:t>
            </w:r>
          </w:p>
        </w:tc>
        <w:tc>
          <w:tcPr>
            <w:tcW w:w="5652" w:type="dxa"/>
            <w:vAlign w:val="center"/>
          </w:tcPr>
          <w:p w:rsidR="006C64F3" w:rsidRPr="0009709F" w:rsidRDefault="006C64F3" w:rsidP="005D2965">
            <w:pPr>
              <w:rPr>
                <w:szCs w:val="21"/>
              </w:rPr>
            </w:pPr>
            <w:r w:rsidRPr="0009709F">
              <w:rPr>
                <w:szCs w:val="21"/>
              </w:rPr>
              <w:t>本基金主要采取组合复制策略和适当的替代性策略实现对标的指数的紧密跟踪。同时，本基金可适当借出证券，以更好实现本基金的投资目标。本基金主要采取完全复制法进行投资，即参考恒生中国企业指数的成份股组成及权重构建股票投资组合，并根据恒生中国企业指数的成份股组成及权重变动对股票投资组合进行相应调整。当市场流动性不足、法规规定本基金不能投资关联方股票等情况导致本基金无法按照指数构成及权重进行组合构建时，基金管理人将通过投资其他成份股、非成份股、成份股个股衍生品进行替代。为进行流动性管理、应付赎回、降低跟踪误差以及提高投资效率，本基金可投资恒生</w:t>
            </w:r>
            <w:r w:rsidRPr="0009709F">
              <w:rPr>
                <w:szCs w:val="21"/>
              </w:rPr>
              <w:t>H</w:t>
            </w:r>
            <w:r w:rsidRPr="0009709F">
              <w:rPr>
                <w:szCs w:val="21"/>
              </w:rPr>
              <w:t>股指数期货或期权等金融衍生工具。本基金力争将年化跟踪误差控制在</w:t>
            </w:r>
            <w:r w:rsidRPr="0009709F">
              <w:rPr>
                <w:szCs w:val="21"/>
              </w:rPr>
              <w:t>3%</w:t>
            </w:r>
            <w:r w:rsidRPr="0009709F">
              <w:rPr>
                <w:szCs w:val="21"/>
              </w:rPr>
              <w:t>以内。</w:t>
            </w:r>
          </w:p>
        </w:tc>
      </w:tr>
      <w:tr w:rsidR="006C64F3" w:rsidRPr="00F059CF" w:rsidTr="00DC4F67">
        <w:tc>
          <w:tcPr>
            <w:tcW w:w="2835" w:type="dxa"/>
            <w:vAlign w:val="center"/>
          </w:tcPr>
          <w:p w:rsidR="006C64F3" w:rsidRPr="0009709F" w:rsidRDefault="006C64F3" w:rsidP="005D2965">
            <w:pPr>
              <w:rPr>
                <w:szCs w:val="21"/>
              </w:rPr>
            </w:pPr>
            <w:r w:rsidRPr="0009709F">
              <w:rPr>
                <w:rFonts w:hint="eastAsia"/>
                <w:szCs w:val="21"/>
              </w:rPr>
              <w:t>业绩比较基准</w:t>
            </w:r>
          </w:p>
        </w:tc>
        <w:tc>
          <w:tcPr>
            <w:tcW w:w="5652" w:type="dxa"/>
            <w:vAlign w:val="center"/>
          </w:tcPr>
          <w:p w:rsidR="006C64F3" w:rsidRPr="0009709F" w:rsidRDefault="006C64F3" w:rsidP="005D2965">
            <w:pPr>
              <w:rPr>
                <w:szCs w:val="21"/>
              </w:rPr>
            </w:pPr>
            <w:r w:rsidRPr="0009709F">
              <w:rPr>
                <w:szCs w:val="21"/>
              </w:rPr>
              <w:t>恒生中国企业指数（使用估值汇率折算）</w:t>
            </w:r>
          </w:p>
        </w:tc>
      </w:tr>
      <w:tr w:rsidR="006C64F3" w:rsidRPr="00F059CF" w:rsidTr="00DC4F67">
        <w:tc>
          <w:tcPr>
            <w:tcW w:w="2835" w:type="dxa"/>
            <w:vAlign w:val="center"/>
          </w:tcPr>
          <w:p w:rsidR="006C64F3" w:rsidRPr="0009709F" w:rsidRDefault="006C64F3" w:rsidP="005D2965">
            <w:pPr>
              <w:rPr>
                <w:szCs w:val="21"/>
              </w:rPr>
            </w:pPr>
            <w:r w:rsidRPr="0009709F">
              <w:rPr>
                <w:rFonts w:hint="eastAsia"/>
                <w:szCs w:val="21"/>
              </w:rPr>
              <w:t>风险收益特征</w:t>
            </w:r>
          </w:p>
        </w:tc>
        <w:tc>
          <w:tcPr>
            <w:tcW w:w="5652" w:type="dxa"/>
            <w:vAlign w:val="center"/>
          </w:tcPr>
          <w:p w:rsidR="006C64F3" w:rsidRPr="0009709F" w:rsidRDefault="006C64F3" w:rsidP="005D2965">
            <w:pPr>
              <w:rPr>
                <w:szCs w:val="21"/>
              </w:rPr>
            </w:pPr>
            <w:r w:rsidRPr="0009709F">
              <w:rPr>
                <w:szCs w:val="21"/>
              </w:rPr>
              <w:t>本基金属股票指数基金，预期风险与收益水平高于混合基金、债券基金与货币市场基金。本基金主要采用完全复制法跟踪标的指数的表现，具有与标的指数相似的风险收益特征。本基金主要投资香港证券市场上市的中国企业，需承担汇率风险以及境外市场的风险。</w:t>
            </w:r>
          </w:p>
        </w:tc>
      </w:tr>
    </w:tbl>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37" w:name="_Toc225498247"/>
      <w:bookmarkStart w:id="38" w:name="_Toc352255963"/>
      <w:bookmarkStart w:id="39" w:name="_Toc352256031"/>
      <w:bookmarkStart w:id="40" w:name="_Toc352331209"/>
      <w:bookmarkStart w:id="41" w:name="_Toc390164795"/>
      <w:bookmarkStart w:id="42" w:name="_Toc48662470"/>
      <w:r w:rsidRPr="0087359D">
        <w:rPr>
          <w:rFonts w:ascii="宋体" w:hAnsi="宋体"/>
          <w:kern w:val="0"/>
          <w:sz w:val="21"/>
          <w:szCs w:val="21"/>
        </w:rPr>
        <w:t>2.3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基金</w:t>
      </w:r>
      <w:r w:rsidRPr="00A317EA">
        <w:rPr>
          <w:rFonts w:ascii="Times New Roman" w:eastAsiaTheme="minorEastAsia" w:hAnsi="Times New Roman"/>
          <w:kern w:val="0"/>
          <w:sz w:val="21"/>
          <w:szCs w:val="21"/>
        </w:rPr>
        <w:t>管理</w:t>
      </w:r>
      <w:r w:rsidRPr="00C24ACA">
        <w:rPr>
          <w:rFonts w:ascii="Times New Roman" w:eastAsiaTheme="minorEastAsia" w:hAnsi="Times New Roman"/>
          <w:kern w:val="0"/>
          <w:sz w:val="21"/>
          <w:szCs w:val="21"/>
        </w:rPr>
        <w:t>人和基金托管人</w:t>
      </w:r>
      <w:bookmarkEnd w:id="37"/>
      <w:bookmarkEnd w:id="38"/>
      <w:bookmarkEnd w:id="39"/>
      <w:bookmarkEnd w:id="40"/>
      <w:bookmarkEnd w:id="41"/>
      <w:bookmarkEnd w:id="4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8A5A5D" w:rsidRPr="00C24ACA" w:rsidTr="006D141C">
        <w:tc>
          <w:tcPr>
            <w:tcW w:w="2631" w:type="dxa"/>
            <w:gridSpan w:val="2"/>
            <w:vAlign w:val="center"/>
          </w:tcPr>
          <w:p w:rsidR="008A5A5D" w:rsidRPr="00C24ACA" w:rsidRDefault="008A5A5D">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项目</w:t>
            </w:r>
          </w:p>
        </w:tc>
        <w:tc>
          <w:tcPr>
            <w:tcW w:w="3060" w:type="dxa"/>
            <w:vAlign w:val="center"/>
          </w:tcPr>
          <w:p w:rsidR="008A5A5D" w:rsidRPr="00C24ACA" w:rsidRDefault="008A5A5D" w:rsidP="00EC549A">
            <w:pPr>
              <w:jc w:val="center"/>
              <w:rPr>
                <w:rFonts w:eastAsiaTheme="minorEastAsia"/>
                <w:color w:val="000000"/>
                <w:szCs w:val="21"/>
              </w:rPr>
            </w:pPr>
            <w:r w:rsidRPr="00C24ACA">
              <w:rPr>
                <w:rFonts w:eastAsiaTheme="minorEastAsia"/>
                <w:color w:val="000000"/>
                <w:szCs w:val="21"/>
              </w:rPr>
              <w:t>基金管理人</w:t>
            </w:r>
          </w:p>
        </w:tc>
        <w:tc>
          <w:tcPr>
            <w:tcW w:w="3060" w:type="dxa"/>
            <w:vAlign w:val="center"/>
          </w:tcPr>
          <w:p w:rsidR="008A5A5D" w:rsidRPr="00C24ACA" w:rsidRDefault="008A5A5D" w:rsidP="00EC549A">
            <w:pPr>
              <w:jc w:val="center"/>
              <w:rPr>
                <w:rFonts w:eastAsiaTheme="minorEastAsia"/>
                <w:color w:val="000000"/>
                <w:szCs w:val="21"/>
              </w:rPr>
            </w:pPr>
            <w:r w:rsidRPr="00C24ACA">
              <w:rPr>
                <w:rFonts w:eastAsiaTheme="minorEastAsia"/>
                <w:color w:val="000000"/>
                <w:szCs w:val="21"/>
              </w:rPr>
              <w:t>基金托管人</w:t>
            </w:r>
          </w:p>
        </w:tc>
      </w:tr>
      <w:tr w:rsidR="008A5A5D" w:rsidRPr="00C24ACA" w:rsidTr="006D141C">
        <w:tc>
          <w:tcPr>
            <w:tcW w:w="2631" w:type="dxa"/>
            <w:gridSpan w:val="2"/>
            <w:vAlign w:val="center"/>
          </w:tcPr>
          <w:p w:rsidR="008A5A5D" w:rsidRPr="00C24ACA" w:rsidRDefault="008A5A5D">
            <w:pPr>
              <w:autoSpaceDE w:val="0"/>
              <w:autoSpaceDN w:val="0"/>
              <w:adjustRightInd w:val="0"/>
              <w:spacing w:before="29" w:line="288" w:lineRule="auto"/>
              <w:ind w:left="15"/>
              <w:rPr>
                <w:rFonts w:eastAsiaTheme="minorEastAsia"/>
                <w:color w:val="000000"/>
                <w:kern w:val="0"/>
                <w:szCs w:val="21"/>
              </w:rPr>
            </w:pPr>
            <w:r w:rsidRPr="00C24ACA">
              <w:rPr>
                <w:rFonts w:eastAsiaTheme="minorEastAsia"/>
                <w:color w:val="000000"/>
                <w:kern w:val="0"/>
                <w:szCs w:val="21"/>
              </w:rPr>
              <w:t>名称</w:t>
            </w:r>
          </w:p>
        </w:tc>
        <w:tc>
          <w:tcPr>
            <w:tcW w:w="3060" w:type="dxa"/>
            <w:vAlign w:val="center"/>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易方达基金管理有限公司</w:t>
            </w:r>
          </w:p>
        </w:tc>
        <w:tc>
          <w:tcPr>
            <w:tcW w:w="3060" w:type="dxa"/>
            <w:vAlign w:val="center"/>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交通银行股份有限公司</w:t>
            </w:r>
          </w:p>
        </w:tc>
      </w:tr>
      <w:tr w:rsidR="008A5A5D" w:rsidRPr="00C24ACA" w:rsidTr="006D141C">
        <w:tc>
          <w:tcPr>
            <w:tcW w:w="1260" w:type="dxa"/>
            <w:vMerge w:val="restart"/>
            <w:vAlign w:val="center"/>
          </w:tcPr>
          <w:p w:rsidR="008A5A5D" w:rsidRPr="00C24ACA" w:rsidRDefault="008A5A5D">
            <w:pPr>
              <w:autoSpaceDE w:val="0"/>
              <w:autoSpaceDN w:val="0"/>
              <w:adjustRightInd w:val="0"/>
              <w:spacing w:before="29" w:line="360" w:lineRule="auto"/>
              <w:ind w:left="15"/>
              <w:rPr>
                <w:rFonts w:eastAsiaTheme="minorEastAsia"/>
                <w:color w:val="000000"/>
                <w:kern w:val="0"/>
                <w:szCs w:val="21"/>
              </w:rPr>
            </w:pPr>
            <w:r w:rsidRPr="00C24ACA">
              <w:rPr>
                <w:rFonts w:eastAsiaTheme="minorEastAsia"/>
                <w:color w:val="000000"/>
                <w:szCs w:val="21"/>
              </w:rPr>
              <w:t>信息披露负责人</w:t>
            </w:r>
          </w:p>
        </w:tc>
        <w:tc>
          <w:tcPr>
            <w:tcW w:w="1371" w:type="dxa"/>
            <w:vAlign w:val="center"/>
          </w:tcPr>
          <w:p w:rsidR="008A5A5D" w:rsidRPr="00C24ACA" w:rsidRDefault="008A5A5D">
            <w:pPr>
              <w:jc w:val="center"/>
              <w:rPr>
                <w:rFonts w:eastAsiaTheme="minorEastAsia"/>
                <w:color w:val="000000"/>
                <w:szCs w:val="21"/>
              </w:rPr>
            </w:pPr>
            <w:r w:rsidRPr="00C24ACA">
              <w:rPr>
                <w:rFonts w:eastAsiaTheme="minorEastAsia"/>
                <w:color w:val="000000"/>
                <w:szCs w:val="21"/>
              </w:rPr>
              <w:t>姓名</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张南</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陆志俊</w:t>
            </w:r>
          </w:p>
        </w:tc>
      </w:tr>
      <w:tr w:rsidR="008A5A5D" w:rsidRPr="00C24ACA" w:rsidTr="006D141C">
        <w:tc>
          <w:tcPr>
            <w:tcW w:w="2631" w:type="dxa"/>
            <w:vMerge/>
            <w:vAlign w:val="center"/>
          </w:tcPr>
          <w:p w:rsidR="008A5A5D" w:rsidRPr="00C24ACA" w:rsidRDefault="008A5A5D">
            <w:pPr>
              <w:widowControl/>
              <w:jc w:val="left"/>
              <w:rPr>
                <w:rFonts w:eastAsiaTheme="minorEastAsia"/>
                <w:color w:val="000000"/>
                <w:kern w:val="0"/>
                <w:szCs w:val="21"/>
              </w:rPr>
            </w:pPr>
          </w:p>
        </w:tc>
        <w:tc>
          <w:tcPr>
            <w:tcW w:w="1371" w:type="dxa"/>
            <w:vAlign w:val="center"/>
          </w:tcPr>
          <w:p w:rsidR="008A5A5D" w:rsidRPr="00C24ACA" w:rsidRDefault="008A5A5D">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szCs w:val="21"/>
              </w:rPr>
              <w:t>联系电话</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020-85102688</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95559</w:t>
            </w:r>
          </w:p>
        </w:tc>
      </w:tr>
      <w:tr w:rsidR="008A5A5D" w:rsidRPr="00C24ACA" w:rsidTr="006D141C">
        <w:tc>
          <w:tcPr>
            <w:tcW w:w="2631" w:type="dxa"/>
            <w:vMerge/>
            <w:vAlign w:val="center"/>
          </w:tcPr>
          <w:p w:rsidR="008A5A5D" w:rsidRPr="00C24ACA" w:rsidRDefault="008A5A5D">
            <w:pPr>
              <w:widowControl/>
              <w:jc w:val="left"/>
              <w:rPr>
                <w:rFonts w:eastAsiaTheme="minorEastAsia"/>
                <w:color w:val="000000"/>
                <w:kern w:val="0"/>
                <w:szCs w:val="21"/>
              </w:rPr>
            </w:pPr>
          </w:p>
        </w:tc>
        <w:tc>
          <w:tcPr>
            <w:tcW w:w="1371" w:type="dxa"/>
            <w:vAlign w:val="center"/>
          </w:tcPr>
          <w:p w:rsidR="008A5A5D" w:rsidRPr="00C24ACA" w:rsidRDefault="008A5A5D">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szCs w:val="21"/>
              </w:rPr>
              <w:t>电子邮箱</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service@efunds.com.cn</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luzj@bankcomm.com</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客户服务电话</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400 881 8088</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95559</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传真</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020-85104666</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021-62701216</w:t>
            </w:r>
          </w:p>
        </w:tc>
      </w:tr>
      <w:tr w:rsidR="008A5A5D" w:rsidRPr="00C24ACA" w:rsidTr="00976F71">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注册地址</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广东省珠海市横琴新区宝华路</w:t>
            </w:r>
            <w:r w:rsidRPr="00C24ACA">
              <w:rPr>
                <w:rFonts w:eastAsiaTheme="minorEastAsia"/>
                <w:color w:val="000000"/>
                <w:kern w:val="0"/>
                <w:szCs w:val="21"/>
              </w:rPr>
              <w:t>6</w:t>
            </w:r>
            <w:r w:rsidRPr="00C24ACA">
              <w:rPr>
                <w:rFonts w:eastAsiaTheme="minorEastAsia"/>
                <w:color w:val="000000"/>
                <w:kern w:val="0"/>
                <w:szCs w:val="21"/>
              </w:rPr>
              <w:t>号</w:t>
            </w:r>
            <w:r w:rsidRPr="00C24ACA">
              <w:rPr>
                <w:rFonts w:eastAsiaTheme="minorEastAsia"/>
                <w:color w:val="000000"/>
                <w:kern w:val="0"/>
                <w:szCs w:val="21"/>
              </w:rPr>
              <w:t>105</w:t>
            </w:r>
            <w:r w:rsidRPr="00C24ACA">
              <w:rPr>
                <w:rFonts w:eastAsiaTheme="minorEastAsia"/>
                <w:color w:val="000000"/>
                <w:kern w:val="0"/>
                <w:szCs w:val="21"/>
              </w:rPr>
              <w:t>室－</w:t>
            </w:r>
            <w:r w:rsidRPr="00C24ACA">
              <w:rPr>
                <w:rFonts w:eastAsiaTheme="minorEastAsia"/>
                <w:color w:val="000000"/>
                <w:kern w:val="0"/>
                <w:szCs w:val="21"/>
              </w:rPr>
              <w:t>42891</w:t>
            </w:r>
            <w:r w:rsidRPr="00C24ACA">
              <w:rPr>
                <w:rFonts w:eastAsiaTheme="minorEastAsia"/>
                <w:color w:val="000000"/>
                <w:kern w:val="0"/>
                <w:szCs w:val="21"/>
              </w:rPr>
              <w:t>（集中办公区）</w:t>
            </w:r>
          </w:p>
        </w:tc>
        <w:tc>
          <w:tcPr>
            <w:tcW w:w="3060" w:type="dxa"/>
          </w:tcPr>
          <w:p w:rsidR="008A5A5D" w:rsidRPr="00C24ACA" w:rsidRDefault="008A5A5D" w:rsidP="00976F71">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中国（上海）自由贸易试验区银城中路</w:t>
            </w:r>
            <w:r w:rsidRPr="00C24ACA">
              <w:rPr>
                <w:rFonts w:eastAsiaTheme="minorEastAsia"/>
                <w:color w:val="000000"/>
                <w:kern w:val="0"/>
                <w:szCs w:val="21"/>
              </w:rPr>
              <w:t>188</w:t>
            </w:r>
            <w:r w:rsidRPr="00C24ACA">
              <w:rPr>
                <w:rFonts w:eastAsiaTheme="minorEastAsia"/>
                <w:color w:val="000000"/>
                <w:kern w:val="0"/>
                <w:szCs w:val="21"/>
              </w:rPr>
              <w:t>号</w:t>
            </w:r>
          </w:p>
        </w:tc>
      </w:tr>
      <w:tr w:rsidR="008A5A5D" w:rsidRPr="00C24ACA" w:rsidTr="00976F71">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办公地址</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广州市天河区珠江新城珠江东路</w:t>
            </w:r>
            <w:r w:rsidRPr="00C24ACA">
              <w:rPr>
                <w:rFonts w:eastAsiaTheme="minorEastAsia"/>
                <w:color w:val="000000"/>
                <w:kern w:val="0"/>
                <w:szCs w:val="21"/>
              </w:rPr>
              <w:t>30</w:t>
            </w:r>
            <w:r w:rsidRPr="00C24ACA">
              <w:rPr>
                <w:rFonts w:eastAsiaTheme="minorEastAsia"/>
                <w:color w:val="000000"/>
                <w:kern w:val="0"/>
                <w:szCs w:val="21"/>
              </w:rPr>
              <w:t>号广州银行大厦</w:t>
            </w:r>
            <w:r w:rsidRPr="00C24ACA">
              <w:rPr>
                <w:rFonts w:eastAsiaTheme="minorEastAsia"/>
                <w:color w:val="000000"/>
                <w:kern w:val="0"/>
                <w:szCs w:val="21"/>
              </w:rPr>
              <w:t>40-43</w:t>
            </w:r>
            <w:r w:rsidRPr="00C24ACA">
              <w:rPr>
                <w:rFonts w:eastAsiaTheme="minorEastAsia"/>
                <w:color w:val="000000"/>
                <w:kern w:val="0"/>
                <w:szCs w:val="21"/>
              </w:rPr>
              <w:t>楼</w:t>
            </w:r>
          </w:p>
        </w:tc>
        <w:tc>
          <w:tcPr>
            <w:tcW w:w="3060" w:type="dxa"/>
          </w:tcPr>
          <w:p w:rsidR="008A5A5D" w:rsidRPr="00C24ACA" w:rsidRDefault="008A5A5D" w:rsidP="00976F71">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中国（上海）长宁区仙霞路</w:t>
            </w:r>
            <w:r w:rsidRPr="00C24ACA">
              <w:rPr>
                <w:rFonts w:eastAsiaTheme="minorEastAsia"/>
                <w:color w:val="000000"/>
                <w:kern w:val="0"/>
                <w:szCs w:val="21"/>
              </w:rPr>
              <w:t>18</w:t>
            </w:r>
            <w:r w:rsidRPr="00C24ACA">
              <w:rPr>
                <w:rFonts w:eastAsiaTheme="minorEastAsia"/>
                <w:color w:val="000000"/>
                <w:kern w:val="0"/>
                <w:szCs w:val="21"/>
              </w:rPr>
              <w:t>号</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邮政编码</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510620</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200336</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法定代表人</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刘晓艳</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任德奇</w:t>
            </w:r>
          </w:p>
        </w:tc>
      </w:tr>
    </w:tbl>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43" w:name="_Toc224618346"/>
      <w:bookmarkStart w:id="44" w:name="_Toc235605676"/>
      <w:bookmarkStart w:id="45" w:name="_Toc286929724"/>
      <w:bookmarkStart w:id="46" w:name="_Toc352255964"/>
      <w:bookmarkStart w:id="47" w:name="_Toc352256032"/>
      <w:bookmarkStart w:id="48" w:name="_Toc352331210"/>
      <w:bookmarkStart w:id="49" w:name="_Toc390164796"/>
      <w:bookmarkStart w:id="50" w:name="_Toc48662471"/>
      <w:r w:rsidRPr="0087359D">
        <w:rPr>
          <w:rFonts w:ascii="宋体" w:hAnsi="宋体"/>
          <w:kern w:val="0"/>
          <w:sz w:val="21"/>
          <w:szCs w:val="21"/>
        </w:rPr>
        <w:t>2.4</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境外投资顾问和境外资产托管人</w:t>
      </w:r>
      <w:bookmarkEnd w:id="43"/>
      <w:bookmarkEnd w:id="44"/>
      <w:bookmarkEnd w:id="45"/>
      <w:bookmarkEnd w:id="46"/>
      <w:bookmarkEnd w:id="47"/>
      <w:bookmarkEnd w:id="48"/>
      <w:bookmarkEnd w:id="49"/>
      <w:bookmarkEnd w:id="5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
        <w:gridCol w:w="900"/>
        <w:gridCol w:w="3600"/>
        <w:gridCol w:w="3600"/>
      </w:tblGrid>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项目</w:t>
            </w:r>
          </w:p>
        </w:tc>
        <w:tc>
          <w:tcPr>
            <w:tcW w:w="3600" w:type="dxa"/>
            <w:vAlign w:val="center"/>
          </w:tcPr>
          <w:p w:rsidR="008A5A5D" w:rsidRPr="00C24ACA" w:rsidRDefault="008A5A5D" w:rsidP="004B68EC">
            <w:pPr>
              <w:spacing w:line="360" w:lineRule="auto"/>
              <w:jc w:val="center"/>
              <w:rPr>
                <w:rFonts w:eastAsiaTheme="minorEastAsia"/>
                <w:szCs w:val="21"/>
              </w:rPr>
            </w:pPr>
            <w:r w:rsidRPr="00C24ACA">
              <w:rPr>
                <w:rFonts w:eastAsiaTheme="minorEastAsia"/>
                <w:kern w:val="0"/>
                <w:szCs w:val="21"/>
              </w:rPr>
              <w:t>境外投资顾问</w:t>
            </w:r>
          </w:p>
        </w:tc>
        <w:tc>
          <w:tcPr>
            <w:tcW w:w="3600" w:type="dxa"/>
            <w:vAlign w:val="center"/>
          </w:tcPr>
          <w:p w:rsidR="008A5A5D" w:rsidRPr="00C24ACA" w:rsidRDefault="008A5A5D" w:rsidP="004B68EC">
            <w:pPr>
              <w:spacing w:line="360" w:lineRule="auto"/>
              <w:jc w:val="center"/>
              <w:rPr>
                <w:rFonts w:eastAsiaTheme="minorEastAsia"/>
                <w:szCs w:val="21"/>
              </w:rPr>
            </w:pPr>
            <w:r w:rsidRPr="00C24ACA">
              <w:rPr>
                <w:rFonts w:eastAsiaTheme="minorEastAsia"/>
                <w:kern w:val="0"/>
                <w:szCs w:val="21"/>
              </w:rPr>
              <w:t>境外资产托管人</w:t>
            </w:r>
          </w:p>
        </w:tc>
      </w:tr>
      <w:tr w:rsidR="008A5A5D" w:rsidRPr="00C24ACA" w:rsidTr="004B68EC">
        <w:trPr>
          <w:trHeight w:val="370"/>
        </w:trPr>
        <w:tc>
          <w:tcPr>
            <w:tcW w:w="900" w:type="dxa"/>
            <w:vMerge w:val="restart"/>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名称</w:t>
            </w:r>
          </w:p>
        </w:tc>
        <w:tc>
          <w:tcPr>
            <w:tcW w:w="900" w:type="dxa"/>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英文</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The Hongkong and Shanghai Banking Corporation Limited</w:t>
            </w:r>
          </w:p>
        </w:tc>
      </w:tr>
      <w:tr w:rsidR="008A5A5D" w:rsidRPr="00C24ACA" w:rsidTr="004B68EC">
        <w:trPr>
          <w:trHeight w:val="335"/>
        </w:trPr>
        <w:tc>
          <w:tcPr>
            <w:tcW w:w="900" w:type="dxa"/>
            <w:vMerge/>
            <w:vAlign w:val="center"/>
          </w:tcPr>
          <w:p w:rsidR="008A5A5D" w:rsidRPr="00C24ACA" w:rsidRDefault="008A5A5D" w:rsidP="004B68EC">
            <w:pPr>
              <w:jc w:val="center"/>
              <w:rPr>
                <w:rFonts w:eastAsiaTheme="minorEastAsia"/>
                <w:color w:val="000000"/>
                <w:szCs w:val="21"/>
              </w:rPr>
            </w:pPr>
          </w:p>
        </w:tc>
        <w:tc>
          <w:tcPr>
            <w:tcW w:w="900" w:type="dxa"/>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中文</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香港上海汇丰银行有限公司</w:t>
            </w:r>
          </w:p>
        </w:tc>
      </w:tr>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注册地址</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香港皇后大道中一号</w:t>
            </w:r>
          </w:p>
        </w:tc>
      </w:tr>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办公地址</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香港九龙深旺道</w:t>
            </w:r>
            <w:r w:rsidRPr="00C24ACA">
              <w:rPr>
                <w:rFonts w:eastAsiaTheme="minorEastAsia"/>
                <w:szCs w:val="21"/>
              </w:rPr>
              <w:t>1</w:t>
            </w:r>
            <w:r w:rsidRPr="00C24ACA">
              <w:rPr>
                <w:rFonts w:eastAsiaTheme="minorEastAsia"/>
                <w:szCs w:val="21"/>
              </w:rPr>
              <w:t>号汇丰中心</w:t>
            </w:r>
            <w:r w:rsidRPr="00C24ACA">
              <w:rPr>
                <w:rFonts w:eastAsiaTheme="minorEastAsia"/>
                <w:szCs w:val="21"/>
              </w:rPr>
              <w:t>1</w:t>
            </w:r>
            <w:r w:rsidRPr="00C24ACA">
              <w:rPr>
                <w:rFonts w:eastAsiaTheme="minorEastAsia"/>
                <w:szCs w:val="21"/>
              </w:rPr>
              <w:t>座</w:t>
            </w:r>
            <w:r w:rsidRPr="00C24ACA">
              <w:rPr>
                <w:rFonts w:eastAsiaTheme="minorEastAsia"/>
                <w:szCs w:val="21"/>
              </w:rPr>
              <w:t>6</w:t>
            </w:r>
            <w:r w:rsidRPr="00C24ACA">
              <w:rPr>
                <w:rFonts w:eastAsiaTheme="minorEastAsia"/>
                <w:szCs w:val="21"/>
              </w:rPr>
              <w:t>楼</w:t>
            </w:r>
          </w:p>
        </w:tc>
      </w:tr>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邮政编码</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r>
    </w:tbl>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51" w:name="_Toc225498248"/>
      <w:bookmarkStart w:id="52" w:name="_Toc352255965"/>
      <w:bookmarkStart w:id="53" w:name="_Toc352256033"/>
      <w:bookmarkStart w:id="54" w:name="_Toc352331211"/>
      <w:bookmarkStart w:id="55" w:name="_Toc390164797"/>
      <w:bookmarkStart w:id="56" w:name="_Toc48662472"/>
      <w:r w:rsidRPr="0087359D">
        <w:rPr>
          <w:rFonts w:ascii="宋体" w:hAnsi="宋体"/>
          <w:kern w:val="0"/>
          <w:sz w:val="21"/>
          <w:szCs w:val="21"/>
        </w:rPr>
        <w:t>2.5</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信息披露方式</w:t>
      </w:r>
      <w:bookmarkEnd w:id="51"/>
      <w:bookmarkEnd w:id="52"/>
      <w:bookmarkEnd w:id="53"/>
      <w:bookmarkEnd w:id="54"/>
      <w:bookmarkEnd w:id="55"/>
      <w:bookmarkEnd w:id="5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8A5A5D" w:rsidRPr="00C24ACA" w:rsidTr="00CD0D09">
        <w:tc>
          <w:tcPr>
            <w:tcW w:w="482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本基金选定的信息披露报纸名称</w:t>
            </w:r>
          </w:p>
        </w:tc>
        <w:tc>
          <w:tcPr>
            <w:tcW w:w="418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证券时报</w:t>
            </w:r>
          </w:p>
        </w:tc>
      </w:tr>
      <w:tr w:rsidR="008A5A5D" w:rsidRPr="00C24ACA" w:rsidTr="00CD0D09">
        <w:tc>
          <w:tcPr>
            <w:tcW w:w="482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登载基金</w:t>
            </w:r>
            <w:r w:rsidR="00A85FA3">
              <w:rPr>
                <w:rFonts w:eastAsiaTheme="minorEastAsia"/>
                <w:color w:val="000000"/>
                <w:szCs w:val="21"/>
              </w:rPr>
              <w:t>中期</w:t>
            </w:r>
            <w:r w:rsidRPr="00C24ACA">
              <w:rPr>
                <w:rFonts w:eastAsiaTheme="minorEastAsia"/>
                <w:color w:val="000000"/>
                <w:szCs w:val="21"/>
              </w:rPr>
              <w:t>报告正文的管理人互联网网址</w:t>
            </w:r>
          </w:p>
        </w:tc>
        <w:tc>
          <w:tcPr>
            <w:tcW w:w="418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http://www.efunds.com.cn</w:t>
            </w:r>
          </w:p>
        </w:tc>
      </w:tr>
      <w:tr w:rsidR="008A5A5D" w:rsidRPr="00C24ACA" w:rsidTr="00CD0D09">
        <w:tc>
          <w:tcPr>
            <w:tcW w:w="482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基金</w:t>
            </w:r>
            <w:r w:rsidR="00A85FA3">
              <w:rPr>
                <w:rFonts w:eastAsiaTheme="minorEastAsia"/>
                <w:color w:val="000000"/>
                <w:szCs w:val="21"/>
              </w:rPr>
              <w:t>中期</w:t>
            </w:r>
            <w:r w:rsidRPr="00C24ACA">
              <w:rPr>
                <w:rFonts w:eastAsiaTheme="minorEastAsia"/>
                <w:color w:val="000000"/>
                <w:szCs w:val="21"/>
              </w:rPr>
              <w:t>报告备置地点</w:t>
            </w:r>
          </w:p>
        </w:tc>
        <w:tc>
          <w:tcPr>
            <w:tcW w:w="418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广州市天河区珠江新城珠江东路</w:t>
            </w:r>
            <w:r w:rsidRPr="00C24ACA">
              <w:rPr>
                <w:rFonts w:eastAsiaTheme="minorEastAsia"/>
                <w:color w:val="000000"/>
                <w:szCs w:val="21"/>
              </w:rPr>
              <w:t>30</w:t>
            </w:r>
            <w:r w:rsidRPr="00C24ACA">
              <w:rPr>
                <w:rFonts w:eastAsiaTheme="minorEastAsia"/>
                <w:color w:val="000000"/>
                <w:szCs w:val="21"/>
              </w:rPr>
              <w:t>号广州银行大厦</w:t>
            </w:r>
            <w:r w:rsidRPr="00C24ACA">
              <w:rPr>
                <w:rFonts w:eastAsiaTheme="minorEastAsia"/>
                <w:color w:val="000000"/>
                <w:szCs w:val="21"/>
              </w:rPr>
              <w:t>43</w:t>
            </w:r>
            <w:r w:rsidRPr="00C24ACA">
              <w:rPr>
                <w:rFonts w:eastAsiaTheme="minorEastAsia"/>
                <w:color w:val="000000"/>
                <w:szCs w:val="21"/>
              </w:rPr>
              <w:t>楼</w:t>
            </w:r>
          </w:p>
        </w:tc>
      </w:tr>
    </w:tbl>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57" w:name="_Toc225498249"/>
      <w:bookmarkStart w:id="58" w:name="_Toc352255966"/>
      <w:bookmarkStart w:id="59" w:name="_Toc352256034"/>
      <w:bookmarkStart w:id="60" w:name="_Toc352331212"/>
      <w:bookmarkStart w:id="61" w:name="_Toc390164798"/>
      <w:bookmarkStart w:id="62" w:name="_Toc48662473"/>
      <w:r w:rsidRPr="0087359D">
        <w:rPr>
          <w:rFonts w:ascii="宋体" w:hAnsi="宋体"/>
          <w:kern w:val="0"/>
          <w:sz w:val="21"/>
          <w:szCs w:val="21"/>
        </w:rPr>
        <w:t>2.6</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其他相关资料</w:t>
      </w:r>
      <w:bookmarkEnd w:id="57"/>
      <w:bookmarkEnd w:id="58"/>
      <w:bookmarkEnd w:id="59"/>
      <w:bookmarkEnd w:id="60"/>
      <w:bookmarkEnd w:id="61"/>
      <w:bookmarkEnd w:id="6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8A5A5D" w:rsidRPr="00C24ACA" w:rsidTr="00862636">
        <w:tc>
          <w:tcPr>
            <w:tcW w:w="1951" w:type="dxa"/>
          </w:tcPr>
          <w:p w:rsidR="008A5A5D" w:rsidRPr="00C24ACA" w:rsidRDefault="008A5A5D" w:rsidP="00EC549A">
            <w:pPr>
              <w:tabs>
                <w:tab w:val="left" w:pos="1740"/>
              </w:tabs>
              <w:jc w:val="center"/>
              <w:rPr>
                <w:rFonts w:eastAsiaTheme="minorEastAsia"/>
                <w:color w:val="000000"/>
                <w:szCs w:val="21"/>
              </w:rPr>
            </w:pPr>
            <w:r w:rsidRPr="00C24ACA">
              <w:rPr>
                <w:rFonts w:eastAsiaTheme="minorEastAsia"/>
                <w:color w:val="000000"/>
                <w:szCs w:val="21"/>
              </w:rPr>
              <w:t>项目</w:t>
            </w:r>
          </w:p>
        </w:tc>
        <w:tc>
          <w:tcPr>
            <w:tcW w:w="3260" w:type="dxa"/>
          </w:tcPr>
          <w:p w:rsidR="008A5A5D" w:rsidRPr="00C24ACA" w:rsidRDefault="008A5A5D" w:rsidP="00EC549A">
            <w:pPr>
              <w:tabs>
                <w:tab w:val="left" w:pos="1740"/>
              </w:tabs>
              <w:jc w:val="center"/>
              <w:rPr>
                <w:rFonts w:eastAsiaTheme="minorEastAsia"/>
                <w:color w:val="000000"/>
                <w:szCs w:val="21"/>
              </w:rPr>
            </w:pPr>
            <w:r w:rsidRPr="00C24ACA">
              <w:rPr>
                <w:rFonts w:eastAsiaTheme="minorEastAsia"/>
                <w:color w:val="000000"/>
                <w:szCs w:val="21"/>
              </w:rPr>
              <w:t>名称</w:t>
            </w:r>
          </w:p>
        </w:tc>
        <w:tc>
          <w:tcPr>
            <w:tcW w:w="4075" w:type="dxa"/>
          </w:tcPr>
          <w:p w:rsidR="008A5A5D" w:rsidRPr="00C24ACA" w:rsidRDefault="008A5A5D" w:rsidP="00EC549A">
            <w:pPr>
              <w:tabs>
                <w:tab w:val="left" w:pos="1740"/>
              </w:tabs>
              <w:jc w:val="center"/>
              <w:rPr>
                <w:rFonts w:eastAsiaTheme="minorEastAsia"/>
                <w:color w:val="000000"/>
                <w:szCs w:val="21"/>
              </w:rPr>
            </w:pPr>
            <w:r w:rsidRPr="00C24ACA">
              <w:rPr>
                <w:rFonts w:eastAsiaTheme="minorEastAsia"/>
                <w:color w:val="000000"/>
                <w:szCs w:val="21"/>
              </w:rPr>
              <w:t>办公地址</w:t>
            </w:r>
          </w:p>
        </w:tc>
      </w:tr>
      <w:tr w:rsidR="008A5A5D" w:rsidRPr="00C24ACA" w:rsidTr="00862636">
        <w:tc>
          <w:tcPr>
            <w:tcW w:w="1951" w:type="dxa"/>
          </w:tcPr>
          <w:p w:rsidR="008A5A5D" w:rsidRPr="00C24ACA" w:rsidRDefault="008A5A5D">
            <w:pPr>
              <w:tabs>
                <w:tab w:val="left" w:pos="1740"/>
              </w:tabs>
              <w:rPr>
                <w:rFonts w:eastAsiaTheme="minorEastAsia"/>
                <w:color w:val="000000"/>
                <w:szCs w:val="21"/>
              </w:rPr>
            </w:pPr>
            <w:r w:rsidRPr="00C24ACA">
              <w:rPr>
                <w:rFonts w:eastAsiaTheme="minorEastAsia"/>
                <w:color w:val="000000"/>
                <w:szCs w:val="21"/>
              </w:rPr>
              <w:t>注册登记机构</w:t>
            </w:r>
          </w:p>
        </w:tc>
        <w:tc>
          <w:tcPr>
            <w:tcW w:w="3260" w:type="dxa"/>
            <w:vAlign w:val="bottom"/>
          </w:tcPr>
          <w:p w:rsidR="008A5A5D" w:rsidRPr="00C24ACA" w:rsidRDefault="008A5A5D" w:rsidP="00EC549A">
            <w:pPr>
              <w:tabs>
                <w:tab w:val="left" w:pos="1740"/>
              </w:tabs>
              <w:jc w:val="left"/>
              <w:rPr>
                <w:rFonts w:eastAsiaTheme="minorEastAsia"/>
                <w:color w:val="000000"/>
                <w:szCs w:val="21"/>
              </w:rPr>
            </w:pPr>
            <w:r w:rsidRPr="00C24ACA">
              <w:rPr>
                <w:rFonts w:eastAsiaTheme="minorEastAsia"/>
                <w:color w:val="000000"/>
                <w:szCs w:val="21"/>
              </w:rPr>
              <w:t>易方达基金管理有限公司</w:t>
            </w:r>
          </w:p>
        </w:tc>
        <w:tc>
          <w:tcPr>
            <w:tcW w:w="4075" w:type="dxa"/>
            <w:vAlign w:val="bottom"/>
          </w:tcPr>
          <w:p w:rsidR="008A5A5D" w:rsidRPr="00C24ACA" w:rsidRDefault="008A5A5D">
            <w:pPr>
              <w:tabs>
                <w:tab w:val="left" w:pos="1740"/>
              </w:tabs>
              <w:rPr>
                <w:rFonts w:eastAsiaTheme="minorEastAsia"/>
                <w:color w:val="000000"/>
                <w:szCs w:val="21"/>
              </w:rPr>
            </w:pPr>
            <w:r w:rsidRPr="00C24ACA">
              <w:rPr>
                <w:rFonts w:eastAsiaTheme="minorEastAsia"/>
                <w:color w:val="000000"/>
                <w:szCs w:val="21"/>
              </w:rPr>
              <w:t>广州市天河区珠江新城珠江东路</w:t>
            </w:r>
            <w:r w:rsidRPr="00C24ACA">
              <w:rPr>
                <w:rFonts w:eastAsiaTheme="minorEastAsia"/>
                <w:color w:val="000000"/>
                <w:szCs w:val="21"/>
              </w:rPr>
              <w:t>30</w:t>
            </w:r>
            <w:r w:rsidRPr="00C24ACA">
              <w:rPr>
                <w:rFonts w:eastAsiaTheme="minorEastAsia"/>
                <w:color w:val="000000"/>
                <w:szCs w:val="21"/>
              </w:rPr>
              <w:t>号广州银行大厦</w:t>
            </w:r>
            <w:r w:rsidRPr="00C24ACA">
              <w:rPr>
                <w:rFonts w:eastAsiaTheme="minorEastAsia"/>
                <w:color w:val="000000"/>
                <w:szCs w:val="21"/>
              </w:rPr>
              <w:t>40-43</w:t>
            </w:r>
            <w:r w:rsidRPr="00C24ACA">
              <w:rPr>
                <w:rFonts w:eastAsiaTheme="minorEastAsia"/>
                <w:color w:val="000000"/>
                <w:szCs w:val="21"/>
              </w:rPr>
              <w:t>楼</w:t>
            </w:r>
          </w:p>
        </w:tc>
      </w:tr>
    </w:tbl>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63" w:name="_Toc352255967"/>
      <w:bookmarkStart w:id="64" w:name="_Toc352256035"/>
      <w:bookmarkStart w:id="65" w:name="_Toc352331213"/>
      <w:bookmarkStart w:id="66" w:name="_Toc390164799"/>
      <w:bookmarkStart w:id="67" w:name="_Toc48662474"/>
      <w:r w:rsidRPr="000C6CCD">
        <w:rPr>
          <w:rFonts w:ascii="宋体" w:hAnsi="宋体"/>
          <w:bCs w:val="0"/>
          <w:color w:val="000000"/>
          <w:sz w:val="21"/>
          <w:szCs w:val="21"/>
        </w:rPr>
        <w:t>3</w:t>
      </w:r>
      <w:r w:rsidR="00643DBD">
        <w:rPr>
          <w:rFonts w:ascii="Times New Roman" w:hAnsi="Times New Roman"/>
          <w:bCs w:val="0"/>
          <w:color w:val="000000"/>
          <w:sz w:val="21"/>
          <w:szCs w:val="21"/>
        </w:rPr>
        <w:t xml:space="preserve">     </w:t>
      </w:r>
      <w:r w:rsidR="004C753B" w:rsidRPr="00A432E9">
        <w:rPr>
          <w:rFonts w:ascii="Times New Roman" w:hAnsi="Times New Roman"/>
          <w:bCs w:val="0"/>
          <w:color w:val="000000"/>
          <w:sz w:val="21"/>
          <w:szCs w:val="21"/>
        </w:rPr>
        <w:t>主要财务指标和</w:t>
      </w:r>
      <w:r w:rsidRPr="00A432E9">
        <w:rPr>
          <w:rFonts w:ascii="Times New Roman" w:hAnsi="Times New Roman"/>
          <w:bCs w:val="0"/>
          <w:color w:val="000000"/>
          <w:sz w:val="21"/>
          <w:szCs w:val="21"/>
        </w:rPr>
        <w:t>基金净值表现</w:t>
      </w:r>
      <w:bookmarkEnd w:id="63"/>
      <w:bookmarkEnd w:id="64"/>
      <w:bookmarkEnd w:id="65"/>
      <w:bookmarkEnd w:id="66"/>
      <w:bookmarkEnd w:id="67"/>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68" w:name="_Toc286996129"/>
      <w:bookmarkStart w:id="69" w:name="_Toc352255968"/>
      <w:bookmarkStart w:id="70" w:name="_Toc352256036"/>
      <w:bookmarkStart w:id="71" w:name="_Toc352331214"/>
      <w:bookmarkStart w:id="72" w:name="_Toc390164800"/>
      <w:bookmarkStart w:id="73" w:name="_Toc48662475"/>
      <w:r w:rsidRPr="0087359D">
        <w:rPr>
          <w:rFonts w:ascii="宋体" w:hAnsi="宋体"/>
          <w:kern w:val="0"/>
          <w:sz w:val="21"/>
          <w:szCs w:val="21"/>
        </w:rPr>
        <w:t>3.1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主要会计数据和财务指标</w:t>
      </w:r>
      <w:bookmarkEnd w:id="68"/>
      <w:bookmarkEnd w:id="69"/>
      <w:bookmarkEnd w:id="70"/>
      <w:bookmarkEnd w:id="71"/>
      <w:bookmarkEnd w:id="72"/>
      <w:bookmarkEnd w:id="73"/>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金额单位：人民币元</w:t>
      </w:r>
    </w:p>
    <w:tbl>
      <w:tblPr>
        <w:tblW w:w="93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D2230" w:rsidRPr="00C24ACA" w:rsidTr="005C3575">
        <w:trPr>
          <w:trHeight w:val="487"/>
        </w:trPr>
        <w:tc>
          <w:tcPr>
            <w:tcW w:w="4404" w:type="dxa"/>
            <w:vMerge w:val="restart"/>
            <w:vAlign w:val="center"/>
          </w:tcPr>
          <w:p w:rsidR="001D2230" w:rsidRPr="00C24ACA" w:rsidRDefault="001D2230" w:rsidP="001D2230">
            <w:pPr>
              <w:ind w:leftChars="-51" w:left="-107" w:rightChars="-51" w:right="-107"/>
              <w:rPr>
                <w:rFonts w:eastAsiaTheme="minorEastAsia"/>
                <w:b/>
                <w:color w:val="000000"/>
                <w:szCs w:val="21"/>
              </w:rPr>
            </w:pPr>
            <w:r w:rsidRPr="00C24ACA">
              <w:rPr>
                <w:rFonts w:eastAsiaTheme="minorEastAsia"/>
                <w:b/>
                <w:color w:val="000000"/>
                <w:szCs w:val="21"/>
              </w:rPr>
              <w:t>3.1.1</w:t>
            </w:r>
            <w:r w:rsidRPr="00C24ACA">
              <w:rPr>
                <w:rFonts w:eastAsiaTheme="minorEastAsia"/>
                <w:b/>
                <w:color w:val="000000"/>
                <w:szCs w:val="21"/>
              </w:rPr>
              <w:t>期间数据和指标</w:t>
            </w:r>
          </w:p>
        </w:tc>
        <w:tc>
          <w:tcPr>
            <w:tcW w:w="4968" w:type="dxa"/>
            <w:gridSpan w:val="2"/>
            <w:vAlign w:val="center"/>
          </w:tcPr>
          <w:p w:rsidR="001D2230" w:rsidRPr="00C24ACA" w:rsidRDefault="001D2230" w:rsidP="001D2230">
            <w:pPr>
              <w:jc w:val="center"/>
              <w:rPr>
                <w:rFonts w:eastAsiaTheme="minorEastAsia"/>
                <w:b/>
                <w:szCs w:val="21"/>
              </w:rPr>
            </w:pPr>
            <w:r w:rsidRPr="00C24ACA">
              <w:rPr>
                <w:rFonts w:eastAsiaTheme="minorEastAsia"/>
                <w:b/>
                <w:szCs w:val="21"/>
              </w:rPr>
              <w:t>报告期（</w:t>
            </w:r>
            <w:r w:rsidRPr="00C24ACA">
              <w:rPr>
                <w:rFonts w:eastAsiaTheme="minorEastAsia"/>
                <w:b/>
                <w:szCs w:val="21"/>
              </w:rPr>
              <w:t>2020</w:t>
            </w:r>
            <w:r w:rsidRPr="00C24ACA">
              <w:rPr>
                <w:rFonts w:eastAsiaTheme="minorEastAsia"/>
                <w:b/>
                <w:szCs w:val="21"/>
              </w:rPr>
              <w:t>年</w:t>
            </w:r>
            <w:r w:rsidRPr="00C24ACA">
              <w:rPr>
                <w:rFonts w:eastAsiaTheme="minorEastAsia"/>
                <w:b/>
                <w:szCs w:val="21"/>
              </w:rPr>
              <w:t>1</w:t>
            </w:r>
            <w:r w:rsidRPr="00C24ACA">
              <w:rPr>
                <w:rFonts w:eastAsiaTheme="minorEastAsia"/>
                <w:b/>
                <w:szCs w:val="21"/>
              </w:rPr>
              <w:t>月</w:t>
            </w:r>
            <w:r w:rsidRPr="00C24ACA">
              <w:rPr>
                <w:rFonts w:eastAsiaTheme="minorEastAsia"/>
                <w:b/>
                <w:szCs w:val="21"/>
              </w:rPr>
              <w:t>1</w:t>
            </w:r>
            <w:r w:rsidRPr="00C24ACA">
              <w:rPr>
                <w:rFonts w:eastAsiaTheme="minorEastAsia"/>
                <w:b/>
                <w:szCs w:val="21"/>
              </w:rPr>
              <w:t>日至</w:t>
            </w: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p>
        </w:tc>
      </w:tr>
      <w:tr w:rsidR="001D2230" w:rsidRPr="00C24ACA" w:rsidTr="005C3575">
        <w:trPr>
          <w:trHeight w:val="487"/>
        </w:trPr>
        <w:tc>
          <w:tcPr>
            <w:tcW w:w="4404" w:type="dxa"/>
            <w:vMerge/>
            <w:vAlign w:val="center"/>
          </w:tcPr>
          <w:p w:rsidR="001D2230" w:rsidRPr="00C24ACA" w:rsidRDefault="001D2230" w:rsidP="001D2230">
            <w:pPr>
              <w:widowControl/>
              <w:jc w:val="left"/>
              <w:rPr>
                <w:rFonts w:eastAsiaTheme="minorEastAsia"/>
                <w:b/>
                <w:color w:val="000000"/>
                <w:szCs w:val="21"/>
              </w:rPr>
            </w:pPr>
          </w:p>
        </w:tc>
        <w:tc>
          <w:tcPr>
            <w:tcW w:w="2410"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易方达恒生国企联接（</w:t>
            </w:r>
            <w:r w:rsidRPr="00C24ACA">
              <w:rPr>
                <w:rFonts w:eastAsiaTheme="minorEastAsia"/>
                <w:szCs w:val="21"/>
              </w:rPr>
              <w:t>QDII</w:t>
            </w:r>
            <w:r w:rsidRPr="00C24ACA">
              <w:rPr>
                <w:rFonts w:eastAsiaTheme="minorEastAsia"/>
                <w:szCs w:val="21"/>
              </w:rPr>
              <w:t>）</w:t>
            </w:r>
            <w:r w:rsidRPr="00C24ACA">
              <w:rPr>
                <w:rFonts w:eastAsiaTheme="minorEastAsia"/>
                <w:szCs w:val="21"/>
              </w:rPr>
              <w:t>A</w:t>
            </w:r>
          </w:p>
        </w:tc>
        <w:tc>
          <w:tcPr>
            <w:tcW w:w="2558"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易方达恒生国企联接（</w:t>
            </w:r>
            <w:r w:rsidRPr="00C24ACA">
              <w:rPr>
                <w:rFonts w:eastAsiaTheme="minorEastAsia"/>
                <w:szCs w:val="21"/>
              </w:rPr>
              <w:t>QDII</w:t>
            </w:r>
            <w:r w:rsidRPr="00C24ACA">
              <w:rPr>
                <w:rFonts w:eastAsiaTheme="minorEastAsia"/>
                <w:szCs w:val="21"/>
              </w:rPr>
              <w:t>）</w:t>
            </w:r>
            <w:r w:rsidRPr="00C24ACA">
              <w:rPr>
                <w:rFonts w:eastAsiaTheme="minorEastAsia"/>
                <w:szCs w:val="21"/>
              </w:rPr>
              <w:t>C</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本期已实现收益</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18,031.57</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-1,405,331.37</w:t>
            </w:r>
          </w:p>
        </w:tc>
      </w:tr>
      <w:tr w:rsidR="001D2230" w:rsidRPr="00C24ACA" w:rsidTr="005C3575">
        <w:trPr>
          <w:trHeight w:val="754"/>
        </w:trPr>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-126,400,333.55</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-18,371,954.18</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加权平均基金份额本期利润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-0.1001</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-0.0798</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本期加权平均净值利润率</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-8.63%</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-6.83%</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本期基金份额净值增长率</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-9.56%</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-9.66%</w:t>
            </w:r>
          </w:p>
        </w:tc>
      </w:tr>
      <w:tr w:rsidR="001D2230" w:rsidRPr="00C24ACA" w:rsidTr="005C3575">
        <w:tc>
          <w:tcPr>
            <w:tcW w:w="4404" w:type="dxa"/>
            <w:vMerge w:val="restart"/>
            <w:vAlign w:val="center"/>
          </w:tcPr>
          <w:p w:rsidR="001D2230" w:rsidRPr="00C24ACA" w:rsidRDefault="001D2230" w:rsidP="001D2230">
            <w:pPr>
              <w:ind w:leftChars="-51" w:left="-107" w:rightChars="-51" w:right="-107"/>
              <w:rPr>
                <w:rFonts w:eastAsiaTheme="minorEastAsia"/>
                <w:b/>
                <w:color w:val="000000"/>
                <w:szCs w:val="21"/>
              </w:rPr>
            </w:pPr>
            <w:r w:rsidRPr="00C24ACA">
              <w:rPr>
                <w:rFonts w:eastAsiaTheme="minorEastAsia"/>
                <w:b/>
                <w:color w:val="000000"/>
                <w:szCs w:val="21"/>
              </w:rPr>
              <w:t>3.1.2</w:t>
            </w:r>
            <w:r w:rsidRPr="00C24ACA">
              <w:rPr>
                <w:rFonts w:eastAsiaTheme="minorEastAsia"/>
                <w:b/>
                <w:color w:val="000000"/>
                <w:szCs w:val="21"/>
              </w:rPr>
              <w:t>期末数据和指标</w:t>
            </w:r>
          </w:p>
        </w:tc>
        <w:tc>
          <w:tcPr>
            <w:tcW w:w="4968" w:type="dxa"/>
            <w:gridSpan w:val="2"/>
            <w:vAlign w:val="center"/>
          </w:tcPr>
          <w:p w:rsidR="001D2230" w:rsidRPr="00C24ACA" w:rsidRDefault="001D2230" w:rsidP="001D2230">
            <w:pPr>
              <w:jc w:val="center"/>
              <w:rPr>
                <w:rFonts w:eastAsiaTheme="minorEastAsia"/>
                <w:b/>
                <w:szCs w:val="21"/>
              </w:rPr>
            </w:pPr>
            <w:r w:rsidRPr="00C24ACA">
              <w:rPr>
                <w:rFonts w:eastAsiaTheme="minorEastAsia"/>
                <w:b/>
                <w:szCs w:val="21"/>
              </w:rPr>
              <w:t>报告期末</w:t>
            </w: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r w:rsidRPr="00C24ACA">
              <w:rPr>
                <w:rFonts w:eastAsiaTheme="minorEastAsia"/>
                <w:b/>
                <w:szCs w:val="21"/>
              </w:rPr>
              <w:t>)</w:t>
            </w:r>
          </w:p>
        </w:tc>
      </w:tr>
      <w:tr w:rsidR="001D2230" w:rsidRPr="00C24ACA" w:rsidTr="005C3575">
        <w:trPr>
          <w:trHeight w:val="373"/>
        </w:trPr>
        <w:tc>
          <w:tcPr>
            <w:tcW w:w="4404" w:type="dxa"/>
            <w:vMerge/>
            <w:vAlign w:val="center"/>
          </w:tcPr>
          <w:p w:rsidR="001D2230" w:rsidRPr="00C24ACA" w:rsidRDefault="001D2230" w:rsidP="001D2230">
            <w:pPr>
              <w:widowControl/>
              <w:jc w:val="left"/>
              <w:rPr>
                <w:rFonts w:eastAsiaTheme="minorEastAsia"/>
                <w:b/>
                <w:color w:val="000000"/>
                <w:szCs w:val="21"/>
              </w:rPr>
            </w:pPr>
          </w:p>
        </w:tc>
        <w:tc>
          <w:tcPr>
            <w:tcW w:w="2410" w:type="dxa"/>
            <w:vAlign w:val="center"/>
          </w:tcPr>
          <w:p w:rsidR="001D2230" w:rsidRPr="00C24ACA" w:rsidRDefault="001D2230" w:rsidP="001D2230">
            <w:pPr>
              <w:ind w:leftChars="-51" w:left="-107" w:rightChars="-51" w:right="-107"/>
              <w:jc w:val="center"/>
              <w:rPr>
                <w:rFonts w:eastAsiaTheme="minorEastAsia"/>
                <w:color w:val="000000"/>
                <w:szCs w:val="21"/>
              </w:rPr>
            </w:pPr>
            <w:r w:rsidRPr="00C24ACA">
              <w:rPr>
                <w:rFonts w:eastAsiaTheme="minorEastAsia"/>
                <w:color w:val="000000"/>
                <w:szCs w:val="21"/>
              </w:rPr>
              <w:t>易方达恒生国企联接（</w:t>
            </w:r>
            <w:r w:rsidRPr="00C24ACA">
              <w:rPr>
                <w:rFonts w:eastAsiaTheme="minorEastAsia"/>
                <w:color w:val="000000"/>
                <w:szCs w:val="21"/>
              </w:rPr>
              <w:t>QDII</w:t>
            </w:r>
            <w:r w:rsidRPr="00C24ACA">
              <w:rPr>
                <w:rFonts w:eastAsiaTheme="minorEastAsia"/>
                <w:color w:val="000000"/>
                <w:szCs w:val="21"/>
              </w:rPr>
              <w:t>）</w:t>
            </w:r>
            <w:r w:rsidRPr="00C24ACA">
              <w:rPr>
                <w:rFonts w:eastAsiaTheme="minorEastAsia"/>
                <w:color w:val="000000"/>
                <w:szCs w:val="21"/>
              </w:rPr>
              <w:t>A</w:t>
            </w:r>
          </w:p>
        </w:tc>
        <w:tc>
          <w:tcPr>
            <w:tcW w:w="2558" w:type="dxa"/>
            <w:vAlign w:val="center"/>
          </w:tcPr>
          <w:p w:rsidR="001D2230" w:rsidRPr="00C24ACA" w:rsidRDefault="001D2230" w:rsidP="001D2230">
            <w:pPr>
              <w:ind w:leftChars="-51" w:left="-107" w:rightChars="-51" w:right="-107"/>
              <w:jc w:val="center"/>
              <w:rPr>
                <w:rFonts w:eastAsiaTheme="minorEastAsia"/>
                <w:color w:val="000000"/>
                <w:szCs w:val="21"/>
              </w:rPr>
            </w:pPr>
            <w:r w:rsidRPr="00C24ACA">
              <w:rPr>
                <w:rFonts w:eastAsiaTheme="minorEastAsia"/>
                <w:color w:val="000000"/>
                <w:szCs w:val="21"/>
              </w:rPr>
              <w:t>易方达恒生国企联接（</w:t>
            </w:r>
            <w:r w:rsidRPr="00C24ACA">
              <w:rPr>
                <w:rFonts w:eastAsiaTheme="minorEastAsia"/>
                <w:color w:val="000000"/>
                <w:szCs w:val="21"/>
              </w:rPr>
              <w:t>QDII</w:t>
            </w:r>
            <w:r w:rsidRPr="00C24ACA">
              <w:rPr>
                <w:rFonts w:eastAsiaTheme="minorEastAsia"/>
                <w:color w:val="000000"/>
                <w:szCs w:val="21"/>
              </w:rPr>
              <w:t>）</w:t>
            </w:r>
            <w:r w:rsidRPr="00C24ACA">
              <w:rPr>
                <w:rFonts w:eastAsiaTheme="minorEastAsia"/>
                <w:color w:val="000000"/>
                <w:szCs w:val="21"/>
              </w:rPr>
              <w:t>C</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期末可供分配利润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185,974,182.80</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31,139,735.22</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期末可供分配基金份额利润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0.1425</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0.1603</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期末基金资产净值</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1,490,947,097.83</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225,451,902.32</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期末基金份额净值</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1.1425</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1.1603</w:t>
            </w:r>
          </w:p>
        </w:tc>
      </w:tr>
      <w:tr w:rsidR="001D2230" w:rsidRPr="00C24ACA" w:rsidTr="005C3575">
        <w:tc>
          <w:tcPr>
            <w:tcW w:w="4404" w:type="dxa"/>
            <w:vMerge w:val="restart"/>
            <w:vAlign w:val="center"/>
          </w:tcPr>
          <w:p w:rsidR="001D2230" w:rsidRPr="00C24ACA" w:rsidRDefault="001D2230" w:rsidP="001D2230">
            <w:pPr>
              <w:ind w:leftChars="-51" w:left="-107" w:rightChars="-51" w:right="-107"/>
              <w:rPr>
                <w:rFonts w:eastAsiaTheme="minorEastAsia"/>
                <w:b/>
                <w:color w:val="000000"/>
                <w:szCs w:val="21"/>
              </w:rPr>
            </w:pPr>
            <w:r w:rsidRPr="00C24ACA">
              <w:rPr>
                <w:rFonts w:eastAsiaTheme="minorEastAsia"/>
                <w:b/>
                <w:color w:val="000000"/>
                <w:szCs w:val="21"/>
              </w:rPr>
              <w:t>3.1.3</w:t>
            </w:r>
            <w:r w:rsidRPr="00C24ACA">
              <w:rPr>
                <w:rFonts w:eastAsiaTheme="minorEastAsia"/>
                <w:b/>
                <w:color w:val="000000"/>
                <w:szCs w:val="21"/>
              </w:rPr>
              <w:t>累计期末指标</w:t>
            </w:r>
          </w:p>
        </w:tc>
        <w:tc>
          <w:tcPr>
            <w:tcW w:w="4968" w:type="dxa"/>
            <w:gridSpan w:val="2"/>
            <w:vAlign w:val="center"/>
          </w:tcPr>
          <w:p w:rsidR="001D2230" w:rsidRPr="00C24ACA" w:rsidRDefault="001D2230" w:rsidP="001D2230">
            <w:pPr>
              <w:jc w:val="center"/>
              <w:rPr>
                <w:rFonts w:eastAsiaTheme="minorEastAsia"/>
                <w:b/>
                <w:szCs w:val="21"/>
              </w:rPr>
            </w:pPr>
            <w:r w:rsidRPr="00C24ACA">
              <w:rPr>
                <w:rFonts w:eastAsiaTheme="minorEastAsia"/>
                <w:b/>
                <w:szCs w:val="21"/>
              </w:rPr>
              <w:t>报告期末</w:t>
            </w: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r w:rsidRPr="00C24ACA">
              <w:rPr>
                <w:rFonts w:eastAsiaTheme="minorEastAsia"/>
                <w:b/>
                <w:szCs w:val="21"/>
              </w:rPr>
              <w:t>)</w:t>
            </w:r>
          </w:p>
        </w:tc>
      </w:tr>
      <w:tr w:rsidR="001D2230" w:rsidRPr="00C24ACA" w:rsidTr="005C3575">
        <w:tc>
          <w:tcPr>
            <w:tcW w:w="4404" w:type="dxa"/>
            <w:vMerge/>
            <w:vAlign w:val="center"/>
          </w:tcPr>
          <w:p w:rsidR="001D2230" w:rsidRPr="00C24ACA" w:rsidRDefault="001D2230" w:rsidP="001D2230">
            <w:pPr>
              <w:widowControl/>
              <w:jc w:val="left"/>
              <w:rPr>
                <w:rFonts w:eastAsiaTheme="minorEastAsia"/>
                <w:b/>
                <w:color w:val="000000"/>
                <w:szCs w:val="21"/>
              </w:rPr>
            </w:pPr>
          </w:p>
        </w:tc>
        <w:tc>
          <w:tcPr>
            <w:tcW w:w="2410"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易方达恒生国企联接（</w:t>
            </w:r>
            <w:r w:rsidRPr="00C24ACA">
              <w:rPr>
                <w:rFonts w:eastAsiaTheme="minorEastAsia"/>
                <w:szCs w:val="21"/>
              </w:rPr>
              <w:t>QDII</w:t>
            </w:r>
            <w:r w:rsidRPr="00C24ACA">
              <w:rPr>
                <w:rFonts w:eastAsiaTheme="minorEastAsia"/>
                <w:szCs w:val="21"/>
              </w:rPr>
              <w:t>）</w:t>
            </w:r>
            <w:r w:rsidRPr="00C24ACA">
              <w:rPr>
                <w:rFonts w:eastAsiaTheme="minorEastAsia"/>
                <w:szCs w:val="21"/>
              </w:rPr>
              <w:t>A</w:t>
            </w:r>
          </w:p>
        </w:tc>
        <w:tc>
          <w:tcPr>
            <w:tcW w:w="2558"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易方达恒生国企联接（</w:t>
            </w:r>
            <w:r w:rsidRPr="00C24ACA">
              <w:rPr>
                <w:rFonts w:eastAsiaTheme="minorEastAsia"/>
                <w:szCs w:val="21"/>
              </w:rPr>
              <w:t>QDII</w:t>
            </w:r>
            <w:r w:rsidRPr="00C24ACA">
              <w:rPr>
                <w:rFonts w:eastAsiaTheme="minorEastAsia"/>
                <w:szCs w:val="21"/>
              </w:rPr>
              <w:t>）</w:t>
            </w:r>
            <w:r w:rsidRPr="00C24ACA">
              <w:rPr>
                <w:rFonts w:eastAsiaTheme="minorEastAsia"/>
                <w:szCs w:val="21"/>
              </w:rPr>
              <w:t>C</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基金份额累计净值增长率</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14.25%</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-0.77%</w:t>
            </w:r>
          </w:p>
        </w:tc>
      </w:tr>
    </w:tbl>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所述基金业绩指标不包括持有人认购或交易基金的各项费用，计入费用后实际收益水平要低于所列数字。</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2.</w:t>
      </w:r>
      <w:r>
        <w:rPr>
          <w:rFonts w:eastAsiaTheme="minorEastAsia"/>
          <w:kern w:val="0"/>
          <w:szCs w:val="21"/>
        </w:rPr>
        <w:t>本期已实现收益指基金本期利息收入、投资收益、其他收入（不含公允价值变动收益）扣除相关费用后的余额，本期利润为本期已实现收益加上本期公允价值变动收益。</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3.</w:t>
      </w:r>
      <w:r w:rsidRPr="00C24ACA">
        <w:rPr>
          <w:rFonts w:eastAsiaTheme="minorEastAsia"/>
          <w:kern w:val="0"/>
          <w:szCs w:val="21"/>
        </w:rPr>
        <w:t>期末可供分配利润，为期末资产负债表中未分配利润与未分配利润中已实现部分的孰低数。</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74" w:name="_Toc225498252"/>
      <w:bookmarkStart w:id="75" w:name="_Toc352255969"/>
      <w:bookmarkStart w:id="76" w:name="_Toc352256037"/>
      <w:bookmarkStart w:id="77" w:name="_Toc352331215"/>
      <w:bookmarkStart w:id="78" w:name="_Toc390164801"/>
      <w:bookmarkStart w:id="79" w:name="_Toc48662476"/>
      <w:r w:rsidRPr="0087359D">
        <w:rPr>
          <w:rFonts w:ascii="宋体" w:hAnsi="宋体"/>
          <w:kern w:val="0"/>
          <w:sz w:val="21"/>
          <w:szCs w:val="21"/>
        </w:rPr>
        <w:t>3.2</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基金净值表现</w:t>
      </w:r>
      <w:bookmarkEnd w:id="74"/>
      <w:bookmarkEnd w:id="75"/>
      <w:bookmarkEnd w:id="76"/>
      <w:bookmarkEnd w:id="77"/>
      <w:bookmarkEnd w:id="78"/>
      <w:bookmarkEnd w:id="79"/>
    </w:p>
    <w:p w:rsidR="008A5A5D" w:rsidRPr="00C24ACA" w:rsidRDefault="008A5A5D" w:rsidP="00635EA5">
      <w:pPr>
        <w:autoSpaceDE w:val="0"/>
        <w:autoSpaceDN w:val="0"/>
        <w:adjustRightInd w:val="0"/>
        <w:spacing w:line="360" w:lineRule="auto"/>
        <w:jc w:val="left"/>
        <w:rPr>
          <w:rFonts w:eastAsiaTheme="minorEastAsia"/>
          <w:b/>
          <w:color w:val="000000"/>
          <w:kern w:val="0"/>
          <w:szCs w:val="21"/>
        </w:rPr>
      </w:pPr>
      <w:r w:rsidRPr="00C24ACA">
        <w:rPr>
          <w:rFonts w:eastAsiaTheme="minorEastAsia"/>
          <w:b/>
          <w:color w:val="000000"/>
          <w:kern w:val="0"/>
          <w:szCs w:val="21"/>
        </w:rPr>
        <w:t xml:space="preserve">3.2.1 </w:t>
      </w:r>
      <w:r w:rsidRPr="00C24ACA">
        <w:rPr>
          <w:rFonts w:eastAsiaTheme="minorEastAsia"/>
          <w:b/>
          <w:color w:val="000000"/>
          <w:kern w:val="0"/>
          <w:szCs w:val="21"/>
        </w:rPr>
        <w:t>基金份额净值增长率及其与同期业绩比较基准收益率的比较</w:t>
      </w:r>
    </w:p>
    <w:p w:rsidR="00FC6E91" w:rsidRPr="00C24ACA" w:rsidRDefault="00FC6E91" w:rsidP="00FC6E91">
      <w:pPr>
        <w:pStyle w:val="21"/>
        <w:spacing w:line="360" w:lineRule="auto"/>
        <w:ind w:firstLineChars="0" w:firstLine="0"/>
        <w:rPr>
          <w:rFonts w:ascii="Times New Roman" w:eastAsiaTheme="minorEastAsia" w:hAnsi="Times New Roman"/>
          <w:color w:val="auto"/>
          <w:sz w:val="21"/>
          <w:szCs w:val="21"/>
        </w:rPr>
      </w:pPr>
      <w:r w:rsidRPr="00C24ACA">
        <w:rPr>
          <w:rFonts w:ascii="Times New Roman" w:eastAsiaTheme="minorEastAsia" w:hAnsi="Times New Roman"/>
          <w:color w:val="auto"/>
          <w:sz w:val="21"/>
          <w:szCs w:val="21"/>
        </w:rPr>
        <w:t>易方达恒生国企联接（</w:t>
      </w:r>
      <w:r w:rsidRPr="00C24ACA">
        <w:rPr>
          <w:rFonts w:ascii="Times New Roman" w:eastAsiaTheme="minorEastAsia" w:hAnsi="Times New Roman"/>
          <w:color w:val="auto"/>
          <w:sz w:val="21"/>
          <w:szCs w:val="21"/>
        </w:rPr>
        <w:t>QDII</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FC6E91" w:rsidRPr="00C24ACA" w:rsidTr="005C3575">
        <w:tc>
          <w:tcPr>
            <w:tcW w:w="162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阶段</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w:t>
            </w:r>
            <w:r w:rsidRPr="00C24ACA">
              <w:rPr>
                <w:rFonts w:ascii="宋体" w:hAnsi="宋体" w:cs="宋体" w:hint="eastAsia"/>
                <w:color w:val="000000"/>
                <w:szCs w:val="21"/>
              </w:rPr>
              <w:t>①</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份额净值增长率标准差</w:t>
            </w:r>
            <w:r w:rsidRPr="00C24ACA">
              <w:rPr>
                <w:rFonts w:ascii="宋体" w:hAnsi="宋体" w:cs="宋体" w:hint="eastAsia"/>
                <w:color w:val="000000"/>
                <w:szCs w:val="21"/>
              </w:rPr>
              <w:t>②</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业绩比较基准收益率标准差</w:t>
            </w:r>
            <w:r w:rsidRPr="00C24ACA">
              <w:rPr>
                <w:rFonts w:ascii="宋体" w:hAnsi="宋体" w:cs="宋体" w:hint="eastAsia"/>
                <w:color w:val="000000"/>
                <w:szCs w:val="21"/>
              </w:rPr>
              <w:t>④</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①</w:t>
            </w:r>
            <w:r w:rsidRPr="00C24ACA">
              <w:rPr>
                <w:rFonts w:eastAsiaTheme="minorEastAsia"/>
                <w:color w:val="000000"/>
                <w:szCs w:val="21"/>
              </w:rPr>
              <w:t>－</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②</w:t>
            </w:r>
            <w:r w:rsidRPr="00C24ACA">
              <w:rPr>
                <w:rFonts w:eastAsiaTheme="minorEastAsia"/>
                <w:color w:val="000000"/>
                <w:szCs w:val="21"/>
              </w:rPr>
              <w:t>－</w:t>
            </w:r>
            <w:r w:rsidRPr="00C24ACA">
              <w:rPr>
                <w:rFonts w:ascii="宋体" w:hAnsi="宋体" w:cs="宋体" w:hint="eastAsia"/>
                <w:color w:val="000000"/>
                <w:szCs w:val="21"/>
              </w:rPr>
              <w:t>④</w:t>
            </w:r>
          </w:p>
        </w:tc>
      </w:tr>
      <w:tr w:rsidR="00871824">
        <w:tc>
          <w:tcPr>
            <w:tcW w:w="1620" w:type="dxa"/>
            <w:vAlign w:val="center"/>
          </w:tcPr>
          <w:p w:rsidR="00871824" w:rsidRDefault="00672BD5">
            <w:pPr>
              <w:jc w:val="left"/>
            </w:pPr>
            <w:r>
              <w:rPr>
                <w:rFonts w:eastAsiaTheme="minorEastAsia"/>
                <w:color w:val="000000"/>
                <w:szCs w:val="21"/>
              </w:rPr>
              <w:t>过去一个月</w:t>
            </w:r>
          </w:p>
        </w:tc>
        <w:tc>
          <w:tcPr>
            <w:tcW w:w="1350" w:type="dxa"/>
            <w:vAlign w:val="center"/>
          </w:tcPr>
          <w:p w:rsidR="00871824" w:rsidRDefault="00672BD5">
            <w:pPr>
              <w:jc w:val="center"/>
            </w:pPr>
            <w:r>
              <w:rPr>
                <w:rFonts w:eastAsiaTheme="minorEastAsia"/>
                <w:color w:val="000000"/>
                <w:szCs w:val="21"/>
              </w:rPr>
              <w:t>2.15%</w:t>
            </w:r>
          </w:p>
        </w:tc>
        <w:tc>
          <w:tcPr>
            <w:tcW w:w="1350" w:type="dxa"/>
            <w:vAlign w:val="center"/>
          </w:tcPr>
          <w:p w:rsidR="00871824" w:rsidRDefault="00672BD5">
            <w:pPr>
              <w:jc w:val="center"/>
            </w:pPr>
            <w:r>
              <w:rPr>
                <w:rFonts w:eastAsiaTheme="minorEastAsia"/>
                <w:color w:val="000000"/>
                <w:szCs w:val="21"/>
              </w:rPr>
              <w:t>1.15%</w:t>
            </w:r>
          </w:p>
        </w:tc>
        <w:tc>
          <w:tcPr>
            <w:tcW w:w="1350" w:type="dxa"/>
            <w:vAlign w:val="center"/>
          </w:tcPr>
          <w:p w:rsidR="00871824" w:rsidRDefault="00672BD5">
            <w:pPr>
              <w:jc w:val="center"/>
            </w:pPr>
            <w:r>
              <w:rPr>
                <w:rFonts w:eastAsiaTheme="minorEastAsia"/>
                <w:color w:val="000000"/>
                <w:szCs w:val="21"/>
              </w:rPr>
              <w:t>1.29%</w:t>
            </w:r>
          </w:p>
        </w:tc>
        <w:tc>
          <w:tcPr>
            <w:tcW w:w="1350" w:type="dxa"/>
            <w:vAlign w:val="center"/>
          </w:tcPr>
          <w:p w:rsidR="00871824" w:rsidRDefault="00672BD5">
            <w:pPr>
              <w:jc w:val="center"/>
            </w:pPr>
            <w:r>
              <w:rPr>
                <w:rFonts w:eastAsiaTheme="minorEastAsia"/>
                <w:color w:val="000000"/>
                <w:szCs w:val="21"/>
              </w:rPr>
              <w:t>1.15%</w:t>
            </w:r>
          </w:p>
        </w:tc>
        <w:tc>
          <w:tcPr>
            <w:tcW w:w="1350" w:type="dxa"/>
            <w:vAlign w:val="center"/>
          </w:tcPr>
          <w:p w:rsidR="00871824" w:rsidRDefault="00672BD5">
            <w:pPr>
              <w:jc w:val="center"/>
            </w:pPr>
            <w:r>
              <w:rPr>
                <w:rFonts w:eastAsiaTheme="minorEastAsia"/>
                <w:color w:val="000000"/>
                <w:szCs w:val="21"/>
              </w:rPr>
              <w:t>0.86%</w:t>
            </w:r>
          </w:p>
        </w:tc>
        <w:tc>
          <w:tcPr>
            <w:tcW w:w="1350" w:type="dxa"/>
            <w:vAlign w:val="center"/>
          </w:tcPr>
          <w:p w:rsidR="00871824" w:rsidRDefault="00672BD5">
            <w:pPr>
              <w:jc w:val="center"/>
            </w:pPr>
            <w:r>
              <w:rPr>
                <w:rFonts w:eastAsiaTheme="minorEastAsia"/>
                <w:color w:val="000000"/>
                <w:szCs w:val="21"/>
              </w:rPr>
              <w:t>0.00%</w:t>
            </w:r>
          </w:p>
        </w:tc>
      </w:tr>
      <w:tr w:rsidR="00871824">
        <w:tc>
          <w:tcPr>
            <w:tcW w:w="1620" w:type="dxa"/>
            <w:vAlign w:val="center"/>
          </w:tcPr>
          <w:p w:rsidR="00871824" w:rsidRDefault="00672BD5">
            <w:pPr>
              <w:jc w:val="left"/>
            </w:pPr>
            <w:r>
              <w:rPr>
                <w:rFonts w:eastAsiaTheme="minorEastAsia"/>
                <w:color w:val="000000"/>
                <w:szCs w:val="21"/>
              </w:rPr>
              <w:t>过去三个月</w:t>
            </w:r>
          </w:p>
        </w:tc>
        <w:tc>
          <w:tcPr>
            <w:tcW w:w="1350" w:type="dxa"/>
            <w:vAlign w:val="center"/>
          </w:tcPr>
          <w:p w:rsidR="00871824" w:rsidRDefault="00672BD5">
            <w:pPr>
              <w:jc w:val="center"/>
            </w:pPr>
            <w:r>
              <w:rPr>
                <w:rFonts w:eastAsiaTheme="minorEastAsia"/>
                <w:color w:val="000000"/>
                <w:szCs w:val="21"/>
              </w:rPr>
              <w:t>2.95%</w:t>
            </w:r>
          </w:p>
        </w:tc>
        <w:tc>
          <w:tcPr>
            <w:tcW w:w="1350" w:type="dxa"/>
            <w:vAlign w:val="center"/>
          </w:tcPr>
          <w:p w:rsidR="00871824" w:rsidRDefault="00672BD5">
            <w:pPr>
              <w:jc w:val="center"/>
            </w:pPr>
            <w:r>
              <w:rPr>
                <w:rFonts w:eastAsiaTheme="minorEastAsia"/>
                <w:color w:val="000000"/>
                <w:szCs w:val="21"/>
              </w:rPr>
              <w:t>1.26%</w:t>
            </w:r>
          </w:p>
        </w:tc>
        <w:tc>
          <w:tcPr>
            <w:tcW w:w="1350" w:type="dxa"/>
            <w:vAlign w:val="center"/>
          </w:tcPr>
          <w:p w:rsidR="00871824" w:rsidRDefault="00672BD5">
            <w:pPr>
              <w:jc w:val="center"/>
            </w:pPr>
            <w:r>
              <w:rPr>
                <w:rFonts w:eastAsiaTheme="minorEastAsia"/>
                <w:color w:val="000000"/>
                <w:szCs w:val="21"/>
              </w:rPr>
              <w:t>1.62%</w:t>
            </w:r>
          </w:p>
        </w:tc>
        <w:tc>
          <w:tcPr>
            <w:tcW w:w="1350" w:type="dxa"/>
            <w:vAlign w:val="center"/>
          </w:tcPr>
          <w:p w:rsidR="00871824" w:rsidRDefault="00672BD5">
            <w:pPr>
              <w:jc w:val="center"/>
            </w:pPr>
            <w:r>
              <w:rPr>
                <w:rFonts w:eastAsiaTheme="minorEastAsia"/>
                <w:color w:val="000000"/>
                <w:szCs w:val="21"/>
              </w:rPr>
              <w:t>1.28%</w:t>
            </w:r>
          </w:p>
        </w:tc>
        <w:tc>
          <w:tcPr>
            <w:tcW w:w="1350" w:type="dxa"/>
            <w:vAlign w:val="center"/>
          </w:tcPr>
          <w:p w:rsidR="00871824" w:rsidRDefault="00672BD5">
            <w:pPr>
              <w:jc w:val="center"/>
            </w:pPr>
            <w:r>
              <w:rPr>
                <w:rFonts w:eastAsiaTheme="minorEastAsia"/>
                <w:color w:val="000000"/>
                <w:szCs w:val="21"/>
              </w:rPr>
              <w:t>1.33%</w:t>
            </w:r>
          </w:p>
        </w:tc>
        <w:tc>
          <w:tcPr>
            <w:tcW w:w="1350" w:type="dxa"/>
            <w:vAlign w:val="center"/>
          </w:tcPr>
          <w:p w:rsidR="00871824" w:rsidRDefault="00672BD5">
            <w:pPr>
              <w:jc w:val="center"/>
            </w:pPr>
            <w:r>
              <w:rPr>
                <w:rFonts w:eastAsiaTheme="minorEastAsia"/>
                <w:color w:val="000000"/>
                <w:szCs w:val="21"/>
              </w:rPr>
              <w:t>-0.02%</w:t>
            </w:r>
          </w:p>
        </w:tc>
      </w:tr>
      <w:tr w:rsidR="00871824">
        <w:tc>
          <w:tcPr>
            <w:tcW w:w="1620" w:type="dxa"/>
            <w:vAlign w:val="center"/>
          </w:tcPr>
          <w:p w:rsidR="00871824" w:rsidRDefault="00672BD5">
            <w:pPr>
              <w:jc w:val="left"/>
            </w:pPr>
            <w:r>
              <w:rPr>
                <w:rFonts w:eastAsiaTheme="minorEastAsia"/>
                <w:color w:val="000000"/>
                <w:szCs w:val="21"/>
              </w:rPr>
              <w:t>过去六个月</w:t>
            </w:r>
          </w:p>
        </w:tc>
        <w:tc>
          <w:tcPr>
            <w:tcW w:w="1350" w:type="dxa"/>
            <w:vAlign w:val="center"/>
          </w:tcPr>
          <w:p w:rsidR="00871824" w:rsidRDefault="00672BD5">
            <w:pPr>
              <w:jc w:val="center"/>
            </w:pPr>
            <w:r>
              <w:rPr>
                <w:rFonts w:eastAsiaTheme="minorEastAsia"/>
                <w:color w:val="000000"/>
                <w:szCs w:val="21"/>
              </w:rPr>
              <w:t>-9.56%</w:t>
            </w:r>
          </w:p>
        </w:tc>
        <w:tc>
          <w:tcPr>
            <w:tcW w:w="1350" w:type="dxa"/>
            <w:vAlign w:val="center"/>
          </w:tcPr>
          <w:p w:rsidR="00871824" w:rsidRDefault="00672BD5">
            <w:pPr>
              <w:jc w:val="center"/>
            </w:pPr>
            <w:r>
              <w:rPr>
                <w:rFonts w:eastAsiaTheme="minorEastAsia"/>
                <w:color w:val="000000"/>
                <w:szCs w:val="21"/>
              </w:rPr>
              <w:t>1.76%</w:t>
            </w:r>
          </w:p>
        </w:tc>
        <w:tc>
          <w:tcPr>
            <w:tcW w:w="1350" w:type="dxa"/>
            <w:vAlign w:val="center"/>
          </w:tcPr>
          <w:p w:rsidR="00871824" w:rsidRDefault="00672BD5">
            <w:pPr>
              <w:jc w:val="center"/>
            </w:pPr>
            <w:r>
              <w:rPr>
                <w:rFonts w:eastAsiaTheme="minorEastAsia"/>
                <w:color w:val="000000"/>
                <w:szCs w:val="21"/>
              </w:rPr>
              <w:t>-10.29%</w:t>
            </w:r>
          </w:p>
        </w:tc>
        <w:tc>
          <w:tcPr>
            <w:tcW w:w="1350" w:type="dxa"/>
            <w:vAlign w:val="center"/>
          </w:tcPr>
          <w:p w:rsidR="00871824" w:rsidRDefault="00672BD5">
            <w:pPr>
              <w:jc w:val="center"/>
            </w:pPr>
            <w:r>
              <w:rPr>
                <w:rFonts w:eastAsiaTheme="minorEastAsia"/>
                <w:color w:val="000000"/>
                <w:szCs w:val="21"/>
              </w:rPr>
              <w:t>1.79%</w:t>
            </w:r>
          </w:p>
        </w:tc>
        <w:tc>
          <w:tcPr>
            <w:tcW w:w="1350" w:type="dxa"/>
            <w:vAlign w:val="center"/>
          </w:tcPr>
          <w:p w:rsidR="00871824" w:rsidRDefault="00672BD5">
            <w:pPr>
              <w:jc w:val="center"/>
            </w:pPr>
            <w:r>
              <w:rPr>
                <w:rFonts w:eastAsiaTheme="minorEastAsia"/>
                <w:color w:val="000000"/>
                <w:szCs w:val="21"/>
              </w:rPr>
              <w:t>0.73%</w:t>
            </w:r>
          </w:p>
        </w:tc>
        <w:tc>
          <w:tcPr>
            <w:tcW w:w="1350" w:type="dxa"/>
            <w:vAlign w:val="center"/>
          </w:tcPr>
          <w:p w:rsidR="00871824" w:rsidRDefault="00672BD5">
            <w:pPr>
              <w:jc w:val="center"/>
            </w:pPr>
            <w:r>
              <w:rPr>
                <w:rFonts w:eastAsiaTheme="minorEastAsia"/>
                <w:color w:val="000000"/>
                <w:szCs w:val="21"/>
              </w:rPr>
              <w:t>-0.03%</w:t>
            </w:r>
          </w:p>
        </w:tc>
      </w:tr>
      <w:tr w:rsidR="00871824">
        <w:tc>
          <w:tcPr>
            <w:tcW w:w="1620" w:type="dxa"/>
            <w:vAlign w:val="center"/>
          </w:tcPr>
          <w:p w:rsidR="00871824" w:rsidRDefault="00672BD5">
            <w:pPr>
              <w:jc w:val="left"/>
            </w:pPr>
            <w:r>
              <w:rPr>
                <w:rFonts w:eastAsiaTheme="minorEastAsia"/>
                <w:color w:val="000000"/>
                <w:szCs w:val="21"/>
              </w:rPr>
              <w:t>过去一年</w:t>
            </w:r>
          </w:p>
        </w:tc>
        <w:tc>
          <w:tcPr>
            <w:tcW w:w="1350" w:type="dxa"/>
            <w:vAlign w:val="center"/>
          </w:tcPr>
          <w:p w:rsidR="00871824" w:rsidRDefault="00672BD5">
            <w:pPr>
              <w:jc w:val="center"/>
            </w:pPr>
            <w:r>
              <w:rPr>
                <w:rFonts w:eastAsiaTheme="minorEastAsia"/>
                <w:color w:val="000000"/>
                <w:szCs w:val="21"/>
              </w:rPr>
              <w:t>-5.47%</w:t>
            </w:r>
          </w:p>
        </w:tc>
        <w:tc>
          <w:tcPr>
            <w:tcW w:w="1350" w:type="dxa"/>
            <w:vAlign w:val="center"/>
          </w:tcPr>
          <w:p w:rsidR="00871824" w:rsidRDefault="00672BD5">
            <w:pPr>
              <w:jc w:val="center"/>
            </w:pPr>
            <w:r>
              <w:rPr>
                <w:rFonts w:eastAsiaTheme="minorEastAsia"/>
                <w:color w:val="000000"/>
                <w:szCs w:val="21"/>
              </w:rPr>
              <w:t>1.37%</w:t>
            </w:r>
          </w:p>
        </w:tc>
        <w:tc>
          <w:tcPr>
            <w:tcW w:w="1350" w:type="dxa"/>
            <w:vAlign w:val="center"/>
          </w:tcPr>
          <w:p w:rsidR="00871824" w:rsidRDefault="00672BD5">
            <w:pPr>
              <w:jc w:val="center"/>
            </w:pPr>
            <w:r>
              <w:rPr>
                <w:rFonts w:eastAsiaTheme="minorEastAsia"/>
                <w:color w:val="000000"/>
                <w:szCs w:val="21"/>
              </w:rPr>
              <w:t>-6.41%</w:t>
            </w:r>
          </w:p>
        </w:tc>
        <w:tc>
          <w:tcPr>
            <w:tcW w:w="1350" w:type="dxa"/>
            <w:vAlign w:val="center"/>
          </w:tcPr>
          <w:p w:rsidR="00871824" w:rsidRDefault="00672BD5">
            <w:pPr>
              <w:jc w:val="center"/>
            </w:pPr>
            <w:r>
              <w:rPr>
                <w:rFonts w:eastAsiaTheme="minorEastAsia"/>
                <w:color w:val="000000"/>
                <w:szCs w:val="21"/>
              </w:rPr>
              <w:t>1.39%</w:t>
            </w:r>
          </w:p>
        </w:tc>
        <w:tc>
          <w:tcPr>
            <w:tcW w:w="1350" w:type="dxa"/>
            <w:vAlign w:val="center"/>
          </w:tcPr>
          <w:p w:rsidR="00871824" w:rsidRDefault="00672BD5">
            <w:pPr>
              <w:jc w:val="center"/>
            </w:pPr>
            <w:r>
              <w:rPr>
                <w:rFonts w:eastAsiaTheme="minorEastAsia"/>
                <w:color w:val="000000"/>
                <w:szCs w:val="21"/>
              </w:rPr>
              <w:t>0.94%</w:t>
            </w:r>
          </w:p>
        </w:tc>
        <w:tc>
          <w:tcPr>
            <w:tcW w:w="1350" w:type="dxa"/>
            <w:vAlign w:val="center"/>
          </w:tcPr>
          <w:p w:rsidR="00871824" w:rsidRDefault="00672BD5">
            <w:pPr>
              <w:jc w:val="center"/>
            </w:pPr>
            <w:r>
              <w:rPr>
                <w:rFonts w:eastAsiaTheme="minorEastAsia"/>
                <w:color w:val="000000"/>
                <w:szCs w:val="21"/>
              </w:rPr>
              <w:t>-0.02%</w:t>
            </w:r>
          </w:p>
        </w:tc>
      </w:tr>
      <w:tr w:rsidR="00871824">
        <w:tc>
          <w:tcPr>
            <w:tcW w:w="1620" w:type="dxa"/>
            <w:vAlign w:val="center"/>
          </w:tcPr>
          <w:p w:rsidR="00871824" w:rsidRDefault="00672BD5">
            <w:pPr>
              <w:jc w:val="left"/>
            </w:pPr>
            <w:r>
              <w:rPr>
                <w:rFonts w:eastAsiaTheme="minorEastAsia"/>
                <w:color w:val="000000"/>
                <w:szCs w:val="21"/>
              </w:rPr>
              <w:t>过去三年</w:t>
            </w:r>
          </w:p>
        </w:tc>
        <w:tc>
          <w:tcPr>
            <w:tcW w:w="1350" w:type="dxa"/>
            <w:vAlign w:val="center"/>
          </w:tcPr>
          <w:p w:rsidR="00871824" w:rsidRDefault="00672BD5">
            <w:pPr>
              <w:jc w:val="center"/>
            </w:pPr>
            <w:r>
              <w:rPr>
                <w:rFonts w:eastAsiaTheme="minorEastAsia"/>
                <w:color w:val="000000"/>
                <w:szCs w:val="21"/>
              </w:rPr>
              <w:t>5.76%</w:t>
            </w:r>
          </w:p>
        </w:tc>
        <w:tc>
          <w:tcPr>
            <w:tcW w:w="1350" w:type="dxa"/>
            <w:vAlign w:val="center"/>
          </w:tcPr>
          <w:p w:rsidR="00871824" w:rsidRDefault="00672BD5">
            <w:pPr>
              <w:jc w:val="center"/>
            </w:pPr>
            <w:r>
              <w:rPr>
                <w:rFonts w:eastAsiaTheme="minorEastAsia"/>
                <w:color w:val="000000"/>
                <w:szCs w:val="21"/>
              </w:rPr>
              <w:t>1.22%</w:t>
            </w:r>
          </w:p>
        </w:tc>
        <w:tc>
          <w:tcPr>
            <w:tcW w:w="1350" w:type="dxa"/>
            <w:vAlign w:val="center"/>
          </w:tcPr>
          <w:p w:rsidR="00871824" w:rsidRDefault="00672BD5">
            <w:pPr>
              <w:jc w:val="center"/>
            </w:pPr>
            <w:r>
              <w:rPr>
                <w:rFonts w:eastAsiaTheme="minorEastAsia"/>
                <w:color w:val="000000"/>
                <w:szCs w:val="21"/>
              </w:rPr>
              <w:t>-0.52%</w:t>
            </w:r>
          </w:p>
        </w:tc>
        <w:tc>
          <w:tcPr>
            <w:tcW w:w="1350" w:type="dxa"/>
            <w:vAlign w:val="center"/>
          </w:tcPr>
          <w:p w:rsidR="00871824" w:rsidRDefault="00672BD5">
            <w:pPr>
              <w:jc w:val="center"/>
            </w:pPr>
            <w:r>
              <w:rPr>
                <w:rFonts w:eastAsiaTheme="minorEastAsia"/>
                <w:color w:val="000000"/>
                <w:szCs w:val="21"/>
              </w:rPr>
              <w:t>1.25%</w:t>
            </w:r>
          </w:p>
        </w:tc>
        <w:tc>
          <w:tcPr>
            <w:tcW w:w="1350" w:type="dxa"/>
            <w:vAlign w:val="center"/>
          </w:tcPr>
          <w:p w:rsidR="00871824" w:rsidRDefault="00672BD5">
            <w:pPr>
              <w:jc w:val="center"/>
            </w:pPr>
            <w:r>
              <w:rPr>
                <w:rFonts w:eastAsiaTheme="minorEastAsia"/>
                <w:color w:val="000000"/>
                <w:szCs w:val="21"/>
              </w:rPr>
              <w:t>6.28%</w:t>
            </w:r>
          </w:p>
        </w:tc>
        <w:tc>
          <w:tcPr>
            <w:tcW w:w="1350" w:type="dxa"/>
            <w:vAlign w:val="center"/>
          </w:tcPr>
          <w:p w:rsidR="00871824" w:rsidRDefault="00672BD5">
            <w:pPr>
              <w:jc w:val="center"/>
            </w:pPr>
            <w:r>
              <w:rPr>
                <w:rFonts w:eastAsiaTheme="minorEastAsia"/>
                <w:color w:val="000000"/>
                <w:szCs w:val="21"/>
              </w:rPr>
              <w:t>-0.03%</w:t>
            </w:r>
          </w:p>
        </w:tc>
      </w:tr>
      <w:tr w:rsidR="00871824">
        <w:tc>
          <w:tcPr>
            <w:tcW w:w="1620" w:type="dxa"/>
            <w:vAlign w:val="center"/>
          </w:tcPr>
          <w:p w:rsidR="00871824" w:rsidRDefault="00672BD5">
            <w:pPr>
              <w:jc w:val="left"/>
            </w:pPr>
            <w:r>
              <w:rPr>
                <w:rFonts w:eastAsiaTheme="minorEastAsia"/>
                <w:color w:val="000000"/>
                <w:szCs w:val="21"/>
              </w:rPr>
              <w:t>自基金合同生效起至今</w:t>
            </w:r>
          </w:p>
        </w:tc>
        <w:tc>
          <w:tcPr>
            <w:tcW w:w="1350" w:type="dxa"/>
            <w:vAlign w:val="center"/>
          </w:tcPr>
          <w:p w:rsidR="00871824" w:rsidRDefault="00672BD5">
            <w:pPr>
              <w:jc w:val="center"/>
            </w:pPr>
            <w:r>
              <w:rPr>
                <w:rFonts w:eastAsiaTheme="minorEastAsia"/>
                <w:color w:val="000000"/>
                <w:szCs w:val="21"/>
              </w:rPr>
              <w:t>14.25%</w:t>
            </w:r>
          </w:p>
        </w:tc>
        <w:tc>
          <w:tcPr>
            <w:tcW w:w="1350" w:type="dxa"/>
            <w:vAlign w:val="center"/>
          </w:tcPr>
          <w:p w:rsidR="00871824" w:rsidRDefault="00672BD5">
            <w:pPr>
              <w:jc w:val="center"/>
            </w:pPr>
            <w:r>
              <w:rPr>
                <w:rFonts w:eastAsiaTheme="minorEastAsia"/>
                <w:color w:val="000000"/>
                <w:szCs w:val="21"/>
              </w:rPr>
              <w:t>1.24%</w:t>
            </w:r>
          </w:p>
        </w:tc>
        <w:tc>
          <w:tcPr>
            <w:tcW w:w="1350" w:type="dxa"/>
            <w:vAlign w:val="center"/>
          </w:tcPr>
          <w:p w:rsidR="00871824" w:rsidRDefault="00672BD5">
            <w:pPr>
              <w:jc w:val="center"/>
            </w:pPr>
            <w:r>
              <w:rPr>
                <w:rFonts w:eastAsiaTheme="minorEastAsia"/>
                <w:color w:val="000000"/>
                <w:szCs w:val="21"/>
              </w:rPr>
              <w:t>11.70%</w:t>
            </w:r>
          </w:p>
        </w:tc>
        <w:tc>
          <w:tcPr>
            <w:tcW w:w="1350" w:type="dxa"/>
            <w:vAlign w:val="center"/>
          </w:tcPr>
          <w:p w:rsidR="00871824" w:rsidRDefault="00672BD5">
            <w:pPr>
              <w:jc w:val="center"/>
            </w:pPr>
            <w:r>
              <w:rPr>
                <w:rFonts w:eastAsiaTheme="minorEastAsia"/>
                <w:color w:val="000000"/>
                <w:szCs w:val="21"/>
              </w:rPr>
              <w:t>1.31%</w:t>
            </w:r>
          </w:p>
        </w:tc>
        <w:tc>
          <w:tcPr>
            <w:tcW w:w="1350" w:type="dxa"/>
            <w:vAlign w:val="center"/>
          </w:tcPr>
          <w:p w:rsidR="00871824" w:rsidRDefault="00672BD5">
            <w:pPr>
              <w:jc w:val="center"/>
            </w:pPr>
            <w:r>
              <w:rPr>
                <w:rFonts w:eastAsiaTheme="minorEastAsia"/>
                <w:color w:val="000000"/>
                <w:szCs w:val="21"/>
              </w:rPr>
              <w:t>2.55%</w:t>
            </w:r>
          </w:p>
        </w:tc>
        <w:tc>
          <w:tcPr>
            <w:tcW w:w="1350" w:type="dxa"/>
            <w:vAlign w:val="center"/>
          </w:tcPr>
          <w:p w:rsidR="00871824" w:rsidRDefault="00672BD5">
            <w:pPr>
              <w:jc w:val="center"/>
            </w:pPr>
            <w:r>
              <w:rPr>
                <w:rFonts w:eastAsiaTheme="minorEastAsia"/>
                <w:color w:val="000000"/>
                <w:szCs w:val="21"/>
              </w:rPr>
              <w:t>-0.07%</w:t>
            </w:r>
          </w:p>
        </w:tc>
      </w:tr>
    </w:tbl>
    <w:p w:rsidR="00FC6E91" w:rsidRPr="00C24ACA" w:rsidRDefault="00FC6E91" w:rsidP="00FC6E91">
      <w:pPr>
        <w:pStyle w:val="21"/>
        <w:spacing w:line="288" w:lineRule="auto"/>
        <w:ind w:firstLineChars="0" w:firstLine="0"/>
        <w:rPr>
          <w:rFonts w:ascii="Times New Roman" w:eastAsiaTheme="minorEastAsia" w:hAnsi="Times New Roman"/>
          <w:color w:val="auto"/>
          <w:sz w:val="21"/>
          <w:szCs w:val="21"/>
        </w:rPr>
      </w:pPr>
      <w:r w:rsidRPr="00C24ACA">
        <w:rPr>
          <w:rFonts w:ascii="Times New Roman" w:eastAsiaTheme="minorEastAsia" w:hAnsi="Times New Roman"/>
          <w:color w:val="auto"/>
          <w:sz w:val="21"/>
          <w:szCs w:val="21"/>
        </w:rPr>
        <w:t>易方达恒生国企联接（</w:t>
      </w:r>
      <w:r w:rsidRPr="00C24ACA">
        <w:rPr>
          <w:rFonts w:ascii="Times New Roman" w:eastAsiaTheme="minorEastAsia" w:hAnsi="Times New Roman"/>
          <w:color w:val="auto"/>
          <w:sz w:val="21"/>
          <w:szCs w:val="21"/>
        </w:rPr>
        <w:t>QDII</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C</w:t>
      </w:r>
    </w:p>
    <w:tbl>
      <w:tblPr>
        <w:tblW w:w="97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FC6E91" w:rsidRPr="00C24ACA" w:rsidTr="005C3575">
        <w:tc>
          <w:tcPr>
            <w:tcW w:w="162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阶段</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w:t>
            </w:r>
            <w:r w:rsidRPr="00C24ACA">
              <w:rPr>
                <w:rFonts w:ascii="宋体" w:hAnsi="宋体" w:cs="宋体" w:hint="eastAsia"/>
                <w:color w:val="000000"/>
                <w:szCs w:val="21"/>
              </w:rPr>
              <w:t>①</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份额净值增长率标准差</w:t>
            </w:r>
            <w:r w:rsidRPr="00C24ACA">
              <w:rPr>
                <w:rFonts w:ascii="宋体" w:hAnsi="宋体" w:cs="宋体" w:hint="eastAsia"/>
                <w:color w:val="000000"/>
                <w:szCs w:val="21"/>
              </w:rPr>
              <w:t>②</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业绩比较基准收益率标准差</w:t>
            </w:r>
            <w:r w:rsidRPr="00C24ACA">
              <w:rPr>
                <w:rFonts w:ascii="宋体" w:hAnsi="宋体" w:cs="宋体" w:hint="eastAsia"/>
                <w:color w:val="000000"/>
                <w:szCs w:val="21"/>
              </w:rPr>
              <w:t>④</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①</w:t>
            </w:r>
            <w:r w:rsidRPr="00C24ACA">
              <w:rPr>
                <w:rFonts w:eastAsiaTheme="minorEastAsia"/>
                <w:color w:val="000000"/>
                <w:szCs w:val="21"/>
              </w:rPr>
              <w:t>－</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②</w:t>
            </w:r>
            <w:r w:rsidRPr="00C24ACA">
              <w:rPr>
                <w:rFonts w:eastAsiaTheme="minorEastAsia"/>
                <w:color w:val="000000"/>
                <w:szCs w:val="21"/>
              </w:rPr>
              <w:t>－</w:t>
            </w:r>
            <w:r w:rsidRPr="00C24ACA">
              <w:rPr>
                <w:rFonts w:ascii="宋体" w:hAnsi="宋体" w:cs="宋体" w:hint="eastAsia"/>
                <w:color w:val="000000"/>
                <w:szCs w:val="21"/>
              </w:rPr>
              <w:t>④</w:t>
            </w:r>
          </w:p>
        </w:tc>
      </w:tr>
      <w:tr w:rsidR="00871824">
        <w:tc>
          <w:tcPr>
            <w:tcW w:w="1620" w:type="dxa"/>
            <w:vAlign w:val="center"/>
          </w:tcPr>
          <w:p w:rsidR="00871824" w:rsidRDefault="00672BD5">
            <w:pPr>
              <w:jc w:val="left"/>
            </w:pPr>
            <w:r>
              <w:rPr>
                <w:rFonts w:eastAsiaTheme="minorEastAsia"/>
                <w:color w:val="000000"/>
                <w:szCs w:val="21"/>
              </w:rPr>
              <w:t>过去一个月</w:t>
            </w:r>
          </w:p>
        </w:tc>
        <w:tc>
          <w:tcPr>
            <w:tcW w:w="1350" w:type="dxa"/>
            <w:vAlign w:val="center"/>
          </w:tcPr>
          <w:p w:rsidR="00871824" w:rsidRDefault="00672BD5">
            <w:pPr>
              <w:jc w:val="center"/>
            </w:pPr>
            <w:r>
              <w:rPr>
                <w:rFonts w:eastAsiaTheme="minorEastAsia"/>
                <w:color w:val="000000"/>
                <w:szCs w:val="21"/>
              </w:rPr>
              <w:t>2.14%</w:t>
            </w:r>
          </w:p>
        </w:tc>
        <w:tc>
          <w:tcPr>
            <w:tcW w:w="1350" w:type="dxa"/>
            <w:vAlign w:val="center"/>
          </w:tcPr>
          <w:p w:rsidR="00871824" w:rsidRDefault="00672BD5">
            <w:pPr>
              <w:jc w:val="center"/>
            </w:pPr>
            <w:r>
              <w:rPr>
                <w:rFonts w:eastAsiaTheme="minorEastAsia"/>
                <w:color w:val="000000"/>
                <w:szCs w:val="21"/>
              </w:rPr>
              <w:t>1.15%</w:t>
            </w:r>
          </w:p>
        </w:tc>
        <w:tc>
          <w:tcPr>
            <w:tcW w:w="1350" w:type="dxa"/>
            <w:vAlign w:val="center"/>
          </w:tcPr>
          <w:p w:rsidR="00871824" w:rsidRDefault="00672BD5">
            <w:pPr>
              <w:jc w:val="center"/>
            </w:pPr>
            <w:r>
              <w:rPr>
                <w:rFonts w:eastAsiaTheme="minorEastAsia"/>
                <w:color w:val="000000"/>
                <w:szCs w:val="21"/>
              </w:rPr>
              <w:t>1.29%</w:t>
            </w:r>
          </w:p>
        </w:tc>
        <w:tc>
          <w:tcPr>
            <w:tcW w:w="1350" w:type="dxa"/>
            <w:vAlign w:val="center"/>
          </w:tcPr>
          <w:p w:rsidR="00871824" w:rsidRDefault="00672BD5">
            <w:pPr>
              <w:jc w:val="center"/>
            </w:pPr>
            <w:r>
              <w:rPr>
                <w:rFonts w:eastAsiaTheme="minorEastAsia"/>
                <w:color w:val="000000"/>
                <w:szCs w:val="21"/>
              </w:rPr>
              <w:t>1.15%</w:t>
            </w:r>
          </w:p>
        </w:tc>
        <w:tc>
          <w:tcPr>
            <w:tcW w:w="1350" w:type="dxa"/>
            <w:vAlign w:val="center"/>
          </w:tcPr>
          <w:p w:rsidR="00871824" w:rsidRDefault="00672BD5">
            <w:pPr>
              <w:jc w:val="center"/>
            </w:pPr>
            <w:r>
              <w:rPr>
                <w:rFonts w:eastAsiaTheme="minorEastAsia"/>
                <w:color w:val="000000"/>
                <w:szCs w:val="21"/>
              </w:rPr>
              <w:t>0.85%</w:t>
            </w:r>
          </w:p>
        </w:tc>
        <w:tc>
          <w:tcPr>
            <w:tcW w:w="1350" w:type="dxa"/>
            <w:vAlign w:val="center"/>
          </w:tcPr>
          <w:p w:rsidR="00871824" w:rsidRDefault="00672BD5">
            <w:pPr>
              <w:jc w:val="center"/>
            </w:pPr>
            <w:r>
              <w:rPr>
                <w:rFonts w:eastAsiaTheme="minorEastAsia"/>
                <w:color w:val="000000"/>
                <w:szCs w:val="21"/>
              </w:rPr>
              <w:t>0.00%</w:t>
            </w:r>
          </w:p>
        </w:tc>
      </w:tr>
      <w:tr w:rsidR="00871824">
        <w:tc>
          <w:tcPr>
            <w:tcW w:w="1620" w:type="dxa"/>
            <w:vAlign w:val="center"/>
          </w:tcPr>
          <w:p w:rsidR="00871824" w:rsidRDefault="00672BD5">
            <w:pPr>
              <w:jc w:val="left"/>
            </w:pPr>
            <w:r>
              <w:rPr>
                <w:rFonts w:eastAsiaTheme="minorEastAsia"/>
                <w:color w:val="000000"/>
                <w:szCs w:val="21"/>
              </w:rPr>
              <w:t>过去三个月</w:t>
            </w:r>
          </w:p>
        </w:tc>
        <w:tc>
          <w:tcPr>
            <w:tcW w:w="1350" w:type="dxa"/>
            <w:vAlign w:val="center"/>
          </w:tcPr>
          <w:p w:rsidR="00871824" w:rsidRDefault="00672BD5">
            <w:pPr>
              <w:jc w:val="center"/>
            </w:pPr>
            <w:r>
              <w:rPr>
                <w:rFonts w:eastAsiaTheme="minorEastAsia"/>
                <w:color w:val="000000"/>
                <w:szCs w:val="21"/>
              </w:rPr>
              <w:t>3.09%</w:t>
            </w:r>
          </w:p>
        </w:tc>
        <w:tc>
          <w:tcPr>
            <w:tcW w:w="1350" w:type="dxa"/>
            <w:vAlign w:val="center"/>
          </w:tcPr>
          <w:p w:rsidR="00871824" w:rsidRDefault="00672BD5">
            <w:pPr>
              <w:jc w:val="center"/>
            </w:pPr>
            <w:r>
              <w:rPr>
                <w:rFonts w:eastAsiaTheme="minorEastAsia"/>
                <w:color w:val="000000"/>
                <w:szCs w:val="21"/>
              </w:rPr>
              <w:t>1.27%</w:t>
            </w:r>
          </w:p>
        </w:tc>
        <w:tc>
          <w:tcPr>
            <w:tcW w:w="1350" w:type="dxa"/>
            <w:vAlign w:val="center"/>
          </w:tcPr>
          <w:p w:rsidR="00871824" w:rsidRDefault="00672BD5">
            <w:pPr>
              <w:jc w:val="center"/>
            </w:pPr>
            <w:r>
              <w:rPr>
                <w:rFonts w:eastAsiaTheme="minorEastAsia"/>
                <w:color w:val="000000"/>
                <w:szCs w:val="21"/>
              </w:rPr>
              <w:t>1.62%</w:t>
            </w:r>
          </w:p>
        </w:tc>
        <w:tc>
          <w:tcPr>
            <w:tcW w:w="1350" w:type="dxa"/>
            <w:vAlign w:val="center"/>
          </w:tcPr>
          <w:p w:rsidR="00871824" w:rsidRDefault="00672BD5">
            <w:pPr>
              <w:jc w:val="center"/>
            </w:pPr>
            <w:r>
              <w:rPr>
                <w:rFonts w:eastAsiaTheme="minorEastAsia"/>
                <w:color w:val="000000"/>
                <w:szCs w:val="21"/>
              </w:rPr>
              <w:t>1.28%</w:t>
            </w:r>
          </w:p>
        </w:tc>
        <w:tc>
          <w:tcPr>
            <w:tcW w:w="1350" w:type="dxa"/>
            <w:vAlign w:val="center"/>
          </w:tcPr>
          <w:p w:rsidR="00871824" w:rsidRDefault="00672BD5">
            <w:pPr>
              <w:jc w:val="center"/>
            </w:pPr>
            <w:r>
              <w:rPr>
                <w:rFonts w:eastAsiaTheme="minorEastAsia"/>
                <w:color w:val="000000"/>
                <w:szCs w:val="21"/>
              </w:rPr>
              <w:t>1.47%</w:t>
            </w:r>
          </w:p>
        </w:tc>
        <w:tc>
          <w:tcPr>
            <w:tcW w:w="1350" w:type="dxa"/>
            <w:vAlign w:val="center"/>
          </w:tcPr>
          <w:p w:rsidR="00871824" w:rsidRDefault="00672BD5">
            <w:pPr>
              <w:jc w:val="center"/>
            </w:pPr>
            <w:r>
              <w:rPr>
                <w:rFonts w:eastAsiaTheme="minorEastAsia"/>
                <w:color w:val="000000"/>
                <w:szCs w:val="21"/>
              </w:rPr>
              <w:t>-0.01%</w:t>
            </w:r>
          </w:p>
        </w:tc>
      </w:tr>
      <w:tr w:rsidR="00871824">
        <w:tc>
          <w:tcPr>
            <w:tcW w:w="1620" w:type="dxa"/>
            <w:vAlign w:val="center"/>
          </w:tcPr>
          <w:p w:rsidR="00871824" w:rsidRDefault="00672BD5">
            <w:pPr>
              <w:jc w:val="left"/>
            </w:pPr>
            <w:r>
              <w:rPr>
                <w:rFonts w:eastAsiaTheme="minorEastAsia"/>
                <w:color w:val="000000"/>
                <w:szCs w:val="21"/>
              </w:rPr>
              <w:t>过去六个月</w:t>
            </w:r>
          </w:p>
        </w:tc>
        <w:tc>
          <w:tcPr>
            <w:tcW w:w="1350" w:type="dxa"/>
            <w:vAlign w:val="center"/>
          </w:tcPr>
          <w:p w:rsidR="00871824" w:rsidRDefault="00672BD5">
            <w:pPr>
              <w:jc w:val="center"/>
            </w:pPr>
            <w:r>
              <w:rPr>
                <w:rFonts w:eastAsiaTheme="minorEastAsia"/>
                <w:color w:val="000000"/>
                <w:szCs w:val="21"/>
              </w:rPr>
              <w:t>-9.66%</w:t>
            </w:r>
          </w:p>
        </w:tc>
        <w:tc>
          <w:tcPr>
            <w:tcW w:w="1350" w:type="dxa"/>
            <w:vAlign w:val="center"/>
          </w:tcPr>
          <w:p w:rsidR="00871824" w:rsidRDefault="00672BD5">
            <w:pPr>
              <w:jc w:val="center"/>
            </w:pPr>
            <w:r>
              <w:rPr>
                <w:rFonts w:eastAsiaTheme="minorEastAsia"/>
                <w:color w:val="000000"/>
                <w:szCs w:val="21"/>
              </w:rPr>
              <w:t>1.77%</w:t>
            </w:r>
          </w:p>
        </w:tc>
        <w:tc>
          <w:tcPr>
            <w:tcW w:w="1350" w:type="dxa"/>
            <w:vAlign w:val="center"/>
          </w:tcPr>
          <w:p w:rsidR="00871824" w:rsidRDefault="00672BD5">
            <w:pPr>
              <w:jc w:val="center"/>
            </w:pPr>
            <w:r>
              <w:rPr>
                <w:rFonts w:eastAsiaTheme="minorEastAsia"/>
                <w:color w:val="000000"/>
                <w:szCs w:val="21"/>
              </w:rPr>
              <w:t>-10.29%</w:t>
            </w:r>
          </w:p>
        </w:tc>
        <w:tc>
          <w:tcPr>
            <w:tcW w:w="1350" w:type="dxa"/>
            <w:vAlign w:val="center"/>
          </w:tcPr>
          <w:p w:rsidR="00871824" w:rsidRDefault="00672BD5">
            <w:pPr>
              <w:jc w:val="center"/>
            </w:pPr>
            <w:r>
              <w:rPr>
                <w:rFonts w:eastAsiaTheme="minorEastAsia"/>
                <w:color w:val="000000"/>
                <w:szCs w:val="21"/>
              </w:rPr>
              <w:t>1.79%</w:t>
            </w:r>
          </w:p>
        </w:tc>
        <w:tc>
          <w:tcPr>
            <w:tcW w:w="1350" w:type="dxa"/>
            <w:vAlign w:val="center"/>
          </w:tcPr>
          <w:p w:rsidR="00871824" w:rsidRDefault="00672BD5">
            <w:pPr>
              <w:jc w:val="center"/>
            </w:pPr>
            <w:r>
              <w:rPr>
                <w:rFonts w:eastAsiaTheme="minorEastAsia"/>
                <w:color w:val="000000"/>
                <w:szCs w:val="21"/>
              </w:rPr>
              <w:t>0.63%</w:t>
            </w:r>
          </w:p>
        </w:tc>
        <w:tc>
          <w:tcPr>
            <w:tcW w:w="1350" w:type="dxa"/>
            <w:vAlign w:val="center"/>
          </w:tcPr>
          <w:p w:rsidR="00871824" w:rsidRDefault="00672BD5">
            <w:pPr>
              <w:jc w:val="center"/>
            </w:pPr>
            <w:r>
              <w:rPr>
                <w:rFonts w:eastAsiaTheme="minorEastAsia"/>
                <w:color w:val="000000"/>
                <w:szCs w:val="21"/>
              </w:rPr>
              <w:t>-0.02%</w:t>
            </w:r>
          </w:p>
        </w:tc>
      </w:tr>
      <w:tr w:rsidR="00871824">
        <w:tc>
          <w:tcPr>
            <w:tcW w:w="1620" w:type="dxa"/>
            <w:vAlign w:val="center"/>
          </w:tcPr>
          <w:p w:rsidR="00871824" w:rsidRDefault="00672BD5">
            <w:pPr>
              <w:jc w:val="left"/>
            </w:pPr>
            <w:r>
              <w:rPr>
                <w:rFonts w:eastAsiaTheme="minorEastAsia"/>
                <w:color w:val="000000"/>
                <w:szCs w:val="21"/>
              </w:rPr>
              <w:t>过去一年</w:t>
            </w:r>
          </w:p>
        </w:tc>
        <w:tc>
          <w:tcPr>
            <w:tcW w:w="1350" w:type="dxa"/>
            <w:vAlign w:val="center"/>
          </w:tcPr>
          <w:p w:rsidR="00871824" w:rsidRDefault="00672BD5">
            <w:pPr>
              <w:jc w:val="center"/>
            </w:pPr>
            <w:r>
              <w:rPr>
                <w:rFonts w:eastAsiaTheme="minorEastAsia"/>
                <w:color w:val="000000"/>
                <w:szCs w:val="21"/>
              </w:rPr>
              <w:t>-2.96%</w:t>
            </w:r>
          </w:p>
        </w:tc>
        <w:tc>
          <w:tcPr>
            <w:tcW w:w="1350" w:type="dxa"/>
            <w:vAlign w:val="center"/>
          </w:tcPr>
          <w:p w:rsidR="00871824" w:rsidRDefault="00672BD5">
            <w:pPr>
              <w:jc w:val="center"/>
            </w:pPr>
            <w:r>
              <w:rPr>
                <w:rFonts w:eastAsiaTheme="minorEastAsia"/>
                <w:color w:val="000000"/>
                <w:szCs w:val="21"/>
              </w:rPr>
              <w:t>1.39%</w:t>
            </w:r>
          </w:p>
        </w:tc>
        <w:tc>
          <w:tcPr>
            <w:tcW w:w="1350" w:type="dxa"/>
            <w:vAlign w:val="center"/>
          </w:tcPr>
          <w:p w:rsidR="00871824" w:rsidRDefault="00672BD5">
            <w:pPr>
              <w:jc w:val="center"/>
            </w:pPr>
            <w:r>
              <w:rPr>
                <w:rFonts w:eastAsiaTheme="minorEastAsia"/>
                <w:color w:val="000000"/>
                <w:szCs w:val="21"/>
              </w:rPr>
              <w:t>-6.41%</w:t>
            </w:r>
          </w:p>
        </w:tc>
        <w:tc>
          <w:tcPr>
            <w:tcW w:w="1350" w:type="dxa"/>
            <w:vAlign w:val="center"/>
          </w:tcPr>
          <w:p w:rsidR="00871824" w:rsidRDefault="00672BD5">
            <w:pPr>
              <w:jc w:val="center"/>
            </w:pPr>
            <w:r>
              <w:rPr>
                <w:rFonts w:eastAsiaTheme="minorEastAsia"/>
                <w:color w:val="000000"/>
                <w:szCs w:val="21"/>
              </w:rPr>
              <w:t>1.39%</w:t>
            </w:r>
          </w:p>
        </w:tc>
        <w:tc>
          <w:tcPr>
            <w:tcW w:w="1350" w:type="dxa"/>
            <w:vAlign w:val="center"/>
          </w:tcPr>
          <w:p w:rsidR="00871824" w:rsidRDefault="00672BD5">
            <w:pPr>
              <w:jc w:val="center"/>
            </w:pPr>
            <w:r>
              <w:rPr>
                <w:rFonts w:eastAsiaTheme="minorEastAsia"/>
                <w:color w:val="000000"/>
                <w:szCs w:val="21"/>
              </w:rPr>
              <w:t>3.45%</w:t>
            </w:r>
          </w:p>
        </w:tc>
        <w:tc>
          <w:tcPr>
            <w:tcW w:w="1350" w:type="dxa"/>
            <w:vAlign w:val="center"/>
          </w:tcPr>
          <w:p w:rsidR="00871824" w:rsidRDefault="00672BD5">
            <w:pPr>
              <w:jc w:val="center"/>
            </w:pPr>
            <w:r>
              <w:rPr>
                <w:rFonts w:eastAsiaTheme="minorEastAsia"/>
                <w:color w:val="000000"/>
                <w:szCs w:val="21"/>
              </w:rPr>
              <w:t>0.00%</w:t>
            </w:r>
          </w:p>
        </w:tc>
      </w:tr>
      <w:tr w:rsidR="00871824">
        <w:tc>
          <w:tcPr>
            <w:tcW w:w="1620" w:type="dxa"/>
            <w:vAlign w:val="center"/>
          </w:tcPr>
          <w:p w:rsidR="00871824" w:rsidRDefault="00672BD5">
            <w:pPr>
              <w:jc w:val="left"/>
            </w:pPr>
            <w:r>
              <w:rPr>
                <w:rFonts w:eastAsiaTheme="minorEastAsia"/>
                <w:color w:val="000000"/>
                <w:szCs w:val="21"/>
              </w:rPr>
              <w:t>过去三年</w:t>
            </w:r>
          </w:p>
        </w:tc>
        <w:tc>
          <w:tcPr>
            <w:tcW w:w="1350" w:type="dxa"/>
            <w:vAlign w:val="center"/>
          </w:tcPr>
          <w:p w:rsidR="00871824" w:rsidRDefault="00672BD5">
            <w:pPr>
              <w:jc w:val="center"/>
            </w:pPr>
            <w:r>
              <w:rPr>
                <w:rFonts w:eastAsiaTheme="minorEastAsia"/>
                <w:color w:val="000000"/>
                <w:szCs w:val="21"/>
              </w:rPr>
              <w:t>-</w:t>
            </w:r>
          </w:p>
        </w:tc>
        <w:tc>
          <w:tcPr>
            <w:tcW w:w="1350" w:type="dxa"/>
            <w:vAlign w:val="center"/>
          </w:tcPr>
          <w:p w:rsidR="00871824" w:rsidRDefault="00672BD5">
            <w:pPr>
              <w:jc w:val="center"/>
            </w:pPr>
            <w:r>
              <w:rPr>
                <w:rFonts w:eastAsiaTheme="minorEastAsia"/>
                <w:color w:val="000000"/>
                <w:szCs w:val="21"/>
              </w:rPr>
              <w:t>-</w:t>
            </w:r>
          </w:p>
        </w:tc>
        <w:tc>
          <w:tcPr>
            <w:tcW w:w="1350" w:type="dxa"/>
            <w:vAlign w:val="center"/>
          </w:tcPr>
          <w:p w:rsidR="00871824" w:rsidRDefault="00672BD5">
            <w:pPr>
              <w:jc w:val="center"/>
            </w:pPr>
            <w:r>
              <w:rPr>
                <w:rFonts w:eastAsiaTheme="minorEastAsia"/>
                <w:color w:val="000000"/>
                <w:szCs w:val="21"/>
              </w:rPr>
              <w:t>-</w:t>
            </w:r>
          </w:p>
        </w:tc>
        <w:tc>
          <w:tcPr>
            <w:tcW w:w="1350" w:type="dxa"/>
            <w:vAlign w:val="center"/>
          </w:tcPr>
          <w:p w:rsidR="00871824" w:rsidRDefault="00672BD5">
            <w:pPr>
              <w:jc w:val="center"/>
            </w:pPr>
            <w:r>
              <w:rPr>
                <w:rFonts w:eastAsiaTheme="minorEastAsia"/>
                <w:color w:val="000000"/>
                <w:szCs w:val="21"/>
              </w:rPr>
              <w:t>-</w:t>
            </w:r>
          </w:p>
        </w:tc>
        <w:tc>
          <w:tcPr>
            <w:tcW w:w="1350" w:type="dxa"/>
            <w:vAlign w:val="center"/>
          </w:tcPr>
          <w:p w:rsidR="00871824" w:rsidRDefault="00672BD5">
            <w:pPr>
              <w:jc w:val="center"/>
            </w:pPr>
            <w:r>
              <w:rPr>
                <w:rFonts w:eastAsiaTheme="minorEastAsia"/>
                <w:color w:val="000000"/>
                <w:szCs w:val="21"/>
              </w:rPr>
              <w:t>-</w:t>
            </w:r>
          </w:p>
        </w:tc>
        <w:tc>
          <w:tcPr>
            <w:tcW w:w="1350" w:type="dxa"/>
            <w:vAlign w:val="center"/>
          </w:tcPr>
          <w:p w:rsidR="00871824" w:rsidRDefault="00672BD5">
            <w:pPr>
              <w:jc w:val="center"/>
            </w:pPr>
            <w:r>
              <w:rPr>
                <w:rFonts w:eastAsiaTheme="minorEastAsia"/>
                <w:color w:val="000000"/>
                <w:szCs w:val="21"/>
              </w:rPr>
              <w:t>-</w:t>
            </w:r>
          </w:p>
        </w:tc>
      </w:tr>
      <w:tr w:rsidR="00871824">
        <w:tc>
          <w:tcPr>
            <w:tcW w:w="1620" w:type="dxa"/>
            <w:vAlign w:val="center"/>
          </w:tcPr>
          <w:p w:rsidR="00871824" w:rsidRDefault="00672BD5">
            <w:pPr>
              <w:jc w:val="left"/>
            </w:pPr>
            <w:r>
              <w:rPr>
                <w:rFonts w:eastAsiaTheme="minorEastAsia"/>
                <w:color w:val="000000"/>
                <w:szCs w:val="21"/>
              </w:rPr>
              <w:t>自基金合同生效起至今</w:t>
            </w:r>
          </w:p>
        </w:tc>
        <w:tc>
          <w:tcPr>
            <w:tcW w:w="1350" w:type="dxa"/>
            <w:vAlign w:val="center"/>
          </w:tcPr>
          <w:p w:rsidR="00871824" w:rsidRDefault="00672BD5">
            <w:pPr>
              <w:jc w:val="center"/>
            </w:pPr>
            <w:r>
              <w:rPr>
                <w:rFonts w:eastAsiaTheme="minorEastAsia"/>
                <w:color w:val="000000"/>
                <w:szCs w:val="21"/>
              </w:rPr>
              <w:t>-0.77%</w:t>
            </w:r>
          </w:p>
        </w:tc>
        <w:tc>
          <w:tcPr>
            <w:tcW w:w="1350" w:type="dxa"/>
            <w:vAlign w:val="center"/>
          </w:tcPr>
          <w:p w:rsidR="00871824" w:rsidRDefault="00672BD5">
            <w:pPr>
              <w:jc w:val="center"/>
            </w:pPr>
            <w:r>
              <w:rPr>
                <w:rFonts w:eastAsiaTheme="minorEastAsia"/>
                <w:color w:val="000000"/>
                <w:szCs w:val="21"/>
              </w:rPr>
              <w:t>1.25%</w:t>
            </w:r>
          </w:p>
        </w:tc>
        <w:tc>
          <w:tcPr>
            <w:tcW w:w="1350" w:type="dxa"/>
            <w:vAlign w:val="center"/>
          </w:tcPr>
          <w:p w:rsidR="00871824" w:rsidRDefault="00672BD5">
            <w:pPr>
              <w:jc w:val="center"/>
            </w:pPr>
            <w:r>
              <w:rPr>
                <w:rFonts w:eastAsiaTheme="minorEastAsia"/>
                <w:color w:val="000000"/>
                <w:szCs w:val="21"/>
              </w:rPr>
              <w:t>-6.70%</w:t>
            </w:r>
          </w:p>
        </w:tc>
        <w:tc>
          <w:tcPr>
            <w:tcW w:w="1350" w:type="dxa"/>
            <w:vAlign w:val="center"/>
          </w:tcPr>
          <w:p w:rsidR="00871824" w:rsidRDefault="00672BD5">
            <w:pPr>
              <w:jc w:val="center"/>
            </w:pPr>
            <w:r>
              <w:rPr>
                <w:rFonts w:eastAsiaTheme="minorEastAsia"/>
                <w:color w:val="000000"/>
                <w:szCs w:val="21"/>
              </w:rPr>
              <w:t>1.27%</w:t>
            </w:r>
          </w:p>
        </w:tc>
        <w:tc>
          <w:tcPr>
            <w:tcW w:w="1350" w:type="dxa"/>
            <w:vAlign w:val="center"/>
          </w:tcPr>
          <w:p w:rsidR="00871824" w:rsidRDefault="00672BD5">
            <w:pPr>
              <w:jc w:val="center"/>
            </w:pPr>
            <w:r>
              <w:rPr>
                <w:rFonts w:eastAsiaTheme="minorEastAsia"/>
                <w:color w:val="000000"/>
                <w:szCs w:val="21"/>
              </w:rPr>
              <w:t>5.93%</w:t>
            </w:r>
          </w:p>
        </w:tc>
        <w:tc>
          <w:tcPr>
            <w:tcW w:w="1350" w:type="dxa"/>
            <w:vAlign w:val="center"/>
          </w:tcPr>
          <w:p w:rsidR="00871824" w:rsidRDefault="00672BD5">
            <w:pPr>
              <w:jc w:val="center"/>
            </w:pPr>
            <w:r>
              <w:rPr>
                <w:rFonts w:eastAsiaTheme="minorEastAsia"/>
                <w:color w:val="000000"/>
                <w:szCs w:val="21"/>
              </w:rPr>
              <w:t>-0.02%</w:t>
            </w:r>
          </w:p>
        </w:tc>
      </w:tr>
    </w:tbl>
    <w:p w:rsidR="00FC6E91" w:rsidRPr="00C24ACA" w:rsidRDefault="00FC6E91"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注：自</w:t>
      </w:r>
      <w:r w:rsidRPr="00C24ACA">
        <w:rPr>
          <w:rFonts w:eastAsiaTheme="minorEastAsia"/>
          <w:kern w:val="0"/>
          <w:szCs w:val="21"/>
        </w:rPr>
        <w:t>2018</w:t>
      </w:r>
      <w:r w:rsidRPr="00C24ACA">
        <w:rPr>
          <w:rFonts w:eastAsiaTheme="minorEastAsia"/>
          <w:kern w:val="0"/>
          <w:szCs w:val="21"/>
        </w:rPr>
        <w:t>年</w:t>
      </w:r>
      <w:r w:rsidRPr="00C24ACA">
        <w:rPr>
          <w:rFonts w:eastAsiaTheme="minorEastAsia"/>
          <w:kern w:val="0"/>
          <w:szCs w:val="21"/>
        </w:rPr>
        <w:t>2</w:t>
      </w:r>
      <w:r w:rsidRPr="00C24ACA">
        <w:rPr>
          <w:rFonts w:eastAsiaTheme="minorEastAsia"/>
          <w:kern w:val="0"/>
          <w:szCs w:val="21"/>
        </w:rPr>
        <w:t>月</w:t>
      </w:r>
      <w:r w:rsidRPr="00C24ACA">
        <w:rPr>
          <w:rFonts w:eastAsiaTheme="minorEastAsia"/>
          <w:kern w:val="0"/>
          <w:szCs w:val="21"/>
        </w:rPr>
        <w:t>9</w:t>
      </w:r>
      <w:r w:rsidRPr="00C24ACA">
        <w:rPr>
          <w:rFonts w:eastAsiaTheme="minorEastAsia"/>
          <w:kern w:val="0"/>
          <w:szCs w:val="21"/>
        </w:rPr>
        <w:t>日起，本基金增设</w:t>
      </w:r>
      <w:r w:rsidRPr="00C24ACA">
        <w:rPr>
          <w:rFonts w:eastAsiaTheme="minorEastAsia"/>
          <w:kern w:val="0"/>
          <w:szCs w:val="21"/>
        </w:rPr>
        <w:t>C</w:t>
      </w:r>
      <w:r w:rsidRPr="00C24ACA">
        <w:rPr>
          <w:rFonts w:eastAsiaTheme="minorEastAsia"/>
          <w:kern w:val="0"/>
          <w:szCs w:val="21"/>
        </w:rPr>
        <w:t>类份额类别，份额首次确认日为</w:t>
      </w:r>
      <w:r w:rsidRPr="00C24ACA">
        <w:rPr>
          <w:rFonts w:eastAsiaTheme="minorEastAsia"/>
          <w:kern w:val="0"/>
          <w:szCs w:val="21"/>
        </w:rPr>
        <w:t>2018</w:t>
      </w:r>
      <w:r w:rsidRPr="00C24ACA">
        <w:rPr>
          <w:rFonts w:eastAsiaTheme="minorEastAsia"/>
          <w:kern w:val="0"/>
          <w:szCs w:val="21"/>
        </w:rPr>
        <w:t>年</w:t>
      </w:r>
      <w:r w:rsidRPr="00C24ACA">
        <w:rPr>
          <w:rFonts w:eastAsiaTheme="minorEastAsia"/>
          <w:kern w:val="0"/>
          <w:szCs w:val="21"/>
        </w:rPr>
        <w:t>2</w:t>
      </w:r>
      <w:r w:rsidRPr="00C24ACA">
        <w:rPr>
          <w:rFonts w:eastAsiaTheme="minorEastAsia"/>
          <w:kern w:val="0"/>
          <w:szCs w:val="21"/>
        </w:rPr>
        <w:t>月</w:t>
      </w:r>
      <w:r w:rsidRPr="00C24ACA">
        <w:rPr>
          <w:rFonts w:eastAsiaTheme="minorEastAsia"/>
          <w:kern w:val="0"/>
          <w:szCs w:val="21"/>
        </w:rPr>
        <w:t>12</w:t>
      </w:r>
      <w:r w:rsidRPr="00C24ACA">
        <w:rPr>
          <w:rFonts w:eastAsiaTheme="minorEastAsia"/>
          <w:kern w:val="0"/>
          <w:szCs w:val="21"/>
        </w:rPr>
        <w:t>日，增设当期的相关数据和指标按实际存续期计算。</w:t>
      </w:r>
    </w:p>
    <w:p w:rsidR="00FC6E91" w:rsidRPr="00C24ACA" w:rsidRDefault="00FC6E91" w:rsidP="006C64F3">
      <w:pPr>
        <w:spacing w:beforeLines="100" w:before="312" w:line="360" w:lineRule="auto"/>
        <w:rPr>
          <w:rFonts w:eastAsiaTheme="minorEastAsia"/>
          <w:b/>
          <w:kern w:val="0"/>
          <w:szCs w:val="21"/>
        </w:rPr>
      </w:pPr>
      <w:r w:rsidRPr="00C24ACA">
        <w:rPr>
          <w:rFonts w:eastAsiaTheme="minorEastAsia"/>
          <w:b/>
          <w:kern w:val="0"/>
          <w:szCs w:val="21"/>
        </w:rPr>
        <w:t>3.2.2</w:t>
      </w:r>
      <w:r w:rsidR="00587AF5">
        <w:rPr>
          <w:rStyle w:val="af8"/>
          <w:rFonts w:hAnsi="宋体" w:cs="宋体"/>
          <w:color w:val="000000"/>
          <w:shd w:val="clear" w:color="auto" w:fill="FFFFFF"/>
        </w:rPr>
        <w:t>自基金合同生效以来</w:t>
      </w:r>
      <w:r w:rsidRPr="00C24ACA">
        <w:rPr>
          <w:rFonts w:eastAsiaTheme="minorEastAsia"/>
          <w:b/>
          <w:kern w:val="0"/>
          <w:szCs w:val="21"/>
        </w:rPr>
        <w:t>基金份额累计净值增长率变动及其与同期业绩比较基准收益率变动的比较</w:t>
      </w:r>
    </w:p>
    <w:p w:rsidR="00855B21" w:rsidRDefault="00855B21" w:rsidP="00855B21">
      <w:pPr>
        <w:spacing w:line="360" w:lineRule="auto"/>
        <w:ind w:firstLine="420"/>
        <w:jc w:val="center"/>
        <w:rPr>
          <w:rFonts w:eastAsiaTheme="minorEastAsia"/>
          <w:color w:val="000000"/>
          <w:kern w:val="0"/>
          <w:szCs w:val="21"/>
        </w:rPr>
      </w:pPr>
      <w:r w:rsidRPr="00D749D4">
        <w:rPr>
          <w:color w:val="000000"/>
          <w:szCs w:val="21"/>
        </w:rPr>
        <w:t>易方达恒生中国企业交易型开放式指数证券投资基金联接基金</w:t>
      </w:r>
    </w:p>
    <w:p w:rsidR="009C3047" w:rsidRDefault="00855B21" w:rsidP="009C3047">
      <w:pPr>
        <w:pStyle w:val="a6"/>
        <w:snapToGrid w:val="0"/>
        <w:spacing w:line="360" w:lineRule="auto"/>
        <w:jc w:val="center"/>
        <w:rPr>
          <w:rFonts w:ascii="Times New Roman" w:eastAsiaTheme="minorEastAsia" w:hAnsi="Times New Roman"/>
          <w:color w:val="000000" w:themeColor="text1"/>
          <w:sz w:val="24"/>
          <w:szCs w:val="24"/>
        </w:rPr>
      </w:pPr>
      <w:r w:rsidRPr="00D749D4">
        <w:rPr>
          <w:rFonts w:ascii="Times New Roman" w:hAnsi="Times New Roman" w:hint="eastAsia"/>
          <w:color w:val="000000"/>
        </w:rPr>
        <w:t>份额累计净值增长率与业绩比较基准收益率历史走势对比图</w:t>
      </w:r>
    </w:p>
    <w:p w:rsidR="00D0262B" w:rsidRDefault="0038047C" w:rsidP="00B3456F">
      <w:pPr>
        <w:pStyle w:val="21"/>
        <w:spacing w:line="288" w:lineRule="auto"/>
        <w:ind w:firstLineChars="0" w:firstLine="0"/>
        <w:jc w:val="left"/>
        <w:rPr>
          <w:rFonts w:ascii="Times New Roman" w:eastAsiaTheme="minorEastAsia" w:hAnsi="Times New Roman"/>
          <w:color w:val="auto"/>
          <w:sz w:val="21"/>
          <w:szCs w:val="21"/>
        </w:rPr>
      </w:pPr>
      <w:r w:rsidRPr="00C24ACA">
        <w:rPr>
          <w:rFonts w:ascii="Times New Roman" w:eastAsiaTheme="minorEastAsia" w:hAnsi="Times New Roman"/>
          <w:color w:val="auto"/>
          <w:sz w:val="21"/>
          <w:szCs w:val="21"/>
        </w:rPr>
        <w:t>易方达恒生国企联接（</w:t>
      </w:r>
      <w:r w:rsidRPr="00C24ACA">
        <w:rPr>
          <w:rFonts w:ascii="Times New Roman" w:eastAsiaTheme="minorEastAsia" w:hAnsi="Times New Roman"/>
          <w:color w:val="auto"/>
          <w:sz w:val="21"/>
          <w:szCs w:val="21"/>
        </w:rPr>
        <w:t>QDII</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A</w:t>
      </w:r>
    </w:p>
    <w:p w:rsidR="009C3047" w:rsidRPr="002A5FBD" w:rsidRDefault="009C3047" w:rsidP="00DB344D">
      <w:pPr>
        <w:pStyle w:val="a6"/>
        <w:snapToGrid w:val="0"/>
        <w:spacing w:line="360" w:lineRule="auto"/>
        <w:jc w:val="center"/>
        <w:rPr>
          <w:rFonts w:ascii="Times New Roman" w:hAnsi="Times New Roman"/>
        </w:rPr>
      </w:pPr>
      <w:r w:rsidRPr="002A5FBD">
        <w:rPr>
          <w:rFonts w:ascii="Times New Roman" w:hAnsi="Times New Roman"/>
        </w:rPr>
        <w:t>（</w:t>
      </w:r>
      <w:r w:rsidRPr="002A5FBD">
        <w:rPr>
          <w:rFonts w:ascii="Times New Roman" w:hAnsi="Times New Roman"/>
        </w:rPr>
        <w:t>2012</w:t>
      </w:r>
      <w:r w:rsidRPr="002A5FBD">
        <w:rPr>
          <w:rFonts w:ascii="Times New Roman" w:hAnsi="Times New Roman"/>
        </w:rPr>
        <w:t>年</w:t>
      </w:r>
      <w:r w:rsidRPr="002A5FBD">
        <w:rPr>
          <w:rFonts w:ascii="Times New Roman" w:hAnsi="Times New Roman"/>
        </w:rPr>
        <w:t>8</w:t>
      </w:r>
      <w:r w:rsidRPr="002A5FBD">
        <w:rPr>
          <w:rFonts w:ascii="Times New Roman" w:hAnsi="Times New Roman"/>
        </w:rPr>
        <w:t>月</w:t>
      </w:r>
      <w:r w:rsidRPr="002A5FBD">
        <w:rPr>
          <w:rFonts w:ascii="Times New Roman" w:hAnsi="Times New Roman"/>
        </w:rPr>
        <w:t>21</w:t>
      </w:r>
      <w:r w:rsidRPr="002A5FBD">
        <w:rPr>
          <w:rFonts w:ascii="Times New Roman" w:hAnsi="Times New Roman"/>
        </w:rPr>
        <w:t>日至</w:t>
      </w:r>
      <w:r w:rsidRPr="002A5FBD">
        <w:rPr>
          <w:rFonts w:ascii="Times New Roman" w:hAnsi="Times New Roman"/>
        </w:rPr>
        <w:t>2020</w:t>
      </w:r>
      <w:r w:rsidRPr="002A5FBD">
        <w:rPr>
          <w:rFonts w:ascii="Times New Roman" w:hAnsi="Times New Roman"/>
        </w:rPr>
        <w:t>年</w:t>
      </w:r>
      <w:r w:rsidRPr="002A5FBD">
        <w:rPr>
          <w:rFonts w:ascii="Times New Roman" w:hAnsi="Times New Roman"/>
        </w:rPr>
        <w:t>6</w:t>
      </w:r>
      <w:r w:rsidRPr="002A5FBD">
        <w:rPr>
          <w:rFonts w:ascii="Times New Roman" w:hAnsi="Times New Roman"/>
        </w:rPr>
        <w:t>月</w:t>
      </w:r>
      <w:r w:rsidRPr="002A5FBD">
        <w:rPr>
          <w:rFonts w:ascii="Times New Roman" w:hAnsi="Times New Roman"/>
        </w:rPr>
        <w:t>30</w:t>
      </w:r>
      <w:r w:rsidRPr="002A5FBD">
        <w:rPr>
          <w:rFonts w:ascii="Times New Roman" w:hAnsi="Times New Roman"/>
        </w:rPr>
        <w:t>日）</w:t>
      </w:r>
    </w:p>
    <w:p w:rsidR="00E039F9" w:rsidRPr="00C24ACA" w:rsidRDefault="00DE6FC0" w:rsidP="00E039F9">
      <w:pPr>
        <w:pStyle w:val="a6"/>
        <w:snapToGrid w:val="0"/>
        <w:spacing w:line="360" w:lineRule="auto"/>
        <w:ind w:firstLine="480"/>
        <w:jc w:val="center"/>
        <w:rPr>
          <w:rFonts w:ascii="Times New Roman" w:eastAsiaTheme="minorEastAsia" w:hAnsi="Times New Roman"/>
          <w:color w:val="000000"/>
        </w:rPr>
      </w:pPr>
      <w:r w:rsidRPr="00C24ACA">
        <w:rPr>
          <w:rFonts w:eastAsiaTheme="minorEastAsia"/>
          <w:noProof/>
          <w:color w:val="000000"/>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DB344D" w:rsidRDefault="00E039F9" w:rsidP="00DB344D">
      <w:pPr>
        <w:pStyle w:val="21"/>
        <w:spacing w:line="288" w:lineRule="auto"/>
        <w:ind w:firstLineChars="0" w:firstLine="0"/>
        <w:jc w:val="left"/>
        <w:rPr>
          <w:rFonts w:ascii="Times New Roman" w:eastAsiaTheme="minorEastAsia" w:hAnsi="Times New Roman"/>
          <w:color w:val="auto"/>
          <w:sz w:val="21"/>
          <w:szCs w:val="21"/>
        </w:rPr>
      </w:pPr>
      <w:r w:rsidRPr="00C24ACA">
        <w:rPr>
          <w:rFonts w:ascii="Times New Roman" w:eastAsiaTheme="minorEastAsia" w:hAnsi="Times New Roman"/>
          <w:color w:val="auto"/>
          <w:sz w:val="21"/>
          <w:szCs w:val="21"/>
        </w:rPr>
        <w:t>易方达恒生国企联接（</w:t>
      </w:r>
      <w:r w:rsidRPr="00C24ACA">
        <w:rPr>
          <w:rFonts w:ascii="Times New Roman" w:eastAsiaTheme="minorEastAsia" w:hAnsi="Times New Roman"/>
          <w:color w:val="auto"/>
          <w:sz w:val="21"/>
          <w:szCs w:val="21"/>
        </w:rPr>
        <w:t>QDII</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C</w:t>
      </w:r>
      <w:r w:rsidR="00CB6FD3" w:rsidRPr="00CB6FD3">
        <w:rPr>
          <w:rFonts w:eastAsiaTheme="minorEastAsia"/>
          <w:noProof/>
          <w:color w:val="000000"/>
        </w:rPr>
        <w:t xml:space="preserve"> </w:t>
      </w:r>
    </w:p>
    <w:p w:rsidR="00D71CE0" w:rsidRDefault="00DB344D" w:rsidP="00DB344D">
      <w:pPr>
        <w:pStyle w:val="21"/>
        <w:spacing w:line="288" w:lineRule="auto"/>
        <w:ind w:firstLineChars="0" w:firstLine="0"/>
        <w:jc w:val="center"/>
        <w:rPr>
          <w:rFonts w:ascii="Times New Roman" w:hAnsi="Times New Roman"/>
          <w:color w:val="auto"/>
          <w:sz w:val="21"/>
          <w:szCs w:val="21"/>
        </w:rPr>
      </w:pPr>
      <w:r w:rsidRPr="002A5FBD">
        <w:rPr>
          <w:rFonts w:ascii="Times New Roman" w:hAnsi="Times New Roman"/>
          <w:color w:val="auto"/>
          <w:sz w:val="21"/>
          <w:szCs w:val="21"/>
        </w:rPr>
        <w:t>（</w:t>
      </w:r>
      <w:r w:rsidRPr="002A5FBD">
        <w:rPr>
          <w:rFonts w:ascii="Times New Roman" w:hAnsi="Times New Roman"/>
          <w:color w:val="auto"/>
          <w:sz w:val="21"/>
          <w:szCs w:val="21"/>
        </w:rPr>
        <w:t>2018</w:t>
      </w:r>
      <w:r w:rsidRPr="002A5FBD">
        <w:rPr>
          <w:rFonts w:ascii="Times New Roman" w:hAnsi="Times New Roman"/>
          <w:color w:val="auto"/>
          <w:sz w:val="21"/>
          <w:szCs w:val="21"/>
        </w:rPr>
        <w:t>年</w:t>
      </w:r>
      <w:r w:rsidRPr="002A5FBD">
        <w:rPr>
          <w:rFonts w:ascii="Times New Roman" w:hAnsi="Times New Roman"/>
          <w:color w:val="auto"/>
          <w:sz w:val="21"/>
          <w:szCs w:val="21"/>
        </w:rPr>
        <w:t>2</w:t>
      </w:r>
      <w:r w:rsidRPr="002A5FBD">
        <w:rPr>
          <w:rFonts w:ascii="Times New Roman" w:hAnsi="Times New Roman"/>
          <w:color w:val="auto"/>
          <w:sz w:val="21"/>
          <w:szCs w:val="21"/>
        </w:rPr>
        <w:t>月</w:t>
      </w:r>
      <w:r w:rsidRPr="002A5FBD">
        <w:rPr>
          <w:rFonts w:ascii="Times New Roman" w:hAnsi="Times New Roman"/>
          <w:color w:val="auto"/>
          <w:sz w:val="21"/>
          <w:szCs w:val="21"/>
        </w:rPr>
        <w:t>12</w:t>
      </w:r>
      <w:r w:rsidRPr="002A5FBD">
        <w:rPr>
          <w:rFonts w:ascii="Times New Roman" w:hAnsi="Times New Roman"/>
          <w:color w:val="auto"/>
          <w:sz w:val="21"/>
          <w:szCs w:val="21"/>
        </w:rPr>
        <w:t>日至</w:t>
      </w:r>
      <w:r w:rsidRPr="002A5FBD">
        <w:rPr>
          <w:rFonts w:ascii="Times New Roman" w:hAnsi="Times New Roman"/>
          <w:color w:val="auto"/>
          <w:sz w:val="21"/>
          <w:szCs w:val="21"/>
        </w:rPr>
        <w:t>2020</w:t>
      </w:r>
      <w:r w:rsidRPr="002A5FBD">
        <w:rPr>
          <w:rFonts w:ascii="Times New Roman" w:hAnsi="Times New Roman"/>
          <w:color w:val="auto"/>
          <w:sz w:val="21"/>
          <w:szCs w:val="21"/>
        </w:rPr>
        <w:t>年</w:t>
      </w:r>
      <w:r w:rsidRPr="002A5FBD">
        <w:rPr>
          <w:rFonts w:ascii="Times New Roman" w:hAnsi="Times New Roman"/>
          <w:color w:val="auto"/>
          <w:sz w:val="21"/>
          <w:szCs w:val="21"/>
        </w:rPr>
        <w:t>6</w:t>
      </w:r>
      <w:r w:rsidRPr="002A5FBD">
        <w:rPr>
          <w:rFonts w:ascii="Times New Roman" w:hAnsi="Times New Roman"/>
          <w:color w:val="auto"/>
          <w:sz w:val="21"/>
          <w:szCs w:val="21"/>
        </w:rPr>
        <w:t>月</w:t>
      </w:r>
      <w:r w:rsidRPr="002A5FBD">
        <w:rPr>
          <w:rFonts w:ascii="Times New Roman" w:hAnsi="Times New Roman"/>
          <w:color w:val="auto"/>
          <w:sz w:val="21"/>
          <w:szCs w:val="21"/>
        </w:rPr>
        <w:t>30</w:t>
      </w:r>
      <w:r w:rsidRPr="002A5FBD">
        <w:rPr>
          <w:rFonts w:ascii="Times New Roman" w:hAnsi="Times New Roman"/>
          <w:color w:val="auto"/>
          <w:sz w:val="21"/>
          <w:szCs w:val="21"/>
        </w:rPr>
        <w:t>日）</w:t>
      </w:r>
    </w:p>
    <w:p w:rsidR="00E039F9" w:rsidRPr="00C24ACA" w:rsidRDefault="00CB6FD3" w:rsidP="00DB344D">
      <w:pPr>
        <w:pStyle w:val="21"/>
        <w:spacing w:line="288" w:lineRule="auto"/>
        <w:ind w:firstLineChars="0" w:firstLine="0"/>
        <w:jc w:val="center"/>
        <w:rPr>
          <w:rFonts w:ascii="Times New Roman" w:eastAsiaTheme="minorEastAsia" w:hAnsi="Times New Roman"/>
          <w:color w:val="000000"/>
        </w:rPr>
      </w:pPr>
      <w:r w:rsidRPr="00C24ACA">
        <w:rPr>
          <w:rFonts w:eastAsiaTheme="minorEastAsia"/>
          <w:noProof/>
          <w:color w:val="000000"/>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本基金的业绩比较基准已经转换为以人民币计价。</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 xml:space="preserve">2. </w:t>
      </w:r>
      <w:r>
        <w:rPr>
          <w:rFonts w:eastAsiaTheme="minorEastAsia"/>
          <w:kern w:val="0"/>
          <w:szCs w:val="21"/>
        </w:rPr>
        <w:t>自</w:t>
      </w:r>
      <w:r>
        <w:rPr>
          <w:rFonts w:eastAsiaTheme="minorEastAsia"/>
          <w:kern w:val="0"/>
          <w:szCs w:val="21"/>
        </w:rPr>
        <w:t>2018</w:t>
      </w:r>
      <w:r>
        <w:rPr>
          <w:rFonts w:eastAsiaTheme="minorEastAsia"/>
          <w:kern w:val="0"/>
          <w:szCs w:val="21"/>
        </w:rPr>
        <w:t>年</w:t>
      </w:r>
      <w:r>
        <w:rPr>
          <w:rFonts w:eastAsiaTheme="minorEastAsia"/>
          <w:kern w:val="0"/>
          <w:szCs w:val="21"/>
        </w:rPr>
        <w:t>2</w:t>
      </w:r>
      <w:r>
        <w:rPr>
          <w:rFonts w:eastAsiaTheme="minorEastAsia"/>
          <w:kern w:val="0"/>
          <w:szCs w:val="21"/>
        </w:rPr>
        <w:t>月</w:t>
      </w:r>
      <w:r>
        <w:rPr>
          <w:rFonts w:eastAsiaTheme="minorEastAsia"/>
          <w:kern w:val="0"/>
          <w:szCs w:val="21"/>
        </w:rPr>
        <w:t>9</w:t>
      </w:r>
      <w:r>
        <w:rPr>
          <w:rFonts w:eastAsiaTheme="minorEastAsia"/>
          <w:kern w:val="0"/>
          <w:szCs w:val="21"/>
        </w:rPr>
        <w:t>日起，本基金增设</w:t>
      </w:r>
      <w:r>
        <w:rPr>
          <w:rFonts w:eastAsiaTheme="minorEastAsia"/>
          <w:kern w:val="0"/>
          <w:szCs w:val="21"/>
        </w:rPr>
        <w:t>C</w:t>
      </w:r>
      <w:r>
        <w:rPr>
          <w:rFonts w:eastAsiaTheme="minorEastAsia"/>
          <w:kern w:val="0"/>
          <w:szCs w:val="21"/>
        </w:rPr>
        <w:t>类份额类别，份额首次确认日为</w:t>
      </w:r>
      <w:r>
        <w:rPr>
          <w:rFonts w:eastAsiaTheme="minorEastAsia"/>
          <w:kern w:val="0"/>
          <w:szCs w:val="21"/>
        </w:rPr>
        <w:t>2018</w:t>
      </w:r>
      <w:r>
        <w:rPr>
          <w:rFonts w:eastAsiaTheme="minorEastAsia"/>
          <w:kern w:val="0"/>
          <w:szCs w:val="21"/>
        </w:rPr>
        <w:t>年</w:t>
      </w:r>
      <w:r>
        <w:rPr>
          <w:rFonts w:eastAsiaTheme="minorEastAsia"/>
          <w:kern w:val="0"/>
          <w:szCs w:val="21"/>
        </w:rPr>
        <w:t>2</w:t>
      </w:r>
      <w:r>
        <w:rPr>
          <w:rFonts w:eastAsiaTheme="minorEastAsia"/>
          <w:kern w:val="0"/>
          <w:szCs w:val="21"/>
        </w:rPr>
        <w:t>月</w:t>
      </w:r>
      <w:r>
        <w:rPr>
          <w:rFonts w:eastAsiaTheme="minorEastAsia"/>
          <w:kern w:val="0"/>
          <w:szCs w:val="21"/>
        </w:rPr>
        <w:t>12</w:t>
      </w:r>
      <w:r>
        <w:rPr>
          <w:rFonts w:eastAsiaTheme="minorEastAsia"/>
          <w:kern w:val="0"/>
          <w:szCs w:val="21"/>
        </w:rPr>
        <w:t>日，增设当期的相关数据和指标按实际存续期计算。</w:t>
      </w:r>
    </w:p>
    <w:p w:rsidR="00FC6E91" w:rsidRPr="00C24ACA" w:rsidRDefault="00FC6E91"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3.</w:t>
      </w:r>
      <w:r w:rsidRPr="00C24ACA">
        <w:rPr>
          <w:rFonts w:eastAsiaTheme="minorEastAsia"/>
          <w:kern w:val="0"/>
          <w:szCs w:val="21"/>
        </w:rPr>
        <w:t>自基金合同生效至报告期末，</w:t>
      </w:r>
      <w:r w:rsidRPr="00C24ACA">
        <w:rPr>
          <w:rFonts w:eastAsiaTheme="minorEastAsia"/>
          <w:kern w:val="0"/>
          <w:szCs w:val="21"/>
        </w:rPr>
        <w:t>A</w:t>
      </w:r>
      <w:r w:rsidRPr="00C24ACA">
        <w:rPr>
          <w:rFonts w:eastAsiaTheme="minorEastAsia"/>
          <w:kern w:val="0"/>
          <w:szCs w:val="21"/>
        </w:rPr>
        <w:t>类基金份额净值增长率为</w:t>
      </w:r>
      <w:r w:rsidRPr="00C24ACA">
        <w:rPr>
          <w:rFonts w:eastAsiaTheme="minorEastAsia"/>
          <w:kern w:val="0"/>
          <w:szCs w:val="21"/>
        </w:rPr>
        <w:t>14.25%</w:t>
      </w:r>
      <w:r w:rsidRPr="00C24ACA">
        <w:rPr>
          <w:rFonts w:eastAsiaTheme="minorEastAsia"/>
          <w:kern w:val="0"/>
          <w:szCs w:val="21"/>
        </w:rPr>
        <w:t>，同期业绩比较基准收益率为</w:t>
      </w:r>
      <w:r w:rsidRPr="00C24ACA">
        <w:rPr>
          <w:rFonts w:eastAsiaTheme="minorEastAsia"/>
          <w:kern w:val="0"/>
          <w:szCs w:val="21"/>
        </w:rPr>
        <w:t>11.70%</w:t>
      </w:r>
      <w:r w:rsidRPr="00C24ACA">
        <w:rPr>
          <w:rFonts w:eastAsiaTheme="minorEastAsia"/>
          <w:kern w:val="0"/>
          <w:szCs w:val="21"/>
        </w:rPr>
        <w:t>。</w:t>
      </w:r>
      <w:r w:rsidRPr="00C24ACA">
        <w:rPr>
          <w:rFonts w:eastAsiaTheme="minorEastAsia"/>
          <w:kern w:val="0"/>
          <w:szCs w:val="21"/>
        </w:rPr>
        <w:t>C</w:t>
      </w:r>
      <w:r w:rsidRPr="00C24ACA">
        <w:rPr>
          <w:rFonts w:eastAsiaTheme="minorEastAsia"/>
          <w:kern w:val="0"/>
          <w:szCs w:val="21"/>
        </w:rPr>
        <w:t>类基金份额净值增长率为</w:t>
      </w:r>
      <w:r w:rsidRPr="00C24ACA">
        <w:rPr>
          <w:rFonts w:eastAsiaTheme="minorEastAsia"/>
          <w:kern w:val="0"/>
          <w:szCs w:val="21"/>
        </w:rPr>
        <w:t>-0.77%</w:t>
      </w:r>
      <w:r w:rsidRPr="00C24ACA">
        <w:rPr>
          <w:rFonts w:eastAsiaTheme="minorEastAsia"/>
          <w:kern w:val="0"/>
          <w:szCs w:val="21"/>
        </w:rPr>
        <w:t>，同期业绩比较基准收益率为</w:t>
      </w:r>
      <w:r w:rsidRPr="00C24ACA">
        <w:rPr>
          <w:rFonts w:eastAsiaTheme="minorEastAsia"/>
          <w:kern w:val="0"/>
          <w:szCs w:val="21"/>
        </w:rPr>
        <w:t>-6.70%</w:t>
      </w:r>
      <w:r w:rsidRPr="00C24ACA">
        <w:rPr>
          <w:rFonts w:eastAsiaTheme="minorEastAsia"/>
          <w:kern w:val="0"/>
          <w:szCs w:val="21"/>
        </w:rPr>
        <w:t>。</w:t>
      </w:r>
    </w:p>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80" w:name="_Toc225498254"/>
      <w:bookmarkStart w:id="81" w:name="_Toc352255971"/>
      <w:bookmarkStart w:id="82" w:name="_Toc352256039"/>
      <w:bookmarkStart w:id="83" w:name="_Toc352331217"/>
      <w:bookmarkStart w:id="84" w:name="_Toc390164802"/>
      <w:bookmarkStart w:id="85" w:name="_Toc48662477"/>
      <w:r w:rsidRPr="000C6CCD">
        <w:rPr>
          <w:rFonts w:ascii="宋体" w:hAnsi="宋体"/>
          <w:bCs w:val="0"/>
          <w:color w:val="000000"/>
          <w:sz w:val="21"/>
          <w:szCs w:val="21"/>
        </w:rPr>
        <w:t>4</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管理人报告</w:t>
      </w:r>
      <w:bookmarkEnd w:id="80"/>
      <w:bookmarkEnd w:id="81"/>
      <w:bookmarkEnd w:id="82"/>
      <w:bookmarkEnd w:id="83"/>
      <w:bookmarkEnd w:id="84"/>
      <w:bookmarkEnd w:id="85"/>
    </w:p>
    <w:p w:rsidR="00FC5407" w:rsidRPr="00A317EA" w:rsidRDefault="00FC5407" w:rsidP="006C64F3">
      <w:pPr>
        <w:pStyle w:val="20"/>
        <w:spacing w:beforeLines="100" w:before="312" w:after="0"/>
        <w:rPr>
          <w:rFonts w:ascii="Times New Roman" w:eastAsiaTheme="minorEastAsia" w:hAnsi="Times New Roman"/>
          <w:kern w:val="0"/>
          <w:sz w:val="21"/>
          <w:szCs w:val="21"/>
        </w:rPr>
      </w:pPr>
      <w:bookmarkStart w:id="86" w:name="_Toc352255972"/>
      <w:bookmarkStart w:id="87" w:name="_Toc352256040"/>
      <w:bookmarkStart w:id="88" w:name="_Toc352331218"/>
      <w:bookmarkStart w:id="89" w:name="_Toc362423996"/>
      <w:bookmarkStart w:id="90" w:name="_Toc374459258"/>
      <w:bookmarkStart w:id="91" w:name="_Toc48662478"/>
      <w:r w:rsidRPr="0087359D">
        <w:rPr>
          <w:rFonts w:ascii="宋体" w:hAnsi="宋体"/>
          <w:kern w:val="0"/>
          <w:sz w:val="21"/>
          <w:szCs w:val="21"/>
        </w:rPr>
        <w:t>4.1</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基金管理人及基金经理情况</w:t>
      </w:r>
      <w:bookmarkEnd w:id="86"/>
      <w:bookmarkEnd w:id="87"/>
      <w:bookmarkEnd w:id="88"/>
      <w:bookmarkEnd w:id="89"/>
      <w:bookmarkEnd w:id="90"/>
      <w:bookmarkEnd w:id="91"/>
    </w:p>
    <w:p w:rsidR="00FC5407" w:rsidRPr="00C24ACA" w:rsidRDefault="00FC5407" w:rsidP="00FC5407">
      <w:pPr>
        <w:autoSpaceDE w:val="0"/>
        <w:autoSpaceDN w:val="0"/>
        <w:adjustRightInd w:val="0"/>
        <w:spacing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4.1.1 </w:t>
      </w:r>
      <w:r w:rsidRPr="00C24ACA">
        <w:rPr>
          <w:rFonts w:eastAsiaTheme="minorEastAsia"/>
          <w:b/>
          <w:color w:val="000000" w:themeColor="text1"/>
          <w:kern w:val="0"/>
          <w:szCs w:val="21"/>
        </w:rPr>
        <w:t>基金管理人及其管理基金的经验</w:t>
      </w:r>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经中国证监会证监基金字</w:t>
      </w:r>
      <w:r w:rsidRPr="008707EB">
        <w:rPr>
          <w:rFonts w:eastAsiaTheme="minorEastAsia"/>
          <w:kern w:val="0"/>
          <w:szCs w:val="21"/>
        </w:rPr>
        <w:t>[2001]4</w:t>
      </w:r>
      <w:r w:rsidRPr="008707EB">
        <w:rPr>
          <w:rFonts w:eastAsiaTheme="minorEastAsia"/>
          <w:kern w:val="0"/>
          <w:szCs w:val="21"/>
        </w:rPr>
        <w:t>号文批准，本基金管理人成立于</w:t>
      </w:r>
      <w:r w:rsidRPr="008707EB">
        <w:rPr>
          <w:rFonts w:eastAsiaTheme="minorEastAsia"/>
          <w:kern w:val="0"/>
          <w:szCs w:val="21"/>
        </w:rPr>
        <w:t>2001</w:t>
      </w:r>
      <w:r w:rsidRPr="008707EB">
        <w:rPr>
          <w:rFonts w:eastAsiaTheme="minorEastAsia"/>
          <w:kern w:val="0"/>
          <w:szCs w:val="21"/>
        </w:rPr>
        <w:t>年</w:t>
      </w:r>
      <w:r w:rsidRPr="008707EB">
        <w:rPr>
          <w:rFonts w:eastAsiaTheme="minorEastAsia"/>
          <w:kern w:val="0"/>
          <w:szCs w:val="21"/>
        </w:rPr>
        <w:t>4</w:t>
      </w:r>
      <w:r w:rsidRPr="008707EB">
        <w:rPr>
          <w:rFonts w:eastAsiaTheme="minorEastAsia"/>
          <w:kern w:val="0"/>
          <w:szCs w:val="21"/>
        </w:rPr>
        <w:t>月</w:t>
      </w:r>
      <w:r w:rsidRPr="008707EB">
        <w:rPr>
          <w:rFonts w:eastAsiaTheme="minorEastAsia"/>
          <w:kern w:val="0"/>
          <w:szCs w:val="21"/>
        </w:rPr>
        <w:t>17</w:t>
      </w:r>
      <w:r w:rsidRPr="008707EB">
        <w:rPr>
          <w:rFonts w:eastAsiaTheme="minorEastAsia"/>
          <w:kern w:val="0"/>
          <w:szCs w:val="21"/>
        </w:rPr>
        <w:t>日，总部设在广州，在北京、上海、香港等地设有分公司或子公司。本基金管理人拥有公募、社保、年金、特定客户资产管理、</w:t>
      </w:r>
      <w:r w:rsidRPr="008707EB">
        <w:rPr>
          <w:rFonts w:eastAsiaTheme="minorEastAsia"/>
          <w:kern w:val="0"/>
          <w:szCs w:val="21"/>
        </w:rPr>
        <w:t>QDII</w:t>
      </w:r>
      <w:r w:rsidRPr="008707EB">
        <w:rPr>
          <w:rFonts w:eastAsiaTheme="minorEastAsia"/>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FC5407" w:rsidRPr="00C24ACA" w:rsidRDefault="00FC5407" w:rsidP="006C64F3">
      <w:pPr>
        <w:autoSpaceDE w:val="0"/>
        <w:autoSpaceDN w:val="0"/>
        <w:adjustRightInd w:val="0"/>
        <w:spacing w:beforeLines="100" w:before="312"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4.1.2 </w:t>
      </w:r>
      <w:r w:rsidRPr="00C24ACA">
        <w:rPr>
          <w:rFonts w:eastAsiaTheme="minorEastAsia"/>
          <w:b/>
          <w:color w:val="000000" w:themeColor="text1"/>
          <w:kern w:val="0"/>
          <w:szCs w:val="21"/>
        </w:rPr>
        <w:t>基金经理（或基金经理小组）及基金经理助理的简介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99"/>
        <w:gridCol w:w="1568"/>
        <w:gridCol w:w="1292"/>
        <w:gridCol w:w="1294"/>
        <w:gridCol w:w="1200"/>
        <w:gridCol w:w="2625"/>
      </w:tblGrid>
      <w:tr w:rsidR="00FC5407" w:rsidRPr="00C24ACA" w:rsidTr="008F4C10">
        <w:tc>
          <w:tcPr>
            <w:tcW w:w="653"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姓名</w:t>
            </w:r>
          </w:p>
        </w:tc>
        <w:tc>
          <w:tcPr>
            <w:tcW w:w="854"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职务</w:t>
            </w:r>
          </w:p>
        </w:tc>
        <w:tc>
          <w:tcPr>
            <w:tcW w:w="1409" w:type="pct"/>
            <w:gridSpan w:val="2"/>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任本基金的基金经理（助理）期限</w:t>
            </w:r>
          </w:p>
        </w:tc>
        <w:tc>
          <w:tcPr>
            <w:tcW w:w="654"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证券从业年限</w:t>
            </w:r>
          </w:p>
        </w:tc>
        <w:tc>
          <w:tcPr>
            <w:tcW w:w="1431"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说明</w:t>
            </w:r>
          </w:p>
        </w:tc>
      </w:tr>
      <w:tr w:rsidR="00FC5407" w:rsidRPr="00C24ACA" w:rsidTr="008F4C10">
        <w:tc>
          <w:tcPr>
            <w:tcW w:w="653"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c>
          <w:tcPr>
            <w:tcW w:w="854"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c>
          <w:tcPr>
            <w:tcW w:w="704" w:type="pc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任职日期</w:t>
            </w:r>
          </w:p>
        </w:tc>
        <w:tc>
          <w:tcPr>
            <w:tcW w:w="704" w:type="pc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离任日期</w:t>
            </w:r>
          </w:p>
        </w:tc>
        <w:tc>
          <w:tcPr>
            <w:tcW w:w="654"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c>
          <w:tcPr>
            <w:tcW w:w="1431"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r>
      <w:tr w:rsidR="00871824">
        <w:tc>
          <w:tcPr>
            <w:tcW w:w="0" w:type="auto"/>
            <w:vAlign w:val="center"/>
          </w:tcPr>
          <w:p w:rsidR="00871824" w:rsidRDefault="00672BD5">
            <w:pPr>
              <w:jc w:val="center"/>
            </w:pPr>
            <w:r>
              <w:rPr>
                <w:rFonts w:eastAsiaTheme="minorEastAsia"/>
                <w:color w:val="000000" w:themeColor="text1"/>
                <w:szCs w:val="21"/>
              </w:rPr>
              <w:t>张胜记</w:t>
            </w:r>
          </w:p>
        </w:tc>
        <w:tc>
          <w:tcPr>
            <w:tcW w:w="0" w:type="auto"/>
            <w:vAlign w:val="center"/>
          </w:tcPr>
          <w:p w:rsidR="00871824" w:rsidRDefault="00672BD5">
            <w:pPr>
              <w:jc w:val="left"/>
            </w:pPr>
            <w:r>
              <w:rPr>
                <w:rFonts w:eastAsiaTheme="minorEastAsia"/>
                <w:color w:val="000000" w:themeColor="text1"/>
                <w:szCs w:val="21"/>
              </w:rPr>
              <w:t>本基金的基金经理、易方达恒生中国企业交易型开放式指数证券投资基金的基金经理（自</w:t>
            </w:r>
            <w:r>
              <w:rPr>
                <w:rFonts w:eastAsiaTheme="minorEastAsia"/>
                <w:color w:val="000000" w:themeColor="text1"/>
                <w:szCs w:val="21"/>
              </w:rPr>
              <w:t>2012</w:t>
            </w:r>
            <w:r>
              <w:rPr>
                <w:rFonts w:eastAsiaTheme="minorEastAsia"/>
                <w:color w:val="000000" w:themeColor="text1"/>
                <w:szCs w:val="21"/>
              </w:rPr>
              <w:t>年</w:t>
            </w:r>
            <w:r>
              <w:rPr>
                <w:rFonts w:eastAsiaTheme="minorEastAsia"/>
                <w:color w:val="000000" w:themeColor="text1"/>
                <w:szCs w:val="21"/>
              </w:rPr>
              <w:t>08</w:t>
            </w:r>
            <w:r>
              <w:rPr>
                <w:rFonts w:eastAsiaTheme="minorEastAsia"/>
                <w:color w:val="000000" w:themeColor="text1"/>
                <w:szCs w:val="21"/>
              </w:rPr>
              <w:t>月</w:t>
            </w:r>
            <w:r>
              <w:rPr>
                <w:rFonts w:eastAsiaTheme="minorEastAsia"/>
                <w:color w:val="000000" w:themeColor="text1"/>
                <w:szCs w:val="21"/>
              </w:rPr>
              <w:t>09</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03</w:t>
            </w:r>
            <w:r>
              <w:rPr>
                <w:rFonts w:eastAsiaTheme="minorEastAsia"/>
                <w:color w:val="000000" w:themeColor="text1"/>
                <w:szCs w:val="21"/>
              </w:rPr>
              <w:t>月</w:t>
            </w:r>
            <w:r>
              <w:rPr>
                <w:rFonts w:eastAsiaTheme="minorEastAsia"/>
                <w:color w:val="000000" w:themeColor="text1"/>
                <w:szCs w:val="21"/>
              </w:rPr>
              <w:t>17</w:t>
            </w:r>
            <w:r>
              <w:rPr>
                <w:rFonts w:eastAsiaTheme="minorEastAsia"/>
                <w:color w:val="000000" w:themeColor="text1"/>
                <w:szCs w:val="21"/>
              </w:rPr>
              <w:t>日）、易方达</w:t>
            </w:r>
            <w:r>
              <w:rPr>
                <w:rFonts w:eastAsiaTheme="minorEastAsia"/>
                <w:color w:val="000000" w:themeColor="text1"/>
                <w:szCs w:val="21"/>
              </w:rPr>
              <w:t>50</w:t>
            </w:r>
            <w:r>
              <w:rPr>
                <w:rFonts w:eastAsiaTheme="minorEastAsia"/>
                <w:color w:val="000000" w:themeColor="text1"/>
                <w:szCs w:val="21"/>
              </w:rPr>
              <w:t>指数证券投资基金的基金经理、易方达标普全球高端消费品指数增强型证券投资基金的基金经理、易方达香港恒生综合小型股指数证券投资基金（</w:t>
            </w:r>
            <w:r>
              <w:rPr>
                <w:rFonts w:eastAsiaTheme="minorEastAsia"/>
                <w:color w:val="000000" w:themeColor="text1"/>
                <w:szCs w:val="21"/>
              </w:rPr>
              <w:t>LOF</w:t>
            </w:r>
            <w:r>
              <w:rPr>
                <w:rFonts w:eastAsiaTheme="minorEastAsia"/>
                <w:color w:val="000000" w:themeColor="text1"/>
                <w:szCs w:val="21"/>
              </w:rPr>
              <w:t>）的基金经理（自</w:t>
            </w:r>
            <w:r>
              <w:rPr>
                <w:rFonts w:eastAsiaTheme="minorEastAsia"/>
                <w:color w:val="000000" w:themeColor="text1"/>
                <w:szCs w:val="21"/>
              </w:rPr>
              <w:t>2016</w:t>
            </w:r>
            <w:r>
              <w:rPr>
                <w:rFonts w:eastAsiaTheme="minorEastAsia"/>
                <w:color w:val="000000" w:themeColor="text1"/>
                <w:szCs w:val="21"/>
              </w:rPr>
              <w:t>年</w:t>
            </w:r>
            <w:r>
              <w:rPr>
                <w:rFonts w:eastAsiaTheme="minorEastAsia"/>
                <w:color w:val="000000" w:themeColor="text1"/>
                <w:szCs w:val="21"/>
              </w:rPr>
              <w:t>11</w:t>
            </w:r>
            <w:r>
              <w:rPr>
                <w:rFonts w:eastAsiaTheme="minorEastAsia"/>
                <w:color w:val="000000" w:themeColor="text1"/>
                <w:szCs w:val="21"/>
              </w:rPr>
              <w:t>月</w:t>
            </w:r>
            <w:r>
              <w:rPr>
                <w:rFonts w:eastAsiaTheme="minorEastAsia"/>
                <w:color w:val="000000" w:themeColor="text1"/>
                <w:szCs w:val="21"/>
              </w:rPr>
              <w:t>02</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03</w:t>
            </w:r>
            <w:r>
              <w:rPr>
                <w:rFonts w:eastAsiaTheme="minorEastAsia"/>
                <w:color w:val="000000" w:themeColor="text1"/>
                <w:szCs w:val="21"/>
              </w:rPr>
              <w:t>月</w:t>
            </w:r>
            <w:r>
              <w:rPr>
                <w:rFonts w:eastAsiaTheme="minorEastAsia"/>
                <w:color w:val="000000" w:themeColor="text1"/>
                <w:szCs w:val="21"/>
              </w:rPr>
              <w:t>17</w:t>
            </w:r>
            <w:r>
              <w:rPr>
                <w:rFonts w:eastAsiaTheme="minorEastAsia"/>
                <w:color w:val="000000" w:themeColor="text1"/>
                <w:szCs w:val="21"/>
              </w:rPr>
              <w:t>日）、易方达原油证券投资基金（</w:t>
            </w:r>
            <w:r>
              <w:rPr>
                <w:rFonts w:eastAsiaTheme="minorEastAsia"/>
                <w:color w:val="000000" w:themeColor="text1"/>
                <w:szCs w:val="21"/>
              </w:rPr>
              <w:t>QDII</w:t>
            </w:r>
            <w:r>
              <w:rPr>
                <w:rFonts w:eastAsiaTheme="minorEastAsia"/>
                <w:color w:val="000000" w:themeColor="text1"/>
                <w:szCs w:val="21"/>
              </w:rPr>
              <w:t>）的基金经理（自</w:t>
            </w:r>
            <w:r>
              <w:rPr>
                <w:rFonts w:eastAsiaTheme="minorEastAsia"/>
                <w:color w:val="000000" w:themeColor="text1"/>
                <w:szCs w:val="21"/>
              </w:rPr>
              <w:t>2016</w:t>
            </w:r>
            <w:r>
              <w:rPr>
                <w:rFonts w:eastAsiaTheme="minorEastAsia"/>
                <w:color w:val="000000" w:themeColor="text1"/>
                <w:szCs w:val="21"/>
              </w:rPr>
              <w:t>年</w:t>
            </w:r>
            <w:r>
              <w:rPr>
                <w:rFonts w:eastAsiaTheme="minorEastAsia"/>
                <w:color w:val="000000" w:themeColor="text1"/>
                <w:szCs w:val="21"/>
              </w:rPr>
              <w:t>12</w:t>
            </w:r>
            <w:r>
              <w:rPr>
                <w:rFonts w:eastAsiaTheme="minorEastAsia"/>
                <w:color w:val="000000" w:themeColor="text1"/>
                <w:szCs w:val="21"/>
              </w:rPr>
              <w:t>月</w:t>
            </w:r>
            <w:r>
              <w:rPr>
                <w:rFonts w:eastAsiaTheme="minorEastAsia"/>
                <w:color w:val="000000" w:themeColor="text1"/>
                <w:szCs w:val="21"/>
              </w:rPr>
              <w:t>19</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03</w:t>
            </w:r>
            <w:r>
              <w:rPr>
                <w:rFonts w:eastAsiaTheme="minorEastAsia"/>
                <w:color w:val="000000" w:themeColor="text1"/>
                <w:szCs w:val="21"/>
              </w:rPr>
              <w:t>月</w:t>
            </w:r>
            <w:r>
              <w:rPr>
                <w:rFonts w:eastAsiaTheme="minorEastAsia"/>
                <w:color w:val="000000" w:themeColor="text1"/>
                <w:szCs w:val="21"/>
              </w:rPr>
              <w:t>17</w:t>
            </w:r>
            <w:r>
              <w:rPr>
                <w:rFonts w:eastAsiaTheme="minorEastAsia"/>
                <w:color w:val="000000" w:themeColor="text1"/>
                <w:szCs w:val="21"/>
              </w:rPr>
              <w:t>日）、指数增强投资部联席总经理</w:t>
            </w:r>
          </w:p>
        </w:tc>
        <w:tc>
          <w:tcPr>
            <w:tcW w:w="0" w:type="auto"/>
            <w:vAlign w:val="center"/>
          </w:tcPr>
          <w:p w:rsidR="00871824" w:rsidRDefault="00672BD5">
            <w:pPr>
              <w:jc w:val="center"/>
            </w:pPr>
            <w:r>
              <w:rPr>
                <w:rFonts w:eastAsiaTheme="minorEastAsia"/>
                <w:color w:val="000000" w:themeColor="text1"/>
                <w:szCs w:val="21"/>
              </w:rPr>
              <w:t>2012-08-21</w:t>
            </w:r>
          </w:p>
        </w:tc>
        <w:tc>
          <w:tcPr>
            <w:tcW w:w="0" w:type="auto"/>
            <w:vAlign w:val="center"/>
          </w:tcPr>
          <w:p w:rsidR="00871824" w:rsidRDefault="00672BD5">
            <w:pPr>
              <w:jc w:val="center"/>
            </w:pPr>
            <w:r>
              <w:rPr>
                <w:rFonts w:eastAsiaTheme="minorEastAsia"/>
                <w:color w:val="000000" w:themeColor="text1"/>
                <w:szCs w:val="21"/>
              </w:rPr>
              <w:t>2020-03-18</w:t>
            </w:r>
          </w:p>
        </w:tc>
        <w:tc>
          <w:tcPr>
            <w:tcW w:w="0" w:type="auto"/>
            <w:vAlign w:val="center"/>
          </w:tcPr>
          <w:p w:rsidR="00871824" w:rsidRDefault="00672BD5">
            <w:pPr>
              <w:jc w:val="center"/>
            </w:pPr>
            <w:r>
              <w:rPr>
                <w:rFonts w:eastAsiaTheme="minorEastAsia"/>
                <w:color w:val="000000" w:themeColor="text1"/>
                <w:szCs w:val="21"/>
              </w:rPr>
              <w:t>15</w:t>
            </w:r>
            <w:r>
              <w:rPr>
                <w:rFonts w:eastAsiaTheme="minorEastAsia"/>
                <w:color w:val="000000" w:themeColor="text1"/>
                <w:szCs w:val="21"/>
              </w:rPr>
              <w:t>年</w:t>
            </w:r>
          </w:p>
        </w:tc>
        <w:tc>
          <w:tcPr>
            <w:tcW w:w="0" w:type="auto"/>
            <w:vAlign w:val="center"/>
          </w:tcPr>
          <w:p w:rsidR="00871824" w:rsidRDefault="00672BD5">
            <w:pPr>
              <w:jc w:val="left"/>
            </w:pPr>
            <w:r>
              <w:rPr>
                <w:rFonts w:eastAsiaTheme="minorEastAsia"/>
                <w:color w:val="000000" w:themeColor="text1"/>
                <w:szCs w:val="21"/>
              </w:rPr>
              <w:t>硕士研究生，具有基金从业资格。曾任易方达基金管理有限公司投资经理助理、基金经理助理、行业研究员、指数与量化投资部总经理助理、指数与量化投资部副总经理、指数及增强投资部副总经理、指数投资部总经理、易方达沪深</w:t>
            </w:r>
            <w:r>
              <w:rPr>
                <w:rFonts w:eastAsiaTheme="minorEastAsia"/>
                <w:color w:val="000000" w:themeColor="text1"/>
                <w:szCs w:val="21"/>
              </w:rPr>
              <w:t>300</w:t>
            </w:r>
            <w:r>
              <w:rPr>
                <w:rFonts w:eastAsiaTheme="minorEastAsia"/>
                <w:color w:val="000000" w:themeColor="text1"/>
                <w:szCs w:val="21"/>
              </w:rPr>
              <w:t>交易型开放式指数发起式证券投资基金联接基金（原易方达沪深</w:t>
            </w:r>
            <w:r>
              <w:rPr>
                <w:rFonts w:eastAsiaTheme="minorEastAsia"/>
                <w:color w:val="000000" w:themeColor="text1"/>
                <w:szCs w:val="21"/>
              </w:rPr>
              <w:t>300</w:t>
            </w:r>
            <w:r>
              <w:rPr>
                <w:rFonts w:eastAsiaTheme="minorEastAsia"/>
                <w:color w:val="000000" w:themeColor="text1"/>
                <w:szCs w:val="21"/>
              </w:rPr>
              <w:t>指数证券投资基金）基金经理、易方达上证中盘交易型开放式指数证券投资基金基金经理、易方达上证中盘交易型开放式指数证券投资基金联接基金基金经理、易方达标普医疗保健指数证券投资基金（</w:t>
            </w:r>
            <w:r>
              <w:rPr>
                <w:rFonts w:eastAsiaTheme="minorEastAsia"/>
                <w:color w:val="000000" w:themeColor="text1"/>
                <w:szCs w:val="21"/>
              </w:rPr>
              <w:t>LOF</w:t>
            </w:r>
            <w:r>
              <w:rPr>
                <w:rFonts w:eastAsiaTheme="minorEastAsia"/>
                <w:color w:val="000000" w:themeColor="text1"/>
                <w:szCs w:val="21"/>
              </w:rPr>
              <w:t>）基金经理、易方达标普</w:t>
            </w:r>
            <w:r>
              <w:rPr>
                <w:rFonts w:eastAsiaTheme="minorEastAsia"/>
                <w:color w:val="000000" w:themeColor="text1"/>
                <w:szCs w:val="21"/>
              </w:rPr>
              <w:t>500</w:t>
            </w:r>
            <w:r>
              <w:rPr>
                <w:rFonts w:eastAsiaTheme="minorEastAsia"/>
                <w:color w:val="000000" w:themeColor="text1"/>
                <w:szCs w:val="21"/>
              </w:rPr>
              <w:t>指数证券投资基金（</w:t>
            </w:r>
            <w:r>
              <w:rPr>
                <w:rFonts w:eastAsiaTheme="minorEastAsia"/>
                <w:color w:val="000000" w:themeColor="text1"/>
                <w:szCs w:val="21"/>
              </w:rPr>
              <w:t>LOF</w:t>
            </w:r>
            <w:r>
              <w:rPr>
                <w:rFonts w:eastAsiaTheme="minorEastAsia"/>
                <w:color w:val="000000" w:themeColor="text1"/>
                <w:szCs w:val="21"/>
              </w:rPr>
              <w:t>）基金经理、易方达标普生物科技指数证券投资基金（</w:t>
            </w:r>
            <w:r>
              <w:rPr>
                <w:rFonts w:eastAsiaTheme="minorEastAsia"/>
                <w:color w:val="000000" w:themeColor="text1"/>
                <w:szCs w:val="21"/>
              </w:rPr>
              <w:t>LOF</w:t>
            </w:r>
            <w:r>
              <w:rPr>
                <w:rFonts w:eastAsiaTheme="minorEastAsia"/>
                <w:color w:val="000000" w:themeColor="text1"/>
                <w:szCs w:val="21"/>
              </w:rPr>
              <w:t>）基金经理、易方达标普信息科技指数证券投资基金（</w:t>
            </w:r>
            <w:r>
              <w:rPr>
                <w:rFonts w:eastAsiaTheme="minorEastAsia"/>
                <w:color w:val="000000" w:themeColor="text1"/>
                <w:szCs w:val="21"/>
              </w:rPr>
              <w:t>LOF</w:t>
            </w:r>
            <w:r>
              <w:rPr>
                <w:rFonts w:eastAsiaTheme="minorEastAsia"/>
                <w:color w:val="000000" w:themeColor="text1"/>
                <w:szCs w:val="21"/>
              </w:rPr>
              <w:t>）基金经理。</w:t>
            </w:r>
          </w:p>
        </w:tc>
      </w:tr>
      <w:tr w:rsidR="00871824">
        <w:tc>
          <w:tcPr>
            <w:tcW w:w="0" w:type="auto"/>
            <w:vAlign w:val="center"/>
          </w:tcPr>
          <w:p w:rsidR="00871824" w:rsidRDefault="00672BD5">
            <w:pPr>
              <w:jc w:val="center"/>
            </w:pPr>
            <w:r>
              <w:rPr>
                <w:rFonts w:eastAsiaTheme="minorEastAsia"/>
                <w:color w:val="000000" w:themeColor="text1"/>
                <w:szCs w:val="21"/>
              </w:rPr>
              <w:t>成曦</w:t>
            </w:r>
          </w:p>
        </w:tc>
        <w:tc>
          <w:tcPr>
            <w:tcW w:w="0" w:type="auto"/>
            <w:vAlign w:val="center"/>
          </w:tcPr>
          <w:p w:rsidR="00871824" w:rsidRDefault="00672BD5">
            <w:pPr>
              <w:jc w:val="left"/>
            </w:pPr>
            <w:r>
              <w:rPr>
                <w:rFonts w:eastAsiaTheme="minorEastAsia"/>
                <w:color w:val="000000" w:themeColor="text1"/>
                <w:szCs w:val="21"/>
              </w:rPr>
              <w:t>本基金的基金经理、易方达并购重组指数分级证券投资基金的基金经理（自</w:t>
            </w:r>
            <w:r>
              <w:rPr>
                <w:rFonts w:eastAsiaTheme="minorEastAsia"/>
                <w:color w:val="000000" w:themeColor="text1"/>
                <w:szCs w:val="21"/>
              </w:rPr>
              <w:t>2016</w:t>
            </w:r>
            <w:r>
              <w:rPr>
                <w:rFonts w:eastAsiaTheme="minorEastAsia"/>
                <w:color w:val="000000" w:themeColor="text1"/>
                <w:szCs w:val="21"/>
              </w:rPr>
              <w:t>年</w:t>
            </w:r>
            <w:r>
              <w:rPr>
                <w:rFonts w:eastAsiaTheme="minorEastAsia"/>
                <w:color w:val="000000" w:themeColor="text1"/>
                <w:szCs w:val="21"/>
              </w:rPr>
              <w:t>05</w:t>
            </w:r>
            <w:r>
              <w:rPr>
                <w:rFonts w:eastAsiaTheme="minorEastAsia"/>
                <w:color w:val="000000" w:themeColor="text1"/>
                <w:szCs w:val="21"/>
              </w:rPr>
              <w:t>月</w:t>
            </w:r>
            <w:r>
              <w:rPr>
                <w:rFonts w:eastAsiaTheme="minorEastAsia"/>
                <w:color w:val="000000" w:themeColor="text1"/>
                <w:szCs w:val="21"/>
              </w:rPr>
              <w:t>07</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04</w:t>
            </w:r>
            <w:r>
              <w:rPr>
                <w:rFonts w:eastAsiaTheme="minorEastAsia"/>
                <w:color w:val="000000" w:themeColor="text1"/>
                <w:szCs w:val="21"/>
              </w:rPr>
              <w:t>月</w:t>
            </w:r>
            <w:r>
              <w:rPr>
                <w:rFonts w:eastAsiaTheme="minorEastAsia"/>
                <w:color w:val="000000" w:themeColor="text1"/>
                <w:szCs w:val="21"/>
              </w:rPr>
              <w:t>22</w:t>
            </w:r>
            <w:r>
              <w:rPr>
                <w:rFonts w:eastAsiaTheme="minorEastAsia"/>
                <w:color w:val="000000" w:themeColor="text1"/>
                <w:szCs w:val="21"/>
              </w:rPr>
              <w:t>日）、易方达生物科技指数分级证券投资基金的基金经理（自</w:t>
            </w:r>
            <w:r>
              <w:rPr>
                <w:rFonts w:eastAsiaTheme="minorEastAsia"/>
                <w:color w:val="000000" w:themeColor="text1"/>
                <w:szCs w:val="21"/>
              </w:rPr>
              <w:t>2016</w:t>
            </w:r>
            <w:r>
              <w:rPr>
                <w:rFonts w:eastAsiaTheme="minorEastAsia"/>
                <w:color w:val="000000" w:themeColor="text1"/>
                <w:szCs w:val="21"/>
              </w:rPr>
              <w:t>年</w:t>
            </w:r>
            <w:r>
              <w:rPr>
                <w:rFonts w:eastAsiaTheme="minorEastAsia"/>
                <w:color w:val="000000" w:themeColor="text1"/>
                <w:szCs w:val="21"/>
              </w:rPr>
              <w:t>05</w:t>
            </w:r>
            <w:r>
              <w:rPr>
                <w:rFonts w:eastAsiaTheme="minorEastAsia"/>
                <w:color w:val="000000" w:themeColor="text1"/>
                <w:szCs w:val="21"/>
              </w:rPr>
              <w:t>月</w:t>
            </w:r>
            <w:r>
              <w:rPr>
                <w:rFonts w:eastAsiaTheme="minorEastAsia"/>
                <w:color w:val="000000" w:themeColor="text1"/>
                <w:szCs w:val="21"/>
              </w:rPr>
              <w:t>07</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04</w:t>
            </w:r>
            <w:r>
              <w:rPr>
                <w:rFonts w:eastAsiaTheme="minorEastAsia"/>
                <w:color w:val="000000" w:themeColor="text1"/>
                <w:szCs w:val="21"/>
              </w:rPr>
              <w:t>月</w:t>
            </w:r>
            <w:r>
              <w:rPr>
                <w:rFonts w:eastAsiaTheme="minorEastAsia"/>
                <w:color w:val="000000" w:themeColor="text1"/>
                <w:szCs w:val="21"/>
              </w:rPr>
              <w:t>22</w:t>
            </w:r>
            <w:r>
              <w:rPr>
                <w:rFonts w:eastAsiaTheme="minorEastAsia"/>
                <w:color w:val="000000" w:themeColor="text1"/>
                <w:szCs w:val="21"/>
              </w:rPr>
              <w:t>日）、易方达银行指数分级证券投资基金的基金经理（自</w:t>
            </w:r>
            <w:r>
              <w:rPr>
                <w:rFonts w:eastAsiaTheme="minorEastAsia"/>
                <w:color w:val="000000" w:themeColor="text1"/>
                <w:szCs w:val="21"/>
              </w:rPr>
              <w:t>2016</w:t>
            </w:r>
            <w:r>
              <w:rPr>
                <w:rFonts w:eastAsiaTheme="minorEastAsia"/>
                <w:color w:val="000000" w:themeColor="text1"/>
                <w:szCs w:val="21"/>
              </w:rPr>
              <w:t>年</w:t>
            </w:r>
            <w:r>
              <w:rPr>
                <w:rFonts w:eastAsiaTheme="minorEastAsia"/>
                <w:color w:val="000000" w:themeColor="text1"/>
                <w:szCs w:val="21"/>
              </w:rPr>
              <w:t>05</w:t>
            </w:r>
            <w:r>
              <w:rPr>
                <w:rFonts w:eastAsiaTheme="minorEastAsia"/>
                <w:color w:val="000000" w:themeColor="text1"/>
                <w:szCs w:val="21"/>
              </w:rPr>
              <w:t>月</w:t>
            </w:r>
            <w:r>
              <w:rPr>
                <w:rFonts w:eastAsiaTheme="minorEastAsia"/>
                <w:color w:val="000000" w:themeColor="text1"/>
                <w:szCs w:val="21"/>
              </w:rPr>
              <w:t>07</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04</w:t>
            </w:r>
            <w:r>
              <w:rPr>
                <w:rFonts w:eastAsiaTheme="minorEastAsia"/>
                <w:color w:val="000000" w:themeColor="text1"/>
                <w:szCs w:val="21"/>
              </w:rPr>
              <w:t>月</w:t>
            </w:r>
            <w:r>
              <w:rPr>
                <w:rFonts w:eastAsiaTheme="minorEastAsia"/>
                <w:color w:val="000000" w:themeColor="text1"/>
                <w:szCs w:val="21"/>
              </w:rPr>
              <w:t>22</w:t>
            </w:r>
            <w:r>
              <w:rPr>
                <w:rFonts w:eastAsiaTheme="minorEastAsia"/>
                <w:color w:val="000000" w:themeColor="text1"/>
                <w:szCs w:val="21"/>
              </w:rPr>
              <w:t>日）、易方达中小板指数证券投资基金（</w:t>
            </w:r>
            <w:r>
              <w:rPr>
                <w:rFonts w:eastAsiaTheme="minorEastAsia"/>
                <w:color w:val="000000" w:themeColor="text1"/>
                <w:szCs w:val="21"/>
              </w:rPr>
              <w:t>LOF</w:t>
            </w:r>
            <w:r>
              <w:rPr>
                <w:rFonts w:eastAsiaTheme="minorEastAsia"/>
                <w:color w:val="000000" w:themeColor="text1"/>
                <w:szCs w:val="21"/>
              </w:rPr>
              <w:t>）的基金经理（自</w:t>
            </w:r>
            <w:r>
              <w:rPr>
                <w:rFonts w:eastAsiaTheme="minorEastAsia"/>
                <w:color w:val="000000" w:themeColor="text1"/>
                <w:szCs w:val="21"/>
              </w:rPr>
              <w:t>2016</w:t>
            </w:r>
            <w:r>
              <w:rPr>
                <w:rFonts w:eastAsiaTheme="minorEastAsia"/>
                <w:color w:val="000000" w:themeColor="text1"/>
                <w:szCs w:val="21"/>
              </w:rPr>
              <w:t>年</w:t>
            </w:r>
            <w:r>
              <w:rPr>
                <w:rFonts w:eastAsiaTheme="minorEastAsia"/>
                <w:color w:val="000000" w:themeColor="text1"/>
                <w:szCs w:val="21"/>
              </w:rPr>
              <w:t>05</w:t>
            </w:r>
            <w:r>
              <w:rPr>
                <w:rFonts w:eastAsiaTheme="minorEastAsia"/>
                <w:color w:val="000000" w:themeColor="text1"/>
                <w:szCs w:val="21"/>
              </w:rPr>
              <w:t>月</w:t>
            </w:r>
            <w:r>
              <w:rPr>
                <w:rFonts w:eastAsiaTheme="minorEastAsia"/>
                <w:color w:val="000000" w:themeColor="text1"/>
                <w:szCs w:val="21"/>
              </w:rPr>
              <w:t>07</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04</w:t>
            </w:r>
            <w:r>
              <w:rPr>
                <w:rFonts w:eastAsiaTheme="minorEastAsia"/>
                <w:color w:val="000000" w:themeColor="text1"/>
                <w:szCs w:val="21"/>
              </w:rPr>
              <w:t>月</w:t>
            </w:r>
            <w:r>
              <w:rPr>
                <w:rFonts w:eastAsiaTheme="minorEastAsia"/>
                <w:color w:val="000000" w:themeColor="text1"/>
                <w:szCs w:val="21"/>
              </w:rPr>
              <w:t>22</w:t>
            </w:r>
            <w:r>
              <w:rPr>
                <w:rFonts w:eastAsiaTheme="minorEastAsia"/>
                <w:color w:val="000000" w:themeColor="text1"/>
                <w:szCs w:val="21"/>
              </w:rPr>
              <w:t>日）、易方达创业板交易型开放式指数证券投资基金的基金经理、易方达创业板交易型开放式指数证券投资基金联接基金的基金经理、易方达深证</w:t>
            </w:r>
            <w:r>
              <w:rPr>
                <w:rFonts w:eastAsiaTheme="minorEastAsia"/>
                <w:color w:val="000000" w:themeColor="text1"/>
                <w:szCs w:val="21"/>
              </w:rPr>
              <w:t>100</w:t>
            </w:r>
            <w:r>
              <w:rPr>
                <w:rFonts w:eastAsiaTheme="minorEastAsia"/>
                <w:color w:val="000000" w:themeColor="text1"/>
                <w:szCs w:val="21"/>
              </w:rPr>
              <w:t>交易型开放式指数基金的基金经理、易方达深证</w:t>
            </w:r>
            <w:r>
              <w:rPr>
                <w:rFonts w:eastAsiaTheme="minorEastAsia"/>
                <w:color w:val="000000" w:themeColor="text1"/>
                <w:szCs w:val="21"/>
              </w:rPr>
              <w:t>100</w:t>
            </w:r>
            <w:r>
              <w:rPr>
                <w:rFonts w:eastAsiaTheme="minorEastAsia"/>
                <w:color w:val="000000" w:themeColor="text1"/>
                <w:szCs w:val="21"/>
              </w:rPr>
              <w:t>交易型开放式指数证券投资基金联接基金的基金经理、易方达</w:t>
            </w:r>
            <w:r>
              <w:rPr>
                <w:rFonts w:eastAsiaTheme="minorEastAsia"/>
                <w:color w:val="000000" w:themeColor="text1"/>
                <w:szCs w:val="21"/>
              </w:rPr>
              <w:t>MSCI</w:t>
            </w:r>
            <w:r>
              <w:rPr>
                <w:rFonts w:eastAsiaTheme="minorEastAsia"/>
                <w:color w:val="000000" w:themeColor="text1"/>
                <w:szCs w:val="21"/>
              </w:rPr>
              <w:t>中国</w:t>
            </w:r>
            <w:r>
              <w:rPr>
                <w:rFonts w:eastAsiaTheme="minorEastAsia"/>
                <w:color w:val="000000" w:themeColor="text1"/>
                <w:szCs w:val="21"/>
              </w:rPr>
              <w:t>A</w:t>
            </w:r>
            <w:r>
              <w:rPr>
                <w:rFonts w:eastAsiaTheme="minorEastAsia"/>
                <w:color w:val="000000" w:themeColor="text1"/>
                <w:szCs w:val="21"/>
              </w:rPr>
              <w:t>股国际通交易型开放式指数证券投资基金的基金经理（自</w:t>
            </w:r>
            <w:r>
              <w:rPr>
                <w:rFonts w:eastAsiaTheme="minorEastAsia"/>
                <w:color w:val="000000" w:themeColor="text1"/>
                <w:szCs w:val="21"/>
              </w:rPr>
              <w:t>2018</w:t>
            </w:r>
            <w:r>
              <w:rPr>
                <w:rFonts w:eastAsiaTheme="minorEastAsia"/>
                <w:color w:val="000000" w:themeColor="text1"/>
                <w:szCs w:val="21"/>
              </w:rPr>
              <w:t>年</w:t>
            </w:r>
            <w:r>
              <w:rPr>
                <w:rFonts w:eastAsiaTheme="minorEastAsia"/>
                <w:color w:val="000000" w:themeColor="text1"/>
                <w:szCs w:val="21"/>
              </w:rPr>
              <w:t>05</w:t>
            </w:r>
            <w:r>
              <w:rPr>
                <w:rFonts w:eastAsiaTheme="minorEastAsia"/>
                <w:color w:val="000000" w:themeColor="text1"/>
                <w:szCs w:val="21"/>
              </w:rPr>
              <w:t>月</w:t>
            </w:r>
            <w:r>
              <w:rPr>
                <w:rFonts w:eastAsiaTheme="minorEastAsia"/>
                <w:color w:val="000000" w:themeColor="text1"/>
                <w:szCs w:val="21"/>
              </w:rPr>
              <w:t>17</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04</w:t>
            </w:r>
            <w:r>
              <w:rPr>
                <w:rFonts w:eastAsiaTheme="minorEastAsia"/>
                <w:color w:val="000000" w:themeColor="text1"/>
                <w:szCs w:val="21"/>
              </w:rPr>
              <w:t>月</w:t>
            </w:r>
            <w:r>
              <w:rPr>
                <w:rFonts w:eastAsiaTheme="minorEastAsia"/>
                <w:color w:val="000000" w:themeColor="text1"/>
                <w:szCs w:val="21"/>
              </w:rPr>
              <w:t>22</w:t>
            </w:r>
            <w:r>
              <w:rPr>
                <w:rFonts w:eastAsiaTheme="minorEastAsia"/>
                <w:color w:val="000000" w:themeColor="text1"/>
                <w:szCs w:val="21"/>
              </w:rPr>
              <w:t>日）、易方达恒生中国企业交易型开放式指数证券投资基金的基金经理、易方达原油证券投资基金（</w:t>
            </w:r>
            <w:r>
              <w:rPr>
                <w:rFonts w:eastAsiaTheme="minorEastAsia"/>
                <w:color w:val="000000" w:themeColor="text1"/>
                <w:szCs w:val="21"/>
              </w:rPr>
              <w:t>QDII</w:t>
            </w:r>
            <w:r>
              <w:rPr>
                <w:rFonts w:eastAsiaTheme="minorEastAsia"/>
                <w:color w:val="000000" w:themeColor="text1"/>
                <w:szCs w:val="21"/>
              </w:rPr>
              <w:t>）的基金经理、易方达纳斯达克</w:t>
            </w:r>
            <w:r>
              <w:rPr>
                <w:rFonts w:eastAsiaTheme="minorEastAsia"/>
                <w:color w:val="000000" w:themeColor="text1"/>
                <w:szCs w:val="21"/>
              </w:rPr>
              <w:t>100</w:t>
            </w:r>
            <w:r>
              <w:rPr>
                <w:rFonts w:eastAsiaTheme="minorEastAsia"/>
                <w:color w:val="000000" w:themeColor="text1"/>
                <w:szCs w:val="21"/>
              </w:rPr>
              <w:t>指数证券投资基金（</w:t>
            </w:r>
            <w:r>
              <w:rPr>
                <w:rFonts w:eastAsiaTheme="minorEastAsia"/>
                <w:color w:val="000000" w:themeColor="text1"/>
                <w:szCs w:val="21"/>
              </w:rPr>
              <w:t>LOF</w:t>
            </w:r>
            <w:r>
              <w:rPr>
                <w:rFonts w:eastAsiaTheme="minorEastAsia"/>
                <w:color w:val="000000" w:themeColor="text1"/>
                <w:szCs w:val="21"/>
              </w:rPr>
              <w:t>）的基金经理（自</w:t>
            </w:r>
            <w:r>
              <w:rPr>
                <w:rFonts w:eastAsiaTheme="minorEastAsia"/>
                <w:color w:val="000000" w:themeColor="text1"/>
                <w:szCs w:val="21"/>
              </w:rPr>
              <w:t>2018</w:t>
            </w:r>
            <w:r>
              <w:rPr>
                <w:rFonts w:eastAsiaTheme="minorEastAsia"/>
                <w:color w:val="000000" w:themeColor="text1"/>
                <w:szCs w:val="21"/>
              </w:rPr>
              <w:t>年</w:t>
            </w:r>
            <w:r>
              <w:rPr>
                <w:rFonts w:eastAsiaTheme="minorEastAsia"/>
                <w:color w:val="000000" w:themeColor="text1"/>
                <w:szCs w:val="21"/>
              </w:rPr>
              <w:t>08</w:t>
            </w:r>
            <w:r>
              <w:rPr>
                <w:rFonts w:eastAsiaTheme="minorEastAsia"/>
                <w:color w:val="000000" w:themeColor="text1"/>
                <w:szCs w:val="21"/>
              </w:rPr>
              <w:t>月</w:t>
            </w:r>
            <w:r>
              <w:rPr>
                <w:rFonts w:eastAsiaTheme="minorEastAsia"/>
                <w:color w:val="000000" w:themeColor="text1"/>
                <w:szCs w:val="21"/>
              </w:rPr>
              <w:t>11</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04</w:t>
            </w:r>
            <w:r>
              <w:rPr>
                <w:rFonts w:eastAsiaTheme="minorEastAsia"/>
                <w:color w:val="000000" w:themeColor="text1"/>
                <w:szCs w:val="21"/>
              </w:rPr>
              <w:t>月</w:t>
            </w:r>
            <w:r>
              <w:rPr>
                <w:rFonts w:eastAsiaTheme="minorEastAsia"/>
                <w:color w:val="000000" w:themeColor="text1"/>
                <w:szCs w:val="21"/>
              </w:rPr>
              <w:t>22</w:t>
            </w:r>
            <w:r>
              <w:rPr>
                <w:rFonts w:eastAsiaTheme="minorEastAsia"/>
                <w:color w:val="000000" w:themeColor="text1"/>
                <w:szCs w:val="21"/>
              </w:rPr>
              <w:t>日）、易方达</w:t>
            </w:r>
            <w:r>
              <w:rPr>
                <w:rFonts w:eastAsiaTheme="minorEastAsia"/>
                <w:color w:val="000000" w:themeColor="text1"/>
                <w:szCs w:val="21"/>
              </w:rPr>
              <w:t>MSCI</w:t>
            </w:r>
            <w:r>
              <w:rPr>
                <w:rFonts w:eastAsiaTheme="minorEastAsia"/>
                <w:color w:val="000000" w:themeColor="text1"/>
                <w:szCs w:val="21"/>
              </w:rPr>
              <w:t>中国</w:t>
            </w:r>
            <w:r>
              <w:rPr>
                <w:rFonts w:eastAsiaTheme="minorEastAsia"/>
                <w:color w:val="000000" w:themeColor="text1"/>
                <w:szCs w:val="21"/>
              </w:rPr>
              <w:t>A</w:t>
            </w:r>
            <w:r>
              <w:rPr>
                <w:rFonts w:eastAsiaTheme="minorEastAsia"/>
                <w:color w:val="000000" w:themeColor="text1"/>
                <w:szCs w:val="21"/>
              </w:rPr>
              <w:t>股国际通交易型开放式指数证券投资基金发起式联接基金的基金经理（自</w:t>
            </w:r>
            <w:r>
              <w:rPr>
                <w:rFonts w:eastAsiaTheme="minorEastAsia"/>
                <w:color w:val="000000" w:themeColor="text1"/>
                <w:szCs w:val="21"/>
              </w:rPr>
              <w:t>2019</w:t>
            </w:r>
            <w:r>
              <w:rPr>
                <w:rFonts w:eastAsiaTheme="minorEastAsia"/>
                <w:color w:val="000000" w:themeColor="text1"/>
                <w:szCs w:val="21"/>
              </w:rPr>
              <w:t>年</w:t>
            </w:r>
            <w:r>
              <w:rPr>
                <w:rFonts w:eastAsiaTheme="minorEastAsia"/>
                <w:color w:val="000000" w:themeColor="text1"/>
                <w:szCs w:val="21"/>
              </w:rPr>
              <w:t>03</w:t>
            </w:r>
            <w:r>
              <w:rPr>
                <w:rFonts w:eastAsiaTheme="minorEastAsia"/>
                <w:color w:val="000000" w:themeColor="text1"/>
                <w:szCs w:val="21"/>
              </w:rPr>
              <w:t>月</w:t>
            </w:r>
            <w:r>
              <w:rPr>
                <w:rFonts w:eastAsiaTheme="minorEastAsia"/>
                <w:color w:val="000000" w:themeColor="text1"/>
                <w:szCs w:val="21"/>
              </w:rPr>
              <w:t>13</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04</w:t>
            </w:r>
            <w:r>
              <w:rPr>
                <w:rFonts w:eastAsiaTheme="minorEastAsia"/>
                <w:color w:val="000000" w:themeColor="text1"/>
                <w:szCs w:val="21"/>
              </w:rPr>
              <w:t>月</w:t>
            </w:r>
            <w:r>
              <w:rPr>
                <w:rFonts w:eastAsiaTheme="minorEastAsia"/>
                <w:color w:val="000000" w:themeColor="text1"/>
                <w:szCs w:val="21"/>
              </w:rPr>
              <w:t>22</w:t>
            </w:r>
            <w:r>
              <w:rPr>
                <w:rFonts w:eastAsiaTheme="minorEastAsia"/>
                <w:color w:val="000000" w:themeColor="text1"/>
                <w:szCs w:val="21"/>
              </w:rPr>
              <w:t>日）、易方达上证</w:t>
            </w:r>
            <w:r>
              <w:rPr>
                <w:rFonts w:eastAsiaTheme="minorEastAsia"/>
                <w:color w:val="000000" w:themeColor="text1"/>
                <w:szCs w:val="21"/>
              </w:rPr>
              <w:t>50</w:t>
            </w:r>
            <w:r>
              <w:rPr>
                <w:rFonts w:eastAsiaTheme="minorEastAsia"/>
                <w:color w:val="000000" w:themeColor="text1"/>
                <w:szCs w:val="21"/>
              </w:rPr>
              <w:t>交易型开放式指数证券投资基金的基金经理、易方达上证</w:t>
            </w:r>
            <w:r>
              <w:rPr>
                <w:rFonts w:eastAsiaTheme="minorEastAsia"/>
                <w:color w:val="000000" w:themeColor="text1"/>
                <w:szCs w:val="21"/>
              </w:rPr>
              <w:t>50</w:t>
            </w:r>
            <w:r>
              <w:rPr>
                <w:rFonts w:eastAsiaTheme="minorEastAsia"/>
                <w:color w:val="000000" w:themeColor="text1"/>
                <w:szCs w:val="21"/>
              </w:rPr>
              <w:t>交易型开放式指数证券投资基金发起式联接基金的基金经理、易方达中证香港证券投资主题交易型开放式指数证券投资基金的基金经理</w:t>
            </w:r>
          </w:p>
        </w:tc>
        <w:tc>
          <w:tcPr>
            <w:tcW w:w="0" w:type="auto"/>
            <w:vAlign w:val="center"/>
          </w:tcPr>
          <w:p w:rsidR="00871824" w:rsidRDefault="00672BD5">
            <w:pPr>
              <w:jc w:val="center"/>
            </w:pPr>
            <w:r>
              <w:rPr>
                <w:rFonts w:eastAsiaTheme="minorEastAsia"/>
                <w:color w:val="000000" w:themeColor="text1"/>
                <w:szCs w:val="21"/>
              </w:rPr>
              <w:t>2018-08-11</w:t>
            </w:r>
          </w:p>
        </w:tc>
        <w:tc>
          <w:tcPr>
            <w:tcW w:w="0" w:type="auto"/>
            <w:vAlign w:val="center"/>
          </w:tcPr>
          <w:p w:rsidR="00871824" w:rsidRDefault="00672BD5">
            <w:pPr>
              <w:jc w:val="center"/>
            </w:pPr>
            <w:r>
              <w:rPr>
                <w:rFonts w:eastAsiaTheme="minorEastAsia"/>
                <w:color w:val="000000" w:themeColor="text1"/>
                <w:szCs w:val="21"/>
              </w:rPr>
              <w:t>-</w:t>
            </w:r>
          </w:p>
        </w:tc>
        <w:tc>
          <w:tcPr>
            <w:tcW w:w="0" w:type="auto"/>
            <w:vAlign w:val="center"/>
          </w:tcPr>
          <w:p w:rsidR="00871824" w:rsidRDefault="00672BD5">
            <w:pPr>
              <w:jc w:val="center"/>
            </w:pPr>
            <w:r>
              <w:rPr>
                <w:rFonts w:eastAsiaTheme="minorEastAsia"/>
                <w:color w:val="000000" w:themeColor="text1"/>
                <w:szCs w:val="21"/>
              </w:rPr>
              <w:t>12</w:t>
            </w:r>
            <w:r>
              <w:rPr>
                <w:rFonts w:eastAsiaTheme="minorEastAsia"/>
                <w:color w:val="000000" w:themeColor="text1"/>
                <w:szCs w:val="21"/>
              </w:rPr>
              <w:t>年</w:t>
            </w:r>
          </w:p>
        </w:tc>
        <w:tc>
          <w:tcPr>
            <w:tcW w:w="0" w:type="auto"/>
            <w:vAlign w:val="center"/>
          </w:tcPr>
          <w:p w:rsidR="00871824" w:rsidRDefault="00672BD5">
            <w:pPr>
              <w:jc w:val="left"/>
            </w:pPr>
            <w:r>
              <w:rPr>
                <w:rFonts w:eastAsiaTheme="minorEastAsia"/>
                <w:color w:val="000000" w:themeColor="text1"/>
                <w:szCs w:val="21"/>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r w:rsidR="00871824">
        <w:tc>
          <w:tcPr>
            <w:tcW w:w="0" w:type="auto"/>
            <w:vAlign w:val="center"/>
          </w:tcPr>
          <w:p w:rsidR="00871824" w:rsidRDefault="00672BD5">
            <w:pPr>
              <w:jc w:val="center"/>
            </w:pPr>
            <w:r>
              <w:rPr>
                <w:rFonts w:eastAsiaTheme="minorEastAsia"/>
                <w:color w:val="000000" w:themeColor="text1"/>
                <w:szCs w:val="21"/>
              </w:rPr>
              <w:t>余海燕</w:t>
            </w:r>
          </w:p>
        </w:tc>
        <w:tc>
          <w:tcPr>
            <w:tcW w:w="0" w:type="auto"/>
            <w:vAlign w:val="center"/>
          </w:tcPr>
          <w:p w:rsidR="00871824" w:rsidRDefault="00672BD5">
            <w:pPr>
              <w:jc w:val="left"/>
            </w:pPr>
            <w:r>
              <w:rPr>
                <w:rFonts w:eastAsiaTheme="minorEastAsia"/>
                <w:color w:val="000000" w:themeColor="text1"/>
                <w:szCs w:val="21"/>
              </w:rPr>
              <w:t>本基金的基金经理、易方达沪深</w:t>
            </w:r>
            <w:r>
              <w:rPr>
                <w:rFonts w:eastAsiaTheme="minorEastAsia"/>
                <w:color w:val="000000" w:themeColor="text1"/>
                <w:szCs w:val="21"/>
              </w:rPr>
              <w:t>300</w:t>
            </w:r>
            <w:r>
              <w:rPr>
                <w:rFonts w:eastAsiaTheme="minorEastAsia"/>
                <w:color w:val="000000" w:themeColor="text1"/>
                <w:szCs w:val="21"/>
              </w:rPr>
              <w:t>医药卫生交易型开放式指数证券投资基金的基金经理、易方达沪深</w:t>
            </w:r>
            <w:r>
              <w:rPr>
                <w:rFonts w:eastAsiaTheme="minorEastAsia"/>
                <w:color w:val="000000" w:themeColor="text1"/>
                <w:szCs w:val="21"/>
              </w:rPr>
              <w:t>300</w:t>
            </w:r>
            <w:r>
              <w:rPr>
                <w:rFonts w:eastAsiaTheme="minorEastAsia"/>
                <w:color w:val="000000" w:themeColor="text1"/>
                <w:szCs w:val="21"/>
              </w:rPr>
              <w:t>非银行金融交易型开放式指数证券投资基金的基金经理、易方达沪深</w:t>
            </w:r>
            <w:r>
              <w:rPr>
                <w:rFonts w:eastAsiaTheme="minorEastAsia"/>
                <w:color w:val="000000" w:themeColor="text1"/>
                <w:szCs w:val="21"/>
              </w:rPr>
              <w:t>300</w:t>
            </w:r>
            <w:r>
              <w:rPr>
                <w:rFonts w:eastAsiaTheme="minorEastAsia"/>
                <w:color w:val="000000" w:themeColor="text1"/>
                <w:szCs w:val="21"/>
              </w:rPr>
              <w:t>非银行金融交易型开放式指数证券投资基金联接基金的基金经理、易方达上证</w:t>
            </w:r>
            <w:r>
              <w:rPr>
                <w:rFonts w:eastAsiaTheme="minorEastAsia"/>
                <w:color w:val="000000" w:themeColor="text1"/>
                <w:szCs w:val="21"/>
              </w:rPr>
              <w:t>50</w:t>
            </w:r>
            <w:r>
              <w:rPr>
                <w:rFonts w:eastAsiaTheme="minorEastAsia"/>
                <w:color w:val="000000" w:themeColor="text1"/>
                <w:szCs w:val="21"/>
              </w:rPr>
              <w:t>指数分级证券投资基金的基金经理、易方达国企改革指数分级证券投资基金的基金经理、易方达军工指数分级证券投资基金的基金经理、易方达证券公司指数分级证券投资基金的基金经理、易方达沪深</w:t>
            </w:r>
            <w:r>
              <w:rPr>
                <w:rFonts w:eastAsiaTheme="minorEastAsia"/>
                <w:color w:val="000000" w:themeColor="text1"/>
                <w:szCs w:val="21"/>
              </w:rPr>
              <w:t>300</w:t>
            </w:r>
            <w:r>
              <w:rPr>
                <w:rFonts w:eastAsiaTheme="minorEastAsia"/>
                <w:color w:val="000000" w:themeColor="text1"/>
                <w:szCs w:val="21"/>
              </w:rPr>
              <w:t>交易型开放式指数发起式证券投资基金的基金经理、易方达沪深</w:t>
            </w:r>
            <w:r>
              <w:rPr>
                <w:rFonts w:eastAsiaTheme="minorEastAsia"/>
                <w:color w:val="000000" w:themeColor="text1"/>
                <w:szCs w:val="21"/>
              </w:rPr>
              <w:t>300</w:t>
            </w:r>
            <w:r>
              <w:rPr>
                <w:rFonts w:eastAsiaTheme="minorEastAsia"/>
                <w:color w:val="000000" w:themeColor="text1"/>
                <w:szCs w:val="21"/>
              </w:rPr>
              <w:t>交易型开放式指数发起式证券投资基金联接基金的基金经理、易方达中证</w:t>
            </w:r>
            <w:r>
              <w:rPr>
                <w:rFonts w:eastAsiaTheme="minorEastAsia"/>
                <w:color w:val="000000" w:themeColor="text1"/>
                <w:szCs w:val="21"/>
              </w:rPr>
              <w:t>500</w:t>
            </w:r>
            <w:r>
              <w:rPr>
                <w:rFonts w:eastAsiaTheme="minorEastAsia"/>
                <w:color w:val="000000" w:themeColor="text1"/>
                <w:szCs w:val="21"/>
              </w:rPr>
              <w:t>交易型开放式指数证券投资基金的基金经理、易方达中证海外中国互联网</w:t>
            </w:r>
            <w:r>
              <w:rPr>
                <w:rFonts w:eastAsiaTheme="minorEastAsia"/>
                <w:color w:val="000000" w:themeColor="text1"/>
                <w:szCs w:val="21"/>
              </w:rPr>
              <w:t>50</w:t>
            </w:r>
            <w:r>
              <w:rPr>
                <w:rFonts w:eastAsiaTheme="minorEastAsia"/>
                <w:color w:val="000000" w:themeColor="text1"/>
                <w:szCs w:val="21"/>
              </w:rPr>
              <w:t>交易型开放式指数证券投资基金的基金经理、易方达中证军工交易型开放式指数证券投资基金的基金经理、易方达中证全指证券公司交易型开放式指数证券投资基金的基金经理、易方达沪深</w:t>
            </w:r>
            <w:r>
              <w:rPr>
                <w:rFonts w:eastAsiaTheme="minorEastAsia"/>
                <w:color w:val="000000" w:themeColor="text1"/>
                <w:szCs w:val="21"/>
              </w:rPr>
              <w:t>300</w:t>
            </w:r>
            <w:r>
              <w:rPr>
                <w:rFonts w:eastAsiaTheme="minorEastAsia"/>
                <w:color w:val="000000" w:themeColor="text1"/>
                <w:szCs w:val="21"/>
              </w:rPr>
              <w:t>医药卫生交易型开放式指数证券投资基金联接基金的基金经理、易方达黄金交易型开放式证券投资基金的基金经理、易方达恒生中国企业交易型开放式指数证券投资基金的基金经理、易方达黄金交易型开放式证券投资基金联接基金的基金经理、易方达中证海外中国互联网</w:t>
            </w:r>
            <w:r>
              <w:rPr>
                <w:rFonts w:eastAsiaTheme="minorEastAsia"/>
                <w:color w:val="000000" w:themeColor="text1"/>
                <w:szCs w:val="21"/>
              </w:rPr>
              <w:t>50</w:t>
            </w:r>
            <w:r>
              <w:rPr>
                <w:rFonts w:eastAsiaTheme="minorEastAsia"/>
                <w:color w:val="000000" w:themeColor="text1"/>
                <w:szCs w:val="21"/>
              </w:rPr>
              <w:t>交易型开放式指数证券投资基金联接基金的基金经理、易方达中证</w:t>
            </w:r>
            <w:r>
              <w:rPr>
                <w:rFonts w:eastAsiaTheme="minorEastAsia"/>
                <w:color w:val="000000" w:themeColor="text1"/>
                <w:szCs w:val="21"/>
              </w:rPr>
              <w:t>500</w:t>
            </w:r>
            <w:r>
              <w:rPr>
                <w:rFonts w:eastAsiaTheme="minorEastAsia"/>
                <w:color w:val="000000" w:themeColor="text1"/>
                <w:szCs w:val="21"/>
              </w:rPr>
              <w:t>交易型开放式指数证券投资基金发起式联接基金的基金经理、易方达日兴资管日经</w:t>
            </w:r>
            <w:r>
              <w:rPr>
                <w:rFonts w:eastAsiaTheme="minorEastAsia"/>
                <w:color w:val="000000" w:themeColor="text1"/>
                <w:szCs w:val="21"/>
              </w:rPr>
              <w:t>225</w:t>
            </w:r>
            <w:r>
              <w:rPr>
                <w:rFonts w:eastAsiaTheme="minorEastAsia"/>
                <w:color w:val="000000" w:themeColor="text1"/>
                <w:szCs w:val="21"/>
              </w:rPr>
              <w:t>交易型开放式指数证券投资基金（</w:t>
            </w:r>
            <w:r>
              <w:rPr>
                <w:rFonts w:eastAsiaTheme="minorEastAsia"/>
                <w:color w:val="000000" w:themeColor="text1"/>
                <w:szCs w:val="21"/>
              </w:rPr>
              <w:t>QDII</w:t>
            </w:r>
            <w:r>
              <w:rPr>
                <w:rFonts w:eastAsiaTheme="minorEastAsia"/>
                <w:color w:val="000000" w:themeColor="text1"/>
                <w:szCs w:val="21"/>
              </w:rPr>
              <w:t>）的基金经理、易方达上证</w:t>
            </w:r>
            <w:r>
              <w:rPr>
                <w:rFonts w:eastAsiaTheme="minorEastAsia"/>
                <w:color w:val="000000" w:themeColor="text1"/>
                <w:szCs w:val="21"/>
              </w:rPr>
              <w:t>50</w:t>
            </w:r>
            <w:r>
              <w:rPr>
                <w:rFonts w:eastAsiaTheme="minorEastAsia"/>
                <w:color w:val="000000" w:themeColor="text1"/>
                <w:szCs w:val="21"/>
              </w:rPr>
              <w:t>交易型开放式指数证券投资基金的基金经理、易方达上证</w:t>
            </w:r>
            <w:r>
              <w:rPr>
                <w:rFonts w:eastAsiaTheme="minorEastAsia"/>
                <w:color w:val="000000" w:themeColor="text1"/>
                <w:szCs w:val="21"/>
              </w:rPr>
              <w:t>50</w:t>
            </w:r>
            <w:r>
              <w:rPr>
                <w:rFonts w:eastAsiaTheme="minorEastAsia"/>
                <w:color w:val="000000" w:themeColor="text1"/>
                <w:szCs w:val="21"/>
              </w:rPr>
              <w:t>交易型开放式指数证券投资基金发起式联接基金的基金经理、指数投资部副总经理、指数投资决策委员会委员</w:t>
            </w:r>
          </w:p>
        </w:tc>
        <w:tc>
          <w:tcPr>
            <w:tcW w:w="0" w:type="auto"/>
            <w:vAlign w:val="center"/>
          </w:tcPr>
          <w:p w:rsidR="00871824" w:rsidRDefault="00672BD5">
            <w:pPr>
              <w:jc w:val="center"/>
            </w:pPr>
            <w:r>
              <w:rPr>
                <w:rFonts w:eastAsiaTheme="minorEastAsia"/>
                <w:color w:val="000000" w:themeColor="text1"/>
                <w:szCs w:val="21"/>
              </w:rPr>
              <w:t>2018-08-11</w:t>
            </w:r>
          </w:p>
        </w:tc>
        <w:tc>
          <w:tcPr>
            <w:tcW w:w="0" w:type="auto"/>
            <w:vAlign w:val="center"/>
          </w:tcPr>
          <w:p w:rsidR="00871824" w:rsidRDefault="00672BD5">
            <w:pPr>
              <w:jc w:val="center"/>
            </w:pPr>
            <w:r>
              <w:rPr>
                <w:rFonts w:eastAsiaTheme="minorEastAsia"/>
                <w:color w:val="000000" w:themeColor="text1"/>
                <w:szCs w:val="21"/>
              </w:rPr>
              <w:t>-</w:t>
            </w:r>
          </w:p>
        </w:tc>
        <w:tc>
          <w:tcPr>
            <w:tcW w:w="0" w:type="auto"/>
            <w:vAlign w:val="center"/>
          </w:tcPr>
          <w:p w:rsidR="00871824" w:rsidRDefault="00672BD5">
            <w:pPr>
              <w:jc w:val="center"/>
            </w:pPr>
            <w:r>
              <w:rPr>
                <w:rFonts w:eastAsiaTheme="minorEastAsia"/>
                <w:color w:val="000000" w:themeColor="text1"/>
                <w:szCs w:val="21"/>
              </w:rPr>
              <w:t>15</w:t>
            </w:r>
            <w:r>
              <w:rPr>
                <w:rFonts w:eastAsiaTheme="minorEastAsia"/>
                <w:color w:val="000000" w:themeColor="text1"/>
                <w:szCs w:val="21"/>
              </w:rPr>
              <w:t>年</w:t>
            </w:r>
          </w:p>
        </w:tc>
        <w:tc>
          <w:tcPr>
            <w:tcW w:w="0" w:type="auto"/>
            <w:vAlign w:val="center"/>
          </w:tcPr>
          <w:p w:rsidR="00871824" w:rsidRDefault="00672BD5">
            <w:pPr>
              <w:jc w:val="left"/>
            </w:pPr>
            <w:r>
              <w:rPr>
                <w:rFonts w:eastAsiaTheme="minorEastAsia"/>
                <w:color w:val="000000" w:themeColor="text1"/>
                <w:szCs w:val="21"/>
              </w:rPr>
              <w:t>硕士研究生，具有基金从业资格。曾任汇丰银行</w:t>
            </w:r>
            <w:r>
              <w:rPr>
                <w:rFonts w:eastAsiaTheme="minorEastAsia"/>
                <w:color w:val="000000" w:themeColor="text1"/>
                <w:szCs w:val="21"/>
              </w:rPr>
              <w:t>Consumer Credit Risk</w:t>
            </w:r>
            <w:r>
              <w:rPr>
                <w:rFonts w:eastAsiaTheme="minorEastAsia"/>
                <w:color w:val="000000" w:themeColor="text1"/>
                <w:szCs w:val="21"/>
              </w:rPr>
              <w:t>信用风险分析师，华宝兴业基金管理有限公司分析师、基金经理助理、基金经理，易方达基金管理有限公司投资发展部产品经理。</w:t>
            </w:r>
          </w:p>
        </w:tc>
      </w:tr>
    </w:tbl>
    <w:p w:rsidR="00871824" w:rsidRDefault="00672BD5">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0A1449" w:rsidRDefault="00FC5407" w:rsidP="000A1449">
      <w:pPr>
        <w:tabs>
          <w:tab w:val="left" w:pos="426"/>
        </w:tabs>
        <w:spacing w:line="360" w:lineRule="auto"/>
        <w:ind w:firstLineChars="200" w:firstLine="420"/>
        <w:rPr>
          <w:kern w:val="0"/>
          <w:szCs w:val="21"/>
        </w:rPr>
      </w:pPr>
      <w:r w:rsidRPr="008707EB">
        <w:rPr>
          <w:rFonts w:eastAsiaTheme="minorEastAsia"/>
          <w:kern w:val="0"/>
          <w:szCs w:val="21"/>
        </w:rPr>
        <w:t>2.</w:t>
      </w:r>
      <w:r w:rsidRPr="008707EB">
        <w:rPr>
          <w:rFonts w:eastAsiaTheme="minorEastAsia"/>
          <w:kern w:val="0"/>
          <w:szCs w:val="21"/>
        </w:rPr>
        <w:t>证券从业的含义遵从《证券业从业人员资格管理办法》的相关规定。</w:t>
      </w:r>
    </w:p>
    <w:p w:rsidR="00FC5407" w:rsidRPr="00A317EA" w:rsidRDefault="00FC5407" w:rsidP="006C64F3">
      <w:pPr>
        <w:pStyle w:val="20"/>
        <w:spacing w:beforeLines="100" w:before="312" w:after="0"/>
        <w:rPr>
          <w:rFonts w:ascii="Times New Roman" w:eastAsiaTheme="minorEastAsia" w:hAnsi="Times New Roman"/>
          <w:kern w:val="0"/>
          <w:sz w:val="21"/>
          <w:szCs w:val="21"/>
        </w:rPr>
      </w:pPr>
      <w:bookmarkStart w:id="92" w:name="_Toc224618356"/>
      <w:bookmarkStart w:id="93" w:name="_Toc235605685"/>
      <w:bookmarkStart w:id="94" w:name="_Toc286929733"/>
      <w:bookmarkStart w:id="95" w:name="_Toc352255973"/>
      <w:bookmarkStart w:id="96" w:name="_Toc352256041"/>
      <w:bookmarkStart w:id="97" w:name="_Toc352331219"/>
      <w:bookmarkStart w:id="98" w:name="_Toc362423997"/>
      <w:bookmarkStart w:id="99" w:name="_Toc374459259"/>
      <w:bookmarkStart w:id="100" w:name="_Toc48662479"/>
      <w:r w:rsidRPr="0087359D">
        <w:rPr>
          <w:rFonts w:ascii="宋体" w:hAnsi="宋体"/>
          <w:kern w:val="0"/>
          <w:sz w:val="21"/>
          <w:szCs w:val="21"/>
        </w:rPr>
        <w:t>4.2</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境外投资顾问为本基金提供投资建议的主要成员简介</w:t>
      </w:r>
      <w:bookmarkEnd w:id="92"/>
      <w:bookmarkEnd w:id="93"/>
      <w:bookmarkEnd w:id="94"/>
      <w:bookmarkEnd w:id="95"/>
      <w:bookmarkEnd w:id="96"/>
      <w:bookmarkEnd w:id="97"/>
      <w:bookmarkEnd w:id="98"/>
      <w:bookmarkEnd w:id="99"/>
      <w:bookmarkEnd w:id="100"/>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本基金未聘请境外投资顾问。</w:t>
      </w:r>
    </w:p>
    <w:p w:rsidR="00FC5407" w:rsidRPr="00A317EA" w:rsidRDefault="00FC5407" w:rsidP="006C64F3">
      <w:pPr>
        <w:pStyle w:val="20"/>
        <w:spacing w:beforeLines="100" w:before="312" w:after="0"/>
        <w:rPr>
          <w:rFonts w:ascii="Times New Roman" w:eastAsiaTheme="minorEastAsia" w:hAnsi="Times New Roman"/>
          <w:kern w:val="0"/>
          <w:sz w:val="21"/>
          <w:szCs w:val="21"/>
        </w:rPr>
      </w:pPr>
      <w:bookmarkStart w:id="101" w:name="_Toc225498256"/>
      <w:bookmarkStart w:id="102" w:name="_Toc352255974"/>
      <w:bookmarkStart w:id="103" w:name="_Toc352256042"/>
      <w:bookmarkStart w:id="104" w:name="_Toc352331220"/>
      <w:bookmarkStart w:id="105" w:name="_Toc362423998"/>
      <w:bookmarkStart w:id="106" w:name="_Toc374459260"/>
      <w:bookmarkStart w:id="107" w:name="_Toc48662480"/>
      <w:r w:rsidRPr="0087359D">
        <w:rPr>
          <w:rFonts w:ascii="宋体" w:hAnsi="宋体"/>
          <w:kern w:val="0"/>
          <w:sz w:val="21"/>
          <w:szCs w:val="21"/>
        </w:rPr>
        <w:t>4.3</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管理人对报告期内本基金运作遵规守信情况的说明</w:t>
      </w:r>
      <w:bookmarkEnd w:id="101"/>
      <w:bookmarkEnd w:id="102"/>
      <w:bookmarkEnd w:id="103"/>
      <w:bookmarkEnd w:id="104"/>
      <w:bookmarkEnd w:id="105"/>
      <w:bookmarkEnd w:id="106"/>
      <w:bookmarkEnd w:id="107"/>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FC5407" w:rsidRPr="00A317EA" w:rsidRDefault="00FC5407" w:rsidP="006C64F3">
      <w:pPr>
        <w:pStyle w:val="20"/>
        <w:spacing w:beforeLines="100" w:before="312" w:after="0"/>
        <w:rPr>
          <w:rFonts w:ascii="Times New Roman" w:eastAsiaTheme="minorEastAsia" w:hAnsi="Times New Roman"/>
          <w:kern w:val="0"/>
          <w:sz w:val="21"/>
          <w:szCs w:val="21"/>
        </w:rPr>
      </w:pPr>
      <w:bookmarkStart w:id="108" w:name="_Toc225498257"/>
      <w:bookmarkStart w:id="109" w:name="_Toc352255975"/>
      <w:bookmarkStart w:id="110" w:name="_Toc352256043"/>
      <w:bookmarkStart w:id="111" w:name="_Toc352331221"/>
      <w:bookmarkStart w:id="112" w:name="_Toc362423999"/>
      <w:bookmarkStart w:id="113" w:name="_Toc374459261"/>
      <w:bookmarkStart w:id="114" w:name="_Toc48662481"/>
      <w:r w:rsidRPr="0087359D">
        <w:rPr>
          <w:rFonts w:ascii="宋体" w:hAnsi="宋体"/>
          <w:kern w:val="0"/>
          <w:sz w:val="21"/>
          <w:szCs w:val="21"/>
        </w:rPr>
        <w:t>4.4</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管理人对报告期内公平交易情况的专项说明</w:t>
      </w:r>
      <w:bookmarkEnd w:id="108"/>
      <w:bookmarkEnd w:id="109"/>
      <w:bookmarkEnd w:id="110"/>
      <w:bookmarkEnd w:id="111"/>
      <w:bookmarkEnd w:id="112"/>
      <w:bookmarkEnd w:id="113"/>
      <w:bookmarkEnd w:id="114"/>
    </w:p>
    <w:p w:rsidR="00FC5407" w:rsidRPr="00C24ACA" w:rsidRDefault="00FC5407" w:rsidP="006C64F3">
      <w:pPr>
        <w:autoSpaceDE w:val="0"/>
        <w:autoSpaceDN w:val="0"/>
        <w:adjustRightInd w:val="0"/>
        <w:spacing w:beforeLines="100" w:before="312"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4.4.1 </w:t>
      </w:r>
      <w:r w:rsidRPr="00C24ACA">
        <w:rPr>
          <w:rFonts w:eastAsiaTheme="minorEastAsia"/>
          <w:b/>
          <w:color w:val="000000" w:themeColor="text1"/>
          <w:kern w:val="0"/>
          <w:szCs w:val="21"/>
        </w:rPr>
        <w:t>公平交易制度的执行情况</w:t>
      </w:r>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R="00FC5407" w:rsidRPr="00C24ACA" w:rsidRDefault="00FC5407" w:rsidP="006C64F3">
      <w:pPr>
        <w:autoSpaceDE w:val="0"/>
        <w:autoSpaceDN w:val="0"/>
        <w:adjustRightInd w:val="0"/>
        <w:spacing w:beforeLines="100" w:before="312"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4.4.2 </w:t>
      </w:r>
      <w:r w:rsidRPr="00C24ACA">
        <w:rPr>
          <w:rFonts w:eastAsiaTheme="minorEastAsia"/>
          <w:b/>
          <w:color w:val="000000" w:themeColor="text1"/>
          <w:kern w:val="0"/>
          <w:szCs w:val="21"/>
        </w:rPr>
        <w:t>异常交易行为的专项说明</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本报告期内，公司旗下所有投资组合参与的交易所公开竞价交易中，同日反向交易成交较少的单边交易量超过该证券当日成交量的</w:t>
      </w:r>
      <w:r>
        <w:rPr>
          <w:rFonts w:eastAsiaTheme="minorEastAsia"/>
          <w:kern w:val="0"/>
          <w:szCs w:val="21"/>
        </w:rPr>
        <w:t>5%</w:t>
      </w:r>
      <w:r>
        <w:rPr>
          <w:rFonts w:eastAsiaTheme="minorEastAsia"/>
          <w:kern w:val="0"/>
          <w:szCs w:val="21"/>
        </w:rPr>
        <w:t>的交易共</w:t>
      </w:r>
      <w:r>
        <w:rPr>
          <w:rFonts w:eastAsiaTheme="minorEastAsia"/>
          <w:kern w:val="0"/>
          <w:szCs w:val="21"/>
        </w:rPr>
        <w:t>59</w:t>
      </w:r>
      <w:r>
        <w:rPr>
          <w:rFonts w:eastAsiaTheme="minorEastAsia"/>
          <w:kern w:val="0"/>
          <w:szCs w:val="21"/>
        </w:rPr>
        <w:t>次，均为指数量化投资组合因投资策略需要和其他组合发生的反向交易。</w:t>
      </w:r>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本报告期内，未发现本基金有可能导致不公平交易和利益输送的异常交易。</w:t>
      </w:r>
    </w:p>
    <w:p w:rsidR="00FC5407" w:rsidRPr="00A317EA" w:rsidRDefault="00FC5407" w:rsidP="006C64F3">
      <w:pPr>
        <w:pStyle w:val="20"/>
        <w:spacing w:beforeLines="100" w:before="312" w:after="0"/>
        <w:rPr>
          <w:rFonts w:ascii="Times New Roman" w:eastAsiaTheme="minorEastAsia" w:hAnsi="Times New Roman"/>
          <w:kern w:val="0"/>
          <w:sz w:val="21"/>
          <w:szCs w:val="21"/>
        </w:rPr>
      </w:pPr>
      <w:bookmarkStart w:id="115" w:name="_Toc225498258"/>
      <w:bookmarkStart w:id="116" w:name="_Toc352255976"/>
      <w:bookmarkStart w:id="117" w:name="_Toc352256044"/>
      <w:bookmarkStart w:id="118" w:name="_Toc352331222"/>
      <w:bookmarkStart w:id="119" w:name="_Toc362424000"/>
      <w:bookmarkStart w:id="120" w:name="_Toc374459262"/>
      <w:bookmarkStart w:id="121" w:name="_Toc48662482"/>
      <w:r w:rsidRPr="0087359D">
        <w:rPr>
          <w:rFonts w:ascii="宋体" w:hAnsi="宋体"/>
          <w:kern w:val="0"/>
          <w:sz w:val="21"/>
          <w:szCs w:val="21"/>
        </w:rPr>
        <w:t>4.5</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管理人对报告期内基金的投资策略和业绩表现的说明</w:t>
      </w:r>
      <w:bookmarkEnd w:id="115"/>
      <w:bookmarkEnd w:id="116"/>
      <w:bookmarkEnd w:id="117"/>
      <w:bookmarkEnd w:id="118"/>
      <w:bookmarkEnd w:id="119"/>
      <w:bookmarkEnd w:id="120"/>
      <w:bookmarkEnd w:id="121"/>
    </w:p>
    <w:p w:rsidR="00FC5407" w:rsidRPr="00C24ACA" w:rsidRDefault="00FC5407" w:rsidP="00FC5407">
      <w:pPr>
        <w:spacing w:line="360" w:lineRule="auto"/>
        <w:rPr>
          <w:rFonts w:eastAsiaTheme="minorEastAsia"/>
          <w:b/>
          <w:color w:val="000000" w:themeColor="text1"/>
          <w:szCs w:val="21"/>
        </w:rPr>
      </w:pPr>
      <w:r w:rsidRPr="00C24ACA">
        <w:rPr>
          <w:rFonts w:eastAsiaTheme="minorEastAsia"/>
          <w:b/>
          <w:color w:val="000000" w:themeColor="text1"/>
          <w:szCs w:val="21"/>
        </w:rPr>
        <w:t>4.5.1</w:t>
      </w:r>
      <w:r w:rsidRPr="00C24ACA">
        <w:rPr>
          <w:rFonts w:eastAsiaTheme="minorEastAsia"/>
          <w:b/>
          <w:color w:val="000000" w:themeColor="text1"/>
          <w:szCs w:val="21"/>
        </w:rPr>
        <w:t>报告期内基金投资策略和运作分析</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本基金跟踪的标的指数为恒生中国企业指数，恒生中国企业指数的成份股为在香港上市交易的内地公司，涵盖了</w:t>
      </w:r>
      <w:r>
        <w:rPr>
          <w:rFonts w:eastAsiaTheme="minorEastAsia"/>
          <w:kern w:val="0"/>
          <w:szCs w:val="21"/>
        </w:rPr>
        <w:t>H</w:t>
      </w:r>
      <w:r>
        <w:rPr>
          <w:rFonts w:eastAsiaTheme="minorEastAsia"/>
          <w:kern w:val="0"/>
          <w:szCs w:val="21"/>
        </w:rPr>
        <w:t>股、红筹股及民营企业。上市公司的基本面变化取决于国内经济的增长前景，但市场交易主体包括欧美等海外资金，流动性受欧美等发达经济体的直接影响。该指数是香港市场最具影响力的基准指数之一。本基金主要采取完全复制法及适当的替代性策略以更好的跟踪指数，实现投资目标。</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2020</w:t>
      </w:r>
      <w:r>
        <w:rPr>
          <w:rFonts w:eastAsiaTheme="minorEastAsia"/>
          <w:kern w:val="0"/>
          <w:szCs w:val="21"/>
        </w:rPr>
        <w:t>年上半年，受新冠疫情和中美摩擦影响，港股市场整体表现不佳。其中一季度受海外流动性回抽冲击，恒生中国企业指数一路下行，在</w:t>
      </w:r>
      <w:r>
        <w:rPr>
          <w:rFonts w:eastAsiaTheme="minorEastAsia"/>
          <w:kern w:val="0"/>
          <w:szCs w:val="21"/>
        </w:rPr>
        <w:t>3</w:t>
      </w:r>
      <w:r>
        <w:rPr>
          <w:rFonts w:eastAsiaTheme="minorEastAsia"/>
          <w:kern w:val="0"/>
          <w:szCs w:val="21"/>
        </w:rPr>
        <w:t>月下旬跌至历史估值底部，在此之后迅速反弹。但二季度全球疫情反复，叠加资金对香港市场的担忧，指数走势仍被抑制。</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从中长期角度来看，随着疫苗发展和疫情防控，经济生产逐渐恢复，预计下半年海外需求有所恢复。对香港市场来说，随着各项政策落地，不确定性逐步下降。首先，随着中概公司陆续选择港交所二次上市回归，香港市场作为中国企业海外融资中心的市场地位进一步稳固，香港市场在中国资本市场中的定位愈加明确。其次，随着国安法的推出及实施，香港社会环境的不确定性也在下降。此外，港股相对</w:t>
      </w:r>
      <w:r>
        <w:rPr>
          <w:rFonts w:eastAsiaTheme="minorEastAsia"/>
          <w:kern w:val="0"/>
          <w:szCs w:val="21"/>
        </w:rPr>
        <w:t>A</w:t>
      </w:r>
      <w:r>
        <w:rPr>
          <w:rFonts w:eastAsiaTheme="minorEastAsia"/>
          <w:kern w:val="0"/>
          <w:szCs w:val="21"/>
        </w:rPr>
        <w:t>股的高性价比也使得南下资金不断加码，</w:t>
      </w:r>
      <w:r>
        <w:rPr>
          <w:rFonts w:eastAsiaTheme="minorEastAsia"/>
          <w:kern w:val="0"/>
          <w:szCs w:val="21"/>
        </w:rPr>
        <w:t>2020</w:t>
      </w:r>
      <w:r>
        <w:rPr>
          <w:rFonts w:eastAsiaTheme="minorEastAsia"/>
          <w:kern w:val="0"/>
          <w:szCs w:val="21"/>
        </w:rPr>
        <w:t>年以来，南下资金累计流入超</w:t>
      </w:r>
      <w:r>
        <w:rPr>
          <w:rFonts w:eastAsiaTheme="minorEastAsia"/>
          <w:kern w:val="0"/>
          <w:szCs w:val="21"/>
        </w:rPr>
        <w:t>2000</w:t>
      </w:r>
      <w:r>
        <w:rPr>
          <w:rFonts w:eastAsiaTheme="minorEastAsia"/>
          <w:kern w:val="0"/>
          <w:szCs w:val="21"/>
        </w:rPr>
        <w:t>亿元。</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整体来看，资金对香港市场关注度也在慢慢回升，加之港股估值的高性价比，香港市场有望成为下一阶段资金追逐的热点。</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恒生中国企业指数于</w:t>
      </w:r>
      <w:r>
        <w:rPr>
          <w:rFonts w:eastAsiaTheme="minorEastAsia"/>
          <w:kern w:val="0"/>
          <w:szCs w:val="21"/>
        </w:rPr>
        <w:t>2018</w:t>
      </w:r>
      <w:r>
        <w:rPr>
          <w:rFonts w:eastAsiaTheme="minorEastAsia"/>
          <w:kern w:val="0"/>
          <w:szCs w:val="21"/>
        </w:rPr>
        <w:t>年</w:t>
      </w:r>
      <w:r>
        <w:rPr>
          <w:rFonts w:eastAsiaTheme="minorEastAsia"/>
          <w:kern w:val="0"/>
          <w:szCs w:val="21"/>
        </w:rPr>
        <w:t>3</w:t>
      </w:r>
      <w:r>
        <w:rPr>
          <w:rFonts w:eastAsiaTheme="minorEastAsia"/>
          <w:kern w:val="0"/>
          <w:szCs w:val="21"/>
        </w:rPr>
        <w:t>月开始扩容优化，在原有</w:t>
      </w:r>
      <w:r>
        <w:rPr>
          <w:rFonts w:eastAsiaTheme="minorEastAsia"/>
          <w:kern w:val="0"/>
          <w:szCs w:val="21"/>
        </w:rPr>
        <w:t>40</w:t>
      </w:r>
      <w:r>
        <w:rPr>
          <w:rFonts w:eastAsiaTheme="minorEastAsia"/>
          <w:kern w:val="0"/>
          <w:szCs w:val="21"/>
        </w:rPr>
        <w:t>只成份股的基础上，新增</w:t>
      </w:r>
      <w:r>
        <w:rPr>
          <w:rFonts w:eastAsiaTheme="minorEastAsia"/>
          <w:kern w:val="0"/>
          <w:szCs w:val="21"/>
        </w:rPr>
        <w:t>10</w:t>
      </w:r>
      <w:r>
        <w:rPr>
          <w:rFonts w:eastAsiaTheme="minorEastAsia"/>
          <w:kern w:val="0"/>
          <w:szCs w:val="21"/>
        </w:rPr>
        <w:t>只红筹股和民营企业股，优化过程已于</w:t>
      </w:r>
      <w:r>
        <w:rPr>
          <w:rFonts w:eastAsiaTheme="minorEastAsia"/>
          <w:kern w:val="0"/>
          <w:szCs w:val="21"/>
        </w:rPr>
        <w:t>2019</w:t>
      </w:r>
      <w:r>
        <w:rPr>
          <w:rFonts w:eastAsiaTheme="minorEastAsia"/>
          <w:kern w:val="0"/>
          <w:szCs w:val="21"/>
        </w:rPr>
        <w:t>年</w:t>
      </w:r>
      <w:r>
        <w:rPr>
          <w:rFonts w:eastAsiaTheme="minorEastAsia"/>
          <w:kern w:val="0"/>
          <w:szCs w:val="21"/>
        </w:rPr>
        <w:t>3</w:t>
      </w:r>
      <w:r>
        <w:rPr>
          <w:rFonts w:eastAsiaTheme="minorEastAsia"/>
          <w:kern w:val="0"/>
          <w:szCs w:val="21"/>
        </w:rPr>
        <w:t>月完成。从</w:t>
      </w:r>
      <w:r>
        <w:rPr>
          <w:rFonts w:eastAsiaTheme="minorEastAsia"/>
          <w:kern w:val="0"/>
          <w:szCs w:val="21"/>
        </w:rPr>
        <w:t>2019</w:t>
      </w:r>
      <w:r>
        <w:rPr>
          <w:rFonts w:eastAsiaTheme="minorEastAsia"/>
          <w:kern w:val="0"/>
          <w:szCs w:val="21"/>
        </w:rPr>
        <w:t>年</w:t>
      </w:r>
      <w:r>
        <w:rPr>
          <w:rFonts w:eastAsiaTheme="minorEastAsia"/>
          <w:kern w:val="0"/>
          <w:szCs w:val="21"/>
        </w:rPr>
        <w:t>6</w:t>
      </w:r>
      <w:r>
        <w:rPr>
          <w:rFonts w:eastAsiaTheme="minorEastAsia"/>
          <w:kern w:val="0"/>
          <w:szCs w:val="21"/>
        </w:rPr>
        <w:t>月之后，指数不再对红筹股和民营企业数量设置上限。截至</w:t>
      </w:r>
      <w:r>
        <w:rPr>
          <w:rFonts w:eastAsiaTheme="minorEastAsia"/>
          <w:kern w:val="0"/>
          <w:szCs w:val="21"/>
        </w:rPr>
        <w:t>2020</w:t>
      </w:r>
      <w:r>
        <w:rPr>
          <w:rFonts w:eastAsiaTheme="minorEastAsia"/>
          <w:kern w:val="0"/>
          <w:szCs w:val="21"/>
        </w:rPr>
        <w:t>年</w:t>
      </w:r>
      <w:r>
        <w:rPr>
          <w:rFonts w:eastAsiaTheme="minorEastAsia"/>
          <w:kern w:val="0"/>
          <w:szCs w:val="21"/>
        </w:rPr>
        <w:t>2</w:t>
      </w:r>
      <w:r>
        <w:rPr>
          <w:rFonts w:eastAsiaTheme="minorEastAsia"/>
          <w:kern w:val="0"/>
          <w:szCs w:val="21"/>
        </w:rPr>
        <w:t>季度末，恒生中国企业指数中红筹股和民营企业数量为</w:t>
      </w:r>
      <w:r>
        <w:rPr>
          <w:rFonts w:eastAsiaTheme="minorEastAsia"/>
          <w:kern w:val="0"/>
          <w:szCs w:val="21"/>
        </w:rPr>
        <w:t>27</w:t>
      </w:r>
      <w:r>
        <w:rPr>
          <w:rFonts w:eastAsiaTheme="minorEastAsia"/>
          <w:kern w:val="0"/>
          <w:szCs w:val="21"/>
        </w:rPr>
        <w:t>只，权重接近</w:t>
      </w:r>
      <w:r>
        <w:rPr>
          <w:rFonts w:eastAsiaTheme="minorEastAsia"/>
          <w:kern w:val="0"/>
          <w:szCs w:val="21"/>
        </w:rPr>
        <w:t>50%</w:t>
      </w:r>
      <w:r>
        <w:rPr>
          <w:rFonts w:eastAsiaTheme="minorEastAsia"/>
          <w:kern w:val="0"/>
          <w:szCs w:val="21"/>
        </w:rPr>
        <w:t>。并且，预计在</w:t>
      </w:r>
      <w:r>
        <w:rPr>
          <w:rFonts w:eastAsiaTheme="minorEastAsia"/>
          <w:kern w:val="0"/>
          <w:szCs w:val="21"/>
        </w:rPr>
        <w:t>2020</w:t>
      </w:r>
      <w:r>
        <w:rPr>
          <w:rFonts w:eastAsiaTheme="minorEastAsia"/>
          <w:kern w:val="0"/>
          <w:szCs w:val="21"/>
        </w:rPr>
        <w:t>年</w:t>
      </w:r>
      <w:r>
        <w:rPr>
          <w:rFonts w:eastAsiaTheme="minorEastAsia"/>
          <w:kern w:val="0"/>
          <w:szCs w:val="21"/>
        </w:rPr>
        <w:t>9</w:t>
      </w:r>
      <w:r>
        <w:rPr>
          <w:rFonts w:eastAsiaTheme="minorEastAsia"/>
          <w:kern w:val="0"/>
          <w:szCs w:val="21"/>
        </w:rPr>
        <w:t>月初，指数将纳入阿里巴巴、小米、美团等部分中概股。优化后的指数更全面地代表了香港上市的中国企业整体表现，成长性也较之前显著提升。</w:t>
      </w:r>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基金运作层面，报告期内，本基金严守基金合同认真对待投资者申购、赎回以及成分股调整事项，保障基金的正常运作。</w:t>
      </w:r>
    </w:p>
    <w:p w:rsidR="00FC5407" w:rsidRPr="00C24ACA" w:rsidRDefault="00FC5407" w:rsidP="006C64F3">
      <w:pPr>
        <w:autoSpaceDE w:val="0"/>
        <w:autoSpaceDN w:val="0"/>
        <w:adjustRightInd w:val="0"/>
        <w:spacing w:beforeLines="100" w:before="312" w:line="360" w:lineRule="auto"/>
        <w:jc w:val="left"/>
        <w:rPr>
          <w:rFonts w:eastAsiaTheme="minorEastAsia"/>
          <w:b/>
          <w:color w:val="000000" w:themeColor="text1"/>
          <w:szCs w:val="21"/>
        </w:rPr>
      </w:pPr>
      <w:r w:rsidRPr="00C24ACA">
        <w:rPr>
          <w:rFonts w:eastAsiaTheme="minorEastAsia"/>
          <w:b/>
          <w:color w:val="000000" w:themeColor="text1"/>
          <w:szCs w:val="21"/>
        </w:rPr>
        <w:t xml:space="preserve">4.5.2 </w:t>
      </w:r>
      <w:r w:rsidRPr="00C24ACA">
        <w:rPr>
          <w:rFonts w:eastAsiaTheme="minorEastAsia"/>
          <w:b/>
          <w:color w:val="000000" w:themeColor="text1"/>
          <w:szCs w:val="21"/>
        </w:rPr>
        <w:t>报告期内基金的业绩表现</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截至报告期末，本基金</w:t>
      </w:r>
      <w:r>
        <w:rPr>
          <w:rFonts w:eastAsiaTheme="minorEastAsia"/>
          <w:kern w:val="0"/>
          <w:szCs w:val="21"/>
        </w:rPr>
        <w:t>A</w:t>
      </w:r>
      <w:r>
        <w:rPr>
          <w:rFonts w:eastAsiaTheme="minorEastAsia"/>
          <w:kern w:val="0"/>
          <w:szCs w:val="21"/>
        </w:rPr>
        <w:t>类基金份额净值为</w:t>
      </w:r>
      <w:r>
        <w:rPr>
          <w:rFonts w:eastAsiaTheme="minorEastAsia"/>
          <w:kern w:val="0"/>
          <w:szCs w:val="21"/>
        </w:rPr>
        <w:t>1.1425</w:t>
      </w:r>
      <w:r>
        <w:rPr>
          <w:rFonts w:eastAsiaTheme="minorEastAsia"/>
          <w:kern w:val="0"/>
          <w:szCs w:val="21"/>
        </w:rPr>
        <w:t>元，本报告期份额净值增长率为</w:t>
      </w:r>
      <w:r>
        <w:rPr>
          <w:rFonts w:eastAsiaTheme="minorEastAsia"/>
          <w:kern w:val="0"/>
          <w:szCs w:val="21"/>
        </w:rPr>
        <w:t>-9.56%</w:t>
      </w:r>
      <w:r>
        <w:rPr>
          <w:rFonts w:eastAsiaTheme="minorEastAsia"/>
          <w:kern w:val="0"/>
          <w:szCs w:val="21"/>
        </w:rPr>
        <w:t>，同期业绩比较基准收益率为</w:t>
      </w:r>
      <w:r>
        <w:rPr>
          <w:rFonts w:eastAsiaTheme="minorEastAsia"/>
          <w:kern w:val="0"/>
          <w:szCs w:val="21"/>
        </w:rPr>
        <w:t>-10.29%</w:t>
      </w:r>
      <w:r>
        <w:rPr>
          <w:rFonts w:eastAsiaTheme="minorEastAsia"/>
          <w:kern w:val="0"/>
          <w:szCs w:val="21"/>
        </w:rPr>
        <w:t>；</w:t>
      </w:r>
      <w:r>
        <w:rPr>
          <w:rFonts w:eastAsiaTheme="minorEastAsia"/>
          <w:kern w:val="0"/>
          <w:szCs w:val="21"/>
        </w:rPr>
        <w:t>C</w:t>
      </w:r>
      <w:r>
        <w:rPr>
          <w:rFonts w:eastAsiaTheme="minorEastAsia"/>
          <w:kern w:val="0"/>
          <w:szCs w:val="21"/>
        </w:rPr>
        <w:t>类基金份额净值为</w:t>
      </w:r>
      <w:r>
        <w:rPr>
          <w:rFonts w:eastAsiaTheme="minorEastAsia"/>
          <w:kern w:val="0"/>
          <w:szCs w:val="21"/>
        </w:rPr>
        <w:t>1.1603</w:t>
      </w:r>
      <w:r>
        <w:rPr>
          <w:rFonts w:eastAsiaTheme="minorEastAsia"/>
          <w:kern w:val="0"/>
          <w:szCs w:val="21"/>
        </w:rPr>
        <w:t>元，本报告期份额净值增长率为</w:t>
      </w:r>
      <w:r>
        <w:rPr>
          <w:rFonts w:eastAsiaTheme="minorEastAsia"/>
          <w:kern w:val="0"/>
          <w:szCs w:val="21"/>
        </w:rPr>
        <w:t>-9.66%</w:t>
      </w:r>
      <w:r>
        <w:rPr>
          <w:rFonts w:eastAsiaTheme="minorEastAsia"/>
          <w:kern w:val="0"/>
          <w:szCs w:val="21"/>
        </w:rPr>
        <w:t>，同期业绩比较基准收益率为</w:t>
      </w:r>
      <w:r>
        <w:rPr>
          <w:rFonts w:eastAsiaTheme="minorEastAsia"/>
          <w:kern w:val="0"/>
          <w:szCs w:val="21"/>
        </w:rPr>
        <w:t>-10.29%</w:t>
      </w:r>
      <w:r>
        <w:rPr>
          <w:rFonts w:eastAsiaTheme="minorEastAsia"/>
          <w:kern w:val="0"/>
          <w:szCs w:val="21"/>
        </w:rPr>
        <w:t>。</w:t>
      </w:r>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本报告期，本基金日跟踪偏离度的均值为</w:t>
      </w:r>
      <w:r w:rsidRPr="008707EB">
        <w:rPr>
          <w:rFonts w:eastAsiaTheme="minorEastAsia"/>
          <w:kern w:val="0"/>
          <w:szCs w:val="21"/>
        </w:rPr>
        <w:t>0.04%</w:t>
      </w:r>
      <w:r w:rsidRPr="008707EB">
        <w:rPr>
          <w:rFonts w:eastAsiaTheme="minorEastAsia"/>
          <w:kern w:val="0"/>
          <w:szCs w:val="21"/>
        </w:rPr>
        <w:t>，年化跟踪误差</w:t>
      </w:r>
      <w:r w:rsidRPr="008707EB">
        <w:rPr>
          <w:rFonts w:eastAsiaTheme="minorEastAsia"/>
          <w:kern w:val="0"/>
          <w:szCs w:val="21"/>
        </w:rPr>
        <w:t>1.10%</w:t>
      </w:r>
      <w:r w:rsidRPr="008707EB">
        <w:rPr>
          <w:rFonts w:eastAsiaTheme="minorEastAsia"/>
          <w:kern w:val="0"/>
          <w:szCs w:val="21"/>
        </w:rPr>
        <w:t>，在合同规定的目标控制范围之内。</w:t>
      </w:r>
    </w:p>
    <w:p w:rsidR="00FC5407" w:rsidRPr="00A317EA" w:rsidRDefault="00FC5407" w:rsidP="006C64F3">
      <w:pPr>
        <w:pStyle w:val="20"/>
        <w:spacing w:beforeLines="100" w:before="312" w:after="0"/>
        <w:rPr>
          <w:rFonts w:ascii="Times New Roman" w:eastAsiaTheme="minorEastAsia" w:hAnsi="Times New Roman"/>
          <w:kern w:val="0"/>
          <w:sz w:val="21"/>
          <w:szCs w:val="21"/>
        </w:rPr>
      </w:pPr>
      <w:bookmarkStart w:id="122" w:name="_Toc225498259"/>
      <w:bookmarkStart w:id="123" w:name="_Toc352255977"/>
      <w:bookmarkStart w:id="124" w:name="_Toc352256045"/>
      <w:bookmarkStart w:id="125" w:name="_Toc352331223"/>
      <w:bookmarkStart w:id="126" w:name="_Toc362424001"/>
      <w:bookmarkStart w:id="127" w:name="_Toc374459263"/>
      <w:bookmarkStart w:id="128" w:name="_Toc48662483"/>
      <w:r w:rsidRPr="0087359D">
        <w:rPr>
          <w:rFonts w:ascii="宋体" w:hAnsi="宋体"/>
          <w:kern w:val="0"/>
          <w:sz w:val="21"/>
          <w:szCs w:val="21"/>
        </w:rPr>
        <w:t>4.6</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管理人对宏观经济、证券市场及行业走势的简要展望</w:t>
      </w:r>
      <w:bookmarkEnd w:id="122"/>
      <w:bookmarkEnd w:id="123"/>
      <w:bookmarkEnd w:id="124"/>
      <w:bookmarkEnd w:id="125"/>
      <w:bookmarkEnd w:id="126"/>
      <w:bookmarkEnd w:id="127"/>
      <w:bookmarkEnd w:id="128"/>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展望</w:t>
      </w:r>
      <w:r>
        <w:rPr>
          <w:rFonts w:eastAsiaTheme="minorEastAsia"/>
          <w:kern w:val="0"/>
          <w:szCs w:val="21"/>
        </w:rPr>
        <w:t>2020</w:t>
      </w:r>
      <w:r>
        <w:rPr>
          <w:rFonts w:eastAsiaTheme="minorEastAsia"/>
          <w:kern w:val="0"/>
          <w:szCs w:val="21"/>
        </w:rPr>
        <w:t>年下半年，海外经济政策将从极端水平向</w:t>
      </w:r>
      <w:r>
        <w:rPr>
          <w:rFonts w:eastAsiaTheme="minorEastAsia"/>
          <w:kern w:val="0"/>
          <w:szCs w:val="21"/>
        </w:rPr>
        <w:t>“</w:t>
      </w:r>
      <w:r>
        <w:rPr>
          <w:rFonts w:eastAsiaTheme="minorEastAsia"/>
          <w:kern w:val="0"/>
          <w:szCs w:val="21"/>
        </w:rPr>
        <w:t>常态化</w:t>
      </w:r>
      <w:r>
        <w:rPr>
          <w:rFonts w:eastAsiaTheme="minorEastAsia"/>
          <w:kern w:val="0"/>
          <w:szCs w:val="21"/>
        </w:rPr>
        <w:t>”</w:t>
      </w:r>
      <w:r>
        <w:rPr>
          <w:rFonts w:eastAsiaTheme="minorEastAsia"/>
          <w:kern w:val="0"/>
          <w:szCs w:val="21"/>
        </w:rPr>
        <w:t>过渡，市场的驱动因素或从流动性及政策逐步转向业绩增长。海外各区域的资产价格将因为疫情状态、经济重启程度、产业结构等因素而发生分化。</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虽然中国经济恢复超预期且港股流动性充分，但是中短期内，港股市场受中美摩擦压制，无法有效提升风险偏好。</w:t>
      </w:r>
      <w:r>
        <w:rPr>
          <w:rFonts w:eastAsiaTheme="minorEastAsia"/>
          <w:kern w:val="0"/>
          <w:szCs w:val="21"/>
        </w:rPr>
        <w:t>2020</w:t>
      </w:r>
      <w:r>
        <w:rPr>
          <w:rFonts w:eastAsiaTheme="minorEastAsia"/>
          <w:kern w:val="0"/>
          <w:szCs w:val="21"/>
        </w:rPr>
        <w:t>年下半年，随着美国大选临近，一方面中美摩擦的节奏愈发复杂，另一方面市场预期会逐渐清晰。所以，当靴子落地的时候，或许反而是市场走势明朗的窗口。</w:t>
      </w:r>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对于恒生中国企业指数而言，</w:t>
      </w:r>
      <w:r w:rsidRPr="008707EB">
        <w:rPr>
          <w:rFonts w:eastAsiaTheme="minorEastAsia"/>
          <w:kern w:val="0"/>
          <w:szCs w:val="21"/>
        </w:rPr>
        <w:t>A</w:t>
      </w:r>
      <w:r w:rsidRPr="008707EB">
        <w:rPr>
          <w:rFonts w:eastAsiaTheme="minorEastAsia"/>
          <w:kern w:val="0"/>
          <w:szCs w:val="21"/>
        </w:rPr>
        <w:t>股和港股是同样的基本面，但价格走势却产生了大幅背离。截至</w:t>
      </w:r>
      <w:r w:rsidRPr="008707EB">
        <w:rPr>
          <w:rFonts w:eastAsiaTheme="minorEastAsia"/>
          <w:kern w:val="0"/>
          <w:szCs w:val="21"/>
        </w:rPr>
        <w:t>2020</w:t>
      </w:r>
      <w:r w:rsidRPr="008707EB">
        <w:rPr>
          <w:rFonts w:eastAsiaTheme="minorEastAsia"/>
          <w:kern w:val="0"/>
          <w:szCs w:val="21"/>
        </w:rPr>
        <w:t>年</w:t>
      </w:r>
      <w:r w:rsidRPr="008707EB">
        <w:rPr>
          <w:rFonts w:eastAsiaTheme="minorEastAsia"/>
          <w:kern w:val="0"/>
          <w:szCs w:val="21"/>
        </w:rPr>
        <w:t>6</w:t>
      </w:r>
      <w:r w:rsidRPr="008707EB">
        <w:rPr>
          <w:rFonts w:eastAsiaTheme="minorEastAsia"/>
          <w:kern w:val="0"/>
          <w:szCs w:val="21"/>
        </w:rPr>
        <w:t>月底，港股相对</w:t>
      </w:r>
      <w:r w:rsidRPr="008707EB">
        <w:rPr>
          <w:rFonts w:eastAsiaTheme="minorEastAsia"/>
          <w:kern w:val="0"/>
          <w:szCs w:val="21"/>
        </w:rPr>
        <w:t>A</w:t>
      </w:r>
      <w:r w:rsidRPr="008707EB">
        <w:rPr>
          <w:rFonts w:eastAsiaTheme="minorEastAsia"/>
          <w:kern w:val="0"/>
          <w:szCs w:val="21"/>
        </w:rPr>
        <w:t>股具备更好的配置性价比。未来压制因素减弱或消失时，港股或将迎来一波重估机会。</w:t>
      </w:r>
    </w:p>
    <w:p w:rsidR="00FC5407" w:rsidRPr="00A317EA" w:rsidRDefault="00FC5407" w:rsidP="006C64F3">
      <w:pPr>
        <w:pStyle w:val="20"/>
        <w:spacing w:beforeLines="100" w:before="312" w:after="0"/>
        <w:rPr>
          <w:rFonts w:ascii="Times New Roman" w:eastAsiaTheme="minorEastAsia" w:hAnsi="Times New Roman"/>
          <w:kern w:val="0"/>
          <w:sz w:val="21"/>
          <w:szCs w:val="21"/>
        </w:rPr>
      </w:pPr>
      <w:bookmarkStart w:id="129" w:name="_Toc247959457"/>
      <w:bookmarkStart w:id="130" w:name="_Toc225570083"/>
      <w:bookmarkStart w:id="131" w:name="_Toc352255979"/>
      <w:bookmarkStart w:id="132" w:name="_Toc352256047"/>
      <w:bookmarkStart w:id="133" w:name="_Toc352331225"/>
      <w:bookmarkStart w:id="134" w:name="_Toc362424003"/>
      <w:bookmarkStart w:id="135" w:name="_Toc374459265"/>
      <w:bookmarkStart w:id="136" w:name="_Toc48662484"/>
      <w:r w:rsidRPr="0087359D">
        <w:rPr>
          <w:rFonts w:ascii="宋体" w:hAnsi="宋体"/>
          <w:kern w:val="0"/>
          <w:sz w:val="21"/>
          <w:szCs w:val="21"/>
        </w:rPr>
        <w:t>4.7</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管理人对报告期内基金估值程序等事项的说明</w:t>
      </w:r>
      <w:bookmarkEnd w:id="129"/>
      <w:bookmarkEnd w:id="130"/>
      <w:bookmarkEnd w:id="131"/>
      <w:bookmarkEnd w:id="132"/>
      <w:bookmarkEnd w:id="133"/>
      <w:bookmarkEnd w:id="134"/>
      <w:bookmarkEnd w:id="135"/>
      <w:bookmarkEnd w:id="136"/>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rFonts w:eastAsiaTheme="minorEastAsia"/>
          <w:kern w:val="0"/>
          <w:szCs w:val="21"/>
        </w:rPr>
        <w:t xml:space="preserve"> </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rFonts w:eastAsiaTheme="minorEastAsia"/>
          <w:kern w:val="0"/>
          <w:szCs w:val="21"/>
        </w:rPr>
        <w:t xml:space="preserve"> </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本报告期内，参与估值流程各方之间不存在任何重大利益冲突。</w:t>
      </w:r>
      <w:r>
        <w:rPr>
          <w:rFonts w:eastAsiaTheme="minorEastAsia"/>
          <w:kern w:val="0"/>
          <w:szCs w:val="21"/>
        </w:rPr>
        <w:t xml:space="preserve"> </w:t>
      </w:r>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FC5407" w:rsidRPr="00A317EA" w:rsidRDefault="00FC5407" w:rsidP="006C64F3">
      <w:pPr>
        <w:pStyle w:val="20"/>
        <w:spacing w:beforeLines="100" w:before="312" w:after="0"/>
        <w:rPr>
          <w:rFonts w:ascii="Times New Roman" w:eastAsiaTheme="minorEastAsia" w:hAnsi="Times New Roman"/>
          <w:kern w:val="0"/>
          <w:sz w:val="21"/>
          <w:szCs w:val="21"/>
        </w:rPr>
      </w:pPr>
      <w:bookmarkStart w:id="137" w:name="_Toc247959458"/>
      <w:bookmarkStart w:id="138" w:name="_Toc225570084"/>
      <w:bookmarkStart w:id="139" w:name="_Toc352255980"/>
      <w:bookmarkStart w:id="140" w:name="_Toc352256048"/>
      <w:bookmarkStart w:id="141" w:name="_Toc352331226"/>
      <w:bookmarkStart w:id="142" w:name="_Toc362424004"/>
      <w:bookmarkStart w:id="143" w:name="_Toc374459266"/>
      <w:bookmarkStart w:id="144" w:name="_Toc48662485"/>
      <w:r w:rsidRPr="0087359D">
        <w:rPr>
          <w:rFonts w:ascii="宋体" w:hAnsi="宋体"/>
          <w:kern w:val="0"/>
          <w:sz w:val="21"/>
          <w:szCs w:val="21"/>
        </w:rPr>
        <w:t>4.8</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管理人对报告期内基金利润分配情况的说明</w:t>
      </w:r>
      <w:bookmarkEnd w:id="137"/>
      <w:bookmarkEnd w:id="138"/>
      <w:bookmarkEnd w:id="139"/>
      <w:bookmarkEnd w:id="140"/>
      <w:bookmarkEnd w:id="141"/>
      <w:bookmarkEnd w:id="142"/>
      <w:bookmarkEnd w:id="143"/>
      <w:bookmarkEnd w:id="144"/>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易方达恒生国企联接（</w:t>
      </w:r>
      <w:r>
        <w:rPr>
          <w:rFonts w:eastAsiaTheme="minorEastAsia"/>
          <w:kern w:val="0"/>
          <w:szCs w:val="21"/>
        </w:rPr>
        <w:t>QDII</w:t>
      </w:r>
      <w:r>
        <w:rPr>
          <w:rFonts w:eastAsiaTheme="minorEastAsia"/>
          <w:kern w:val="0"/>
          <w:szCs w:val="21"/>
        </w:rPr>
        <w:t>）</w:t>
      </w:r>
      <w:r>
        <w:rPr>
          <w:rFonts w:eastAsiaTheme="minorEastAsia"/>
          <w:kern w:val="0"/>
          <w:szCs w:val="21"/>
        </w:rPr>
        <w:t>A:</w:t>
      </w:r>
      <w:r>
        <w:rPr>
          <w:rFonts w:eastAsiaTheme="minorEastAsia"/>
          <w:kern w:val="0"/>
          <w:szCs w:val="21"/>
        </w:rPr>
        <w:t>本报告期内未实施利润分配。</w:t>
      </w:r>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易方达恒生国企联接（</w:t>
      </w:r>
      <w:r w:rsidRPr="008707EB">
        <w:rPr>
          <w:rFonts w:eastAsiaTheme="minorEastAsia"/>
          <w:kern w:val="0"/>
          <w:szCs w:val="21"/>
        </w:rPr>
        <w:t>QDII</w:t>
      </w:r>
      <w:r w:rsidRPr="008707EB">
        <w:rPr>
          <w:rFonts w:eastAsiaTheme="minorEastAsia"/>
          <w:kern w:val="0"/>
          <w:szCs w:val="21"/>
        </w:rPr>
        <w:t>）</w:t>
      </w:r>
      <w:r w:rsidRPr="008707EB">
        <w:rPr>
          <w:rFonts w:eastAsiaTheme="minorEastAsia"/>
          <w:kern w:val="0"/>
          <w:szCs w:val="21"/>
        </w:rPr>
        <w:t>C:</w:t>
      </w:r>
      <w:r w:rsidRPr="008707EB">
        <w:rPr>
          <w:rFonts w:eastAsiaTheme="minorEastAsia"/>
          <w:kern w:val="0"/>
          <w:szCs w:val="21"/>
        </w:rPr>
        <w:t>本报告期内未实施利润分配。</w:t>
      </w:r>
    </w:p>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45" w:name="_Toc225498263"/>
      <w:bookmarkStart w:id="146" w:name="_Toc352255982"/>
      <w:bookmarkStart w:id="147" w:name="_Toc352256050"/>
      <w:bookmarkStart w:id="148" w:name="_Toc352331228"/>
      <w:bookmarkStart w:id="149" w:name="_Toc390164811"/>
      <w:bookmarkStart w:id="150" w:name="_Toc48662486"/>
      <w:r w:rsidRPr="000C6CCD">
        <w:rPr>
          <w:rFonts w:ascii="宋体" w:hAnsi="宋体"/>
          <w:bCs w:val="0"/>
          <w:color w:val="000000"/>
          <w:sz w:val="21"/>
          <w:szCs w:val="21"/>
        </w:rPr>
        <w:t>5</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托管人报告</w:t>
      </w:r>
      <w:bookmarkEnd w:id="145"/>
      <w:bookmarkEnd w:id="146"/>
      <w:bookmarkEnd w:id="147"/>
      <w:bookmarkEnd w:id="148"/>
      <w:bookmarkEnd w:id="149"/>
      <w:bookmarkEnd w:id="150"/>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151" w:name="_Toc225498264"/>
      <w:bookmarkStart w:id="152" w:name="_Toc352255983"/>
      <w:bookmarkStart w:id="153" w:name="_Toc352256051"/>
      <w:bookmarkStart w:id="154" w:name="_Toc352331229"/>
      <w:bookmarkStart w:id="155" w:name="_Toc390164812"/>
      <w:bookmarkStart w:id="156" w:name="_Toc48662487"/>
      <w:r w:rsidRPr="0087359D">
        <w:rPr>
          <w:rFonts w:ascii="宋体" w:hAnsi="宋体"/>
          <w:kern w:val="0"/>
          <w:sz w:val="21"/>
          <w:szCs w:val="21"/>
        </w:rPr>
        <w:t>5.1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报告期内本基金托管人遵规守信情况声明</w:t>
      </w:r>
      <w:bookmarkEnd w:id="151"/>
      <w:bookmarkEnd w:id="152"/>
      <w:bookmarkEnd w:id="153"/>
      <w:bookmarkEnd w:id="154"/>
      <w:bookmarkEnd w:id="155"/>
      <w:bookmarkEnd w:id="156"/>
    </w:p>
    <w:p w:rsidR="002716B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报告期内，基金托管人在易方达恒生中国企业交易型开放式指数证券投资基金联接基金的托管过程中，严格遵守了《证券投资基金法》及其他有关法律法规、基金合同、托管协议，尽职尽责地履行了托管人应尽的义务，不存在任何损害基金持有人利益的行为。</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157" w:name="_Toc225498265"/>
      <w:bookmarkStart w:id="158" w:name="_Toc352255984"/>
      <w:bookmarkStart w:id="159" w:name="_Toc352256052"/>
      <w:bookmarkStart w:id="160" w:name="_Toc352331230"/>
      <w:bookmarkStart w:id="161" w:name="_Toc390164813"/>
      <w:bookmarkStart w:id="162" w:name="_Toc48662488"/>
      <w:r w:rsidRPr="0087359D">
        <w:rPr>
          <w:rFonts w:ascii="宋体" w:hAnsi="宋体"/>
          <w:kern w:val="0"/>
          <w:sz w:val="21"/>
          <w:szCs w:val="21"/>
        </w:rPr>
        <w:t>5.2</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托管人对报告期内本基金投资运作遵规守信、净值计算、利润分配等情况的</w:t>
      </w:r>
      <w:bookmarkEnd w:id="157"/>
      <w:r w:rsidRPr="00C24ACA">
        <w:rPr>
          <w:rFonts w:ascii="Times New Roman" w:eastAsiaTheme="minorEastAsia" w:hAnsi="Times New Roman"/>
          <w:kern w:val="0"/>
          <w:sz w:val="21"/>
          <w:szCs w:val="21"/>
        </w:rPr>
        <w:t>说明</w:t>
      </w:r>
      <w:bookmarkEnd w:id="158"/>
      <w:bookmarkEnd w:id="159"/>
      <w:bookmarkEnd w:id="160"/>
      <w:bookmarkEnd w:id="161"/>
      <w:bookmarkEnd w:id="162"/>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报告期内，易方达基金管理有限公司在易方达恒生中国企业交易型开放式指数证券投资基金联接基金投资运作、基金资产净值的计算、基金份额申购赎回价格的计算、基金费用开支等问题上，托管人未发现损害基金持有人利益的行为。</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本报告期内本基金未进行收益分配，符合基金合同的规定。</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163" w:name="_Toc225498266"/>
      <w:bookmarkStart w:id="164" w:name="_Toc352255985"/>
      <w:bookmarkStart w:id="165" w:name="_Toc352256053"/>
      <w:bookmarkStart w:id="166" w:name="_Toc352331231"/>
      <w:bookmarkStart w:id="167" w:name="_Toc390164814"/>
      <w:bookmarkStart w:id="168" w:name="_Toc48662489"/>
      <w:r w:rsidRPr="0087359D">
        <w:rPr>
          <w:rFonts w:ascii="宋体" w:hAnsi="宋体"/>
          <w:kern w:val="0"/>
          <w:sz w:val="21"/>
          <w:szCs w:val="21"/>
        </w:rPr>
        <w:t>5.3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托管人对本</w:t>
      </w:r>
      <w:r w:rsidR="00A85FA3">
        <w:rPr>
          <w:rFonts w:ascii="Times New Roman" w:eastAsiaTheme="minorEastAsia" w:hAnsi="Times New Roman"/>
          <w:kern w:val="0"/>
          <w:sz w:val="21"/>
          <w:szCs w:val="21"/>
        </w:rPr>
        <w:t>中期</w:t>
      </w:r>
      <w:r w:rsidRPr="00C24ACA">
        <w:rPr>
          <w:rFonts w:ascii="Times New Roman" w:eastAsiaTheme="minorEastAsia" w:hAnsi="Times New Roman"/>
          <w:kern w:val="0"/>
          <w:sz w:val="21"/>
          <w:szCs w:val="21"/>
        </w:rPr>
        <w:t>报告中财务信息等内容的真实、准确和完整发表意见</w:t>
      </w:r>
      <w:bookmarkEnd w:id="163"/>
      <w:bookmarkEnd w:id="164"/>
      <w:bookmarkEnd w:id="165"/>
      <w:bookmarkEnd w:id="166"/>
      <w:bookmarkEnd w:id="167"/>
      <w:bookmarkEnd w:id="168"/>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报告期内，由易方达基金管理有限公司编制并经托管人复核审查的有关易方达恒生中国企业交易型开放式指数证券投资基金联接基金的中期报告中财务指标、净值表现、收益分配情况、财务会计报告相关内容、投资组合报告等内容真实、准确、完整。</w:t>
      </w:r>
    </w:p>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69" w:name="_Toc331410096"/>
      <w:bookmarkStart w:id="170" w:name="_Toc390164815"/>
      <w:bookmarkStart w:id="171" w:name="_Toc48662490"/>
      <w:r w:rsidRPr="000C6CCD">
        <w:rPr>
          <w:rFonts w:ascii="宋体" w:hAnsi="宋体"/>
          <w:bCs w:val="0"/>
          <w:color w:val="000000"/>
          <w:sz w:val="21"/>
          <w:szCs w:val="21"/>
        </w:rPr>
        <w:t>6</w:t>
      </w:r>
      <w:bookmarkEnd w:id="169"/>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半年度财务会计报告（未经审计）</w:t>
      </w:r>
      <w:bookmarkEnd w:id="170"/>
      <w:bookmarkEnd w:id="171"/>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172" w:name="_Toc225498268"/>
      <w:bookmarkStart w:id="173" w:name="_Toc352255991"/>
      <w:bookmarkStart w:id="174" w:name="_Toc352256059"/>
      <w:bookmarkStart w:id="175" w:name="_Toc352331237"/>
      <w:bookmarkStart w:id="176" w:name="_Toc390164816"/>
      <w:bookmarkStart w:id="177" w:name="_Toc48662491"/>
      <w:r w:rsidRPr="0087359D">
        <w:rPr>
          <w:rFonts w:ascii="宋体" w:hAnsi="宋体"/>
          <w:kern w:val="0"/>
          <w:sz w:val="21"/>
          <w:szCs w:val="21"/>
        </w:rPr>
        <w:t>6.1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资产负债表</w:t>
      </w:r>
      <w:bookmarkEnd w:id="172"/>
      <w:bookmarkEnd w:id="173"/>
      <w:bookmarkEnd w:id="174"/>
      <w:bookmarkEnd w:id="175"/>
      <w:bookmarkEnd w:id="176"/>
      <w:bookmarkEnd w:id="177"/>
    </w:p>
    <w:p w:rsidR="008A5A5D" w:rsidRPr="00C24ACA" w:rsidRDefault="008A5A5D" w:rsidP="00316012">
      <w:pPr>
        <w:spacing w:line="360" w:lineRule="auto"/>
        <w:rPr>
          <w:rFonts w:eastAsiaTheme="minorEastAsia"/>
          <w:color w:val="000000"/>
          <w:szCs w:val="21"/>
        </w:rPr>
      </w:pPr>
      <w:r w:rsidRPr="00C24ACA">
        <w:rPr>
          <w:rFonts w:eastAsiaTheme="minorEastAsia"/>
          <w:color w:val="000000"/>
          <w:szCs w:val="21"/>
        </w:rPr>
        <w:t>会计主体：易方达恒生中国企业交易型开放式指数证券投资基金联接基金</w:t>
      </w:r>
    </w:p>
    <w:p w:rsidR="008A5A5D" w:rsidRPr="00C24ACA" w:rsidRDefault="008A5A5D" w:rsidP="00316012">
      <w:pPr>
        <w:spacing w:line="360" w:lineRule="auto"/>
        <w:rPr>
          <w:rFonts w:eastAsiaTheme="minorEastAsia"/>
          <w:color w:val="000000"/>
          <w:szCs w:val="21"/>
        </w:rPr>
      </w:pPr>
      <w:r w:rsidRPr="00C24ACA">
        <w:rPr>
          <w:rFonts w:eastAsiaTheme="minorEastAsia"/>
          <w:color w:val="000000"/>
          <w:szCs w:val="21"/>
        </w:rPr>
        <w:t>报告截止日：</w:t>
      </w:r>
      <w:r w:rsidR="00AC4A34" w:rsidRPr="00C24ACA">
        <w:rPr>
          <w:rFonts w:eastAsiaTheme="minorEastAsia"/>
          <w:color w:val="000000"/>
          <w:szCs w:val="21"/>
        </w:rPr>
        <w:t>2020</w:t>
      </w:r>
      <w:r w:rsidR="00AC4A34" w:rsidRPr="00C24ACA">
        <w:rPr>
          <w:rFonts w:eastAsiaTheme="minorEastAsia"/>
          <w:color w:val="000000"/>
          <w:szCs w:val="21"/>
        </w:rPr>
        <w:t>年</w:t>
      </w:r>
      <w:r w:rsidR="00AC4A34" w:rsidRPr="00C24ACA">
        <w:rPr>
          <w:rFonts w:eastAsiaTheme="minorEastAsia"/>
          <w:color w:val="000000"/>
          <w:szCs w:val="21"/>
        </w:rPr>
        <w:t>6</w:t>
      </w:r>
      <w:r w:rsidR="00AC4A34" w:rsidRPr="00C24ACA">
        <w:rPr>
          <w:rFonts w:eastAsiaTheme="minorEastAsia"/>
          <w:color w:val="000000"/>
          <w:szCs w:val="21"/>
        </w:rPr>
        <w:t>月</w:t>
      </w:r>
      <w:r w:rsidR="00AC4A34" w:rsidRPr="00C24ACA">
        <w:rPr>
          <w:rFonts w:eastAsiaTheme="minorEastAsia"/>
          <w:color w:val="000000"/>
          <w:szCs w:val="21"/>
        </w:rPr>
        <w:t>30</w:t>
      </w:r>
      <w:r w:rsidR="00AC4A34" w:rsidRPr="00C24ACA">
        <w:rPr>
          <w:rFonts w:eastAsiaTheme="minorEastAsia"/>
          <w:color w:val="000000"/>
          <w:szCs w:val="21"/>
        </w:rPr>
        <w:t>日</w:t>
      </w:r>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8A5A5D" w:rsidRPr="00C24ACA" w:rsidTr="006D141C">
        <w:tc>
          <w:tcPr>
            <w:tcW w:w="2880" w:type="dxa"/>
            <w:vAlign w:val="center"/>
          </w:tcPr>
          <w:p w:rsidR="008A5A5D" w:rsidRPr="00C24ACA" w:rsidRDefault="008A5A5D" w:rsidP="00D321AF">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资产</w:t>
            </w:r>
          </w:p>
        </w:tc>
        <w:tc>
          <w:tcPr>
            <w:tcW w:w="1080" w:type="dxa"/>
            <w:vAlign w:val="center"/>
          </w:tcPr>
          <w:p w:rsidR="008A5A5D" w:rsidRPr="00C24ACA" w:rsidRDefault="008A5A5D">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附注号</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本期末</w:t>
            </w:r>
          </w:p>
          <w:p w:rsidR="008A5A5D" w:rsidRPr="00C24ACA" w:rsidRDefault="00AC4A3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kern w:val="2"/>
                <w:sz w:val="21"/>
                <w:szCs w:val="21"/>
              </w:rPr>
              <w:t>2020</w:t>
            </w:r>
            <w:r w:rsidRPr="00C24ACA">
              <w:rPr>
                <w:rFonts w:ascii="Times New Roman" w:eastAsiaTheme="minorEastAsia" w:hAnsi="Times New Roman"/>
                <w:b/>
                <w:color w:val="000000"/>
                <w:kern w:val="2"/>
                <w:sz w:val="21"/>
                <w:szCs w:val="21"/>
              </w:rPr>
              <w:t>年</w:t>
            </w:r>
            <w:r w:rsidRPr="00C24ACA">
              <w:rPr>
                <w:rFonts w:ascii="Times New Roman" w:eastAsiaTheme="minorEastAsia" w:hAnsi="Times New Roman"/>
                <w:b/>
                <w:color w:val="000000"/>
                <w:kern w:val="2"/>
                <w:sz w:val="21"/>
                <w:szCs w:val="21"/>
              </w:rPr>
              <w:t>6</w:t>
            </w:r>
            <w:r w:rsidRPr="00C24ACA">
              <w:rPr>
                <w:rFonts w:ascii="Times New Roman" w:eastAsiaTheme="minorEastAsia" w:hAnsi="Times New Roman"/>
                <w:b/>
                <w:color w:val="000000"/>
                <w:kern w:val="2"/>
                <w:sz w:val="21"/>
                <w:szCs w:val="21"/>
              </w:rPr>
              <w:t>月</w:t>
            </w:r>
            <w:r w:rsidRPr="00C24ACA">
              <w:rPr>
                <w:rFonts w:ascii="Times New Roman" w:eastAsiaTheme="minorEastAsia" w:hAnsi="Times New Roman"/>
                <w:b/>
                <w:color w:val="000000"/>
                <w:kern w:val="2"/>
                <w:sz w:val="21"/>
                <w:szCs w:val="21"/>
              </w:rPr>
              <w:t>30</w:t>
            </w:r>
            <w:r w:rsidRPr="00C24ACA">
              <w:rPr>
                <w:rFonts w:ascii="Times New Roman" w:eastAsiaTheme="minorEastAsia" w:hAnsi="Times New Roman"/>
                <w:b/>
                <w:color w:val="000000"/>
                <w:kern w:val="2"/>
                <w:sz w:val="21"/>
                <w:szCs w:val="21"/>
              </w:rPr>
              <w:t>日</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上年度末</w:t>
            </w:r>
          </w:p>
          <w:p w:rsidR="008A5A5D" w:rsidRPr="00C24ACA" w:rsidRDefault="00D561C5">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12</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31</w:t>
            </w:r>
            <w:r w:rsidRPr="00C24ACA">
              <w:rPr>
                <w:rFonts w:ascii="Times New Roman" w:eastAsiaTheme="minorEastAsia" w:hAnsi="Times New Roman"/>
                <w:b/>
                <w:color w:val="000000"/>
                <w:sz w:val="21"/>
                <w:szCs w:val="21"/>
              </w:rPr>
              <w:t>日</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资产：</w:t>
            </w:r>
          </w:p>
        </w:tc>
        <w:tc>
          <w:tcPr>
            <w:tcW w:w="1080" w:type="dxa"/>
            <w:vAlign w:val="center"/>
          </w:tcPr>
          <w:p w:rsidR="00AE103C" w:rsidRPr="00C24ACA" w:rsidRDefault="00AE103C" w:rsidP="00A97A4E">
            <w:pPr>
              <w:widowControl/>
              <w:autoSpaceDE w:val="0"/>
              <w:autoSpaceDN w:val="0"/>
              <w:ind w:right="-15"/>
              <w:jc w:val="center"/>
              <w:textAlignment w:val="bottom"/>
              <w:rPr>
                <w:rFonts w:eastAsiaTheme="minorEastAsia"/>
                <w:color w:val="000000"/>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银行存款</w:t>
            </w:r>
          </w:p>
        </w:tc>
        <w:tc>
          <w:tcPr>
            <w:tcW w:w="1080" w:type="dxa"/>
            <w:vAlign w:val="center"/>
          </w:tcPr>
          <w:p w:rsidR="00AE103C" w:rsidRPr="00C24ACA" w:rsidRDefault="00AE103C" w:rsidP="00A97A4E">
            <w:pPr>
              <w:widowControl/>
              <w:autoSpaceDE w:val="0"/>
              <w:autoSpaceDN w:val="0"/>
              <w:ind w:right="-15"/>
              <w:jc w:val="center"/>
              <w:textAlignment w:val="bottom"/>
              <w:rPr>
                <w:rFonts w:eastAsiaTheme="minorEastAsia"/>
                <w:color w:val="000000"/>
                <w:szCs w:val="21"/>
              </w:rPr>
            </w:pPr>
            <w:r w:rsidRPr="00C24ACA">
              <w:rPr>
                <w:rFonts w:eastAsiaTheme="minorEastAsia"/>
                <w:color w:val="000000"/>
                <w:szCs w:val="21"/>
              </w:rPr>
              <w:t>6.4.7.1</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117,364,095.88</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185,704,552.30</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结算备付金</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6,818,708.96</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16,389,623.02</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存出保证金</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207,751.12</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133,604.97</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交易性金融资产</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6.4.7.2</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1,615,478,556.46</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1,850,339,637.07</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其中：股票投资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vAlign w:val="center"/>
          </w:tcPr>
          <w:p w:rsidR="00AE103C" w:rsidRPr="00C24ACA" w:rsidRDefault="00AE103C" w:rsidP="008134C7">
            <w:pPr>
              <w:pStyle w:val="af6"/>
              <w:ind w:firstLineChars="300" w:firstLine="630"/>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基金投资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1,615,478,556.46</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1,850,339,637.07</w:t>
            </w:r>
          </w:p>
        </w:tc>
      </w:tr>
      <w:tr w:rsidR="00AE103C" w:rsidRPr="00C24ACA" w:rsidTr="006D141C">
        <w:tc>
          <w:tcPr>
            <w:tcW w:w="288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债券投资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资产支持证券投资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76511D" w:rsidRPr="00C24ACA" w:rsidTr="00742218">
        <w:tc>
          <w:tcPr>
            <w:tcW w:w="2880" w:type="dxa"/>
            <w:vAlign w:val="center"/>
          </w:tcPr>
          <w:p w:rsidR="0076511D" w:rsidRPr="00390233" w:rsidRDefault="0076511D" w:rsidP="00742218">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6511D" w:rsidRPr="00390233" w:rsidRDefault="0076511D" w:rsidP="00742218">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6511D" w:rsidRPr="00390233" w:rsidRDefault="0076511D" w:rsidP="00742218">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6511D" w:rsidRPr="00390233" w:rsidRDefault="0076511D" w:rsidP="00742218">
            <w:pPr>
              <w:spacing w:line="360" w:lineRule="auto"/>
              <w:jc w:val="right"/>
              <w:rPr>
                <w:rFonts w:eastAsiaTheme="majorEastAsia"/>
                <w:color w:val="000000"/>
                <w:szCs w:val="21"/>
              </w:rPr>
            </w:pPr>
            <w:r w:rsidRPr="00390233">
              <w:rPr>
                <w:rFonts w:eastAsiaTheme="maj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衍生金融资产</w:t>
            </w:r>
          </w:p>
        </w:tc>
        <w:tc>
          <w:tcPr>
            <w:tcW w:w="1080" w:type="dxa"/>
            <w:vAlign w:val="center"/>
          </w:tcPr>
          <w:p w:rsidR="0076511D" w:rsidRPr="00C24ACA" w:rsidRDefault="0076511D" w:rsidP="00A97A4E">
            <w:pPr>
              <w:pStyle w:val="af6"/>
              <w:spacing w:line="360" w:lineRule="auto"/>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6.4.7.3</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买入返售金融资产</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6.4.7.4</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应收证券清算款</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4,578,555.83</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11,029,320.95</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应收利息</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6.4.7.5</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9,971.26</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11,575.90</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应收股利</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应收申购款</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8,420,789.41</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5,586,834.76</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递延所得税资产</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其他资产</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6.4.7.6</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b/>
                <w:color w:val="000000"/>
                <w:szCs w:val="21"/>
              </w:rPr>
            </w:pPr>
            <w:r w:rsidRPr="00C24ACA">
              <w:rPr>
                <w:rFonts w:eastAsiaTheme="minorEastAsia"/>
                <w:b/>
                <w:color w:val="000000"/>
                <w:szCs w:val="21"/>
              </w:rPr>
              <w:t>资产总计</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1,752,878,428.92</w:t>
            </w:r>
          </w:p>
        </w:tc>
        <w:tc>
          <w:tcPr>
            <w:tcW w:w="252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2,069,195,148.97</w:t>
            </w:r>
          </w:p>
        </w:tc>
      </w:tr>
      <w:tr w:rsidR="008A5A5D" w:rsidRPr="00C24ACA" w:rsidTr="006D141C">
        <w:tc>
          <w:tcPr>
            <w:tcW w:w="2880" w:type="dxa"/>
            <w:vAlign w:val="center"/>
          </w:tcPr>
          <w:p w:rsidR="008A5A5D" w:rsidRPr="00C24ACA" w:rsidRDefault="008A5A5D">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负债和所有者权益</w:t>
            </w:r>
          </w:p>
        </w:tc>
        <w:tc>
          <w:tcPr>
            <w:tcW w:w="1080" w:type="dxa"/>
            <w:vAlign w:val="center"/>
          </w:tcPr>
          <w:p w:rsidR="008A5A5D" w:rsidRPr="00C24ACA" w:rsidRDefault="008A5A5D">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附注号</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本期末</w:t>
            </w:r>
          </w:p>
          <w:p w:rsidR="008A5A5D" w:rsidRPr="00C24ACA" w:rsidRDefault="00AC4A3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kern w:val="2"/>
                <w:sz w:val="21"/>
                <w:szCs w:val="21"/>
              </w:rPr>
              <w:t>2020</w:t>
            </w:r>
            <w:r w:rsidRPr="00C24ACA">
              <w:rPr>
                <w:rFonts w:ascii="Times New Roman" w:eastAsiaTheme="minorEastAsia" w:hAnsi="Times New Roman"/>
                <w:b/>
                <w:color w:val="000000"/>
                <w:kern w:val="2"/>
                <w:sz w:val="21"/>
                <w:szCs w:val="21"/>
              </w:rPr>
              <w:t>年</w:t>
            </w:r>
            <w:r w:rsidRPr="00C24ACA">
              <w:rPr>
                <w:rFonts w:ascii="Times New Roman" w:eastAsiaTheme="minorEastAsia" w:hAnsi="Times New Roman"/>
                <w:b/>
                <w:color w:val="000000"/>
                <w:kern w:val="2"/>
                <w:sz w:val="21"/>
                <w:szCs w:val="21"/>
              </w:rPr>
              <w:t>6</w:t>
            </w:r>
            <w:r w:rsidRPr="00C24ACA">
              <w:rPr>
                <w:rFonts w:ascii="Times New Roman" w:eastAsiaTheme="minorEastAsia" w:hAnsi="Times New Roman"/>
                <w:b/>
                <w:color w:val="000000"/>
                <w:kern w:val="2"/>
                <w:sz w:val="21"/>
                <w:szCs w:val="21"/>
              </w:rPr>
              <w:t>月</w:t>
            </w:r>
            <w:r w:rsidRPr="00C24ACA">
              <w:rPr>
                <w:rFonts w:ascii="Times New Roman" w:eastAsiaTheme="minorEastAsia" w:hAnsi="Times New Roman"/>
                <w:b/>
                <w:color w:val="000000"/>
                <w:kern w:val="2"/>
                <w:sz w:val="21"/>
                <w:szCs w:val="21"/>
              </w:rPr>
              <w:t>30</w:t>
            </w:r>
            <w:r w:rsidRPr="00C24ACA">
              <w:rPr>
                <w:rFonts w:ascii="Times New Roman" w:eastAsiaTheme="minorEastAsia" w:hAnsi="Times New Roman"/>
                <w:b/>
                <w:color w:val="000000"/>
                <w:kern w:val="2"/>
                <w:sz w:val="21"/>
                <w:szCs w:val="21"/>
              </w:rPr>
              <w:t>日</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上年度末</w:t>
            </w:r>
          </w:p>
          <w:p w:rsidR="008A5A5D" w:rsidRPr="00C24ACA" w:rsidRDefault="00D561C5">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12</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31</w:t>
            </w:r>
            <w:r w:rsidRPr="00C24ACA">
              <w:rPr>
                <w:rFonts w:ascii="Times New Roman" w:eastAsiaTheme="minorEastAsia" w:hAnsi="Times New Roman"/>
                <w:b/>
                <w:color w:val="000000"/>
                <w:sz w:val="21"/>
                <w:szCs w:val="21"/>
              </w:rPr>
              <w:t>日</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短期借款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交易性金融负债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衍生金融负债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6.4.7.3</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卖出回购金融资产款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应付证券清算款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70,707,453.80</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应付赎回款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35,977,713.48</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18,849,115.08</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应付管理人报酬</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47,682.45</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55,968.35</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应付托管费</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15,894.16</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18,656.11</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应付销售服务费</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46,372.68</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21,135.01</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应付交易费用</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6.4.7.7</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应交税费</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11,811.36</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应付利息</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应付利润</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递延所得税负债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其他负债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6.4.7.8</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391,766.00</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311,868.23</w:t>
            </w:r>
          </w:p>
        </w:tc>
      </w:tr>
      <w:tr w:rsidR="00AE103C" w:rsidRPr="00C24ACA" w:rsidTr="006D141C">
        <w:tc>
          <w:tcPr>
            <w:tcW w:w="2880" w:type="dxa"/>
            <w:vAlign w:val="center"/>
          </w:tcPr>
          <w:p w:rsidR="00AE103C" w:rsidRPr="00C24ACA" w:rsidRDefault="00AE103C">
            <w:pPr>
              <w:pStyle w:val="af6"/>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负债合计</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36,479,428.77</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89,976,007.94</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所有者权益：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实收基金</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6.4.7.9</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1,499,285,082.13</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1,564,413,109.93</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未分配利润</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6.4.7.10</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217,113,918.02</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414,806,031.10</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所有者权益合计</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1,716,399,000.15</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1,979,219,141.03</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负债和所有者权益总计</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1,752,878,428.92</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2,069,195,148.97</w:t>
            </w:r>
          </w:p>
        </w:tc>
      </w:tr>
    </w:tbl>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注：报告截止日</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w:t>
      </w:r>
      <w:r w:rsidRPr="00C24ACA">
        <w:rPr>
          <w:rFonts w:eastAsiaTheme="minorEastAsia"/>
          <w:kern w:val="0"/>
          <w:szCs w:val="21"/>
        </w:rPr>
        <w:t>A</w:t>
      </w:r>
      <w:r w:rsidRPr="00C24ACA">
        <w:rPr>
          <w:rFonts w:eastAsiaTheme="minorEastAsia"/>
          <w:kern w:val="0"/>
          <w:szCs w:val="21"/>
        </w:rPr>
        <w:t>类基金份额净值</w:t>
      </w:r>
      <w:r w:rsidRPr="00C24ACA">
        <w:rPr>
          <w:rFonts w:eastAsiaTheme="minorEastAsia"/>
          <w:kern w:val="0"/>
          <w:szCs w:val="21"/>
        </w:rPr>
        <w:t>1.1425</w:t>
      </w:r>
      <w:r w:rsidRPr="00C24ACA">
        <w:rPr>
          <w:rFonts w:eastAsiaTheme="minorEastAsia"/>
          <w:kern w:val="0"/>
          <w:szCs w:val="21"/>
        </w:rPr>
        <w:t>元，</w:t>
      </w:r>
      <w:r w:rsidRPr="00C24ACA">
        <w:rPr>
          <w:rFonts w:eastAsiaTheme="minorEastAsia"/>
          <w:kern w:val="0"/>
          <w:szCs w:val="21"/>
        </w:rPr>
        <w:t>C</w:t>
      </w:r>
      <w:r w:rsidRPr="00C24ACA">
        <w:rPr>
          <w:rFonts w:eastAsiaTheme="minorEastAsia"/>
          <w:kern w:val="0"/>
          <w:szCs w:val="21"/>
        </w:rPr>
        <w:t>类基金份额净值</w:t>
      </w:r>
      <w:r w:rsidRPr="00C24ACA">
        <w:rPr>
          <w:rFonts w:eastAsiaTheme="minorEastAsia"/>
          <w:kern w:val="0"/>
          <w:szCs w:val="21"/>
        </w:rPr>
        <w:t>1.1603</w:t>
      </w:r>
      <w:r w:rsidRPr="00C24ACA">
        <w:rPr>
          <w:rFonts w:eastAsiaTheme="minorEastAsia"/>
          <w:kern w:val="0"/>
          <w:szCs w:val="21"/>
        </w:rPr>
        <w:t>元；基金份额总额</w:t>
      </w:r>
      <w:r w:rsidRPr="00C24ACA">
        <w:rPr>
          <w:rFonts w:eastAsiaTheme="minorEastAsia"/>
          <w:kern w:val="0"/>
          <w:szCs w:val="21"/>
        </w:rPr>
        <w:t>1,499,285,082.13</w:t>
      </w:r>
      <w:r w:rsidRPr="00C24ACA">
        <w:rPr>
          <w:rFonts w:eastAsiaTheme="minorEastAsia"/>
          <w:kern w:val="0"/>
          <w:szCs w:val="21"/>
        </w:rPr>
        <w:t>份，下属分级基金的份额总额分别为：</w:t>
      </w:r>
      <w:r w:rsidRPr="00C24ACA">
        <w:rPr>
          <w:rFonts w:eastAsiaTheme="minorEastAsia"/>
          <w:kern w:val="0"/>
          <w:szCs w:val="21"/>
        </w:rPr>
        <w:t>A</w:t>
      </w:r>
      <w:r w:rsidRPr="00C24ACA">
        <w:rPr>
          <w:rFonts w:eastAsiaTheme="minorEastAsia"/>
          <w:kern w:val="0"/>
          <w:szCs w:val="21"/>
        </w:rPr>
        <w:t>类基金份额总额</w:t>
      </w:r>
      <w:r w:rsidRPr="00C24ACA">
        <w:rPr>
          <w:rFonts w:eastAsiaTheme="minorEastAsia"/>
          <w:kern w:val="0"/>
          <w:szCs w:val="21"/>
        </w:rPr>
        <w:t>1,304,972,915.03</w:t>
      </w:r>
      <w:r w:rsidRPr="00C24ACA">
        <w:rPr>
          <w:rFonts w:eastAsiaTheme="minorEastAsia"/>
          <w:kern w:val="0"/>
          <w:szCs w:val="21"/>
        </w:rPr>
        <w:t>份，</w:t>
      </w:r>
      <w:r w:rsidRPr="00C24ACA">
        <w:rPr>
          <w:rFonts w:eastAsiaTheme="minorEastAsia"/>
          <w:kern w:val="0"/>
          <w:szCs w:val="21"/>
        </w:rPr>
        <w:t>C</w:t>
      </w:r>
      <w:r w:rsidRPr="00C24ACA">
        <w:rPr>
          <w:rFonts w:eastAsiaTheme="minorEastAsia"/>
          <w:kern w:val="0"/>
          <w:szCs w:val="21"/>
        </w:rPr>
        <w:t>类基金份额总额</w:t>
      </w:r>
      <w:r w:rsidRPr="00C24ACA">
        <w:rPr>
          <w:rFonts w:eastAsiaTheme="minorEastAsia"/>
          <w:kern w:val="0"/>
          <w:szCs w:val="21"/>
        </w:rPr>
        <w:t>194,312,167.10</w:t>
      </w:r>
      <w:r w:rsidRPr="00C24ACA">
        <w:rPr>
          <w:rFonts w:eastAsiaTheme="minorEastAsia"/>
          <w:kern w:val="0"/>
          <w:szCs w:val="21"/>
        </w:rPr>
        <w:t>份。</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178" w:name="_Toc225498269"/>
      <w:bookmarkStart w:id="179" w:name="_Toc352255992"/>
      <w:bookmarkStart w:id="180" w:name="_Toc352256060"/>
      <w:bookmarkStart w:id="181" w:name="_Toc352331238"/>
      <w:bookmarkStart w:id="182" w:name="_Toc390164817"/>
      <w:bookmarkStart w:id="183" w:name="_Toc48662492"/>
      <w:r w:rsidRPr="0087359D">
        <w:rPr>
          <w:rFonts w:ascii="宋体" w:hAnsi="宋体"/>
          <w:kern w:val="0"/>
          <w:sz w:val="21"/>
          <w:szCs w:val="21"/>
        </w:rPr>
        <w:t>6.2</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利润表</w:t>
      </w:r>
      <w:bookmarkEnd w:id="178"/>
      <w:bookmarkEnd w:id="179"/>
      <w:bookmarkEnd w:id="180"/>
      <w:bookmarkEnd w:id="181"/>
      <w:bookmarkEnd w:id="182"/>
      <w:bookmarkEnd w:id="183"/>
    </w:p>
    <w:p w:rsidR="008A5A5D" w:rsidRPr="00C24ACA" w:rsidRDefault="008A5A5D" w:rsidP="00316012">
      <w:pPr>
        <w:spacing w:line="360" w:lineRule="auto"/>
        <w:rPr>
          <w:rFonts w:eastAsiaTheme="minorEastAsia"/>
          <w:kern w:val="0"/>
          <w:szCs w:val="21"/>
        </w:rPr>
      </w:pPr>
      <w:r w:rsidRPr="00C24ACA">
        <w:rPr>
          <w:rFonts w:eastAsiaTheme="minorEastAsia"/>
          <w:color w:val="000000"/>
          <w:szCs w:val="21"/>
        </w:rPr>
        <w:t>会计主体：</w:t>
      </w:r>
      <w:r w:rsidRPr="00C24ACA">
        <w:rPr>
          <w:rFonts w:eastAsiaTheme="minorEastAsia"/>
          <w:kern w:val="0"/>
          <w:szCs w:val="21"/>
        </w:rPr>
        <w:t>易方达恒生中国企业交易型开放式指数证券投资基金联接基金</w:t>
      </w:r>
    </w:p>
    <w:p w:rsidR="008A5A5D" w:rsidRPr="00C24ACA" w:rsidRDefault="008A5A5D" w:rsidP="00316012">
      <w:pPr>
        <w:spacing w:line="360" w:lineRule="auto"/>
        <w:rPr>
          <w:rFonts w:eastAsiaTheme="minorEastAsia"/>
          <w:color w:val="000000"/>
          <w:kern w:val="0"/>
          <w:szCs w:val="21"/>
        </w:rPr>
      </w:pPr>
      <w:r w:rsidRPr="00C24ACA">
        <w:rPr>
          <w:rFonts w:eastAsiaTheme="minorEastAsia"/>
          <w:color w:val="000000"/>
          <w:szCs w:val="21"/>
        </w:rPr>
        <w:t>本报告期：</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1</w:t>
      </w:r>
      <w:r w:rsidR="00AC4A34" w:rsidRPr="00C24ACA">
        <w:rPr>
          <w:rFonts w:eastAsiaTheme="minorEastAsia"/>
          <w:kern w:val="0"/>
          <w:szCs w:val="21"/>
        </w:rPr>
        <w:t>月</w:t>
      </w:r>
      <w:r w:rsidR="00AC4A34" w:rsidRPr="00C24ACA">
        <w:rPr>
          <w:rFonts w:eastAsiaTheme="minorEastAsia"/>
          <w:kern w:val="0"/>
          <w:szCs w:val="21"/>
        </w:rPr>
        <w:t>1</w:t>
      </w:r>
      <w:r w:rsidR="00AC4A34" w:rsidRPr="00C24ACA">
        <w:rPr>
          <w:rFonts w:eastAsiaTheme="minorEastAsia"/>
          <w:kern w:val="0"/>
          <w:szCs w:val="21"/>
        </w:rPr>
        <w:t>日</w:t>
      </w:r>
      <w:r w:rsidRPr="00C24ACA">
        <w:rPr>
          <w:rFonts w:eastAsiaTheme="minorEastAsia"/>
          <w:kern w:val="0"/>
          <w:szCs w:val="21"/>
        </w:rPr>
        <w:t>至</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6</w:t>
      </w:r>
      <w:r w:rsidR="00AC4A34" w:rsidRPr="00C24ACA">
        <w:rPr>
          <w:rFonts w:eastAsiaTheme="minorEastAsia"/>
          <w:kern w:val="0"/>
          <w:szCs w:val="21"/>
        </w:rPr>
        <w:t>月</w:t>
      </w:r>
      <w:r w:rsidR="00AC4A34" w:rsidRPr="00C24ACA">
        <w:rPr>
          <w:rFonts w:eastAsiaTheme="minorEastAsia"/>
          <w:kern w:val="0"/>
          <w:szCs w:val="21"/>
        </w:rPr>
        <w:t>30</w:t>
      </w:r>
      <w:r w:rsidR="00AC4A34" w:rsidRPr="00C24ACA">
        <w:rPr>
          <w:rFonts w:eastAsiaTheme="minorEastAsia"/>
          <w:kern w:val="0"/>
          <w:szCs w:val="21"/>
        </w:rPr>
        <w:t>日</w:t>
      </w:r>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单位：人民币元</w:t>
      </w:r>
    </w:p>
    <w:tbl>
      <w:tblPr>
        <w:tblW w:w="89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49"/>
        <w:gridCol w:w="2249"/>
      </w:tblGrid>
      <w:tr w:rsidR="008A5A5D" w:rsidRPr="00C24ACA" w:rsidTr="00623305">
        <w:tc>
          <w:tcPr>
            <w:tcW w:w="3420" w:type="dxa"/>
            <w:vAlign w:val="center"/>
          </w:tcPr>
          <w:p w:rsidR="008A5A5D" w:rsidRPr="00C24ACA" w:rsidRDefault="008A5A5D" w:rsidP="00D321AF">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项目</w:t>
            </w:r>
          </w:p>
        </w:tc>
        <w:tc>
          <w:tcPr>
            <w:tcW w:w="1080" w:type="dxa"/>
            <w:vAlign w:val="center"/>
          </w:tcPr>
          <w:p w:rsidR="008A5A5D" w:rsidRPr="00C24ACA" w:rsidRDefault="008A5A5D"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附注号</w:t>
            </w:r>
          </w:p>
        </w:tc>
        <w:tc>
          <w:tcPr>
            <w:tcW w:w="2250" w:type="dxa"/>
            <w:vAlign w:val="center"/>
          </w:tcPr>
          <w:p w:rsidR="008A5A5D" w:rsidRPr="00C24ACA" w:rsidRDefault="008A5A5D"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本期</w:t>
            </w:r>
          </w:p>
          <w:p w:rsidR="008A5A5D" w:rsidRPr="00C24ACA" w:rsidRDefault="00AC4A34"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日</w:t>
            </w:r>
            <w:r w:rsidR="008A5A5D" w:rsidRPr="00C24ACA">
              <w:rPr>
                <w:rFonts w:ascii="Times New Roman" w:eastAsiaTheme="minorEastAsia" w:hAnsi="Times New Roman"/>
                <w:b/>
                <w:sz w:val="21"/>
                <w:szCs w:val="21"/>
              </w:rPr>
              <w:t>至</w:t>
            </w: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6</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30</w:t>
            </w:r>
            <w:r w:rsidRPr="00C24ACA">
              <w:rPr>
                <w:rFonts w:ascii="Times New Roman" w:eastAsiaTheme="minorEastAsia" w:hAnsi="Times New Roman"/>
                <w:b/>
                <w:sz w:val="21"/>
                <w:szCs w:val="21"/>
              </w:rPr>
              <w:t>日</w:t>
            </w:r>
          </w:p>
        </w:tc>
        <w:tc>
          <w:tcPr>
            <w:tcW w:w="2250" w:type="dxa"/>
            <w:vAlign w:val="center"/>
          </w:tcPr>
          <w:p w:rsidR="008A5A5D" w:rsidRPr="00C24ACA" w:rsidRDefault="008A5A5D"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上年度可比期间</w:t>
            </w:r>
          </w:p>
          <w:p w:rsidR="008A5A5D" w:rsidRPr="00C24ACA" w:rsidRDefault="00BD0707"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1</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1</w:t>
            </w:r>
            <w:r w:rsidRPr="00C24ACA">
              <w:rPr>
                <w:rFonts w:ascii="Times New Roman" w:eastAsiaTheme="minorEastAsia" w:hAnsi="Times New Roman"/>
                <w:b/>
                <w:color w:val="000000"/>
                <w:sz w:val="21"/>
                <w:szCs w:val="21"/>
              </w:rPr>
              <w:t>日至</w:t>
            </w: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6</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30</w:t>
            </w:r>
            <w:r w:rsidRPr="00C24ACA">
              <w:rPr>
                <w:rFonts w:ascii="Times New Roman" w:eastAsiaTheme="minorEastAsia" w:hAnsi="Times New Roman"/>
                <w:b/>
                <w:color w:val="000000"/>
                <w:sz w:val="21"/>
                <w:szCs w:val="21"/>
              </w:rPr>
              <w:t>日</w:t>
            </w:r>
          </w:p>
        </w:tc>
      </w:tr>
      <w:tr w:rsidR="00AE103C" w:rsidRPr="00C24ACA" w:rsidTr="00623305">
        <w:tc>
          <w:tcPr>
            <w:tcW w:w="3420" w:type="dxa"/>
          </w:tcPr>
          <w:p w:rsidR="00AE103C" w:rsidRPr="00C24ACA" w:rsidRDefault="00AE103C">
            <w:pPr>
              <w:rPr>
                <w:rFonts w:eastAsiaTheme="minorEastAsia"/>
                <w:b/>
                <w:color w:val="000000"/>
                <w:szCs w:val="21"/>
              </w:rPr>
            </w:pPr>
            <w:r w:rsidRPr="00C24ACA">
              <w:rPr>
                <w:rFonts w:eastAsiaTheme="minorEastAsia"/>
                <w:b/>
                <w:color w:val="000000"/>
                <w:szCs w:val="21"/>
              </w:rPr>
              <w:t>一、收入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-143,758,613.98</w:t>
            </w:r>
          </w:p>
        </w:tc>
        <w:tc>
          <w:tcPr>
            <w:tcW w:w="225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121,413,085.06</w:t>
            </w:r>
          </w:p>
        </w:tc>
      </w:tr>
      <w:tr w:rsidR="00AE103C" w:rsidRPr="00C24ACA" w:rsidTr="00623305">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376,556.64</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173,815.08</w:t>
            </w:r>
          </w:p>
        </w:tc>
      </w:tr>
      <w:tr w:rsidR="00AE103C" w:rsidRPr="00C24ACA" w:rsidTr="00623305">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其中：存款利息收入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6.4.7.11</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376,556.64</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173,815.08</w:t>
            </w:r>
          </w:p>
        </w:tc>
      </w:tr>
      <w:tr w:rsidR="00AE103C" w:rsidRPr="00C24ACA" w:rsidTr="00623305">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债券利息收入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23305">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资产支持证券利息收入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23305">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买入返售金融资产收入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23305">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其他利息收入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23305">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投资收益（损失以</w:t>
            </w:r>
            <w:r w:rsidRPr="00C24ACA">
              <w:rPr>
                <w:rFonts w:eastAsiaTheme="minorEastAsia"/>
                <w:color w:val="000000"/>
                <w:szCs w:val="21"/>
              </w:rPr>
              <w:t>“-”</w:t>
            </w:r>
            <w:r w:rsidRPr="00C24ACA">
              <w:rPr>
                <w:rFonts w:eastAsiaTheme="minorEastAsia"/>
                <w:color w:val="000000"/>
                <w:szCs w:val="21"/>
              </w:rPr>
              <w:t>填列）</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-3,005,293.77</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3,063,505.42</w:t>
            </w:r>
          </w:p>
        </w:tc>
      </w:tr>
      <w:tr w:rsidR="00AE103C" w:rsidRPr="00C24ACA" w:rsidTr="00623305">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其中：股票投资收益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6.4.7.12</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23305">
        <w:tc>
          <w:tcPr>
            <w:tcW w:w="3420" w:type="dxa"/>
            <w:vAlign w:val="center"/>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基金投资收益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6.4.7.13</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6,307,334.25</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1,436,971.30</w:t>
            </w:r>
          </w:p>
        </w:tc>
      </w:tr>
      <w:tr w:rsidR="00AE103C" w:rsidRPr="00C24ACA" w:rsidTr="00623305">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债券投资收益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6.4.7.14</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23305">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资产支持证券投资收益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76511D" w:rsidRPr="00C24ACA" w:rsidTr="00623305">
        <w:tc>
          <w:tcPr>
            <w:tcW w:w="3420" w:type="dxa"/>
          </w:tcPr>
          <w:p w:rsidR="0076511D" w:rsidRPr="00C24ACA" w:rsidRDefault="0076511D" w:rsidP="008134C7">
            <w:pPr>
              <w:ind w:firstLineChars="300" w:firstLine="630"/>
              <w:rPr>
                <w:rFonts w:eastAsiaTheme="minorEastAsia"/>
                <w:color w:val="000000"/>
                <w:szCs w:val="21"/>
              </w:rPr>
            </w:pPr>
            <w:r w:rsidRPr="00224952">
              <w:rPr>
                <w:rFonts w:hint="eastAsia"/>
              </w:rPr>
              <w:t>贵金属投资收益</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center"/>
          </w:tcPr>
          <w:p w:rsidR="0076511D" w:rsidRPr="00224952" w:rsidRDefault="0076511D" w:rsidP="00742218">
            <w:pPr>
              <w:spacing w:line="360" w:lineRule="auto"/>
              <w:jc w:val="right"/>
              <w:rPr>
                <w:color w:val="000000"/>
                <w:szCs w:val="21"/>
              </w:rPr>
            </w:pPr>
            <w:r w:rsidRPr="00224952">
              <w:rPr>
                <w:color w:val="000000"/>
                <w:szCs w:val="21"/>
              </w:rPr>
              <w:t>-</w:t>
            </w:r>
          </w:p>
        </w:tc>
        <w:tc>
          <w:tcPr>
            <w:tcW w:w="2250" w:type="dxa"/>
            <w:vAlign w:val="center"/>
          </w:tcPr>
          <w:p w:rsidR="0076511D" w:rsidRPr="00224952" w:rsidRDefault="0076511D" w:rsidP="00742218">
            <w:pPr>
              <w:spacing w:line="360" w:lineRule="auto"/>
              <w:jc w:val="right"/>
              <w:rPr>
                <w:color w:val="000000"/>
                <w:szCs w:val="21"/>
              </w:rPr>
            </w:pPr>
            <w:r w:rsidRPr="00224952">
              <w:rPr>
                <w:color w:val="000000"/>
                <w:szCs w:val="21"/>
              </w:rPr>
              <w:t>-</w:t>
            </w:r>
          </w:p>
        </w:tc>
      </w:tr>
      <w:tr w:rsidR="0076511D" w:rsidRPr="00C24ACA" w:rsidTr="00623305">
        <w:tc>
          <w:tcPr>
            <w:tcW w:w="3420" w:type="dxa"/>
          </w:tcPr>
          <w:p w:rsidR="0076511D" w:rsidRPr="00C24ACA" w:rsidRDefault="0076511D" w:rsidP="008134C7">
            <w:pPr>
              <w:ind w:firstLineChars="300" w:firstLine="630"/>
              <w:rPr>
                <w:rFonts w:eastAsiaTheme="minorEastAsia"/>
                <w:color w:val="000000"/>
                <w:szCs w:val="21"/>
              </w:rPr>
            </w:pPr>
            <w:r w:rsidRPr="00C24ACA">
              <w:rPr>
                <w:rFonts w:eastAsiaTheme="minorEastAsia"/>
                <w:color w:val="000000"/>
                <w:szCs w:val="21"/>
              </w:rPr>
              <w:t>衍生工具收益</w:t>
            </w:r>
          </w:p>
        </w:tc>
        <w:tc>
          <w:tcPr>
            <w:tcW w:w="1080" w:type="dxa"/>
            <w:vAlign w:val="center"/>
          </w:tcPr>
          <w:p w:rsidR="0076511D" w:rsidRPr="00C24ACA" w:rsidRDefault="0076511D" w:rsidP="00A97A4E">
            <w:pPr>
              <w:pStyle w:val="af6"/>
              <w:spacing w:line="360" w:lineRule="auto"/>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6.4.7.15</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-9,312,628.02</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1,626,534.12</w:t>
            </w:r>
          </w:p>
        </w:tc>
      </w:tr>
      <w:tr w:rsidR="0076511D" w:rsidRPr="00C24ACA" w:rsidTr="00623305">
        <w:tc>
          <w:tcPr>
            <w:tcW w:w="3420" w:type="dxa"/>
          </w:tcPr>
          <w:p w:rsidR="0076511D" w:rsidRPr="00C24ACA" w:rsidRDefault="0076511D" w:rsidP="008134C7">
            <w:pPr>
              <w:ind w:firstLineChars="300" w:firstLine="630"/>
              <w:rPr>
                <w:rFonts w:eastAsiaTheme="minorEastAsia"/>
                <w:color w:val="000000"/>
                <w:szCs w:val="21"/>
              </w:rPr>
            </w:pPr>
            <w:r w:rsidRPr="00C24ACA">
              <w:rPr>
                <w:rFonts w:eastAsiaTheme="minorEastAsia"/>
                <w:color w:val="000000"/>
                <w:szCs w:val="21"/>
              </w:rPr>
              <w:t>股利收益</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6.4.7.16</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23305">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3.</w:t>
            </w:r>
            <w:r w:rsidRPr="00C24ACA">
              <w:rPr>
                <w:rFonts w:eastAsiaTheme="minorEastAsia"/>
                <w:color w:val="000000"/>
                <w:szCs w:val="21"/>
              </w:rPr>
              <w:t>公允价值变动收益（损失以</w:t>
            </w:r>
            <w:r w:rsidRPr="00C24ACA">
              <w:rPr>
                <w:rFonts w:eastAsiaTheme="minorEastAsia"/>
                <w:color w:val="000000"/>
                <w:szCs w:val="21"/>
              </w:rPr>
              <w:t>“-”</w:t>
            </w:r>
            <w:r w:rsidRPr="00C24ACA">
              <w:rPr>
                <w:rFonts w:eastAsiaTheme="minorEastAsia"/>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6.4.7.17</w:t>
            </w:r>
          </w:p>
        </w:tc>
        <w:tc>
          <w:tcPr>
            <w:tcW w:w="2250" w:type="dxa"/>
            <w:vAlign w:val="center"/>
          </w:tcPr>
          <w:p w:rsidR="0076511D" w:rsidRPr="00C24ACA" w:rsidRDefault="0076511D" w:rsidP="00C903E7">
            <w:pPr>
              <w:jc w:val="right"/>
              <w:rPr>
                <w:rFonts w:eastAsiaTheme="minorEastAsia"/>
                <w:color w:val="000000"/>
                <w:szCs w:val="21"/>
              </w:rPr>
            </w:pPr>
            <w:r w:rsidRPr="00C24ACA">
              <w:rPr>
                <w:rFonts w:eastAsiaTheme="minorEastAsia"/>
                <w:color w:val="000000"/>
                <w:szCs w:val="21"/>
              </w:rPr>
              <w:t>-143,384,987.93</w:t>
            </w:r>
          </w:p>
        </w:tc>
        <w:tc>
          <w:tcPr>
            <w:tcW w:w="2250" w:type="dxa"/>
            <w:vAlign w:val="center"/>
          </w:tcPr>
          <w:p w:rsidR="0076511D" w:rsidRPr="00C24ACA" w:rsidRDefault="0076511D" w:rsidP="00C903E7">
            <w:pPr>
              <w:jc w:val="right"/>
              <w:rPr>
                <w:rFonts w:eastAsiaTheme="minorEastAsia"/>
                <w:color w:val="000000"/>
                <w:szCs w:val="21"/>
              </w:rPr>
            </w:pPr>
            <w:r w:rsidRPr="00C24ACA">
              <w:rPr>
                <w:rFonts w:eastAsiaTheme="minorEastAsia"/>
                <w:color w:val="000000"/>
                <w:szCs w:val="21"/>
              </w:rPr>
              <w:t>117,631,810.69</w:t>
            </w:r>
          </w:p>
        </w:tc>
      </w:tr>
      <w:tr w:rsidR="0076511D" w:rsidRPr="00C24ACA" w:rsidTr="00623305">
        <w:tc>
          <w:tcPr>
            <w:tcW w:w="3420" w:type="dxa"/>
            <w:vAlign w:val="center"/>
          </w:tcPr>
          <w:p w:rsidR="0076511D" w:rsidRPr="00C24ACA" w:rsidRDefault="0076511D">
            <w:pPr>
              <w:pStyle w:val="af6"/>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4.</w:t>
            </w:r>
            <w:r w:rsidRPr="00C24ACA">
              <w:rPr>
                <w:rFonts w:ascii="Times New Roman" w:eastAsiaTheme="minorEastAsia" w:hAnsi="Times New Roman"/>
                <w:color w:val="000000"/>
                <w:sz w:val="21"/>
                <w:szCs w:val="21"/>
              </w:rPr>
              <w:t>汇兑收益（损失以</w:t>
            </w:r>
            <w:r w:rsidRPr="00C24ACA">
              <w:rPr>
                <w:rFonts w:ascii="Times New Roman" w:eastAsiaTheme="minorEastAsia" w:hAnsi="Times New Roman"/>
                <w:color w:val="000000"/>
                <w:sz w:val="21"/>
                <w:szCs w:val="21"/>
              </w:rPr>
              <w:t>“</w:t>
            </w:r>
            <w:r w:rsidRPr="00C24ACA">
              <w:rPr>
                <w:rFonts w:ascii="Times New Roman" w:eastAsiaTheme="minorEastAsia" w:hAnsi="Times New Roman"/>
                <w:color w:val="000000"/>
                <w:sz w:val="21"/>
                <w:szCs w:val="21"/>
              </w:rPr>
              <w:t>－</w:t>
            </w:r>
            <w:r w:rsidRPr="00C24ACA">
              <w:rPr>
                <w:rFonts w:ascii="Times New Roman" w:eastAsiaTheme="minorEastAsia" w:hAnsi="Times New Roman"/>
                <w:color w:val="000000"/>
                <w:sz w:val="21"/>
                <w:szCs w:val="21"/>
              </w:rPr>
              <w:t>”</w:t>
            </w:r>
            <w:r w:rsidRPr="00C24ACA">
              <w:rPr>
                <w:rFonts w:ascii="Times New Roman" w:eastAsiaTheme="minorEastAsia" w:hAnsi="Times New Roman"/>
                <w:color w:val="000000"/>
                <w:sz w:val="21"/>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1,044,094.00</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254,426.22</w:t>
            </w:r>
          </w:p>
        </w:tc>
      </w:tr>
      <w:tr w:rsidR="0076511D" w:rsidRPr="00C24ACA" w:rsidTr="00623305">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其他收入（损失以</w:t>
            </w:r>
            <w:r w:rsidRPr="00C24ACA">
              <w:rPr>
                <w:rFonts w:eastAsiaTheme="minorEastAsia"/>
                <w:color w:val="000000"/>
                <w:szCs w:val="21"/>
              </w:rPr>
              <w:t>“-”</w:t>
            </w:r>
            <w:r w:rsidRPr="00C24ACA">
              <w:rPr>
                <w:rFonts w:eastAsiaTheme="minorEastAsia"/>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6.4.7.18</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1,211,017.08</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289,527.65</w:t>
            </w:r>
          </w:p>
        </w:tc>
      </w:tr>
      <w:tr w:rsidR="0076511D" w:rsidRPr="00C24ACA" w:rsidTr="00623305">
        <w:tc>
          <w:tcPr>
            <w:tcW w:w="3420" w:type="dxa"/>
          </w:tcPr>
          <w:p w:rsidR="0076511D" w:rsidRPr="00C24ACA" w:rsidRDefault="0076511D">
            <w:pPr>
              <w:rPr>
                <w:rFonts w:eastAsiaTheme="minorEastAsia"/>
                <w:b/>
                <w:color w:val="000000"/>
                <w:szCs w:val="21"/>
              </w:rPr>
            </w:pPr>
            <w:r w:rsidRPr="00C24ACA">
              <w:rPr>
                <w:rFonts w:eastAsiaTheme="minorEastAsia"/>
                <w:b/>
                <w:color w:val="000000"/>
                <w:szCs w:val="21"/>
              </w:rPr>
              <w:t>减：二、费用</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1,013,673.75</w:t>
            </w: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634,607.08</w:t>
            </w:r>
          </w:p>
        </w:tc>
      </w:tr>
      <w:tr w:rsidR="0076511D" w:rsidRPr="00C24ACA" w:rsidTr="00623305">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．管理人报酬</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328,718.93</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288,293.01</w:t>
            </w:r>
          </w:p>
        </w:tc>
      </w:tr>
      <w:tr w:rsidR="0076511D" w:rsidRPr="00C24ACA" w:rsidTr="00623305">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．托管费</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109,572.96</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96,097.62</w:t>
            </w:r>
          </w:p>
        </w:tc>
      </w:tr>
      <w:tr w:rsidR="0076511D" w:rsidRPr="00C24ACA" w:rsidTr="00623305">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3</w:t>
            </w:r>
            <w:r w:rsidRPr="00C24ACA">
              <w:rPr>
                <w:rFonts w:eastAsiaTheme="minorEastAsia"/>
                <w:color w:val="000000"/>
                <w:szCs w:val="21"/>
              </w:rPr>
              <w:t>．销售服务费</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336,862.70</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85,292.94</w:t>
            </w:r>
          </w:p>
        </w:tc>
      </w:tr>
      <w:tr w:rsidR="0076511D" w:rsidRPr="00C24ACA" w:rsidTr="00623305">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4</w:t>
            </w:r>
            <w:r w:rsidRPr="00C24ACA">
              <w:rPr>
                <w:rFonts w:eastAsiaTheme="minorEastAsia"/>
                <w:color w:val="000000"/>
                <w:szCs w:val="21"/>
              </w:rPr>
              <w:t>．交易费用</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6.4.7.19</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95,308.03</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39,795.62</w:t>
            </w:r>
          </w:p>
        </w:tc>
      </w:tr>
      <w:tr w:rsidR="0076511D" w:rsidRPr="00C24ACA" w:rsidTr="00623305">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．利息支出</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23305">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其中：卖出回购金融资产支出</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993316" w:rsidRPr="00C24ACA" w:rsidTr="00623305">
        <w:tc>
          <w:tcPr>
            <w:tcW w:w="3420" w:type="dxa"/>
          </w:tcPr>
          <w:p w:rsidR="00993316" w:rsidRDefault="00993316">
            <w:pPr>
              <w:rPr>
                <w:rFonts w:eastAsiaTheme="minorEastAsia"/>
                <w:color w:val="000000"/>
                <w:szCs w:val="21"/>
              </w:rPr>
            </w:pPr>
            <w:r>
              <w:rPr>
                <w:rFonts w:eastAsiaTheme="minorEastAsia"/>
                <w:color w:val="000000"/>
                <w:szCs w:val="21"/>
              </w:rPr>
              <w:t>6</w:t>
            </w:r>
            <w:r>
              <w:rPr>
                <w:rFonts w:eastAsiaTheme="minorEastAsia" w:hint="eastAsia"/>
                <w:color w:val="000000"/>
                <w:szCs w:val="21"/>
              </w:rPr>
              <w:t>．税金及附加</w:t>
            </w:r>
          </w:p>
        </w:tc>
        <w:tc>
          <w:tcPr>
            <w:tcW w:w="1080" w:type="dxa"/>
            <w:vAlign w:val="center"/>
          </w:tcPr>
          <w:p w:rsidR="00993316" w:rsidRDefault="00993316">
            <w:pPr>
              <w:pStyle w:val="af6"/>
              <w:jc w:val="center"/>
              <w:rPr>
                <w:rFonts w:ascii="Times New Roman" w:eastAsiaTheme="minorEastAsia" w:hAnsi="Times New Roman"/>
                <w:color w:val="000000"/>
                <w:sz w:val="21"/>
                <w:szCs w:val="21"/>
              </w:rPr>
            </w:pPr>
          </w:p>
        </w:tc>
        <w:tc>
          <w:tcPr>
            <w:tcW w:w="2250" w:type="dxa"/>
            <w:vAlign w:val="bottom"/>
          </w:tcPr>
          <w:p w:rsidR="00993316" w:rsidRDefault="00993316">
            <w:pPr>
              <w:jc w:val="right"/>
              <w:rPr>
                <w:rFonts w:eastAsiaTheme="minorEastAsia"/>
                <w:color w:val="000000"/>
                <w:szCs w:val="21"/>
              </w:rPr>
            </w:pPr>
            <w:r>
              <w:rPr>
                <w:rFonts w:eastAsiaTheme="minorEastAsia"/>
                <w:color w:val="000000"/>
                <w:szCs w:val="21"/>
              </w:rPr>
              <w:t>27,528.19</w:t>
            </w:r>
          </w:p>
        </w:tc>
        <w:tc>
          <w:tcPr>
            <w:tcW w:w="2250" w:type="dxa"/>
            <w:vAlign w:val="bottom"/>
          </w:tcPr>
          <w:p w:rsidR="00993316" w:rsidRDefault="00993316">
            <w:pPr>
              <w:jc w:val="right"/>
              <w:rPr>
                <w:rFonts w:eastAsiaTheme="minorEastAsia"/>
                <w:color w:val="000000"/>
                <w:szCs w:val="21"/>
              </w:rPr>
            </w:pPr>
            <w:r>
              <w:rPr>
                <w:rFonts w:eastAsiaTheme="minorEastAsia"/>
                <w:color w:val="000000"/>
                <w:szCs w:val="21"/>
              </w:rPr>
              <w:t>15,846.31</w:t>
            </w:r>
          </w:p>
        </w:tc>
      </w:tr>
      <w:tr w:rsidR="00993316" w:rsidRPr="00C24ACA" w:rsidTr="00623305">
        <w:tc>
          <w:tcPr>
            <w:tcW w:w="3420" w:type="dxa"/>
          </w:tcPr>
          <w:p w:rsidR="00993316" w:rsidRDefault="00993316">
            <w:pPr>
              <w:rPr>
                <w:rFonts w:eastAsiaTheme="minorEastAsia"/>
                <w:color w:val="000000"/>
                <w:szCs w:val="21"/>
              </w:rPr>
            </w:pPr>
            <w:r>
              <w:rPr>
                <w:rFonts w:eastAsiaTheme="minorEastAsia"/>
                <w:color w:val="000000"/>
                <w:szCs w:val="21"/>
              </w:rPr>
              <w:t>7</w:t>
            </w:r>
            <w:r>
              <w:rPr>
                <w:rFonts w:eastAsiaTheme="minorEastAsia" w:hint="eastAsia"/>
                <w:color w:val="000000"/>
                <w:szCs w:val="21"/>
              </w:rPr>
              <w:t>．其他费用</w:t>
            </w:r>
          </w:p>
        </w:tc>
        <w:tc>
          <w:tcPr>
            <w:tcW w:w="1080" w:type="dxa"/>
            <w:vAlign w:val="center"/>
          </w:tcPr>
          <w:p w:rsidR="00993316" w:rsidRDefault="00993316">
            <w:pPr>
              <w:pStyle w:val="af6"/>
              <w:jc w:val="center"/>
              <w:rPr>
                <w:rFonts w:ascii="Times New Roman" w:eastAsiaTheme="minorEastAsia" w:hAnsi="Times New Roman"/>
                <w:color w:val="000000"/>
                <w:sz w:val="21"/>
                <w:szCs w:val="21"/>
              </w:rPr>
            </w:pPr>
            <w:r>
              <w:rPr>
                <w:rFonts w:ascii="Times New Roman" w:eastAsiaTheme="minorEastAsia" w:hAnsi="Times New Roman"/>
                <w:color w:val="000000"/>
                <w:sz w:val="21"/>
                <w:szCs w:val="21"/>
              </w:rPr>
              <w:t>6.4.7.20</w:t>
            </w:r>
          </w:p>
        </w:tc>
        <w:tc>
          <w:tcPr>
            <w:tcW w:w="2250" w:type="dxa"/>
            <w:vAlign w:val="bottom"/>
          </w:tcPr>
          <w:p w:rsidR="00993316" w:rsidRDefault="00993316">
            <w:pPr>
              <w:jc w:val="right"/>
              <w:rPr>
                <w:rFonts w:eastAsiaTheme="minorEastAsia"/>
                <w:color w:val="000000"/>
                <w:szCs w:val="21"/>
              </w:rPr>
            </w:pPr>
            <w:r>
              <w:rPr>
                <w:rFonts w:eastAsiaTheme="minorEastAsia"/>
                <w:color w:val="000000"/>
                <w:szCs w:val="21"/>
              </w:rPr>
              <w:t>115,682.94</w:t>
            </w:r>
          </w:p>
        </w:tc>
        <w:tc>
          <w:tcPr>
            <w:tcW w:w="2250" w:type="dxa"/>
            <w:vAlign w:val="bottom"/>
          </w:tcPr>
          <w:p w:rsidR="00993316" w:rsidRDefault="00993316">
            <w:pPr>
              <w:jc w:val="right"/>
              <w:rPr>
                <w:rFonts w:eastAsiaTheme="minorEastAsia"/>
                <w:color w:val="000000"/>
                <w:szCs w:val="21"/>
              </w:rPr>
            </w:pPr>
            <w:r>
              <w:rPr>
                <w:rFonts w:eastAsiaTheme="minorEastAsia"/>
                <w:color w:val="000000"/>
                <w:szCs w:val="21"/>
              </w:rPr>
              <w:t>109,281.58</w:t>
            </w:r>
          </w:p>
        </w:tc>
      </w:tr>
      <w:tr w:rsidR="0076511D" w:rsidRPr="00C24ACA" w:rsidTr="00623305">
        <w:tc>
          <w:tcPr>
            <w:tcW w:w="3420" w:type="dxa"/>
          </w:tcPr>
          <w:p w:rsidR="0076511D" w:rsidRPr="00C24ACA" w:rsidRDefault="0076511D">
            <w:pPr>
              <w:rPr>
                <w:rFonts w:eastAsiaTheme="minorEastAsia"/>
                <w:b/>
                <w:color w:val="000000"/>
                <w:szCs w:val="21"/>
              </w:rPr>
            </w:pPr>
            <w:r w:rsidRPr="00C24ACA">
              <w:rPr>
                <w:rFonts w:eastAsiaTheme="minorEastAsia"/>
                <w:b/>
                <w:color w:val="000000"/>
                <w:szCs w:val="21"/>
              </w:rPr>
              <w:t>三、利润总额（亏损总额以</w:t>
            </w:r>
            <w:r w:rsidRPr="00C24ACA">
              <w:rPr>
                <w:rFonts w:eastAsiaTheme="minorEastAsia"/>
                <w:b/>
                <w:color w:val="000000"/>
                <w:szCs w:val="21"/>
              </w:rPr>
              <w:t>“-”</w:t>
            </w:r>
            <w:r w:rsidRPr="00C24ACA">
              <w:rPr>
                <w:rFonts w:eastAsiaTheme="minorEastAsia"/>
                <w:b/>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center"/>
          </w:tcPr>
          <w:p w:rsidR="0076511D" w:rsidRPr="00C24ACA" w:rsidRDefault="0076511D" w:rsidP="00C903E7">
            <w:pPr>
              <w:jc w:val="right"/>
              <w:rPr>
                <w:rFonts w:eastAsiaTheme="minorEastAsia"/>
                <w:b/>
                <w:color w:val="000000"/>
                <w:szCs w:val="21"/>
              </w:rPr>
            </w:pPr>
            <w:r w:rsidRPr="00C24ACA">
              <w:rPr>
                <w:rFonts w:eastAsiaTheme="minorEastAsia"/>
                <w:b/>
                <w:color w:val="000000"/>
                <w:szCs w:val="21"/>
              </w:rPr>
              <w:t>-144,772,287.73</w:t>
            </w:r>
          </w:p>
        </w:tc>
        <w:tc>
          <w:tcPr>
            <w:tcW w:w="2250" w:type="dxa"/>
            <w:vAlign w:val="center"/>
          </w:tcPr>
          <w:p w:rsidR="0076511D" w:rsidRPr="00C24ACA" w:rsidRDefault="0076511D" w:rsidP="00C903E7">
            <w:pPr>
              <w:jc w:val="right"/>
              <w:rPr>
                <w:rFonts w:eastAsiaTheme="minorEastAsia"/>
                <w:b/>
                <w:color w:val="000000"/>
                <w:szCs w:val="21"/>
              </w:rPr>
            </w:pPr>
            <w:r w:rsidRPr="00C24ACA">
              <w:rPr>
                <w:rFonts w:eastAsiaTheme="minorEastAsia"/>
                <w:b/>
                <w:color w:val="000000"/>
                <w:szCs w:val="21"/>
              </w:rPr>
              <w:t>120,778,477.98</w:t>
            </w:r>
          </w:p>
        </w:tc>
      </w:tr>
      <w:tr w:rsidR="0076511D" w:rsidRPr="00C24ACA" w:rsidTr="00623305">
        <w:tc>
          <w:tcPr>
            <w:tcW w:w="3420" w:type="dxa"/>
          </w:tcPr>
          <w:p w:rsidR="0076511D" w:rsidRPr="00C24ACA" w:rsidRDefault="0076511D">
            <w:pPr>
              <w:rPr>
                <w:rFonts w:eastAsiaTheme="minorEastAsia"/>
                <w:b/>
                <w:color w:val="000000"/>
                <w:szCs w:val="21"/>
              </w:rPr>
            </w:pPr>
            <w:r w:rsidRPr="00C24ACA">
              <w:rPr>
                <w:rFonts w:eastAsiaTheme="minorEastAsia"/>
                <w:szCs w:val="21"/>
              </w:rPr>
              <w:t>减：所得税费用</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23305">
        <w:tc>
          <w:tcPr>
            <w:tcW w:w="3420" w:type="dxa"/>
          </w:tcPr>
          <w:p w:rsidR="0076511D" w:rsidRPr="00C24ACA" w:rsidRDefault="0076511D">
            <w:pPr>
              <w:rPr>
                <w:rFonts w:eastAsiaTheme="minorEastAsia"/>
                <w:b/>
                <w:color w:val="000000"/>
                <w:szCs w:val="21"/>
              </w:rPr>
            </w:pPr>
            <w:r w:rsidRPr="00C24ACA">
              <w:rPr>
                <w:rFonts w:eastAsiaTheme="minorEastAsia"/>
                <w:b/>
                <w:color w:val="000000"/>
                <w:szCs w:val="21"/>
              </w:rPr>
              <w:t>四、净利润（净亏损以</w:t>
            </w:r>
            <w:r w:rsidRPr="00C24ACA">
              <w:rPr>
                <w:rFonts w:eastAsiaTheme="minorEastAsia"/>
                <w:b/>
                <w:color w:val="000000"/>
                <w:szCs w:val="21"/>
              </w:rPr>
              <w:t>“-”</w:t>
            </w:r>
            <w:r w:rsidRPr="00C24ACA">
              <w:rPr>
                <w:rFonts w:eastAsiaTheme="minorEastAsia"/>
                <w:b/>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-144,772,287.73</w:t>
            </w: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120,778,477.98</w:t>
            </w:r>
          </w:p>
        </w:tc>
      </w:tr>
    </w:tbl>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184" w:name="_Toc225498270"/>
      <w:bookmarkStart w:id="185" w:name="_Toc352255993"/>
      <w:bookmarkStart w:id="186" w:name="_Toc352256061"/>
      <w:bookmarkStart w:id="187" w:name="_Toc352331239"/>
      <w:bookmarkStart w:id="188" w:name="_Toc390164818"/>
      <w:bookmarkStart w:id="189" w:name="_Toc48662493"/>
      <w:r w:rsidRPr="0087359D">
        <w:rPr>
          <w:rFonts w:ascii="宋体" w:hAnsi="宋体"/>
          <w:kern w:val="0"/>
          <w:sz w:val="21"/>
          <w:szCs w:val="21"/>
        </w:rPr>
        <w:t>6.3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所有者权益（基金净值）变动表</w:t>
      </w:r>
      <w:bookmarkEnd w:id="184"/>
      <w:bookmarkEnd w:id="185"/>
      <w:bookmarkEnd w:id="186"/>
      <w:bookmarkEnd w:id="187"/>
      <w:bookmarkEnd w:id="188"/>
      <w:bookmarkEnd w:id="189"/>
    </w:p>
    <w:p w:rsidR="008A5A5D" w:rsidRPr="00C24ACA" w:rsidRDefault="008A5A5D" w:rsidP="00316012">
      <w:pPr>
        <w:spacing w:line="360" w:lineRule="auto"/>
        <w:rPr>
          <w:rFonts w:eastAsiaTheme="minorEastAsia"/>
          <w:kern w:val="0"/>
          <w:szCs w:val="21"/>
        </w:rPr>
      </w:pPr>
      <w:r w:rsidRPr="00C24ACA">
        <w:rPr>
          <w:rFonts w:eastAsiaTheme="minorEastAsia"/>
          <w:color w:val="000000"/>
          <w:szCs w:val="21"/>
        </w:rPr>
        <w:t>会计主体：</w:t>
      </w:r>
      <w:r w:rsidRPr="00C24ACA">
        <w:rPr>
          <w:rFonts w:eastAsiaTheme="minorEastAsia"/>
          <w:kern w:val="0"/>
          <w:szCs w:val="21"/>
        </w:rPr>
        <w:t>易方达恒生中国企业交易型开放式指数证券投资基金联接基金</w:t>
      </w:r>
    </w:p>
    <w:p w:rsidR="008A5A5D" w:rsidRPr="00C24ACA" w:rsidRDefault="008A5A5D" w:rsidP="00316012">
      <w:pPr>
        <w:spacing w:line="360" w:lineRule="auto"/>
        <w:rPr>
          <w:rFonts w:eastAsiaTheme="minorEastAsia"/>
          <w:kern w:val="0"/>
          <w:szCs w:val="21"/>
        </w:rPr>
      </w:pPr>
      <w:r w:rsidRPr="00C24ACA">
        <w:rPr>
          <w:rFonts w:eastAsiaTheme="minorEastAsia"/>
          <w:color w:val="000000"/>
          <w:szCs w:val="21"/>
        </w:rPr>
        <w:t>本报告期：</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1</w:t>
      </w:r>
      <w:r w:rsidR="00AC4A34" w:rsidRPr="00C24ACA">
        <w:rPr>
          <w:rFonts w:eastAsiaTheme="minorEastAsia"/>
          <w:kern w:val="0"/>
          <w:szCs w:val="21"/>
        </w:rPr>
        <w:t>月</w:t>
      </w:r>
      <w:r w:rsidR="00AC4A34" w:rsidRPr="00C24ACA">
        <w:rPr>
          <w:rFonts w:eastAsiaTheme="minorEastAsia"/>
          <w:kern w:val="0"/>
          <w:szCs w:val="21"/>
        </w:rPr>
        <w:t>1</w:t>
      </w:r>
      <w:r w:rsidR="00AC4A34" w:rsidRPr="00C24ACA">
        <w:rPr>
          <w:rFonts w:eastAsiaTheme="minorEastAsia"/>
          <w:kern w:val="0"/>
          <w:szCs w:val="21"/>
        </w:rPr>
        <w:t>日</w:t>
      </w:r>
      <w:r w:rsidRPr="00C24ACA">
        <w:rPr>
          <w:rFonts w:eastAsiaTheme="minorEastAsia"/>
          <w:kern w:val="0"/>
          <w:szCs w:val="21"/>
        </w:rPr>
        <w:t>至</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6</w:t>
      </w:r>
      <w:r w:rsidR="00AC4A34" w:rsidRPr="00C24ACA">
        <w:rPr>
          <w:rFonts w:eastAsiaTheme="minorEastAsia"/>
          <w:kern w:val="0"/>
          <w:szCs w:val="21"/>
        </w:rPr>
        <w:t>月</w:t>
      </w:r>
      <w:r w:rsidR="00AC4A34" w:rsidRPr="00C24ACA">
        <w:rPr>
          <w:rFonts w:eastAsiaTheme="minorEastAsia"/>
          <w:kern w:val="0"/>
          <w:szCs w:val="21"/>
        </w:rPr>
        <w:t>30</w:t>
      </w:r>
      <w:r w:rsidR="00AC4A34" w:rsidRPr="00C24ACA">
        <w:rPr>
          <w:rFonts w:eastAsiaTheme="minorEastAsia"/>
          <w:kern w:val="0"/>
          <w:szCs w:val="21"/>
        </w:rPr>
        <w:t>日</w:t>
      </w:r>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2127"/>
        <w:gridCol w:w="1984"/>
        <w:gridCol w:w="2054"/>
      </w:tblGrid>
      <w:tr w:rsidR="008A5A5D" w:rsidRPr="00C24ACA" w:rsidTr="006D141C">
        <w:tc>
          <w:tcPr>
            <w:tcW w:w="2835" w:type="dxa"/>
            <w:vMerge w:val="restart"/>
            <w:vAlign w:val="center"/>
          </w:tcPr>
          <w:p w:rsidR="008A5A5D" w:rsidRPr="00C24ACA" w:rsidRDefault="008A5A5D" w:rsidP="00C96D24">
            <w:pPr>
              <w:jc w:val="center"/>
              <w:rPr>
                <w:rFonts w:eastAsiaTheme="minorEastAsia"/>
                <w:b/>
                <w:color w:val="000000"/>
                <w:szCs w:val="21"/>
              </w:rPr>
            </w:pPr>
            <w:r w:rsidRPr="00C24ACA">
              <w:rPr>
                <w:rFonts w:eastAsiaTheme="minorEastAsia"/>
                <w:b/>
                <w:color w:val="000000"/>
                <w:szCs w:val="21"/>
              </w:rPr>
              <w:t>项目</w:t>
            </w:r>
          </w:p>
        </w:tc>
        <w:tc>
          <w:tcPr>
            <w:tcW w:w="6165" w:type="dxa"/>
            <w:gridSpan w:val="3"/>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本期</w:t>
            </w:r>
          </w:p>
          <w:p w:rsidR="008A5A5D" w:rsidRPr="00C24ACA" w:rsidRDefault="00AC4A3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日</w:t>
            </w:r>
            <w:r w:rsidR="008A5A5D" w:rsidRPr="00C24ACA">
              <w:rPr>
                <w:rFonts w:ascii="Times New Roman" w:eastAsiaTheme="minorEastAsia" w:hAnsi="Times New Roman"/>
                <w:b/>
                <w:sz w:val="21"/>
                <w:szCs w:val="21"/>
              </w:rPr>
              <w:t>至</w:t>
            </w: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6</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30</w:t>
            </w:r>
            <w:r w:rsidRPr="00C24ACA">
              <w:rPr>
                <w:rFonts w:ascii="Times New Roman" w:eastAsiaTheme="minorEastAsia" w:hAnsi="Times New Roman"/>
                <w:b/>
                <w:sz w:val="21"/>
                <w:szCs w:val="21"/>
              </w:rPr>
              <w:t>日</w:t>
            </w:r>
          </w:p>
        </w:tc>
      </w:tr>
      <w:tr w:rsidR="008A5A5D" w:rsidRPr="00C24ACA" w:rsidTr="006D141C">
        <w:tc>
          <w:tcPr>
            <w:tcW w:w="2835" w:type="dxa"/>
            <w:vMerge/>
            <w:vAlign w:val="center"/>
          </w:tcPr>
          <w:p w:rsidR="008A5A5D" w:rsidRPr="00C24ACA" w:rsidRDefault="008A5A5D">
            <w:pPr>
              <w:widowControl/>
              <w:jc w:val="left"/>
              <w:rPr>
                <w:rFonts w:eastAsiaTheme="minorEastAsia"/>
                <w:b/>
                <w:color w:val="000000"/>
                <w:szCs w:val="21"/>
              </w:rPr>
            </w:pPr>
          </w:p>
        </w:tc>
        <w:tc>
          <w:tcPr>
            <w:tcW w:w="2127" w:type="dxa"/>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实收基金</w:t>
            </w:r>
          </w:p>
        </w:tc>
        <w:tc>
          <w:tcPr>
            <w:tcW w:w="1984" w:type="dxa"/>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未分配利润</w:t>
            </w:r>
          </w:p>
        </w:tc>
        <w:tc>
          <w:tcPr>
            <w:tcW w:w="2054" w:type="dxa"/>
            <w:vAlign w:val="center"/>
          </w:tcPr>
          <w:p w:rsidR="008A5A5D" w:rsidRPr="00C24ACA" w:rsidRDefault="008A5A5D">
            <w:pPr>
              <w:jc w:val="center"/>
              <w:rPr>
                <w:rFonts w:eastAsiaTheme="minorEastAsia"/>
                <w:color w:val="000000"/>
                <w:szCs w:val="21"/>
              </w:rPr>
            </w:pPr>
            <w:r w:rsidRPr="00C24ACA">
              <w:rPr>
                <w:rFonts w:eastAsiaTheme="minorEastAsia"/>
                <w:b/>
                <w:color w:val="000000"/>
                <w:szCs w:val="21"/>
              </w:rPr>
              <w:t>所有者权益合计</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一、期初所有者权益（基金净值）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1,564,413,109.93</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414,806,031.10</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1,979,219,141.03</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二、本期经营活动产生的基金净值变动数（本期利润）</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-144,772,287.73</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-144,772,287.73</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三、本期基金份额交易产生的基金净值变动数（净值减少以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-65,128,027.80</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-52,919,825.35</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-118,047,853.15</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其中：</w:t>
            </w:r>
            <w:r w:rsidRPr="00C24ACA">
              <w:rPr>
                <w:rFonts w:eastAsiaTheme="minorEastAsia"/>
                <w:color w:val="000000"/>
                <w:szCs w:val="21"/>
              </w:rPr>
              <w:t>1.</w:t>
            </w:r>
            <w:r w:rsidRPr="00C24ACA">
              <w:rPr>
                <w:rFonts w:eastAsiaTheme="minorEastAsia"/>
                <w:color w:val="000000"/>
                <w:szCs w:val="21"/>
              </w:rPr>
              <w:t>基金申购款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1,286,463,315.96</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195,553,507.15</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1,482,016,823.11</w:t>
            </w:r>
          </w:p>
        </w:tc>
      </w:tr>
      <w:tr w:rsidR="008A5A5D" w:rsidRPr="00C24ACA" w:rsidTr="00C903E7">
        <w:tc>
          <w:tcPr>
            <w:tcW w:w="2835" w:type="dxa"/>
          </w:tcPr>
          <w:p w:rsidR="008A5A5D" w:rsidRPr="00C24ACA" w:rsidRDefault="008A5A5D" w:rsidP="008134C7">
            <w:pPr>
              <w:ind w:firstLineChars="300" w:firstLine="630"/>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基金赎回款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-1,351,591,343.76</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-248,473,332.50</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-1,600,064,676.26</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四、本期向基金份额持有人分配利润产生的基金净值变动（净值减少以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五、期末所有者权益（基金净值）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1,499,285,082.13</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217,113,918.02</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1,716,399,000.15</w:t>
            </w:r>
          </w:p>
        </w:tc>
      </w:tr>
      <w:tr w:rsidR="008A5A5D" w:rsidRPr="00C24ACA" w:rsidTr="006D141C">
        <w:tc>
          <w:tcPr>
            <w:tcW w:w="2835" w:type="dxa"/>
            <w:vMerge w:val="restart"/>
            <w:vAlign w:val="center"/>
          </w:tcPr>
          <w:p w:rsidR="008A5A5D" w:rsidRPr="00C24ACA" w:rsidRDefault="008A5A5D">
            <w:pPr>
              <w:jc w:val="center"/>
              <w:rPr>
                <w:rFonts w:eastAsiaTheme="minorEastAsia"/>
                <w:color w:val="000000"/>
                <w:szCs w:val="21"/>
              </w:rPr>
            </w:pPr>
            <w:r w:rsidRPr="00C24ACA">
              <w:rPr>
                <w:rFonts w:eastAsiaTheme="minorEastAsia"/>
                <w:b/>
                <w:color w:val="000000"/>
                <w:szCs w:val="21"/>
              </w:rPr>
              <w:t>项目</w:t>
            </w:r>
          </w:p>
        </w:tc>
        <w:tc>
          <w:tcPr>
            <w:tcW w:w="6165" w:type="dxa"/>
            <w:gridSpan w:val="3"/>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上年度可比期间</w:t>
            </w:r>
          </w:p>
          <w:p w:rsidR="008A5A5D" w:rsidRPr="00C24ACA" w:rsidRDefault="00BD0707">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1</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1</w:t>
            </w:r>
            <w:r w:rsidRPr="00C24ACA">
              <w:rPr>
                <w:rFonts w:ascii="Times New Roman" w:eastAsiaTheme="minorEastAsia" w:hAnsi="Times New Roman"/>
                <w:b/>
                <w:color w:val="000000"/>
                <w:sz w:val="21"/>
                <w:szCs w:val="21"/>
              </w:rPr>
              <w:t>日至</w:t>
            </w: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6</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30</w:t>
            </w:r>
            <w:r w:rsidRPr="00C24ACA">
              <w:rPr>
                <w:rFonts w:ascii="Times New Roman" w:eastAsiaTheme="minorEastAsia" w:hAnsi="Times New Roman"/>
                <w:b/>
                <w:color w:val="000000"/>
                <w:sz w:val="21"/>
                <w:szCs w:val="21"/>
              </w:rPr>
              <w:t>日</w:t>
            </w:r>
          </w:p>
        </w:tc>
      </w:tr>
      <w:tr w:rsidR="008A5A5D" w:rsidRPr="00C24ACA" w:rsidTr="008964A8">
        <w:tc>
          <w:tcPr>
            <w:tcW w:w="2835" w:type="dxa"/>
            <w:vMerge/>
            <w:vAlign w:val="center"/>
          </w:tcPr>
          <w:p w:rsidR="008A5A5D" w:rsidRPr="00C24ACA" w:rsidRDefault="008A5A5D">
            <w:pPr>
              <w:widowControl/>
              <w:jc w:val="left"/>
              <w:rPr>
                <w:rFonts w:eastAsiaTheme="minorEastAsia"/>
                <w:color w:val="000000"/>
                <w:szCs w:val="21"/>
              </w:rPr>
            </w:pPr>
          </w:p>
        </w:tc>
        <w:tc>
          <w:tcPr>
            <w:tcW w:w="2127" w:type="dxa"/>
            <w:vAlign w:val="center"/>
          </w:tcPr>
          <w:p w:rsidR="008A5A5D" w:rsidRPr="00C24ACA" w:rsidRDefault="008A5A5D" w:rsidP="00E069E3">
            <w:pPr>
              <w:jc w:val="center"/>
              <w:rPr>
                <w:rFonts w:eastAsiaTheme="minorEastAsia"/>
                <w:color w:val="000000"/>
                <w:szCs w:val="21"/>
              </w:rPr>
            </w:pPr>
            <w:r w:rsidRPr="00C24ACA">
              <w:rPr>
                <w:rFonts w:eastAsiaTheme="minorEastAsia"/>
                <w:b/>
                <w:color w:val="000000"/>
                <w:szCs w:val="21"/>
              </w:rPr>
              <w:t>实收基金</w:t>
            </w:r>
          </w:p>
        </w:tc>
        <w:tc>
          <w:tcPr>
            <w:tcW w:w="1984" w:type="dxa"/>
            <w:vAlign w:val="center"/>
          </w:tcPr>
          <w:p w:rsidR="008A5A5D" w:rsidRPr="00C24ACA" w:rsidRDefault="008A5A5D" w:rsidP="008964A8">
            <w:pPr>
              <w:jc w:val="center"/>
              <w:rPr>
                <w:rFonts w:eastAsiaTheme="minorEastAsia"/>
                <w:color w:val="000000"/>
                <w:szCs w:val="21"/>
              </w:rPr>
            </w:pPr>
            <w:r w:rsidRPr="00C24ACA">
              <w:rPr>
                <w:rFonts w:eastAsiaTheme="minorEastAsia"/>
                <w:b/>
                <w:color w:val="000000"/>
                <w:szCs w:val="21"/>
              </w:rPr>
              <w:t>未分配利润</w:t>
            </w:r>
          </w:p>
        </w:tc>
        <w:tc>
          <w:tcPr>
            <w:tcW w:w="2054" w:type="dxa"/>
            <w:vAlign w:val="center"/>
          </w:tcPr>
          <w:p w:rsidR="008A5A5D" w:rsidRPr="00C24ACA" w:rsidRDefault="008A5A5D" w:rsidP="008964A8">
            <w:pPr>
              <w:jc w:val="center"/>
              <w:rPr>
                <w:rFonts w:eastAsiaTheme="minorEastAsia"/>
                <w:b/>
                <w:color w:val="000000"/>
                <w:szCs w:val="21"/>
              </w:rPr>
            </w:pPr>
            <w:r w:rsidRPr="00C24ACA">
              <w:rPr>
                <w:rFonts w:eastAsiaTheme="minorEastAsia"/>
                <w:b/>
                <w:color w:val="000000"/>
                <w:szCs w:val="21"/>
              </w:rPr>
              <w:t>所有者权益合计</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一、期初所有者权益（基金净值）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1,212,953,839.94</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139,246,975.29</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1,352,200,815.23</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二、本期经营活动产生的基金净值变动数（本期利润）</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120,778,477.98</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120,778,477.98</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三、本期基金份额交易产生的基金净值变动数（净值减少以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80,381,965.94</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9,677,452.40</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90,059,418.34</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其中：</w:t>
            </w:r>
            <w:r w:rsidRPr="00C24ACA">
              <w:rPr>
                <w:rFonts w:eastAsiaTheme="minorEastAsia"/>
                <w:color w:val="000000"/>
                <w:szCs w:val="21"/>
              </w:rPr>
              <w:t>1.</w:t>
            </w:r>
            <w:r w:rsidRPr="00C24ACA">
              <w:rPr>
                <w:rFonts w:eastAsiaTheme="minorEastAsia"/>
                <w:color w:val="000000"/>
                <w:szCs w:val="21"/>
              </w:rPr>
              <w:t>基金申购款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510,896,827.65</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94,926,773.95</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605,823,601.60</w:t>
            </w:r>
          </w:p>
        </w:tc>
      </w:tr>
      <w:tr w:rsidR="008A5A5D" w:rsidRPr="00C24ACA" w:rsidTr="00C903E7">
        <w:tc>
          <w:tcPr>
            <w:tcW w:w="2835" w:type="dxa"/>
          </w:tcPr>
          <w:p w:rsidR="008A5A5D" w:rsidRPr="00C24ACA" w:rsidRDefault="008A5A5D" w:rsidP="008134C7">
            <w:pPr>
              <w:ind w:firstLineChars="300" w:firstLine="630"/>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基金赎回款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-430,514,861.71</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-85,249,321.55</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-515,764,183.26</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四、本期向基金份额持有人分配利润产生的基金净值变动（净值减少以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五、期末所有者权益（基金净值）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1,293,335,805.88</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269,702,905.67</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1,563,038,711.55</w:t>
            </w:r>
          </w:p>
        </w:tc>
      </w:tr>
    </w:tbl>
    <w:p w:rsidR="0035753E" w:rsidRPr="00C24ACA" w:rsidRDefault="0035753E" w:rsidP="006C64F3">
      <w:pPr>
        <w:spacing w:beforeLines="100" w:before="312" w:line="360" w:lineRule="auto"/>
        <w:rPr>
          <w:rFonts w:eastAsiaTheme="minorEastAsia"/>
          <w:szCs w:val="21"/>
        </w:rPr>
      </w:pPr>
      <w:r w:rsidRPr="00C24ACA">
        <w:rPr>
          <w:rFonts w:eastAsiaTheme="minorEastAsia"/>
          <w:szCs w:val="21"/>
        </w:rPr>
        <w:t>报表附注为财务报表的组成部分。</w:t>
      </w:r>
    </w:p>
    <w:p w:rsidR="0035753E" w:rsidRPr="00C24ACA" w:rsidRDefault="0035753E" w:rsidP="00316012">
      <w:pPr>
        <w:spacing w:line="360" w:lineRule="auto"/>
        <w:rPr>
          <w:rFonts w:eastAsiaTheme="minorEastAsia"/>
          <w:szCs w:val="21"/>
        </w:rPr>
      </w:pPr>
      <w:r w:rsidRPr="00C24ACA">
        <w:rPr>
          <w:rFonts w:eastAsiaTheme="minorEastAsia"/>
          <w:szCs w:val="21"/>
        </w:rPr>
        <w:t>本报告</w:t>
      </w:r>
      <w:r w:rsidRPr="00C24ACA">
        <w:rPr>
          <w:rFonts w:eastAsiaTheme="minorEastAsia"/>
          <w:szCs w:val="21"/>
        </w:rPr>
        <w:t>6.1</w:t>
      </w:r>
      <w:r w:rsidRPr="00C24ACA">
        <w:rPr>
          <w:rFonts w:eastAsiaTheme="minorEastAsia"/>
          <w:szCs w:val="21"/>
        </w:rPr>
        <w:t>至</w:t>
      </w:r>
      <w:r w:rsidRPr="00C24ACA">
        <w:rPr>
          <w:rFonts w:eastAsiaTheme="minorEastAsia"/>
          <w:szCs w:val="21"/>
        </w:rPr>
        <w:t>6.4</w:t>
      </w:r>
      <w:r w:rsidRPr="00C24ACA">
        <w:rPr>
          <w:rFonts w:eastAsiaTheme="minorEastAsia"/>
          <w:szCs w:val="21"/>
        </w:rPr>
        <w:t>，财务报表由下列负责人签署：</w:t>
      </w:r>
    </w:p>
    <w:p w:rsidR="008A5A5D" w:rsidRPr="00C24ACA" w:rsidRDefault="00787FF8" w:rsidP="00862636">
      <w:pPr>
        <w:spacing w:line="360" w:lineRule="auto"/>
        <w:rPr>
          <w:rFonts w:eastAsiaTheme="minorEastAsia"/>
          <w:szCs w:val="21"/>
        </w:rPr>
      </w:pPr>
      <w:r w:rsidRPr="00C24ACA">
        <w:rPr>
          <w:rFonts w:eastAsiaTheme="minorEastAsia"/>
          <w:szCs w:val="21"/>
        </w:rPr>
        <w:t>基金管理人</w:t>
      </w:r>
      <w:r w:rsidR="0035753E" w:rsidRPr="00C24ACA">
        <w:rPr>
          <w:rFonts w:eastAsiaTheme="minorEastAsia"/>
          <w:szCs w:val="21"/>
        </w:rPr>
        <w:t>负责人：刘晓艳，主管会计工作负责人：陈荣，会计机构负责人：邱毅华</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190" w:name="_Toc225498271"/>
      <w:bookmarkStart w:id="191" w:name="_Toc352255994"/>
      <w:bookmarkStart w:id="192" w:name="_Toc352256062"/>
      <w:bookmarkStart w:id="193" w:name="_Toc352331240"/>
      <w:bookmarkStart w:id="194" w:name="_Toc390164819"/>
      <w:bookmarkStart w:id="195" w:name="_Toc48662494"/>
      <w:r w:rsidRPr="0087359D">
        <w:rPr>
          <w:rFonts w:ascii="宋体" w:hAnsi="宋体"/>
          <w:kern w:val="0"/>
          <w:sz w:val="21"/>
          <w:szCs w:val="21"/>
        </w:rPr>
        <w:t>6.4</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报表附注</w:t>
      </w:r>
      <w:bookmarkEnd w:id="190"/>
      <w:bookmarkEnd w:id="191"/>
      <w:bookmarkEnd w:id="192"/>
      <w:bookmarkEnd w:id="193"/>
      <w:bookmarkEnd w:id="194"/>
      <w:bookmarkEnd w:id="195"/>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6.4.1</w:t>
      </w:r>
      <w:r w:rsidR="004F3E31" w:rsidRPr="00C24ACA">
        <w:rPr>
          <w:rFonts w:eastAsiaTheme="minorEastAsia"/>
          <w:b/>
          <w:bCs/>
          <w:color w:val="000000"/>
          <w:kern w:val="0"/>
          <w:szCs w:val="21"/>
        </w:rPr>
        <w:t xml:space="preserve"> </w:t>
      </w:r>
      <w:r w:rsidRPr="00C24ACA">
        <w:rPr>
          <w:rFonts w:eastAsiaTheme="minorEastAsia"/>
          <w:b/>
          <w:color w:val="000000"/>
          <w:kern w:val="0"/>
          <w:szCs w:val="21"/>
        </w:rPr>
        <w:t>基金基本情况</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易方达恒生中国企业交易型开放式指数证券投资基金联接基金（简称</w:t>
      </w:r>
      <w:r>
        <w:rPr>
          <w:rFonts w:eastAsiaTheme="minorEastAsia"/>
          <w:kern w:val="0"/>
          <w:szCs w:val="21"/>
        </w:rPr>
        <w:t>"</w:t>
      </w:r>
      <w:r>
        <w:rPr>
          <w:rFonts w:eastAsiaTheme="minorEastAsia"/>
          <w:kern w:val="0"/>
          <w:szCs w:val="21"/>
        </w:rPr>
        <w:t>本基金</w:t>
      </w:r>
      <w:r>
        <w:rPr>
          <w:rFonts w:eastAsiaTheme="minorEastAsia"/>
          <w:kern w:val="0"/>
          <w:szCs w:val="21"/>
        </w:rPr>
        <w:t>"</w:t>
      </w:r>
      <w:r>
        <w:rPr>
          <w:rFonts w:eastAsiaTheme="minorEastAsia"/>
          <w:kern w:val="0"/>
          <w:szCs w:val="21"/>
        </w:rPr>
        <w:t>）根据中国证券监督管理委员会</w:t>
      </w:r>
      <w:r>
        <w:rPr>
          <w:rFonts w:eastAsiaTheme="minorEastAsia"/>
          <w:kern w:val="0"/>
          <w:szCs w:val="21"/>
        </w:rPr>
        <w:t>(</w:t>
      </w:r>
      <w:r>
        <w:rPr>
          <w:rFonts w:eastAsiaTheme="minorEastAsia"/>
          <w:kern w:val="0"/>
          <w:szCs w:val="21"/>
        </w:rPr>
        <w:t>以下简称</w:t>
      </w:r>
      <w:r>
        <w:rPr>
          <w:rFonts w:eastAsiaTheme="minorEastAsia"/>
          <w:kern w:val="0"/>
          <w:szCs w:val="21"/>
        </w:rPr>
        <w:t>“</w:t>
      </w:r>
      <w:r>
        <w:rPr>
          <w:rFonts w:eastAsiaTheme="minorEastAsia"/>
          <w:kern w:val="0"/>
          <w:szCs w:val="21"/>
        </w:rPr>
        <w:t>中国证监会</w:t>
      </w:r>
      <w:r>
        <w:rPr>
          <w:rFonts w:eastAsiaTheme="minorEastAsia"/>
          <w:kern w:val="0"/>
          <w:szCs w:val="21"/>
        </w:rPr>
        <w:t>”)</w:t>
      </w:r>
      <w:r>
        <w:rPr>
          <w:rFonts w:eastAsiaTheme="minorEastAsia"/>
          <w:kern w:val="0"/>
          <w:szCs w:val="21"/>
        </w:rPr>
        <w:t>证监许可</w:t>
      </w:r>
      <w:r>
        <w:rPr>
          <w:rFonts w:eastAsiaTheme="minorEastAsia"/>
          <w:kern w:val="0"/>
          <w:szCs w:val="21"/>
        </w:rPr>
        <w:t>[2012]823</w:t>
      </w:r>
      <w:r>
        <w:rPr>
          <w:rFonts w:eastAsiaTheme="minorEastAsia"/>
          <w:kern w:val="0"/>
          <w:szCs w:val="21"/>
        </w:rPr>
        <w:t>号《关于核准易方达恒生中国企业交易型开放式指数证券投资基金及联接基金募集的批复》核准，由易方达基金管理有限公司依照《中华人民共和国证券投资基金法》和《易方达恒生中国企业交易型开放式指数证券投资基金联接基金基金合同》公开募集。经向中国证监会备案，本基金基金合同于</w:t>
      </w:r>
      <w:r>
        <w:rPr>
          <w:rFonts w:eastAsiaTheme="minorEastAsia"/>
          <w:kern w:val="0"/>
          <w:szCs w:val="21"/>
        </w:rPr>
        <w:t>2012</w:t>
      </w:r>
      <w:r>
        <w:rPr>
          <w:rFonts w:eastAsiaTheme="minorEastAsia"/>
          <w:kern w:val="0"/>
          <w:szCs w:val="21"/>
        </w:rPr>
        <w:t>年</w:t>
      </w:r>
      <w:r>
        <w:rPr>
          <w:rFonts w:eastAsiaTheme="minorEastAsia"/>
          <w:kern w:val="0"/>
          <w:szCs w:val="21"/>
        </w:rPr>
        <w:t>8</w:t>
      </w:r>
      <w:r>
        <w:rPr>
          <w:rFonts w:eastAsiaTheme="minorEastAsia"/>
          <w:kern w:val="0"/>
          <w:szCs w:val="21"/>
        </w:rPr>
        <w:t>月</w:t>
      </w:r>
      <w:r>
        <w:rPr>
          <w:rFonts w:eastAsiaTheme="minorEastAsia"/>
          <w:kern w:val="0"/>
          <w:szCs w:val="21"/>
        </w:rPr>
        <w:t>21</w:t>
      </w:r>
      <w:r>
        <w:rPr>
          <w:rFonts w:eastAsiaTheme="minorEastAsia"/>
          <w:kern w:val="0"/>
          <w:szCs w:val="21"/>
        </w:rPr>
        <w:t>日正式生效，基金合同生效日的基金份额总额为</w:t>
      </w:r>
      <w:r>
        <w:rPr>
          <w:rFonts w:eastAsiaTheme="minorEastAsia"/>
          <w:kern w:val="0"/>
          <w:szCs w:val="21"/>
        </w:rPr>
        <w:t>3,221,784,925.61</w:t>
      </w:r>
      <w:r>
        <w:rPr>
          <w:rFonts w:eastAsiaTheme="minorEastAsia"/>
          <w:kern w:val="0"/>
          <w:szCs w:val="21"/>
        </w:rPr>
        <w:t>份基金份额，其中认购资金利息折合</w:t>
      </w:r>
      <w:r>
        <w:rPr>
          <w:rFonts w:eastAsiaTheme="minorEastAsia"/>
          <w:kern w:val="0"/>
          <w:szCs w:val="21"/>
        </w:rPr>
        <w:t>341,161.31</w:t>
      </w:r>
      <w:r>
        <w:rPr>
          <w:rFonts w:eastAsiaTheme="minorEastAsia"/>
          <w:kern w:val="0"/>
          <w:szCs w:val="21"/>
        </w:rPr>
        <w:t>份基金份额。本基金为契约型开放式基金，存续期限不定。本基金的基金管理人为易方达基金管理有限公司，注册登记机构为易方达基金管理有限公司，基金托管人为交通银行股份有限公司，境外资产托管人为香港上海汇丰银行有限公司。</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自</w:t>
      </w:r>
      <w:r w:rsidRPr="00C24ACA">
        <w:rPr>
          <w:rFonts w:eastAsiaTheme="minorEastAsia"/>
          <w:kern w:val="0"/>
          <w:szCs w:val="21"/>
        </w:rPr>
        <w:t>2018</w:t>
      </w:r>
      <w:r w:rsidRPr="00C24ACA">
        <w:rPr>
          <w:rFonts w:eastAsiaTheme="minorEastAsia"/>
          <w:kern w:val="0"/>
          <w:szCs w:val="21"/>
        </w:rPr>
        <w:t>年</w:t>
      </w:r>
      <w:r w:rsidRPr="00C24ACA">
        <w:rPr>
          <w:rFonts w:eastAsiaTheme="minorEastAsia"/>
          <w:kern w:val="0"/>
          <w:szCs w:val="21"/>
        </w:rPr>
        <w:t>2</w:t>
      </w:r>
      <w:r w:rsidRPr="00C24ACA">
        <w:rPr>
          <w:rFonts w:eastAsiaTheme="minorEastAsia"/>
          <w:kern w:val="0"/>
          <w:szCs w:val="21"/>
        </w:rPr>
        <w:t>月</w:t>
      </w:r>
      <w:r w:rsidRPr="00C24ACA">
        <w:rPr>
          <w:rFonts w:eastAsiaTheme="minorEastAsia"/>
          <w:kern w:val="0"/>
          <w:szCs w:val="21"/>
        </w:rPr>
        <w:t>9</w:t>
      </w:r>
      <w:r w:rsidRPr="00C24ACA">
        <w:rPr>
          <w:rFonts w:eastAsiaTheme="minorEastAsia"/>
          <w:kern w:val="0"/>
          <w:szCs w:val="21"/>
        </w:rPr>
        <w:t>日起，本基金增设</w:t>
      </w:r>
      <w:r w:rsidRPr="00C24ACA">
        <w:rPr>
          <w:rFonts w:eastAsiaTheme="minorEastAsia"/>
          <w:kern w:val="0"/>
          <w:szCs w:val="21"/>
        </w:rPr>
        <w:t>C</w:t>
      </w:r>
      <w:r w:rsidRPr="00C24ACA">
        <w:rPr>
          <w:rFonts w:eastAsiaTheme="minorEastAsia"/>
          <w:kern w:val="0"/>
          <w:szCs w:val="21"/>
        </w:rPr>
        <w:t>类份额类别，份额首次确认日为</w:t>
      </w:r>
      <w:r w:rsidRPr="00C24ACA">
        <w:rPr>
          <w:rFonts w:eastAsiaTheme="minorEastAsia"/>
          <w:kern w:val="0"/>
          <w:szCs w:val="21"/>
        </w:rPr>
        <w:t>2018</w:t>
      </w:r>
      <w:r w:rsidRPr="00C24ACA">
        <w:rPr>
          <w:rFonts w:eastAsiaTheme="minorEastAsia"/>
          <w:kern w:val="0"/>
          <w:szCs w:val="21"/>
        </w:rPr>
        <w:t>年</w:t>
      </w:r>
      <w:r w:rsidRPr="00C24ACA">
        <w:rPr>
          <w:rFonts w:eastAsiaTheme="minorEastAsia"/>
          <w:kern w:val="0"/>
          <w:szCs w:val="21"/>
        </w:rPr>
        <w:t>2</w:t>
      </w:r>
      <w:r w:rsidRPr="00C24ACA">
        <w:rPr>
          <w:rFonts w:eastAsiaTheme="minorEastAsia"/>
          <w:kern w:val="0"/>
          <w:szCs w:val="21"/>
        </w:rPr>
        <w:t>月</w:t>
      </w:r>
      <w:r w:rsidRPr="00C24ACA">
        <w:rPr>
          <w:rFonts w:eastAsiaTheme="minorEastAsia"/>
          <w:kern w:val="0"/>
          <w:szCs w:val="21"/>
        </w:rPr>
        <w:t>12</w:t>
      </w:r>
      <w:r w:rsidRPr="00C24ACA">
        <w:rPr>
          <w:rFonts w:eastAsiaTheme="minorEastAsia"/>
          <w:kern w:val="0"/>
          <w:szCs w:val="21"/>
        </w:rPr>
        <w:t>日。</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6.4.2</w:t>
      </w:r>
      <w:r w:rsidR="004F3E31" w:rsidRPr="00C24ACA">
        <w:rPr>
          <w:rFonts w:eastAsiaTheme="minorEastAsia"/>
          <w:b/>
          <w:bCs/>
          <w:color w:val="000000"/>
          <w:kern w:val="0"/>
          <w:szCs w:val="21"/>
        </w:rPr>
        <w:t xml:space="preserve"> </w:t>
      </w:r>
      <w:r w:rsidRPr="00C24ACA">
        <w:rPr>
          <w:rFonts w:eastAsiaTheme="minorEastAsia"/>
          <w:b/>
          <w:color w:val="000000"/>
          <w:kern w:val="0"/>
          <w:szCs w:val="21"/>
        </w:rPr>
        <w:t>会计报表的编制基础</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本基金的财务报表按照财政部于</w:t>
      </w:r>
      <w:r>
        <w:rPr>
          <w:rFonts w:eastAsiaTheme="minorEastAsia"/>
          <w:kern w:val="0"/>
          <w:szCs w:val="21"/>
        </w:rPr>
        <w:t>2006</w:t>
      </w:r>
      <w:r>
        <w:rPr>
          <w:rFonts w:eastAsiaTheme="minorEastAsia"/>
          <w:kern w:val="0"/>
          <w:szCs w:val="21"/>
        </w:rPr>
        <w:t>年</w:t>
      </w:r>
      <w:r>
        <w:rPr>
          <w:rFonts w:eastAsiaTheme="minorEastAsia"/>
          <w:kern w:val="0"/>
          <w:szCs w:val="21"/>
        </w:rPr>
        <w:t>2</w:t>
      </w:r>
      <w:r>
        <w:rPr>
          <w:rFonts w:eastAsiaTheme="minorEastAsia"/>
          <w:kern w:val="0"/>
          <w:szCs w:val="21"/>
        </w:rPr>
        <w:t>月</w:t>
      </w:r>
      <w:r>
        <w:rPr>
          <w:rFonts w:eastAsiaTheme="minorEastAsia"/>
          <w:kern w:val="0"/>
          <w:szCs w:val="21"/>
        </w:rPr>
        <w:t>15</w:t>
      </w:r>
      <w:r>
        <w:rPr>
          <w:rFonts w:eastAsiaTheme="minorEastAsia"/>
          <w:kern w:val="0"/>
          <w:szCs w:val="21"/>
        </w:rPr>
        <w:t>日及以后期间颁布的《企业会计准则</w:t>
      </w:r>
      <w:r>
        <w:rPr>
          <w:rFonts w:eastAsiaTheme="minorEastAsia"/>
          <w:kern w:val="0"/>
          <w:szCs w:val="21"/>
        </w:rPr>
        <w:t>-</w:t>
      </w:r>
      <w:r>
        <w:rPr>
          <w:rFonts w:eastAsiaTheme="minorEastAsia"/>
          <w:kern w:val="0"/>
          <w:szCs w:val="21"/>
        </w:rPr>
        <w:t>基本准则》、各项具体会计准则及相关规定</w:t>
      </w:r>
      <w:r>
        <w:rPr>
          <w:rFonts w:eastAsiaTheme="minorEastAsia"/>
          <w:kern w:val="0"/>
          <w:szCs w:val="21"/>
        </w:rPr>
        <w:t>(</w:t>
      </w:r>
      <w:r>
        <w:rPr>
          <w:rFonts w:eastAsiaTheme="minorEastAsia"/>
          <w:kern w:val="0"/>
          <w:szCs w:val="21"/>
        </w:rPr>
        <w:t>以下合称</w:t>
      </w:r>
      <w:r>
        <w:rPr>
          <w:rFonts w:eastAsiaTheme="minorEastAsia"/>
          <w:kern w:val="0"/>
          <w:szCs w:val="21"/>
        </w:rPr>
        <w:t>“</w:t>
      </w:r>
      <w:r>
        <w:rPr>
          <w:rFonts w:eastAsiaTheme="minorEastAsia"/>
          <w:kern w:val="0"/>
          <w:szCs w:val="21"/>
        </w:rPr>
        <w:t>企业会计准则</w:t>
      </w:r>
      <w:r>
        <w:rPr>
          <w:rFonts w:eastAsiaTheme="minorEastAsia"/>
          <w:kern w:val="0"/>
          <w:szCs w:val="21"/>
        </w:rPr>
        <w:t>”)</w:t>
      </w:r>
      <w:r>
        <w:rPr>
          <w:rFonts w:eastAsiaTheme="minorEastAsia"/>
          <w:kern w:val="0"/>
          <w:szCs w:val="21"/>
        </w:rPr>
        <w:t>、中国证监会颁布的《证券投资基金信息披露</w:t>
      </w:r>
      <w:r>
        <w:rPr>
          <w:rFonts w:eastAsiaTheme="minorEastAsia"/>
          <w:kern w:val="0"/>
          <w:szCs w:val="21"/>
        </w:rPr>
        <w:t>XBRL</w:t>
      </w:r>
      <w:r>
        <w:rPr>
          <w:rFonts w:eastAsiaTheme="minorEastAsia"/>
          <w:kern w:val="0"/>
          <w:szCs w:val="21"/>
        </w:rPr>
        <w:t>模板第</w:t>
      </w:r>
      <w:r>
        <w:rPr>
          <w:rFonts w:eastAsiaTheme="minorEastAsia"/>
          <w:kern w:val="0"/>
          <w:szCs w:val="21"/>
        </w:rPr>
        <w:t>3</w:t>
      </w:r>
      <w:r>
        <w:rPr>
          <w:rFonts w:eastAsiaTheme="minorEastAsia"/>
          <w:kern w:val="0"/>
          <w:szCs w:val="21"/>
        </w:rPr>
        <w:t>号</w:t>
      </w:r>
      <w:r>
        <w:rPr>
          <w:rFonts w:eastAsiaTheme="minorEastAsia"/>
          <w:kern w:val="0"/>
          <w:szCs w:val="21"/>
        </w:rPr>
        <w:t>&lt;</w:t>
      </w:r>
      <w:r>
        <w:rPr>
          <w:rFonts w:eastAsiaTheme="minorEastAsia"/>
          <w:kern w:val="0"/>
          <w:szCs w:val="21"/>
        </w:rPr>
        <w:t>年度报告和中期报告</w:t>
      </w:r>
      <w:r>
        <w:rPr>
          <w:rFonts w:eastAsiaTheme="minorEastAsia"/>
          <w:kern w:val="0"/>
          <w:szCs w:val="21"/>
        </w:rPr>
        <w:t>&gt;</w:t>
      </w:r>
      <w:r>
        <w:rPr>
          <w:rFonts w:eastAsiaTheme="minorEastAsia"/>
          <w:kern w:val="0"/>
          <w:szCs w:val="21"/>
        </w:rPr>
        <w:t>》、中国证券投资基金业协会</w:t>
      </w:r>
      <w:r>
        <w:rPr>
          <w:rFonts w:eastAsiaTheme="minorEastAsia"/>
          <w:kern w:val="0"/>
          <w:szCs w:val="21"/>
        </w:rPr>
        <w:t>(</w:t>
      </w:r>
      <w:r>
        <w:rPr>
          <w:rFonts w:eastAsiaTheme="minorEastAsia"/>
          <w:kern w:val="0"/>
          <w:szCs w:val="21"/>
        </w:rPr>
        <w:t>以下简称</w:t>
      </w:r>
      <w:r>
        <w:rPr>
          <w:rFonts w:eastAsiaTheme="minorEastAsia"/>
          <w:kern w:val="0"/>
          <w:szCs w:val="21"/>
        </w:rPr>
        <w:t>“</w:t>
      </w:r>
      <w:r>
        <w:rPr>
          <w:rFonts w:eastAsiaTheme="minorEastAsia"/>
          <w:kern w:val="0"/>
          <w:szCs w:val="21"/>
        </w:rPr>
        <w:t>中国基金业协会</w:t>
      </w:r>
      <w:r>
        <w:rPr>
          <w:rFonts w:eastAsiaTheme="minorEastAsia"/>
          <w:kern w:val="0"/>
          <w:szCs w:val="21"/>
        </w:rPr>
        <w:t>”)</w:t>
      </w:r>
      <w:r>
        <w:rPr>
          <w:rFonts w:eastAsiaTheme="minorEastAsia"/>
          <w:kern w:val="0"/>
          <w:szCs w:val="21"/>
        </w:rPr>
        <w:t>颁布的《证券投资基金会计核算业务指引》、《易方达恒生中国企业交易型开放式指数证券投资基金联接基金基金合同》和财务报表附注所列示的中国证监会、中国基金业协会发布的有关规定及允许的基金行业实务操作编制。</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本财务报表以持续经营为基础编制。</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6.4.3</w:t>
      </w:r>
      <w:r w:rsidR="004F3E31" w:rsidRPr="00C24ACA">
        <w:rPr>
          <w:rFonts w:eastAsiaTheme="minorEastAsia"/>
          <w:b/>
          <w:bCs/>
          <w:color w:val="000000"/>
          <w:kern w:val="0"/>
          <w:szCs w:val="21"/>
        </w:rPr>
        <w:t xml:space="preserve"> </w:t>
      </w:r>
      <w:r w:rsidRPr="00C24ACA">
        <w:rPr>
          <w:rFonts w:eastAsiaTheme="minorEastAsia"/>
          <w:b/>
          <w:color w:val="000000"/>
          <w:kern w:val="0"/>
          <w:szCs w:val="21"/>
        </w:rPr>
        <w:t>遵循企业会计准则及其他有关规定的声明</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本财务报表符合企业会计准则的要求，真实、完整地反映了本基金本报告期末的财务状况以及本报告期间的经营成果和基金净值变动情况等有关信息。</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6.4.4</w:t>
      </w:r>
      <w:r w:rsidR="004F3E31" w:rsidRPr="00C24ACA">
        <w:rPr>
          <w:rFonts w:eastAsiaTheme="minorEastAsia"/>
          <w:b/>
          <w:bCs/>
          <w:color w:val="000000"/>
          <w:kern w:val="0"/>
          <w:szCs w:val="21"/>
        </w:rPr>
        <w:t xml:space="preserve"> </w:t>
      </w:r>
      <w:r w:rsidR="004F3E31" w:rsidRPr="00C24ACA">
        <w:rPr>
          <w:rFonts w:eastAsiaTheme="minorEastAsia"/>
          <w:b/>
          <w:kern w:val="0"/>
          <w:szCs w:val="21"/>
        </w:rPr>
        <w:t>本报告期所采用的会计政策、会计估计与最近一期年度报告相一致的说明</w:t>
      </w:r>
    </w:p>
    <w:p w:rsidR="006E59EA"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本报告期所采用的会计政策、会计估计与最近一期年度报告相一致。</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6.4.5</w:t>
      </w:r>
      <w:r w:rsidRPr="00C24ACA">
        <w:rPr>
          <w:rFonts w:eastAsiaTheme="minorEastAsia"/>
          <w:b/>
          <w:color w:val="000000"/>
          <w:kern w:val="0"/>
          <w:szCs w:val="21"/>
        </w:rPr>
        <w:t xml:space="preserve"> </w:t>
      </w:r>
      <w:r w:rsidRPr="00C24ACA">
        <w:rPr>
          <w:rFonts w:eastAsiaTheme="minorEastAsia"/>
          <w:b/>
          <w:color w:val="000000"/>
          <w:kern w:val="0"/>
          <w:szCs w:val="21"/>
        </w:rPr>
        <w:t>差错更正的说明</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本基金本报告期无会计差错更正。</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6.4.6</w:t>
      </w:r>
      <w:r w:rsidRPr="00C24ACA">
        <w:rPr>
          <w:rFonts w:eastAsiaTheme="minorEastAsia"/>
          <w:b/>
          <w:color w:val="000000"/>
          <w:kern w:val="0"/>
          <w:szCs w:val="21"/>
        </w:rPr>
        <w:t>税项</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根据财政部、国家税务总局财税</w:t>
      </w:r>
      <w:r>
        <w:rPr>
          <w:rFonts w:eastAsiaTheme="minorEastAsia"/>
          <w:kern w:val="0"/>
          <w:szCs w:val="21"/>
        </w:rPr>
        <w:t>[2002]128</w:t>
      </w:r>
      <w:r>
        <w:rPr>
          <w:rFonts w:eastAsiaTheme="minorEastAsia"/>
          <w:kern w:val="0"/>
          <w:szCs w:val="21"/>
        </w:rPr>
        <w:t>号《关于开放式证券投资基金有关税收问题的通知》、财税</w:t>
      </w:r>
      <w:r>
        <w:rPr>
          <w:rFonts w:eastAsiaTheme="minorEastAsia"/>
          <w:kern w:val="0"/>
          <w:szCs w:val="21"/>
        </w:rPr>
        <w:t>[2008]1</w:t>
      </w:r>
      <w:r>
        <w:rPr>
          <w:rFonts w:eastAsiaTheme="minorEastAsia"/>
          <w:kern w:val="0"/>
          <w:szCs w:val="21"/>
        </w:rPr>
        <w:t>号《关于企业所得税若干优惠政策的通知》、财税</w:t>
      </w:r>
      <w:r>
        <w:rPr>
          <w:rFonts w:eastAsiaTheme="minorEastAsia"/>
          <w:kern w:val="0"/>
          <w:szCs w:val="21"/>
        </w:rPr>
        <w:t>[2014]81</w:t>
      </w:r>
      <w:r>
        <w:rPr>
          <w:rFonts w:eastAsiaTheme="minorEastAsia"/>
          <w:kern w:val="0"/>
          <w:szCs w:val="21"/>
        </w:rPr>
        <w:t>号《财政部国家税务总局证监会关于沪港股票市场交易互联互通机制试点有关税收政策的通知》、财税</w:t>
      </w:r>
      <w:r>
        <w:rPr>
          <w:rFonts w:eastAsiaTheme="minorEastAsia"/>
          <w:kern w:val="0"/>
          <w:szCs w:val="21"/>
        </w:rPr>
        <w:t>[2016]36</w:t>
      </w:r>
      <w:r>
        <w:rPr>
          <w:rFonts w:eastAsiaTheme="minorEastAsia"/>
          <w:kern w:val="0"/>
          <w:szCs w:val="21"/>
        </w:rPr>
        <w:t>号《关于全面推开营业税改征增值税试点的通知》、财税</w:t>
      </w:r>
      <w:r>
        <w:rPr>
          <w:rFonts w:eastAsiaTheme="minorEastAsia"/>
          <w:kern w:val="0"/>
          <w:szCs w:val="21"/>
        </w:rPr>
        <w:t>[2016]46</w:t>
      </w:r>
      <w:r>
        <w:rPr>
          <w:rFonts w:eastAsiaTheme="minorEastAsia"/>
          <w:kern w:val="0"/>
          <w:szCs w:val="21"/>
        </w:rPr>
        <w:t>号《关于进一步明确全面推开营改增试点金融业有关政策的通知》、财税</w:t>
      </w:r>
      <w:r>
        <w:rPr>
          <w:rFonts w:eastAsiaTheme="minorEastAsia"/>
          <w:kern w:val="0"/>
          <w:szCs w:val="21"/>
        </w:rPr>
        <w:t>[2016]70</w:t>
      </w:r>
      <w:r>
        <w:rPr>
          <w:rFonts w:eastAsiaTheme="minorEastAsia"/>
          <w:kern w:val="0"/>
          <w:szCs w:val="21"/>
        </w:rPr>
        <w:t>号《关于金融机构同业往来等增值税政策的补充通知》、财税</w:t>
      </w:r>
      <w:r>
        <w:rPr>
          <w:rFonts w:eastAsiaTheme="minorEastAsia"/>
          <w:kern w:val="0"/>
          <w:szCs w:val="21"/>
        </w:rPr>
        <w:t>[2016]127</w:t>
      </w:r>
      <w:r>
        <w:rPr>
          <w:rFonts w:eastAsiaTheme="minorEastAsia"/>
          <w:kern w:val="0"/>
          <w:szCs w:val="21"/>
        </w:rPr>
        <w:t>号《财政部国家税务总局证监会关于深港股票市场交易互联互通机制试点有关税收政策的通知》、财税</w:t>
      </w:r>
      <w:r>
        <w:rPr>
          <w:rFonts w:eastAsiaTheme="minorEastAsia"/>
          <w:kern w:val="0"/>
          <w:szCs w:val="21"/>
        </w:rPr>
        <w:t>[2016]140</w:t>
      </w:r>
      <w:r>
        <w:rPr>
          <w:rFonts w:eastAsiaTheme="minorEastAsia"/>
          <w:kern w:val="0"/>
          <w:szCs w:val="21"/>
        </w:rPr>
        <w:t>号《关于明确金融房地产开发教育辅助服务等增值税政策的通知》、财税</w:t>
      </w:r>
      <w:r>
        <w:rPr>
          <w:rFonts w:eastAsiaTheme="minorEastAsia"/>
          <w:kern w:val="0"/>
          <w:szCs w:val="21"/>
        </w:rPr>
        <w:t>[2017]2</w:t>
      </w:r>
      <w:r>
        <w:rPr>
          <w:rFonts w:eastAsiaTheme="minorEastAsia"/>
          <w:kern w:val="0"/>
          <w:szCs w:val="21"/>
        </w:rPr>
        <w:t>号《关于资管产品增值税政策有关问题的补充通知》、财税</w:t>
      </w:r>
      <w:r>
        <w:rPr>
          <w:rFonts w:eastAsiaTheme="minorEastAsia"/>
          <w:kern w:val="0"/>
          <w:szCs w:val="21"/>
        </w:rPr>
        <w:t>[2017]56</w:t>
      </w:r>
      <w:r>
        <w:rPr>
          <w:rFonts w:eastAsiaTheme="minorEastAsia"/>
          <w:kern w:val="0"/>
          <w:szCs w:val="21"/>
        </w:rPr>
        <w:t>号《关于资管产品增值税有关问题的通知》、财税</w:t>
      </w:r>
      <w:r>
        <w:rPr>
          <w:rFonts w:eastAsiaTheme="minorEastAsia"/>
          <w:kern w:val="0"/>
          <w:szCs w:val="21"/>
        </w:rPr>
        <w:t>[2017]90</w:t>
      </w:r>
      <w:r>
        <w:rPr>
          <w:rFonts w:eastAsiaTheme="minorEastAsia"/>
          <w:kern w:val="0"/>
          <w:szCs w:val="21"/>
        </w:rPr>
        <w:t>号《关于租入固定资产进项税额抵扣等增值税政策的通知》及其他相关境内外财税法规和实务操作，主要税项列示如下：</w:t>
      </w:r>
      <w:r>
        <w:rPr>
          <w:rFonts w:eastAsiaTheme="minorEastAsia"/>
          <w:kern w:val="0"/>
          <w:szCs w:val="21"/>
        </w:rPr>
        <w:t xml:space="preserve"> </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(1)</w:t>
      </w:r>
      <w:r>
        <w:rPr>
          <w:rFonts w:eastAsiaTheme="minorEastAsia"/>
          <w:kern w:val="0"/>
          <w:szCs w:val="21"/>
        </w:rPr>
        <w:t>资管产品运营过程中发生的增值税应税行为，以资管产品管理人为增值税纳税人。资管产品管理人运营资管产品过程中发生的增值税应税行为，暂适用简易计税方法，按照</w:t>
      </w:r>
      <w:r>
        <w:rPr>
          <w:rFonts w:eastAsiaTheme="minorEastAsia"/>
          <w:kern w:val="0"/>
          <w:szCs w:val="21"/>
        </w:rPr>
        <w:t>3%</w:t>
      </w:r>
      <w:r>
        <w:rPr>
          <w:rFonts w:eastAsiaTheme="minorEastAsia"/>
          <w:kern w:val="0"/>
          <w:szCs w:val="21"/>
        </w:rPr>
        <w:t>的征收率缴纳增值税。对资管产品在</w:t>
      </w:r>
      <w:r>
        <w:rPr>
          <w:rFonts w:eastAsiaTheme="minorEastAsia"/>
          <w:kern w:val="0"/>
          <w:szCs w:val="21"/>
        </w:rPr>
        <w:t>2018</w:t>
      </w:r>
      <w:r>
        <w:rPr>
          <w:rFonts w:eastAsiaTheme="minorEastAsia"/>
          <w:kern w:val="0"/>
          <w:szCs w:val="21"/>
        </w:rPr>
        <w:t>年</w:t>
      </w:r>
      <w:r>
        <w:rPr>
          <w:rFonts w:eastAsiaTheme="minorEastAsia"/>
          <w:kern w:val="0"/>
          <w:szCs w:val="21"/>
        </w:rPr>
        <w:t>1</w:t>
      </w:r>
      <w:r>
        <w:rPr>
          <w:rFonts w:eastAsiaTheme="minorEastAsia"/>
          <w:kern w:val="0"/>
          <w:szCs w:val="21"/>
        </w:rPr>
        <w:t>月</w:t>
      </w:r>
      <w:r>
        <w:rPr>
          <w:rFonts w:eastAsiaTheme="minorEastAsia"/>
          <w:kern w:val="0"/>
          <w:szCs w:val="21"/>
        </w:rPr>
        <w:t>1</w:t>
      </w:r>
      <w:r>
        <w:rPr>
          <w:rFonts w:eastAsiaTheme="minorEastAsia"/>
          <w:kern w:val="0"/>
          <w:szCs w:val="21"/>
        </w:rPr>
        <w:t>日前运营过程中发生的增值税应税行为，未缴纳增值税的，不再缴纳；已缴纳增值税的，已纳税额从资管产品管理人以后月份的增值税应纳税额中抵减。</w:t>
      </w:r>
      <w:r>
        <w:rPr>
          <w:rFonts w:eastAsiaTheme="minorEastAsia"/>
          <w:kern w:val="0"/>
          <w:szCs w:val="21"/>
        </w:rPr>
        <w:t xml:space="preserve"> </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对证券投资基金管理人运用基金买卖股票、债券的转让收入免征增值税，对国债、地方政府债以及金融同业往来利息收入亦免征增值税。资管产品管理人运营资管产品提供的贷款服务，以</w:t>
      </w:r>
      <w:r>
        <w:rPr>
          <w:rFonts w:eastAsiaTheme="minorEastAsia"/>
          <w:kern w:val="0"/>
          <w:szCs w:val="21"/>
        </w:rPr>
        <w:t>2018</w:t>
      </w:r>
      <w:r>
        <w:rPr>
          <w:rFonts w:eastAsiaTheme="minorEastAsia"/>
          <w:kern w:val="0"/>
          <w:szCs w:val="21"/>
        </w:rPr>
        <w:t>年</w:t>
      </w:r>
      <w:r>
        <w:rPr>
          <w:rFonts w:eastAsiaTheme="minorEastAsia"/>
          <w:kern w:val="0"/>
          <w:szCs w:val="21"/>
        </w:rPr>
        <w:t>1</w:t>
      </w:r>
      <w:r>
        <w:rPr>
          <w:rFonts w:eastAsiaTheme="minorEastAsia"/>
          <w:kern w:val="0"/>
          <w:szCs w:val="21"/>
        </w:rPr>
        <w:t>月</w:t>
      </w:r>
      <w:r>
        <w:rPr>
          <w:rFonts w:eastAsiaTheme="minorEastAsia"/>
          <w:kern w:val="0"/>
          <w:szCs w:val="21"/>
        </w:rPr>
        <w:t>1</w:t>
      </w:r>
      <w:r>
        <w:rPr>
          <w:rFonts w:eastAsiaTheme="minorEastAsia"/>
          <w:kern w:val="0"/>
          <w:szCs w:val="21"/>
        </w:rPr>
        <w:t>日起产生的利息及利息性质的收入为销售额。资管产品管理人运营资管产品转让</w:t>
      </w:r>
      <w:r>
        <w:rPr>
          <w:rFonts w:eastAsiaTheme="minorEastAsia"/>
          <w:kern w:val="0"/>
          <w:szCs w:val="21"/>
        </w:rPr>
        <w:t>2017</w:t>
      </w:r>
      <w:r>
        <w:rPr>
          <w:rFonts w:eastAsiaTheme="minorEastAsia"/>
          <w:kern w:val="0"/>
          <w:szCs w:val="21"/>
        </w:rPr>
        <w:t>年</w:t>
      </w:r>
      <w:r>
        <w:rPr>
          <w:rFonts w:eastAsiaTheme="minorEastAsia"/>
          <w:kern w:val="0"/>
          <w:szCs w:val="21"/>
        </w:rPr>
        <w:t>12</w:t>
      </w:r>
      <w:r>
        <w:rPr>
          <w:rFonts w:eastAsiaTheme="minorEastAsia"/>
          <w:kern w:val="0"/>
          <w:szCs w:val="21"/>
        </w:rPr>
        <w:t>月</w:t>
      </w:r>
      <w:r>
        <w:rPr>
          <w:rFonts w:eastAsiaTheme="minorEastAsia"/>
          <w:kern w:val="0"/>
          <w:szCs w:val="21"/>
        </w:rPr>
        <w:t>31</w:t>
      </w:r>
      <w:r>
        <w:rPr>
          <w:rFonts w:eastAsiaTheme="minorEastAsia"/>
          <w:kern w:val="0"/>
          <w:szCs w:val="21"/>
        </w:rPr>
        <w:t>日前取得的基金、非货物期货，可以选择按照实际买入价计算销售额，或者以</w:t>
      </w:r>
      <w:r>
        <w:rPr>
          <w:rFonts w:eastAsiaTheme="minorEastAsia"/>
          <w:kern w:val="0"/>
          <w:szCs w:val="21"/>
        </w:rPr>
        <w:t xml:space="preserve"> 2017</w:t>
      </w:r>
      <w:r>
        <w:rPr>
          <w:rFonts w:eastAsiaTheme="minorEastAsia"/>
          <w:kern w:val="0"/>
          <w:szCs w:val="21"/>
        </w:rPr>
        <w:t>年最后一个交易日的基金份额净值、非货物期货结算价格作为买入价计算销售额。</w:t>
      </w:r>
      <w:r>
        <w:rPr>
          <w:rFonts w:eastAsiaTheme="minorEastAsia"/>
          <w:kern w:val="0"/>
          <w:szCs w:val="21"/>
        </w:rPr>
        <w:t xml:space="preserve"> </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 xml:space="preserve">(2)  </w:t>
      </w:r>
      <w:r>
        <w:rPr>
          <w:rFonts w:eastAsiaTheme="minorEastAsia"/>
          <w:kern w:val="0"/>
          <w:szCs w:val="21"/>
        </w:rPr>
        <w:t>目前基金取得的源自境外的差价收入，其涉及的境外所得税税收政策，按照相关国家或地区税收法律和法规执行，在境内暂不征收企业所得税。</w:t>
      </w:r>
      <w:r>
        <w:rPr>
          <w:rFonts w:eastAsiaTheme="minorEastAsia"/>
          <w:kern w:val="0"/>
          <w:szCs w:val="21"/>
        </w:rPr>
        <w:t xml:space="preserve"> </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 xml:space="preserve">(3) </w:t>
      </w:r>
      <w:r>
        <w:rPr>
          <w:rFonts w:eastAsiaTheme="minorEastAsia"/>
          <w:kern w:val="0"/>
          <w:szCs w:val="21"/>
        </w:rPr>
        <w:t>目前基金取得的源自境外的股利收益，其涉及的境外所得税税收政策，按照相关国家或地区税收法律和法规执行，在境内暂不征收个人所得税和企业所得税。</w:t>
      </w:r>
      <w:r>
        <w:rPr>
          <w:rFonts w:eastAsiaTheme="minorEastAsia"/>
          <w:kern w:val="0"/>
          <w:szCs w:val="21"/>
        </w:rPr>
        <w:t xml:space="preserve"> </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对基金通过沪港通</w:t>
      </w:r>
      <w:r>
        <w:rPr>
          <w:rFonts w:eastAsiaTheme="minorEastAsia"/>
          <w:kern w:val="0"/>
          <w:szCs w:val="21"/>
        </w:rPr>
        <w:t>/</w:t>
      </w:r>
      <w:r>
        <w:rPr>
          <w:rFonts w:eastAsiaTheme="minorEastAsia"/>
          <w:kern w:val="0"/>
          <w:szCs w:val="21"/>
        </w:rPr>
        <w:t>深港通投资香港联交所上市</w:t>
      </w:r>
      <w:r>
        <w:rPr>
          <w:rFonts w:eastAsiaTheme="minorEastAsia"/>
          <w:kern w:val="0"/>
          <w:szCs w:val="21"/>
        </w:rPr>
        <w:t>H</w:t>
      </w:r>
      <w:r>
        <w:rPr>
          <w:rFonts w:eastAsiaTheme="minorEastAsia"/>
          <w:kern w:val="0"/>
          <w:szCs w:val="21"/>
        </w:rPr>
        <w:t>股取得的股息红利，</w:t>
      </w:r>
      <w:r>
        <w:rPr>
          <w:rFonts w:eastAsiaTheme="minorEastAsia"/>
          <w:kern w:val="0"/>
          <w:szCs w:val="21"/>
        </w:rPr>
        <w:t>H</w:t>
      </w:r>
      <w:r>
        <w:rPr>
          <w:rFonts w:eastAsiaTheme="minorEastAsia"/>
          <w:kern w:val="0"/>
          <w:szCs w:val="21"/>
        </w:rPr>
        <w:t>股公司应向中国证券登记结算有限责任公司</w:t>
      </w:r>
      <w:r>
        <w:rPr>
          <w:rFonts w:eastAsiaTheme="minorEastAsia"/>
          <w:kern w:val="0"/>
          <w:szCs w:val="21"/>
        </w:rPr>
        <w:t>(</w:t>
      </w:r>
      <w:r>
        <w:rPr>
          <w:rFonts w:eastAsiaTheme="minorEastAsia"/>
          <w:kern w:val="0"/>
          <w:szCs w:val="21"/>
        </w:rPr>
        <w:t>以下简称</w:t>
      </w:r>
      <w:r>
        <w:rPr>
          <w:rFonts w:eastAsiaTheme="minorEastAsia"/>
          <w:kern w:val="0"/>
          <w:szCs w:val="21"/>
        </w:rPr>
        <w:t>“</w:t>
      </w:r>
      <w:r>
        <w:rPr>
          <w:rFonts w:eastAsiaTheme="minorEastAsia"/>
          <w:kern w:val="0"/>
          <w:szCs w:val="21"/>
        </w:rPr>
        <w:t>中国结算</w:t>
      </w:r>
      <w:r>
        <w:rPr>
          <w:rFonts w:eastAsiaTheme="minorEastAsia"/>
          <w:kern w:val="0"/>
          <w:szCs w:val="21"/>
        </w:rPr>
        <w:t>”)</w:t>
      </w:r>
      <w:r>
        <w:rPr>
          <w:rFonts w:eastAsiaTheme="minorEastAsia"/>
          <w:kern w:val="0"/>
          <w:szCs w:val="21"/>
        </w:rPr>
        <w:t>提出申请，由中国结算向</w:t>
      </w:r>
      <w:r>
        <w:rPr>
          <w:rFonts w:eastAsiaTheme="minorEastAsia"/>
          <w:kern w:val="0"/>
          <w:szCs w:val="21"/>
        </w:rPr>
        <w:t>H</w:t>
      </w:r>
      <w:r>
        <w:rPr>
          <w:rFonts w:eastAsiaTheme="minorEastAsia"/>
          <w:kern w:val="0"/>
          <w:szCs w:val="21"/>
        </w:rPr>
        <w:t>股公司提供内地个人投资者名册，</w:t>
      </w:r>
      <w:r>
        <w:rPr>
          <w:rFonts w:eastAsiaTheme="minorEastAsia"/>
          <w:kern w:val="0"/>
          <w:szCs w:val="21"/>
        </w:rPr>
        <w:t>H</w:t>
      </w:r>
      <w:r>
        <w:rPr>
          <w:rFonts w:eastAsiaTheme="minorEastAsia"/>
          <w:kern w:val="0"/>
          <w:szCs w:val="21"/>
        </w:rPr>
        <w:t>股公司按照</w:t>
      </w:r>
      <w:r>
        <w:rPr>
          <w:rFonts w:eastAsiaTheme="minorEastAsia"/>
          <w:kern w:val="0"/>
          <w:szCs w:val="21"/>
        </w:rPr>
        <w:t>20%</w:t>
      </w:r>
      <w:r>
        <w:rPr>
          <w:rFonts w:eastAsiaTheme="minorEastAsia"/>
          <w:kern w:val="0"/>
          <w:szCs w:val="21"/>
        </w:rPr>
        <w:t>的税率代扣个人所得税。基金通过沪港通</w:t>
      </w:r>
      <w:r>
        <w:rPr>
          <w:rFonts w:eastAsiaTheme="minorEastAsia"/>
          <w:kern w:val="0"/>
          <w:szCs w:val="21"/>
        </w:rPr>
        <w:t>/</w:t>
      </w:r>
      <w:r>
        <w:rPr>
          <w:rFonts w:eastAsiaTheme="minorEastAsia"/>
          <w:kern w:val="0"/>
          <w:szCs w:val="21"/>
        </w:rPr>
        <w:t>深港通投资香港联交所上市的非</w:t>
      </w:r>
      <w:r>
        <w:rPr>
          <w:rFonts w:eastAsiaTheme="minorEastAsia"/>
          <w:kern w:val="0"/>
          <w:szCs w:val="21"/>
        </w:rPr>
        <w:t>H</w:t>
      </w:r>
      <w:r>
        <w:rPr>
          <w:rFonts w:eastAsiaTheme="minorEastAsia"/>
          <w:kern w:val="0"/>
          <w:szCs w:val="21"/>
        </w:rPr>
        <w:t>股取得的股息红利，由中国结算按照</w:t>
      </w:r>
      <w:r>
        <w:rPr>
          <w:rFonts w:eastAsiaTheme="minorEastAsia"/>
          <w:kern w:val="0"/>
          <w:szCs w:val="21"/>
        </w:rPr>
        <w:t>20%</w:t>
      </w:r>
      <w:r>
        <w:rPr>
          <w:rFonts w:eastAsiaTheme="minorEastAsia"/>
          <w:kern w:val="0"/>
          <w:szCs w:val="21"/>
        </w:rPr>
        <w:t>的税率代扣个人所得税。</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 xml:space="preserve">(4) </w:t>
      </w:r>
      <w:r>
        <w:rPr>
          <w:rFonts w:eastAsiaTheme="minorEastAsia"/>
          <w:kern w:val="0"/>
          <w:szCs w:val="21"/>
        </w:rPr>
        <w:t>基金通过沪港通</w:t>
      </w:r>
      <w:r>
        <w:rPr>
          <w:rFonts w:eastAsiaTheme="minorEastAsia"/>
          <w:kern w:val="0"/>
          <w:szCs w:val="21"/>
        </w:rPr>
        <w:t>/</w:t>
      </w:r>
      <w:r>
        <w:rPr>
          <w:rFonts w:eastAsiaTheme="minorEastAsia"/>
          <w:kern w:val="0"/>
          <w:szCs w:val="21"/>
        </w:rPr>
        <w:t>深港通买卖、继承、赠与联交所上市股票，按照香港特别行政区现行税法规定缴纳印花税。</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 xml:space="preserve">(5) </w:t>
      </w:r>
      <w:r w:rsidRPr="00C24ACA">
        <w:rPr>
          <w:rFonts w:eastAsiaTheme="minorEastAsia"/>
          <w:kern w:val="0"/>
          <w:szCs w:val="21"/>
        </w:rPr>
        <w:t>本基金的城市维护建设税、教育费附加和地方教育附加等税费按照实际缴纳增值税额的适用比例计算缴纳。</w:t>
      </w:r>
      <w:r w:rsidRPr="00C24ACA">
        <w:rPr>
          <w:rFonts w:eastAsiaTheme="minorEastAsia"/>
          <w:kern w:val="0"/>
          <w:szCs w:val="21"/>
        </w:rPr>
        <w:t xml:space="preserve"> </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6.4.7</w:t>
      </w:r>
      <w:r w:rsidRPr="00C24ACA">
        <w:rPr>
          <w:rFonts w:eastAsiaTheme="minorEastAsia"/>
          <w:b/>
          <w:color w:val="000000"/>
          <w:kern w:val="0"/>
          <w:szCs w:val="21"/>
        </w:rPr>
        <w:t>重要财务报表项目的说明</w:t>
      </w:r>
    </w:p>
    <w:p w:rsidR="008A5A5D" w:rsidRPr="00C24ACA" w:rsidRDefault="008A5A5D" w:rsidP="009967D7">
      <w:pPr>
        <w:spacing w:line="360" w:lineRule="auto"/>
        <w:rPr>
          <w:rFonts w:eastAsiaTheme="minorEastAsia"/>
          <w:b/>
          <w:color w:val="000000"/>
          <w:szCs w:val="21"/>
        </w:rPr>
      </w:pPr>
      <w:r w:rsidRPr="00C24ACA">
        <w:rPr>
          <w:rFonts w:eastAsiaTheme="minorEastAsia"/>
          <w:b/>
          <w:bCs/>
          <w:color w:val="000000"/>
          <w:kern w:val="0"/>
          <w:szCs w:val="21"/>
        </w:rPr>
        <w:t>6.4.7.1</w:t>
      </w:r>
      <w:r w:rsidRPr="00C24ACA">
        <w:rPr>
          <w:rFonts w:eastAsiaTheme="minorEastAsia"/>
          <w:b/>
          <w:color w:val="000000"/>
          <w:szCs w:val="21"/>
        </w:rPr>
        <w:t>银行存款</w:t>
      </w:r>
    </w:p>
    <w:p w:rsidR="00993316" w:rsidRDefault="00993316" w:rsidP="00993316">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993316" w:rsidTr="00DC4F67">
        <w:trPr>
          <w:trHeight w:val="345"/>
          <w:jc w:val="center"/>
        </w:trPr>
        <w:tc>
          <w:tcPr>
            <w:tcW w:w="3766" w:type="dxa"/>
            <w:tcMar>
              <w:top w:w="15" w:type="dxa"/>
              <w:left w:w="15" w:type="dxa"/>
              <w:bottom w:w="0" w:type="dxa"/>
              <w:right w:w="15" w:type="dxa"/>
            </w:tcMar>
            <w:vAlign w:val="center"/>
            <w:hideMark/>
          </w:tcPr>
          <w:p w:rsidR="00993316" w:rsidRDefault="00993316">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993316" w:rsidRDefault="00993316">
            <w:pPr>
              <w:jc w:val="center"/>
              <w:rPr>
                <w:kern w:val="0"/>
                <w:szCs w:val="21"/>
              </w:rPr>
            </w:pPr>
            <w:r>
              <w:rPr>
                <w:rFonts w:hAnsi="宋体" w:hint="eastAsia"/>
                <w:kern w:val="0"/>
                <w:szCs w:val="21"/>
              </w:rPr>
              <w:t>本期末</w:t>
            </w:r>
          </w:p>
          <w:p w:rsidR="00993316" w:rsidRDefault="00993316">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993316" w:rsidTr="00DC4F67">
        <w:trPr>
          <w:trHeight w:val="315"/>
          <w:jc w:val="center"/>
        </w:trPr>
        <w:tc>
          <w:tcPr>
            <w:tcW w:w="3766" w:type="dxa"/>
            <w:tcMar>
              <w:top w:w="15" w:type="dxa"/>
              <w:left w:w="15" w:type="dxa"/>
              <w:bottom w:w="0" w:type="dxa"/>
              <w:right w:w="15" w:type="dxa"/>
            </w:tcMar>
            <w:hideMark/>
          </w:tcPr>
          <w:p w:rsidR="00993316" w:rsidRDefault="00993316">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993316" w:rsidRDefault="00993316">
            <w:pPr>
              <w:jc w:val="right"/>
              <w:rPr>
                <w:kern w:val="0"/>
                <w:szCs w:val="21"/>
              </w:rPr>
            </w:pPr>
            <w:r>
              <w:rPr>
                <w:kern w:val="0"/>
                <w:szCs w:val="21"/>
              </w:rPr>
              <w:t>117,364,095.88</w:t>
            </w:r>
          </w:p>
        </w:tc>
      </w:tr>
      <w:tr w:rsidR="00993316" w:rsidTr="00DC4F67">
        <w:trPr>
          <w:trHeight w:val="315"/>
          <w:jc w:val="center"/>
        </w:trPr>
        <w:tc>
          <w:tcPr>
            <w:tcW w:w="3766" w:type="dxa"/>
            <w:tcMar>
              <w:top w:w="15" w:type="dxa"/>
              <w:left w:w="15" w:type="dxa"/>
              <w:bottom w:w="0" w:type="dxa"/>
              <w:right w:w="15" w:type="dxa"/>
            </w:tcMar>
            <w:hideMark/>
          </w:tcPr>
          <w:p w:rsidR="00993316" w:rsidRDefault="00993316">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993316" w:rsidRDefault="00993316">
            <w:pPr>
              <w:jc w:val="right"/>
              <w:rPr>
                <w:kern w:val="0"/>
                <w:szCs w:val="21"/>
              </w:rPr>
            </w:pPr>
            <w:r>
              <w:rPr>
                <w:kern w:val="0"/>
                <w:szCs w:val="21"/>
              </w:rPr>
              <w:t>-</w:t>
            </w:r>
          </w:p>
        </w:tc>
      </w:tr>
      <w:tr w:rsidR="00993316" w:rsidTr="00DC4F67">
        <w:trPr>
          <w:trHeight w:val="315"/>
          <w:jc w:val="center"/>
        </w:trPr>
        <w:tc>
          <w:tcPr>
            <w:tcW w:w="3766" w:type="dxa"/>
            <w:tcMar>
              <w:top w:w="15" w:type="dxa"/>
              <w:left w:w="15" w:type="dxa"/>
              <w:bottom w:w="0" w:type="dxa"/>
              <w:right w:w="15" w:type="dxa"/>
            </w:tcMar>
            <w:hideMark/>
          </w:tcPr>
          <w:p w:rsidR="00993316" w:rsidRDefault="00993316">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993316" w:rsidRDefault="00993316">
            <w:pPr>
              <w:jc w:val="right"/>
              <w:rPr>
                <w:kern w:val="0"/>
                <w:szCs w:val="21"/>
              </w:rPr>
            </w:pPr>
            <w:r>
              <w:rPr>
                <w:kern w:val="0"/>
                <w:szCs w:val="21"/>
              </w:rPr>
              <w:t>-</w:t>
            </w:r>
          </w:p>
        </w:tc>
      </w:tr>
      <w:tr w:rsidR="00993316" w:rsidTr="00DC4F67">
        <w:trPr>
          <w:trHeight w:val="315"/>
          <w:jc w:val="center"/>
        </w:trPr>
        <w:tc>
          <w:tcPr>
            <w:tcW w:w="3766" w:type="dxa"/>
            <w:tcMar>
              <w:top w:w="15" w:type="dxa"/>
              <w:left w:w="15" w:type="dxa"/>
              <w:bottom w:w="0" w:type="dxa"/>
              <w:right w:w="15" w:type="dxa"/>
            </w:tcMar>
            <w:hideMark/>
          </w:tcPr>
          <w:p w:rsidR="00993316" w:rsidRDefault="00993316">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993316" w:rsidRDefault="00993316">
            <w:pPr>
              <w:jc w:val="right"/>
              <w:rPr>
                <w:kern w:val="0"/>
                <w:szCs w:val="21"/>
              </w:rPr>
            </w:pPr>
            <w:r>
              <w:rPr>
                <w:kern w:val="0"/>
                <w:szCs w:val="21"/>
              </w:rPr>
              <w:t>-</w:t>
            </w:r>
          </w:p>
        </w:tc>
      </w:tr>
      <w:tr w:rsidR="00993316" w:rsidTr="00DC4F67">
        <w:trPr>
          <w:trHeight w:val="315"/>
          <w:jc w:val="center"/>
        </w:trPr>
        <w:tc>
          <w:tcPr>
            <w:tcW w:w="3766" w:type="dxa"/>
            <w:tcMar>
              <w:top w:w="15" w:type="dxa"/>
              <w:left w:w="15" w:type="dxa"/>
              <w:bottom w:w="0" w:type="dxa"/>
              <w:right w:w="15" w:type="dxa"/>
            </w:tcMar>
            <w:hideMark/>
          </w:tcPr>
          <w:p w:rsidR="00993316" w:rsidRDefault="00993316">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993316" w:rsidRDefault="00993316">
            <w:pPr>
              <w:jc w:val="right"/>
              <w:rPr>
                <w:kern w:val="0"/>
                <w:szCs w:val="21"/>
              </w:rPr>
            </w:pPr>
            <w:r>
              <w:rPr>
                <w:kern w:val="0"/>
                <w:szCs w:val="21"/>
              </w:rPr>
              <w:t>-</w:t>
            </w:r>
          </w:p>
        </w:tc>
      </w:tr>
      <w:tr w:rsidR="00993316" w:rsidTr="00DC4F67">
        <w:trPr>
          <w:trHeight w:val="315"/>
          <w:jc w:val="center"/>
        </w:trPr>
        <w:tc>
          <w:tcPr>
            <w:tcW w:w="3766" w:type="dxa"/>
            <w:tcMar>
              <w:top w:w="15" w:type="dxa"/>
              <w:left w:w="15" w:type="dxa"/>
              <w:bottom w:w="0" w:type="dxa"/>
              <w:right w:w="15" w:type="dxa"/>
            </w:tcMar>
            <w:hideMark/>
          </w:tcPr>
          <w:p w:rsidR="00993316" w:rsidRDefault="00993316">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993316" w:rsidRDefault="00993316">
            <w:pPr>
              <w:jc w:val="right"/>
              <w:rPr>
                <w:kern w:val="0"/>
                <w:szCs w:val="21"/>
              </w:rPr>
            </w:pPr>
            <w:r>
              <w:rPr>
                <w:kern w:val="0"/>
                <w:szCs w:val="21"/>
              </w:rPr>
              <w:t>-</w:t>
            </w:r>
          </w:p>
        </w:tc>
      </w:tr>
      <w:tr w:rsidR="00993316" w:rsidTr="00DC4F67">
        <w:trPr>
          <w:trHeight w:val="315"/>
          <w:jc w:val="center"/>
        </w:trPr>
        <w:tc>
          <w:tcPr>
            <w:tcW w:w="3766" w:type="dxa"/>
            <w:tcMar>
              <w:top w:w="15" w:type="dxa"/>
              <w:left w:w="15" w:type="dxa"/>
              <w:bottom w:w="0" w:type="dxa"/>
              <w:right w:w="15" w:type="dxa"/>
            </w:tcMar>
            <w:hideMark/>
          </w:tcPr>
          <w:p w:rsidR="00993316" w:rsidRDefault="00993316">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993316" w:rsidRDefault="00993316">
            <w:pPr>
              <w:jc w:val="right"/>
              <w:rPr>
                <w:kern w:val="0"/>
                <w:szCs w:val="21"/>
              </w:rPr>
            </w:pPr>
            <w:r>
              <w:rPr>
                <w:kern w:val="0"/>
                <w:szCs w:val="21"/>
              </w:rPr>
              <w:t>117,364,095.88</w:t>
            </w:r>
          </w:p>
        </w:tc>
      </w:tr>
    </w:tbl>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6.4.7.2</w:t>
      </w:r>
      <w:r w:rsidRPr="00C24ACA">
        <w:rPr>
          <w:rFonts w:eastAsiaTheme="minorEastAsia"/>
          <w:b/>
          <w:color w:val="000000"/>
          <w:szCs w:val="21"/>
        </w:rPr>
        <w:t>交易性金融资产</w:t>
      </w:r>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bCs/>
          <w:color w:val="000000"/>
          <w:szCs w:val="21"/>
        </w:rPr>
        <w:t>单位：人民币元</w:t>
      </w:r>
    </w:p>
    <w:tbl>
      <w:tblPr>
        <w:tblW w:w="92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8A5A5D" w:rsidRPr="00C24ACA" w:rsidTr="00614C5C">
        <w:trPr>
          <w:trHeight w:val="255"/>
        </w:trPr>
        <w:tc>
          <w:tcPr>
            <w:tcW w:w="2268" w:type="dxa"/>
            <w:gridSpan w:val="2"/>
            <w:vMerge w:val="restart"/>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项目</w:t>
            </w:r>
          </w:p>
        </w:tc>
        <w:tc>
          <w:tcPr>
            <w:tcW w:w="7018" w:type="dxa"/>
            <w:gridSpan w:val="3"/>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本期末</w:t>
            </w:r>
          </w:p>
          <w:p w:rsidR="008A5A5D" w:rsidRPr="00C24ACA" w:rsidRDefault="00AC4A34" w:rsidP="004A4847">
            <w:pPr>
              <w:jc w:val="center"/>
              <w:rPr>
                <w:rFonts w:eastAsiaTheme="minorEastAsia"/>
                <w:color w:val="000000"/>
                <w:kern w:val="0"/>
                <w:szCs w:val="21"/>
              </w:rPr>
            </w:pPr>
            <w:r w:rsidRPr="00C24ACA">
              <w:rPr>
                <w:rFonts w:eastAsiaTheme="minorEastAsia"/>
                <w:color w:val="000000"/>
                <w:kern w:val="0"/>
                <w:szCs w:val="21"/>
              </w:rPr>
              <w:t>2020</w:t>
            </w:r>
            <w:r w:rsidRPr="00C24ACA">
              <w:rPr>
                <w:rFonts w:eastAsiaTheme="minorEastAsia"/>
                <w:color w:val="000000"/>
                <w:kern w:val="0"/>
                <w:szCs w:val="21"/>
              </w:rPr>
              <w:t>年</w:t>
            </w:r>
            <w:r w:rsidRPr="00C24ACA">
              <w:rPr>
                <w:rFonts w:eastAsiaTheme="minorEastAsia"/>
                <w:color w:val="000000"/>
                <w:kern w:val="0"/>
                <w:szCs w:val="21"/>
              </w:rPr>
              <w:t>6</w:t>
            </w:r>
            <w:r w:rsidRPr="00C24ACA">
              <w:rPr>
                <w:rFonts w:eastAsiaTheme="minorEastAsia"/>
                <w:color w:val="000000"/>
                <w:kern w:val="0"/>
                <w:szCs w:val="21"/>
              </w:rPr>
              <w:t>月</w:t>
            </w:r>
            <w:r w:rsidRPr="00C24ACA">
              <w:rPr>
                <w:rFonts w:eastAsiaTheme="minorEastAsia"/>
                <w:color w:val="000000"/>
                <w:kern w:val="0"/>
                <w:szCs w:val="21"/>
              </w:rPr>
              <w:t>30</w:t>
            </w:r>
            <w:r w:rsidRPr="00C24ACA">
              <w:rPr>
                <w:rFonts w:eastAsiaTheme="minorEastAsia"/>
                <w:color w:val="000000"/>
                <w:kern w:val="0"/>
                <w:szCs w:val="21"/>
              </w:rPr>
              <w:t>日</w:t>
            </w:r>
          </w:p>
        </w:tc>
      </w:tr>
      <w:tr w:rsidR="008A5A5D" w:rsidRPr="00C24ACA" w:rsidTr="00614C5C">
        <w:trPr>
          <w:trHeight w:val="270"/>
        </w:trPr>
        <w:tc>
          <w:tcPr>
            <w:tcW w:w="2268" w:type="dxa"/>
            <w:gridSpan w:val="2"/>
            <w:vMerge/>
            <w:vAlign w:val="center"/>
          </w:tcPr>
          <w:p w:rsidR="008A5A5D" w:rsidRPr="00C24ACA" w:rsidRDefault="008A5A5D" w:rsidP="004A4847">
            <w:pPr>
              <w:widowControl/>
              <w:jc w:val="left"/>
              <w:rPr>
                <w:rFonts w:eastAsiaTheme="minorEastAsia"/>
                <w:color w:val="000000"/>
                <w:kern w:val="0"/>
                <w:szCs w:val="21"/>
              </w:rPr>
            </w:pPr>
          </w:p>
        </w:tc>
        <w:tc>
          <w:tcPr>
            <w:tcW w:w="2339"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成本</w:t>
            </w:r>
          </w:p>
        </w:tc>
        <w:tc>
          <w:tcPr>
            <w:tcW w:w="2339"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公允价值</w:t>
            </w:r>
          </w:p>
        </w:tc>
        <w:tc>
          <w:tcPr>
            <w:tcW w:w="2340"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公允价值变动</w:t>
            </w:r>
          </w:p>
        </w:tc>
      </w:tr>
      <w:tr w:rsidR="008A5A5D" w:rsidRPr="00C24ACA" w:rsidTr="00614C5C">
        <w:trPr>
          <w:trHeight w:val="270"/>
        </w:trPr>
        <w:tc>
          <w:tcPr>
            <w:tcW w:w="2268" w:type="dxa"/>
            <w:gridSpan w:val="2"/>
            <w:vAlign w:val="center"/>
          </w:tcPr>
          <w:p w:rsidR="008A5A5D" w:rsidRPr="00C24ACA" w:rsidRDefault="008A5A5D" w:rsidP="004A4847">
            <w:pPr>
              <w:widowControl/>
              <w:rPr>
                <w:rFonts w:eastAsiaTheme="minorEastAsia"/>
                <w:color w:val="000000"/>
                <w:kern w:val="0"/>
                <w:szCs w:val="21"/>
              </w:rPr>
            </w:pPr>
            <w:r w:rsidRPr="00C24ACA">
              <w:rPr>
                <w:rFonts w:eastAsiaTheme="minorEastAsia"/>
                <w:color w:val="000000"/>
                <w:kern w:val="0"/>
                <w:szCs w:val="21"/>
              </w:rPr>
              <w:t>股票</w:t>
            </w:r>
          </w:p>
        </w:tc>
        <w:tc>
          <w:tcPr>
            <w:tcW w:w="2339" w:type="dxa"/>
            <w:vAlign w:val="center"/>
          </w:tcPr>
          <w:p w:rsidR="008A5A5D" w:rsidRPr="00C24ACA" w:rsidRDefault="008A5A5D" w:rsidP="004A4847">
            <w:pPr>
              <w:jc w:val="right"/>
              <w:rPr>
                <w:rFonts w:eastAsiaTheme="minorEastAsia"/>
                <w:color w:val="000000"/>
                <w:kern w:val="0"/>
                <w:szCs w:val="21"/>
              </w:rPr>
            </w:pPr>
            <w:r w:rsidRPr="00C24ACA">
              <w:rPr>
                <w:rFonts w:eastAsiaTheme="minorEastAsia"/>
                <w:color w:val="000000"/>
                <w:kern w:val="0"/>
                <w:szCs w:val="21"/>
              </w:rPr>
              <w:t>-</w:t>
            </w:r>
          </w:p>
        </w:tc>
        <w:tc>
          <w:tcPr>
            <w:tcW w:w="2339" w:type="dxa"/>
            <w:vAlign w:val="center"/>
          </w:tcPr>
          <w:p w:rsidR="008A5A5D" w:rsidRPr="00C24ACA" w:rsidRDefault="008A5A5D" w:rsidP="004A4847">
            <w:pPr>
              <w:jc w:val="right"/>
              <w:rPr>
                <w:rFonts w:eastAsiaTheme="minorEastAsia"/>
                <w:color w:val="000000"/>
                <w:kern w:val="0"/>
                <w:szCs w:val="21"/>
              </w:rPr>
            </w:pPr>
            <w:r w:rsidRPr="00C24ACA">
              <w:rPr>
                <w:rFonts w:eastAsiaTheme="minorEastAsia"/>
                <w:color w:val="000000"/>
                <w:kern w:val="0"/>
                <w:szCs w:val="21"/>
              </w:rPr>
              <w:t>-</w:t>
            </w:r>
          </w:p>
        </w:tc>
        <w:tc>
          <w:tcPr>
            <w:tcW w:w="2340" w:type="dxa"/>
            <w:vAlign w:val="center"/>
          </w:tcPr>
          <w:p w:rsidR="008A5A5D" w:rsidRPr="00C24ACA" w:rsidRDefault="008A5A5D" w:rsidP="004A4847">
            <w:pPr>
              <w:jc w:val="right"/>
              <w:rPr>
                <w:rFonts w:eastAsiaTheme="minorEastAsia"/>
                <w:color w:val="000000"/>
                <w:kern w:val="0"/>
                <w:szCs w:val="21"/>
              </w:rPr>
            </w:pPr>
            <w:r w:rsidRPr="00C24ACA">
              <w:rPr>
                <w:rFonts w:eastAsiaTheme="minorEastAsia"/>
                <w:color w:val="000000"/>
                <w:kern w:val="0"/>
                <w:szCs w:val="21"/>
              </w:rPr>
              <w:t>-</w:t>
            </w:r>
          </w:p>
        </w:tc>
      </w:tr>
      <w:tr w:rsidR="00614C5C" w:rsidRPr="00C24ACA" w:rsidTr="00614C5C">
        <w:trPr>
          <w:trHeight w:val="270"/>
        </w:trPr>
        <w:tc>
          <w:tcPr>
            <w:tcW w:w="2268" w:type="dxa"/>
            <w:gridSpan w:val="2"/>
            <w:vAlign w:val="center"/>
          </w:tcPr>
          <w:p w:rsidR="00614C5C" w:rsidRPr="00224952" w:rsidRDefault="00614C5C" w:rsidP="00614C5C">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614C5C" w:rsidRPr="00224952" w:rsidRDefault="00614C5C" w:rsidP="00614C5C">
            <w:pPr>
              <w:spacing w:line="360" w:lineRule="auto"/>
              <w:jc w:val="right"/>
              <w:rPr>
                <w:color w:val="000000"/>
                <w:kern w:val="0"/>
                <w:szCs w:val="21"/>
              </w:rPr>
            </w:pPr>
            <w:r w:rsidRPr="00224952">
              <w:rPr>
                <w:color w:val="000000"/>
                <w:kern w:val="0"/>
                <w:szCs w:val="21"/>
              </w:rPr>
              <w:t>-</w:t>
            </w:r>
          </w:p>
        </w:tc>
        <w:tc>
          <w:tcPr>
            <w:tcW w:w="2339" w:type="dxa"/>
            <w:vAlign w:val="center"/>
          </w:tcPr>
          <w:p w:rsidR="00614C5C" w:rsidRPr="00224952" w:rsidRDefault="00614C5C" w:rsidP="00614C5C">
            <w:pPr>
              <w:spacing w:line="360" w:lineRule="auto"/>
              <w:jc w:val="right"/>
              <w:rPr>
                <w:color w:val="000000"/>
                <w:kern w:val="0"/>
                <w:szCs w:val="21"/>
              </w:rPr>
            </w:pPr>
            <w:r w:rsidRPr="00224952">
              <w:rPr>
                <w:color w:val="000000"/>
                <w:kern w:val="0"/>
                <w:szCs w:val="21"/>
              </w:rPr>
              <w:t>-</w:t>
            </w:r>
          </w:p>
        </w:tc>
        <w:tc>
          <w:tcPr>
            <w:tcW w:w="2340" w:type="dxa"/>
            <w:vAlign w:val="center"/>
          </w:tcPr>
          <w:p w:rsidR="00614C5C" w:rsidRPr="00224952" w:rsidRDefault="00614C5C" w:rsidP="00614C5C">
            <w:pPr>
              <w:spacing w:line="360" w:lineRule="auto"/>
              <w:jc w:val="right"/>
              <w:rPr>
                <w:color w:val="000000"/>
                <w:kern w:val="0"/>
                <w:szCs w:val="21"/>
              </w:rPr>
            </w:pPr>
            <w:r w:rsidRPr="00224952">
              <w:rPr>
                <w:color w:val="000000"/>
                <w:kern w:val="0"/>
                <w:szCs w:val="21"/>
              </w:rPr>
              <w:t>-</w:t>
            </w:r>
          </w:p>
        </w:tc>
      </w:tr>
      <w:tr w:rsidR="00614C5C" w:rsidRPr="00C24ACA" w:rsidTr="00614C5C">
        <w:trPr>
          <w:trHeight w:val="285"/>
        </w:trPr>
        <w:tc>
          <w:tcPr>
            <w:tcW w:w="828" w:type="dxa"/>
            <w:vMerge w:val="restart"/>
            <w:vAlign w:val="center"/>
          </w:tcPr>
          <w:p w:rsidR="00614C5C" w:rsidRPr="00C24ACA" w:rsidRDefault="00614C5C" w:rsidP="00614C5C">
            <w:pPr>
              <w:jc w:val="center"/>
              <w:rPr>
                <w:rFonts w:eastAsiaTheme="minorEastAsia"/>
                <w:color w:val="000000"/>
                <w:kern w:val="0"/>
                <w:szCs w:val="21"/>
              </w:rPr>
            </w:pPr>
            <w:r w:rsidRPr="00C24ACA">
              <w:rPr>
                <w:rFonts w:eastAsiaTheme="minorEastAsia"/>
                <w:color w:val="000000"/>
                <w:kern w:val="0"/>
                <w:szCs w:val="21"/>
              </w:rPr>
              <w:t>债券</w:t>
            </w:r>
          </w:p>
        </w:tc>
        <w:tc>
          <w:tcPr>
            <w:tcW w:w="1440" w:type="dxa"/>
            <w:vAlign w:val="center"/>
          </w:tcPr>
          <w:p w:rsidR="00614C5C" w:rsidRPr="00C24ACA" w:rsidRDefault="00614C5C" w:rsidP="00614C5C">
            <w:pPr>
              <w:jc w:val="left"/>
              <w:rPr>
                <w:rFonts w:eastAsiaTheme="minorEastAsia"/>
                <w:color w:val="000000"/>
                <w:kern w:val="0"/>
                <w:szCs w:val="21"/>
              </w:rPr>
            </w:pPr>
            <w:r w:rsidRPr="00C24ACA">
              <w:rPr>
                <w:rFonts w:eastAsiaTheme="minorEastAsia"/>
                <w:color w:val="000000"/>
                <w:kern w:val="0"/>
                <w:szCs w:val="21"/>
              </w:rPr>
              <w:t>交易所市场</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40"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r>
      <w:tr w:rsidR="00614C5C" w:rsidRPr="00C24ACA" w:rsidTr="00614C5C">
        <w:trPr>
          <w:trHeight w:val="103"/>
        </w:trPr>
        <w:tc>
          <w:tcPr>
            <w:tcW w:w="828" w:type="dxa"/>
            <w:vMerge/>
            <w:vAlign w:val="center"/>
          </w:tcPr>
          <w:p w:rsidR="00614C5C" w:rsidRPr="00C24ACA" w:rsidRDefault="00614C5C" w:rsidP="00614C5C">
            <w:pPr>
              <w:widowControl/>
              <w:jc w:val="left"/>
              <w:rPr>
                <w:rFonts w:eastAsiaTheme="minorEastAsia"/>
                <w:color w:val="000000"/>
                <w:kern w:val="0"/>
                <w:szCs w:val="21"/>
              </w:rPr>
            </w:pPr>
          </w:p>
        </w:tc>
        <w:tc>
          <w:tcPr>
            <w:tcW w:w="1440" w:type="dxa"/>
            <w:vAlign w:val="center"/>
          </w:tcPr>
          <w:p w:rsidR="00614C5C" w:rsidRPr="00C24ACA" w:rsidRDefault="00614C5C" w:rsidP="00614C5C">
            <w:pPr>
              <w:widowControl/>
              <w:jc w:val="left"/>
              <w:rPr>
                <w:rFonts w:eastAsiaTheme="minorEastAsia"/>
                <w:color w:val="000000"/>
                <w:kern w:val="0"/>
                <w:szCs w:val="21"/>
              </w:rPr>
            </w:pPr>
            <w:r w:rsidRPr="00C24ACA">
              <w:rPr>
                <w:rFonts w:eastAsiaTheme="minorEastAsia"/>
                <w:color w:val="000000"/>
                <w:kern w:val="0"/>
                <w:szCs w:val="21"/>
              </w:rPr>
              <w:t>银行间市场</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40"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r>
      <w:tr w:rsidR="00614C5C" w:rsidRPr="00C24ACA" w:rsidTr="00614C5C">
        <w:trPr>
          <w:trHeight w:val="103"/>
        </w:trPr>
        <w:tc>
          <w:tcPr>
            <w:tcW w:w="828" w:type="dxa"/>
            <w:vMerge/>
            <w:vAlign w:val="center"/>
          </w:tcPr>
          <w:p w:rsidR="00614C5C" w:rsidRPr="00C24ACA" w:rsidRDefault="00614C5C" w:rsidP="00614C5C">
            <w:pPr>
              <w:widowControl/>
              <w:jc w:val="left"/>
              <w:rPr>
                <w:rFonts w:eastAsiaTheme="minorEastAsia"/>
                <w:color w:val="000000"/>
                <w:kern w:val="0"/>
                <w:szCs w:val="21"/>
              </w:rPr>
            </w:pPr>
          </w:p>
        </w:tc>
        <w:tc>
          <w:tcPr>
            <w:tcW w:w="1440" w:type="dxa"/>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合计</w:t>
            </w:r>
          </w:p>
        </w:tc>
        <w:tc>
          <w:tcPr>
            <w:tcW w:w="2339" w:type="dxa"/>
            <w:vAlign w:val="center"/>
          </w:tcPr>
          <w:p w:rsidR="00614C5C" w:rsidRPr="00C24ACA" w:rsidRDefault="00614C5C" w:rsidP="00614C5C">
            <w:pPr>
              <w:jc w:val="right"/>
              <w:rPr>
                <w:rFonts w:eastAsiaTheme="minorEastAsia"/>
                <w:color w:val="000000"/>
                <w:szCs w:val="21"/>
              </w:rPr>
            </w:pPr>
            <w:r w:rsidRPr="00C24ACA">
              <w:rPr>
                <w:rFonts w:eastAsiaTheme="minorEastAsia"/>
                <w:szCs w:val="21"/>
              </w:rPr>
              <w:t>-</w:t>
            </w:r>
          </w:p>
        </w:tc>
        <w:tc>
          <w:tcPr>
            <w:tcW w:w="2339" w:type="dxa"/>
            <w:vAlign w:val="center"/>
          </w:tcPr>
          <w:p w:rsidR="00614C5C" w:rsidRPr="00C24ACA" w:rsidRDefault="00614C5C" w:rsidP="00614C5C">
            <w:pPr>
              <w:jc w:val="right"/>
              <w:rPr>
                <w:rFonts w:eastAsiaTheme="minorEastAsia"/>
                <w:color w:val="000000"/>
                <w:szCs w:val="21"/>
              </w:rPr>
            </w:pPr>
            <w:r w:rsidRPr="00C24ACA">
              <w:rPr>
                <w:rFonts w:eastAsiaTheme="minorEastAsia"/>
                <w:szCs w:val="21"/>
              </w:rPr>
              <w:t>-</w:t>
            </w:r>
          </w:p>
        </w:tc>
        <w:tc>
          <w:tcPr>
            <w:tcW w:w="2340" w:type="dxa"/>
            <w:vAlign w:val="center"/>
          </w:tcPr>
          <w:p w:rsidR="00614C5C" w:rsidRPr="00C24ACA" w:rsidRDefault="00614C5C" w:rsidP="00614C5C">
            <w:pPr>
              <w:jc w:val="right"/>
              <w:rPr>
                <w:rFonts w:eastAsiaTheme="minorEastAsia"/>
                <w:color w:val="000000"/>
                <w:szCs w:val="21"/>
              </w:rPr>
            </w:pPr>
            <w:r w:rsidRPr="00C24ACA">
              <w:rPr>
                <w:rFonts w:eastAsiaTheme="minorEastAsia"/>
                <w:szCs w:val="21"/>
              </w:rPr>
              <w:t>-</w:t>
            </w:r>
          </w:p>
        </w:tc>
      </w:tr>
      <w:tr w:rsidR="00614C5C" w:rsidRPr="00C24ACA" w:rsidTr="00614C5C">
        <w:trPr>
          <w:trHeight w:val="270"/>
        </w:trPr>
        <w:tc>
          <w:tcPr>
            <w:tcW w:w="2268" w:type="dxa"/>
            <w:gridSpan w:val="2"/>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资产支持证券</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r>
      <w:tr w:rsidR="00614C5C" w:rsidRPr="00C24ACA" w:rsidTr="00614C5C">
        <w:trPr>
          <w:trHeight w:val="270"/>
        </w:trPr>
        <w:tc>
          <w:tcPr>
            <w:tcW w:w="2268" w:type="dxa"/>
            <w:gridSpan w:val="2"/>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基金</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1,667,311,494.34</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1,615,478,556.46</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-51,832,937.88</w:t>
            </w:r>
          </w:p>
        </w:tc>
      </w:tr>
      <w:tr w:rsidR="00614C5C" w:rsidRPr="00C24ACA" w:rsidTr="00614C5C">
        <w:trPr>
          <w:trHeight w:val="270"/>
        </w:trPr>
        <w:tc>
          <w:tcPr>
            <w:tcW w:w="2268" w:type="dxa"/>
            <w:gridSpan w:val="2"/>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其他</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r>
      <w:tr w:rsidR="00614C5C" w:rsidRPr="00C24ACA" w:rsidTr="00614C5C">
        <w:trPr>
          <w:trHeight w:val="270"/>
        </w:trPr>
        <w:tc>
          <w:tcPr>
            <w:tcW w:w="2268" w:type="dxa"/>
            <w:gridSpan w:val="2"/>
            <w:vAlign w:val="center"/>
          </w:tcPr>
          <w:p w:rsidR="00614C5C" w:rsidRPr="00C24ACA" w:rsidRDefault="00614C5C" w:rsidP="00614C5C">
            <w:pPr>
              <w:widowControl/>
              <w:jc w:val="center"/>
              <w:rPr>
                <w:rFonts w:eastAsiaTheme="minorEastAsia"/>
                <w:color w:val="000000"/>
                <w:kern w:val="0"/>
                <w:szCs w:val="21"/>
              </w:rPr>
            </w:pPr>
            <w:r w:rsidRPr="00C24ACA">
              <w:rPr>
                <w:rFonts w:eastAsiaTheme="minorEastAsia"/>
                <w:color w:val="000000"/>
                <w:kern w:val="0"/>
                <w:szCs w:val="21"/>
              </w:rPr>
              <w:t>合计</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1,667,311,494.34</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1,615,478,556.46</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-51,832,937.88</w:t>
            </w:r>
          </w:p>
        </w:tc>
      </w:tr>
    </w:tbl>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6.4.7.3</w:t>
      </w:r>
      <w:r w:rsidRPr="00C24ACA">
        <w:rPr>
          <w:rFonts w:eastAsiaTheme="minorEastAsia"/>
          <w:b/>
          <w:color w:val="000000"/>
          <w:szCs w:val="21"/>
        </w:rPr>
        <w:t>衍生金融资产</w:t>
      </w:r>
      <w:r w:rsidRPr="00C24ACA">
        <w:rPr>
          <w:rFonts w:eastAsiaTheme="minorEastAsia"/>
          <w:b/>
          <w:color w:val="000000"/>
          <w:szCs w:val="21"/>
        </w:rPr>
        <w:t>/</w:t>
      </w:r>
      <w:r w:rsidRPr="00C24ACA">
        <w:rPr>
          <w:rFonts w:eastAsiaTheme="minorEastAsia"/>
          <w:b/>
          <w:color w:val="000000"/>
          <w:szCs w:val="21"/>
        </w:rPr>
        <w:t>负债</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本基金本报告期末无衍生金融资产</w:t>
      </w:r>
      <w:r w:rsidRPr="00C24ACA">
        <w:rPr>
          <w:rFonts w:eastAsiaTheme="minorEastAsia"/>
          <w:kern w:val="0"/>
          <w:szCs w:val="21"/>
        </w:rPr>
        <w:t>/</w:t>
      </w:r>
      <w:r w:rsidRPr="00C24ACA">
        <w:rPr>
          <w:rFonts w:eastAsiaTheme="minorEastAsia"/>
          <w:kern w:val="0"/>
          <w:szCs w:val="21"/>
        </w:rPr>
        <w:t>负债。</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6.4.7.4</w:t>
      </w:r>
      <w:r w:rsidRPr="00C24ACA">
        <w:rPr>
          <w:rFonts w:eastAsiaTheme="minorEastAsia"/>
          <w:b/>
          <w:color w:val="000000"/>
          <w:szCs w:val="21"/>
        </w:rPr>
        <w:t>买入返售金融资产</w:t>
      </w:r>
    </w:p>
    <w:p w:rsidR="008A5A5D" w:rsidRPr="00C24ACA" w:rsidRDefault="008A5A5D" w:rsidP="009967D7">
      <w:pPr>
        <w:spacing w:line="360" w:lineRule="auto"/>
        <w:rPr>
          <w:rFonts w:eastAsiaTheme="minorEastAsia"/>
          <w:b/>
          <w:color w:val="000000"/>
          <w:szCs w:val="21"/>
        </w:rPr>
      </w:pPr>
      <w:r w:rsidRPr="00C24ACA">
        <w:rPr>
          <w:rFonts w:eastAsiaTheme="minorEastAsia"/>
          <w:b/>
          <w:bCs/>
          <w:color w:val="000000"/>
          <w:kern w:val="0"/>
          <w:szCs w:val="21"/>
        </w:rPr>
        <w:t>6.4.7.4.1</w:t>
      </w:r>
      <w:r w:rsidRPr="00C24ACA">
        <w:rPr>
          <w:rFonts w:eastAsiaTheme="minorEastAsia"/>
          <w:b/>
          <w:color w:val="000000"/>
          <w:szCs w:val="21"/>
        </w:rPr>
        <w:t>各项买入返售金融资产期末余额</w:t>
      </w:r>
    </w:p>
    <w:p w:rsidR="002E14AD" w:rsidRDefault="002E14AD" w:rsidP="008707EB">
      <w:pPr>
        <w:tabs>
          <w:tab w:val="left" w:pos="426"/>
        </w:tabs>
        <w:spacing w:line="360" w:lineRule="auto"/>
        <w:ind w:firstLineChars="200" w:firstLine="420"/>
        <w:rPr>
          <w:rFonts w:eastAsiaTheme="minorEastAsia"/>
          <w:kern w:val="0"/>
          <w:szCs w:val="21"/>
        </w:rPr>
      </w:pPr>
      <w:r>
        <w:rPr>
          <w:rFonts w:eastAsiaTheme="minorEastAsia"/>
          <w:kern w:val="0"/>
          <w:szCs w:val="21"/>
        </w:rPr>
        <w:t>本基金本报告期末无买入返售金融资产。</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6.4.7.4.2</w:t>
      </w:r>
      <w:r w:rsidRPr="00C24ACA">
        <w:rPr>
          <w:rFonts w:eastAsiaTheme="minorEastAsia"/>
          <w:b/>
          <w:color w:val="000000"/>
          <w:szCs w:val="21"/>
        </w:rPr>
        <w:t>期末买断式逆回购交易中取得的债券</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本基金本报告期末无买断式逆回购交易中取得的债券。</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6.4.7.5</w:t>
      </w:r>
      <w:r w:rsidRPr="00C24ACA">
        <w:rPr>
          <w:rFonts w:eastAsiaTheme="minorEastAsia"/>
          <w:b/>
          <w:color w:val="000000"/>
          <w:szCs w:val="21"/>
        </w:rPr>
        <w:t>应收利息</w:t>
      </w:r>
    </w:p>
    <w:p w:rsidR="00C4173D" w:rsidRDefault="00C4173D" w:rsidP="00C4173D">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C4173D" w:rsidTr="00DC4F67">
        <w:trPr>
          <w:trHeight w:val="330"/>
        </w:trPr>
        <w:tc>
          <w:tcPr>
            <w:tcW w:w="3701" w:type="dxa"/>
            <w:vAlign w:val="center"/>
            <w:hideMark/>
          </w:tcPr>
          <w:p w:rsidR="00C4173D" w:rsidRDefault="00C4173D">
            <w:pPr>
              <w:jc w:val="center"/>
              <w:rPr>
                <w:szCs w:val="21"/>
              </w:rPr>
            </w:pPr>
            <w:r>
              <w:rPr>
                <w:rFonts w:hint="eastAsia"/>
                <w:szCs w:val="21"/>
              </w:rPr>
              <w:t>项目</w:t>
            </w:r>
          </w:p>
        </w:tc>
        <w:tc>
          <w:tcPr>
            <w:tcW w:w="5528" w:type="dxa"/>
            <w:vAlign w:val="center"/>
            <w:hideMark/>
          </w:tcPr>
          <w:p w:rsidR="00C4173D" w:rsidRDefault="00C4173D">
            <w:pPr>
              <w:jc w:val="center"/>
              <w:rPr>
                <w:kern w:val="0"/>
                <w:szCs w:val="21"/>
              </w:rPr>
            </w:pPr>
            <w:r>
              <w:rPr>
                <w:rFonts w:hint="eastAsia"/>
                <w:kern w:val="0"/>
                <w:szCs w:val="21"/>
              </w:rPr>
              <w:t>本期末</w:t>
            </w:r>
          </w:p>
          <w:p w:rsidR="00C4173D" w:rsidRDefault="00C4173D">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C4173D" w:rsidTr="00DC4F67">
        <w:trPr>
          <w:trHeight w:val="257"/>
        </w:trPr>
        <w:tc>
          <w:tcPr>
            <w:tcW w:w="3701" w:type="dxa"/>
            <w:vAlign w:val="center"/>
            <w:hideMark/>
          </w:tcPr>
          <w:p w:rsidR="00C4173D" w:rsidRDefault="00C4173D">
            <w:pPr>
              <w:rPr>
                <w:szCs w:val="21"/>
              </w:rPr>
            </w:pPr>
            <w:r>
              <w:rPr>
                <w:rFonts w:hint="eastAsia"/>
                <w:szCs w:val="21"/>
              </w:rPr>
              <w:t>应收活期存款利息</w:t>
            </w:r>
          </w:p>
        </w:tc>
        <w:tc>
          <w:tcPr>
            <w:tcW w:w="5528" w:type="dxa"/>
            <w:vAlign w:val="center"/>
            <w:hideMark/>
          </w:tcPr>
          <w:p w:rsidR="00C4173D" w:rsidRDefault="00C4173D">
            <w:pPr>
              <w:jc w:val="right"/>
              <w:rPr>
                <w:szCs w:val="21"/>
              </w:rPr>
            </w:pPr>
            <w:r>
              <w:rPr>
                <w:szCs w:val="21"/>
              </w:rPr>
              <w:t>9,877.77</w:t>
            </w:r>
          </w:p>
        </w:tc>
      </w:tr>
      <w:tr w:rsidR="00C4173D" w:rsidTr="00DC4F67">
        <w:trPr>
          <w:trHeight w:val="223"/>
        </w:trPr>
        <w:tc>
          <w:tcPr>
            <w:tcW w:w="3701" w:type="dxa"/>
            <w:vAlign w:val="center"/>
            <w:hideMark/>
          </w:tcPr>
          <w:p w:rsidR="00C4173D" w:rsidRDefault="00C4173D">
            <w:pPr>
              <w:rPr>
                <w:szCs w:val="21"/>
              </w:rPr>
            </w:pPr>
            <w:r>
              <w:rPr>
                <w:rFonts w:hint="eastAsia"/>
                <w:szCs w:val="21"/>
              </w:rPr>
              <w:t>应收定期存款利息</w:t>
            </w:r>
          </w:p>
        </w:tc>
        <w:tc>
          <w:tcPr>
            <w:tcW w:w="5528" w:type="dxa"/>
            <w:vAlign w:val="center"/>
            <w:hideMark/>
          </w:tcPr>
          <w:p w:rsidR="00C4173D" w:rsidRDefault="00C4173D">
            <w:pPr>
              <w:jc w:val="right"/>
              <w:rPr>
                <w:szCs w:val="21"/>
              </w:rPr>
            </w:pPr>
            <w:r>
              <w:rPr>
                <w:szCs w:val="21"/>
              </w:rPr>
              <w:t>-</w:t>
            </w:r>
          </w:p>
        </w:tc>
      </w:tr>
      <w:tr w:rsidR="00C4173D" w:rsidTr="00DC4F67">
        <w:trPr>
          <w:trHeight w:val="223"/>
        </w:trPr>
        <w:tc>
          <w:tcPr>
            <w:tcW w:w="3701" w:type="dxa"/>
            <w:vAlign w:val="center"/>
            <w:hideMark/>
          </w:tcPr>
          <w:p w:rsidR="00C4173D" w:rsidRDefault="00C4173D">
            <w:pPr>
              <w:rPr>
                <w:szCs w:val="21"/>
              </w:rPr>
            </w:pPr>
            <w:r>
              <w:rPr>
                <w:rFonts w:hint="eastAsia"/>
                <w:szCs w:val="21"/>
              </w:rPr>
              <w:t>应收其他存款利息</w:t>
            </w:r>
          </w:p>
        </w:tc>
        <w:tc>
          <w:tcPr>
            <w:tcW w:w="5528" w:type="dxa"/>
            <w:vAlign w:val="center"/>
            <w:hideMark/>
          </w:tcPr>
          <w:p w:rsidR="00C4173D" w:rsidRDefault="00C4173D">
            <w:pPr>
              <w:jc w:val="right"/>
              <w:rPr>
                <w:szCs w:val="21"/>
              </w:rPr>
            </w:pPr>
            <w:r>
              <w:rPr>
                <w:szCs w:val="21"/>
              </w:rPr>
              <w:t>-</w:t>
            </w:r>
          </w:p>
        </w:tc>
      </w:tr>
      <w:tr w:rsidR="00C4173D" w:rsidTr="00DC4F67">
        <w:trPr>
          <w:trHeight w:val="223"/>
        </w:trPr>
        <w:tc>
          <w:tcPr>
            <w:tcW w:w="3701" w:type="dxa"/>
            <w:vAlign w:val="center"/>
            <w:hideMark/>
          </w:tcPr>
          <w:p w:rsidR="00C4173D" w:rsidRDefault="00C4173D">
            <w:pPr>
              <w:rPr>
                <w:szCs w:val="21"/>
              </w:rPr>
            </w:pPr>
            <w:r>
              <w:rPr>
                <w:rFonts w:hint="eastAsia"/>
                <w:szCs w:val="21"/>
              </w:rPr>
              <w:t>应收结算备付金利息</w:t>
            </w:r>
          </w:p>
        </w:tc>
        <w:tc>
          <w:tcPr>
            <w:tcW w:w="5528" w:type="dxa"/>
            <w:vAlign w:val="center"/>
            <w:hideMark/>
          </w:tcPr>
          <w:p w:rsidR="00C4173D" w:rsidRDefault="00C4173D">
            <w:pPr>
              <w:jc w:val="right"/>
              <w:rPr>
                <w:szCs w:val="21"/>
              </w:rPr>
            </w:pPr>
            <w:r>
              <w:rPr>
                <w:szCs w:val="21"/>
              </w:rPr>
              <w:t>9.34</w:t>
            </w:r>
          </w:p>
        </w:tc>
      </w:tr>
      <w:tr w:rsidR="00C4173D" w:rsidTr="00DC4F67">
        <w:trPr>
          <w:trHeight w:val="269"/>
        </w:trPr>
        <w:tc>
          <w:tcPr>
            <w:tcW w:w="3701" w:type="dxa"/>
            <w:vAlign w:val="center"/>
            <w:hideMark/>
          </w:tcPr>
          <w:p w:rsidR="00C4173D" w:rsidRDefault="00C4173D">
            <w:pPr>
              <w:rPr>
                <w:szCs w:val="21"/>
              </w:rPr>
            </w:pPr>
            <w:r>
              <w:rPr>
                <w:rFonts w:hint="eastAsia"/>
                <w:szCs w:val="21"/>
              </w:rPr>
              <w:t>应收债券利息</w:t>
            </w:r>
          </w:p>
        </w:tc>
        <w:tc>
          <w:tcPr>
            <w:tcW w:w="5528" w:type="dxa"/>
            <w:vAlign w:val="center"/>
            <w:hideMark/>
          </w:tcPr>
          <w:p w:rsidR="00C4173D" w:rsidRDefault="00C4173D">
            <w:pPr>
              <w:jc w:val="right"/>
              <w:rPr>
                <w:szCs w:val="21"/>
              </w:rPr>
            </w:pPr>
            <w:r>
              <w:rPr>
                <w:szCs w:val="21"/>
              </w:rPr>
              <w:t>-</w:t>
            </w:r>
          </w:p>
        </w:tc>
      </w:tr>
      <w:tr w:rsidR="00C4173D" w:rsidTr="00DC4F67">
        <w:trPr>
          <w:trHeight w:val="287"/>
        </w:trPr>
        <w:tc>
          <w:tcPr>
            <w:tcW w:w="3701" w:type="dxa"/>
            <w:vAlign w:val="bottom"/>
            <w:hideMark/>
          </w:tcPr>
          <w:p w:rsidR="00C4173D" w:rsidRDefault="00C4173D">
            <w:pPr>
              <w:rPr>
                <w:rFonts w:eastAsiaTheme="minorEastAsia"/>
                <w:szCs w:val="21"/>
              </w:rPr>
            </w:pPr>
            <w:r>
              <w:rPr>
                <w:rFonts w:eastAsiaTheme="minorEastAsia" w:hint="eastAsia"/>
                <w:szCs w:val="21"/>
              </w:rPr>
              <w:t>应收资产支持证券利息</w:t>
            </w:r>
          </w:p>
        </w:tc>
        <w:tc>
          <w:tcPr>
            <w:tcW w:w="5528" w:type="dxa"/>
            <w:hideMark/>
          </w:tcPr>
          <w:p w:rsidR="00C4173D" w:rsidRDefault="00C4173D">
            <w:pPr>
              <w:jc w:val="right"/>
              <w:rPr>
                <w:rFonts w:eastAsiaTheme="minorEastAsia"/>
                <w:szCs w:val="21"/>
              </w:rPr>
            </w:pPr>
            <w:r>
              <w:rPr>
                <w:rFonts w:eastAsiaTheme="minorEastAsia"/>
                <w:szCs w:val="21"/>
              </w:rPr>
              <w:t>-</w:t>
            </w:r>
          </w:p>
        </w:tc>
      </w:tr>
      <w:tr w:rsidR="00C4173D" w:rsidTr="00DC4F67">
        <w:trPr>
          <w:trHeight w:val="287"/>
        </w:trPr>
        <w:tc>
          <w:tcPr>
            <w:tcW w:w="3701" w:type="dxa"/>
            <w:vAlign w:val="center"/>
            <w:hideMark/>
          </w:tcPr>
          <w:p w:rsidR="00C4173D" w:rsidRDefault="00C4173D">
            <w:pPr>
              <w:rPr>
                <w:szCs w:val="21"/>
              </w:rPr>
            </w:pPr>
            <w:r>
              <w:rPr>
                <w:rFonts w:hint="eastAsia"/>
                <w:szCs w:val="21"/>
              </w:rPr>
              <w:t>应收买入返售证券利息</w:t>
            </w:r>
          </w:p>
        </w:tc>
        <w:tc>
          <w:tcPr>
            <w:tcW w:w="5528" w:type="dxa"/>
            <w:vAlign w:val="center"/>
            <w:hideMark/>
          </w:tcPr>
          <w:p w:rsidR="00C4173D" w:rsidRDefault="00C4173D">
            <w:pPr>
              <w:jc w:val="right"/>
              <w:rPr>
                <w:szCs w:val="21"/>
              </w:rPr>
            </w:pPr>
            <w:r>
              <w:rPr>
                <w:szCs w:val="21"/>
              </w:rPr>
              <w:t>-</w:t>
            </w:r>
          </w:p>
        </w:tc>
      </w:tr>
      <w:tr w:rsidR="00C4173D" w:rsidTr="00DC4F67">
        <w:trPr>
          <w:trHeight w:val="305"/>
        </w:trPr>
        <w:tc>
          <w:tcPr>
            <w:tcW w:w="3701" w:type="dxa"/>
            <w:vAlign w:val="center"/>
            <w:hideMark/>
          </w:tcPr>
          <w:p w:rsidR="00C4173D" w:rsidRDefault="00C4173D">
            <w:pPr>
              <w:rPr>
                <w:szCs w:val="21"/>
              </w:rPr>
            </w:pPr>
            <w:r>
              <w:rPr>
                <w:rFonts w:hint="eastAsia"/>
                <w:szCs w:val="21"/>
              </w:rPr>
              <w:t>应收申购款利息</w:t>
            </w:r>
          </w:p>
        </w:tc>
        <w:tc>
          <w:tcPr>
            <w:tcW w:w="5528" w:type="dxa"/>
            <w:vAlign w:val="center"/>
            <w:hideMark/>
          </w:tcPr>
          <w:p w:rsidR="00C4173D" w:rsidRDefault="00C4173D">
            <w:pPr>
              <w:jc w:val="right"/>
              <w:rPr>
                <w:szCs w:val="21"/>
              </w:rPr>
            </w:pPr>
            <w:r>
              <w:rPr>
                <w:szCs w:val="21"/>
              </w:rPr>
              <w:t>-</w:t>
            </w:r>
          </w:p>
        </w:tc>
      </w:tr>
      <w:tr w:rsidR="00C4173D" w:rsidTr="00DC4F67">
        <w:trPr>
          <w:trHeight w:val="305"/>
        </w:trPr>
        <w:tc>
          <w:tcPr>
            <w:tcW w:w="3701" w:type="dxa"/>
            <w:vAlign w:val="center"/>
            <w:hideMark/>
          </w:tcPr>
          <w:p w:rsidR="00C4173D" w:rsidRDefault="00C4173D">
            <w:pPr>
              <w:rPr>
                <w:szCs w:val="21"/>
              </w:rPr>
            </w:pPr>
            <w:r>
              <w:rPr>
                <w:rFonts w:hint="eastAsia"/>
                <w:szCs w:val="21"/>
              </w:rPr>
              <w:t>应收黄金合约拆借孳息</w:t>
            </w:r>
          </w:p>
        </w:tc>
        <w:tc>
          <w:tcPr>
            <w:tcW w:w="5528" w:type="dxa"/>
            <w:vAlign w:val="center"/>
            <w:hideMark/>
          </w:tcPr>
          <w:p w:rsidR="00C4173D" w:rsidRDefault="00C4173D">
            <w:pPr>
              <w:jc w:val="right"/>
              <w:rPr>
                <w:szCs w:val="21"/>
              </w:rPr>
            </w:pPr>
            <w:r>
              <w:rPr>
                <w:szCs w:val="21"/>
              </w:rPr>
              <w:t>-</w:t>
            </w:r>
          </w:p>
        </w:tc>
      </w:tr>
      <w:tr w:rsidR="00C4173D" w:rsidTr="00DC4F67">
        <w:trPr>
          <w:trHeight w:val="305"/>
        </w:trPr>
        <w:tc>
          <w:tcPr>
            <w:tcW w:w="3701" w:type="dxa"/>
            <w:vAlign w:val="center"/>
            <w:hideMark/>
          </w:tcPr>
          <w:p w:rsidR="00C4173D" w:rsidRDefault="00C4173D">
            <w:pPr>
              <w:rPr>
                <w:szCs w:val="21"/>
              </w:rPr>
            </w:pPr>
            <w:r>
              <w:rPr>
                <w:rFonts w:hint="eastAsia"/>
                <w:szCs w:val="21"/>
              </w:rPr>
              <w:t>其他</w:t>
            </w:r>
          </w:p>
        </w:tc>
        <w:tc>
          <w:tcPr>
            <w:tcW w:w="5528" w:type="dxa"/>
            <w:vAlign w:val="center"/>
            <w:hideMark/>
          </w:tcPr>
          <w:p w:rsidR="00C4173D" w:rsidRDefault="00C4173D">
            <w:pPr>
              <w:jc w:val="right"/>
              <w:rPr>
                <w:szCs w:val="21"/>
              </w:rPr>
            </w:pPr>
            <w:r>
              <w:rPr>
                <w:szCs w:val="21"/>
              </w:rPr>
              <w:t>84.15</w:t>
            </w:r>
          </w:p>
        </w:tc>
      </w:tr>
      <w:tr w:rsidR="00C4173D" w:rsidTr="00DC4F67">
        <w:trPr>
          <w:trHeight w:val="330"/>
        </w:trPr>
        <w:tc>
          <w:tcPr>
            <w:tcW w:w="3701" w:type="dxa"/>
            <w:vAlign w:val="center"/>
            <w:hideMark/>
          </w:tcPr>
          <w:p w:rsidR="00C4173D" w:rsidRDefault="00C4173D">
            <w:pPr>
              <w:jc w:val="center"/>
              <w:rPr>
                <w:szCs w:val="21"/>
              </w:rPr>
            </w:pPr>
            <w:r>
              <w:rPr>
                <w:rFonts w:hint="eastAsia"/>
                <w:szCs w:val="21"/>
              </w:rPr>
              <w:t>合计</w:t>
            </w:r>
          </w:p>
        </w:tc>
        <w:tc>
          <w:tcPr>
            <w:tcW w:w="5528" w:type="dxa"/>
            <w:vAlign w:val="center"/>
            <w:hideMark/>
          </w:tcPr>
          <w:p w:rsidR="00C4173D" w:rsidRDefault="00C4173D">
            <w:pPr>
              <w:jc w:val="right"/>
              <w:rPr>
                <w:szCs w:val="21"/>
              </w:rPr>
            </w:pPr>
            <w:r>
              <w:rPr>
                <w:szCs w:val="21"/>
              </w:rPr>
              <w:t>9,971.26</w:t>
            </w:r>
          </w:p>
        </w:tc>
      </w:tr>
    </w:tbl>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6.4.7.6</w:t>
      </w:r>
      <w:r w:rsidRPr="00C24ACA">
        <w:rPr>
          <w:rFonts w:eastAsiaTheme="minorEastAsia"/>
          <w:b/>
          <w:color w:val="000000"/>
          <w:szCs w:val="21"/>
        </w:rPr>
        <w:t>其他资产</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本基金本报告期末无其他资产。</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6.4.7.7</w:t>
      </w:r>
      <w:r w:rsidRPr="00C24ACA">
        <w:rPr>
          <w:rFonts w:eastAsiaTheme="minorEastAsia"/>
          <w:b/>
          <w:color w:val="000000"/>
          <w:szCs w:val="21"/>
        </w:rPr>
        <w:t>应付交易费用</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本基金本报告期末无应付交易费用。</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6.4.7.8</w:t>
      </w:r>
      <w:r w:rsidRPr="00C24ACA">
        <w:rPr>
          <w:rFonts w:eastAsiaTheme="minorEastAsia"/>
          <w:b/>
          <w:color w:val="000000"/>
          <w:szCs w:val="21"/>
        </w:rPr>
        <w:t>其他负债</w:t>
      </w:r>
    </w:p>
    <w:p w:rsidR="008A5A5D" w:rsidRPr="00C24ACA" w:rsidRDefault="008A5A5D" w:rsidP="002116B9">
      <w:pPr>
        <w:wordWrap w:val="0"/>
        <w:spacing w:line="360" w:lineRule="auto"/>
        <w:jc w:val="right"/>
        <w:rPr>
          <w:rFonts w:eastAsiaTheme="minorEastAsia"/>
          <w:color w:val="000000"/>
          <w:szCs w:val="21"/>
        </w:rPr>
      </w:pPr>
      <w:r w:rsidRPr="00C24ACA">
        <w:rPr>
          <w:rFonts w:eastAsiaTheme="minorEastAsia"/>
          <w:color w:val="000000"/>
          <w:szCs w:val="21"/>
        </w:rPr>
        <w:t>单位：人民币元</w:t>
      </w:r>
    </w:p>
    <w:tbl>
      <w:tblPr>
        <w:tblW w:w="92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8A5A5D" w:rsidRPr="00C24ACA" w:rsidTr="00862636">
        <w:trPr>
          <w:trHeight w:val="330"/>
        </w:trPr>
        <w:tc>
          <w:tcPr>
            <w:tcW w:w="3701"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528" w:type="dxa"/>
            <w:vAlign w:val="center"/>
          </w:tcPr>
          <w:p w:rsidR="008A5A5D" w:rsidRPr="00C24ACA" w:rsidRDefault="008A5A5D" w:rsidP="004A4847">
            <w:pPr>
              <w:jc w:val="center"/>
              <w:rPr>
                <w:rFonts w:eastAsiaTheme="minorEastAsia"/>
                <w:kern w:val="0"/>
                <w:szCs w:val="21"/>
              </w:rPr>
            </w:pPr>
            <w:r w:rsidRPr="00C24ACA">
              <w:rPr>
                <w:rFonts w:eastAsiaTheme="minorEastAsia"/>
                <w:kern w:val="0"/>
                <w:szCs w:val="21"/>
              </w:rPr>
              <w:t>本期末</w:t>
            </w:r>
          </w:p>
          <w:p w:rsidR="008A5A5D" w:rsidRPr="00C24ACA" w:rsidRDefault="00AC4A34" w:rsidP="004A4847">
            <w:pPr>
              <w:jc w:val="center"/>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rPr>
          <w:trHeight w:val="325"/>
        </w:trPr>
        <w:tc>
          <w:tcPr>
            <w:tcW w:w="3701" w:type="dxa"/>
            <w:vAlign w:val="center"/>
          </w:tcPr>
          <w:p w:rsidR="008A5A5D" w:rsidRPr="00C24ACA" w:rsidRDefault="008A5A5D" w:rsidP="004A4847">
            <w:pPr>
              <w:rPr>
                <w:rFonts w:eastAsiaTheme="minorEastAsia"/>
                <w:szCs w:val="21"/>
              </w:rPr>
            </w:pPr>
            <w:r w:rsidRPr="00C24ACA">
              <w:rPr>
                <w:rFonts w:eastAsiaTheme="minorEastAsia"/>
                <w:szCs w:val="21"/>
              </w:rPr>
              <w:t>应付券商交易单元保证金</w:t>
            </w:r>
          </w:p>
        </w:tc>
        <w:tc>
          <w:tcPr>
            <w:tcW w:w="5528"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862636">
        <w:trPr>
          <w:trHeight w:val="325"/>
        </w:trPr>
        <w:tc>
          <w:tcPr>
            <w:tcW w:w="3701" w:type="dxa"/>
            <w:vAlign w:val="center"/>
          </w:tcPr>
          <w:p w:rsidR="008A5A5D" w:rsidRPr="00C24ACA" w:rsidRDefault="008A5A5D" w:rsidP="004A4847">
            <w:pPr>
              <w:rPr>
                <w:rFonts w:eastAsiaTheme="minorEastAsia"/>
                <w:szCs w:val="21"/>
              </w:rPr>
            </w:pPr>
            <w:r w:rsidRPr="00C24ACA">
              <w:rPr>
                <w:rFonts w:eastAsiaTheme="minorEastAsia"/>
                <w:szCs w:val="21"/>
              </w:rPr>
              <w:t>应付赎回费</w:t>
            </w:r>
          </w:p>
        </w:tc>
        <w:tc>
          <w:tcPr>
            <w:tcW w:w="5528" w:type="dxa"/>
            <w:vAlign w:val="bottom"/>
          </w:tcPr>
          <w:p w:rsidR="008A5A5D" w:rsidRPr="00C24ACA" w:rsidRDefault="008A5A5D" w:rsidP="004A4847">
            <w:pPr>
              <w:jc w:val="right"/>
              <w:rPr>
                <w:rFonts w:eastAsiaTheme="minorEastAsia"/>
                <w:szCs w:val="21"/>
              </w:rPr>
            </w:pPr>
            <w:r w:rsidRPr="00C24ACA">
              <w:rPr>
                <w:rFonts w:eastAsiaTheme="minorEastAsia"/>
                <w:szCs w:val="21"/>
              </w:rPr>
              <w:t>70,288.32</w:t>
            </w:r>
          </w:p>
        </w:tc>
      </w:tr>
      <w:tr w:rsidR="00871824">
        <w:tc>
          <w:tcPr>
            <w:tcW w:w="3701" w:type="dxa"/>
            <w:vAlign w:val="center"/>
          </w:tcPr>
          <w:p w:rsidR="00871824" w:rsidRDefault="00672BD5">
            <w:pPr>
              <w:jc w:val="left"/>
            </w:pPr>
            <w:r>
              <w:rPr>
                <w:rFonts w:eastAsiaTheme="minorEastAsia"/>
                <w:szCs w:val="21"/>
              </w:rPr>
              <w:t>预提费用</w:t>
            </w:r>
          </w:p>
        </w:tc>
        <w:tc>
          <w:tcPr>
            <w:tcW w:w="5528" w:type="dxa"/>
            <w:vAlign w:val="center"/>
          </w:tcPr>
          <w:p w:rsidR="00871824" w:rsidRDefault="00672BD5">
            <w:pPr>
              <w:jc w:val="right"/>
            </w:pPr>
            <w:r>
              <w:rPr>
                <w:rFonts w:eastAsiaTheme="minorEastAsia"/>
                <w:szCs w:val="21"/>
              </w:rPr>
              <w:t>299,563.12</w:t>
            </w:r>
          </w:p>
        </w:tc>
      </w:tr>
      <w:tr w:rsidR="00871824">
        <w:tc>
          <w:tcPr>
            <w:tcW w:w="3701" w:type="dxa"/>
            <w:vAlign w:val="center"/>
          </w:tcPr>
          <w:p w:rsidR="00871824" w:rsidRDefault="00672BD5">
            <w:pPr>
              <w:jc w:val="left"/>
            </w:pPr>
            <w:r>
              <w:rPr>
                <w:rFonts w:eastAsiaTheme="minorEastAsia"/>
                <w:szCs w:val="21"/>
              </w:rPr>
              <w:t>其他应付款</w:t>
            </w:r>
          </w:p>
        </w:tc>
        <w:tc>
          <w:tcPr>
            <w:tcW w:w="5528" w:type="dxa"/>
            <w:vAlign w:val="center"/>
          </w:tcPr>
          <w:p w:rsidR="00871824" w:rsidRDefault="00672BD5">
            <w:pPr>
              <w:jc w:val="right"/>
            </w:pPr>
            <w:r>
              <w:rPr>
                <w:rFonts w:eastAsiaTheme="minorEastAsia"/>
                <w:szCs w:val="21"/>
              </w:rPr>
              <w:t>21,914.56</w:t>
            </w:r>
          </w:p>
        </w:tc>
      </w:tr>
      <w:tr w:rsidR="008A5A5D" w:rsidRPr="00C24ACA" w:rsidTr="00862636">
        <w:trPr>
          <w:trHeight w:val="325"/>
        </w:trPr>
        <w:tc>
          <w:tcPr>
            <w:tcW w:w="3701" w:type="dxa"/>
            <w:vAlign w:val="center"/>
          </w:tcPr>
          <w:p w:rsidR="008A5A5D" w:rsidRPr="00C24ACA" w:rsidRDefault="008A5A5D" w:rsidP="00052E9B">
            <w:pPr>
              <w:rPr>
                <w:rFonts w:eastAsiaTheme="minorEastAsia"/>
                <w:szCs w:val="21"/>
              </w:rPr>
            </w:pPr>
            <w:r w:rsidRPr="00C24ACA">
              <w:rPr>
                <w:rFonts w:eastAsiaTheme="minorEastAsia"/>
                <w:szCs w:val="21"/>
              </w:rPr>
              <w:t>合计</w:t>
            </w:r>
          </w:p>
        </w:tc>
        <w:tc>
          <w:tcPr>
            <w:tcW w:w="5528" w:type="dxa"/>
            <w:vAlign w:val="bottom"/>
          </w:tcPr>
          <w:p w:rsidR="008A5A5D" w:rsidRPr="00C24ACA" w:rsidRDefault="008A5A5D" w:rsidP="004A4847">
            <w:pPr>
              <w:jc w:val="right"/>
              <w:rPr>
                <w:rFonts w:eastAsiaTheme="minorEastAsia"/>
                <w:szCs w:val="21"/>
              </w:rPr>
            </w:pPr>
            <w:r w:rsidRPr="00C24ACA">
              <w:rPr>
                <w:rFonts w:eastAsiaTheme="minorEastAsia"/>
                <w:szCs w:val="21"/>
              </w:rPr>
              <w:t>391,766.00</w:t>
            </w:r>
          </w:p>
        </w:tc>
      </w:tr>
    </w:tbl>
    <w:p w:rsidR="008A5A5D"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6.4.7.9</w:t>
      </w:r>
      <w:r w:rsidRPr="00C24ACA">
        <w:rPr>
          <w:rFonts w:eastAsiaTheme="minorEastAsia"/>
          <w:b/>
          <w:color w:val="000000"/>
          <w:szCs w:val="21"/>
        </w:rPr>
        <w:t>实收基金</w:t>
      </w:r>
    </w:p>
    <w:p w:rsidR="005D2965" w:rsidRPr="00896265" w:rsidRDefault="005D2965" w:rsidP="005D2965">
      <w:pPr>
        <w:adjustRightInd w:val="0"/>
        <w:snapToGrid w:val="0"/>
        <w:spacing w:line="360" w:lineRule="auto"/>
        <w:rPr>
          <w:rFonts w:eastAsiaTheme="minorEastAsia"/>
          <w:b/>
          <w:color w:val="000000"/>
          <w:szCs w:val="21"/>
        </w:rPr>
      </w:pPr>
      <w:r w:rsidRPr="00896265">
        <w:rPr>
          <w:rFonts w:eastAsiaTheme="minorEastAsia"/>
          <w:szCs w:val="21"/>
        </w:rPr>
        <w:t>易方达恒生国企联接（</w:t>
      </w:r>
      <w:r w:rsidRPr="00896265">
        <w:rPr>
          <w:rFonts w:eastAsiaTheme="minorEastAsia"/>
          <w:szCs w:val="21"/>
        </w:rPr>
        <w:t>QDII</w:t>
      </w:r>
      <w:r w:rsidRPr="00896265">
        <w:rPr>
          <w:rFonts w:eastAsiaTheme="minorEastAsia"/>
          <w:szCs w:val="21"/>
        </w:rPr>
        <w:t>）</w:t>
      </w:r>
      <w:r w:rsidRPr="00896265">
        <w:rPr>
          <w:rFonts w:eastAsiaTheme="minorEastAsia"/>
          <w:szCs w:val="21"/>
        </w:rPr>
        <w:t>A</w:t>
      </w:r>
    </w:p>
    <w:p w:rsidR="00F90D75" w:rsidRPr="00C24ACA" w:rsidRDefault="00013749" w:rsidP="00F90D75">
      <w:pPr>
        <w:wordWrap w:val="0"/>
        <w:spacing w:line="360" w:lineRule="auto"/>
        <w:jc w:val="right"/>
        <w:rPr>
          <w:rFonts w:eastAsiaTheme="minorEastAsia"/>
          <w:szCs w:val="21"/>
        </w:rPr>
      </w:pPr>
      <w:r w:rsidRPr="00C24ACA">
        <w:rPr>
          <w:rFonts w:eastAsiaTheme="minorEastAsia"/>
          <w:szCs w:val="21"/>
        </w:rPr>
        <w:t>金额</w:t>
      </w:r>
      <w:r w:rsidR="0032494A" w:rsidRPr="00C24ACA">
        <w:rPr>
          <w:rFonts w:eastAsiaTheme="minorEastAsia"/>
          <w:szCs w:val="21"/>
        </w:rPr>
        <w:t>单位：人民币元</w:t>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F90D75" w:rsidRPr="00C24ACA" w:rsidTr="00492F1A">
        <w:tc>
          <w:tcPr>
            <w:tcW w:w="3120" w:type="dxa"/>
            <w:vMerge w:val="restart"/>
            <w:vAlign w:val="center"/>
          </w:tcPr>
          <w:p w:rsidR="00F90D75" w:rsidRPr="00C24ACA" w:rsidRDefault="00F90D75" w:rsidP="00492F1A">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szCs w:val="21"/>
              </w:rPr>
              <w:t>项目</w:t>
            </w:r>
          </w:p>
        </w:tc>
        <w:tc>
          <w:tcPr>
            <w:tcW w:w="6240" w:type="dxa"/>
            <w:gridSpan w:val="2"/>
            <w:vAlign w:val="center"/>
          </w:tcPr>
          <w:p w:rsidR="00F90D75" w:rsidRPr="00C24ACA" w:rsidRDefault="00F90D75" w:rsidP="00492F1A">
            <w:pPr>
              <w:spacing w:line="360" w:lineRule="auto"/>
              <w:jc w:val="center"/>
              <w:rPr>
                <w:rFonts w:eastAsiaTheme="minorEastAsia"/>
                <w:color w:val="000000"/>
                <w:szCs w:val="21"/>
              </w:rPr>
            </w:pPr>
            <w:r w:rsidRPr="00C24ACA">
              <w:rPr>
                <w:rFonts w:eastAsiaTheme="minorEastAsia"/>
                <w:color w:val="000000"/>
                <w:szCs w:val="21"/>
              </w:rPr>
              <w:t>本期</w:t>
            </w:r>
          </w:p>
          <w:p w:rsidR="00F90D75" w:rsidRPr="00C24ACA" w:rsidRDefault="00F90D75" w:rsidP="00492F1A">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F90D75" w:rsidRPr="00C24ACA" w:rsidTr="00492F1A">
        <w:tc>
          <w:tcPr>
            <w:tcW w:w="3120" w:type="dxa"/>
            <w:vMerge/>
            <w:vAlign w:val="center"/>
          </w:tcPr>
          <w:p w:rsidR="00F90D75" w:rsidRPr="00C24ACA" w:rsidRDefault="00F90D75" w:rsidP="00492F1A">
            <w:pPr>
              <w:widowControl/>
              <w:spacing w:line="360" w:lineRule="auto"/>
              <w:jc w:val="left"/>
              <w:rPr>
                <w:rFonts w:eastAsiaTheme="minorEastAsia"/>
                <w:color w:val="000000"/>
                <w:szCs w:val="21"/>
              </w:rPr>
            </w:pPr>
          </w:p>
        </w:tc>
        <w:tc>
          <w:tcPr>
            <w:tcW w:w="3120" w:type="dxa"/>
            <w:vAlign w:val="center"/>
          </w:tcPr>
          <w:p w:rsidR="00F90D75" w:rsidRPr="00C24ACA" w:rsidRDefault="00F90D75" w:rsidP="00492F1A">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基金份额</w:t>
            </w:r>
          </w:p>
        </w:tc>
        <w:tc>
          <w:tcPr>
            <w:tcW w:w="3120" w:type="dxa"/>
            <w:vAlign w:val="center"/>
          </w:tcPr>
          <w:p w:rsidR="00F90D75" w:rsidRPr="00C24ACA" w:rsidRDefault="00F90D75" w:rsidP="00492F1A">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账面金额</w:t>
            </w:r>
          </w:p>
        </w:tc>
      </w:tr>
      <w:tr w:rsidR="00F90D75" w:rsidRPr="00C24ACA" w:rsidTr="00492F1A">
        <w:tc>
          <w:tcPr>
            <w:tcW w:w="3120" w:type="dxa"/>
            <w:vAlign w:val="center"/>
          </w:tcPr>
          <w:p w:rsidR="00F90D75" w:rsidRPr="00C24ACA" w:rsidRDefault="00F90D75" w:rsidP="00492F1A">
            <w:pPr>
              <w:spacing w:line="360" w:lineRule="auto"/>
              <w:rPr>
                <w:rFonts w:eastAsiaTheme="minorEastAsia"/>
                <w:color w:val="000000"/>
                <w:szCs w:val="21"/>
              </w:rPr>
            </w:pPr>
            <w:r w:rsidRPr="00C24ACA">
              <w:rPr>
                <w:rFonts w:eastAsiaTheme="minorEastAsia"/>
                <w:color w:val="000000"/>
                <w:szCs w:val="21"/>
              </w:rPr>
              <w:t>上年度末</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1,429,420,128.29</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1,429,420,128.29</w:t>
            </w:r>
          </w:p>
        </w:tc>
      </w:tr>
      <w:tr w:rsidR="00F90D75" w:rsidRPr="00C24ACA" w:rsidTr="00492F1A">
        <w:tc>
          <w:tcPr>
            <w:tcW w:w="3120" w:type="dxa"/>
            <w:vAlign w:val="center"/>
          </w:tcPr>
          <w:p w:rsidR="00F90D75" w:rsidRPr="00C24ACA" w:rsidRDefault="00F90D75" w:rsidP="00492F1A">
            <w:pPr>
              <w:spacing w:line="360" w:lineRule="auto"/>
              <w:rPr>
                <w:rFonts w:eastAsiaTheme="minorEastAsia"/>
                <w:color w:val="000000"/>
                <w:szCs w:val="21"/>
              </w:rPr>
            </w:pPr>
            <w:r w:rsidRPr="00C24ACA">
              <w:rPr>
                <w:rFonts w:eastAsiaTheme="minorEastAsia"/>
                <w:color w:val="000000"/>
                <w:szCs w:val="21"/>
              </w:rPr>
              <w:t>本期申购</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765,670,759.86</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765,670,759.86</w:t>
            </w:r>
          </w:p>
        </w:tc>
      </w:tr>
      <w:tr w:rsidR="00F90D75" w:rsidRPr="00C24ACA" w:rsidTr="00492F1A">
        <w:tc>
          <w:tcPr>
            <w:tcW w:w="3120" w:type="dxa"/>
            <w:vAlign w:val="center"/>
          </w:tcPr>
          <w:p w:rsidR="00F90D75" w:rsidRPr="00C24ACA" w:rsidRDefault="00F90D75" w:rsidP="00492F1A">
            <w:pPr>
              <w:spacing w:line="360" w:lineRule="auto"/>
              <w:rPr>
                <w:rFonts w:eastAsiaTheme="minorEastAsia"/>
                <w:color w:val="000000"/>
                <w:szCs w:val="21"/>
              </w:rPr>
            </w:pPr>
            <w:r w:rsidRPr="00C24ACA">
              <w:rPr>
                <w:rFonts w:eastAsiaTheme="minorEastAsia"/>
                <w:color w:val="000000"/>
                <w:szCs w:val="21"/>
              </w:rPr>
              <w:t>本期赎回（以</w:t>
            </w:r>
            <w:r w:rsidRPr="00C24ACA">
              <w:rPr>
                <w:rFonts w:eastAsiaTheme="minorEastAsia"/>
                <w:color w:val="000000"/>
                <w:szCs w:val="21"/>
              </w:rPr>
              <w:t>“-”</w:t>
            </w:r>
            <w:r w:rsidRPr="00C24ACA">
              <w:rPr>
                <w:rFonts w:eastAsiaTheme="minorEastAsia"/>
                <w:color w:val="000000"/>
                <w:szCs w:val="21"/>
              </w:rPr>
              <w:t>号填列）</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-890,117,973.12</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-890,117,973.12</w:t>
            </w:r>
          </w:p>
        </w:tc>
      </w:tr>
      <w:tr w:rsidR="00F90D75" w:rsidRPr="00C24ACA" w:rsidTr="00492F1A">
        <w:tc>
          <w:tcPr>
            <w:tcW w:w="3120" w:type="dxa"/>
            <w:vAlign w:val="center"/>
          </w:tcPr>
          <w:p w:rsidR="00F90D75" w:rsidRPr="00C24ACA" w:rsidRDefault="00F90D75" w:rsidP="00492F1A">
            <w:pPr>
              <w:spacing w:line="360" w:lineRule="auto"/>
              <w:rPr>
                <w:rFonts w:eastAsiaTheme="minorEastAsia"/>
                <w:color w:val="000000"/>
                <w:szCs w:val="21"/>
              </w:rPr>
            </w:pPr>
            <w:r w:rsidRPr="00C24ACA">
              <w:rPr>
                <w:rFonts w:eastAsiaTheme="minorEastAsia"/>
                <w:szCs w:val="21"/>
              </w:rPr>
              <w:t>本期末</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1,304,972,915.03</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1,304,972,915.03</w:t>
            </w:r>
          </w:p>
        </w:tc>
      </w:tr>
    </w:tbl>
    <w:p w:rsidR="005D2965" w:rsidRPr="00896265" w:rsidRDefault="005D2965" w:rsidP="005D2965">
      <w:pPr>
        <w:adjustRightInd w:val="0"/>
        <w:snapToGrid w:val="0"/>
        <w:spacing w:line="360" w:lineRule="auto"/>
        <w:rPr>
          <w:rFonts w:eastAsiaTheme="minorEastAsia"/>
          <w:szCs w:val="21"/>
        </w:rPr>
      </w:pPr>
      <w:r w:rsidRPr="00896265">
        <w:rPr>
          <w:rFonts w:eastAsiaTheme="minorEastAsia"/>
          <w:szCs w:val="21"/>
        </w:rPr>
        <w:t>易方达恒生国企联接（</w:t>
      </w:r>
      <w:r w:rsidRPr="00896265">
        <w:rPr>
          <w:rFonts w:eastAsiaTheme="minorEastAsia"/>
          <w:szCs w:val="21"/>
        </w:rPr>
        <w:t>QDII</w:t>
      </w:r>
      <w:r w:rsidRPr="00896265">
        <w:rPr>
          <w:rFonts w:eastAsiaTheme="minorEastAsia"/>
          <w:szCs w:val="21"/>
        </w:rPr>
        <w:t>）</w:t>
      </w:r>
      <w:r w:rsidRPr="00896265">
        <w:rPr>
          <w:rFonts w:eastAsiaTheme="minorEastAsia"/>
          <w:szCs w:val="21"/>
        </w:rPr>
        <w:t>C</w:t>
      </w:r>
    </w:p>
    <w:p w:rsidR="00F90D75" w:rsidRPr="00C24ACA" w:rsidRDefault="00F90D75" w:rsidP="00F90D75">
      <w:pPr>
        <w:adjustRightInd w:val="0"/>
        <w:snapToGrid w:val="0"/>
        <w:spacing w:line="360" w:lineRule="auto"/>
        <w:jc w:val="right"/>
        <w:rPr>
          <w:rFonts w:eastAsiaTheme="minorEastAsia"/>
          <w:color w:val="000000"/>
          <w:szCs w:val="21"/>
        </w:rPr>
      </w:pPr>
      <w:r w:rsidRPr="00C24ACA">
        <w:rPr>
          <w:rFonts w:eastAsiaTheme="minorEastAsia"/>
          <w:color w:val="000000"/>
          <w:szCs w:val="21"/>
        </w:rPr>
        <w:t>金额单位：人民币元</w:t>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F90D75" w:rsidRPr="00C24ACA" w:rsidTr="00492F1A">
        <w:tc>
          <w:tcPr>
            <w:tcW w:w="3120" w:type="dxa"/>
            <w:vMerge w:val="restart"/>
            <w:vAlign w:val="center"/>
          </w:tcPr>
          <w:p w:rsidR="00F90D75" w:rsidRPr="00C24ACA" w:rsidRDefault="00F90D75" w:rsidP="00492F1A">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szCs w:val="21"/>
              </w:rPr>
              <w:t>项目</w:t>
            </w:r>
          </w:p>
        </w:tc>
        <w:tc>
          <w:tcPr>
            <w:tcW w:w="6240" w:type="dxa"/>
            <w:gridSpan w:val="2"/>
            <w:vAlign w:val="center"/>
          </w:tcPr>
          <w:p w:rsidR="00F90D75" w:rsidRPr="00C24ACA" w:rsidRDefault="00F90D75" w:rsidP="00492F1A">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szCs w:val="21"/>
              </w:rPr>
              <w:t>本期</w:t>
            </w:r>
          </w:p>
          <w:p w:rsidR="00F90D75" w:rsidRPr="00C24ACA" w:rsidRDefault="00F90D75" w:rsidP="00492F1A">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F90D75" w:rsidRPr="00C24ACA" w:rsidTr="00492F1A">
        <w:tc>
          <w:tcPr>
            <w:tcW w:w="3120" w:type="dxa"/>
            <w:vMerge/>
            <w:vAlign w:val="center"/>
          </w:tcPr>
          <w:p w:rsidR="00F90D75" w:rsidRPr="00C24ACA" w:rsidRDefault="00F90D75" w:rsidP="00492F1A">
            <w:pPr>
              <w:widowControl/>
              <w:spacing w:line="360" w:lineRule="auto"/>
              <w:jc w:val="left"/>
              <w:rPr>
                <w:rFonts w:eastAsiaTheme="minorEastAsia"/>
                <w:color w:val="000000"/>
                <w:szCs w:val="21"/>
              </w:rPr>
            </w:pPr>
          </w:p>
        </w:tc>
        <w:tc>
          <w:tcPr>
            <w:tcW w:w="3120" w:type="dxa"/>
            <w:vAlign w:val="center"/>
          </w:tcPr>
          <w:p w:rsidR="00F90D75" w:rsidRPr="00C24ACA" w:rsidRDefault="00F90D75" w:rsidP="00492F1A">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基金份额</w:t>
            </w:r>
          </w:p>
        </w:tc>
        <w:tc>
          <w:tcPr>
            <w:tcW w:w="3120" w:type="dxa"/>
            <w:vAlign w:val="center"/>
          </w:tcPr>
          <w:p w:rsidR="00F90D75" w:rsidRPr="00C24ACA" w:rsidRDefault="00F90D75" w:rsidP="00492F1A">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账面金额</w:t>
            </w:r>
          </w:p>
        </w:tc>
      </w:tr>
      <w:tr w:rsidR="00F90D75" w:rsidRPr="00C24ACA" w:rsidTr="00492F1A">
        <w:tc>
          <w:tcPr>
            <w:tcW w:w="3120" w:type="dxa"/>
            <w:vAlign w:val="center"/>
          </w:tcPr>
          <w:p w:rsidR="00F90D75" w:rsidRPr="00C24ACA" w:rsidRDefault="00F90D75" w:rsidP="00492F1A">
            <w:pPr>
              <w:spacing w:line="360" w:lineRule="auto"/>
              <w:rPr>
                <w:rFonts w:eastAsiaTheme="minorEastAsia"/>
                <w:color w:val="000000"/>
                <w:szCs w:val="21"/>
              </w:rPr>
            </w:pPr>
            <w:r w:rsidRPr="00C24ACA">
              <w:rPr>
                <w:rFonts w:eastAsiaTheme="minorEastAsia"/>
                <w:color w:val="000000"/>
                <w:szCs w:val="21"/>
              </w:rPr>
              <w:t>上年度末</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134,992,981.64</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134,992,981.64</w:t>
            </w:r>
          </w:p>
        </w:tc>
      </w:tr>
      <w:tr w:rsidR="00F90D75" w:rsidRPr="00C24ACA" w:rsidTr="00492F1A">
        <w:tc>
          <w:tcPr>
            <w:tcW w:w="3120" w:type="dxa"/>
            <w:vAlign w:val="center"/>
          </w:tcPr>
          <w:p w:rsidR="00F90D75" w:rsidRPr="00C24ACA" w:rsidRDefault="00F90D75" w:rsidP="00492F1A">
            <w:pPr>
              <w:spacing w:line="360" w:lineRule="auto"/>
              <w:rPr>
                <w:rFonts w:eastAsiaTheme="minorEastAsia"/>
                <w:color w:val="000000"/>
                <w:szCs w:val="21"/>
              </w:rPr>
            </w:pPr>
            <w:r w:rsidRPr="00C24ACA">
              <w:rPr>
                <w:rFonts w:eastAsiaTheme="minorEastAsia"/>
                <w:color w:val="000000"/>
                <w:szCs w:val="21"/>
              </w:rPr>
              <w:t>本期申购</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520,792,556.10</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520,792,556.10</w:t>
            </w:r>
          </w:p>
        </w:tc>
      </w:tr>
      <w:tr w:rsidR="00F90D75" w:rsidRPr="00C24ACA" w:rsidTr="00492F1A">
        <w:tc>
          <w:tcPr>
            <w:tcW w:w="3120" w:type="dxa"/>
            <w:vAlign w:val="center"/>
          </w:tcPr>
          <w:p w:rsidR="00F90D75" w:rsidRPr="00C24ACA" w:rsidRDefault="00F90D75" w:rsidP="00492F1A">
            <w:pPr>
              <w:spacing w:line="360" w:lineRule="auto"/>
              <w:rPr>
                <w:rFonts w:eastAsiaTheme="minorEastAsia"/>
                <w:color w:val="000000"/>
                <w:szCs w:val="21"/>
              </w:rPr>
            </w:pPr>
            <w:r w:rsidRPr="00C24ACA">
              <w:rPr>
                <w:rFonts w:eastAsiaTheme="minorEastAsia"/>
                <w:color w:val="000000"/>
                <w:szCs w:val="21"/>
              </w:rPr>
              <w:t>本期赎回（以</w:t>
            </w:r>
            <w:r w:rsidRPr="00C24ACA">
              <w:rPr>
                <w:rFonts w:eastAsiaTheme="minorEastAsia"/>
                <w:color w:val="000000"/>
                <w:szCs w:val="21"/>
              </w:rPr>
              <w:t>“-”</w:t>
            </w:r>
            <w:r w:rsidRPr="00C24ACA">
              <w:rPr>
                <w:rFonts w:eastAsiaTheme="minorEastAsia"/>
                <w:color w:val="000000"/>
                <w:szCs w:val="21"/>
              </w:rPr>
              <w:t>号填列）</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-461,473,370.64</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-461,473,370.64</w:t>
            </w:r>
          </w:p>
        </w:tc>
      </w:tr>
      <w:tr w:rsidR="00F90D75" w:rsidRPr="00C24ACA" w:rsidTr="00492F1A">
        <w:tc>
          <w:tcPr>
            <w:tcW w:w="3120" w:type="dxa"/>
            <w:vAlign w:val="center"/>
          </w:tcPr>
          <w:p w:rsidR="00F90D75" w:rsidRPr="00C24ACA" w:rsidRDefault="00F90D75" w:rsidP="00492F1A">
            <w:pPr>
              <w:spacing w:line="360" w:lineRule="auto"/>
              <w:rPr>
                <w:rFonts w:eastAsiaTheme="minorEastAsia"/>
                <w:color w:val="000000"/>
                <w:szCs w:val="21"/>
              </w:rPr>
            </w:pPr>
            <w:r w:rsidRPr="00C24ACA">
              <w:rPr>
                <w:rFonts w:eastAsiaTheme="minorEastAsia"/>
                <w:szCs w:val="21"/>
              </w:rPr>
              <w:t>本期末</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194,312,167.10</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194,312,167.10</w:t>
            </w:r>
          </w:p>
        </w:tc>
      </w:tr>
    </w:tbl>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6.4.7.10</w:t>
      </w:r>
      <w:r w:rsidRPr="00C24ACA">
        <w:rPr>
          <w:rFonts w:eastAsiaTheme="minorEastAsia"/>
          <w:b/>
          <w:color w:val="000000"/>
          <w:szCs w:val="21"/>
        </w:rPr>
        <w:t>未分配利润</w:t>
      </w:r>
    </w:p>
    <w:p w:rsidR="008A5A5D" w:rsidRPr="00C24ACA" w:rsidRDefault="008A5A5D" w:rsidP="002116B9">
      <w:pPr>
        <w:spacing w:line="288" w:lineRule="auto"/>
        <w:jc w:val="right"/>
        <w:rPr>
          <w:rFonts w:eastAsiaTheme="minorEastAsia"/>
          <w:color w:val="000000"/>
          <w:szCs w:val="21"/>
        </w:rPr>
      </w:pPr>
      <w:r w:rsidRPr="00C24ACA">
        <w:rPr>
          <w:rFonts w:eastAsiaTheme="minorEastAsia"/>
          <w:color w:val="000000"/>
          <w:szCs w:val="21"/>
        </w:rPr>
        <w:t>单位：人民币元</w:t>
      </w:r>
    </w:p>
    <w:tbl>
      <w:tblPr>
        <w:tblW w:w="94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2915FE" w:rsidRPr="00C24ACA" w:rsidTr="005C3575">
        <w:tc>
          <w:tcPr>
            <w:tcW w:w="9415" w:type="dxa"/>
            <w:gridSpan w:val="4"/>
          </w:tcPr>
          <w:p w:rsidR="002915FE" w:rsidRPr="00C24ACA" w:rsidRDefault="002915FE" w:rsidP="002915FE">
            <w:pPr>
              <w:tabs>
                <w:tab w:val="left" w:pos="3015"/>
              </w:tabs>
              <w:jc w:val="center"/>
              <w:rPr>
                <w:rFonts w:eastAsiaTheme="minorEastAsia"/>
                <w:color w:val="000000"/>
                <w:szCs w:val="21"/>
              </w:rPr>
            </w:pPr>
            <w:r w:rsidRPr="00C24ACA">
              <w:rPr>
                <w:rFonts w:eastAsiaTheme="minorEastAsia"/>
                <w:color w:val="000000"/>
                <w:szCs w:val="21"/>
              </w:rPr>
              <w:t>易方达恒生国企联接（</w:t>
            </w:r>
            <w:r w:rsidRPr="00C24ACA">
              <w:rPr>
                <w:rFonts w:eastAsiaTheme="minorEastAsia"/>
                <w:color w:val="000000"/>
                <w:szCs w:val="21"/>
              </w:rPr>
              <w:t>QDII</w:t>
            </w:r>
            <w:r w:rsidRPr="00C24ACA">
              <w:rPr>
                <w:rFonts w:eastAsiaTheme="minorEastAsia"/>
                <w:color w:val="000000"/>
                <w:szCs w:val="21"/>
              </w:rPr>
              <w:t>）</w:t>
            </w:r>
            <w:r w:rsidRPr="00C24ACA">
              <w:rPr>
                <w:rFonts w:eastAsiaTheme="minorEastAsia"/>
                <w:color w:val="000000"/>
                <w:szCs w:val="21"/>
              </w:rPr>
              <w:t>A</w:t>
            </w:r>
          </w:p>
        </w:tc>
      </w:tr>
      <w:tr w:rsidR="002915FE" w:rsidRPr="00C24ACA" w:rsidTr="002915FE">
        <w:tc>
          <w:tcPr>
            <w:tcW w:w="2706" w:type="dxa"/>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项目</w:t>
            </w:r>
          </w:p>
        </w:tc>
        <w:tc>
          <w:tcPr>
            <w:tcW w:w="2236" w:type="dxa"/>
            <w:vAlign w:val="center"/>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已实现部分</w:t>
            </w:r>
          </w:p>
        </w:tc>
        <w:tc>
          <w:tcPr>
            <w:tcW w:w="2236" w:type="dxa"/>
            <w:vAlign w:val="center"/>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未实现部分</w:t>
            </w:r>
          </w:p>
        </w:tc>
        <w:tc>
          <w:tcPr>
            <w:tcW w:w="2237" w:type="dxa"/>
            <w:vAlign w:val="center"/>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未分配利润合计</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上年度末</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361,762,604.96</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14,663,235.60</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376,425,840.56</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本期利润</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18,031.57</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-126,418,365.12</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-126,400,333.55</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本期基金份额交易产生的变动数</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-30,786,586.06</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-33,264,738.15</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-64,051,324.21</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其中：基金申购款</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200,624,067.45</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-89,973,768.11</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110,650,299.34</w:t>
            </w:r>
          </w:p>
        </w:tc>
      </w:tr>
      <w:tr w:rsidR="002915FE" w:rsidRPr="00C24ACA" w:rsidTr="002915FE">
        <w:tc>
          <w:tcPr>
            <w:tcW w:w="2706" w:type="dxa"/>
            <w:vAlign w:val="center"/>
          </w:tcPr>
          <w:p w:rsidR="002915FE" w:rsidRPr="00C24ACA" w:rsidRDefault="002915FE" w:rsidP="008134C7">
            <w:pPr>
              <w:ind w:firstLineChars="300" w:firstLine="630"/>
              <w:rPr>
                <w:rFonts w:eastAsiaTheme="minorEastAsia"/>
                <w:color w:val="000000"/>
                <w:szCs w:val="21"/>
              </w:rPr>
            </w:pPr>
            <w:r w:rsidRPr="00C24ACA">
              <w:rPr>
                <w:rFonts w:eastAsiaTheme="minorEastAsia"/>
                <w:color w:val="000000"/>
                <w:szCs w:val="21"/>
              </w:rPr>
              <w:t>基金赎回款</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-231,410,653.51</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56,709,029.96</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-174,701,623.55</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本期已分配利润</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本期末</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330,994,050.47</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-145,019,867.67</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185,974,182.80</w:t>
            </w:r>
          </w:p>
        </w:tc>
      </w:tr>
    </w:tbl>
    <w:p w:rsidR="0057216B" w:rsidRPr="00C24ACA" w:rsidRDefault="0057216B" w:rsidP="002915FE">
      <w:pPr>
        <w:adjustRightInd w:val="0"/>
        <w:snapToGrid w:val="0"/>
        <w:spacing w:line="288" w:lineRule="auto"/>
        <w:jc w:val="right"/>
        <w:rPr>
          <w:rFonts w:eastAsiaTheme="minorEastAsia"/>
          <w:color w:val="000000"/>
          <w:szCs w:val="21"/>
        </w:rPr>
      </w:pPr>
      <w:r w:rsidRPr="00C24ACA">
        <w:rPr>
          <w:rFonts w:eastAsiaTheme="minorEastAsia"/>
          <w:color w:val="000000"/>
          <w:szCs w:val="21"/>
        </w:rPr>
        <w:t>单位：人民币元</w:t>
      </w:r>
    </w:p>
    <w:tbl>
      <w:tblPr>
        <w:tblW w:w="94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57216B" w:rsidRPr="00C24ACA" w:rsidTr="005C3575">
        <w:tc>
          <w:tcPr>
            <w:tcW w:w="9415" w:type="dxa"/>
            <w:gridSpan w:val="4"/>
          </w:tcPr>
          <w:p w:rsidR="002915FE" w:rsidRPr="00C24ACA" w:rsidRDefault="002915FE" w:rsidP="002915FE">
            <w:pPr>
              <w:jc w:val="center"/>
              <w:rPr>
                <w:rFonts w:eastAsiaTheme="minorEastAsia"/>
                <w:color w:val="000000"/>
                <w:szCs w:val="21"/>
              </w:rPr>
            </w:pPr>
            <w:r w:rsidRPr="00C24ACA">
              <w:rPr>
                <w:rFonts w:eastAsiaTheme="minorEastAsia"/>
                <w:color w:val="000000"/>
                <w:szCs w:val="21"/>
              </w:rPr>
              <w:t>易方达恒生国企联接（</w:t>
            </w:r>
            <w:r w:rsidRPr="00C24ACA">
              <w:rPr>
                <w:rFonts w:eastAsiaTheme="minorEastAsia"/>
                <w:color w:val="000000"/>
                <w:szCs w:val="21"/>
              </w:rPr>
              <w:t>QDII</w:t>
            </w:r>
            <w:r w:rsidRPr="00C24ACA">
              <w:rPr>
                <w:rFonts w:eastAsiaTheme="minorEastAsia"/>
                <w:color w:val="000000"/>
                <w:szCs w:val="21"/>
              </w:rPr>
              <w:t>）</w:t>
            </w:r>
            <w:r w:rsidRPr="00C24ACA">
              <w:rPr>
                <w:rFonts w:eastAsiaTheme="minorEastAsia"/>
                <w:color w:val="000000"/>
                <w:szCs w:val="21"/>
              </w:rPr>
              <w:t>C</w:t>
            </w:r>
          </w:p>
        </w:tc>
      </w:tr>
      <w:tr w:rsidR="0057216B" w:rsidRPr="00C24ACA" w:rsidTr="00DC4F67">
        <w:tc>
          <w:tcPr>
            <w:tcW w:w="2706" w:type="dxa"/>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项目</w:t>
            </w:r>
          </w:p>
        </w:tc>
        <w:tc>
          <w:tcPr>
            <w:tcW w:w="2236" w:type="dxa"/>
            <w:vAlign w:val="center"/>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已实现部分</w:t>
            </w:r>
          </w:p>
        </w:tc>
        <w:tc>
          <w:tcPr>
            <w:tcW w:w="2236" w:type="dxa"/>
            <w:vAlign w:val="center"/>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未实现部分</w:t>
            </w:r>
          </w:p>
        </w:tc>
        <w:tc>
          <w:tcPr>
            <w:tcW w:w="2237" w:type="dxa"/>
            <w:vAlign w:val="center"/>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未分配利润合计</w:t>
            </w:r>
          </w:p>
        </w:tc>
      </w:tr>
      <w:tr w:rsidR="0057216B" w:rsidRPr="00C24ACA" w:rsidTr="00DC4F67">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上年度末</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29,360,531.01</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9,019,659.53</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38,380,190.54</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本期利润</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-1,405,331.37</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-16,966,622.81</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-18,371,954.18</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本期基金份额交易产生的变动数</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14,128,666.74</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-2,997,167.88</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11,131,498.86</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其中：基金申购款</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117,551,479.55</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-32,648,271.74</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84,903,207.81</w:t>
            </w:r>
          </w:p>
        </w:tc>
      </w:tr>
      <w:tr w:rsidR="0057216B" w:rsidRPr="00C24ACA" w:rsidTr="0057216B">
        <w:tc>
          <w:tcPr>
            <w:tcW w:w="2706" w:type="dxa"/>
            <w:vAlign w:val="center"/>
          </w:tcPr>
          <w:p w:rsidR="0057216B" w:rsidRPr="00C24ACA" w:rsidRDefault="0057216B" w:rsidP="008134C7">
            <w:pPr>
              <w:ind w:firstLineChars="300" w:firstLine="630"/>
              <w:rPr>
                <w:rFonts w:eastAsiaTheme="minorEastAsia"/>
                <w:color w:val="000000"/>
                <w:szCs w:val="21"/>
              </w:rPr>
            </w:pPr>
            <w:r w:rsidRPr="00C24ACA">
              <w:rPr>
                <w:rFonts w:eastAsiaTheme="minorEastAsia"/>
                <w:color w:val="000000"/>
                <w:szCs w:val="21"/>
              </w:rPr>
              <w:t>基金赎回款</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-103,422,812.81</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29,651,103.86</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-73,771,708.95</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本期已分配利润</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本期末</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42,083,866.38</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-10,944,131.16</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31,139,735.22</w:t>
            </w:r>
          </w:p>
        </w:tc>
      </w:tr>
    </w:tbl>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6.4.7.11</w:t>
      </w:r>
      <w:r w:rsidRPr="00C24ACA">
        <w:rPr>
          <w:rFonts w:eastAsiaTheme="minorEastAsia"/>
          <w:b/>
          <w:color w:val="000000"/>
          <w:szCs w:val="21"/>
        </w:rPr>
        <w:t>存款利息收入</w:t>
      </w:r>
    </w:p>
    <w:p w:rsidR="008A5A5D" w:rsidRPr="00C24ACA" w:rsidRDefault="008A5A5D" w:rsidP="002116B9">
      <w:pPr>
        <w:wordWrap w:val="0"/>
        <w:spacing w:line="360" w:lineRule="auto"/>
        <w:jc w:val="right"/>
        <w:rPr>
          <w:rFonts w:eastAsiaTheme="minorEastAsia"/>
          <w:color w:val="000000"/>
          <w:szCs w:val="21"/>
        </w:rPr>
      </w:pPr>
      <w:r w:rsidRPr="00C24ACA">
        <w:rPr>
          <w:rFonts w:eastAsiaTheme="minor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8A5A5D" w:rsidRPr="00C24ACA" w:rsidTr="000869C6">
        <w:tc>
          <w:tcPr>
            <w:tcW w:w="3828"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386" w:type="dxa"/>
            <w:vAlign w:val="center"/>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jc w:val="center"/>
              <w:rPr>
                <w:rFonts w:eastAsiaTheme="minorEastAsia"/>
                <w:b/>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活期存款利息收入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371,239.25</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定期存款利息收入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其他存款利息收入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结算备付金利息收入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3,717.76</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其他</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1,599.63</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合计</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376,556.64</w:t>
            </w:r>
          </w:p>
        </w:tc>
      </w:tr>
    </w:tbl>
    <w:p w:rsidR="004D0FA5" w:rsidRPr="00C24ACA" w:rsidRDefault="004D0FA5" w:rsidP="004D0FA5">
      <w:pPr>
        <w:spacing w:line="360" w:lineRule="auto"/>
        <w:rPr>
          <w:rFonts w:eastAsiaTheme="minorEastAsia"/>
          <w:b/>
          <w:bCs/>
          <w:color w:val="000000"/>
          <w:szCs w:val="21"/>
        </w:rPr>
      </w:pPr>
      <w:r w:rsidRPr="00C24ACA">
        <w:rPr>
          <w:rFonts w:eastAsiaTheme="minorEastAsia"/>
          <w:b/>
          <w:bCs/>
          <w:color w:val="000000"/>
          <w:kern w:val="0"/>
          <w:szCs w:val="21"/>
        </w:rPr>
        <w:t xml:space="preserve">6.4.7.12 </w:t>
      </w:r>
      <w:r w:rsidR="00601974" w:rsidRPr="00C24ACA">
        <w:rPr>
          <w:rFonts w:eastAsiaTheme="minorEastAsia"/>
          <w:b/>
          <w:color w:val="000000"/>
          <w:szCs w:val="21"/>
        </w:rPr>
        <w:t>股票投资收益</w:t>
      </w:r>
      <w:r w:rsidRPr="00C24ACA">
        <w:rPr>
          <w:rFonts w:eastAsiaTheme="minorEastAsia"/>
          <w:b/>
          <w:color w:val="000000"/>
          <w:szCs w:val="21"/>
        </w:rPr>
        <w:t>——</w:t>
      </w:r>
      <w:r w:rsidRPr="00C24ACA">
        <w:rPr>
          <w:rFonts w:eastAsiaTheme="minorEastAsia"/>
          <w:b/>
          <w:color w:val="000000"/>
          <w:szCs w:val="21"/>
        </w:rPr>
        <w:t>买卖股票差价收入</w:t>
      </w:r>
    </w:p>
    <w:p w:rsidR="004D0FA5" w:rsidRPr="00C24ACA" w:rsidRDefault="004D0FA5"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本基金本报告期无股票投资收益。</w:t>
      </w:r>
    </w:p>
    <w:p w:rsidR="00D85D98" w:rsidRPr="00C24ACA" w:rsidRDefault="00D85D98"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 xml:space="preserve">6.4.7.13 </w:t>
      </w:r>
      <w:r w:rsidRPr="00C24ACA">
        <w:rPr>
          <w:rFonts w:eastAsiaTheme="minorEastAsia"/>
          <w:b/>
          <w:color w:val="000000"/>
          <w:szCs w:val="21"/>
        </w:rPr>
        <w:t>基金投资收益</w:t>
      </w:r>
    </w:p>
    <w:p w:rsidR="00D85D98" w:rsidRPr="00C24ACA" w:rsidRDefault="00D85D98" w:rsidP="00D85D98">
      <w:pPr>
        <w:jc w:val="right"/>
        <w:rPr>
          <w:rFonts w:eastAsiaTheme="minorEastAsia"/>
          <w:color w:val="000000"/>
          <w:szCs w:val="21"/>
        </w:rPr>
      </w:pPr>
      <w:r w:rsidRPr="00C24ACA">
        <w:rPr>
          <w:rFonts w:eastAsiaTheme="minorEastAsia"/>
          <w:color w:val="000000"/>
          <w:szCs w:val="21"/>
        </w:rPr>
        <w:t>单位：人民币元</w:t>
      </w:r>
    </w:p>
    <w:tbl>
      <w:tblPr>
        <w:tblW w:w="936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36"/>
        <w:gridCol w:w="5533"/>
      </w:tblGrid>
      <w:tr w:rsidR="00D85D98" w:rsidRPr="00C24ACA" w:rsidTr="00862636">
        <w:trPr>
          <w:trHeight w:val="315"/>
        </w:trPr>
        <w:tc>
          <w:tcPr>
            <w:tcW w:w="3836" w:type="dxa"/>
            <w:vAlign w:val="center"/>
          </w:tcPr>
          <w:p w:rsidR="00D85D98" w:rsidRPr="00C24ACA" w:rsidRDefault="00D85D98" w:rsidP="001A0AD5">
            <w:pPr>
              <w:jc w:val="center"/>
              <w:rPr>
                <w:rFonts w:eastAsiaTheme="minorEastAsia"/>
                <w:color w:val="000000"/>
                <w:szCs w:val="21"/>
              </w:rPr>
            </w:pPr>
            <w:r w:rsidRPr="00C24ACA">
              <w:rPr>
                <w:rFonts w:eastAsiaTheme="minorEastAsia"/>
                <w:color w:val="000000"/>
                <w:szCs w:val="21"/>
              </w:rPr>
              <w:t>项目</w:t>
            </w:r>
          </w:p>
        </w:tc>
        <w:tc>
          <w:tcPr>
            <w:tcW w:w="5533" w:type="dxa"/>
            <w:vAlign w:val="center"/>
          </w:tcPr>
          <w:p w:rsidR="00D85D98" w:rsidRPr="00C24ACA" w:rsidRDefault="00D85D98" w:rsidP="00A97A4E">
            <w:pPr>
              <w:jc w:val="center"/>
              <w:rPr>
                <w:rFonts w:eastAsiaTheme="minorEastAsia"/>
                <w:color w:val="000000"/>
                <w:szCs w:val="21"/>
              </w:rPr>
            </w:pPr>
            <w:r w:rsidRPr="00C24ACA">
              <w:rPr>
                <w:rFonts w:eastAsiaTheme="minorEastAsia"/>
                <w:color w:val="000000"/>
                <w:szCs w:val="21"/>
              </w:rPr>
              <w:t>本期</w:t>
            </w:r>
          </w:p>
          <w:p w:rsidR="00D85D98" w:rsidRPr="00C24ACA" w:rsidRDefault="00D85D98" w:rsidP="00A97A4E">
            <w:pPr>
              <w:jc w:val="center"/>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D85D98" w:rsidRPr="00C24ACA" w:rsidTr="00862636">
        <w:trPr>
          <w:trHeight w:val="315"/>
        </w:trPr>
        <w:tc>
          <w:tcPr>
            <w:tcW w:w="3836" w:type="dxa"/>
            <w:vAlign w:val="center"/>
          </w:tcPr>
          <w:p w:rsidR="00D85D98" w:rsidRPr="00C24ACA" w:rsidRDefault="00D85D98" w:rsidP="00A97A4E">
            <w:pPr>
              <w:jc w:val="center"/>
              <w:rPr>
                <w:rFonts w:eastAsiaTheme="minorEastAsia"/>
                <w:color w:val="000000"/>
                <w:szCs w:val="21"/>
              </w:rPr>
            </w:pPr>
            <w:r w:rsidRPr="00C24ACA">
              <w:rPr>
                <w:rFonts w:eastAsiaTheme="minorEastAsia"/>
                <w:color w:val="000000"/>
                <w:szCs w:val="21"/>
              </w:rPr>
              <w:t>卖出</w:t>
            </w:r>
            <w:r w:rsidRPr="00C24ACA">
              <w:rPr>
                <w:rFonts w:eastAsiaTheme="minorEastAsia"/>
                <w:color w:val="000000"/>
                <w:szCs w:val="21"/>
              </w:rPr>
              <w:t>/</w:t>
            </w:r>
            <w:r w:rsidRPr="00C24ACA">
              <w:rPr>
                <w:rFonts w:eastAsiaTheme="minorEastAsia"/>
                <w:color w:val="000000"/>
                <w:szCs w:val="21"/>
              </w:rPr>
              <w:t>赎回基金成交总额</w:t>
            </w:r>
          </w:p>
        </w:tc>
        <w:tc>
          <w:tcPr>
            <w:tcW w:w="5533" w:type="dxa"/>
            <w:vAlign w:val="bottom"/>
          </w:tcPr>
          <w:p w:rsidR="00D85D98" w:rsidRPr="00C24ACA" w:rsidRDefault="00D85D98" w:rsidP="00A97A4E">
            <w:pPr>
              <w:jc w:val="right"/>
              <w:rPr>
                <w:rFonts w:eastAsiaTheme="minorEastAsia"/>
                <w:szCs w:val="21"/>
              </w:rPr>
            </w:pPr>
            <w:r w:rsidRPr="00C24ACA">
              <w:rPr>
                <w:rFonts w:eastAsiaTheme="minorEastAsia"/>
                <w:szCs w:val="21"/>
              </w:rPr>
              <w:t>830,107,460.73</w:t>
            </w:r>
          </w:p>
        </w:tc>
      </w:tr>
      <w:tr w:rsidR="00D85D98" w:rsidRPr="00C24ACA" w:rsidTr="00862636">
        <w:trPr>
          <w:trHeight w:val="315"/>
        </w:trPr>
        <w:tc>
          <w:tcPr>
            <w:tcW w:w="3836" w:type="dxa"/>
            <w:vAlign w:val="center"/>
          </w:tcPr>
          <w:p w:rsidR="00D85D98" w:rsidRPr="00C24ACA" w:rsidRDefault="00D85D98" w:rsidP="00A97A4E">
            <w:pPr>
              <w:jc w:val="center"/>
              <w:rPr>
                <w:rFonts w:eastAsiaTheme="minorEastAsia"/>
                <w:color w:val="000000"/>
                <w:szCs w:val="21"/>
              </w:rPr>
            </w:pPr>
            <w:r w:rsidRPr="00C24ACA">
              <w:rPr>
                <w:rFonts w:eastAsiaTheme="minorEastAsia"/>
                <w:color w:val="000000"/>
                <w:szCs w:val="21"/>
              </w:rPr>
              <w:t>减：卖出</w:t>
            </w:r>
            <w:r w:rsidRPr="00C24ACA">
              <w:rPr>
                <w:rFonts w:eastAsiaTheme="minorEastAsia"/>
                <w:color w:val="000000"/>
                <w:szCs w:val="21"/>
              </w:rPr>
              <w:t>/</w:t>
            </w:r>
            <w:r w:rsidRPr="00C24ACA">
              <w:rPr>
                <w:rFonts w:eastAsiaTheme="minorEastAsia"/>
                <w:color w:val="000000"/>
                <w:szCs w:val="21"/>
              </w:rPr>
              <w:t>赎回基金成本总额</w:t>
            </w:r>
          </w:p>
        </w:tc>
        <w:tc>
          <w:tcPr>
            <w:tcW w:w="5533" w:type="dxa"/>
            <w:vAlign w:val="bottom"/>
          </w:tcPr>
          <w:p w:rsidR="00D85D98" w:rsidRPr="00C24ACA" w:rsidRDefault="00D85D98" w:rsidP="00A97A4E">
            <w:pPr>
              <w:jc w:val="right"/>
              <w:rPr>
                <w:rFonts w:eastAsiaTheme="minorEastAsia"/>
                <w:szCs w:val="21"/>
              </w:rPr>
            </w:pPr>
            <w:r w:rsidRPr="00C24ACA">
              <w:rPr>
                <w:rFonts w:eastAsiaTheme="minorEastAsia"/>
                <w:szCs w:val="21"/>
              </w:rPr>
              <w:t>823,800,126.48</w:t>
            </w:r>
          </w:p>
        </w:tc>
      </w:tr>
      <w:tr w:rsidR="00D85D98" w:rsidRPr="00C24ACA" w:rsidTr="00862636">
        <w:trPr>
          <w:trHeight w:val="315"/>
        </w:trPr>
        <w:tc>
          <w:tcPr>
            <w:tcW w:w="3836" w:type="dxa"/>
            <w:vAlign w:val="center"/>
          </w:tcPr>
          <w:p w:rsidR="00D85D98" w:rsidRPr="00C24ACA" w:rsidRDefault="00D85D98" w:rsidP="00A97A4E">
            <w:pPr>
              <w:jc w:val="center"/>
              <w:rPr>
                <w:rFonts w:eastAsiaTheme="minorEastAsia"/>
                <w:color w:val="000000"/>
                <w:szCs w:val="21"/>
              </w:rPr>
            </w:pPr>
            <w:r w:rsidRPr="00C24ACA">
              <w:rPr>
                <w:rFonts w:eastAsiaTheme="minorEastAsia"/>
                <w:color w:val="000000"/>
                <w:szCs w:val="21"/>
              </w:rPr>
              <w:t>基金投资收益</w:t>
            </w:r>
          </w:p>
        </w:tc>
        <w:tc>
          <w:tcPr>
            <w:tcW w:w="5533" w:type="dxa"/>
            <w:vAlign w:val="bottom"/>
          </w:tcPr>
          <w:p w:rsidR="00D85D98" w:rsidRPr="00C24ACA" w:rsidRDefault="00D85D98" w:rsidP="00A97A4E">
            <w:pPr>
              <w:jc w:val="right"/>
              <w:rPr>
                <w:rFonts w:eastAsiaTheme="minorEastAsia"/>
                <w:szCs w:val="21"/>
              </w:rPr>
            </w:pPr>
            <w:r w:rsidRPr="00C24ACA">
              <w:rPr>
                <w:rFonts w:eastAsiaTheme="minorEastAsia"/>
                <w:szCs w:val="21"/>
              </w:rPr>
              <w:t>6,307,334.25</w:t>
            </w:r>
          </w:p>
        </w:tc>
      </w:tr>
    </w:tbl>
    <w:p w:rsidR="00005C09" w:rsidRPr="00C24ACA" w:rsidRDefault="00005C09" w:rsidP="00005C09">
      <w:pPr>
        <w:tabs>
          <w:tab w:val="left" w:pos="426"/>
        </w:tabs>
        <w:spacing w:line="360" w:lineRule="auto"/>
        <w:jc w:val="left"/>
        <w:rPr>
          <w:rFonts w:eastAsiaTheme="minorEastAsia"/>
          <w:kern w:val="0"/>
          <w:szCs w:val="21"/>
        </w:rPr>
      </w:pPr>
    </w:p>
    <w:p w:rsidR="00005C09" w:rsidRPr="00C24ACA" w:rsidRDefault="00005C09" w:rsidP="00005C09">
      <w:pPr>
        <w:spacing w:line="360" w:lineRule="auto"/>
        <w:rPr>
          <w:rFonts w:eastAsiaTheme="minorEastAsia"/>
          <w:b/>
          <w:color w:val="000000" w:themeColor="text1"/>
          <w:szCs w:val="21"/>
        </w:rPr>
      </w:pPr>
      <w:r w:rsidRPr="00C24ACA">
        <w:rPr>
          <w:rFonts w:eastAsiaTheme="minorEastAsia"/>
          <w:b/>
          <w:bCs/>
          <w:color w:val="000000" w:themeColor="text1"/>
          <w:kern w:val="0"/>
          <w:szCs w:val="21"/>
        </w:rPr>
        <w:t>6.4.7.14</w:t>
      </w:r>
      <w:r w:rsidRPr="00C24ACA">
        <w:rPr>
          <w:rFonts w:eastAsiaTheme="minorEastAsia"/>
          <w:b/>
          <w:color w:val="000000" w:themeColor="text1"/>
          <w:szCs w:val="21"/>
        </w:rPr>
        <w:t>债券投资收益</w:t>
      </w:r>
      <w:r w:rsidRPr="00C24ACA">
        <w:rPr>
          <w:rFonts w:eastAsiaTheme="minorEastAsia"/>
          <w:b/>
          <w:color w:val="000000" w:themeColor="text1"/>
          <w:szCs w:val="21"/>
        </w:rPr>
        <w:t>——</w:t>
      </w:r>
      <w:r w:rsidRPr="00C24ACA">
        <w:rPr>
          <w:rFonts w:eastAsiaTheme="minorEastAsia"/>
          <w:b/>
          <w:color w:val="000000" w:themeColor="text1"/>
          <w:szCs w:val="21"/>
        </w:rPr>
        <w:t>买卖债券差价收入</w:t>
      </w:r>
    </w:p>
    <w:p w:rsidR="00005C09" w:rsidRPr="008707EB" w:rsidRDefault="00005C09"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本基金本报告期无债券投资收益。</w:t>
      </w:r>
    </w:p>
    <w:p w:rsidR="00005C09" w:rsidRPr="00C24ACA" w:rsidRDefault="00005C09" w:rsidP="00005C09">
      <w:pPr>
        <w:tabs>
          <w:tab w:val="left" w:pos="426"/>
        </w:tabs>
        <w:spacing w:line="360" w:lineRule="auto"/>
        <w:jc w:val="left"/>
        <w:rPr>
          <w:rFonts w:eastAsiaTheme="minorEastAsia"/>
          <w:kern w:val="0"/>
          <w:szCs w:val="21"/>
        </w:rPr>
      </w:pP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6.4.7.15</w:t>
      </w:r>
      <w:r w:rsidRPr="00C24ACA">
        <w:rPr>
          <w:rFonts w:eastAsiaTheme="minorEastAsia"/>
          <w:b/>
          <w:color w:val="000000"/>
          <w:szCs w:val="21"/>
        </w:rPr>
        <w:t>衍生工具收益</w:t>
      </w:r>
    </w:p>
    <w:p w:rsidR="001D5016" w:rsidRPr="00C24ACA" w:rsidRDefault="001D5016" w:rsidP="001D5016">
      <w:pPr>
        <w:tabs>
          <w:tab w:val="left" w:pos="7200"/>
          <w:tab w:val="left" w:pos="8280"/>
        </w:tabs>
        <w:ind w:rightChars="33" w:right="69"/>
        <w:jc w:val="right"/>
        <w:rPr>
          <w:rFonts w:eastAsiaTheme="minorEastAsia"/>
          <w:szCs w:val="21"/>
        </w:rPr>
      </w:pPr>
      <w:r w:rsidRPr="00C24ACA">
        <w:rPr>
          <w:rFonts w:eastAsiaTheme="minorEastAsia"/>
          <w:color w:val="000000"/>
          <w:szCs w:val="21"/>
        </w:rPr>
        <w:t>单位：人民币元</w:t>
      </w:r>
    </w:p>
    <w:tbl>
      <w:tblPr>
        <w:tblW w:w="929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99"/>
        <w:gridCol w:w="5497"/>
      </w:tblGrid>
      <w:tr w:rsidR="001D5016" w:rsidRPr="00C24ACA" w:rsidTr="00862636">
        <w:trPr>
          <w:trHeight w:val="285"/>
        </w:trPr>
        <w:tc>
          <w:tcPr>
            <w:tcW w:w="3799" w:type="dxa"/>
            <w:vAlign w:val="center"/>
          </w:tcPr>
          <w:p w:rsidR="001D5016" w:rsidRPr="00C24ACA" w:rsidRDefault="001D5016" w:rsidP="007C6EA8">
            <w:pPr>
              <w:jc w:val="center"/>
              <w:rPr>
                <w:rFonts w:eastAsiaTheme="minorEastAsia"/>
                <w:szCs w:val="21"/>
              </w:rPr>
            </w:pPr>
            <w:r w:rsidRPr="00C24ACA">
              <w:rPr>
                <w:rFonts w:eastAsiaTheme="minorEastAsia"/>
                <w:szCs w:val="21"/>
              </w:rPr>
              <w:t>项目</w:t>
            </w:r>
          </w:p>
        </w:tc>
        <w:tc>
          <w:tcPr>
            <w:tcW w:w="5497" w:type="dxa"/>
            <w:vAlign w:val="center"/>
          </w:tcPr>
          <w:p w:rsidR="001D5016" w:rsidRPr="00C24ACA" w:rsidRDefault="001D5016" w:rsidP="007C6EA8">
            <w:pPr>
              <w:jc w:val="center"/>
              <w:rPr>
                <w:rFonts w:eastAsiaTheme="minorEastAsia"/>
                <w:szCs w:val="21"/>
              </w:rPr>
            </w:pPr>
            <w:r w:rsidRPr="00C24ACA">
              <w:rPr>
                <w:rFonts w:eastAsiaTheme="minorEastAsia"/>
                <w:szCs w:val="21"/>
              </w:rPr>
              <w:t>本期</w:t>
            </w:r>
          </w:p>
          <w:p w:rsidR="001D5016" w:rsidRPr="00C24ACA" w:rsidRDefault="001D5016" w:rsidP="007C6EA8">
            <w:pPr>
              <w:widowControl/>
              <w:autoSpaceDE w:val="0"/>
              <w:autoSpaceDN w:val="0"/>
              <w:ind w:right="-15"/>
              <w:jc w:val="center"/>
              <w:textAlignment w:val="bottom"/>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71824">
        <w:tc>
          <w:tcPr>
            <w:tcW w:w="3799" w:type="dxa"/>
            <w:vAlign w:val="center"/>
          </w:tcPr>
          <w:p w:rsidR="00871824" w:rsidRDefault="00672BD5">
            <w:pPr>
              <w:jc w:val="left"/>
            </w:pPr>
            <w:r>
              <w:rPr>
                <w:rFonts w:eastAsiaTheme="minorEastAsia"/>
                <w:szCs w:val="21"/>
              </w:rPr>
              <w:t>期权投资收益</w:t>
            </w:r>
          </w:p>
        </w:tc>
        <w:tc>
          <w:tcPr>
            <w:tcW w:w="5497" w:type="dxa"/>
            <w:vAlign w:val="center"/>
          </w:tcPr>
          <w:p w:rsidR="00871824" w:rsidRDefault="00672BD5">
            <w:pPr>
              <w:jc w:val="right"/>
            </w:pPr>
            <w:r>
              <w:rPr>
                <w:rFonts w:eastAsiaTheme="minorEastAsia"/>
                <w:szCs w:val="21"/>
              </w:rPr>
              <w:t>-</w:t>
            </w:r>
          </w:p>
        </w:tc>
      </w:tr>
      <w:tr w:rsidR="00871824">
        <w:tc>
          <w:tcPr>
            <w:tcW w:w="3799" w:type="dxa"/>
            <w:vAlign w:val="center"/>
          </w:tcPr>
          <w:p w:rsidR="00871824" w:rsidRDefault="00672BD5">
            <w:pPr>
              <w:jc w:val="left"/>
            </w:pPr>
            <w:r>
              <w:rPr>
                <w:rFonts w:eastAsiaTheme="minorEastAsia"/>
                <w:szCs w:val="21"/>
              </w:rPr>
              <w:t>期货投资收益</w:t>
            </w:r>
          </w:p>
        </w:tc>
        <w:tc>
          <w:tcPr>
            <w:tcW w:w="5497" w:type="dxa"/>
            <w:vAlign w:val="center"/>
          </w:tcPr>
          <w:p w:rsidR="00871824" w:rsidRDefault="00672BD5">
            <w:pPr>
              <w:jc w:val="right"/>
            </w:pPr>
            <w:r>
              <w:rPr>
                <w:rFonts w:eastAsiaTheme="minorEastAsia"/>
                <w:szCs w:val="21"/>
              </w:rPr>
              <w:t>-9,312,628.02</w:t>
            </w:r>
          </w:p>
        </w:tc>
      </w:tr>
      <w:tr w:rsidR="00871824">
        <w:tc>
          <w:tcPr>
            <w:tcW w:w="3799" w:type="dxa"/>
            <w:vAlign w:val="center"/>
          </w:tcPr>
          <w:p w:rsidR="00871824" w:rsidRDefault="00672BD5">
            <w:pPr>
              <w:jc w:val="left"/>
            </w:pPr>
            <w:r>
              <w:rPr>
                <w:rFonts w:eastAsiaTheme="minorEastAsia"/>
                <w:szCs w:val="21"/>
              </w:rPr>
              <w:t>合计</w:t>
            </w:r>
          </w:p>
        </w:tc>
        <w:tc>
          <w:tcPr>
            <w:tcW w:w="5497" w:type="dxa"/>
            <w:vAlign w:val="center"/>
          </w:tcPr>
          <w:p w:rsidR="00871824" w:rsidRDefault="00672BD5">
            <w:pPr>
              <w:jc w:val="right"/>
            </w:pPr>
            <w:r>
              <w:rPr>
                <w:rFonts w:eastAsiaTheme="minorEastAsia"/>
                <w:szCs w:val="21"/>
              </w:rPr>
              <w:t>-9,312,628.02</w:t>
            </w:r>
          </w:p>
        </w:tc>
      </w:tr>
    </w:tbl>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6.4.7.16</w:t>
      </w:r>
      <w:r w:rsidRPr="00C24ACA">
        <w:rPr>
          <w:rFonts w:eastAsiaTheme="minorEastAsia"/>
          <w:b/>
          <w:color w:val="000000"/>
          <w:szCs w:val="21"/>
        </w:rPr>
        <w:t>股利收益</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本基金本报告期无股利收益。</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6.4.7.17</w:t>
      </w:r>
      <w:r w:rsidRPr="00C24ACA">
        <w:rPr>
          <w:rFonts w:eastAsiaTheme="minorEastAsia"/>
          <w:b/>
          <w:color w:val="000000"/>
          <w:szCs w:val="21"/>
        </w:rPr>
        <w:t>公允价值变动收益</w:t>
      </w:r>
    </w:p>
    <w:p w:rsidR="00107BA0" w:rsidRDefault="00107BA0" w:rsidP="00107BA0">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107BA0" w:rsidTr="00DC4F67">
        <w:trPr>
          <w:trHeight w:val="285"/>
        </w:trPr>
        <w:tc>
          <w:tcPr>
            <w:tcW w:w="3794" w:type="dxa"/>
            <w:vAlign w:val="center"/>
            <w:hideMark/>
          </w:tcPr>
          <w:p w:rsidR="00107BA0" w:rsidRDefault="00107BA0">
            <w:pPr>
              <w:jc w:val="center"/>
              <w:rPr>
                <w:szCs w:val="21"/>
              </w:rPr>
            </w:pPr>
            <w:r>
              <w:rPr>
                <w:rFonts w:hint="eastAsia"/>
                <w:kern w:val="0"/>
                <w:szCs w:val="21"/>
              </w:rPr>
              <w:t>项目名称</w:t>
            </w:r>
          </w:p>
        </w:tc>
        <w:tc>
          <w:tcPr>
            <w:tcW w:w="5528" w:type="dxa"/>
            <w:vAlign w:val="center"/>
            <w:hideMark/>
          </w:tcPr>
          <w:p w:rsidR="00107BA0" w:rsidRDefault="00107BA0">
            <w:pPr>
              <w:jc w:val="center"/>
              <w:rPr>
                <w:szCs w:val="21"/>
              </w:rPr>
            </w:pPr>
            <w:r>
              <w:rPr>
                <w:rFonts w:hint="eastAsia"/>
                <w:szCs w:val="21"/>
              </w:rPr>
              <w:t>本期</w:t>
            </w:r>
          </w:p>
          <w:p w:rsidR="00107BA0" w:rsidRDefault="00107BA0">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107BA0" w:rsidTr="00DC4F67">
        <w:trPr>
          <w:trHeight w:val="285"/>
        </w:trPr>
        <w:tc>
          <w:tcPr>
            <w:tcW w:w="3794" w:type="dxa"/>
            <w:vAlign w:val="center"/>
            <w:hideMark/>
          </w:tcPr>
          <w:p w:rsidR="00107BA0" w:rsidRDefault="00107BA0">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107BA0" w:rsidRDefault="00107BA0">
            <w:pPr>
              <w:jc w:val="right"/>
              <w:rPr>
                <w:szCs w:val="21"/>
              </w:rPr>
            </w:pPr>
            <w:r>
              <w:rPr>
                <w:szCs w:val="21"/>
              </w:rPr>
              <w:t>-143,384,987.93</w:t>
            </w:r>
          </w:p>
        </w:tc>
      </w:tr>
      <w:tr w:rsidR="00107BA0" w:rsidTr="00DC4F67">
        <w:trPr>
          <w:trHeight w:val="285"/>
        </w:trPr>
        <w:tc>
          <w:tcPr>
            <w:tcW w:w="3794" w:type="dxa"/>
            <w:vAlign w:val="center"/>
            <w:hideMark/>
          </w:tcPr>
          <w:p w:rsidR="00107BA0" w:rsidRDefault="00107BA0">
            <w:pPr>
              <w:widowControl/>
              <w:jc w:val="left"/>
              <w:rPr>
                <w:szCs w:val="21"/>
              </w:rPr>
            </w:pPr>
            <w:r>
              <w:rPr>
                <w:kern w:val="0"/>
                <w:szCs w:val="21"/>
              </w:rPr>
              <w:t>——</w:t>
            </w:r>
            <w:r>
              <w:rPr>
                <w:rFonts w:hint="eastAsia"/>
                <w:kern w:val="0"/>
                <w:szCs w:val="21"/>
              </w:rPr>
              <w:t>股票投资</w:t>
            </w:r>
          </w:p>
        </w:tc>
        <w:tc>
          <w:tcPr>
            <w:tcW w:w="5528" w:type="dxa"/>
            <w:vAlign w:val="center"/>
            <w:hideMark/>
          </w:tcPr>
          <w:p w:rsidR="00107BA0" w:rsidRDefault="00107BA0">
            <w:pPr>
              <w:jc w:val="right"/>
              <w:rPr>
                <w:szCs w:val="21"/>
              </w:rPr>
            </w:pPr>
            <w:r>
              <w:rPr>
                <w:szCs w:val="21"/>
              </w:rPr>
              <w:t>-</w:t>
            </w:r>
          </w:p>
        </w:tc>
      </w:tr>
      <w:tr w:rsidR="00107BA0" w:rsidTr="00DC4F67">
        <w:trPr>
          <w:trHeight w:val="285"/>
        </w:trPr>
        <w:tc>
          <w:tcPr>
            <w:tcW w:w="3794" w:type="dxa"/>
            <w:vAlign w:val="center"/>
            <w:hideMark/>
          </w:tcPr>
          <w:p w:rsidR="00107BA0" w:rsidRDefault="00107BA0">
            <w:pPr>
              <w:widowControl/>
              <w:jc w:val="left"/>
              <w:rPr>
                <w:szCs w:val="21"/>
              </w:rPr>
            </w:pPr>
            <w:r>
              <w:rPr>
                <w:kern w:val="0"/>
                <w:szCs w:val="21"/>
              </w:rPr>
              <w:t>——</w:t>
            </w:r>
            <w:r>
              <w:rPr>
                <w:rFonts w:hint="eastAsia"/>
                <w:kern w:val="0"/>
                <w:szCs w:val="21"/>
              </w:rPr>
              <w:t>债券投资</w:t>
            </w:r>
          </w:p>
        </w:tc>
        <w:tc>
          <w:tcPr>
            <w:tcW w:w="5528" w:type="dxa"/>
            <w:vAlign w:val="center"/>
            <w:hideMark/>
          </w:tcPr>
          <w:p w:rsidR="00107BA0" w:rsidRDefault="00107BA0">
            <w:pPr>
              <w:jc w:val="right"/>
              <w:rPr>
                <w:szCs w:val="21"/>
              </w:rPr>
            </w:pPr>
            <w:r>
              <w:rPr>
                <w:szCs w:val="21"/>
              </w:rPr>
              <w:t>-</w:t>
            </w:r>
          </w:p>
        </w:tc>
      </w:tr>
      <w:tr w:rsidR="00107BA0" w:rsidTr="00DC4F67">
        <w:trPr>
          <w:trHeight w:val="285"/>
        </w:trPr>
        <w:tc>
          <w:tcPr>
            <w:tcW w:w="3794" w:type="dxa"/>
            <w:vAlign w:val="center"/>
            <w:hideMark/>
          </w:tcPr>
          <w:p w:rsidR="00107BA0" w:rsidRDefault="00107BA0">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107BA0" w:rsidRDefault="00107BA0">
            <w:pPr>
              <w:jc w:val="right"/>
              <w:rPr>
                <w:kern w:val="0"/>
                <w:szCs w:val="21"/>
              </w:rPr>
            </w:pPr>
            <w:r>
              <w:rPr>
                <w:kern w:val="0"/>
                <w:szCs w:val="21"/>
              </w:rPr>
              <w:t>-</w:t>
            </w:r>
          </w:p>
        </w:tc>
      </w:tr>
      <w:tr w:rsidR="00107BA0" w:rsidTr="00DC4F67">
        <w:trPr>
          <w:trHeight w:val="285"/>
        </w:trPr>
        <w:tc>
          <w:tcPr>
            <w:tcW w:w="3794" w:type="dxa"/>
            <w:vAlign w:val="center"/>
            <w:hideMark/>
          </w:tcPr>
          <w:p w:rsidR="00107BA0" w:rsidRDefault="00107BA0">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107BA0" w:rsidRDefault="00107BA0">
            <w:pPr>
              <w:jc w:val="right"/>
              <w:rPr>
                <w:kern w:val="0"/>
                <w:szCs w:val="21"/>
              </w:rPr>
            </w:pPr>
            <w:r>
              <w:rPr>
                <w:kern w:val="0"/>
                <w:szCs w:val="21"/>
              </w:rPr>
              <w:t>-143,384,987.93</w:t>
            </w:r>
          </w:p>
        </w:tc>
      </w:tr>
      <w:tr w:rsidR="00107BA0" w:rsidTr="00DC4F67">
        <w:trPr>
          <w:trHeight w:val="285"/>
        </w:trPr>
        <w:tc>
          <w:tcPr>
            <w:tcW w:w="3794" w:type="dxa"/>
            <w:vAlign w:val="center"/>
            <w:hideMark/>
          </w:tcPr>
          <w:p w:rsidR="00107BA0" w:rsidRDefault="00107BA0">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107BA0" w:rsidRDefault="00107BA0">
            <w:pPr>
              <w:widowControl/>
              <w:jc w:val="right"/>
              <w:rPr>
                <w:kern w:val="0"/>
                <w:szCs w:val="21"/>
              </w:rPr>
            </w:pPr>
            <w:r>
              <w:rPr>
                <w:kern w:val="0"/>
                <w:szCs w:val="21"/>
              </w:rPr>
              <w:t>-</w:t>
            </w:r>
          </w:p>
        </w:tc>
      </w:tr>
      <w:tr w:rsidR="00107BA0" w:rsidTr="00DC4F67">
        <w:trPr>
          <w:trHeight w:val="285"/>
        </w:trPr>
        <w:tc>
          <w:tcPr>
            <w:tcW w:w="3794" w:type="dxa"/>
            <w:vAlign w:val="center"/>
            <w:hideMark/>
          </w:tcPr>
          <w:p w:rsidR="00107BA0" w:rsidRDefault="00107BA0">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107BA0" w:rsidRDefault="00107BA0">
            <w:pPr>
              <w:widowControl/>
              <w:jc w:val="right"/>
              <w:rPr>
                <w:kern w:val="0"/>
                <w:szCs w:val="21"/>
              </w:rPr>
            </w:pPr>
            <w:r>
              <w:rPr>
                <w:rFonts w:eastAsiaTheme="minorEastAsia"/>
                <w:kern w:val="0"/>
                <w:szCs w:val="21"/>
              </w:rPr>
              <w:t>-</w:t>
            </w:r>
          </w:p>
        </w:tc>
      </w:tr>
      <w:tr w:rsidR="00107BA0" w:rsidTr="00DC4F67">
        <w:trPr>
          <w:trHeight w:val="285"/>
        </w:trPr>
        <w:tc>
          <w:tcPr>
            <w:tcW w:w="3794" w:type="dxa"/>
            <w:vAlign w:val="center"/>
            <w:hideMark/>
          </w:tcPr>
          <w:p w:rsidR="00107BA0" w:rsidRDefault="00107BA0">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107BA0" w:rsidRDefault="00107BA0">
            <w:pPr>
              <w:jc w:val="right"/>
              <w:rPr>
                <w:kern w:val="0"/>
                <w:szCs w:val="21"/>
              </w:rPr>
            </w:pPr>
            <w:r>
              <w:rPr>
                <w:kern w:val="0"/>
                <w:szCs w:val="21"/>
              </w:rPr>
              <w:t>-</w:t>
            </w:r>
          </w:p>
        </w:tc>
      </w:tr>
      <w:tr w:rsidR="00107BA0" w:rsidTr="00DC4F67">
        <w:trPr>
          <w:trHeight w:val="285"/>
        </w:trPr>
        <w:tc>
          <w:tcPr>
            <w:tcW w:w="3794" w:type="dxa"/>
            <w:vAlign w:val="center"/>
            <w:hideMark/>
          </w:tcPr>
          <w:p w:rsidR="00107BA0" w:rsidRDefault="00107BA0">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107BA0" w:rsidRDefault="00107BA0">
            <w:pPr>
              <w:jc w:val="right"/>
              <w:rPr>
                <w:kern w:val="0"/>
                <w:szCs w:val="21"/>
              </w:rPr>
            </w:pPr>
            <w:r>
              <w:rPr>
                <w:kern w:val="0"/>
                <w:szCs w:val="21"/>
              </w:rPr>
              <w:t>-</w:t>
            </w:r>
          </w:p>
        </w:tc>
      </w:tr>
      <w:tr w:rsidR="00871824">
        <w:tc>
          <w:tcPr>
            <w:tcW w:w="3794" w:type="dxa"/>
            <w:vAlign w:val="center"/>
          </w:tcPr>
          <w:p w:rsidR="00871824" w:rsidRDefault="00672BD5">
            <w:pPr>
              <w:jc w:val="left"/>
            </w:pPr>
            <w:r>
              <w:rPr>
                <w:kern w:val="0"/>
                <w:szCs w:val="21"/>
              </w:rPr>
              <w:t>——</w:t>
            </w:r>
            <w:r>
              <w:rPr>
                <w:kern w:val="0"/>
                <w:szCs w:val="21"/>
              </w:rPr>
              <w:t>期货投资</w:t>
            </w:r>
          </w:p>
        </w:tc>
        <w:tc>
          <w:tcPr>
            <w:tcW w:w="5529" w:type="dxa"/>
            <w:vAlign w:val="center"/>
          </w:tcPr>
          <w:p w:rsidR="00871824" w:rsidRDefault="00672BD5">
            <w:pPr>
              <w:jc w:val="right"/>
            </w:pPr>
            <w:r>
              <w:rPr>
                <w:kern w:val="0"/>
                <w:szCs w:val="21"/>
              </w:rPr>
              <w:t>-</w:t>
            </w:r>
          </w:p>
        </w:tc>
      </w:tr>
      <w:tr w:rsidR="00871824">
        <w:tc>
          <w:tcPr>
            <w:tcW w:w="3794" w:type="dxa"/>
            <w:vAlign w:val="center"/>
          </w:tcPr>
          <w:p w:rsidR="00871824" w:rsidRDefault="00672BD5">
            <w:pPr>
              <w:jc w:val="left"/>
            </w:pPr>
            <w:r>
              <w:rPr>
                <w:kern w:val="0"/>
                <w:szCs w:val="21"/>
              </w:rPr>
              <w:t>——</w:t>
            </w:r>
            <w:r>
              <w:rPr>
                <w:kern w:val="0"/>
                <w:szCs w:val="21"/>
              </w:rPr>
              <w:t>期权投资</w:t>
            </w:r>
          </w:p>
        </w:tc>
        <w:tc>
          <w:tcPr>
            <w:tcW w:w="5529" w:type="dxa"/>
            <w:vAlign w:val="center"/>
          </w:tcPr>
          <w:p w:rsidR="00871824" w:rsidRDefault="00672BD5">
            <w:pPr>
              <w:jc w:val="right"/>
            </w:pPr>
            <w:r>
              <w:rPr>
                <w:kern w:val="0"/>
                <w:szCs w:val="21"/>
              </w:rPr>
              <w:t>-</w:t>
            </w:r>
          </w:p>
        </w:tc>
      </w:tr>
      <w:tr w:rsidR="00107BA0" w:rsidTr="00DC4F67">
        <w:trPr>
          <w:trHeight w:val="285"/>
        </w:trPr>
        <w:tc>
          <w:tcPr>
            <w:tcW w:w="3794" w:type="dxa"/>
            <w:vAlign w:val="center"/>
            <w:hideMark/>
          </w:tcPr>
          <w:p w:rsidR="00107BA0" w:rsidRDefault="00107BA0">
            <w:pPr>
              <w:widowControl/>
              <w:rPr>
                <w:szCs w:val="21"/>
              </w:rPr>
            </w:pPr>
            <w:r>
              <w:rPr>
                <w:kern w:val="0"/>
                <w:szCs w:val="21"/>
              </w:rPr>
              <w:t>3.</w:t>
            </w:r>
            <w:r>
              <w:rPr>
                <w:rFonts w:hint="eastAsia"/>
                <w:kern w:val="0"/>
                <w:szCs w:val="21"/>
              </w:rPr>
              <w:t>其他</w:t>
            </w:r>
          </w:p>
        </w:tc>
        <w:tc>
          <w:tcPr>
            <w:tcW w:w="5528" w:type="dxa"/>
            <w:vAlign w:val="center"/>
            <w:hideMark/>
          </w:tcPr>
          <w:p w:rsidR="00107BA0" w:rsidRDefault="00107BA0">
            <w:pPr>
              <w:jc w:val="right"/>
              <w:rPr>
                <w:szCs w:val="21"/>
              </w:rPr>
            </w:pPr>
            <w:r>
              <w:rPr>
                <w:szCs w:val="21"/>
              </w:rPr>
              <w:t>-</w:t>
            </w:r>
          </w:p>
        </w:tc>
      </w:tr>
      <w:tr w:rsidR="00107BA0" w:rsidTr="00DC4F67">
        <w:trPr>
          <w:trHeight w:val="285"/>
        </w:trPr>
        <w:tc>
          <w:tcPr>
            <w:tcW w:w="3794" w:type="dxa"/>
            <w:vAlign w:val="center"/>
            <w:hideMark/>
          </w:tcPr>
          <w:p w:rsidR="00107BA0" w:rsidRDefault="00107BA0">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107BA0" w:rsidRDefault="00107BA0">
            <w:pPr>
              <w:jc w:val="right"/>
              <w:rPr>
                <w:rFonts w:eastAsiaTheme="minorEastAsia"/>
                <w:szCs w:val="21"/>
              </w:rPr>
            </w:pPr>
            <w:r>
              <w:rPr>
                <w:rFonts w:eastAsiaTheme="minorEastAsia"/>
                <w:szCs w:val="21"/>
              </w:rPr>
              <w:t>-</w:t>
            </w:r>
          </w:p>
        </w:tc>
      </w:tr>
      <w:tr w:rsidR="00107BA0" w:rsidTr="00DC4F67">
        <w:trPr>
          <w:trHeight w:val="285"/>
        </w:trPr>
        <w:tc>
          <w:tcPr>
            <w:tcW w:w="3794" w:type="dxa"/>
            <w:vAlign w:val="center"/>
            <w:hideMark/>
          </w:tcPr>
          <w:p w:rsidR="00107BA0" w:rsidRDefault="00107BA0">
            <w:pPr>
              <w:widowControl/>
              <w:rPr>
                <w:szCs w:val="21"/>
              </w:rPr>
            </w:pPr>
            <w:r>
              <w:rPr>
                <w:rFonts w:hint="eastAsia"/>
                <w:kern w:val="0"/>
                <w:szCs w:val="21"/>
              </w:rPr>
              <w:t>合计</w:t>
            </w:r>
          </w:p>
        </w:tc>
        <w:tc>
          <w:tcPr>
            <w:tcW w:w="5528" w:type="dxa"/>
            <w:vAlign w:val="center"/>
            <w:hideMark/>
          </w:tcPr>
          <w:p w:rsidR="00107BA0" w:rsidRDefault="00107BA0">
            <w:pPr>
              <w:jc w:val="right"/>
              <w:rPr>
                <w:szCs w:val="21"/>
              </w:rPr>
            </w:pPr>
            <w:r>
              <w:rPr>
                <w:szCs w:val="21"/>
              </w:rPr>
              <w:t>-143,384,987.93</w:t>
            </w:r>
          </w:p>
        </w:tc>
      </w:tr>
    </w:tbl>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6.4.7.18</w:t>
      </w:r>
      <w:r w:rsidRPr="00C24ACA">
        <w:rPr>
          <w:rFonts w:eastAsiaTheme="minorEastAsia"/>
          <w:b/>
          <w:color w:val="000000"/>
          <w:szCs w:val="21"/>
        </w:rPr>
        <w:t>其他收入</w:t>
      </w:r>
    </w:p>
    <w:p w:rsidR="008A5A5D" w:rsidRPr="00C24ACA" w:rsidRDefault="008A5A5D" w:rsidP="003955D3">
      <w:pPr>
        <w:tabs>
          <w:tab w:val="left" w:pos="7200"/>
          <w:tab w:val="left" w:pos="8280"/>
        </w:tabs>
        <w:ind w:rightChars="-52" w:right="-109"/>
        <w:jc w:val="right"/>
        <w:rPr>
          <w:rFonts w:eastAsiaTheme="minorEastAsia"/>
          <w:szCs w:val="21"/>
          <w:lang w:val="en-AU"/>
        </w:rPr>
      </w:pPr>
      <w:r w:rsidRPr="00C24ACA">
        <w:rPr>
          <w:rFonts w:eastAsiaTheme="minorEastAsia"/>
          <w:color w:val="000000"/>
          <w:szCs w:val="21"/>
        </w:rPr>
        <w:t>单位：人民币元</w:t>
      </w:r>
    </w:p>
    <w:tbl>
      <w:tblPr>
        <w:tblW w:w="907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33"/>
        <w:gridCol w:w="5242"/>
      </w:tblGrid>
      <w:tr w:rsidR="008A5A5D" w:rsidRPr="00C24ACA" w:rsidTr="00862636">
        <w:trPr>
          <w:trHeight w:val="255"/>
        </w:trPr>
        <w:tc>
          <w:tcPr>
            <w:tcW w:w="3833"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242" w:type="dxa"/>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widowControl/>
              <w:autoSpaceDE w:val="0"/>
              <w:autoSpaceDN w:val="0"/>
              <w:ind w:right="-15"/>
              <w:jc w:val="center"/>
              <w:textAlignment w:val="bottom"/>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rPr>
          <w:trHeight w:val="255"/>
        </w:trPr>
        <w:tc>
          <w:tcPr>
            <w:tcW w:w="3833" w:type="dxa"/>
            <w:vAlign w:val="bottom"/>
          </w:tcPr>
          <w:p w:rsidR="008A5A5D" w:rsidRPr="00C24ACA" w:rsidRDefault="008A5A5D" w:rsidP="004A4847">
            <w:pPr>
              <w:rPr>
                <w:rFonts w:eastAsiaTheme="minorEastAsia"/>
                <w:szCs w:val="21"/>
              </w:rPr>
            </w:pPr>
            <w:r w:rsidRPr="00C24ACA">
              <w:rPr>
                <w:rFonts w:eastAsiaTheme="minorEastAsia"/>
                <w:szCs w:val="21"/>
              </w:rPr>
              <w:t>基金赎回费收入</w:t>
            </w:r>
          </w:p>
        </w:tc>
        <w:tc>
          <w:tcPr>
            <w:tcW w:w="5242" w:type="dxa"/>
            <w:vAlign w:val="bottom"/>
          </w:tcPr>
          <w:p w:rsidR="008A5A5D" w:rsidRPr="00C24ACA" w:rsidRDefault="008A5A5D" w:rsidP="004A4847">
            <w:pPr>
              <w:jc w:val="right"/>
              <w:rPr>
                <w:rFonts w:eastAsiaTheme="minorEastAsia"/>
                <w:szCs w:val="21"/>
              </w:rPr>
            </w:pPr>
            <w:r w:rsidRPr="00C24ACA">
              <w:rPr>
                <w:rFonts w:eastAsiaTheme="minorEastAsia"/>
                <w:szCs w:val="21"/>
              </w:rPr>
              <w:t>1,211,017.08</w:t>
            </w:r>
          </w:p>
        </w:tc>
      </w:tr>
      <w:tr w:rsidR="00871824">
        <w:tc>
          <w:tcPr>
            <w:tcW w:w="3833" w:type="dxa"/>
            <w:vAlign w:val="center"/>
          </w:tcPr>
          <w:p w:rsidR="00871824" w:rsidRDefault="00672BD5">
            <w:pPr>
              <w:jc w:val="left"/>
            </w:pPr>
            <w:r>
              <w:rPr>
                <w:rFonts w:eastAsiaTheme="minorEastAsia"/>
                <w:szCs w:val="21"/>
              </w:rPr>
              <w:t>其他</w:t>
            </w:r>
          </w:p>
        </w:tc>
        <w:tc>
          <w:tcPr>
            <w:tcW w:w="5242" w:type="dxa"/>
            <w:vAlign w:val="center"/>
          </w:tcPr>
          <w:p w:rsidR="00871824" w:rsidRDefault="00672BD5">
            <w:pPr>
              <w:jc w:val="right"/>
            </w:pPr>
            <w:r>
              <w:rPr>
                <w:rFonts w:eastAsiaTheme="minorEastAsia"/>
                <w:szCs w:val="21"/>
              </w:rPr>
              <w:t>-</w:t>
            </w:r>
          </w:p>
        </w:tc>
      </w:tr>
      <w:tr w:rsidR="008A5A5D" w:rsidRPr="00C24ACA" w:rsidTr="00862636">
        <w:trPr>
          <w:trHeight w:val="255"/>
        </w:trPr>
        <w:tc>
          <w:tcPr>
            <w:tcW w:w="3833" w:type="dxa"/>
            <w:vAlign w:val="bottom"/>
          </w:tcPr>
          <w:p w:rsidR="008A5A5D" w:rsidRPr="00C24ACA" w:rsidRDefault="008A5A5D" w:rsidP="004A4847">
            <w:pPr>
              <w:rPr>
                <w:rFonts w:eastAsiaTheme="minorEastAsia"/>
                <w:szCs w:val="21"/>
              </w:rPr>
            </w:pPr>
            <w:r w:rsidRPr="00C24ACA">
              <w:rPr>
                <w:rFonts w:eastAsiaTheme="minorEastAsia"/>
                <w:szCs w:val="21"/>
              </w:rPr>
              <w:t>合计</w:t>
            </w:r>
          </w:p>
        </w:tc>
        <w:tc>
          <w:tcPr>
            <w:tcW w:w="5242" w:type="dxa"/>
            <w:vAlign w:val="bottom"/>
          </w:tcPr>
          <w:p w:rsidR="008A5A5D" w:rsidRPr="00C24ACA" w:rsidRDefault="008A5A5D" w:rsidP="004A4847">
            <w:pPr>
              <w:jc w:val="right"/>
              <w:rPr>
                <w:rFonts w:eastAsiaTheme="minorEastAsia"/>
                <w:szCs w:val="21"/>
              </w:rPr>
            </w:pPr>
            <w:r w:rsidRPr="00C24ACA">
              <w:rPr>
                <w:rFonts w:eastAsiaTheme="minorEastAsia"/>
                <w:szCs w:val="21"/>
              </w:rPr>
              <w:t>1,211,017.08</w:t>
            </w:r>
          </w:p>
        </w:tc>
      </w:tr>
    </w:tbl>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6.4.7.19</w:t>
      </w:r>
      <w:r w:rsidRPr="00C24ACA">
        <w:rPr>
          <w:rFonts w:eastAsiaTheme="minorEastAsia"/>
          <w:b/>
          <w:color w:val="000000"/>
          <w:szCs w:val="21"/>
        </w:rPr>
        <w:t>交易费用</w:t>
      </w:r>
    </w:p>
    <w:p w:rsidR="004D679F" w:rsidRDefault="004D679F" w:rsidP="004D679F">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07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7"/>
        <w:gridCol w:w="5249"/>
      </w:tblGrid>
      <w:tr w:rsidR="004D679F" w:rsidTr="00DC4F67">
        <w:trPr>
          <w:trHeight w:val="285"/>
        </w:trPr>
        <w:tc>
          <w:tcPr>
            <w:tcW w:w="3827" w:type="dxa"/>
            <w:vAlign w:val="center"/>
            <w:hideMark/>
          </w:tcPr>
          <w:p w:rsidR="004D679F" w:rsidRDefault="004D679F" w:rsidP="00F0322F">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249" w:type="dxa"/>
            <w:vAlign w:val="center"/>
            <w:hideMark/>
          </w:tcPr>
          <w:p w:rsidR="004D679F" w:rsidRDefault="004D679F" w:rsidP="00F0322F">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4D679F" w:rsidRDefault="004D679F" w:rsidP="00F0322F">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4D679F" w:rsidTr="00DC4F67">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53,261.03</w:t>
            </w:r>
          </w:p>
        </w:tc>
      </w:tr>
      <w:tr w:rsidR="004D679F" w:rsidTr="00DC4F67">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4D679F" w:rsidTr="00DC4F67">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rPr>
              <w:t>交易基金产生的费用</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42,047.00</w:t>
            </w:r>
          </w:p>
        </w:tc>
      </w:tr>
      <w:tr w:rsidR="004D679F" w:rsidTr="00DC4F67">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rPr>
              <w:t>其中：申购费</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4D679F" w:rsidTr="00DC4F67">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color w:val="000000" w:themeColor="text1"/>
                <w:szCs w:val="21"/>
              </w:rPr>
              <w:t xml:space="preserve">      </w:t>
            </w:r>
            <w:r>
              <w:rPr>
                <w:rFonts w:eastAsiaTheme="minorEastAsia" w:hint="eastAsia"/>
                <w:color w:val="000000" w:themeColor="text1"/>
                <w:szCs w:val="21"/>
              </w:rPr>
              <w:t>赎回费</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871824">
        <w:tc>
          <w:tcPr>
            <w:tcW w:w="3827" w:type="dxa"/>
            <w:vAlign w:val="center"/>
          </w:tcPr>
          <w:p w:rsidR="00871824" w:rsidRDefault="00672BD5">
            <w:pPr>
              <w:jc w:val="center"/>
            </w:pPr>
            <w:r>
              <w:rPr>
                <w:rFonts w:eastAsiaTheme="minorEastAsia"/>
                <w:color w:val="000000" w:themeColor="text1"/>
                <w:kern w:val="0"/>
                <w:szCs w:val="21"/>
              </w:rPr>
              <w:t>其他</w:t>
            </w:r>
          </w:p>
        </w:tc>
        <w:tc>
          <w:tcPr>
            <w:tcW w:w="5249" w:type="dxa"/>
            <w:vAlign w:val="center"/>
          </w:tcPr>
          <w:p w:rsidR="00871824" w:rsidRDefault="00672BD5">
            <w:pPr>
              <w:jc w:val="right"/>
            </w:pPr>
            <w:r>
              <w:rPr>
                <w:rFonts w:eastAsiaTheme="minorEastAsia"/>
                <w:color w:val="000000" w:themeColor="text1"/>
                <w:kern w:val="0"/>
                <w:szCs w:val="21"/>
              </w:rPr>
              <w:t>42,047.00</w:t>
            </w:r>
          </w:p>
        </w:tc>
      </w:tr>
      <w:tr w:rsidR="004D679F" w:rsidTr="00DC4F67">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95,308.03</w:t>
            </w:r>
          </w:p>
        </w:tc>
      </w:tr>
    </w:tbl>
    <w:p w:rsidR="004D679F" w:rsidRPr="00441ABA" w:rsidRDefault="004D679F" w:rsidP="00441ABA">
      <w:pPr>
        <w:spacing w:line="360" w:lineRule="auto"/>
        <w:rPr>
          <w:rFonts w:eastAsiaTheme="minorEastAsia"/>
          <w:b/>
          <w:bCs/>
          <w:color w:val="000000"/>
          <w:kern w:val="0"/>
          <w:szCs w:val="21"/>
        </w:rPr>
      </w:pPr>
      <w:r w:rsidRPr="00441ABA">
        <w:rPr>
          <w:rFonts w:eastAsiaTheme="minorEastAsia"/>
          <w:b/>
          <w:bCs/>
          <w:color w:val="000000"/>
          <w:kern w:val="0"/>
          <w:szCs w:val="21"/>
        </w:rPr>
        <w:t xml:space="preserve">6.4.7.19.1 </w:t>
      </w:r>
      <w:r w:rsidRPr="00441ABA">
        <w:rPr>
          <w:rFonts w:eastAsiaTheme="minorEastAsia" w:hint="eastAsia"/>
          <w:b/>
          <w:bCs/>
          <w:color w:val="000000"/>
          <w:kern w:val="0"/>
          <w:szCs w:val="21"/>
        </w:rPr>
        <w:t>持有基金产生的费用</w:t>
      </w:r>
    </w:p>
    <w:tbl>
      <w:tblPr>
        <w:tblStyle w:val="af7"/>
        <w:tblW w:w="9076" w:type="dxa"/>
        <w:tblInd w:w="250" w:type="dxa"/>
        <w:tblLayout w:type="fixed"/>
        <w:tblLook w:val="04A0" w:firstRow="1" w:lastRow="0" w:firstColumn="1" w:lastColumn="0" w:noHBand="0" w:noVBand="1"/>
      </w:tblPr>
      <w:tblGrid>
        <w:gridCol w:w="3827"/>
        <w:gridCol w:w="5249"/>
      </w:tblGrid>
      <w:tr w:rsidR="004D679F" w:rsidTr="00DC4F67">
        <w:tc>
          <w:tcPr>
            <w:tcW w:w="3827" w:type="dxa"/>
            <w:vAlign w:val="center"/>
            <w:hideMark/>
          </w:tcPr>
          <w:p w:rsidR="004D679F" w:rsidRDefault="004D679F" w:rsidP="00F0322F">
            <w:pPr>
              <w:tabs>
                <w:tab w:val="left" w:pos="426"/>
              </w:tabs>
              <w:spacing w:line="360" w:lineRule="auto"/>
              <w:jc w:val="center"/>
              <w:rPr>
                <w:rFonts w:eastAsiaTheme="minorEastAsia"/>
                <w:color w:val="000000" w:themeColor="text1"/>
                <w:kern w:val="0"/>
                <w:szCs w:val="21"/>
              </w:rPr>
            </w:pPr>
            <w:r>
              <w:rPr>
                <w:rFonts w:eastAsiaTheme="minorEastAsia" w:hint="eastAsia"/>
                <w:color w:val="000000" w:themeColor="text1"/>
                <w:kern w:val="0"/>
                <w:szCs w:val="21"/>
              </w:rPr>
              <w:t>项目</w:t>
            </w:r>
          </w:p>
        </w:tc>
        <w:tc>
          <w:tcPr>
            <w:tcW w:w="5249" w:type="dxa"/>
            <w:vAlign w:val="center"/>
            <w:hideMark/>
          </w:tcPr>
          <w:p w:rsidR="004D679F" w:rsidRDefault="004D679F" w:rsidP="00F0322F">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4D679F" w:rsidRDefault="004D679F" w:rsidP="00F0322F">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4D679F" w:rsidTr="00DC4F67">
        <w:tc>
          <w:tcPr>
            <w:tcW w:w="3827" w:type="dxa"/>
            <w:vAlign w:val="center"/>
            <w:hideMark/>
          </w:tcPr>
          <w:p w:rsidR="004D679F" w:rsidRDefault="004D679F" w:rsidP="00F0322F">
            <w:pPr>
              <w:tabs>
                <w:tab w:val="left" w:pos="426"/>
              </w:tabs>
              <w:spacing w:line="360" w:lineRule="auto"/>
              <w:jc w:val="left"/>
              <w:rPr>
                <w:rFonts w:eastAsiaTheme="minorEastAsia"/>
                <w:color w:val="000000" w:themeColor="text1"/>
                <w:kern w:val="0"/>
                <w:szCs w:val="21"/>
              </w:rPr>
            </w:pPr>
            <w:r>
              <w:rPr>
                <w:rFonts w:eastAsiaTheme="minorEastAsia" w:hint="eastAsia"/>
                <w:color w:val="000000" w:themeColor="text1"/>
                <w:kern w:val="0"/>
                <w:szCs w:val="21"/>
              </w:rPr>
              <w:t>当期持有基金产生的应支付销售服务费（元）</w:t>
            </w:r>
          </w:p>
        </w:tc>
        <w:tc>
          <w:tcPr>
            <w:tcW w:w="5249" w:type="dxa"/>
            <w:vAlign w:val="center"/>
            <w:hideMark/>
          </w:tcPr>
          <w:p w:rsidR="004D679F" w:rsidRDefault="004D679F" w:rsidP="00F0322F">
            <w:pPr>
              <w:tabs>
                <w:tab w:val="left" w:pos="426"/>
              </w:tabs>
              <w:spacing w:line="360" w:lineRule="auto"/>
              <w:jc w:val="right"/>
              <w:rPr>
                <w:rFonts w:eastAsiaTheme="minorEastAsia"/>
                <w:color w:val="000000" w:themeColor="text1"/>
                <w:kern w:val="0"/>
                <w:szCs w:val="21"/>
              </w:rPr>
            </w:pPr>
            <w:r>
              <w:rPr>
                <w:rFonts w:eastAsiaTheme="minorEastAsia"/>
                <w:color w:val="000000" w:themeColor="text1"/>
                <w:kern w:val="0"/>
                <w:szCs w:val="21"/>
              </w:rPr>
              <w:t>-</w:t>
            </w:r>
          </w:p>
        </w:tc>
      </w:tr>
      <w:tr w:rsidR="004D679F" w:rsidTr="00DC4F67">
        <w:tc>
          <w:tcPr>
            <w:tcW w:w="3827" w:type="dxa"/>
            <w:vAlign w:val="center"/>
            <w:hideMark/>
          </w:tcPr>
          <w:p w:rsidR="004D679F" w:rsidRDefault="004D679F" w:rsidP="00F0322F">
            <w:pPr>
              <w:tabs>
                <w:tab w:val="left" w:pos="426"/>
              </w:tabs>
              <w:spacing w:line="360" w:lineRule="auto"/>
              <w:jc w:val="left"/>
              <w:rPr>
                <w:rFonts w:eastAsiaTheme="minorEastAsia"/>
                <w:color w:val="000000" w:themeColor="text1"/>
                <w:kern w:val="0"/>
                <w:szCs w:val="21"/>
              </w:rPr>
            </w:pPr>
            <w:r>
              <w:rPr>
                <w:rFonts w:eastAsiaTheme="minorEastAsia" w:hint="eastAsia"/>
                <w:color w:val="000000" w:themeColor="text1"/>
                <w:kern w:val="0"/>
                <w:szCs w:val="21"/>
              </w:rPr>
              <w:t>当期持有基金产生的应支付管理费（元）</w:t>
            </w:r>
          </w:p>
        </w:tc>
        <w:tc>
          <w:tcPr>
            <w:tcW w:w="5249" w:type="dxa"/>
            <w:vAlign w:val="center"/>
            <w:hideMark/>
          </w:tcPr>
          <w:p w:rsidR="004D679F" w:rsidRDefault="004D679F" w:rsidP="00F0322F">
            <w:pPr>
              <w:tabs>
                <w:tab w:val="left" w:pos="426"/>
              </w:tabs>
              <w:spacing w:line="360" w:lineRule="auto"/>
              <w:jc w:val="right"/>
              <w:rPr>
                <w:rFonts w:eastAsiaTheme="minorEastAsia"/>
                <w:color w:val="000000" w:themeColor="text1"/>
                <w:kern w:val="0"/>
                <w:szCs w:val="21"/>
              </w:rPr>
            </w:pPr>
            <w:r>
              <w:rPr>
                <w:rFonts w:eastAsiaTheme="minorEastAsia"/>
                <w:color w:val="000000" w:themeColor="text1"/>
                <w:kern w:val="0"/>
                <w:szCs w:val="21"/>
              </w:rPr>
              <w:t>4,836,458.37</w:t>
            </w:r>
          </w:p>
        </w:tc>
      </w:tr>
      <w:tr w:rsidR="004D679F" w:rsidTr="00DC4F67">
        <w:tc>
          <w:tcPr>
            <w:tcW w:w="3827" w:type="dxa"/>
            <w:vAlign w:val="center"/>
            <w:hideMark/>
          </w:tcPr>
          <w:p w:rsidR="004D679F" w:rsidRDefault="004D679F" w:rsidP="00F0322F">
            <w:pPr>
              <w:tabs>
                <w:tab w:val="left" w:pos="426"/>
              </w:tabs>
              <w:spacing w:line="360" w:lineRule="auto"/>
              <w:jc w:val="left"/>
              <w:rPr>
                <w:rFonts w:eastAsiaTheme="minorEastAsia"/>
                <w:color w:val="000000" w:themeColor="text1"/>
                <w:kern w:val="0"/>
                <w:szCs w:val="21"/>
              </w:rPr>
            </w:pPr>
            <w:r>
              <w:rPr>
                <w:rFonts w:eastAsiaTheme="minorEastAsia" w:hint="eastAsia"/>
                <w:color w:val="000000" w:themeColor="text1"/>
                <w:kern w:val="0"/>
                <w:szCs w:val="21"/>
              </w:rPr>
              <w:t>当期持有基金产生的应支付托管费（元）</w:t>
            </w:r>
          </w:p>
        </w:tc>
        <w:tc>
          <w:tcPr>
            <w:tcW w:w="5249" w:type="dxa"/>
            <w:vAlign w:val="center"/>
            <w:hideMark/>
          </w:tcPr>
          <w:p w:rsidR="004D679F" w:rsidRDefault="004D679F" w:rsidP="00F0322F">
            <w:pPr>
              <w:tabs>
                <w:tab w:val="left" w:pos="426"/>
              </w:tabs>
              <w:spacing w:line="360" w:lineRule="auto"/>
              <w:jc w:val="right"/>
              <w:rPr>
                <w:rFonts w:eastAsiaTheme="minorEastAsia"/>
                <w:color w:val="000000" w:themeColor="text1"/>
                <w:kern w:val="0"/>
                <w:szCs w:val="21"/>
              </w:rPr>
            </w:pPr>
            <w:r>
              <w:rPr>
                <w:rFonts w:eastAsiaTheme="minorEastAsia"/>
                <w:color w:val="000000" w:themeColor="text1"/>
                <w:kern w:val="0"/>
                <w:szCs w:val="21"/>
              </w:rPr>
              <w:t>1,612,152.76</w:t>
            </w:r>
          </w:p>
        </w:tc>
      </w:tr>
    </w:tbl>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6.4.7.20</w:t>
      </w:r>
      <w:r w:rsidRPr="00C24ACA">
        <w:rPr>
          <w:rFonts w:eastAsiaTheme="minorEastAsia"/>
          <w:b/>
          <w:color w:val="000000"/>
          <w:szCs w:val="21"/>
        </w:rPr>
        <w:t>其他费用</w:t>
      </w:r>
    </w:p>
    <w:p w:rsidR="008A5A5D" w:rsidRPr="00C24ACA" w:rsidRDefault="008A5A5D" w:rsidP="003955D3">
      <w:pPr>
        <w:tabs>
          <w:tab w:val="left" w:pos="7200"/>
          <w:tab w:val="left" w:pos="8280"/>
          <w:tab w:val="left" w:pos="9000"/>
        </w:tabs>
        <w:ind w:rightChars="-52" w:right="-109"/>
        <w:jc w:val="right"/>
        <w:rPr>
          <w:rFonts w:eastAsiaTheme="minorEastAsia"/>
          <w:bCs/>
          <w:szCs w:val="21"/>
        </w:rPr>
      </w:pPr>
      <w:r w:rsidRPr="00C24ACA">
        <w:rPr>
          <w:rFonts w:eastAsiaTheme="minorEastAsia"/>
          <w:color w:val="000000"/>
          <w:szCs w:val="21"/>
        </w:rPr>
        <w:t>单位：人民币元</w:t>
      </w:r>
    </w:p>
    <w:tbl>
      <w:tblPr>
        <w:tblW w:w="92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5350"/>
      </w:tblGrid>
      <w:tr w:rsidR="008A5A5D" w:rsidRPr="00C24ACA" w:rsidTr="00862636">
        <w:tc>
          <w:tcPr>
            <w:tcW w:w="3936"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350" w:type="dxa"/>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widowControl/>
              <w:autoSpaceDE w:val="0"/>
              <w:autoSpaceDN w:val="0"/>
              <w:ind w:right="-15"/>
              <w:jc w:val="center"/>
              <w:textAlignment w:val="bottom"/>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c>
          <w:tcPr>
            <w:tcW w:w="3936" w:type="dxa"/>
            <w:vAlign w:val="center"/>
          </w:tcPr>
          <w:p w:rsidR="008A5A5D" w:rsidRPr="00C24ACA" w:rsidRDefault="008A5A5D" w:rsidP="004A4847">
            <w:pPr>
              <w:rPr>
                <w:rFonts w:eastAsiaTheme="minorEastAsia"/>
                <w:szCs w:val="21"/>
              </w:rPr>
            </w:pPr>
            <w:r w:rsidRPr="00C24ACA">
              <w:rPr>
                <w:rFonts w:eastAsiaTheme="minorEastAsia"/>
                <w:szCs w:val="21"/>
              </w:rPr>
              <w:t>审计费用</w:t>
            </w:r>
          </w:p>
        </w:tc>
        <w:tc>
          <w:tcPr>
            <w:tcW w:w="5350" w:type="dxa"/>
            <w:vAlign w:val="bottom"/>
          </w:tcPr>
          <w:p w:rsidR="008A5A5D" w:rsidRPr="00C24ACA" w:rsidRDefault="008A5A5D" w:rsidP="004A4847">
            <w:pPr>
              <w:jc w:val="right"/>
              <w:rPr>
                <w:rFonts w:eastAsiaTheme="minorEastAsia"/>
                <w:szCs w:val="21"/>
              </w:rPr>
            </w:pPr>
            <w:r w:rsidRPr="00C24ACA">
              <w:rPr>
                <w:rFonts w:eastAsiaTheme="minorEastAsia"/>
                <w:szCs w:val="21"/>
              </w:rPr>
              <w:t>19,890.78</w:t>
            </w:r>
          </w:p>
        </w:tc>
      </w:tr>
      <w:tr w:rsidR="008A5A5D" w:rsidRPr="00C24ACA" w:rsidTr="00862636">
        <w:tc>
          <w:tcPr>
            <w:tcW w:w="3936" w:type="dxa"/>
            <w:vAlign w:val="center"/>
          </w:tcPr>
          <w:p w:rsidR="008A5A5D" w:rsidRPr="00C24ACA" w:rsidRDefault="008A5A5D" w:rsidP="004A4847">
            <w:pPr>
              <w:rPr>
                <w:rFonts w:eastAsiaTheme="minorEastAsia"/>
                <w:szCs w:val="21"/>
              </w:rPr>
            </w:pPr>
            <w:r w:rsidRPr="00C24ACA">
              <w:rPr>
                <w:rFonts w:eastAsiaTheme="minorEastAsia"/>
                <w:szCs w:val="21"/>
              </w:rPr>
              <w:t>信息披露费</w:t>
            </w:r>
          </w:p>
        </w:tc>
        <w:tc>
          <w:tcPr>
            <w:tcW w:w="5350" w:type="dxa"/>
            <w:vAlign w:val="bottom"/>
          </w:tcPr>
          <w:p w:rsidR="008A5A5D" w:rsidRPr="00C24ACA" w:rsidRDefault="008A5A5D" w:rsidP="004A4847">
            <w:pPr>
              <w:jc w:val="right"/>
              <w:rPr>
                <w:rFonts w:eastAsiaTheme="minorEastAsia"/>
                <w:szCs w:val="21"/>
              </w:rPr>
            </w:pPr>
            <w:r w:rsidRPr="00C24ACA">
              <w:rPr>
                <w:rFonts w:eastAsiaTheme="minorEastAsia"/>
                <w:szCs w:val="21"/>
              </w:rPr>
              <w:t>59,672.34</w:t>
            </w:r>
          </w:p>
        </w:tc>
      </w:tr>
      <w:tr w:rsidR="00871824">
        <w:tc>
          <w:tcPr>
            <w:tcW w:w="3936" w:type="dxa"/>
            <w:vAlign w:val="center"/>
          </w:tcPr>
          <w:p w:rsidR="00871824" w:rsidRDefault="00672BD5">
            <w:pPr>
              <w:jc w:val="left"/>
            </w:pPr>
            <w:r>
              <w:rPr>
                <w:rFonts w:eastAsiaTheme="minorEastAsia"/>
                <w:szCs w:val="21"/>
              </w:rPr>
              <w:t>银行汇划费</w:t>
            </w:r>
          </w:p>
        </w:tc>
        <w:tc>
          <w:tcPr>
            <w:tcW w:w="5350" w:type="dxa"/>
            <w:vAlign w:val="center"/>
          </w:tcPr>
          <w:p w:rsidR="00871824" w:rsidRDefault="00672BD5">
            <w:pPr>
              <w:jc w:val="right"/>
            </w:pPr>
            <w:r>
              <w:rPr>
                <w:rFonts w:eastAsiaTheme="minorEastAsia"/>
                <w:szCs w:val="21"/>
              </w:rPr>
              <w:t>14,205.26</w:t>
            </w:r>
          </w:p>
        </w:tc>
      </w:tr>
      <w:tr w:rsidR="00871824">
        <w:tc>
          <w:tcPr>
            <w:tcW w:w="3936" w:type="dxa"/>
            <w:vAlign w:val="center"/>
          </w:tcPr>
          <w:p w:rsidR="00871824" w:rsidRDefault="00672BD5">
            <w:pPr>
              <w:jc w:val="left"/>
            </w:pPr>
            <w:r>
              <w:rPr>
                <w:rFonts w:eastAsiaTheme="minorEastAsia"/>
                <w:szCs w:val="21"/>
              </w:rPr>
              <w:t>指数使用费</w:t>
            </w:r>
          </w:p>
        </w:tc>
        <w:tc>
          <w:tcPr>
            <w:tcW w:w="5350" w:type="dxa"/>
            <w:vAlign w:val="center"/>
          </w:tcPr>
          <w:p w:rsidR="00871824" w:rsidRDefault="00672BD5">
            <w:pPr>
              <w:jc w:val="right"/>
            </w:pPr>
            <w:r>
              <w:rPr>
                <w:rFonts w:eastAsiaTheme="minorEastAsia"/>
                <w:szCs w:val="21"/>
              </w:rPr>
              <w:t>21,914.56</w:t>
            </w:r>
          </w:p>
        </w:tc>
      </w:tr>
      <w:tr w:rsidR="008A5A5D" w:rsidRPr="00C24ACA" w:rsidTr="00862636">
        <w:tc>
          <w:tcPr>
            <w:tcW w:w="3936" w:type="dxa"/>
            <w:vAlign w:val="bottom"/>
          </w:tcPr>
          <w:p w:rsidR="008A5A5D" w:rsidRPr="00C24ACA" w:rsidRDefault="008A5A5D" w:rsidP="004A4847">
            <w:pPr>
              <w:rPr>
                <w:rFonts w:eastAsiaTheme="minorEastAsia"/>
                <w:szCs w:val="21"/>
              </w:rPr>
            </w:pPr>
            <w:r w:rsidRPr="00C24ACA">
              <w:rPr>
                <w:rFonts w:eastAsiaTheme="minorEastAsia"/>
                <w:szCs w:val="21"/>
              </w:rPr>
              <w:t>合计</w:t>
            </w:r>
          </w:p>
        </w:tc>
        <w:tc>
          <w:tcPr>
            <w:tcW w:w="5350" w:type="dxa"/>
            <w:vAlign w:val="bottom"/>
          </w:tcPr>
          <w:p w:rsidR="008A5A5D" w:rsidRPr="00C24ACA" w:rsidRDefault="008A5A5D" w:rsidP="004A4847">
            <w:pPr>
              <w:jc w:val="right"/>
              <w:rPr>
                <w:rFonts w:eastAsiaTheme="minorEastAsia"/>
                <w:szCs w:val="21"/>
              </w:rPr>
            </w:pPr>
            <w:r w:rsidRPr="00C24ACA">
              <w:rPr>
                <w:rFonts w:eastAsiaTheme="minorEastAsia"/>
                <w:szCs w:val="21"/>
              </w:rPr>
              <w:t>115,682.94</w:t>
            </w:r>
          </w:p>
        </w:tc>
      </w:tr>
    </w:tbl>
    <w:p w:rsidR="008A5A5D" w:rsidRPr="00C24ACA" w:rsidRDefault="008A5A5D" w:rsidP="006C64F3">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 xml:space="preserve">6.4.8 </w:t>
      </w:r>
      <w:r w:rsidRPr="00C24ACA">
        <w:rPr>
          <w:rFonts w:eastAsiaTheme="minorEastAsia"/>
          <w:b/>
          <w:color w:val="000000"/>
          <w:kern w:val="0"/>
          <w:szCs w:val="21"/>
        </w:rPr>
        <w:t>或有事项、资产负债表日后事项的说明</w:t>
      </w:r>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6.4.8.1</w:t>
      </w:r>
      <w:r w:rsidRPr="00C24ACA">
        <w:rPr>
          <w:rFonts w:eastAsiaTheme="minorEastAsia"/>
          <w:b/>
          <w:color w:val="000000"/>
          <w:kern w:val="0"/>
          <w:szCs w:val="21"/>
        </w:rPr>
        <w:t xml:space="preserve"> </w:t>
      </w:r>
      <w:r w:rsidRPr="00C24ACA">
        <w:rPr>
          <w:rFonts w:eastAsiaTheme="minorEastAsia"/>
          <w:b/>
          <w:color w:val="000000"/>
          <w:kern w:val="0"/>
          <w:szCs w:val="21"/>
        </w:rPr>
        <w:t>或有事项</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截至资产负债表日，本基金无须作披露的或有事项。</w:t>
      </w:r>
    </w:p>
    <w:p w:rsidR="008A5A5D" w:rsidRPr="00C24ACA" w:rsidRDefault="008A5A5D" w:rsidP="006C64F3">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6.4.8.2</w:t>
      </w:r>
      <w:r w:rsidRPr="00C24ACA">
        <w:rPr>
          <w:rFonts w:eastAsiaTheme="minorEastAsia"/>
          <w:b/>
          <w:color w:val="000000"/>
          <w:kern w:val="0"/>
          <w:szCs w:val="21"/>
        </w:rPr>
        <w:t xml:space="preserve"> </w:t>
      </w:r>
      <w:r w:rsidRPr="00C24ACA">
        <w:rPr>
          <w:rFonts w:eastAsiaTheme="minorEastAsia"/>
          <w:b/>
          <w:color w:val="000000"/>
          <w:kern w:val="0"/>
          <w:szCs w:val="21"/>
        </w:rPr>
        <w:t>资产负债表日后事项</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截至本会计报表批准报出日，本基金无须作披露的资产负债表日后事项。</w:t>
      </w:r>
    </w:p>
    <w:p w:rsidR="008A5A5D" w:rsidRPr="00C24ACA" w:rsidRDefault="008A5A5D" w:rsidP="006C64F3">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6.4.9</w:t>
      </w:r>
      <w:r w:rsidRPr="00C24ACA">
        <w:rPr>
          <w:rFonts w:eastAsiaTheme="minorEastAsia"/>
          <w:b/>
          <w:color w:val="000000"/>
          <w:kern w:val="0"/>
          <w:szCs w:val="21"/>
        </w:rPr>
        <w:t>关联方关系</w:t>
      </w:r>
    </w:p>
    <w:p w:rsidR="008A5A5D" w:rsidRPr="00C24ACA" w:rsidRDefault="008A5A5D" w:rsidP="009967D7">
      <w:pPr>
        <w:spacing w:line="360" w:lineRule="auto"/>
        <w:rPr>
          <w:rFonts w:eastAsiaTheme="minorEastAsia"/>
          <w:b/>
          <w:kern w:val="0"/>
          <w:szCs w:val="21"/>
        </w:rPr>
      </w:pPr>
      <w:r w:rsidRPr="00C24ACA">
        <w:rPr>
          <w:rFonts w:eastAsiaTheme="minorEastAsia"/>
          <w:b/>
          <w:bCs/>
          <w:color w:val="000000"/>
          <w:kern w:val="0"/>
          <w:szCs w:val="21"/>
        </w:rPr>
        <w:t>6.4.9.1</w:t>
      </w:r>
      <w:r w:rsidRPr="00C24ACA">
        <w:rPr>
          <w:rFonts w:eastAsiaTheme="minorEastAsia"/>
          <w:b/>
          <w:kern w:val="0"/>
          <w:szCs w:val="21"/>
        </w:rPr>
        <w:t xml:space="preserve"> </w:t>
      </w:r>
      <w:r w:rsidRPr="00C24ACA">
        <w:rPr>
          <w:rFonts w:eastAsiaTheme="minorEastAsia"/>
          <w:b/>
          <w:kern w:val="0"/>
          <w:szCs w:val="21"/>
        </w:rPr>
        <w:t>本报告期存在控制关系或其他重大利害关系的关联方发生变化的情况</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本报告期内存在控制关系或其他重大利害关系的关联方未发生变化。</w:t>
      </w:r>
    </w:p>
    <w:p w:rsidR="008A5A5D" w:rsidRPr="00C24ACA" w:rsidRDefault="008A5A5D" w:rsidP="006C64F3">
      <w:pPr>
        <w:spacing w:beforeLines="100" w:before="312" w:line="360" w:lineRule="auto"/>
        <w:rPr>
          <w:rFonts w:eastAsiaTheme="minorEastAsia"/>
          <w:b/>
          <w:kern w:val="0"/>
          <w:szCs w:val="21"/>
        </w:rPr>
      </w:pPr>
      <w:r w:rsidRPr="00C24ACA">
        <w:rPr>
          <w:rFonts w:eastAsiaTheme="minorEastAsia"/>
          <w:b/>
          <w:bCs/>
          <w:color w:val="000000"/>
          <w:kern w:val="0"/>
          <w:szCs w:val="21"/>
        </w:rPr>
        <w:t>6.4.9.2</w:t>
      </w:r>
      <w:r w:rsidRPr="00C24ACA">
        <w:rPr>
          <w:rFonts w:eastAsiaTheme="minor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8A5A5D" w:rsidRPr="00C24ACA" w:rsidTr="004A4847">
        <w:tc>
          <w:tcPr>
            <w:tcW w:w="5220" w:type="dxa"/>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关联方名称</w:t>
            </w:r>
          </w:p>
        </w:tc>
        <w:tc>
          <w:tcPr>
            <w:tcW w:w="3780" w:type="dxa"/>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与本基金的关系</w:t>
            </w:r>
          </w:p>
        </w:tc>
      </w:tr>
      <w:tr w:rsidR="00871824">
        <w:tc>
          <w:tcPr>
            <w:tcW w:w="5220" w:type="dxa"/>
            <w:vAlign w:val="center"/>
          </w:tcPr>
          <w:p w:rsidR="00871824" w:rsidRDefault="00672BD5">
            <w:pPr>
              <w:jc w:val="left"/>
            </w:pPr>
            <w:r>
              <w:rPr>
                <w:rFonts w:eastAsiaTheme="minorEastAsia"/>
                <w:color w:val="000000"/>
                <w:szCs w:val="21"/>
              </w:rPr>
              <w:t>易方达基金管理有限公司</w:t>
            </w:r>
          </w:p>
        </w:tc>
        <w:tc>
          <w:tcPr>
            <w:tcW w:w="3780" w:type="dxa"/>
            <w:vAlign w:val="center"/>
          </w:tcPr>
          <w:p w:rsidR="00871824" w:rsidRDefault="00672BD5">
            <w:pPr>
              <w:jc w:val="left"/>
            </w:pPr>
            <w:r>
              <w:rPr>
                <w:rFonts w:eastAsiaTheme="minorEastAsia"/>
                <w:color w:val="000000"/>
                <w:szCs w:val="21"/>
              </w:rPr>
              <w:t>基金管理人、注册登记机构、基金销售机构</w:t>
            </w:r>
          </w:p>
        </w:tc>
      </w:tr>
      <w:tr w:rsidR="00871824">
        <w:tc>
          <w:tcPr>
            <w:tcW w:w="5220" w:type="dxa"/>
            <w:vAlign w:val="center"/>
          </w:tcPr>
          <w:p w:rsidR="00871824" w:rsidRDefault="00672BD5">
            <w:pPr>
              <w:jc w:val="left"/>
            </w:pPr>
            <w:r>
              <w:rPr>
                <w:rFonts w:eastAsiaTheme="minorEastAsia"/>
                <w:color w:val="000000"/>
                <w:szCs w:val="21"/>
              </w:rPr>
              <w:t>交通银行股份有限公司</w:t>
            </w:r>
            <w:r>
              <w:rPr>
                <w:rFonts w:eastAsiaTheme="minorEastAsia"/>
                <w:color w:val="000000"/>
                <w:szCs w:val="21"/>
              </w:rPr>
              <w:t>(</w:t>
            </w:r>
            <w:r>
              <w:rPr>
                <w:rFonts w:eastAsiaTheme="minorEastAsia"/>
                <w:color w:val="000000"/>
                <w:szCs w:val="21"/>
              </w:rPr>
              <w:t>以下简称</w:t>
            </w:r>
            <w:r>
              <w:rPr>
                <w:rFonts w:eastAsiaTheme="minorEastAsia"/>
                <w:color w:val="000000"/>
                <w:szCs w:val="21"/>
              </w:rPr>
              <w:t>“</w:t>
            </w:r>
            <w:r>
              <w:rPr>
                <w:rFonts w:eastAsiaTheme="minorEastAsia"/>
                <w:color w:val="000000"/>
                <w:szCs w:val="21"/>
              </w:rPr>
              <w:t>交通银行</w:t>
            </w:r>
            <w:r>
              <w:rPr>
                <w:rFonts w:eastAsiaTheme="minorEastAsia"/>
                <w:color w:val="000000"/>
                <w:szCs w:val="21"/>
              </w:rPr>
              <w:t>”)</w:t>
            </w:r>
          </w:p>
        </w:tc>
        <w:tc>
          <w:tcPr>
            <w:tcW w:w="3780" w:type="dxa"/>
            <w:vAlign w:val="center"/>
          </w:tcPr>
          <w:p w:rsidR="00871824" w:rsidRDefault="00672BD5">
            <w:pPr>
              <w:jc w:val="left"/>
            </w:pPr>
            <w:r>
              <w:rPr>
                <w:rFonts w:eastAsiaTheme="minorEastAsia"/>
                <w:color w:val="000000"/>
                <w:szCs w:val="21"/>
              </w:rPr>
              <w:t>基金托管人、基金销售机构</w:t>
            </w:r>
          </w:p>
        </w:tc>
      </w:tr>
      <w:tr w:rsidR="00871824">
        <w:tc>
          <w:tcPr>
            <w:tcW w:w="5220" w:type="dxa"/>
            <w:vAlign w:val="center"/>
          </w:tcPr>
          <w:p w:rsidR="00871824" w:rsidRDefault="00672BD5">
            <w:pPr>
              <w:jc w:val="left"/>
            </w:pPr>
            <w:r>
              <w:rPr>
                <w:rFonts w:eastAsiaTheme="minorEastAsia"/>
                <w:color w:val="000000"/>
                <w:szCs w:val="21"/>
              </w:rPr>
              <w:t>香港上海汇丰银行有限公司</w:t>
            </w:r>
            <w:r>
              <w:rPr>
                <w:rFonts w:eastAsiaTheme="minorEastAsia"/>
                <w:color w:val="000000"/>
                <w:szCs w:val="21"/>
              </w:rPr>
              <w:t>(</w:t>
            </w:r>
            <w:r>
              <w:rPr>
                <w:rFonts w:eastAsiaTheme="minorEastAsia"/>
                <w:color w:val="000000"/>
                <w:szCs w:val="21"/>
              </w:rPr>
              <w:t>以下简称</w:t>
            </w:r>
            <w:r>
              <w:rPr>
                <w:rFonts w:eastAsiaTheme="minorEastAsia"/>
                <w:color w:val="000000"/>
                <w:szCs w:val="21"/>
              </w:rPr>
              <w:t>“</w:t>
            </w:r>
            <w:r>
              <w:rPr>
                <w:rFonts w:eastAsiaTheme="minorEastAsia"/>
                <w:color w:val="000000"/>
                <w:szCs w:val="21"/>
              </w:rPr>
              <w:t>汇丰银行</w:t>
            </w:r>
            <w:r>
              <w:rPr>
                <w:rFonts w:eastAsiaTheme="minorEastAsia"/>
                <w:color w:val="000000"/>
                <w:szCs w:val="21"/>
              </w:rPr>
              <w:t>”)</w:t>
            </w:r>
          </w:p>
        </w:tc>
        <w:tc>
          <w:tcPr>
            <w:tcW w:w="3780" w:type="dxa"/>
            <w:vAlign w:val="center"/>
          </w:tcPr>
          <w:p w:rsidR="00871824" w:rsidRDefault="00672BD5">
            <w:pPr>
              <w:jc w:val="left"/>
            </w:pPr>
            <w:r>
              <w:rPr>
                <w:rFonts w:eastAsiaTheme="minorEastAsia"/>
                <w:color w:val="000000"/>
                <w:szCs w:val="21"/>
              </w:rPr>
              <w:t>境外资产托管人</w:t>
            </w:r>
          </w:p>
        </w:tc>
      </w:tr>
      <w:tr w:rsidR="00871824">
        <w:tc>
          <w:tcPr>
            <w:tcW w:w="5220" w:type="dxa"/>
            <w:vAlign w:val="center"/>
          </w:tcPr>
          <w:p w:rsidR="00871824" w:rsidRDefault="00672BD5">
            <w:pPr>
              <w:jc w:val="left"/>
            </w:pPr>
            <w:r>
              <w:rPr>
                <w:rFonts w:eastAsiaTheme="minorEastAsia"/>
                <w:color w:val="000000"/>
                <w:szCs w:val="21"/>
              </w:rPr>
              <w:t>广发证券股份有限公司</w:t>
            </w:r>
            <w:r>
              <w:rPr>
                <w:rFonts w:eastAsiaTheme="minorEastAsia"/>
                <w:color w:val="000000"/>
                <w:szCs w:val="21"/>
              </w:rPr>
              <w:t>(</w:t>
            </w:r>
            <w:r>
              <w:rPr>
                <w:rFonts w:eastAsiaTheme="minorEastAsia"/>
                <w:color w:val="000000"/>
                <w:szCs w:val="21"/>
              </w:rPr>
              <w:t>以下简称</w:t>
            </w:r>
            <w:r>
              <w:rPr>
                <w:rFonts w:eastAsiaTheme="minorEastAsia"/>
                <w:color w:val="000000"/>
                <w:szCs w:val="21"/>
              </w:rPr>
              <w:t>“</w:t>
            </w:r>
            <w:r>
              <w:rPr>
                <w:rFonts w:eastAsiaTheme="minorEastAsia"/>
                <w:color w:val="000000"/>
                <w:szCs w:val="21"/>
              </w:rPr>
              <w:t>广发证券</w:t>
            </w:r>
            <w:r>
              <w:rPr>
                <w:rFonts w:eastAsiaTheme="minorEastAsia"/>
                <w:color w:val="000000"/>
                <w:szCs w:val="21"/>
              </w:rPr>
              <w:t xml:space="preserve">”) </w:t>
            </w:r>
          </w:p>
        </w:tc>
        <w:tc>
          <w:tcPr>
            <w:tcW w:w="3780" w:type="dxa"/>
            <w:vAlign w:val="center"/>
          </w:tcPr>
          <w:p w:rsidR="00871824" w:rsidRDefault="00672BD5">
            <w:pPr>
              <w:jc w:val="left"/>
            </w:pPr>
            <w:r>
              <w:rPr>
                <w:rFonts w:eastAsiaTheme="minorEastAsia"/>
                <w:color w:val="000000"/>
                <w:szCs w:val="21"/>
              </w:rPr>
              <w:t>基金管理人股东、基金销售机构</w:t>
            </w:r>
          </w:p>
        </w:tc>
      </w:tr>
      <w:tr w:rsidR="00871824">
        <w:tc>
          <w:tcPr>
            <w:tcW w:w="5220" w:type="dxa"/>
            <w:vAlign w:val="center"/>
          </w:tcPr>
          <w:p w:rsidR="00871824" w:rsidRDefault="00672BD5">
            <w:pPr>
              <w:jc w:val="left"/>
            </w:pPr>
            <w:r>
              <w:rPr>
                <w:rFonts w:eastAsiaTheme="minorEastAsia"/>
                <w:color w:val="000000"/>
                <w:szCs w:val="21"/>
              </w:rPr>
              <w:t>易方达恒生中国企业交易型开放式指数证券投资基金</w:t>
            </w:r>
          </w:p>
        </w:tc>
        <w:tc>
          <w:tcPr>
            <w:tcW w:w="3780" w:type="dxa"/>
            <w:vAlign w:val="center"/>
          </w:tcPr>
          <w:p w:rsidR="00871824" w:rsidRDefault="00672BD5">
            <w:pPr>
              <w:jc w:val="left"/>
            </w:pPr>
            <w:r>
              <w:rPr>
                <w:rFonts w:eastAsiaTheme="minorEastAsia"/>
                <w:color w:val="000000"/>
                <w:szCs w:val="21"/>
              </w:rPr>
              <w:t>本基金是该基金的联接基金</w:t>
            </w:r>
          </w:p>
        </w:tc>
      </w:tr>
    </w:tbl>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注：以下关联交易均在正常业务范围内按一般商业条款订立。</w:t>
      </w:r>
    </w:p>
    <w:p w:rsidR="008A5A5D" w:rsidRPr="00C24ACA" w:rsidRDefault="008A5A5D" w:rsidP="006C64F3">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 xml:space="preserve">6.4.10 </w:t>
      </w:r>
      <w:r w:rsidRPr="00C24ACA">
        <w:rPr>
          <w:rFonts w:eastAsiaTheme="minorEastAsia"/>
          <w:b/>
          <w:color w:val="000000"/>
          <w:kern w:val="0"/>
          <w:szCs w:val="21"/>
        </w:rPr>
        <w:t>本报告期及上年度可比期间的关联方交易</w:t>
      </w:r>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6.4.10.1</w:t>
      </w:r>
      <w:r w:rsidRPr="00C24ACA">
        <w:rPr>
          <w:rFonts w:eastAsiaTheme="minorEastAsia"/>
          <w:b/>
          <w:color w:val="000000"/>
          <w:kern w:val="0"/>
          <w:szCs w:val="21"/>
        </w:rPr>
        <w:t xml:space="preserve"> </w:t>
      </w:r>
      <w:r w:rsidRPr="00C24ACA">
        <w:rPr>
          <w:rFonts w:eastAsiaTheme="minorEastAsia"/>
          <w:b/>
          <w:color w:val="000000"/>
          <w:kern w:val="0"/>
          <w:szCs w:val="21"/>
        </w:rPr>
        <w:t>通过关联方交易单元进行的交易</w:t>
      </w:r>
    </w:p>
    <w:p w:rsidR="008A5A5D" w:rsidRPr="00C24ACA" w:rsidRDefault="008A5A5D" w:rsidP="009967D7">
      <w:pPr>
        <w:spacing w:line="360" w:lineRule="auto"/>
        <w:rPr>
          <w:rFonts w:eastAsiaTheme="minorEastAsia"/>
          <w:color w:val="000000"/>
          <w:szCs w:val="21"/>
        </w:rPr>
      </w:pPr>
      <w:r w:rsidRPr="00C24ACA">
        <w:rPr>
          <w:rFonts w:eastAsiaTheme="minorEastAsia"/>
          <w:b/>
          <w:bCs/>
          <w:color w:val="000000"/>
          <w:kern w:val="0"/>
          <w:szCs w:val="21"/>
        </w:rPr>
        <w:t>6.4.10.1.1</w:t>
      </w:r>
      <w:r w:rsidRPr="00C24ACA">
        <w:rPr>
          <w:rFonts w:eastAsiaTheme="minorEastAsia"/>
          <w:b/>
          <w:color w:val="000000"/>
          <w:szCs w:val="21"/>
        </w:rPr>
        <w:t>股票交易</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本基金本报告期及上年度可比期间未发生通过关联方交易单元进行的股票交易。</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6.4.10.1.2</w:t>
      </w:r>
      <w:r w:rsidRPr="00C24ACA">
        <w:rPr>
          <w:rFonts w:eastAsiaTheme="minorEastAsia"/>
          <w:b/>
          <w:color w:val="000000"/>
          <w:szCs w:val="21"/>
        </w:rPr>
        <w:t>权证交易</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本基金本报告期及上年度可比期间未发生通过关联方交易单元进行的权证交易。</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6.4.10.1.3</w:t>
      </w:r>
      <w:r w:rsidRPr="00C24ACA">
        <w:rPr>
          <w:rFonts w:eastAsiaTheme="minorEastAsia"/>
          <w:b/>
          <w:color w:val="000000"/>
          <w:szCs w:val="21"/>
        </w:rPr>
        <w:t>基金交易</w:t>
      </w:r>
    </w:p>
    <w:p w:rsidR="00FF314D" w:rsidRPr="00C24ACA" w:rsidRDefault="00FF314D" w:rsidP="00FF314D">
      <w:pPr>
        <w:autoSpaceDE w:val="0"/>
        <w:autoSpaceDN w:val="0"/>
        <w:adjustRightInd w:val="0"/>
        <w:spacing w:before="29" w:line="360" w:lineRule="auto"/>
        <w:ind w:left="15"/>
        <w:jc w:val="right"/>
        <w:rPr>
          <w:rFonts w:eastAsiaTheme="minorEastAsia"/>
          <w:color w:val="000000"/>
          <w:kern w:val="0"/>
          <w:szCs w:val="21"/>
        </w:rPr>
      </w:pPr>
      <w:r w:rsidRPr="00C24ACA">
        <w:rPr>
          <w:rFonts w:eastAsiaTheme="minorEastAsia"/>
          <w:bCs/>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2214"/>
        <w:gridCol w:w="1260"/>
        <w:gridCol w:w="2160"/>
        <w:gridCol w:w="1260"/>
      </w:tblGrid>
      <w:tr w:rsidR="00FF314D" w:rsidRPr="00C24ACA" w:rsidTr="00427BFF">
        <w:tc>
          <w:tcPr>
            <w:tcW w:w="2106" w:type="dxa"/>
            <w:vMerge w:val="restart"/>
            <w:vAlign w:val="center"/>
          </w:tcPr>
          <w:p w:rsidR="00FF314D" w:rsidRPr="00C24ACA" w:rsidRDefault="00FF314D" w:rsidP="00427BFF">
            <w:pPr>
              <w:autoSpaceDE w:val="0"/>
              <w:autoSpaceDN w:val="0"/>
              <w:spacing w:line="360" w:lineRule="auto"/>
              <w:jc w:val="center"/>
              <w:textAlignment w:val="bottom"/>
              <w:rPr>
                <w:rFonts w:eastAsiaTheme="minorEastAsia"/>
                <w:bCs/>
                <w:color w:val="000000"/>
                <w:szCs w:val="21"/>
              </w:rPr>
            </w:pPr>
            <w:r w:rsidRPr="00C24ACA">
              <w:rPr>
                <w:rFonts w:eastAsiaTheme="minorEastAsia"/>
                <w:bCs/>
                <w:color w:val="000000"/>
                <w:szCs w:val="21"/>
              </w:rPr>
              <w:t>关联方名称</w:t>
            </w:r>
          </w:p>
        </w:tc>
        <w:tc>
          <w:tcPr>
            <w:tcW w:w="3474" w:type="dxa"/>
            <w:gridSpan w:val="2"/>
          </w:tcPr>
          <w:p w:rsidR="00FF314D" w:rsidRPr="00C24ACA" w:rsidRDefault="00FF314D" w:rsidP="00427BFF">
            <w:pPr>
              <w:spacing w:line="360" w:lineRule="auto"/>
              <w:jc w:val="center"/>
              <w:rPr>
                <w:rFonts w:eastAsiaTheme="minorEastAsia"/>
                <w:color w:val="000000"/>
                <w:szCs w:val="21"/>
              </w:rPr>
            </w:pPr>
            <w:r w:rsidRPr="00C24ACA">
              <w:rPr>
                <w:rFonts w:eastAsiaTheme="minorEastAsia"/>
                <w:color w:val="000000"/>
                <w:szCs w:val="21"/>
              </w:rPr>
              <w:t>本期</w:t>
            </w:r>
          </w:p>
          <w:p w:rsidR="00FF314D" w:rsidRPr="00C24ACA" w:rsidRDefault="00FF314D" w:rsidP="00427BFF">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1</w:t>
            </w:r>
            <w:r w:rsidRPr="00C24ACA">
              <w:rPr>
                <w:rFonts w:eastAsiaTheme="minorEastAsia"/>
                <w:color w:val="000000"/>
                <w:szCs w:val="21"/>
              </w:rPr>
              <w:t>月</w:t>
            </w:r>
            <w:r w:rsidRPr="00C24ACA">
              <w:rPr>
                <w:rFonts w:eastAsiaTheme="minorEastAsia"/>
                <w:color w:val="000000"/>
                <w:szCs w:val="21"/>
              </w:rPr>
              <w:t>1</w:t>
            </w:r>
            <w:r w:rsidRPr="00C24ACA">
              <w:rPr>
                <w:rFonts w:eastAsiaTheme="minorEastAsia"/>
                <w:color w:val="000000"/>
                <w:szCs w:val="21"/>
              </w:rPr>
              <w:t>日至</w:t>
            </w: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3420" w:type="dxa"/>
            <w:gridSpan w:val="2"/>
          </w:tcPr>
          <w:p w:rsidR="00FF314D" w:rsidRPr="00C24ACA" w:rsidRDefault="00FF314D" w:rsidP="00427BFF">
            <w:pPr>
              <w:tabs>
                <w:tab w:val="left" w:pos="555"/>
                <w:tab w:val="center" w:pos="1472"/>
              </w:tabs>
              <w:spacing w:line="360" w:lineRule="auto"/>
              <w:jc w:val="left"/>
              <w:rPr>
                <w:rFonts w:eastAsiaTheme="minorEastAsia"/>
                <w:color w:val="000000"/>
                <w:szCs w:val="21"/>
              </w:rPr>
            </w:pPr>
            <w:r w:rsidRPr="00C24ACA">
              <w:rPr>
                <w:rFonts w:eastAsiaTheme="minorEastAsia"/>
                <w:color w:val="000000"/>
                <w:szCs w:val="21"/>
              </w:rPr>
              <w:tab/>
            </w:r>
            <w:r w:rsidRPr="00C24ACA">
              <w:rPr>
                <w:rFonts w:eastAsiaTheme="minorEastAsia"/>
                <w:color w:val="000000"/>
                <w:szCs w:val="21"/>
              </w:rPr>
              <w:tab/>
            </w:r>
            <w:r w:rsidRPr="00C24ACA">
              <w:rPr>
                <w:rFonts w:eastAsiaTheme="minorEastAsia"/>
                <w:color w:val="000000"/>
                <w:szCs w:val="21"/>
              </w:rPr>
              <w:t>上年度可比期间</w:t>
            </w:r>
          </w:p>
          <w:p w:rsidR="00FF314D" w:rsidRPr="00C24ACA" w:rsidRDefault="00FF314D" w:rsidP="00427BFF">
            <w:pPr>
              <w:widowControl/>
              <w:autoSpaceDE w:val="0"/>
              <w:autoSpaceDN w:val="0"/>
              <w:spacing w:line="360" w:lineRule="auto"/>
              <w:ind w:right="-15"/>
              <w:jc w:val="center"/>
              <w:textAlignment w:val="bottom"/>
              <w:rPr>
                <w:rFonts w:eastAsiaTheme="minorEastAsia"/>
                <w:color w:val="000000"/>
                <w:kern w:val="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w:t>
            </w:r>
            <w:r w:rsidRPr="00C24ACA">
              <w:rPr>
                <w:rFonts w:eastAsiaTheme="minorEastAsia"/>
                <w:color w:val="000000"/>
                <w:szCs w:val="21"/>
              </w:rPr>
              <w:t>月</w:t>
            </w:r>
            <w:r w:rsidRPr="00C24ACA">
              <w:rPr>
                <w:rFonts w:eastAsiaTheme="minorEastAsia"/>
                <w:color w:val="000000"/>
                <w:szCs w:val="21"/>
              </w:rPr>
              <w:t>1</w:t>
            </w:r>
            <w:r w:rsidRPr="00C24ACA">
              <w:rPr>
                <w:rFonts w:eastAsiaTheme="minorEastAsia"/>
                <w:color w:val="000000"/>
                <w:szCs w:val="21"/>
              </w:rPr>
              <w:t>日至</w:t>
            </w: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r>
      <w:tr w:rsidR="00FF314D" w:rsidRPr="00C24ACA" w:rsidTr="00427BFF">
        <w:tc>
          <w:tcPr>
            <w:tcW w:w="2106" w:type="dxa"/>
            <w:vMerge/>
            <w:vAlign w:val="center"/>
          </w:tcPr>
          <w:p w:rsidR="00FF314D" w:rsidRPr="00C24ACA" w:rsidRDefault="00FF314D" w:rsidP="00427BFF">
            <w:pPr>
              <w:widowControl/>
              <w:spacing w:line="360" w:lineRule="auto"/>
              <w:jc w:val="left"/>
              <w:rPr>
                <w:rFonts w:eastAsiaTheme="minorEastAsia"/>
                <w:bCs/>
                <w:color w:val="000000"/>
                <w:szCs w:val="21"/>
              </w:rPr>
            </w:pPr>
          </w:p>
        </w:tc>
        <w:tc>
          <w:tcPr>
            <w:tcW w:w="2214" w:type="dxa"/>
            <w:vAlign w:val="center"/>
          </w:tcPr>
          <w:p w:rsidR="00FF314D" w:rsidRPr="00C24ACA" w:rsidRDefault="00FF314D" w:rsidP="00427BFF">
            <w:pPr>
              <w:spacing w:line="360" w:lineRule="auto"/>
              <w:jc w:val="center"/>
              <w:rPr>
                <w:rFonts w:eastAsiaTheme="minorEastAsia"/>
                <w:color w:val="000000"/>
                <w:szCs w:val="21"/>
              </w:rPr>
            </w:pPr>
            <w:r w:rsidRPr="00C24ACA">
              <w:rPr>
                <w:rFonts w:eastAsiaTheme="minorEastAsia"/>
                <w:bCs/>
                <w:color w:val="000000"/>
                <w:szCs w:val="21"/>
              </w:rPr>
              <w:t>成交金额</w:t>
            </w:r>
          </w:p>
        </w:tc>
        <w:tc>
          <w:tcPr>
            <w:tcW w:w="1260" w:type="dxa"/>
            <w:vAlign w:val="center"/>
          </w:tcPr>
          <w:p w:rsidR="00FF314D" w:rsidRPr="00C24ACA" w:rsidRDefault="00FF314D" w:rsidP="00427BFF">
            <w:pPr>
              <w:spacing w:line="360" w:lineRule="auto"/>
              <w:jc w:val="center"/>
              <w:rPr>
                <w:rFonts w:eastAsiaTheme="minorEastAsia"/>
                <w:color w:val="000000"/>
                <w:szCs w:val="21"/>
              </w:rPr>
            </w:pPr>
            <w:r w:rsidRPr="00C24ACA">
              <w:rPr>
                <w:rFonts w:eastAsiaTheme="minorEastAsia"/>
                <w:color w:val="000000"/>
                <w:szCs w:val="21"/>
              </w:rPr>
              <w:t>占当期基金交易成交总额的比例</w:t>
            </w:r>
          </w:p>
        </w:tc>
        <w:tc>
          <w:tcPr>
            <w:tcW w:w="2160" w:type="dxa"/>
            <w:vAlign w:val="center"/>
          </w:tcPr>
          <w:p w:rsidR="00FF314D" w:rsidRPr="00C24ACA" w:rsidRDefault="00FF314D" w:rsidP="00427BFF">
            <w:pPr>
              <w:pStyle w:val="a7"/>
              <w:widowControl/>
              <w:autoSpaceDE w:val="0"/>
              <w:autoSpaceDN w:val="0"/>
              <w:spacing w:line="360" w:lineRule="auto"/>
              <w:jc w:val="center"/>
              <w:textAlignment w:val="bottom"/>
              <w:rPr>
                <w:rFonts w:eastAsiaTheme="minorEastAsia"/>
                <w:bCs/>
                <w:color w:val="000000"/>
                <w:sz w:val="21"/>
                <w:szCs w:val="21"/>
              </w:rPr>
            </w:pPr>
            <w:r w:rsidRPr="00C24ACA">
              <w:rPr>
                <w:rFonts w:eastAsiaTheme="minorEastAsia"/>
                <w:bCs/>
                <w:color w:val="000000"/>
                <w:sz w:val="21"/>
                <w:szCs w:val="21"/>
              </w:rPr>
              <w:t>成交金额</w:t>
            </w:r>
          </w:p>
        </w:tc>
        <w:tc>
          <w:tcPr>
            <w:tcW w:w="1260" w:type="dxa"/>
            <w:vAlign w:val="center"/>
          </w:tcPr>
          <w:p w:rsidR="00FF314D" w:rsidRPr="00C24ACA" w:rsidRDefault="00FF314D" w:rsidP="00427BFF">
            <w:pPr>
              <w:autoSpaceDE w:val="0"/>
              <w:autoSpaceDN w:val="0"/>
              <w:spacing w:line="360" w:lineRule="auto"/>
              <w:jc w:val="center"/>
              <w:textAlignment w:val="bottom"/>
              <w:rPr>
                <w:rFonts w:eastAsiaTheme="minorEastAsia"/>
                <w:bCs/>
                <w:color w:val="000000"/>
                <w:szCs w:val="21"/>
              </w:rPr>
            </w:pPr>
            <w:r w:rsidRPr="00C24ACA">
              <w:rPr>
                <w:rFonts w:eastAsiaTheme="minorEastAsia"/>
                <w:color w:val="000000"/>
                <w:szCs w:val="21"/>
              </w:rPr>
              <w:t>占当期基金交易成交总额的比例</w:t>
            </w:r>
          </w:p>
        </w:tc>
      </w:tr>
      <w:tr w:rsidR="00871824">
        <w:tc>
          <w:tcPr>
            <w:tcW w:w="2106" w:type="dxa"/>
            <w:vAlign w:val="center"/>
          </w:tcPr>
          <w:p w:rsidR="00871824" w:rsidRDefault="00672BD5">
            <w:pPr>
              <w:jc w:val="left"/>
            </w:pPr>
            <w:r>
              <w:rPr>
                <w:rFonts w:eastAsiaTheme="minorEastAsia"/>
                <w:szCs w:val="21"/>
              </w:rPr>
              <w:t>广发证券</w:t>
            </w:r>
          </w:p>
        </w:tc>
        <w:tc>
          <w:tcPr>
            <w:tcW w:w="2214" w:type="dxa"/>
            <w:vAlign w:val="center"/>
          </w:tcPr>
          <w:p w:rsidR="00871824" w:rsidRDefault="00672BD5">
            <w:pPr>
              <w:jc w:val="right"/>
            </w:pPr>
            <w:r>
              <w:rPr>
                <w:rFonts w:eastAsiaTheme="minorEastAsia"/>
                <w:szCs w:val="21"/>
              </w:rPr>
              <w:t>934,398,968.67</w:t>
            </w:r>
          </w:p>
        </w:tc>
        <w:tc>
          <w:tcPr>
            <w:tcW w:w="1260" w:type="dxa"/>
            <w:vAlign w:val="center"/>
          </w:tcPr>
          <w:p w:rsidR="00871824" w:rsidRDefault="00672BD5">
            <w:pPr>
              <w:jc w:val="right"/>
            </w:pPr>
            <w:r>
              <w:rPr>
                <w:rFonts w:eastAsiaTheme="minorEastAsia"/>
                <w:szCs w:val="21"/>
              </w:rPr>
              <w:t>100.00%</w:t>
            </w:r>
          </w:p>
        </w:tc>
        <w:tc>
          <w:tcPr>
            <w:tcW w:w="2160" w:type="dxa"/>
            <w:vAlign w:val="center"/>
          </w:tcPr>
          <w:p w:rsidR="00871824" w:rsidRDefault="00672BD5">
            <w:pPr>
              <w:jc w:val="right"/>
            </w:pPr>
            <w:r>
              <w:rPr>
                <w:rFonts w:eastAsiaTheme="minorEastAsia"/>
                <w:szCs w:val="21"/>
              </w:rPr>
              <w:t>377,042,098.24</w:t>
            </w:r>
          </w:p>
        </w:tc>
        <w:tc>
          <w:tcPr>
            <w:tcW w:w="1260" w:type="dxa"/>
            <w:vAlign w:val="center"/>
          </w:tcPr>
          <w:p w:rsidR="00871824" w:rsidRDefault="00672BD5">
            <w:pPr>
              <w:jc w:val="right"/>
            </w:pPr>
            <w:r>
              <w:rPr>
                <w:rFonts w:eastAsiaTheme="minorEastAsia"/>
                <w:szCs w:val="21"/>
              </w:rPr>
              <w:t>100.00%</w:t>
            </w:r>
          </w:p>
        </w:tc>
      </w:tr>
    </w:tbl>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6.4.10.1.4</w:t>
      </w:r>
      <w:r w:rsidRPr="00C24ACA">
        <w:rPr>
          <w:rFonts w:eastAsiaTheme="minorEastAsia"/>
          <w:b/>
          <w:color w:val="000000"/>
          <w:szCs w:val="21"/>
        </w:rPr>
        <w:t>应支付关联方的佣金</w:t>
      </w:r>
    </w:p>
    <w:p w:rsidR="008A5A5D" w:rsidRPr="00C24ACA" w:rsidRDefault="00A97A4E"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本基金本报告期及上年度可比期间无应支付关联方的佣金。</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6.4.10.2</w:t>
      </w:r>
      <w:r w:rsidRPr="00C24ACA">
        <w:rPr>
          <w:rFonts w:eastAsiaTheme="minorEastAsia"/>
          <w:b/>
          <w:color w:val="000000"/>
          <w:kern w:val="0"/>
          <w:szCs w:val="21"/>
        </w:rPr>
        <w:t>关联方报酬</w:t>
      </w:r>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6.4.10.2.1</w:t>
      </w:r>
      <w:r w:rsidRPr="00C24ACA">
        <w:rPr>
          <w:rFonts w:eastAsiaTheme="minorEastAsia"/>
          <w:b/>
          <w:color w:val="000000"/>
          <w:kern w:val="0"/>
          <w:szCs w:val="21"/>
        </w:rPr>
        <w:t>基金管理费</w:t>
      </w:r>
    </w:p>
    <w:p w:rsidR="00A97A4E" w:rsidRPr="00C24ACA" w:rsidRDefault="00A97A4E" w:rsidP="00A97A4E">
      <w:pPr>
        <w:autoSpaceDE w:val="0"/>
        <w:autoSpaceDN w:val="0"/>
        <w:adjustRightInd w:val="0"/>
        <w:spacing w:before="29" w:line="288" w:lineRule="auto"/>
        <w:ind w:left="15" w:right="210"/>
        <w:jc w:val="right"/>
        <w:rPr>
          <w:rFonts w:eastAsiaTheme="minorEastAsia"/>
          <w:color w:val="000000"/>
          <w:kern w:val="0"/>
          <w:szCs w:val="21"/>
        </w:rPr>
      </w:pPr>
      <w:r w:rsidRPr="00C24ACA">
        <w:rPr>
          <w:rFonts w:eastAsiaTheme="minor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2657"/>
        <w:gridCol w:w="2588"/>
      </w:tblGrid>
      <w:tr w:rsidR="00A97A4E" w:rsidRPr="00C24ACA" w:rsidTr="00A97A4E">
        <w:tc>
          <w:tcPr>
            <w:tcW w:w="3686" w:type="dxa"/>
            <w:vAlign w:val="center"/>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项目</w:t>
            </w:r>
          </w:p>
        </w:tc>
        <w:tc>
          <w:tcPr>
            <w:tcW w:w="2657"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本期</w:t>
            </w:r>
          </w:p>
          <w:p w:rsidR="00A97A4E" w:rsidRPr="00C24ACA" w:rsidRDefault="00A97A4E" w:rsidP="00A97A4E">
            <w:pPr>
              <w:widowControl/>
              <w:autoSpaceDE w:val="0"/>
              <w:autoSpaceDN w:val="0"/>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c>
          <w:tcPr>
            <w:tcW w:w="2588"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上年度可比期间</w:t>
            </w:r>
          </w:p>
          <w:p w:rsidR="00A97A4E" w:rsidRPr="00C24ACA" w:rsidRDefault="00A97A4E" w:rsidP="00A97A4E">
            <w:pPr>
              <w:widowControl/>
              <w:autoSpaceDE w:val="0"/>
              <w:autoSpaceDN w:val="0"/>
              <w:ind w:right="-15"/>
              <w:jc w:val="center"/>
              <w:textAlignment w:val="bottom"/>
              <w:rPr>
                <w:rFonts w:eastAsiaTheme="minorEastAsia"/>
                <w:color w:val="000000"/>
                <w:kern w:val="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w:t>
            </w:r>
            <w:r w:rsidRPr="00C24ACA">
              <w:rPr>
                <w:rFonts w:eastAsiaTheme="minorEastAsia"/>
                <w:color w:val="000000"/>
                <w:szCs w:val="21"/>
              </w:rPr>
              <w:t>月</w:t>
            </w:r>
            <w:r w:rsidRPr="00C24ACA">
              <w:rPr>
                <w:rFonts w:eastAsiaTheme="minorEastAsia"/>
                <w:color w:val="000000"/>
                <w:szCs w:val="21"/>
              </w:rPr>
              <w:t>1</w:t>
            </w:r>
            <w:r w:rsidRPr="00C24ACA">
              <w:rPr>
                <w:rFonts w:eastAsiaTheme="minorEastAsia"/>
                <w:color w:val="000000"/>
                <w:szCs w:val="21"/>
              </w:rPr>
              <w:t>日至</w:t>
            </w: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r>
      <w:tr w:rsidR="00A97A4E" w:rsidRPr="00C24ACA" w:rsidTr="00A97A4E">
        <w:tc>
          <w:tcPr>
            <w:tcW w:w="3686" w:type="dxa"/>
            <w:vAlign w:val="center"/>
          </w:tcPr>
          <w:p w:rsidR="00A97A4E" w:rsidRPr="00C24ACA" w:rsidRDefault="00A97A4E" w:rsidP="00A97A4E">
            <w:pPr>
              <w:rPr>
                <w:rFonts w:eastAsiaTheme="minorEastAsia"/>
                <w:color w:val="000000"/>
                <w:szCs w:val="21"/>
              </w:rPr>
            </w:pPr>
            <w:r w:rsidRPr="00C24ACA">
              <w:rPr>
                <w:rFonts w:eastAsiaTheme="minorEastAsia"/>
                <w:szCs w:val="21"/>
              </w:rPr>
              <w:t>当期发生的基金应支付的管理费</w:t>
            </w:r>
          </w:p>
        </w:tc>
        <w:tc>
          <w:tcPr>
            <w:tcW w:w="2657" w:type="dxa"/>
            <w:vAlign w:val="center"/>
          </w:tcPr>
          <w:p w:rsidR="00A97A4E" w:rsidRPr="00C24ACA" w:rsidRDefault="00A97A4E" w:rsidP="00A97A4E">
            <w:pPr>
              <w:jc w:val="right"/>
              <w:rPr>
                <w:rFonts w:eastAsiaTheme="minorEastAsia"/>
                <w:szCs w:val="21"/>
              </w:rPr>
            </w:pPr>
            <w:r w:rsidRPr="00C24ACA">
              <w:rPr>
                <w:rFonts w:eastAsiaTheme="minorEastAsia"/>
                <w:szCs w:val="21"/>
              </w:rPr>
              <w:t>328,718.93</w:t>
            </w:r>
          </w:p>
        </w:tc>
        <w:tc>
          <w:tcPr>
            <w:tcW w:w="2588" w:type="dxa"/>
            <w:vAlign w:val="center"/>
          </w:tcPr>
          <w:p w:rsidR="00A97A4E" w:rsidRPr="00C24ACA" w:rsidRDefault="00A97A4E" w:rsidP="00A97A4E">
            <w:pPr>
              <w:jc w:val="right"/>
              <w:rPr>
                <w:rFonts w:eastAsiaTheme="minorEastAsia"/>
                <w:szCs w:val="21"/>
              </w:rPr>
            </w:pPr>
            <w:r w:rsidRPr="00C24ACA">
              <w:rPr>
                <w:rFonts w:eastAsiaTheme="minorEastAsia"/>
                <w:szCs w:val="21"/>
              </w:rPr>
              <w:t>288,293.01</w:t>
            </w:r>
          </w:p>
        </w:tc>
      </w:tr>
      <w:tr w:rsidR="00A97A4E" w:rsidRPr="00C24ACA" w:rsidTr="00A97A4E">
        <w:tc>
          <w:tcPr>
            <w:tcW w:w="3686" w:type="dxa"/>
            <w:vAlign w:val="center"/>
          </w:tcPr>
          <w:p w:rsidR="00A97A4E" w:rsidRPr="00C24ACA" w:rsidRDefault="00A97A4E" w:rsidP="00A97A4E">
            <w:pPr>
              <w:rPr>
                <w:rFonts w:eastAsiaTheme="minorEastAsia"/>
                <w:color w:val="000000"/>
                <w:szCs w:val="21"/>
              </w:rPr>
            </w:pPr>
            <w:r w:rsidRPr="00C24ACA">
              <w:rPr>
                <w:rFonts w:eastAsiaTheme="minorEastAsia"/>
                <w:szCs w:val="21"/>
              </w:rPr>
              <w:t>其中：支付销售机构的客户维护费</w:t>
            </w:r>
          </w:p>
        </w:tc>
        <w:tc>
          <w:tcPr>
            <w:tcW w:w="2657" w:type="dxa"/>
            <w:vAlign w:val="center"/>
          </w:tcPr>
          <w:p w:rsidR="00A97A4E" w:rsidRPr="00C24ACA" w:rsidRDefault="00A97A4E" w:rsidP="00A97A4E">
            <w:pPr>
              <w:jc w:val="right"/>
              <w:rPr>
                <w:rFonts w:eastAsiaTheme="minorEastAsia"/>
                <w:szCs w:val="21"/>
              </w:rPr>
            </w:pPr>
            <w:r w:rsidRPr="00C24ACA">
              <w:rPr>
                <w:rFonts w:eastAsiaTheme="minorEastAsia"/>
                <w:szCs w:val="21"/>
              </w:rPr>
              <w:t>1,353,374.83</w:t>
            </w:r>
          </w:p>
        </w:tc>
        <w:tc>
          <w:tcPr>
            <w:tcW w:w="2588" w:type="dxa"/>
            <w:vAlign w:val="center"/>
          </w:tcPr>
          <w:p w:rsidR="00A97A4E" w:rsidRPr="00C24ACA" w:rsidRDefault="00A97A4E" w:rsidP="00A97A4E">
            <w:pPr>
              <w:jc w:val="right"/>
              <w:rPr>
                <w:rFonts w:eastAsiaTheme="minorEastAsia"/>
                <w:szCs w:val="21"/>
              </w:rPr>
            </w:pPr>
            <w:r w:rsidRPr="00C24ACA">
              <w:rPr>
                <w:rFonts w:eastAsiaTheme="minorEastAsia"/>
                <w:szCs w:val="21"/>
              </w:rPr>
              <w:t>865,548.41</w:t>
            </w:r>
          </w:p>
        </w:tc>
      </w:tr>
    </w:tbl>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注：基金管理人的基金管理费（如基金管理人委托境外投资顾问，包括境外投资顾问费）按前一日基金资产净值的</w:t>
      </w:r>
      <w:r>
        <w:rPr>
          <w:rFonts w:eastAsiaTheme="minorEastAsia"/>
          <w:kern w:val="0"/>
          <w:szCs w:val="21"/>
        </w:rPr>
        <w:t>0.6%</w:t>
      </w:r>
      <w:r>
        <w:rPr>
          <w:rFonts w:eastAsiaTheme="minorEastAsia"/>
          <w:kern w:val="0"/>
          <w:szCs w:val="21"/>
        </w:rPr>
        <w:t>年费率计提。</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计算方法如下：</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H</w:t>
      </w:r>
      <w:r>
        <w:rPr>
          <w:rFonts w:eastAsiaTheme="minorEastAsia"/>
          <w:kern w:val="0"/>
          <w:szCs w:val="21"/>
        </w:rPr>
        <w:t>＝</w:t>
      </w:r>
      <w:r>
        <w:rPr>
          <w:rFonts w:eastAsiaTheme="minorEastAsia"/>
          <w:kern w:val="0"/>
          <w:szCs w:val="21"/>
        </w:rPr>
        <w:t>E×0.6%÷</w:t>
      </w:r>
      <w:r>
        <w:rPr>
          <w:rFonts w:eastAsiaTheme="minorEastAsia"/>
          <w:kern w:val="0"/>
          <w:szCs w:val="21"/>
        </w:rPr>
        <w:t>当年天数</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H</w:t>
      </w:r>
      <w:r>
        <w:rPr>
          <w:rFonts w:eastAsiaTheme="minorEastAsia"/>
          <w:kern w:val="0"/>
          <w:szCs w:val="21"/>
        </w:rPr>
        <w:t>为每日应计提的基金管理费，货币单位为人民币</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E</w:t>
      </w:r>
      <w:r>
        <w:rPr>
          <w:rFonts w:eastAsiaTheme="minorEastAsia"/>
          <w:kern w:val="0"/>
          <w:szCs w:val="21"/>
        </w:rPr>
        <w:t>为调整后的前一日基金资产净值，货币单位为人民币。调整后的前一日基金资产净值＝前一日基金资产净值－前一日本基金持有的目标</w:t>
      </w:r>
      <w:r>
        <w:rPr>
          <w:rFonts w:eastAsiaTheme="minorEastAsia"/>
          <w:kern w:val="0"/>
          <w:szCs w:val="21"/>
        </w:rPr>
        <w:t>ETF</w:t>
      </w:r>
      <w:r>
        <w:rPr>
          <w:rFonts w:eastAsiaTheme="minorEastAsia"/>
          <w:kern w:val="0"/>
          <w:szCs w:val="21"/>
        </w:rPr>
        <w:t>公允价值，金额为负时以零计。</w:t>
      </w:r>
    </w:p>
    <w:p w:rsidR="00A97A4E" w:rsidRPr="00C24ACA" w:rsidRDefault="00A97A4E"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基金管理费每日计算，逐日累计至每月月末，按月支付。经基金管理人和基金托管人核对一致后，基金托管人于次月首日起</w:t>
      </w:r>
      <w:r w:rsidRPr="00C24ACA">
        <w:rPr>
          <w:rFonts w:eastAsiaTheme="minorEastAsia"/>
          <w:kern w:val="0"/>
          <w:szCs w:val="21"/>
        </w:rPr>
        <w:t>3</w:t>
      </w:r>
      <w:r w:rsidRPr="00C24ACA">
        <w:rPr>
          <w:rFonts w:eastAsiaTheme="minorEastAsia"/>
          <w:kern w:val="0"/>
          <w:szCs w:val="21"/>
        </w:rPr>
        <w:t>个工作日内从基金财产中一次性支付给基金管理人。若遇法定节假日、公休日等</w:t>
      </w:r>
      <w:r w:rsidRPr="00C24ACA">
        <w:rPr>
          <w:rFonts w:eastAsiaTheme="minorEastAsia"/>
          <w:kern w:val="0"/>
          <w:szCs w:val="21"/>
        </w:rPr>
        <w:t>,</w:t>
      </w:r>
      <w:r w:rsidRPr="00C24ACA">
        <w:rPr>
          <w:rFonts w:eastAsiaTheme="minorEastAsia"/>
          <w:kern w:val="0"/>
          <w:szCs w:val="21"/>
        </w:rPr>
        <w:t>支付日期顺延。</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6.4.10.2.2</w:t>
      </w:r>
      <w:r w:rsidRPr="00C24ACA">
        <w:rPr>
          <w:rFonts w:eastAsiaTheme="minorEastAsia"/>
          <w:b/>
          <w:color w:val="000000"/>
          <w:kern w:val="0"/>
          <w:szCs w:val="21"/>
        </w:rPr>
        <w:t>基金托管费</w:t>
      </w:r>
    </w:p>
    <w:p w:rsidR="00A97A4E" w:rsidRPr="00C24ACA" w:rsidRDefault="00A97A4E" w:rsidP="00A97A4E">
      <w:pPr>
        <w:autoSpaceDE w:val="0"/>
        <w:autoSpaceDN w:val="0"/>
        <w:adjustRightInd w:val="0"/>
        <w:spacing w:before="29" w:line="288" w:lineRule="auto"/>
        <w:ind w:left="15" w:right="210"/>
        <w:jc w:val="right"/>
        <w:rPr>
          <w:rFonts w:eastAsiaTheme="minorEastAsia"/>
          <w:color w:val="000000"/>
          <w:kern w:val="0"/>
          <w:szCs w:val="21"/>
        </w:rPr>
      </w:pPr>
      <w:r w:rsidRPr="00C24ACA">
        <w:rPr>
          <w:rFonts w:eastAsiaTheme="minor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2657"/>
        <w:gridCol w:w="2588"/>
      </w:tblGrid>
      <w:tr w:rsidR="00A97A4E" w:rsidRPr="00C24ACA" w:rsidTr="00A97A4E">
        <w:tc>
          <w:tcPr>
            <w:tcW w:w="3686" w:type="dxa"/>
            <w:vAlign w:val="center"/>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项目</w:t>
            </w:r>
          </w:p>
        </w:tc>
        <w:tc>
          <w:tcPr>
            <w:tcW w:w="2657"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本期</w:t>
            </w:r>
          </w:p>
          <w:p w:rsidR="00A97A4E" w:rsidRPr="00C24ACA" w:rsidRDefault="00A97A4E" w:rsidP="00A97A4E">
            <w:pPr>
              <w:widowControl/>
              <w:autoSpaceDE w:val="0"/>
              <w:autoSpaceDN w:val="0"/>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c>
          <w:tcPr>
            <w:tcW w:w="2588"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上年度可比期间</w:t>
            </w:r>
          </w:p>
          <w:p w:rsidR="00A97A4E" w:rsidRPr="00C24ACA" w:rsidRDefault="00A97A4E" w:rsidP="00A97A4E">
            <w:pPr>
              <w:widowControl/>
              <w:autoSpaceDE w:val="0"/>
              <w:autoSpaceDN w:val="0"/>
              <w:ind w:right="-15"/>
              <w:jc w:val="center"/>
              <w:textAlignment w:val="bottom"/>
              <w:rPr>
                <w:rFonts w:eastAsiaTheme="minorEastAsia"/>
                <w:color w:val="000000"/>
                <w:kern w:val="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w:t>
            </w:r>
            <w:r w:rsidRPr="00C24ACA">
              <w:rPr>
                <w:rFonts w:eastAsiaTheme="minorEastAsia"/>
                <w:color w:val="000000"/>
                <w:szCs w:val="21"/>
              </w:rPr>
              <w:t>月</w:t>
            </w:r>
            <w:r w:rsidRPr="00C24ACA">
              <w:rPr>
                <w:rFonts w:eastAsiaTheme="minorEastAsia"/>
                <w:color w:val="000000"/>
                <w:szCs w:val="21"/>
              </w:rPr>
              <w:t>1</w:t>
            </w:r>
            <w:r w:rsidRPr="00C24ACA">
              <w:rPr>
                <w:rFonts w:eastAsiaTheme="minorEastAsia"/>
                <w:color w:val="000000"/>
                <w:szCs w:val="21"/>
              </w:rPr>
              <w:t>日至</w:t>
            </w: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r>
      <w:tr w:rsidR="00A97A4E" w:rsidRPr="00C24ACA" w:rsidTr="00A97A4E">
        <w:tc>
          <w:tcPr>
            <w:tcW w:w="3686" w:type="dxa"/>
            <w:vAlign w:val="center"/>
          </w:tcPr>
          <w:p w:rsidR="00A97A4E" w:rsidRPr="00C24ACA" w:rsidRDefault="00A97A4E" w:rsidP="00A97A4E">
            <w:pPr>
              <w:rPr>
                <w:rFonts w:eastAsiaTheme="minorEastAsia"/>
                <w:color w:val="000000"/>
                <w:szCs w:val="21"/>
              </w:rPr>
            </w:pPr>
            <w:r w:rsidRPr="00C24ACA">
              <w:rPr>
                <w:rFonts w:eastAsiaTheme="minorEastAsia"/>
                <w:szCs w:val="21"/>
              </w:rPr>
              <w:t>当期发生的基金应支付的托管费</w:t>
            </w:r>
          </w:p>
        </w:tc>
        <w:tc>
          <w:tcPr>
            <w:tcW w:w="2657" w:type="dxa"/>
            <w:vAlign w:val="center"/>
          </w:tcPr>
          <w:p w:rsidR="00A97A4E" w:rsidRPr="00C24ACA" w:rsidRDefault="00A97A4E" w:rsidP="00A97A4E">
            <w:pPr>
              <w:jc w:val="right"/>
              <w:rPr>
                <w:rFonts w:eastAsiaTheme="minorEastAsia"/>
                <w:color w:val="000000"/>
                <w:kern w:val="0"/>
                <w:szCs w:val="21"/>
              </w:rPr>
            </w:pPr>
            <w:r w:rsidRPr="00C24ACA">
              <w:rPr>
                <w:rFonts w:eastAsiaTheme="minorEastAsia"/>
                <w:szCs w:val="21"/>
              </w:rPr>
              <w:t>109,572.96</w:t>
            </w:r>
          </w:p>
        </w:tc>
        <w:tc>
          <w:tcPr>
            <w:tcW w:w="2588" w:type="dxa"/>
            <w:vAlign w:val="center"/>
          </w:tcPr>
          <w:p w:rsidR="00A97A4E" w:rsidRPr="00C24ACA" w:rsidRDefault="00A97A4E" w:rsidP="00A97A4E">
            <w:pPr>
              <w:jc w:val="right"/>
              <w:rPr>
                <w:rFonts w:eastAsiaTheme="minorEastAsia"/>
                <w:color w:val="000000"/>
                <w:szCs w:val="21"/>
              </w:rPr>
            </w:pPr>
            <w:r w:rsidRPr="00C24ACA">
              <w:rPr>
                <w:rFonts w:eastAsiaTheme="minorEastAsia"/>
                <w:szCs w:val="21"/>
              </w:rPr>
              <w:t>96,097.62</w:t>
            </w:r>
          </w:p>
        </w:tc>
      </w:tr>
    </w:tbl>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注：基金托管人的基金托管费（如基金托管人委托境外托管人，包括向其支付的相应服务费）按前一日基金资产净值的</w:t>
      </w:r>
      <w:r>
        <w:rPr>
          <w:rFonts w:eastAsiaTheme="minorEastAsia"/>
          <w:kern w:val="0"/>
          <w:szCs w:val="21"/>
        </w:rPr>
        <w:t>0.2%</w:t>
      </w:r>
      <w:r>
        <w:rPr>
          <w:rFonts w:eastAsiaTheme="minorEastAsia"/>
          <w:kern w:val="0"/>
          <w:szCs w:val="21"/>
        </w:rPr>
        <w:t>年费率计提。</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计算方法如下：</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H</w:t>
      </w:r>
      <w:r>
        <w:rPr>
          <w:rFonts w:eastAsiaTheme="minorEastAsia"/>
          <w:kern w:val="0"/>
          <w:szCs w:val="21"/>
        </w:rPr>
        <w:t>＝</w:t>
      </w:r>
      <w:r>
        <w:rPr>
          <w:rFonts w:eastAsiaTheme="minorEastAsia"/>
          <w:kern w:val="0"/>
          <w:szCs w:val="21"/>
        </w:rPr>
        <w:t>E×0.2%÷</w:t>
      </w:r>
      <w:r>
        <w:rPr>
          <w:rFonts w:eastAsiaTheme="minorEastAsia"/>
          <w:kern w:val="0"/>
          <w:szCs w:val="21"/>
        </w:rPr>
        <w:t>当年天数</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H</w:t>
      </w:r>
      <w:r>
        <w:rPr>
          <w:rFonts w:eastAsiaTheme="minorEastAsia"/>
          <w:kern w:val="0"/>
          <w:szCs w:val="21"/>
        </w:rPr>
        <w:t>为每日应计提的基金托管费，货币单位为人民币</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E</w:t>
      </w:r>
      <w:r>
        <w:rPr>
          <w:rFonts w:eastAsiaTheme="minorEastAsia"/>
          <w:kern w:val="0"/>
          <w:szCs w:val="21"/>
        </w:rPr>
        <w:t>为调整后的前一日基金资产净值，货币单位为人民币。调整后的前一日基金资产净值＝前一日基金资产净值－前一日本基金持有的目标</w:t>
      </w:r>
      <w:r>
        <w:rPr>
          <w:rFonts w:eastAsiaTheme="minorEastAsia"/>
          <w:kern w:val="0"/>
          <w:szCs w:val="21"/>
        </w:rPr>
        <w:t>ETF</w:t>
      </w:r>
      <w:r>
        <w:rPr>
          <w:rFonts w:eastAsiaTheme="minorEastAsia"/>
          <w:kern w:val="0"/>
          <w:szCs w:val="21"/>
        </w:rPr>
        <w:t>公允价值，金额为负时以零计。</w:t>
      </w:r>
    </w:p>
    <w:p w:rsidR="00A97A4E" w:rsidRPr="00C24ACA" w:rsidRDefault="00A97A4E"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基金托管费每日计算，逐日累计至每月月末，按月支付。经基金管理人和基金托管人核对一致后，基金托管人于次月首日起</w:t>
      </w:r>
      <w:r w:rsidRPr="00C24ACA">
        <w:rPr>
          <w:rFonts w:eastAsiaTheme="minorEastAsia"/>
          <w:kern w:val="0"/>
          <w:szCs w:val="21"/>
        </w:rPr>
        <w:t>3</w:t>
      </w:r>
      <w:r w:rsidRPr="00C24ACA">
        <w:rPr>
          <w:rFonts w:eastAsiaTheme="minorEastAsia"/>
          <w:kern w:val="0"/>
          <w:szCs w:val="21"/>
        </w:rPr>
        <w:t>个工作日内从基金财产中一次性支取。若遇法定节假日、公休日等</w:t>
      </w:r>
      <w:r w:rsidRPr="00C24ACA">
        <w:rPr>
          <w:rFonts w:eastAsiaTheme="minorEastAsia"/>
          <w:kern w:val="0"/>
          <w:szCs w:val="21"/>
        </w:rPr>
        <w:t>,</w:t>
      </w:r>
      <w:r w:rsidRPr="00C24ACA">
        <w:rPr>
          <w:rFonts w:eastAsiaTheme="minorEastAsia"/>
          <w:kern w:val="0"/>
          <w:szCs w:val="21"/>
        </w:rPr>
        <w:t>支付日期顺延。</w:t>
      </w:r>
    </w:p>
    <w:p w:rsidR="00871B95" w:rsidRPr="00C24ACA" w:rsidRDefault="00871B95"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 xml:space="preserve">6.4.10.2.3 </w:t>
      </w:r>
      <w:r w:rsidRPr="00C24ACA">
        <w:rPr>
          <w:rFonts w:eastAsiaTheme="minorEastAsia"/>
          <w:b/>
          <w:color w:val="000000"/>
          <w:kern w:val="0"/>
          <w:szCs w:val="21"/>
        </w:rPr>
        <w:t>销售服务费</w:t>
      </w:r>
    </w:p>
    <w:p w:rsidR="003921B9" w:rsidRPr="00325F8A" w:rsidRDefault="003921B9" w:rsidP="003921B9">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2287"/>
        <w:gridCol w:w="2409"/>
        <w:gridCol w:w="2691"/>
      </w:tblGrid>
      <w:tr w:rsidR="003921B9" w:rsidRPr="00325F8A" w:rsidTr="00DC4F67">
        <w:trPr>
          <w:trHeight w:val="465"/>
        </w:trPr>
        <w:tc>
          <w:tcPr>
            <w:tcW w:w="2108" w:type="dxa"/>
            <w:vMerge w:val="restart"/>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921B9" w:rsidRPr="00325F8A" w:rsidTr="00DC4F67">
        <w:trPr>
          <w:trHeight w:val="465"/>
        </w:trPr>
        <w:tc>
          <w:tcPr>
            <w:tcW w:w="2108" w:type="dxa"/>
            <w:vMerge/>
            <w:vAlign w:val="center"/>
            <w:hideMark/>
          </w:tcPr>
          <w:p w:rsidR="003921B9" w:rsidRPr="00325F8A" w:rsidRDefault="003921B9" w:rsidP="00F0322F">
            <w:pPr>
              <w:widowControl/>
              <w:jc w:val="left"/>
              <w:rPr>
                <w:rFonts w:eastAsiaTheme="minorEastAsia"/>
                <w:szCs w:val="21"/>
              </w:rPr>
            </w:pP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921B9" w:rsidRPr="00325F8A" w:rsidTr="00DC4F67">
        <w:tc>
          <w:tcPr>
            <w:tcW w:w="2108" w:type="dxa"/>
            <w:vMerge/>
            <w:vAlign w:val="center"/>
            <w:hideMark/>
          </w:tcPr>
          <w:p w:rsidR="003921B9" w:rsidRPr="00325F8A" w:rsidRDefault="003921B9" w:rsidP="00F0322F">
            <w:pPr>
              <w:widowControl/>
              <w:jc w:val="left"/>
              <w:rPr>
                <w:rFonts w:eastAsiaTheme="minorEastAsia"/>
                <w:szCs w:val="21"/>
              </w:rPr>
            </w:pPr>
          </w:p>
        </w:tc>
        <w:tc>
          <w:tcPr>
            <w:tcW w:w="2287" w:type="dxa"/>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szCs w:val="21"/>
              </w:rPr>
              <w:t>易方达恒生国企联接（</w:t>
            </w:r>
            <w:r w:rsidRPr="00325F8A">
              <w:rPr>
                <w:rFonts w:eastAsiaTheme="minorEastAsia"/>
                <w:szCs w:val="21"/>
              </w:rPr>
              <w:t>QDII</w:t>
            </w:r>
            <w:r w:rsidRPr="00325F8A">
              <w:rPr>
                <w:rFonts w:eastAsiaTheme="minorEastAsia"/>
                <w:szCs w:val="21"/>
              </w:rPr>
              <w:t>）</w:t>
            </w:r>
            <w:r w:rsidRPr="00325F8A">
              <w:rPr>
                <w:rFonts w:eastAsiaTheme="minorEastAsia"/>
                <w:szCs w:val="21"/>
              </w:rPr>
              <w:t>A</w:t>
            </w:r>
          </w:p>
        </w:tc>
        <w:tc>
          <w:tcPr>
            <w:tcW w:w="2409" w:type="dxa"/>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szCs w:val="21"/>
              </w:rPr>
              <w:t>易方达恒生国企联接（</w:t>
            </w:r>
            <w:r w:rsidRPr="00325F8A">
              <w:rPr>
                <w:rFonts w:eastAsiaTheme="minorEastAsia"/>
                <w:szCs w:val="21"/>
              </w:rPr>
              <w:t>QDII</w:t>
            </w:r>
            <w:r w:rsidRPr="00325F8A">
              <w:rPr>
                <w:rFonts w:eastAsiaTheme="minorEastAsia"/>
                <w:szCs w:val="21"/>
              </w:rPr>
              <w:t>）</w:t>
            </w:r>
            <w:r w:rsidRPr="00325F8A">
              <w:rPr>
                <w:rFonts w:eastAsiaTheme="minorEastAsia"/>
                <w:szCs w:val="21"/>
              </w:rPr>
              <w:t>C</w:t>
            </w:r>
          </w:p>
        </w:tc>
        <w:tc>
          <w:tcPr>
            <w:tcW w:w="2691" w:type="dxa"/>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871824">
        <w:tc>
          <w:tcPr>
            <w:tcW w:w="2108" w:type="dxa"/>
            <w:vAlign w:val="center"/>
          </w:tcPr>
          <w:p w:rsidR="00871824" w:rsidRDefault="00672BD5">
            <w:pPr>
              <w:jc w:val="left"/>
            </w:pPr>
            <w:r>
              <w:rPr>
                <w:rFonts w:eastAsiaTheme="minorEastAsia"/>
                <w:szCs w:val="21"/>
              </w:rPr>
              <w:t>易方达基金管理有限公司</w:t>
            </w:r>
          </w:p>
        </w:tc>
        <w:tc>
          <w:tcPr>
            <w:tcW w:w="2287" w:type="dxa"/>
            <w:vAlign w:val="center"/>
          </w:tcPr>
          <w:p w:rsidR="00871824" w:rsidRDefault="00672BD5">
            <w:pPr>
              <w:jc w:val="right"/>
            </w:pPr>
            <w:r>
              <w:rPr>
                <w:rFonts w:eastAsiaTheme="minorEastAsia"/>
                <w:szCs w:val="21"/>
              </w:rPr>
              <w:t>-</w:t>
            </w:r>
          </w:p>
        </w:tc>
        <w:tc>
          <w:tcPr>
            <w:tcW w:w="2409" w:type="dxa"/>
            <w:vAlign w:val="center"/>
          </w:tcPr>
          <w:p w:rsidR="00871824" w:rsidRDefault="00672BD5">
            <w:pPr>
              <w:jc w:val="right"/>
            </w:pPr>
            <w:r>
              <w:rPr>
                <w:rFonts w:eastAsiaTheme="minorEastAsia"/>
                <w:szCs w:val="21"/>
              </w:rPr>
              <w:t>180,666.53</w:t>
            </w:r>
          </w:p>
        </w:tc>
        <w:tc>
          <w:tcPr>
            <w:tcW w:w="2691" w:type="dxa"/>
            <w:vAlign w:val="center"/>
          </w:tcPr>
          <w:p w:rsidR="00871824" w:rsidRDefault="00672BD5">
            <w:pPr>
              <w:jc w:val="right"/>
            </w:pPr>
            <w:r>
              <w:rPr>
                <w:rFonts w:eastAsiaTheme="minorEastAsia"/>
                <w:szCs w:val="21"/>
              </w:rPr>
              <w:t>180,666.53</w:t>
            </w:r>
          </w:p>
        </w:tc>
      </w:tr>
      <w:tr w:rsidR="00871824">
        <w:tc>
          <w:tcPr>
            <w:tcW w:w="2108" w:type="dxa"/>
            <w:vAlign w:val="center"/>
          </w:tcPr>
          <w:p w:rsidR="00871824" w:rsidRDefault="00672BD5">
            <w:pPr>
              <w:jc w:val="left"/>
            </w:pPr>
            <w:r>
              <w:rPr>
                <w:rFonts w:eastAsiaTheme="minorEastAsia"/>
                <w:szCs w:val="21"/>
              </w:rPr>
              <w:t>广发证券</w:t>
            </w:r>
          </w:p>
        </w:tc>
        <w:tc>
          <w:tcPr>
            <w:tcW w:w="2287" w:type="dxa"/>
            <w:vAlign w:val="center"/>
          </w:tcPr>
          <w:p w:rsidR="00871824" w:rsidRDefault="00672BD5">
            <w:pPr>
              <w:jc w:val="right"/>
            </w:pPr>
            <w:r>
              <w:rPr>
                <w:rFonts w:eastAsiaTheme="minorEastAsia"/>
                <w:szCs w:val="21"/>
              </w:rPr>
              <w:t>-</w:t>
            </w:r>
          </w:p>
        </w:tc>
        <w:tc>
          <w:tcPr>
            <w:tcW w:w="2409" w:type="dxa"/>
            <w:vAlign w:val="center"/>
          </w:tcPr>
          <w:p w:rsidR="00871824" w:rsidRDefault="00672BD5">
            <w:pPr>
              <w:jc w:val="right"/>
            </w:pPr>
            <w:r>
              <w:rPr>
                <w:rFonts w:eastAsiaTheme="minorEastAsia"/>
                <w:szCs w:val="21"/>
              </w:rPr>
              <w:t>58.64</w:t>
            </w:r>
          </w:p>
        </w:tc>
        <w:tc>
          <w:tcPr>
            <w:tcW w:w="2691" w:type="dxa"/>
            <w:vAlign w:val="center"/>
          </w:tcPr>
          <w:p w:rsidR="00871824" w:rsidRDefault="00672BD5">
            <w:pPr>
              <w:jc w:val="right"/>
            </w:pPr>
            <w:r>
              <w:rPr>
                <w:rFonts w:eastAsiaTheme="minorEastAsia"/>
                <w:szCs w:val="21"/>
              </w:rPr>
              <w:t>58.64</w:t>
            </w:r>
          </w:p>
        </w:tc>
      </w:tr>
      <w:tr w:rsidR="003921B9" w:rsidRPr="00325F8A" w:rsidTr="00DC4F67">
        <w:tc>
          <w:tcPr>
            <w:tcW w:w="2108" w:type="dxa"/>
            <w:vAlign w:val="center"/>
            <w:hideMark/>
          </w:tcPr>
          <w:p w:rsidR="003921B9" w:rsidRPr="00325F8A" w:rsidRDefault="003921B9" w:rsidP="00F0322F">
            <w:pPr>
              <w:widowControl/>
              <w:rPr>
                <w:rFonts w:eastAsiaTheme="minorEastAsia"/>
                <w:szCs w:val="21"/>
              </w:rPr>
            </w:pPr>
            <w:r w:rsidRPr="00325F8A">
              <w:rPr>
                <w:rFonts w:eastAsiaTheme="minorEastAsia" w:hAnsiTheme="minorEastAsia"/>
                <w:szCs w:val="21"/>
              </w:rPr>
              <w:t>合计</w:t>
            </w:r>
          </w:p>
        </w:tc>
        <w:tc>
          <w:tcPr>
            <w:tcW w:w="2287"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w:t>
            </w:r>
          </w:p>
        </w:tc>
        <w:tc>
          <w:tcPr>
            <w:tcW w:w="2409"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180,725.17</w:t>
            </w:r>
          </w:p>
        </w:tc>
        <w:tc>
          <w:tcPr>
            <w:tcW w:w="2691"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180,725.17</w:t>
            </w:r>
          </w:p>
        </w:tc>
      </w:tr>
      <w:tr w:rsidR="003921B9" w:rsidRPr="00325F8A" w:rsidTr="00DC4F67">
        <w:trPr>
          <w:trHeight w:val="465"/>
        </w:trPr>
        <w:tc>
          <w:tcPr>
            <w:tcW w:w="2108" w:type="dxa"/>
            <w:vMerge w:val="restart"/>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921B9" w:rsidRPr="00325F8A" w:rsidTr="00DC4F67">
        <w:trPr>
          <w:trHeight w:val="465"/>
        </w:trPr>
        <w:tc>
          <w:tcPr>
            <w:tcW w:w="2108" w:type="dxa"/>
            <w:vMerge/>
            <w:vAlign w:val="center"/>
            <w:hideMark/>
          </w:tcPr>
          <w:p w:rsidR="003921B9" w:rsidRPr="00325F8A" w:rsidRDefault="003921B9" w:rsidP="00F0322F">
            <w:pPr>
              <w:widowControl/>
              <w:jc w:val="left"/>
              <w:rPr>
                <w:rFonts w:eastAsiaTheme="minorEastAsia"/>
                <w:szCs w:val="21"/>
              </w:rPr>
            </w:pP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921B9" w:rsidRPr="00325F8A" w:rsidTr="00DC4F67">
        <w:tc>
          <w:tcPr>
            <w:tcW w:w="2108" w:type="dxa"/>
            <w:vMerge/>
            <w:vAlign w:val="center"/>
            <w:hideMark/>
          </w:tcPr>
          <w:p w:rsidR="003921B9" w:rsidRPr="00325F8A" w:rsidRDefault="003921B9" w:rsidP="00F0322F">
            <w:pPr>
              <w:widowControl/>
              <w:jc w:val="left"/>
              <w:rPr>
                <w:rFonts w:eastAsiaTheme="minorEastAsia"/>
                <w:szCs w:val="21"/>
              </w:rPr>
            </w:pPr>
          </w:p>
        </w:tc>
        <w:tc>
          <w:tcPr>
            <w:tcW w:w="2287" w:type="dxa"/>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易方达恒生国企联接（</w:t>
            </w:r>
            <w:r w:rsidRPr="00325F8A">
              <w:rPr>
                <w:rFonts w:eastAsiaTheme="minorEastAsia"/>
                <w:szCs w:val="21"/>
              </w:rPr>
              <w:t>QDII</w:t>
            </w:r>
            <w:r w:rsidRPr="00325F8A">
              <w:rPr>
                <w:rFonts w:eastAsiaTheme="minorEastAsia"/>
                <w:szCs w:val="21"/>
              </w:rPr>
              <w:t>）</w:t>
            </w:r>
            <w:r w:rsidRPr="00325F8A">
              <w:rPr>
                <w:rFonts w:eastAsiaTheme="minorEastAsia"/>
                <w:szCs w:val="21"/>
              </w:rPr>
              <w:t>A</w:t>
            </w:r>
          </w:p>
        </w:tc>
        <w:tc>
          <w:tcPr>
            <w:tcW w:w="2409" w:type="dxa"/>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易方达恒生国企联接（</w:t>
            </w:r>
            <w:r w:rsidRPr="00325F8A">
              <w:rPr>
                <w:rFonts w:eastAsiaTheme="minorEastAsia"/>
                <w:szCs w:val="21"/>
              </w:rPr>
              <w:t>QDII</w:t>
            </w:r>
            <w:r w:rsidRPr="00325F8A">
              <w:rPr>
                <w:rFonts w:eastAsiaTheme="minorEastAsia"/>
                <w:szCs w:val="21"/>
              </w:rPr>
              <w:t>）</w:t>
            </w:r>
            <w:r w:rsidRPr="00325F8A">
              <w:rPr>
                <w:rFonts w:eastAsiaTheme="minorEastAsia"/>
                <w:szCs w:val="21"/>
              </w:rPr>
              <w:t>C</w:t>
            </w:r>
          </w:p>
        </w:tc>
        <w:tc>
          <w:tcPr>
            <w:tcW w:w="2691" w:type="dxa"/>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871824">
        <w:tc>
          <w:tcPr>
            <w:tcW w:w="2108" w:type="dxa"/>
            <w:vAlign w:val="center"/>
          </w:tcPr>
          <w:p w:rsidR="00871824" w:rsidRDefault="00672BD5">
            <w:pPr>
              <w:jc w:val="left"/>
            </w:pPr>
            <w:r>
              <w:rPr>
                <w:rFonts w:eastAsiaTheme="minorEastAsia"/>
                <w:szCs w:val="21"/>
              </w:rPr>
              <w:t>易方达基金管理有限公司</w:t>
            </w:r>
          </w:p>
        </w:tc>
        <w:tc>
          <w:tcPr>
            <w:tcW w:w="2287" w:type="dxa"/>
            <w:vAlign w:val="center"/>
          </w:tcPr>
          <w:p w:rsidR="00871824" w:rsidRDefault="00672BD5">
            <w:pPr>
              <w:jc w:val="right"/>
            </w:pPr>
            <w:r>
              <w:rPr>
                <w:rFonts w:eastAsiaTheme="minorEastAsia"/>
                <w:szCs w:val="21"/>
              </w:rPr>
              <w:t>-</w:t>
            </w:r>
          </w:p>
        </w:tc>
        <w:tc>
          <w:tcPr>
            <w:tcW w:w="2409" w:type="dxa"/>
            <w:vAlign w:val="center"/>
          </w:tcPr>
          <w:p w:rsidR="00871824" w:rsidRDefault="00672BD5">
            <w:pPr>
              <w:jc w:val="right"/>
            </w:pPr>
            <w:r>
              <w:rPr>
                <w:rFonts w:eastAsiaTheme="minorEastAsia"/>
                <w:szCs w:val="21"/>
              </w:rPr>
              <w:t>83,034.04</w:t>
            </w:r>
          </w:p>
        </w:tc>
        <w:tc>
          <w:tcPr>
            <w:tcW w:w="2691" w:type="dxa"/>
            <w:vAlign w:val="center"/>
          </w:tcPr>
          <w:p w:rsidR="00871824" w:rsidRDefault="00672BD5">
            <w:pPr>
              <w:jc w:val="right"/>
            </w:pPr>
            <w:r>
              <w:rPr>
                <w:rFonts w:eastAsiaTheme="minorEastAsia"/>
                <w:szCs w:val="21"/>
              </w:rPr>
              <w:t>83,034.04</w:t>
            </w:r>
          </w:p>
        </w:tc>
      </w:tr>
      <w:tr w:rsidR="003921B9" w:rsidRPr="00325F8A" w:rsidTr="00DC4F67">
        <w:tc>
          <w:tcPr>
            <w:tcW w:w="2108" w:type="dxa"/>
            <w:vAlign w:val="center"/>
            <w:hideMark/>
          </w:tcPr>
          <w:p w:rsidR="003921B9" w:rsidRPr="00325F8A" w:rsidRDefault="003921B9" w:rsidP="00F0322F">
            <w:pPr>
              <w:widowControl/>
              <w:rPr>
                <w:rFonts w:eastAsiaTheme="minorEastAsia"/>
                <w:szCs w:val="21"/>
              </w:rPr>
            </w:pPr>
            <w:r w:rsidRPr="00325F8A">
              <w:rPr>
                <w:rFonts w:eastAsiaTheme="minorEastAsia" w:hAnsiTheme="minorEastAsia"/>
                <w:szCs w:val="21"/>
              </w:rPr>
              <w:t>合计</w:t>
            </w:r>
          </w:p>
        </w:tc>
        <w:tc>
          <w:tcPr>
            <w:tcW w:w="2287"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w:t>
            </w:r>
          </w:p>
        </w:tc>
        <w:tc>
          <w:tcPr>
            <w:tcW w:w="2409"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83,034.04</w:t>
            </w:r>
          </w:p>
        </w:tc>
        <w:tc>
          <w:tcPr>
            <w:tcW w:w="2691"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83,034.04</w:t>
            </w:r>
          </w:p>
        </w:tc>
      </w:tr>
    </w:tbl>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注：本基金</w:t>
      </w:r>
      <w:r>
        <w:rPr>
          <w:rFonts w:eastAsiaTheme="minorEastAsia"/>
          <w:kern w:val="0"/>
          <w:szCs w:val="21"/>
        </w:rPr>
        <w:t>A</w:t>
      </w:r>
      <w:r>
        <w:rPr>
          <w:rFonts w:eastAsiaTheme="minorEastAsia"/>
          <w:kern w:val="0"/>
          <w:szCs w:val="21"/>
        </w:rPr>
        <w:t>类基金份额不收取销售服务费，</w:t>
      </w:r>
      <w:r>
        <w:rPr>
          <w:rFonts w:eastAsiaTheme="minorEastAsia"/>
          <w:kern w:val="0"/>
          <w:szCs w:val="21"/>
        </w:rPr>
        <w:t>C</w:t>
      </w:r>
      <w:r>
        <w:rPr>
          <w:rFonts w:eastAsiaTheme="minorEastAsia"/>
          <w:kern w:val="0"/>
          <w:szCs w:val="21"/>
        </w:rPr>
        <w:t>类基金份额的销售服务费年费率为</w:t>
      </w:r>
      <w:r>
        <w:rPr>
          <w:rFonts w:eastAsiaTheme="minorEastAsia"/>
          <w:kern w:val="0"/>
          <w:szCs w:val="21"/>
        </w:rPr>
        <w:t>0.25%</w:t>
      </w:r>
      <w:r>
        <w:rPr>
          <w:rFonts w:eastAsiaTheme="minorEastAsia"/>
          <w:kern w:val="0"/>
          <w:szCs w:val="21"/>
        </w:rPr>
        <w:t>，按</w:t>
      </w:r>
      <w:r>
        <w:rPr>
          <w:rFonts w:eastAsiaTheme="minorEastAsia"/>
          <w:kern w:val="0"/>
          <w:szCs w:val="21"/>
        </w:rPr>
        <w:t>C</w:t>
      </w:r>
      <w:r>
        <w:rPr>
          <w:rFonts w:eastAsiaTheme="minorEastAsia"/>
          <w:kern w:val="0"/>
          <w:szCs w:val="21"/>
        </w:rPr>
        <w:t>类基金份额前一日基金资产净值的</w:t>
      </w:r>
      <w:r>
        <w:rPr>
          <w:rFonts w:eastAsiaTheme="minorEastAsia"/>
          <w:kern w:val="0"/>
          <w:szCs w:val="21"/>
        </w:rPr>
        <w:t>0.25%</w:t>
      </w:r>
      <w:r>
        <w:rPr>
          <w:rFonts w:eastAsiaTheme="minorEastAsia"/>
          <w:kern w:val="0"/>
          <w:szCs w:val="21"/>
        </w:rPr>
        <w:t>年费率计提。销售服务费的计算方法如下：</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H</w:t>
      </w:r>
      <w:r>
        <w:rPr>
          <w:rFonts w:eastAsiaTheme="minorEastAsia"/>
          <w:kern w:val="0"/>
          <w:szCs w:val="21"/>
        </w:rPr>
        <w:t>＝</w:t>
      </w:r>
      <w:r>
        <w:rPr>
          <w:rFonts w:eastAsiaTheme="minorEastAsia"/>
          <w:kern w:val="0"/>
          <w:szCs w:val="21"/>
        </w:rPr>
        <w:t>E×0.25%÷</w:t>
      </w:r>
      <w:r>
        <w:rPr>
          <w:rFonts w:eastAsiaTheme="minorEastAsia"/>
          <w:kern w:val="0"/>
          <w:szCs w:val="21"/>
        </w:rPr>
        <w:t>当年天数</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H</w:t>
      </w:r>
      <w:r>
        <w:rPr>
          <w:rFonts w:eastAsiaTheme="minorEastAsia"/>
          <w:kern w:val="0"/>
          <w:szCs w:val="21"/>
        </w:rPr>
        <w:t>为</w:t>
      </w:r>
      <w:r>
        <w:rPr>
          <w:rFonts w:eastAsiaTheme="minorEastAsia"/>
          <w:kern w:val="0"/>
          <w:szCs w:val="21"/>
        </w:rPr>
        <w:t>C</w:t>
      </w:r>
      <w:r>
        <w:rPr>
          <w:rFonts w:eastAsiaTheme="minorEastAsia"/>
          <w:kern w:val="0"/>
          <w:szCs w:val="21"/>
        </w:rPr>
        <w:t>类基金份额每日应计提的销售服务费</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E</w:t>
      </w:r>
      <w:r>
        <w:rPr>
          <w:rFonts w:eastAsiaTheme="minorEastAsia"/>
          <w:kern w:val="0"/>
          <w:szCs w:val="21"/>
        </w:rPr>
        <w:t>为</w:t>
      </w:r>
      <w:r>
        <w:rPr>
          <w:rFonts w:eastAsiaTheme="minorEastAsia"/>
          <w:kern w:val="0"/>
          <w:szCs w:val="21"/>
        </w:rPr>
        <w:t>C</w:t>
      </w:r>
      <w:r>
        <w:rPr>
          <w:rFonts w:eastAsiaTheme="minorEastAsia"/>
          <w:kern w:val="0"/>
          <w:szCs w:val="21"/>
        </w:rPr>
        <w:t>类基金份额前一日基金资产净值</w:t>
      </w:r>
    </w:p>
    <w:p w:rsidR="008A5A5D" w:rsidRPr="00C24ACA" w:rsidRDefault="003921B9"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销售服务费每日计算，逐日累计至每月月末，按月支付，经基金管理人和基金托管人核对一致后，基金托管人于次月首日起</w:t>
      </w:r>
      <w:r w:rsidRPr="008707EB">
        <w:rPr>
          <w:rFonts w:eastAsiaTheme="minorEastAsia"/>
          <w:kern w:val="0"/>
          <w:szCs w:val="21"/>
        </w:rPr>
        <w:t>3</w:t>
      </w:r>
      <w:r w:rsidRPr="008707EB">
        <w:rPr>
          <w:rFonts w:eastAsiaTheme="minorEastAsia"/>
          <w:kern w:val="0"/>
          <w:szCs w:val="21"/>
        </w:rPr>
        <w:t>个工作日内从基金财产中一次性支付。若遇法定节假日、公休日等</w:t>
      </w:r>
      <w:r w:rsidRPr="008707EB">
        <w:rPr>
          <w:rFonts w:eastAsiaTheme="minorEastAsia"/>
          <w:kern w:val="0"/>
          <w:szCs w:val="21"/>
        </w:rPr>
        <w:t>,</w:t>
      </w:r>
      <w:r w:rsidRPr="008707EB">
        <w:rPr>
          <w:rFonts w:eastAsiaTheme="minorEastAsia"/>
          <w:kern w:val="0"/>
          <w:szCs w:val="21"/>
        </w:rPr>
        <w:t>支付日期顺延。</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6.4.10.3</w:t>
      </w:r>
      <w:r w:rsidRPr="00C24ACA">
        <w:rPr>
          <w:rFonts w:eastAsiaTheme="minorEastAsia"/>
          <w:b/>
          <w:bCs/>
          <w:color w:val="000000"/>
          <w:szCs w:val="21"/>
        </w:rPr>
        <w:t>与关联方进行银行间同业市场的债券</w:t>
      </w:r>
      <w:r w:rsidRPr="00C24ACA">
        <w:rPr>
          <w:rFonts w:eastAsiaTheme="minorEastAsia"/>
          <w:b/>
          <w:bCs/>
          <w:color w:val="000000"/>
          <w:szCs w:val="21"/>
        </w:rPr>
        <w:t>(</w:t>
      </w:r>
      <w:r w:rsidRPr="00C24ACA">
        <w:rPr>
          <w:rFonts w:eastAsiaTheme="minorEastAsia"/>
          <w:b/>
          <w:bCs/>
          <w:color w:val="000000"/>
          <w:szCs w:val="21"/>
        </w:rPr>
        <w:t>含回购</w:t>
      </w:r>
      <w:r w:rsidRPr="00C24ACA">
        <w:rPr>
          <w:rFonts w:eastAsiaTheme="minorEastAsia"/>
          <w:b/>
          <w:bCs/>
          <w:color w:val="000000"/>
          <w:szCs w:val="21"/>
        </w:rPr>
        <w:t>)</w:t>
      </w:r>
      <w:r w:rsidRPr="00C24ACA">
        <w:rPr>
          <w:rFonts w:eastAsiaTheme="minorEastAsia"/>
          <w:b/>
          <w:bCs/>
          <w:color w:val="000000"/>
          <w:szCs w:val="21"/>
        </w:rPr>
        <w:t>交易</w:t>
      </w:r>
    </w:p>
    <w:p w:rsidR="0096290F" w:rsidRPr="00C24ACA" w:rsidRDefault="0096290F"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本基金本报告期及上年度可比期间未与关联方进行银行间同业市场债券（含回购）交易。</w:t>
      </w:r>
    </w:p>
    <w:p w:rsidR="008A5A5D" w:rsidRPr="00C24ACA" w:rsidRDefault="008A5A5D" w:rsidP="00EC68BF">
      <w:pPr>
        <w:spacing w:line="360" w:lineRule="auto"/>
        <w:rPr>
          <w:rFonts w:eastAsiaTheme="minorEastAsia"/>
          <w:b/>
          <w:bCs/>
          <w:color w:val="000000"/>
          <w:szCs w:val="21"/>
        </w:rPr>
      </w:pPr>
      <w:r w:rsidRPr="00C24ACA">
        <w:rPr>
          <w:rFonts w:eastAsiaTheme="minorEastAsia"/>
          <w:b/>
          <w:bCs/>
          <w:color w:val="000000"/>
          <w:kern w:val="0"/>
          <w:szCs w:val="21"/>
        </w:rPr>
        <w:t>6.4.10.4</w:t>
      </w:r>
      <w:r w:rsidRPr="00C24ACA">
        <w:rPr>
          <w:rFonts w:eastAsiaTheme="minorEastAsia"/>
          <w:b/>
          <w:bCs/>
          <w:color w:val="000000"/>
          <w:szCs w:val="21"/>
        </w:rPr>
        <w:t>各关联方投资本基金的情况</w:t>
      </w:r>
    </w:p>
    <w:p w:rsidR="008A5A5D" w:rsidRPr="00C24ACA" w:rsidRDefault="008A5A5D" w:rsidP="00EC68BF">
      <w:pPr>
        <w:adjustRightInd w:val="0"/>
        <w:snapToGrid w:val="0"/>
        <w:spacing w:line="360" w:lineRule="auto"/>
        <w:rPr>
          <w:rFonts w:eastAsiaTheme="minorEastAsia"/>
          <w:b/>
          <w:bCs/>
          <w:color w:val="000000"/>
          <w:szCs w:val="21"/>
        </w:rPr>
      </w:pPr>
      <w:r w:rsidRPr="00C24ACA">
        <w:rPr>
          <w:rFonts w:eastAsiaTheme="minorEastAsia"/>
          <w:b/>
          <w:bCs/>
          <w:color w:val="000000"/>
          <w:kern w:val="0"/>
          <w:szCs w:val="21"/>
        </w:rPr>
        <w:t>6.4.10.4.1</w:t>
      </w:r>
      <w:r w:rsidRPr="00C24ACA">
        <w:rPr>
          <w:rFonts w:eastAsiaTheme="minorEastAsia"/>
          <w:b/>
          <w:bCs/>
          <w:color w:val="000000"/>
          <w:szCs w:val="21"/>
        </w:rPr>
        <w:t>报告期内基金管理人运用固有资金投资本基金的情况</w:t>
      </w:r>
    </w:p>
    <w:p w:rsidR="005C113A" w:rsidRPr="00D77452" w:rsidRDefault="005C113A" w:rsidP="005C113A">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42415D" w:rsidRPr="00FE326E" w:rsidRDefault="008A5A5D" w:rsidP="00FE326E">
      <w:pPr>
        <w:adjustRightInd w:val="0"/>
        <w:snapToGrid w:val="0"/>
        <w:spacing w:line="360" w:lineRule="auto"/>
        <w:rPr>
          <w:rFonts w:eastAsiaTheme="minorEastAsia"/>
          <w:b/>
          <w:bCs/>
          <w:color w:val="000000"/>
          <w:kern w:val="0"/>
          <w:szCs w:val="21"/>
        </w:rPr>
      </w:pPr>
      <w:r w:rsidRPr="00C24ACA">
        <w:rPr>
          <w:rFonts w:eastAsiaTheme="minorEastAsia"/>
          <w:b/>
          <w:bCs/>
          <w:color w:val="000000"/>
          <w:kern w:val="0"/>
          <w:szCs w:val="21"/>
        </w:rPr>
        <w:t>6.4.10.4.2</w:t>
      </w:r>
      <w:r w:rsidRPr="00FE326E">
        <w:rPr>
          <w:rFonts w:eastAsiaTheme="minorEastAsia"/>
          <w:b/>
          <w:bCs/>
          <w:color w:val="000000"/>
          <w:kern w:val="0"/>
          <w:szCs w:val="21"/>
        </w:rPr>
        <w:t>报告期末除基金管理人之外的其他关联方投资本基金的情况</w:t>
      </w:r>
    </w:p>
    <w:p w:rsidR="0042415D" w:rsidRPr="003560D2" w:rsidRDefault="0042415D" w:rsidP="0042415D">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易方达恒生国企联接（</w:t>
      </w:r>
      <w:r w:rsidRPr="003560D2">
        <w:rPr>
          <w:rFonts w:eastAsiaTheme="minorEastAsia" w:hint="eastAsia"/>
          <w:b/>
          <w:color w:val="000000"/>
          <w:szCs w:val="21"/>
        </w:rPr>
        <w:t>QDII</w:t>
      </w:r>
      <w:r w:rsidRPr="003560D2">
        <w:rPr>
          <w:rFonts w:eastAsiaTheme="minorEastAsia" w:hint="eastAsia"/>
          <w:b/>
          <w:color w:val="000000"/>
          <w:szCs w:val="21"/>
        </w:rPr>
        <w:t>）</w:t>
      </w:r>
      <w:r w:rsidRPr="003560D2">
        <w:rPr>
          <w:rFonts w:eastAsiaTheme="minorEastAsia" w:hint="eastAsia"/>
          <w:b/>
          <w:color w:val="000000"/>
          <w:szCs w:val="21"/>
        </w:rPr>
        <w:t>A</w:t>
      </w:r>
    </w:p>
    <w:p w:rsidR="0042415D" w:rsidRPr="00325F8A" w:rsidRDefault="0042415D" w:rsidP="0042415D">
      <w:pPr>
        <w:tabs>
          <w:tab w:val="left" w:pos="426"/>
        </w:tabs>
        <w:spacing w:line="360" w:lineRule="auto"/>
        <w:ind w:firstLineChars="200" w:firstLine="420"/>
        <w:jc w:val="left"/>
        <w:rPr>
          <w:kern w:val="0"/>
          <w:szCs w:val="21"/>
        </w:rPr>
      </w:pPr>
      <w:r w:rsidRPr="00325F8A">
        <w:rPr>
          <w:kern w:val="0"/>
          <w:szCs w:val="21"/>
        </w:rPr>
        <w:t>无。</w:t>
      </w:r>
    </w:p>
    <w:p w:rsidR="0042415D" w:rsidRPr="00325F8A" w:rsidRDefault="0042415D" w:rsidP="0042415D">
      <w:pPr>
        <w:adjustRightInd w:val="0"/>
        <w:snapToGrid w:val="0"/>
        <w:spacing w:line="288" w:lineRule="auto"/>
        <w:ind w:firstLineChars="200" w:firstLine="422"/>
        <w:rPr>
          <w:b/>
          <w:bCs/>
          <w:color w:val="000000"/>
          <w:szCs w:val="21"/>
        </w:rPr>
      </w:pPr>
      <w:r w:rsidRPr="00325F8A">
        <w:rPr>
          <w:rFonts w:eastAsiaTheme="minorEastAsia"/>
          <w:b/>
          <w:szCs w:val="21"/>
        </w:rPr>
        <w:t>易方达恒生国企联接（</w:t>
      </w:r>
      <w:r w:rsidRPr="00325F8A">
        <w:rPr>
          <w:rFonts w:eastAsiaTheme="minorEastAsia"/>
          <w:b/>
          <w:szCs w:val="21"/>
        </w:rPr>
        <w:t>QDII</w:t>
      </w:r>
      <w:r w:rsidRPr="00325F8A">
        <w:rPr>
          <w:rFonts w:eastAsiaTheme="minorEastAsia"/>
          <w:b/>
          <w:szCs w:val="21"/>
        </w:rPr>
        <w:t>）</w:t>
      </w:r>
      <w:r w:rsidRPr="00325F8A">
        <w:rPr>
          <w:rFonts w:eastAsiaTheme="minorEastAsia"/>
          <w:b/>
          <w:szCs w:val="21"/>
        </w:rPr>
        <w:t>C</w:t>
      </w:r>
    </w:p>
    <w:p w:rsidR="0042415D" w:rsidRPr="00683042" w:rsidRDefault="0042415D" w:rsidP="0042415D">
      <w:pPr>
        <w:tabs>
          <w:tab w:val="left" w:pos="426"/>
        </w:tabs>
        <w:spacing w:line="360" w:lineRule="auto"/>
        <w:ind w:firstLineChars="200" w:firstLine="420"/>
        <w:jc w:val="left"/>
        <w:rPr>
          <w:kern w:val="0"/>
          <w:szCs w:val="21"/>
        </w:rPr>
      </w:pPr>
      <w:r w:rsidRPr="00683042">
        <w:rPr>
          <w:rFonts w:hint="eastAsia"/>
          <w:kern w:val="0"/>
          <w:szCs w:val="21"/>
        </w:rPr>
        <w:t>无。</w:t>
      </w:r>
    </w:p>
    <w:p w:rsidR="008A5A5D" w:rsidRPr="00C24ACA" w:rsidRDefault="008A5A5D" w:rsidP="0042415D">
      <w:pPr>
        <w:adjustRightInd w:val="0"/>
        <w:snapToGrid w:val="0"/>
        <w:spacing w:beforeLines="100" w:before="312" w:line="360" w:lineRule="auto"/>
        <w:rPr>
          <w:rFonts w:eastAsiaTheme="minorEastAsia"/>
          <w:b/>
          <w:bCs/>
          <w:color w:val="000000"/>
          <w:szCs w:val="21"/>
        </w:rPr>
      </w:pPr>
      <w:r w:rsidRPr="00C24ACA">
        <w:rPr>
          <w:rFonts w:eastAsiaTheme="minorEastAsia"/>
          <w:b/>
          <w:bCs/>
          <w:color w:val="000000"/>
          <w:kern w:val="0"/>
          <w:szCs w:val="21"/>
        </w:rPr>
        <w:t>6.4.10.5</w:t>
      </w:r>
      <w:r w:rsidRPr="00C24ACA">
        <w:rPr>
          <w:rFonts w:eastAsiaTheme="minorEastAsia"/>
          <w:b/>
          <w:bCs/>
          <w:color w:val="000000"/>
          <w:szCs w:val="21"/>
        </w:rPr>
        <w:t>由关联方保管的银行存款余额及当期产生的利息收入</w:t>
      </w:r>
    </w:p>
    <w:p w:rsidR="008A5A5D" w:rsidRPr="00C24ACA" w:rsidRDefault="008A5A5D" w:rsidP="002116B9">
      <w:pPr>
        <w:autoSpaceDE w:val="0"/>
        <w:autoSpaceDN w:val="0"/>
        <w:adjustRightInd w:val="0"/>
        <w:spacing w:before="29" w:line="288" w:lineRule="auto"/>
        <w:ind w:left="15" w:right="210"/>
        <w:jc w:val="right"/>
        <w:rPr>
          <w:rFonts w:eastAsiaTheme="minorEastAsia"/>
          <w:bCs/>
          <w:color w:val="000000"/>
          <w:szCs w:val="21"/>
        </w:rPr>
      </w:pPr>
      <w:r w:rsidRPr="00C24ACA">
        <w:rPr>
          <w:rFonts w:eastAsiaTheme="minorEastAsia"/>
          <w:bCs/>
          <w:color w:val="000000"/>
          <w:szCs w:val="21"/>
        </w:rPr>
        <w:t>单位：人民币元</w:t>
      </w:r>
    </w:p>
    <w:tbl>
      <w:tblPr>
        <w:tblStyle w:val="af7"/>
        <w:tblW w:w="0" w:type="auto"/>
        <w:tblInd w:w="108" w:type="dxa"/>
        <w:tblLayout w:type="fixed"/>
        <w:tblLook w:val="04A0" w:firstRow="1" w:lastRow="0" w:firstColumn="1" w:lastColumn="0" w:noHBand="0" w:noVBand="1"/>
      </w:tblPr>
      <w:tblGrid>
        <w:gridCol w:w="1526"/>
        <w:gridCol w:w="1851"/>
        <w:gridCol w:w="1851"/>
        <w:gridCol w:w="1851"/>
        <w:gridCol w:w="1851"/>
      </w:tblGrid>
      <w:tr w:rsidR="00B01102" w:rsidRPr="00C24ACA" w:rsidTr="004C02E0">
        <w:tc>
          <w:tcPr>
            <w:tcW w:w="1526" w:type="dxa"/>
            <w:vMerge w:val="restart"/>
            <w:vAlign w:val="center"/>
          </w:tcPr>
          <w:p w:rsidR="00B01102" w:rsidRPr="00C24ACA" w:rsidRDefault="00B01102" w:rsidP="00145CAE">
            <w:pPr>
              <w:jc w:val="center"/>
              <w:rPr>
                <w:rFonts w:eastAsiaTheme="minorEastAsia"/>
                <w:kern w:val="0"/>
                <w:szCs w:val="21"/>
              </w:rPr>
            </w:pPr>
            <w:r w:rsidRPr="00C24ACA">
              <w:rPr>
                <w:rFonts w:eastAsiaTheme="minorEastAsia"/>
                <w:color w:val="000000"/>
                <w:szCs w:val="21"/>
              </w:rPr>
              <w:t>关联方名称</w:t>
            </w:r>
          </w:p>
        </w:tc>
        <w:tc>
          <w:tcPr>
            <w:tcW w:w="3702" w:type="dxa"/>
            <w:gridSpan w:val="2"/>
          </w:tcPr>
          <w:p w:rsidR="00B01102" w:rsidRPr="00C24ACA" w:rsidRDefault="00B01102" w:rsidP="00B01102">
            <w:pPr>
              <w:jc w:val="center"/>
              <w:rPr>
                <w:rFonts w:eastAsiaTheme="minorEastAsia"/>
                <w:color w:val="000000"/>
                <w:szCs w:val="21"/>
              </w:rPr>
            </w:pPr>
            <w:r w:rsidRPr="00C24ACA">
              <w:rPr>
                <w:rFonts w:eastAsiaTheme="minorEastAsia"/>
                <w:color w:val="000000"/>
                <w:szCs w:val="21"/>
              </w:rPr>
              <w:t>本期</w:t>
            </w:r>
          </w:p>
          <w:p w:rsidR="00B01102" w:rsidRPr="00C24ACA" w:rsidRDefault="00B01102" w:rsidP="00B01102">
            <w:pPr>
              <w:jc w:val="left"/>
              <w:rPr>
                <w:rFonts w:eastAsiaTheme="minorEastAsia"/>
                <w:kern w:val="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1</w:t>
            </w:r>
            <w:r w:rsidRPr="00C24ACA">
              <w:rPr>
                <w:rFonts w:eastAsiaTheme="minorEastAsia"/>
                <w:color w:val="000000"/>
                <w:szCs w:val="21"/>
              </w:rPr>
              <w:t>月</w:t>
            </w:r>
            <w:r w:rsidRPr="00C24ACA">
              <w:rPr>
                <w:rFonts w:eastAsiaTheme="minorEastAsia"/>
                <w:color w:val="000000"/>
                <w:szCs w:val="21"/>
              </w:rPr>
              <w:t>1</w:t>
            </w:r>
            <w:r w:rsidRPr="00C24ACA">
              <w:rPr>
                <w:rFonts w:eastAsiaTheme="minorEastAsia"/>
                <w:color w:val="000000"/>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c>
          <w:tcPr>
            <w:tcW w:w="3702" w:type="dxa"/>
            <w:gridSpan w:val="2"/>
          </w:tcPr>
          <w:p w:rsidR="00B01102" w:rsidRPr="00C24ACA" w:rsidRDefault="00B01102" w:rsidP="00B01102">
            <w:pPr>
              <w:jc w:val="center"/>
              <w:rPr>
                <w:rFonts w:eastAsiaTheme="minorEastAsia"/>
                <w:color w:val="000000"/>
                <w:szCs w:val="21"/>
              </w:rPr>
            </w:pPr>
            <w:r w:rsidRPr="00C24ACA">
              <w:rPr>
                <w:rFonts w:eastAsiaTheme="minorEastAsia"/>
                <w:color w:val="000000"/>
                <w:szCs w:val="21"/>
              </w:rPr>
              <w:t>上年度可比期间</w:t>
            </w:r>
          </w:p>
          <w:p w:rsidR="00B01102" w:rsidRPr="00C24ACA" w:rsidRDefault="00B01102" w:rsidP="000E28C9">
            <w:pPr>
              <w:jc w:val="left"/>
              <w:rPr>
                <w:rFonts w:eastAsiaTheme="minorEastAsia"/>
                <w:kern w:val="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w:t>
            </w:r>
            <w:r w:rsidRPr="00C24ACA">
              <w:rPr>
                <w:rFonts w:eastAsiaTheme="minorEastAsia"/>
                <w:color w:val="000000"/>
                <w:szCs w:val="21"/>
              </w:rPr>
              <w:t>月</w:t>
            </w:r>
            <w:r w:rsidRPr="00C24ACA">
              <w:rPr>
                <w:rFonts w:eastAsiaTheme="minorEastAsia"/>
                <w:color w:val="000000"/>
                <w:szCs w:val="21"/>
              </w:rPr>
              <w:t>1</w:t>
            </w:r>
            <w:r w:rsidRPr="00C24ACA">
              <w:rPr>
                <w:rFonts w:eastAsiaTheme="minorEastAsia"/>
                <w:color w:val="000000"/>
                <w:szCs w:val="21"/>
              </w:rPr>
              <w:t>日至</w:t>
            </w: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r>
      <w:tr w:rsidR="00B01102" w:rsidRPr="00C24ACA" w:rsidTr="004C02E0">
        <w:tc>
          <w:tcPr>
            <w:tcW w:w="1526" w:type="dxa"/>
            <w:vMerge/>
          </w:tcPr>
          <w:p w:rsidR="00B01102" w:rsidRPr="00C24ACA" w:rsidRDefault="00B01102" w:rsidP="002116B9">
            <w:pPr>
              <w:jc w:val="left"/>
              <w:rPr>
                <w:rFonts w:eastAsiaTheme="minorEastAsia"/>
                <w:kern w:val="0"/>
                <w:szCs w:val="21"/>
              </w:rPr>
            </w:pP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期末余额</w:t>
            </w: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当期利息收入</w:t>
            </w: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期末余额</w:t>
            </w: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当期利息收入</w:t>
            </w:r>
          </w:p>
        </w:tc>
      </w:tr>
      <w:tr w:rsidR="00871824">
        <w:tc>
          <w:tcPr>
            <w:tcW w:w="1526" w:type="dxa"/>
            <w:vAlign w:val="center"/>
          </w:tcPr>
          <w:p w:rsidR="00871824" w:rsidRDefault="00672BD5">
            <w:pPr>
              <w:jc w:val="left"/>
            </w:pPr>
            <w:r>
              <w:rPr>
                <w:rFonts w:eastAsiaTheme="minorEastAsia"/>
                <w:szCs w:val="21"/>
              </w:rPr>
              <w:t>交通银行</w:t>
            </w:r>
            <w:r>
              <w:rPr>
                <w:rFonts w:eastAsiaTheme="minorEastAsia"/>
                <w:szCs w:val="21"/>
              </w:rPr>
              <w:t>-</w:t>
            </w:r>
            <w:r>
              <w:rPr>
                <w:rFonts w:eastAsiaTheme="minorEastAsia"/>
                <w:szCs w:val="21"/>
              </w:rPr>
              <w:t>活期存款</w:t>
            </w:r>
          </w:p>
        </w:tc>
        <w:tc>
          <w:tcPr>
            <w:tcW w:w="1851" w:type="dxa"/>
            <w:vAlign w:val="center"/>
          </w:tcPr>
          <w:p w:rsidR="00871824" w:rsidRDefault="00672BD5">
            <w:pPr>
              <w:jc w:val="right"/>
            </w:pPr>
            <w:r>
              <w:rPr>
                <w:rFonts w:eastAsiaTheme="minorEastAsia"/>
                <w:szCs w:val="21"/>
              </w:rPr>
              <w:t>117,292,091.00</w:t>
            </w:r>
          </w:p>
        </w:tc>
        <w:tc>
          <w:tcPr>
            <w:tcW w:w="1851" w:type="dxa"/>
            <w:vAlign w:val="center"/>
          </w:tcPr>
          <w:p w:rsidR="00871824" w:rsidRDefault="00672BD5">
            <w:pPr>
              <w:jc w:val="right"/>
            </w:pPr>
            <w:r>
              <w:rPr>
                <w:rFonts w:eastAsiaTheme="minorEastAsia"/>
                <w:szCs w:val="21"/>
              </w:rPr>
              <w:t>371,238.96</w:t>
            </w:r>
          </w:p>
        </w:tc>
        <w:tc>
          <w:tcPr>
            <w:tcW w:w="1851" w:type="dxa"/>
            <w:vAlign w:val="center"/>
          </w:tcPr>
          <w:p w:rsidR="00871824" w:rsidRDefault="00672BD5">
            <w:pPr>
              <w:jc w:val="right"/>
            </w:pPr>
            <w:r>
              <w:rPr>
                <w:rFonts w:eastAsiaTheme="minorEastAsia"/>
                <w:szCs w:val="21"/>
              </w:rPr>
              <w:t>65,838,594.49</w:t>
            </w:r>
          </w:p>
        </w:tc>
        <w:tc>
          <w:tcPr>
            <w:tcW w:w="1851" w:type="dxa"/>
            <w:vAlign w:val="center"/>
          </w:tcPr>
          <w:p w:rsidR="00871824" w:rsidRDefault="00672BD5">
            <w:pPr>
              <w:jc w:val="right"/>
            </w:pPr>
            <w:r>
              <w:rPr>
                <w:rFonts w:eastAsiaTheme="minorEastAsia"/>
                <w:szCs w:val="21"/>
              </w:rPr>
              <w:t>162,726.74</w:t>
            </w:r>
          </w:p>
        </w:tc>
      </w:tr>
      <w:tr w:rsidR="00871824">
        <w:tc>
          <w:tcPr>
            <w:tcW w:w="1526" w:type="dxa"/>
            <w:vAlign w:val="center"/>
          </w:tcPr>
          <w:p w:rsidR="00871824" w:rsidRDefault="00672BD5">
            <w:pPr>
              <w:jc w:val="left"/>
            </w:pPr>
            <w:r>
              <w:rPr>
                <w:rFonts w:eastAsiaTheme="minorEastAsia"/>
                <w:szCs w:val="21"/>
              </w:rPr>
              <w:t>汇丰银行</w:t>
            </w:r>
            <w:r>
              <w:rPr>
                <w:rFonts w:eastAsiaTheme="minorEastAsia"/>
                <w:szCs w:val="21"/>
              </w:rPr>
              <w:t>-</w:t>
            </w:r>
            <w:r>
              <w:rPr>
                <w:rFonts w:eastAsiaTheme="minorEastAsia"/>
                <w:szCs w:val="21"/>
              </w:rPr>
              <w:t>活期存款</w:t>
            </w:r>
          </w:p>
        </w:tc>
        <w:tc>
          <w:tcPr>
            <w:tcW w:w="1851" w:type="dxa"/>
            <w:vAlign w:val="center"/>
          </w:tcPr>
          <w:p w:rsidR="00871824" w:rsidRDefault="00672BD5">
            <w:pPr>
              <w:jc w:val="right"/>
            </w:pPr>
            <w:r>
              <w:rPr>
                <w:rFonts w:eastAsiaTheme="minorEastAsia"/>
                <w:szCs w:val="21"/>
              </w:rPr>
              <w:t>72,004.88</w:t>
            </w:r>
          </w:p>
        </w:tc>
        <w:tc>
          <w:tcPr>
            <w:tcW w:w="1851" w:type="dxa"/>
            <w:vAlign w:val="center"/>
          </w:tcPr>
          <w:p w:rsidR="00871824" w:rsidRDefault="00672BD5">
            <w:pPr>
              <w:jc w:val="right"/>
            </w:pPr>
            <w:r>
              <w:rPr>
                <w:rFonts w:eastAsiaTheme="minorEastAsia"/>
                <w:szCs w:val="21"/>
              </w:rPr>
              <w:t>0.29</w:t>
            </w:r>
          </w:p>
        </w:tc>
        <w:tc>
          <w:tcPr>
            <w:tcW w:w="1851" w:type="dxa"/>
            <w:vAlign w:val="center"/>
          </w:tcPr>
          <w:p w:rsidR="00871824" w:rsidRDefault="00672BD5">
            <w:pPr>
              <w:jc w:val="right"/>
            </w:pPr>
            <w:r>
              <w:rPr>
                <w:rFonts w:eastAsiaTheme="minorEastAsia"/>
                <w:szCs w:val="21"/>
              </w:rPr>
              <w:t>12,026,631.81</w:t>
            </w:r>
          </w:p>
        </w:tc>
        <w:tc>
          <w:tcPr>
            <w:tcW w:w="1851" w:type="dxa"/>
            <w:vAlign w:val="center"/>
          </w:tcPr>
          <w:p w:rsidR="00871824" w:rsidRDefault="00672BD5">
            <w:pPr>
              <w:jc w:val="right"/>
            </w:pPr>
            <w:r>
              <w:rPr>
                <w:rFonts w:eastAsiaTheme="minorEastAsia"/>
                <w:szCs w:val="21"/>
              </w:rPr>
              <w:t>8,776.74</w:t>
            </w:r>
          </w:p>
        </w:tc>
      </w:tr>
    </w:tbl>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注：本基金的上述银行存款由基金托管人交通银行股份有限公司和香港上海汇丰银行有限公司保管，按银行同业利率或约定利率计息。</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6.4.10.6</w:t>
      </w:r>
      <w:r w:rsidRPr="00C24ACA">
        <w:rPr>
          <w:rFonts w:eastAsiaTheme="minorEastAsia"/>
          <w:b/>
          <w:bCs/>
          <w:color w:val="000000"/>
          <w:szCs w:val="21"/>
        </w:rPr>
        <w:t>本基金在承销期内参与关联方承销证券的情况</w:t>
      </w:r>
    </w:p>
    <w:p w:rsidR="008A5A5D" w:rsidRPr="00C24ACA" w:rsidRDefault="00EF6CFA"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本基金本报告期及上年度可比期间未在承销期内参与关联方承销证券。</w:t>
      </w:r>
    </w:p>
    <w:p w:rsidR="00AE3215" w:rsidRPr="00A73188" w:rsidRDefault="00AE3215" w:rsidP="006C64F3">
      <w:pPr>
        <w:adjustRightInd w:val="0"/>
        <w:snapToGrid w:val="0"/>
        <w:spacing w:beforeLines="100" w:before="312" w:line="360" w:lineRule="auto"/>
        <w:rPr>
          <w:rFonts w:eastAsiaTheme="minorEastAsia"/>
          <w:b/>
          <w:color w:val="000000" w:themeColor="text1"/>
          <w:szCs w:val="21"/>
        </w:rPr>
      </w:pPr>
      <w:r w:rsidRPr="00A73188">
        <w:rPr>
          <w:rFonts w:eastAsiaTheme="minorEastAsia"/>
          <w:b/>
          <w:bCs/>
          <w:color w:val="000000" w:themeColor="text1"/>
          <w:kern w:val="0"/>
          <w:szCs w:val="21"/>
        </w:rPr>
        <w:t xml:space="preserve">6.4.10.7 </w:t>
      </w:r>
      <w:r w:rsidRPr="00A73188">
        <w:rPr>
          <w:rFonts w:eastAsiaTheme="minorEastAsia"/>
          <w:b/>
          <w:color w:val="000000" w:themeColor="text1"/>
          <w:szCs w:val="21"/>
        </w:rPr>
        <w:t>其他关联交易事项的说明</w:t>
      </w:r>
    </w:p>
    <w:p w:rsidR="00AE3215" w:rsidRPr="00A73188" w:rsidRDefault="00AE3215" w:rsidP="00AE3215">
      <w:pPr>
        <w:adjustRightInd w:val="0"/>
        <w:snapToGrid w:val="0"/>
        <w:spacing w:line="360" w:lineRule="auto"/>
        <w:rPr>
          <w:rFonts w:eastAsiaTheme="minorEastAsia"/>
          <w:b/>
          <w:color w:val="000000" w:themeColor="text1"/>
          <w:szCs w:val="21"/>
        </w:rPr>
      </w:pPr>
      <w:r w:rsidRPr="00A73188">
        <w:rPr>
          <w:rFonts w:eastAsiaTheme="minorEastAsia"/>
          <w:b/>
          <w:bCs/>
          <w:color w:val="000000" w:themeColor="text1"/>
          <w:kern w:val="0"/>
          <w:szCs w:val="21"/>
        </w:rPr>
        <w:t>6.4.10.7</w:t>
      </w:r>
      <w:r w:rsidRPr="00A73188">
        <w:rPr>
          <w:rFonts w:eastAsiaTheme="minorEastAsia" w:hint="eastAsia"/>
          <w:b/>
          <w:bCs/>
          <w:color w:val="000000" w:themeColor="text1"/>
          <w:kern w:val="0"/>
          <w:szCs w:val="21"/>
        </w:rPr>
        <w:t xml:space="preserve">.1 </w:t>
      </w:r>
      <w:r w:rsidRPr="00A73188">
        <w:rPr>
          <w:rFonts w:eastAsiaTheme="minorEastAsia"/>
          <w:b/>
          <w:color w:val="000000" w:themeColor="text1"/>
          <w:szCs w:val="21"/>
        </w:rPr>
        <w:t>其他关联交易事项的说明</w:t>
      </w:r>
    </w:p>
    <w:p w:rsidR="00AE3215" w:rsidRPr="00A73188" w:rsidRDefault="00AE3215" w:rsidP="00AE3215">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于本报告期末及上年度末，本基金分别持有</w:t>
      </w:r>
      <w:r w:rsidRPr="00A73188">
        <w:rPr>
          <w:rFonts w:eastAsiaTheme="minorEastAsia"/>
          <w:color w:val="000000" w:themeColor="text1"/>
          <w:kern w:val="0"/>
          <w:szCs w:val="21"/>
        </w:rPr>
        <w:t>1,409,298,226</w:t>
      </w:r>
      <w:r w:rsidRPr="00A73188">
        <w:rPr>
          <w:rFonts w:eastAsiaTheme="minorEastAsia"/>
          <w:color w:val="000000" w:themeColor="text1"/>
          <w:kern w:val="0"/>
          <w:szCs w:val="21"/>
        </w:rPr>
        <w:t>份和</w:t>
      </w:r>
      <w:r w:rsidRPr="00A73188">
        <w:rPr>
          <w:rFonts w:eastAsiaTheme="minorEastAsia"/>
          <w:color w:val="000000" w:themeColor="text1"/>
          <w:kern w:val="0"/>
          <w:szCs w:val="21"/>
        </w:rPr>
        <w:t>1,454,669,526</w:t>
      </w:r>
      <w:r w:rsidRPr="00A73188">
        <w:rPr>
          <w:rFonts w:eastAsiaTheme="minorEastAsia"/>
          <w:color w:val="000000" w:themeColor="text1"/>
          <w:kern w:val="0"/>
          <w:szCs w:val="21"/>
        </w:rPr>
        <w:t>份目标</w:t>
      </w:r>
      <w:r w:rsidRPr="00A73188">
        <w:rPr>
          <w:rFonts w:eastAsiaTheme="minorEastAsia"/>
          <w:color w:val="000000" w:themeColor="text1"/>
          <w:kern w:val="0"/>
          <w:szCs w:val="21"/>
        </w:rPr>
        <w:t>ETF</w:t>
      </w:r>
      <w:r w:rsidRPr="00A73188">
        <w:rPr>
          <w:rFonts w:eastAsiaTheme="minorEastAsia"/>
          <w:color w:val="000000" w:themeColor="text1"/>
          <w:kern w:val="0"/>
          <w:szCs w:val="21"/>
        </w:rPr>
        <w:t>基金份额，占其总份额的比例分别为</w:t>
      </w:r>
      <w:r w:rsidRPr="00A73188">
        <w:rPr>
          <w:rFonts w:eastAsiaTheme="minorEastAsia"/>
          <w:color w:val="000000" w:themeColor="text1"/>
          <w:kern w:val="0"/>
          <w:szCs w:val="21"/>
        </w:rPr>
        <w:t>17.49%</w:t>
      </w:r>
      <w:r w:rsidRPr="00A73188">
        <w:rPr>
          <w:rFonts w:eastAsiaTheme="minorEastAsia"/>
          <w:color w:val="000000" w:themeColor="text1"/>
          <w:kern w:val="0"/>
          <w:szCs w:val="21"/>
        </w:rPr>
        <w:t>和</w:t>
      </w:r>
      <w:r w:rsidRPr="00A73188">
        <w:rPr>
          <w:rFonts w:eastAsiaTheme="minorEastAsia"/>
          <w:color w:val="000000" w:themeColor="text1"/>
          <w:kern w:val="0"/>
          <w:szCs w:val="21"/>
        </w:rPr>
        <w:t>17.90%</w:t>
      </w:r>
      <w:r w:rsidRPr="00A73188">
        <w:rPr>
          <w:rFonts w:eastAsiaTheme="minorEastAsia"/>
          <w:color w:val="000000" w:themeColor="text1"/>
          <w:kern w:val="0"/>
          <w:szCs w:val="21"/>
        </w:rPr>
        <w:t>。</w:t>
      </w:r>
    </w:p>
    <w:p w:rsidR="008A5A5D" w:rsidRPr="00C24ACA" w:rsidRDefault="008A5A5D" w:rsidP="006C64F3">
      <w:pPr>
        <w:adjustRightInd w:val="0"/>
        <w:snapToGrid w:val="0"/>
        <w:spacing w:beforeLines="50" w:before="156" w:line="360" w:lineRule="auto"/>
        <w:rPr>
          <w:rFonts w:eastAsiaTheme="minorEastAsia"/>
          <w:b/>
          <w:bCs/>
          <w:color w:val="000000"/>
          <w:szCs w:val="21"/>
        </w:rPr>
      </w:pPr>
      <w:r w:rsidRPr="00C24ACA">
        <w:rPr>
          <w:rFonts w:eastAsiaTheme="minorEastAsia"/>
          <w:b/>
          <w:bCs/>
          <w:color w:val="000000"/>
          <w:kern w:val="0"/>
          <w:szCs w:val="21"/>
        </w:rPr>
        <w:t>6.4.11</w:t>
      </w:r>
      <w:r w:rsidRPr="00C24ACA">
        <w:rPr>
          <w:rFonts w:eastAsiaTheme="minorEastAsia"/>
          <w:b/>
          <w:bCs/>
          <w:color w:val="000000"/>
          <w:szCs w:val="21"/>
        </w:rPr>
        <w:t>利润分配情况</w:t>
      </w:r>
    </w:p>
    <w:p w:rsidR="007F124D" w:rsidRDefault="007F124D" w:rsidP="007F124D">
      <w:pPr>
        <w:adjustRightInd w:val="0"/>
        <w:snapToGrid w:val="0"/>
        <w:spacing w:line="288" w:lineRule="auto"/>
        <w:ind w:firstLineChars="200" w:firstLine="422"/>
        <w:rPr>
          <w:rFonts w:eastAsiaTheme="minorEastAsia"/>
          <w:b/>
          <w:color w:val="000000"/>
          <w:szCs w:val="21"/>
        </w:rPr>
      </w:pPr>
      <w:r>
        <w:rPr>
          <w:rFonts w:eastAsiaTheme="minorEastAsia"/>
          <w:b/>
          <w:color w:val="000000"/>
          <w:szCs w:val="21"/>
        </w:rPr>
        <w:t>易方达恒生国企联接（</w:t>
      </w:r>
      <w:r>
        <w:rPr>
          <w:rFonts w:eastAsiaTheme="minorEastAsia"/>
          <w:b/>
          <w:color w:val="000000"/>
          <w:szCs w:val="21"/>
        </w:rPr>
        <w:t>QDII</w:t>
      </w:r>
      <w:r>
        <w:rPr>
          <w:rFonts w:eastAsiaTheme="minorEastAsia"/>
          <w:b/>
          <w:color w:val="000000"/>
          <w:szCs w:val="21"/>
        </w:rPr>
        <w:t>）</w:t>
      </w:r>
      <w:r>
        <w:rPr>
          <w:rFonts w:eastAsiaTheme="minorEastAsia"/>
          <w:b/>
          <w:color w:val="000000"/>
          <w:szCs w:val="21"/>
        </w:rPr>
        <w:t>A</w:t>
      </w:r>
    </w:p>
    <w:p w:rsidR="007F124D" w:rsidRDefault="007F124D" w:rsidP="007F124D">
      <w:pPr>
        <w:tabs>
          <w:tab w:val="left" w:pos="426"/>
        </w:tabs>
        <w:spacing w:line="360" w:lineRule="auto"/>
        <w:ind w:firstLineChars="200" w:firstLine="420"/>
        <w:jc w:val="left"/>
        <w:rPr>
          <w:kern w:val="0"/>
          <w:szCs w:val="21"/>
        </w:rPr>
      </w:pPr>
      <w:r>
        <w:rPr>
          <w:kern w:val="0"/>
          <w:szCs w:val="21"/>
        </w:rPr>
        <w:t>本报告期内未发生利润分配。</w:t>
      </w:r>
    </w:p>
    <w:p w:rsidR="007F124D" w:rsidRDefault="007F124D" w:rsidP="007F124D">
      <w:pPr>
        <w:adjustRightInd w:val="0"/>
        <w:snapToGrid w:val="0"/>
        <w:spacing w:line="288" w:lineRule="auto"/>
        <w:ind w:firstLineChars="200" w:firstLine="422"/>
        <w:rPr>
          <w:rFonts w:eastAsiaTheme="minorEastAsia"/>
          <w:b/>
          <w:color w:val="000000"/>
          <w:szCs w:val="21"/>
        </w:rPr>
      </w:pPr>
      <w:r>
        <w:rPr>
          <w:rFonts w:eastAsiaTheme="minorEastAsia"/>
          <w:b/>
          <w:color w:val="000000"/>
          <w:szCs w:val="21"/>
        </w:rPr>
        <w:t>易方达恒生国企联接（</w:t>
      </w:r>
      <w:r>
        <w:rPr>
          <w:rFonts w:eastAsiaTheme="minorEastAsia"/>
          <w:b/>
          <w:color w:val="000000"/>
          <w:szCs w:val="21"/>
        </w:rPr>
        <w:t>QDII</w:t>
      </w:r>
      <w:r>
        <w:rPr>
          <w:rFonts w:eastAsiaTheme="minorEastAsia"/>
          <w:b/>
          <w:color w:val="000000"/>
          <w:szCs w:val="21"/>
        </w:rPr>
        <w:t>）</w:t>
      </w:r>
      <w:r>
        <w:rPr>
          <w:rFonts w:eastAsiaTheme="minorEastAsia"/>
          <w:b/>
          <w:color w:val="000000"/>
          <w:szCs w:val="21"/>
        </w:rPr>
        <w:t>C</w:t>
      </w:r>
    </w:p>
    <w:p w:rsidR="008A5A5D" w:rsidRPr="00C24ACA" w:rsidRDefault="007F124D" w:rsidP="008707EB">
      <w:pPr>
        <w:tabs>
          <w:tab w:val="left" w:pos="426"/>
        </w:tabs>
        <w:spacing w:line="360" w:lineRule="auto"/>
        <w:ind w:firstLineChars="200" w:firstLine="420"/>
        <w:rPr>
          <w:rFonts w:eastAsiaTheme="minorEastAsia"/>
          <w:kern w:val="0"/>
          <w:szCs w:val="21"/>
        </w:rPr>
      </w:pPr>
      <w:r>
        <w:rPr>
          <w:kern w:val="0"/>
          <w:szCs w:val="21"/>
        </w:rPr>
        <w:t>本报告期内未发生利润分配。</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6.4.12</w:t>
      </w:r>
      <w:r w:rsidRPr="00C24ACA">
        <w:rPr>
          <w:rFonts w:eastAsiaTheme="minorEastAsia"/>
          <w:b/>
          <w:bCs/>
          <w:color w:val="000000"/>
          <w:szCs w:val="21"/>
        </w:rPr>
        <w:t>期末（</w:t>
      </w:r>
      <w:r w:rsidR="00AC4A34" w:rsidRPr="00C24ACA">
        <w:rPr>
          <w:rFonts w:eastAsiaTheme="minorEastAsia"/>
          <w:b/>
          <w:bCs/>
          <w:color w:val="000000"/>
          <w:szCs w:val="21"/>
        </w:rPr>
        <w:t>2020</w:t>
      </w:r>
      <w:r w:rsidR="00AC4A34" w:rsidRPr="00C24ACA">
        <w:rPr>
          <w:rFonts w:eastAsiaTheme="minorEastAsia"/>
          <w:b/>
          <w:bCs/>
          <w:color w:val="000000"/>
          <w:szCs w:val="21"/>
        </w:rPr>
        <w:t>年</w:t>
      </w:r>
      <w:r w:rsidR="00AC4A34" w:rsidRPr="00C24ACA">
        <w:rPr>
          <w:rFonts w:eastAsiaTheme="minorEastAsia"/>
          <w:b/>
          <w:bCs/>
          <w:color w:val="000000"/>
          <w:szCs w:val="21"/>
        </w:rPr>
        <w:t>6</w:t>
      </w:r>
      <w:r w:rsidR="00AC4A34" w:rsidRPr="00C24ACA">
        <w:rPr>
          <w:rFonts w:eastAsiaTheme="minorEastAsia"/>
          <w:b/>
          <w:bCs/>
          <w:color w:val="000000"/>
          <w:szCs w:val="21"/>
        </w:rPr>
        <w:t>月</w:t>
      </w:r>
      <w:r w:rsidR="00AC4A34" w:rsidRPr="00C24ACA">
        <w:rPr>
          <w:rFonts w:eastAsiaTheme="minorEastAsia"/>
          <w:b/>
          <w:bCs/>
          <w:color w:val="000000"/>
          <w:szCs w:val="21"/>
        </w:rPr>
        <w:t>30</w:t>
      </w:r>
      <w:r w:rsidR="00AC4A34" w:rsidRPr="00C24ACA">
        <w:rPr>
          <w:rFonts w:eastAsiaTheme="minorEastAsia"/>
          <w:b/>
          <w:bCs/>
          <w:color w:val="000000"/>
          <w:szCs w:val="21"/>
        </w:rPr>
        <w:t>日</w:t>
      </w:r>
      <w:r w:rsidRPr="00C24ACA">
        <w:rPr>
          <w:rFonts w:eastAsiaTheme="minorEastAsia"/>
          <w:b/>
          <w:bCs/>
          <w:color w:val="000000"/>
          <w:szCs w:val="21"/>
        </w:rPr>
        <w:t>）本基金持有的流通受限证券</w:t>
      </w:r>
    </w:p>
    <w:p w:rsidR="008A5A5D" w:rsidRPr="00C24ACA" w:rsidRDefault="008A5A5D" w:rsidP="006313B1">
      <w:pPr>
        <w:spacing w:line="360" w:lineRule="auto"/>
        <w:rPr>
          <w:rFonts w:eastAsiaTheme="minorEastAsia"/>
          <w:b/>
          <w:bCs/>
          <w:color w:val="000000"/>
          <w:szCs w:val="21"/>
        </w:rPr>
      </w:pPr>
      <w:r w:rsidRPr="00C24ACA">
        <w:rPr>
          <w:rFonts w:eastAsiaTheme="minorEastAsia"/>
          <w:b/>
          <w:bCs/>
          <w:color w:val="000000"/>
          <w:kern w:val="0"/>
          <w:szCs w:val="21"/>
        </w:rPr>
        <w:t>6.4.12.1</w:t>
      </w:r>
      <w:r w:rsidRPr="00C24ACA">
        <w:rPr>
          <w:rFonts w:eastAsiaTheme="minorEastAsia"/>
          <w:b/>
          <w:bCs/>
          <w:color w:val="000000"/>
          <w:szCs w:val="21"/>
        </w:rPr>
        <w:t>因认购新发</w:t>
      </w:r>
      <w:r w:rsidRPr="00C24ACA">
        <w:rPr>
          <w:rFonts w:eastAsiaTheme="minorEastAsia"/>
          <w:b/>
          <w:bCs/>
          <w:color w:val="000000"/>
          <w:szCs w:val="21"/>
        </w:rPr>
        <w:t>/</w:t>
      </w:r>
      <w:r w:rsidRPr="00C24ACA">
        <w:rPr>
          <w:rFonts w:eastAsiaTheme="minorEastAsia"/>
          <w:b/>
          <w:bCs/>
          <w:color w:val="000000"/>
          <w:szCs w:val="21"/>
        </w:rPr>
        <w:t>增发证券而于期末持有的流通受限证券</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本基金无因认购新发</w:t>
      </w:r>
      <w:r w:rsidRPr="00C24ACA">
        <w:rPr>
          <w:rFonts w:eastAsiaTheme="minorEastAsia"/>
          <w:kern w:val="0"/>
          <w:szCs w:val="21"/>
        </w:rPr>
        <w:t>/</w:t>
      </w:r>
      <w:r w:rsidRPr="00C24ACA">
        <w:rPr>
          <w:rFonts w:eastAsiaTheme="minorEastAsia"/>
          <w:kern w:val="0"/>
          <w:szCs w:val="21"/>
        </w:rPr>
        <w:t>增发证券而于期末持有的流通受限证券。</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6.4.12.2</w:t>
      </w:r>
      <w:r w:rsidRPr="00C24ACA">
        <w:rPr>
          <w:rFonts w:eastAsiaTheme="minorEastAsia"/>
          <w:b/>
          <w:bCs/>
          <w:color w:val="000000"/>
          <w:szCs w:val="21"/>
        </w:rPr>
        <w:t>期末持有的暂时停牌等流通受限股票</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本基金本报告期末未持有股票。</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6.4.12.3</w:t>
      </w:r>
      <w:r w:rsidRPr="00C24ACA">
        <w:rPr>
          <w:rFonts w:eastAsiaTheme="minorEastAsia"/>
          <w:b/>
          <w:bCs/>
          <w:color w:val="000000"/>
          <w:szCs w:val="21"/>
        </w:rPr>
        <w:t>期末债券正回购交易中作为抵押的债券</w:t>
      </w:r>
    </w:p>
    <w:p w:rsidR="008A5A5D" w:rsidRPr="00C24ACA" w:rsidRDefault="008A5A5D" w:rsidP="006313B1">
      <w:pPr>
        <w:spacing w:line="360" w:lineRule="auto"/>
        <w:rPr>
          <w:rFonts w:eastAsiaTheme="minorEastAsia"/>
          <w:b/>
          <w:bCs/>
          <w:color w:val="000000"/>
          <w:szCs w:val="21"/>
        </w:rPr>
      </w:pPr>
      <w:r w:rsidRPr="00C24ACA">
        <w:rPr>
          <w:rFonts w:eastAsiaTheme="minorEastAsia"/>
          <w:b/>
          <w:bCs/>
          <w:color w:val="000000"/>
          <w:kern w:val="0"/>
          <w:szCs w:val="21"/>
        </w:rPr>
        <w:t>6.4.12.3.1</w:t>
      </w:r>
      <w:r w:rsidRPr="00C24ACA">
        <w:rPr>
          <w:rFonts w:eastAsiaTheme="minorEastAsia"/>
          <w:b/>
          <w:bCs/>
          <w:color w:val="000000"/>
          <w:szCs w:val="21"/>
        </w:rPr>
        <w:t>银行间市场债券正回购</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截至本报告期末</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日止，本基金从事银行间市场债券正回购交易形成的卖出回购证券款余额为</w:t>
      </w:r>
      <w:r w:rsidRPr="00C24ACA">
        <w:rPr>
          <w:rFonts w:eastAsiaTheme="minorEastAsia"/>
          <w:kern w:val="0"/>
          <w:szCs w:val="21"/>
        </w:rPr>
        <w:t>0</w:t>
      </w:r>
      <w:r w:rsidRPr="00C24ACA">
        <w:rPr>
          <w:rFonts w:eastAsiaTheme="minorEastAsia"/>
          <w:kern w:val="0"/>
          <w:szCs w:val="21"/>
        </w:rPr>
        <w:t>，无抵押债券。</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6.4.12.3.2</w:t>
      </w:r>
      <w:r w:rsidRPr="00C24ACA">
        <w:rPr>
          <w:rFonts w:eastAsiaTheme="minorEastAsia"/>
          <w:b/>
          <w:bCs/>
          <w:color w:val="000000"/>
          <w:szCs w:val="21"/>
        </w:rPr>
        <w:t>交易所市场债券正回购</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截至本报告期末</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日止，本基金从事证券交易所债券正回购交易形成的卖出回购证券款余额为</w:t>
      </w:r>
      <w:r w:rsidRPr="00C24ACA">
        <w:rPr>
          <w:rFonts w:eastAsiaTheme="minorEastAsia"/>
          <w:kern w:val="0"/>
          <w:szCs w:val="21"/>
        </w:rPr>
        <w:t>0</w:t>
      </w:r>
      <w:r w:rsidRPr="00C24ACA">
        <w:rPr>
          <w:rFonts w:eastAsiaTheme="minorEastAsia"/>
          <w:kern w:val="0"/>
          <w:szCs w:val="21"/>
        </w:rPr>
        <w:t>，无抵押债券。</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w:t>
      </w:r>
      <w:r w:rsidRPr="00C24ACA">
        <w:rPr>
          <w:rFonts w:eastAsiaTheme="minorEastAsia"/>
          <w:b/>
          <w:bCs/>
          <w:color w:val="000000"/>
          <w:szCs w:val="21"/>
        </w:rPr>
        <w:t>金融工具风险及管理</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6.4.13.1</w:t>
      </w:r>
      <w:r w:rsidRPr="00C24ACA">
        <w:rPr>
          <w:rFonts w:eastAsiaTheme="minorEastAsia"/>
          <w:b/>
          <w:bCs/>
          <w:color w:val="000000"/>
          <w:szCs w:val="21"/>
        </w:rPr>
        <w:t>风险管理政策和组织架构</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本基金管理人按照</w:t>
      </w:r>
      <w:r>
        <w:rPr>
          <w:rFonts w:eastAsiaTheme="minorEastAsia"/>
          <w:kern w:val="0"/>
          <w:szCs w:val="21"/>
        </w:rPr>
        <w:t>“</w:t>
      </w:r>
      <w:r>
        <w:rPr>
          <w:rFonts w:eastAsiaTheme="minorEastAsia"/>
          <w:kern w:val="0"/>
          <w:szCs w:val="21"/>
        </w:rPr>
        <w:t>自上而下与自下而上相结合，全面管理、专业分工</w:t>
      </w:r>
      <w:r>
        <w:rPr>
          <w:rFonts w:eastAsiaTheme="minorEastAsia"/>
          <w:kern w:val="0"/>
          <w:szCs w:val="21"/>
        </w:rPr>
        <w:t>”</w:t>
      </w:r>
      <w:r>
        <w:rPr>
          <w:rFonts w:eastAsiaTheme="minorEastAsia"/>
          <w:kern w:val="0"/>
          <w:szCs w:val="21"/>
        </w:rPr>
        <w:t>的思路，将风险控制嵌入到全公司的组织架构中，对风险实行多层次、多角度、全方位的管理。</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rFonts w:eastAsiaTheme="minorEastAsia"/>
          <w:kern w:val="0"/>
          <w:szCs w:val="21"/>
        </w:rPr>
        <w:t>“</w:t>
      </w:r>
      <w:r>
        <w:rPr>
          <w:rFonts w:eastAsiaTheme="minorEastAsia"/>
          <w:kern w:val="0"/>
          <w:szCs w:val="21"/>
        </w:rPr>
        <w:t>事前的风险定位、事中的风险管理和事后的风险评估</w:t>
      </w:r>
      <w:r>
        <w:rPr>
          <w:rFonts w:eastAsiaTheme="minorEastAsia"/>
          <w:kern w:val="0"/>
          <w:szCs w:val="21"/>
        </w:rPr>
        <w:t>”</w:t>
      </w:r>
      <w:r>
        <w:rPr>
          <w:rFonts w:eastAsiaTheme="minorEastAsia"/>
          <w:kern w:val="0"/>
          <w:szCs w:val="21"/>
        </w:rPr>
        <w:t>的健全的风险监控体系。</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本基金是</w:t>
      </w:r>
      <w:r>
        <w:rPr>
          <w:rFonts w:eastAsiaTheme="minorEastAsia"/>
          <w:kern w:val="0"/>
          <w:szCs w:val="21"/>
        </w:rPr>
        <w:t>ETF</w:t>
      </w:r>
      <w:r>
        <w:rPr>
          <w:rFonts w:eastAsiaTheme="minorEastAsia"/>
          <w:kern w:val="0"/>
          <w:szCs w:val="21"/>
        </w:rPr>
        <w:t>联接基金，属于证券投资基金中的高风险高收益品种，理论上其风险收益水平高于混合型基金、债券基金和货币市场基金。</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本基金主要通过投资于易方达恒生中国企业</w:t>
      </w:r>
      <w:r w:rsidRPr="00C24ACA">
        <w:rPr>
          <w:rFonts w:eastAsiaTheme="minorEastAsia"/>
          <w:kern w:val="0"/>
          <w:szCs w:val="21"/>
        </w:rPr>
        <w:t>ETF</w:t>
      </w:r>
      <w:r w:rsidRPr="00C24ACA">
        <w:rPr>
          <w:rFonts w:eastAsiaTheme="minorEastAsia"/>
          <w:kern w:val="0"/>
          <w:szCs w:val="21"/>
        </w:rPr>
        <w:t>实现对业绩比较基准的紧密跟踪。因此，本基金的业绩表现与恒生中国企业指数的表现密切相关。此外，本基金通过主要投资于易方达恒生中国企业</w:t>
      </w:r>
      <w:r w:rsidRPr="00C24ACA">
        <w:rPr>
          <w:rFonts w:eastAsiaTheme="minorEastAsia"/>
          <w:kern w:val="0"/>
          <w:szCs w:val="21"/>
        </w:rPr>
        <w:t>ETF</w:t>
      </w:r>
      <w:r w:rsidRPr="00C24ACA">
        <w:rPr>
          <w:rFonts w:eastAsiaTheme="minorEastAsia"/>
          <w:kern w:val="0"/>
          <w:szCs w:val="21"/>
        </w:rPr>
        <w:t>间接投资于香港证券市场，需承担汇率风险以及境外市场的风险。</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6.4.13.2</w:t>
      </w:r>
      <w:r w:rsidRPr="00C24ACA">
        <w:rPr>
          <w:rFonts w:eastAsiaTheme="minorEastAsia"/>
          <w:b/>
          <w:bCs/>
          <w:color w:val="000000"/>
          <w:szCs w:val="21"/>
        </w:rPr>
        <w:t>信用风险</w:t>
      </w:r>
    </w:p>
    <w:p w:rsidR="00871824" w:rsidRDefault="00672BD5">
      <w:pPr>
        <w:tabs>
          <w:tab w:val="left" w:pos="426"/>
        </w:tabs>
        <w:spacing w:line="360" w:lineRule="auto"/>
        <w:ind w:firstLineChars="200" w:firstLine="420"/>
        <w:rPr>
          <w:kern w:val="0"/>
          <w:szCs w:val="21"/>
        </w:rPr>
      </w:pPr>
      <w:r>
        <w:rPr>
          <w:rFonts w:eastAsiaTheme="minorEastAsia"/>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392A2D" w:rsidRDefault="008A5A5D" w:rsidP="00392A2D">
      <w:pPr>
        <w:tabs>
          <w:tab w:val="left" w:pos="426"/>
        </w:tabs>
        <w:spacing w:line="360" w:lineRule="auto"/>
        <w:ind w:firstLineChars="200" w:firstLine="420"/>
        <w:rPr>
          <w:kern w:val="0"/>
          <w:szCs w:val="21"/>
        </w:rPr>
      </w:pPr>
      <w:r w:rsidRPr="00C24ACA">
        <w:rPr>
          <w:rFonts w:eastAsiaTheme="minorEastAsia"/>
          <w:kern w:val="0"/>
          <w:szCs w:val="21"/>
        </w:rPr>
        <w:t>于</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日，本基金持有的除国债、央行票据和政策性金融债以外的债券占基金资产净值的比例为</w:t>
      </w:r>
      <w:r w:rsidRPr="00C24ACA">
        <w:rPr>
          <w:rFonts w:eastAsiaTheme="minorEastAsia"/>
          <w:kern w:val="0"/>
          <w:szCs w:val="21"/>
        </w:rPr>
        <w:t>0.00%(2019</w:t>
      </w:r>
      <w:r w:rsidRPr="00C24ACA">
        <w:rPr>
          <w:rFonts w:eastAsiaTheme="minorEastAsia"/>
          <w:kern w:val="0"/>
          <w:szCs w:val="21"/>
        </w:rPr>
        <w:t>年</w:t>
      </w:r>
      <w:r w:rsidRPr="00C24ACA">
        <w:rPr>
          <w:rFonts w:eastAsiaTheme="minorEastAsia"/>
          <w:kern w:val="0"/>
          <w:szCs w:val="21"/>
        </w:rPr>
        <w:t>12</w:t>
      </w:r>
      <w:r w:rsidRPr="00C24ACA">
        <w:rPr>
          <w:rFonts w:eastAsiaTheme="minorEastAsia"/>
          <w:kern w:val="0"/>
          <w:szCs w:val="21"/>
        </w:rPr>
        <w:t>月</w:t>
      </w:r>
      <w:r w:rsidRPr="00C24ACA">
        <w:rPr>
          <w:rFonts w:eastAsiaTheme="minorEastAsia"/>
          <w:kern w:val="0"/>
          <w:szCs w:val="21"/>
        </w:rPr>
        <w:t>31</w:t>
      </w:r>
      <w:r w:rsidRPr="00C24ACA">
        <w:rPr>
          <w:rFonts w:eastAsiaTheme="minorEastAsia"/>
          <w:kern w:val="0"/>
          <w:szCs w:val="21"/>
        </w:rPr>
        <w:t>日：</w:t>
      </w:r>
      <w:r w:rsidRPr="00C24ACA">
        <w:rPr>
          <w:rFonts w:eastAsiaTheme="minorEastAsia"/>
          <w:kern w:val="0"/>
          <w:szCs w:val="21"/>
        </w:rPr>
        <w:t>0.00%)</w:t>
      </w:r>
      <w:r w:rsidRPr="00C24ACA">
        <w:rPr>
          <w:rFonts w:eastAsiaTheme="minorEastAsia"/>
          <w:kern w:val="0"/>
          <w:szCs w:val="21"/>
        </w:rPr>
        <w:t>。</w:t>
      </w:r>
    </w:p>
    <w:p w:rsidR="00392A2D" w:rsidRPr="003E69CF" w:rsidRDefault="00392A2D" w:rsidP="003E69CF">
      <w:pPr>
        <w:spacing w:beforeLines="100" w:before="312" w:line="360" w:lineRule="auto"/>
        <w:rPr>
          <w:rFonts w:eastAsiaTheme="minorEastAsia"/>
          <w:b/>
          <w:color w:val="000000"/>
          <w:szCs w:val="21"/>
        </w:rPr>
      </w:pPr>
      <w:r w:rsidRPr="003E69CF">
        <w:rPr>
          <w:rFonts w:eastAsiaTheme="minorEastAsia" w:hint="eastAsia"/>
          <w:b/>
          <w:color w:val="000000"/>
          <w:szCs w:val="21"/>
        </w:rPr>
        <w:t xml:space="preserve">6.4.13.2.1 </w:t>
      </w:r>
      <w:r w:rsidRPr="003E69CF">
        <w:rPr>
          <w:rFonts w:eastAsiaTheme="minorEastAsia" w:hint="eastAsia"/>
          <w:b/>
          <w:color w:val="000000"/>
          <w:szCs w:val="21"/>
        </w:rPr>
        <w:t>按短期信用评级列示的债券投资</w:t>
      </w:r>
    </w:p>
    <w:p w:rsidR="00392A2D" w:rsidRDefault="00392A2D" w:rsidP="00392A2D">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392A2D" w:rsidTr="00D0593F">
        <w:trPr>
          <w:jc w:val="center"/>
        </w:trPr>
        <w:tc>
          <w:tcPr>
            <w:tcW w:w="2552" w:type="dxa"/>
            <w:vAlign w:val="center"/>
            <w:hideMark/>
          </w:tcPr>
          <w:p w:rsidR="00392A2D" w:rsidRDefault="00392A2D">
            <w:pPr>
              <w:jc w:val="center"/>
              <w:rPr>
                <w:szCs w:val="21"/>
              </w:rPr>
            </w:pPr>
            <w:r>
              <w:rPr>
                <w:rFonts w:hint="eastAsia"/>
                <w:szCs w:val="21"/>
              </w:rPr>
              <w:t>短期信用评级</w:t>
            </w:r>
          </w:p>
        </w:tc>
        <w:tc>
          <w:tcPr>
            <w:tcW w:w="3045" w:type="dxa"/>
            <w:vAlign w:val="center"/>
            <w:hideMark/>
          </w:tcPr>
          <w:p w:rsidR="00392A2D" w:rsidRDefault="00392A2D">
            <w:pPr>
              <w:widowControl/>
              <w:autoSpaceDE w:val="0"/>
              <w:autoSpaceDN w:val="0"/>
              <w:ind w:right="-15"/>
              <w:jc w:val="center"/>
              <w:textAlignment w:val="bottom"/>
              <w:rPr>
                <w:szCs w:val="21"/>
              </w:rPr>
            </w:pPr>
            <w:r>
              <w:rPr>
                <w:rFonts w:hint="eastAsia"/>
                <w:szCs w:val="21"/>
              </w:rPr>
              <w:t>本期末</w:t>
            </w:r>
          </w:p>
          <w:p w:rsidR="00392A2D" w:rsidRDefault="00392A2D">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392A2D" w:rsidRDefault="00392A2D">
            <w:pPr>
              <w:widowControl/>
              <w:autoSpaceDE w:val="0"/>
              <w:autoSpaceDN w:val="0"/>
              <w:ind w:right="-15"/>
              <w:jc w:val="center"/>
              <w:textAlignment w:val="bottom"/>
              <w:rPr>
                <w:szCs w:val="21"/>
              </w:rPr>
            </w:pPr>
            <w:r>
              <w:rPr>
                <w:rFonts w:hint="eastAsia"/>
                <w:szCs w:val="21"/>
              </w:rPr>
              <w:t>上年度末</w:t>
            </w:r>
          </w:p>
          <w:p w:rsidR="00392A2D" w:rsidRDefault="00392A2D">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392A2D" w:rsidTr="00D0593F">
        <w:trPr>
          <w:jc w:val="center"/>
        </w:trPr>
        <w:tc>
          <w:tcPr>
            <w:tcW w:w="2552" w:type="dxa"/>
            <w:vAlign w:val="center"/>
            <w:hideMark/>
          </w:tcPr>
          <w:p w:rsidR="00392A2D" w:rsidRDefault="00392A2D">
            <w:pPr>
              <w:rPr>
                <w:szCs w:val="21"/>
              </w:rPr>
            </w:pPr>
            <w:r>
              <w:rPr>
                <w:szCs w:val="21"/>
              </w:rPr>
              <w:t>A-1</w:t>
            </w:r>
          </w:p>
        </w:tc>
        <w:tc>
          <w:tcPr>
            <w:tcW w:w="3045" w:type="dxa"/>
            <w:vAlign w:val="center"/>
            <w:hideMark/>
          </w:tcPr>
          <w:p w:rsidR="00392A2D" w:rsidRDefault="00392A2D">
            <w:pPr>
              <w:jc w:val="right"/>
              <w:rPr>
                <w:szCs w:val="21"/>
              </w:rPr>
            </w:pPr>
            <w:r>
              <w:rPr>
                <w:szCs w:val="21"/>
              </w:rPr>
              <w:t>0.00</w:t>
            </w:r>
          </w:p>
        </w:tc>
        <w:tc>
          <w:tcPr>
            <w:tcW w:w="3043" w:type="dxa"/>
            <w:vAlign w:val="center"/>
            <w:hideMark/>
          </w:tcPr>
          <w:p w:rsidR="00392A2D" w:rsidRDefault="00392A2D">
            <w:pPr>
              <w:jc w:val="right"/>
              <w:rPr>
                <w:szCs w:val="21"/>
              </w:rPr>
            </w:pPr>
            <w:r>
              <w:rPr>
                <w:szCs w:val="21"/>
              </w:rPr>
              <w:t>0.00</w:t>
            </w:r>
          </w:p>
        </w:tc>
      </w:tr>
      <w:tr w:rsidR="00392A2D" w:rsidTr="00D0593F">
        <w:trPr>
          <w:jc w:val="center"/>
        </w:trPr>
        <w:tc>
          <w:tcPr>
            <w:tcW w:w="2552" w:type="dxa"/>
            <w:vAlign w:val="center"/>
            <w:hideMark/>
          </w:tcPr>
          <w:p w:rsidR="00392A2D" w:rsidRDefault="00392A2D">
            <w:pPr>
              <w:rPr>
                <w:szCs w:val="21"/>
              </w:rPr>
            </w:pPr>
            <w:r>
              <w:rPr>
                <w:szCs w:val="21"/>
              </w:rPr>
              <w:t>A-1</w:t>
            </w:r>
            <w:r>
              <w:rPr>
                <w:rFonts w:hint="eastAsia"/>
                <w:szCs w:val="21"/>
              </w:rPr>
              <w:t>以下</w:t>
            </w:r>
          </w:p>
        </w:tc>
        <w:tc>
          <w:tcPr>
            <w:tcW w:w="3045" w:type="dxa"/>
            <w:vAlign w:val="center"/>
            <w:hideMark/>
          </w:tcPr>
          <w:p w:rsidR="00392A2D" w:rsidRDefault="00392A2D">
            <w:pPr>
              <w:jc w:val="right"/>
              <w:rPr>
                <w:szCs w:val="21"/>
              </w:rPr>
            </w:pPr>
            <w:r>
              <w:rPr>
                <w:szCs w:val="21"/>
              </w:rPr>
              <w:t>0.00</w:t>
            </w:r>
          </w:p>
        </w:tc>
        <w:tc>
          <w:tcPr>
            <w:tcW w:w="3043" w:type="dxa"/>
            <w:vAlign w:val="center"/>
            <w:hideMark/>
          </w:tcPr>
          <w:p w:rsidR="00392A2D" w:rsidRDefault="00392A2D">
            <w:pPr>
              <w:jc w:val="right"/>
              <w:rPr>
                <w:szCs w:val="21"/>
              </w:rPr>
            </w:pPr>
            <w:r>
              <w:rPr>
                <w:szCs w:val="21"/>
              </w:rPr>
              <w:t>0.00</w:t>
            </w:r>
          </w:p>
        </w:tc>
      </w:tr>
      <w:tr w:rsidR="00392A2D" w:rsidTr="00D0593F">
        <w:trPr>
          <w:jc w:val="center"/>
        </w:trPr>
        <w:tc>
          <w:tcPr>
            <w:tcW w:w="2552" w:type="dxa"/>
            <w:vAlign w:val="center"/>
            <w:hideMark/>
          </w:tcPr>
          <w:p w:rsidR="00392A2D" w:rsidRDefault="00392A2D">
            <w:pPr>
              <w:rPr>
                <w:szCs w:val="21"/>
              </w:rPr>
            </w:pPr>
            <w:r>
              <w:rPr>
                <w:rFonts w:hint="eastAsia"/>
                <w:kern w:val="0"/>
                <w:szCs w:val="21"/>
              </w:rPr>
              <w:t>未评级</w:t>
            </w:r>
          </w:p>
        </w:tc>
        <w:tc>
          <w:tcPr>
            <w:tcW w:w="3045" w:type="dxa"/>
            <w:vAlign w:val="center"/>
            <w:hideMark/>
          </w:tcPr>
          <w:p w:rsidR="00392A2D" w:rsidRDefault="00392A2D">
            <w:pPr>
              <w:jc w:val="right"/>
              <w:rPr>
                <w:szCs w:val="21"/>
              </w:rPr>
            </w:pPr>
            <w:r>
              <w:rPr>
                <w:szCs w:val="21"/>
              </w:rPr>
              <w:t>0.00</w:t>
            </w:r>
          </w:p>
        </w:tc>
        <w:tc>
          <w:tcPr>
            <w:tcW w:w="3043" w:type="dxa"/>
            <w:vAlign w:val="center"/>
            <w:hideMark/>
          </w:tcPr>
          <w:p w:rsidR="00392A2D" w:rsidRDefault="00392A2D">
            <w:pPr>
              <w:jc w:val="right"/>
              <w:rPr>
                <w:szCs w:val="21"/>
              </w:rPr>
            </w:pPr>
            <w:r>
              <w:rPr>
                <w:szCs w:val="21"/>
              </w:rPr>
              <w:t>0.00</w:t>
            </w:r>
          </w:p>
        </w:tc>
      </w:tr>
      <w:tr w:rsidR="00392A2D" w:rsidTr="00D0593F">
        <w:trPr>
          <w:jc w:val="center"/>
        </w:trPr>
        <w:tc>
          <w:tcPr>
            <w:tcW w:w="2552" w:type="dxa"/>
            <w:vAlign w:val="center"/>
            <w:hideMark/>
          </w:tcPr>
          <w:p w:rsidR="00392A2D" w:rsidRDefault="00392A2D">
            <w:pPr>
              <w:rPr>
                <w:szCs w:val="21"/>
              </w:rPr>
            </w:pPr>
            <w:r>
              <w:rPr>
                <w:rFonts w:hint="eastAsia"/>
                <w:kern w:val="0"/>
                <w:szCs w:val="21"/>
              </w:rPr>
              <w:t>合计</w:t>
            </w:r>
          </w:p>
        </w:tc>
        <w:tc>
          <w:tcPr>
            <w:tcW w:w="3045" w:type="dxa"/>
            <w:vAlign w:val="center"/>
            <w:hideMark/>
          </w:tcPr>
          <w:p w:rsidR="00392A2D" w:rsidRDefault="00392A2D">
            <w:pPr>
              <w:jc w:val="right"/>
              <w:rPr>
                <w:szCs w:val="21"/>
              </w:rPr>
            </w:pPr>
            <w:r>
              <w:rPr>
                <w:szCs w:val="21"/>
              </w:rPr>
              <w:t>0.00</w:t>
            </w:r>
          </w:p>
        </w:tc>
        <w:tc>
          <w:tcPr>
            <w:tcW w:w="3043" w:type="dxa"/>
            <w:vAlign w:val="center"/>
            <w:hideMark/>
          </w:tcPr>
          <w:p w:rsidR="00392A2D" w:rsidRDefault="00392A2D">
            <w:pPr>
              <w:jc w:val="right"/>
              <w:rPr>
                <w:szCs w:val="21"/>
              </w:rPr>
            </w:pPr>
            <w:r>
              <w:rPr>
                <w:szCs w:val="21"/>
              </w:rPr>
              <w:t>0.00</w:t>
            </w:r>
          </w:p>
        </w:tc>
      </w:tr>
    </w:tbl>
    <w:p w:rsidR="00871824" w:rsidRDefault="00672BD5">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871824" w:rsidRDefault="00672BD5">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392A2D" w:rsidRDefault="00392A2D" w:rsidP="00392A2D">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392A2D" w:rsidRPr="003E69CF" w:rsidRDefault="00392A2D" w:rsidP="003E69CF">
      <w:pPr>
        <w:spacing w:beforeLines="100" w:before="312" w:line="360" w:lineRule="auto"/>
        <w:rPr>
          <w:rFonts w:eastAsiaTheme="minorEastAsia"/>
          <w:b/>
          <w:color w:val="000000"/>
          <w:szCs w:val="21"/>
        </w:rPr>
      </w:pPr>
      <w:r w:rsidRPr="003E69CF">
        <w:rPr>
          <w:rFonts w:eastAsiaTheme="minorEastAsia" w:hint="eastAsia"/>
          <w:b/>
          <w:color w:val="000000"/>
          <w:szCs w:val="21"/>
        </w:rPr>
        <w:t xml:space="preserve">6.4.13.2.2 </w:t>
      </w:r>
      <w:r w:rsidRPr="003E69CF">
        <w:rPr>
          <w:rFonts w:eastAsiaTheme="minorEastAsia" w:hint="eastAsia"/>
          <w:b/>
          <w:color w:val="000000"/>
          <w:szCs w:val="21"/>
        </w:rPr>
        <w:t>按短期信用评级列示的资产支持证券投资</w:t>
      </w:r>
    </w:p>
    <w:p w:rsidR="00392A2D" w:rsidRDefault="00392A2D" w:rsidP="00392A2D">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392A2D" w:rsidTr="00D0593F">
        <w:trPr>
          <w:jc w:val="center"/>
        </w:trPr>
        <w:tc>
          <w:tcPr>
            <w:tcW w:w="2552" w:type="dxa"/>
            <w:vAlign w:val="center"/>
            <w:hideMark/>
          </w:tcPr>
          <w:p w:rsidR="00392A2D" w:rsidRDefault="00392A2D">
            <w:pPr>
              <w:jc w:val="center"/>
              <w:rPr>
                <w:rFonts w:eastAsiaTheme="minorEastAsia"/>
                <w:szCs w:val="21"/>
              </w:rPr>
            </w:pPr>
            <w:r>
              <w:rPr>
                <w:rFonts w:eastAsiaTheme="minorEastAsia" w:hint="eastAsia"/>
                <w:szCs w:val="21"/>
              </w:rPr>
              <w:t>短期信用评级</w:t>
            </w:r>
          </w:p>
        </w:tc>
        <w:tc>
          <w:tcPr>
            <w:tcW w:w="3049" w:type="dxa"/>
            <w:hideMark/>
          </w:tcPr>
          <w:p w:rsidR="00392A2D" w:rsidRDefault="00392A2D">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392A2D" w:rsidRDefault="00392A2D">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392A2D" w:rsidRDefault="00392A2D">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392A2D" w:rsidRDefault="00392A2D">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392A2D" w:rsidTr="00D0593F">
        <w:trPr>
          <w:jc w:val="center"/>
        </w:trPr>
        <w:tc>
          <w:tcPr>
            <w:tcW w:w="2552" w:type="dxa"/>
            <w:hideMark/>
          </w:tcPr>
          <w:p w:rsidR="00392A2D" w:rsidRDefault="00392A2D">
            <w:pPr>
              <w:rPr>
                <w:rFonts w:eastAsiaTheme="minorEastAsia"/>
                <w:szCs w:val="21"/>
              </w:rPr>
            </w:pPr>
            <w:r>
              <w:rPr>
                <w:rFonts w:eastAsiaTheme="minorEastAsia"/>
                <w:szCs w:val="21"/>
              </w:rPr>
              <w:t>A-1</w:t>
            </w:r>
          </w:p>
        </w:tc>
        <w:tc>
          <w:tcPr>
            <w:tcW w:w="3049"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2552" w:type="dxa"/>
            <w:hideMark/>
          </w:tcPr>
          <w:p w:rsidR="00392A2D" w:rsidRDefault="00392A2D">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2552" w:type="dxa"/>
            <w:vAlign w:val="center"/>
            <w:hideMark/>
          </w:tcPr>
          <w:p w:rsidR="00392A2D" w:rsidRDefault="00392A2D">
            <w:pPr>
              <w:rPr>
                <w:rFonts w:eastAsiaTheme="minorEastAsia"/>
                <w:szCs w:val="21"/>
              </w:rPr>
            </w:pPr>
            <w:r>
              <w:rPr>
                <w:rFonts w:eastAsiaTheme="minorEastAsia" w:hint="eastAsia"/>
                <w:kern w:val="0"/>
                <w:szCs w:val="21"/>
              </w:rPr>
              <w:t>未评级</w:t>
            </w:r>
          </w:p>
        </w:tc>
        <w:tc>
          <w:tcPr>
            <w:tcW w:w="3049"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2552" w:type="dxa"/>
            <w:vAlign w:val="center"/>
            <w:hideMark/>
          </w:tcPr>
          <w:p w:rsidR="00392A2D" w:rsidRDefault="00392A2D">
            <w:pPr>
              <w:rPr>
                <w:rFonts w:eastAsiaTheme="minorEastAsia"/>
                <w:szCs w:val="21"/>
              </w:rPr>
            </w:pPr>
            <w:r>
              <w:rPr>
                <w:rFonts w:eastAsiaTheme="minorEastAsia" w:hint="eastAsia"/>
                <w:kern w:val="0"/>
                <w:szCs w:val="21"/>
              </w:rPr>
              <w:t>合计</w:t>
            </w:r>
          </w:p>
        </w:tc>
        <w:tc>
          <w:tcPr>
            <w:tcW w:w="3049"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bl>
    <w:p w:rsidR="00392A2D" w:rsidRDefault="00392A2D" w:rsidP="003E69CF">
      <w:pPr>
        <w:spacing w:beforeLines="100" w:before="312" w:line="360" w:lineRule="auto"/>
        <w:rPr>
          <w:rFonts w:ascii="宋体"/>
          <w:b/>
          <w:bCs/>
          <w:color w:val="000000"/>
          <w:szCs w:val="21"/>
        </w:rPr>
      </w:pPr>
      <w:r w:rsidRPr="003E69CF">
        <w:rPr>
          <w:rFonts w:eastAsiaTheme="minorEastAsia" w:hint="eastAsia"/>
          <w:b/>
          <w:color w:val="000000"/>
          <w:szCs w:val="21"/>
        </w:rPr>
        <w:t xml:space="preserve">6.4.13.2.3 </w:t>
      </w:r>
      <w:r w:rsidRPr="003E69CF">
        <w:rPr>
          <w:rFonts w:eastAsiaTheme="minorEastAsia" w:hint="eastAsia"/>
          <w:b/>
          <w:color w:val="000000"/>
          <w:szCs w:val="21"/>
        </w:rPr>
        <w:t>按短期信用评级列示的同业存单投资</w:t>
      </w:r>
    </w:p>
    <w:p w:rsidR="00392A2D" w:rsidRDefault="00392A2D" w:rsidP="00392A2D">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392A2D" w:rsidTr="00D0593F">
        <w:trPr>
          <w:jc w:val="center"/>
        </w:trPr>
        <w:tc>
          <w:tcPr>
            <w:tcW w:w="2624" w:type="dxa"/>
            <w:vAlign w:val="center"/>
            <w:hideMark/>
          </w:tcPr>
          <w:p w:rsidR="00392A2D" w:rsidRDefault="00392A2D">
            <w:pPr>
              <w:jc w:val="center"/>
              <w:rPr>
                <w:rFonts w:eastAsiaTheme="minorEastAsia"/>
                <w:szCs w:val="21"/>
              </w:rPr>
            </w:pPr>
            <w:r>
              <w:rPr>
                <w:rFonts w:eastAsiaTheme="minorEastAsia" w:hint="eastAsia"/>
                <w:szCs w:val="21"/>
              </w:rPr>
              <w:t>短期信用评级</w:t>
            </w:r>
          </w:p>
        </w:tc>
        <w:tc>
          <w:tcPr>
            <w:tcW w:w="2977" w:type="dxa"/>
            <w:hideMark/>
          </w:tcPr>
          <w:p w:rsidR="00392A2D" w:rsidRDefault="00392A2D">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392A2D" w:rsidRDefault="00392A2D">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392A2D" w:rsidRDefault="00392A2D">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392A2D" w:rsidRDefault="00392A2D">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392A2D" w:rsidTr="00D0593F">
        <w:trPr>
          <w:jc w:val="center"/>
        </w:trPr>
        <w:tc>
          <w:tcPr>
            <w:tcW w:w="2624" w:type="dxa"/>
            <w:hideMark/>
          </w:tcPr>
          <w:p w:rsidR="00392A2D" w:rsidRDefault="00392A2D">
            <w:pPr>
              <w:rPr>
                <w:rFonts w:eastAsiaTheme="minorEastAsia"/>
                <w:szCs w:val="21"/>
              </w:rPr>
            </w:pPr>
            <w:r>
              <w:rPr>
                <w:rFonts w:eastAsiaTheme="minorEastAsia"/>
                <w:szCs w:val="21"/>
              </w:rPr>
              <w:t>A-1</w:t>
            </w:r>
          </w:p>
        </w:tc>
        <w:tc>
          <w:tcPr>
            <w:tcW w:w="2977"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2624" w:type="dxa"/>
            <w:hideMark/>
          </w:tcPr>
          <w:p w:rsidR="00392A2D" w:rsidRDefault="00392A2D">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2624" w:type="dxa"/>
            <w:vAlign w:val="center"/>
            <w:hideMark/>
          </w:tcPr>
          <w:p w:rsidR="00392A2D" w:rsidRDefault="00392A2D">
            <w:pPr>
              <w:rPr>
                <w:rFonts w:eastAsiaTheme="minorEastAsia"/>
                <w:szCs w:val="21"/>
              </w:rPr>
            </w:pPr>
            <w:r>
              <w:rPr>
                <w:rFonts w:eastAsiaTheme="minorEastAsia" w:hint="eastAsia"/>
                <w:kern w:val="0"/>
                <w:szCs w:val="21"/>
              </w:rPr>
              <w:t>未评级</w:t>
            </w:r>
          </w:p>
        </w:tc>
        <w:tc>
          <w:tcPr>
            <w:tcW w:w="2977"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2624" w:type="dxa"/>
            <w:vAlign w:val="center"/>
            <w:hideMark/>
          </w:tcPr>
          <w:p w:rsidR="00392A2D" w:rsidRDefault="00392A2D">
            <w:pPr>
              <w:rPr>
                <w:rFonts w:eastAsiaTheme="minorEastAsia"/>
                <w:szCs w:val="21"/>
              </w:rPr>
            </w:pPr>
            <w:r>
              <w:rPr>
                <w:rFonts w:eastAsiaTheme="minorEastAsia" w:hint="eastAsia"/>
                <w:kern w:val="0"/>
                <w:szCs w:val="21"/>
              </w:rPr>
              <w:t>合计</w:t>
            </w:r>
          </w:p>
        </w:tc>
        <w:tc>
          <w:tcPr>
            <w:tcW w:w="2977"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bl>
    <w:p w:rsidR="00392A2D" w:rsidRDefault="00392A2D" w:rsidP="003E69CF">
      <w:pPr>
        <w:spacing w:beforeLines="100" w:before="312" w:line="360" w:lineRule="auto"/>
        <w:rPr>
          <w:rFonts w:ascii="宋体"/>
          <w:b/>
          <w:bCs/>
          <w:color w:val="000000"/>
          <w:szCs w:val="21"/>
        </w:rPr>
      </w:pPr>
      <w:r w:rsidRPr="003E69CF">
        <w:rPr>
          <w:rFonts w:eastAsiaTheme="minorEastAsia" w:hint="eastAsia"/>
          <w:b/>
          <w:color w:val="000000"/>
          <w:szCs w:val="21"/>
        </w:rPr>
        <w:t xml:space="preserve">6.4.13.2.4 </w:t>
      </w:r>
      <w:r w:rsidRPr="003E69CF">
        <w:rPr>
          <w:rFonts w:eastAsiaTheme="minorEastAsia" w:hint="eastAsia"/>
          <w:b/>
          <w:color w:val="000000"/>
          <w:szCs w:val="21"/>
        </w:rPr>
        <w:t>按长期信用评级列示的债券投资</w:t>
      </w:r>
    </w:p>
    <w:p w:rsidR="00392A2D" w:rsidRDefault="00392A2D" w:rsidP="00392A2D">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392A2D" w:rsidTr="00D0593F">
        <w:tc>
          <w:tcPr>
            <w:tcW w:w="2655" w:type="dxa"/>
            <w:vAlign w:val="center"/>
            <w:hideMark/>
          </w:tcPr>
          <w:p w:rsidR="00392A2D" w:rsidRDefault="00392A2D">
            <w:pPr>
              <w:jc w:val="center"/>
              <w:rPr>
                <w:szCs w:val="21"/>
              </w:rPr>
            </w:pPr>
            <w:r>
              <w:rPr>
                <w:rFonts w:hint="eastAsia"/>
                <w:szCs w:val="21"/>
              </w:rPr>
              <w:t>长期信用评级</w:t>
            </w:r>
          </w:p>
        </w:tc>
        <w:tc>
          <w:tcPr>
            <w:tcW w:w="2977" w:type="dxa"/>
            <w:vAlign w:val="center"/>
            <w:hideMark/>
          </w:tcPr>
          <w:p w:rsidR="00392A2D" w:rsidRDefault="00392A2D">
            <w:pPr>
              <w:widowControl/>
              <w:autoSpaceDE w:val="0"/>
              <w:autoSpaceDN w:val="0"/>
              <w:ind w:right="-15"/>
              <w:jc w:val="center"/>
              <w:textAlignment w:val="bottom"/>
              <w:rPr>
                <w:szCs w:val="21"/>
              </w:rPr>
            </w:pPr>
            <w:r>
              <w:rPr>
                <w:rFonts w:hint="eastAsia"/>
                <w:szCs w:val="21"/>
              </w:rPr>
              <w:t>本期末</w:t>
            </w:r>
          </w:p>
          <w:p w:rsidR="00392A2D" w:rsidRDefault="00392A2D">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392A2D" w:rsidRDefault="00392A2D">
            <w:pPr>
              <w:widowControl/>
              <w:autoSpaceDE w:val="0"/>
              <w:autoSpaceDN w:val="0"/>
              <w:ind w:right="-15"/>
              <w:jc w:val="center"/>
              <w:textAlignment w:val="bottom"/>
              <w:rPr>
                <w:szCs w:val="21"/>
              </w:rPr>
            </w:pPr>
            <w:r>
              <w:rPr>
                <w:rFonts w:hint="eastAsia"/>
                <w:szCs w:val="21"/>
              </w:rPr>
              <w:t>上年度末</w:t>
            </w:r>
          </w:p>
          <w:p w:rsidR="00392A2D" w:rsidRDefault="00392A2D">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392A2D" w:rsidTr="00D0593F">
        <w:tc>
          <w:tcPr>
            <w:tcW w:w="2655" w:type="dxa"/>
            <w:vAlign w:val="center"/>
            <w:hideMark/>
          </w:tcPr>
          <w:p w:rsidR="00392A2D" w:rsidRDefault="00392A2D">
            <w:pPr>
              <w:rPr>
                <w:szCs w:val="21"/>
              </w:rPr>
            </w:pPr>
            <w:r>
              <w:rPr>
                <w:szCs w:val="21"/>
              </w:rPr>
              <w:t>AAA</w:t>
            </w:r>
          </w:p>
        </w:tc>
        <w:tc>
          <w:tcPr>
            <w:tcW w:w="2977" w:type="dxa"/>
            <w:vAlign w:val="center"/>
            <w:hideMark/>
          </w:tcPr>
          <w:p w:rsidR="00392A2D" w:rsidRDefault="00392A2D">
            <w:pPr>
              <w:jc w:val="right"/>
              <w:rPr>
                <w:szCs w:val="21"/>
              </w:rPr>
            </w:pPr>
            <w:r>
              <w:rPr>
                <w:szCs w:val="21"/>
              </w:rPr>
              <w:t>0.00</w:t>
            </w:r>
          </w:p>
        </w:tc>
        <w:tc>
          <w:tcPr>
            <w:tcW w:w="3008" w:type="dxa"/>
            <w:vAlign w:val="center"/>
            <w:hideMark/>
          </w:tcPr>
          <w:p w:rsidR="00392A2D" w:rsidRDefault="00392A2D">
            <w:pPr>
              <w:jc w:val="right"/>
              <w:rPr>
                <w:szCs w:val="21"/>
              </w:rPr>
            </w:pPr>
            <w:r>
              <w:rPr>
                <w:szCs w:val="21"/>
              </w:rPr>
              <w:t>0.00</w:t>
            </w:r>
          </w:p>
        </w:tc>
      </w:tr>
      <w:tr w:rsidR="00392A2D" w:rsidTr="00D0593F">
        <w:tc>
          <w:tcPr>
            <w:tcW w:w="2655" w:type="dxa"/>
            <w:vAlign w:val="center"/>
            <w:hideMark/>
          </w:tcPr>
          <w:p w:rsidR="00392A2D" w:rsidRDefault="00392A2D">
            <w:pPr>
              <w:rPr>
                <w:szCs w:val="21"/>
              </w:rPr>
            </w:pPr>
            <w:r>
              <w:rPr>
                <w:szCs w:val="21"/>
              </w:rPr>
              <w:t>AAA</w:t>
            </w:r>
            <w:r>
              <w:rPr>
                <w:rFonts w:hint="eastAsia"/>
                <w:szCs w:val="21"/>
              </w:rPr>
              <w:t>以下</w:t>
            </w:r>
          </w:p>
        </w:tc>
        <w:tc>
          <w:tcPr>
            <w:tcW w:w="2977" w:type="dxa"/>
            <w:vAlign w:val="center"/>
            <w:hideMark/>
          </w:tcPr>
          <w:p w:rsidR="00392A2D" w:rsidRDefault="00392A2D">
            <w:pPr>
              <w:jc w:val="right"/>
              <w:rPr>
                <w:szCs w:val="21"/>
              </w:rPr>
            </w:pPr>
            <w:r>
              <w:rPr>
                <w:szCs w:val="21"/>
              </w:rPr>
              <w:t>0.00</w:t>
            </w:r>
          </w:p>
        </w:tc>
        <w:tc>
          <w:tcPr>
            <w:tcW w:w="3008" w:type="dxa"/>
            <w:vAlign w:val="center"/>
            <w:hideMark/>
          </w:tcPr>
          <w:p w:rsidR="00392A2D" w:rsidRDefault="00392A2D">
            <w:pPr>
              <w:jc w:val="right"/>
              <w:rPr>
                <w:szCs w:val="21"/>
              </w:rPr>
            </w:pPr>
            <w:r>
              <w:rPr>
                <w:szCs w:val="21"/>
              </w:rPr>
              <w:t>0.00</w:t>
            </w:r>
          </w:p>
        </w:tc>
      </w:tr>
      <w:tr w:rsidR="00392A2D" w:rsidTr="00D0593F">
        <w:tc>
          <w:tcPr>
            <w:tcW w:w="2655" w:type="dxa"/>
            <w:vAlign w:val="center"/>
            <w:hideMark/>
          </w:tcPr>
          <w:p w:rsidR="00392A2D" w:rsidRDefault="00392A2D">
            <w:pPr>
              <w:rPr>
                <w:szCs w:val="21"/>
              </w:rPr>
            </w:pPr>
            <w:r>
              <w:rPr>
                <w:rFonts w:hint="eastAsia"/>
                <w:kern w:val="0"/>
                <w:szCs w:val="21"/>
              </w:rPr>
              <w:t>未评级</w:t>
            </w:r>
          </w:p>
        </w:tc>
        <w:tc>
          <w:tcPr>
            <w:tcW w:w="2977" w:type="dxa"/>
            <w:vAlign w:val="center"/>
            <w:hideMark/>
          </w:tcPr>
          <w:p w:rsidR="00392A2D" w:rsidRDefault="00392A2D">
            <w:pPr>
              <w:jc w:val="right"/>
              <w:rPr>
                <w:szCs w:val="21"/>
              </w:rPr>
            </w:pPr>
            <w:r>
              <w:rPr>
                <w:szCs w:val="21"/>
              </w:rPr>
              <w:t>0.00</w:t>
            </w:r>
          </w:p>
        </w:tc>
        <w:tc>
          <w:tcPr>
            <w:tcW w:w="3008" w:type="dxa"/>
            <w:vAlign w:val="center"/>
            <w:hideMark/>
          </w:tcPr>
          <w:p w:rsidR="00392A2D" w:rsidRDefault="00392A2D">
            <w:pPr>
              <w:jc w:val="right"/>
              <w:rPr>
                <w:szCs w:val="21"/>
              </w:rPr>
            </w:pPr>
            <w:r>
              <w:rPr>
                <w:szCs w:val="21"/>
              </w:rPr>
              <w:t>0.00</w:t>
            </w:r>
          </w:p>
        </w:tc>
      </w:tr>
      <w:tr w:rsidR="00392A2D" w:rsidTr="00D0593F">
        <w:tc>
          <w:tcPr>
            <w:tcW w:w="2655" w:type="dxa"/>
            <w:vAlign w:val="center"/>
            <w:hideMark/>
          </w:tcPr>
          <w:p w:rsidR="00392A2D" w:rsidRDefault="00392A2D">
            <w:pPr>
              <w:rPr>
                <w:kern w:val="0"/>
                <w:szCs w:val="21"/>
              </w:rPr>
            </w:pPr>
            <w:r>
              <w:rPr>
                <w:rFonts w:hint="eastAsia"/>
                <w:kern w:val="0"/>
                <w:szCs w:val="21"/>
              </w:rPr>
              <w:t>合计</w:t>
            </w:r>
          </w:p>
        </w:tc>
        <w:tc>
          <w:tcPr>
            <w:tcW w:w="2977" w:type="dxa"/>
            <w:vAlign w:val="center"/>
            <w:hideMark/>
          </w:tcPr>
          <w:p w:rsidR="00392A2D" w:rsidRDefault="00392A2D">
            <w:pPr>
              <w:jc w:val="right"/>
              <w:rPr>
                <w:szCs w:val="21"/>
              </w:rPr>
            </w:pPr>
            <w:r>
              <w:rPr>
                <w:szCs w:val="21"/>
              </w:rPr>
              <w:t>0.00</w:t>
            </w:r>
          </w:p>
        </w:tc>
        <w:tc>
          <w:tcPr>
            <w:tcW w:w="3008" w:type="dxa"/>
            <w:vAlign w:val="center"/>
            <w:hideMark/>
          </w:tcPr>
          <w:p w:rsidR="00392A2D" w:rsidRDefault="00392A2D">
            <w:pPr>
              <w:jc w:val="right"/>
              <w:rPr>
                <w:szCs w:val="21"/>
              </w:rPr>
            </w:pPr>
            <w:r>
              <w:rPr>
                <w:szCs w:val="21"/>
              </w:rPr>
              <w:t>0.00</w:t>
            </w:r>
          </w:p>
        </w:tc>
      </w:tr>
    </w:tbl>
    <w:p w:rsidR="00871824" w:rsidRDefault="00672BD5">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871824" w:rsidRDefault="00672BD5">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392A2D" w:rsidRDefault="00392A2D" w:rsidP="00392A2D">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392A2D" w:rsidRDefault="00392A2D" w:rsidP="003E69CF">
      <w:pPr>
        <w:spacing w:beforeLines="100" w:before="312" w:line="360" w:lineRule="auto"/>
        <w:rPr>
          <w:rFonts w:ascii="宋体"/>
          <w:b/>
          <w:bCs/>
          <w:color w:val="000000"/>
          <w:szCs w:val="21"/>
        </w:rPr>
      </w:pPr>
      <w:r w:rsidRPr="003E69CF">
        <w:rPr>
          <w:rFonts w:eastAsiaTheme="minorEastAsia" w:hint="eastAsia"/>
          <w:b/>
          <w:color w:val="000000"/>
          <w:szCs w:val="21"/>
        </w:rPr>
        <w:t xml:space="preserve">6.4.13.2.5 </w:t>
      </w:r>
      <w:r w:rsidRPr="003E69CF">
        <w:rPr>
          <w:rFonts w:eastAsiaTheme="minorEastAsia" w:hint="eastAsia"/>
          <w:b/>
          <w:color w:val="000000"/>
          <w:szCs w:val="21"/>
        </w:rPr>
        <w:t>按长期信用评级列示的资产支持证券投资</w:t>
      </w:r>
    </w:p>
    <w:p w:rsidR="00392A2D" w:rsidRDefault="00392A2D" w:rsidP="00392A2D">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392A2D" w:rsidTr="00D0593F">
        <w:trPr>
          <w:jc w:val="center"/>
        </w:trPr>
        <w:tc>
          <w:tcPr>
            <w:tcW w:w="2624" w:type="dxa"/>
            <w:vAlign w:val="center"/>
            <w:hideMark/>
          </w:tcPr>
          <w:p w:rsidR="00392A2D" w:rsidRDefault="00392A2D">
            <w:pPr>
              <w:jc w:val="center"/>
              <w:rPr>
                <w:rFonts w:eastAsiaTheme="minorEastAsia"/>
                <w:szCs w:val="21"/>
              </w:rPr>
            </w:pPr>
            <w:r>
              <w:rPr>
                <w:rFonts w:eastAsiaTheme="minorEastAsia" w:hint="eastAsia"/>
                <w:szCs w:val="21"/>
              </w:rPr>
              <w:t>长期信用评级</w:t>
            </w:r>
          </w:p>
        </w:tc>
        <w:tc>
          <w:tcPr>
            <w:tcW w:w="2977" w:type="dxa"/>
            <w:hideMark/>
          </w:tcPr>
          <w:p w:rsidR="00392A2D" w:rsidRDefault="00392A2D">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392A2D" w:rsidRDefault="00392A2D">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392A2D" w:rsidRDefault="00392A2D">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392A2D" w:rsidRDefault="00392A2D">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392A2D" w:rsidTr="00D0593F">
        <w:trPr>
          <w:jc w:val="center"/>
        </w:trPr>
        <w:tc>
          <w:tcPr>
            <w:tcW w:w="2624" w:type="dxa"/>
            <w:hideMark/>
          </w:tcPr>
          <w:p w:rsidR="00392A2D" w:rsidRDefault="00392A2D">
            <w:pPr>
              <w:rPr>
                <w:rFonts w:eastAsiaTheme="minorEastAsia"/>
                <w:szCs w:val="21"/>
              </w:rPr>
            </w:pPr>
            <w:r>
              <w:rPr>
                <w:rFonts w:eastAsiaTheme="minorEastAsia"/>
                <w:szCs w:val="21"/>
              </w:rPr>
              <w:t>AAA</w:t>
            </w:r>
          </w:p>
        </w:tc>
        <w:tc>
          <w:tcPr>
            <w:tcW w:w="2977"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2624" w:type="dxa"/>
            <w:hideMark/>
          </w:tcPr>
          <w:p w:rsidR="00392A2D" w:rsidRDefault="00392A2D">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2624" w:type="dxa"/>
            <w:vAlign w:val="center"/>
            <w:hideMark/>
          </w:tcPr>
          <w:p w:rsidR="00392A2D" w:rsidRDefault="00392A2D">
            <w:pPr>
              <w:rPr>
                <w:rFonts w:eastAsiaTheme="minorEastAsia"/>
                <w:szCs w:val="21"/>
              </w:rPr>
            </w:pPr>
            <w:r>
              <w:rPr>
                <w:rFonts w:eastAsiaTheme="minorEastAsia" w:hint="eastAsia"/>
                <w:kern w:val="0"/>
                <w:szCs w:val="21"/>
              </w:rPr>
              <w:t>未评级</w:t>
            </w:r>
          </w:p>
        </w:tc>
        <w:tc>
          <w:tcPr>
            <w:tcW w:w="2977"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2624" w:type="dxa"/>
            <w:vAlign w:val="center"/>
            <w:hideMark/>
          </w:tcPr>
          <w:p w:rsidR="00392A2D" w:rsidRDefault="00392A2D">
            <w:pPr>
              <w:rPr>
                <w:rFonts w:eastAsiaTheme="minorEastAsia"/>
                <w:kern w:val="0"/>
                <w:szCs w:val="21"/>
              </w:rPr>
            </w:pPr>
            <w:r>
              <w:rPr>
                <w:rFonts w:eastAsiaTheme="minorEastAsia" w:hint="eastAsia"/>
                <w:kern w:val="0"/>
                <w:szCs w:val="21"/>
              </w:rPr>
              <w:t>合计</w:t>
            </w:r>
          </w:p>
        </w:tc>
        <w:tc>
          <w:tcPr>
            <w:tcW w:w="2977" w:type="dxa"/>
            <w:vAlign w:val="center"/>
            <w:hideMark/>
          </w:tcPr>
          <w:p w:rsidR="00392A2D" w:rsidRDefault="00392A2D">
            <w:pPr>
              <w:jc w:val="right"/>
              <w:rPr>
                <w:rFonts w:eastAsiaTheme="minorEastAsia"/>
                <w:szCs w:val="21"/>
              </w:rPr>
            </w:pPr>
            <w:r>
              <w:rPr>
                <w:rFonts w:eastAsiaTheme="minorEastAsia"/>
                <w:szCs w:val="21"/>
              </w:rPr>
              <w:t>0.00</w:t>
            </w:r>
          </w:p>
        </w:tc>
        <w:tc>
          <w:tcPr>
            <w:tcW w:w="3046" w:type="dxa"/>
            <w:vAlign w:val="center"/>
            <w:hideMark/>
          </w:tcPr>
          <w:p w:rsidR="00392A2D" w:rsidRDefault="00392A2D">
            <w:pPr>
              <w:jc w:val="right"/>
              <w:rPr>
                <w:rFonts w:eastAsiaTheme="minorEastAsia"/>
                <w:szCs w:val="21"/>
              </w:rPr>
            </w:pPr>
            <w:r>
              <w:rPr>
                <w:rFonts w:eastAsiaTheme="minorEastAsia"/>
                <w:szCs w:val="21"/>
              </w:rPr>
              <w:t>0.00</w:t>
            </w:r>
          </w:p>
        </w:tc>
      </w:tr>
    </w:tbl>
    <w:p w:rsidR="00392A2D" w:rsidRPr="003E69CF" w:rsidRDefault="00392A2D" w:rsidP="003E69CF">
      <w:pPr>
        <w:spacing w:beforeLines="100" w:before="312" w:line="360" w:lineRule="auto"/>
        <w:rPr>
          <w:rFonts w:eastAsiaTheme="minorEastAsia"/>
          <w:b/>
          <w:color w:val="000000"/>
          <w:szCs w:val="21"/>
        </w:rPr>
      </w:pPr>
      <w:r w:rsidRPr="003E69CF">
        <w:rPr>
          <w:rFonts w:eastAsiaTheme="minorEastAsia" w:hint="eastAsia"/>
          <w:b/>
          <w:color w:val="000000"/>
          <w:szCs w:val="21"/>
        </w:rPr>
        <w:t>6.4.13.2.6</w:t>
      </w:r>
      <w:r w:rsidRPr="003E69CF">
        <w:rPr>
          <w:rFonts w:eastAsiaTheme="minorEastAsia" w:hint="eastAsia"/>
          <w:b/>
          <w:color w:val="000000"/>
          <w:szCs w:val="21"/>
        </w:rPr>
        <w:t>按长期信用评级列示的同业存单投资</w:t>
      </w:r>
    </w:p>
    <w:p w:rsidR="00392A2D" w:rsidRDefault="00392A2D" w:rsidP="00392A2D">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392A2D" w:rsidTr="00D0593F">
        <w:trPr>
          <w:jc w:val="center"/>
        </w:trPr>
        <w:tc>
          <w:tcPr>
            <w:tcW w:w="2624" w:type="dxa"/>
            <w:vAlign w:val="center"/>
            <w:hideMark/>
          </w:tcPr>
          <w:p w:rsidR="00392A2D" w:rsidRDefault="00392A2D">
            <w:pPr>
              <w:jc w:val="center"/>
              <w:rPr>
                <w:rFonts w:eastAsiaTheme="minorEastAsia"/>
                <w:szCs w:val="21"/>
              </w:rPr>
            </w:pPr>
            <w:r>
              <w:rPr>
                <w:rFonts w:eastAsiaTheme="minorEastAsia" w:hint="eastAsia"/>
                <w:szCs w:val="21"/>
              </w:rPr>
              <w:t>长期信用评级</w:t>
            </w:r>
          </w:p>
        </w:tc>
        <w:tc>
          <w:tcPr>
            <w:tcW w:w="2977" w:type="dxa"/>
            <w:hideMark/>
          </w:tcPr>
          <w:p w:rsidR="00392A2D" w:rsidRDefault="00392A2D">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392A2D" w:rsidRDefault="00392A2D">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392A2D" w:rsidRDefault="00392A2D">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392A2D" w:rsidRDefault="00392A2D">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392A2D" w:rsidTr="00D0593F">
        <w:trPr>
          <w:jc w:val="center"/>
        </w:trPr>
        <w:tc>
          <w:tcPr>
            <w:tcW w:w="2624" w:type="dxa"/>
            <w:hideMark/>
          </w:tcPr>
          <w:p w:rsidR="00392A2D" w:rsidRDefault="00392A2D">
            <w:pPr>
              <w:rPr>
                <w:rFonts w:eastAsiaTheme="minorEastAsia"/>
                <w:szCs w:val="21"/>
              </w:rPr>
            </w:pPr>
            <w:r>
              <w:rPr>
                <w:rFonts w:eastAsiaTheme="minorEastAsia"/>
                <w:szCs w:val="21"/>
              </w:rPr>
              <w:t>AAA</w:t>
            </w:r>
          </w:p>
        </w:tc>
        <w:tc>
          <w:tcPr>
            <w:tcW w:w="2977"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2624" w:type="dxa"/>
            <w:hideMark/>
          </w:tcPr>
          <w:p w:rsidR="00392A2D" w:rsidRDefault="00392A2D">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2624" w:type="dxa"/>
            <w:vAlign w:val="center"/>
            <w:hideMark/>
          </w:tcPr>
          <w:p w:rsidR="00392A2D" w:rsidRDefault="00392A2D">
            <w:pPr>
              <w:rPr>
                <w:rFonts w:eastAsiaTheme="minorEastAsia"/>
                <w:szCs w:val="21"/>
              </w:rPr>
            </w:pPr>
            <w:r>
              <w:rPr>
                <w:rFonts w:eastAsiaTheme="minorEastAsia" w:hint="eastAsia"/>
                <w:kern w:val="0"/>
                <w:szCs w:val="21"/>
              </w:rPr>
              <w:t>未评级</w:t>
            </w:r>
          </w:p>
        </w:tc>
        <w:tc>
          <w:tcPr>
            <w:tcW w:w="2977"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2624" w:type="dxa"/>
            <w:vAlign w:val="center"/>
            <w:hideMark/>
          </w:tcPr>
          <w:p w:rsidR="00392A2D" w:rsidRDefault="00392A2D">
            <w:pPr>
              <w:rPr>
                <w:rFonts w:eastAsiaTheme="minorEastAsia"/>
                <w:kern w:val="0"/>
                <w:szCs w:val="21"/>
              </w:rPr>
            </w:pPr>
            <w:r>
              <w:rPr>
                <w:rFonts w:eastAsiaTheme="minorEastAsia" w:hint="eastAsia"/>
                <w:kern w:val="0"/>
                <w:szCs w:val="21"/>
              </w:rPr>
              <w:t>合计</w:t>
            </w:r>
          </w:p>
        </w:tc>
        <w:tc>
          <w:tcPr>
            <w:tcW w:w="2977" w:type="dxa"/>
            <w:vAlign w:val="center"/>
            <w:hideMark/>
          </w:tcPr>
          <w:p w:rsidR="00392A2D" w:rsidRDefault="00392A2D">
            <w:pPr>
              <w:jc w:val="right"/>
              <w:rPr>
                <w:rFonts w:eastAsiaTheme="minorEastAsia"/>
                <w:szCs w:val="21"/>
              </w:rPr>
            </w:pPr>
            <w:r>
              <w:rPr>
                <w:rFonts w:eastAsiaTheme="minorEastAsia"/>
                <w:szCs w:val="21"/>
              </w:rPr>
              <w:t>0.00</w:t>
            </w:r>
          </w:p>
        </w:tc>
        <w:tc>
          <w:tcPr>
            <w:tcW w:w="3046" w:type="dxa"/>
            <w:vAlign w:val="center"/>
            <w:hideMark/>
          </w:tcPr>
          <w:p w:rsidR="00392A2D" w:rsidRDefault="00392A2D">
            <w:pPr>
              <w:jc w:val="right"/>
              <w:rPr>
                <w:rFonts w:eastAsiaTheme="minorEastAsia"/>
                <w:szCs w:val="21"/>
              </w:rPr>
            </w:pPr>
            <w:r>
              <w:rPr>
                <w:rFonts w:eastAsiaTheme="minorEastAsia"/>
                <w:szCs w:val="21"/>
              </w:rPr>
              <w:t>0.00</w:t>
            </w:r>
          </w:p>
        </w:tc>
      </w:tr>
    </w:tbl>
    <w:p w:rsidR="008A5A5D" w:rsidRPr="00C24ACA" w:rsidRDefault="008A5A5D" w:rsidP="00392A2D">
      <w:pPr>
        <w:tabs>
          <w:tab w:val="left" w:pos="426"/>
        </w:tabs>
        <w:spacing w:line="360" w:lineRule="auto"/>
        <w:ind w:firstLineChars="200" w:firstLine="422"/>
        <w:rPr>
          <w:rFonts w:eastAsiaTheme="minorEastAsia"/>
          <w:b/>
          <w:bCs/>
          <w:color w:val="000000"/>
          <w:szCs w:val="21"/>
        </w:rPr>
      </w:pPr>
      <w:r w:rsidRPr="00C24ACA">
        <w:rPr>
          <w:rFonts w:eastAsiaTheme="minorEastAsia"/>
          <w:b/>
          <w:bCs/>
          <w:color w:val="000000"/>
          <w:kern w:val="0"/>
          <w:szCs w:val="21"/>
        </w:rPr>
        <w:t>6.4.13.3</w:t>
      </w:r>
      <w:r w:rsidRPr="00C24ACA">
        <w:rPr>
          <w:rFonts w:eastAsiaTheme="minorEastAsia"/>
          <w:b/>
          <w:bCs/>
          <w:color w:val="000000"/>
          <w:szCs w:val="21"/>
        </w:rPr>
        <w:t>流动性风险</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于</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日，除卖出回购金融资产款余额</w:t>
      </w:r>
      <w:r w:rsidRPr="00C24ACA">
        <w:rPr>
          <w:rFonts w:eastAsiaTheme="minorEastAsia"/>
          <w:kern w:val="0"/>
          <w:szCs w:val="21"/>
        </w:rPr>
        <w:t>(</w:t>
      </w:r>
      <w:r w:rsidRPr="00C24ACA">
        <w:rPr>
          <w:rFonts w:eastAsiaTheme="minorEastAsia"/>
          <w:kern w:val="0"/>
          <w:szCs w:val="21"/>
        </w:rPr>
        <w:t>计息但该利息金额不重大</w:t>
      </w:r>
      <w:r w:rsidRPr="00C24ACA">
        <w:rPr>
          <w:rFonts w:eastAsiaTheme="minorEastAsia"/>
          <w:kern w:val="0"/>
          <w:szCs w:val="21"/>
        </w:rPr>
        <w:t>)</w:t>
      </w:r>
      <w:r w:rsidRPr="00C24ACA">
        <w:rPr>
          <w:rFonts w:eastAsiaTheme="minorEastAsia"/>
          <w:kern w:val="0"/>
          <w:szCs w:val="21"/>
        </w:rPr>
        <w:t>以外，本基金承担的其他金融负债的合约约定到期日均为一年以内且不计息，可赎回基金份额净值</w:t>
      </w:r>
      <w:r w:rsidRPr="00C24ACA">
        <w:rPr>
          <w:rFonts w:eastAsiaTheme="minorEastAsia"/>
          <w:kern w:val="0"/>
          <w:szCs w:val="21"/>
        </w:rPr>
        <w:t>(</w:t>
      </w:r>
      <w:r w:rsidRPr="00C24ACA">
        <w:rPr>
          <w:rFonts w:eastAsiaTheme="minorEastAsia"/>
          <w:kern w:val="0"/>
          <w:szCs w:val="21"/>
        </w:rPr>
        <w:t>所有者权益</w:t>
      </w:r>
      <w:r w:rsidRPr="00C24ACA">
        <w:rPr>
          <w:rFonts w:eastAsiaTheme="minorEastAsia"/>
          <w:kern w:val="0"/>
          <w:szCs w:val="21"/>
        </w:rPr>
        <w:t>)</w:t>
      </w:r>
      <w:r w:rsidRPr="00C24ACA">
        <w:rPr>
          <w:rFonts w:eastAsiaTheme="minorEastAsia"/>
          <w:kern w:val="0"/>
          <w:szCs w:val="21"/>
        </w:rPr>
        <w:t>无固定到期日且不计息，因此账面余额约为未折现的合约到期现金流量。</w:t>
      </w:r>
    </w:p>
    <w:p w:rsidR="00206D74" w:rsidRPr="00A73188" w:rsidRDefault="00206D74" w:rsidP="006C64F3">
      <w:pPr>
        <w:spacing w:beforeLines="50" w:before="156" w:line="360" w:lineRule="auto"/>
        <w:rPr>
          <w:rFonts w:eastAsiaTheme="minorEastAsia"/>
          <w:b/>
          <w:bCs/>
          <w:color w:val="000000" w:themeColor="text1"/>
          <w:szCs w:val="21"/>
        </w:rPr>
      </w:pPr>
      <w:r w:rsidRPr="00A73188">
        <w:rPr>
          <w:rFonts w:eastAsiaTheme="minorEastAsia"/>
          <w:b/>
          <w:bCs/>
          <w:color w:val="000000" w:themeColor="text1"/>
          <w:kern w:val="0"/>
          <w:szCs w:val="21"/>
        </w:rPr>
        <w:t>6.4.13.3</w:t>
      </w:r>
      <w:r w:rsidRPr="00A73188">
        <w:rPr>
          <w:rFonts w:eastAsiaTheme="minorEastAsia" w:hint="eastAsia"/>
          <w:b/>
          <w:bCs/>
          <w:color w:val="000000" w:themeColor="text1"/>
          <w:kern w:val="0"/>
          <w:szCs w:val="21"/>
        </w:rPr>
        <w:t>.1</w:t>
      </w:r>
      <w:r w:rsidRPr="00A73188">
        <w:rPr>
          <w:rFonts w:eastAsiaTheme="minorEastAsia"/>
          <w:b/>
          <w:bCs/>
          <w:color w:val="000000" w:themeColor="text1"/>
          <w:kern w:val="0"/>
          <w:szCs w:val="21"/>
        </w:rPr>
        <w:t xml:space="preserve"> </w:t>
      </w:r>
      <w:r w:rsidRPr="00A73188">
        <w:rPr>
          <w:rFonts w:eastAsiaTheme="minorEastAsia" w:hint="eastAsia"/>
          <w:b/>
          <w:bCs/>
          <w:color w:val="000000" w:themeColor="text1"/>
          <w:szCs w:val="21"/>
        </w:rPr>
        <w:t>报告期内本基金组合资产的流动性风险分析</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06D74" w:rsidRPr="00C24ACA" w:rsidRDefault="00206D74"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本基金的投资范围为具有良好流动性的金融工具，所持大部分证券在流动性良好的证券交易所或者银行间同业市场交易，期末除本报告</w:t>
      </w:r>
      <w:r w:rsidRPr="008707EB">
        <w:rPr>
          <w:rFonts w:eastAsiaTheme="minorEastAsia"/>
          <w:kern w:val="0"/>
          <w:szCs w:val="21"/>
        </w:rPr>
        <w:t>“</w:t>
      </w:r>
      <w:r w:rsidRPr="008707EB">
        <w:rPr>
          <w:rFonts w:eastAsiaTheme="minorEastAsia"/>
          <w:kern w:val="0"/>
          <w:szCs w:val="21"/>
        </w:rPr>
        <w:t>期末本基金持有的流通受限证券</w:t>
      </w:r>
      <w:r w:rsidRPr="008707EB">
        <w:rPr>
          <w:rFonts w:eastAsiaTheme="minorEastAsia"/>
          <w:kern w:val="0"/>
          <w:szCs w:val="21"/>
        </w:rPr>
        <w:t>”</w:t>
      </w:r>
      <w:r w:rsidRPr="008707EB">
        <w:rPr>
          <w:rFonts w:eastAsiaTheme="minorEastAsia"/>
          <w:kern w:val="0"/>
          <w:szCs w:val="21"/>
        </w:rPr>
        <w:t>章节中所列示券种流通暂时受限制不能自由转让外，其余均能及时变现。评估结果显示组合高流动性资产比重较高，组合变现比例能力较好。</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6.4.13.4</w:t>
      </w:r>
      <w:r w:rsidRPr="00C24ACA">
        <w:rPr>
          <w:rFonts w:eastAsiaTheme="minorEastAsia"/>
          <w:b/>
          <w:bCs/>
          <w:color w:val="000000"/>
          <w:szCs w:val="21"/>
        </w:rPr>
        <w:t>市场风险</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投资于海外市场，面临海外市场波动带来的风险。影响金融市场波动的因素比较复杂，包括经济发展、政策变化、资金供求、公司盈利的变化、利率汇率波动等，都将影响基金净值的升跌。此外，本基金及目标</w:t>
      </w:r>
      <w:r w:rsidRPr="00C24ACA">
        <w:rPr>
          <w:rFonts w:eastAsiaTheme="minorEastAsia"/>
          <w:kern w:val="0"/>
          <w:szCs w:val="21"/>
        </w:rPr>
        <w:t>ETF</w:t>
      </w:r>
      <w:r w:rsidRPr="00C24ACA">
        <w:rPr>
          <w:rFonts w:eastAsiaTheme="minorEastAsia"/>
          <w:kern w:val="0"/>
          <w:szCs w:val="21"/>
        </w:rPr>
        <w:t>主要投资的香港证券市场对每日证券交易价格并无涨跌幅上下限的规定，因此香港证券市场证券的每日涨跌幅空间相对较大。这一因素可能会带来市场的急剧下跌，从而带来投资风险的增加。</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6.4.13.4.1</w:t>
      </w:r>
      <w:r w:rsidRPr="00C24ACA">
        <w:rPr>
          <w:rFonts w:eastAsiaTheme="minorEastAsia"/>
          <w:b/>
          <w:bCs/>
          <w:color w:val="000000"/>
          <w:szCs w:val="21"/>
        </w:rPr>
        <w:t>利率风险</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利率风险是指基金的财务状况和现金流量受市场利率变动而发生波动的风险。投资管理人通过久期、凸度、</w:t>
      </w:r>
      <w:r w:rsidRPr="00C24ACA">
        <w:rPr>
          <w:rFonts w:eastAsiaTheme="minorEastAsia"/>
          <w:kern w:val="0"/>
          <w:szCs w:val="21"/>
        </w:rPr>
        <w:t>VAR</w:t>
      </w:r>
      <w:r w:rsidRPr="00C24ACA">
        <w:rPr>
          <w:rFonts w:eastAsiaTheme="minorEastAsia"/>
          <w:kern w:val="0"/>
          <w:szCs w:val="21"/>
        </w:rPr>
        <w:t>等方法评估组合面临的利率风险敞口，并通过调整投资组合的久期等方法对上述利率风险进行管理。</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6.4.13.4.1.1</w:t>
      </w:r>
      <w:r w:rsidRPr="00C24ACA">
        <w:rPr>
          <w:rFonts w:eastAsiaTheme="minorEastAsia"/>
          <w:b/>
          <w:bCs/>
          <w:color w:val="000000"/>
          <w:szCs w:val="21"/>
        </w:rPr>
        <w:t>利率风险敞口</w:t>
      </w:r>
    </w:p>
    <w:p w:rsidR="00A10C6C" w:rsidRPr="00C24ACA" w:rsidRDefault="00A10C6C" w:rsidP="00A10C6C">
      <w:pPr>
        <w:autoSpaceDE w:val="0"/>
        <w:autoSpaceDN w:val="0"/>
        <w:adjustRightInd w:val="0"/>
        <w:spacing w:before="29" w:line="360" w:lineRule="auto"/>
        <w:ind w:left="15"/>
        <w:jc w:val="right"/>
        <w:rPr>
          <w:rFonts w:eastAsiaTheme="minorEastAsia"/>
          <w:color w:val="000000"/>
          <w:szCs w:val="21"/>
        </w:rPr>
      </w:pPr>
      <w:r w:rsidRPr="00C24ACA">
        <w:rPr>
          <w:rFonts w:eastAsiaTheme="minorEastAsia"/>
          <w:color w:val="000000"/>
          <w:szCs w:val="21"/>
        </w:rPr>
        <w:t>单位：人民币元</w:t>
      </w:r>
    </w:p>
    <w:tbl>
      <w:tblPr>
        <w:tblW w:w="9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A10C6C" w:rsidRPr="00C24ACA" w:rsidTr="004C02E0">
        <w:trPr>
          <w:trHeight w:val="280"/>
        </w:trPr>
        <w:tc>
          <w:tcPr>
            <w:tcW w:w="1588" w:type="dxa"/>
            <w:vAlign w:val="center"/>
          </w:tcPr>
          <w:p w:rsidR="00A10C6C" w:rsidRPr="00C24ACA" w:rsidRDefault="00A10C6C" w:rsidP="00427BFF">
            <w:pPr>
              <w:spacing w:line="360" w:lineRule="auto"/>
              <w:jc w:val="center"/>
              <w:rPr>
                <w:rFonts w:eastAsiaTheme="minorEastAsia"/>
                <w:szCs w:val="21"/>
              </w:rPr>
            </w:pPr>
            <w:r w:rsidRPr="00C24ACA">
              <w:rPr>
                <w:rFonts w:eastAsiaTheme="minorEastAsia"/>
                <w:szCs w:val="21"/>
              </w:rPr>
              <w:t>本期末</w:t>
            </w:r>
          </w:p>
          <w:p w:rsidR="00A10C6C" w:rsidRPr="00C24ACA" w:rsidRDefault="00A10C6C" w:rsidP="00427BFF">
            <w:pPr>
              <w:spacing w:line="360" w:lineRule="auto"/>
              <w:jc w:val="center"/>
              <w:rPr>
                <w:rFonts w:eastAsiaTheme="minorEastAsia"/>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年以内</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1-5</w:t>
            </w:r>
            <w:r w:rsidRPr="00C24ACA">
              <w:rPr>
                <w:rFonts w:eastAsiaTheme="minorEastAsia"/>
                <w:color w:val="000000"/>
                <w:szCs w:val="21"/>
              </w:rPr>
              <w:t>年</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年以上</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不计息</w:t>
            </w:r>
          </w:p>
        </w:tc>
        <w:tc>
          <w:tcPr>
            <w:tcW w:w="13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合计</w:t>
            </w:r>
          </w:p>
        </w:tc>
      </w:tr>
      <w:tr w:rsidR="00A10C6C" w:rsidRPr="00C24ACA" w:rsidTr="004C02E0">
        <w:trPr>
          <w:trHeight w:val="280"/>
        </w:trPr>
        <w:tc>
          <w:tcPr>
            <w:tcW w:w="1588" w:type="dxa"/>
          </w:tcPr>
          <w:p w:rsidR="00A10C6C" w:rsidRPr="00C24ACA" w:rsidRDefault="00A10C6C" w:rsidP="00865B2B">
            <w:pPr>
              <w:spacing w:line="360" w:lineRule="auto"/>
              <w:jc w:val="center"/>
              <w:rPr>
                <w:rFonts w:eastAsiaTheme="minorEastAsia"/>
                <w:color w:val="000000"/>
                <w:szCs w:val="21"/>
              </w:rPr>
            </w:pPr>
            <w:r w:rsidRPr="00C24ACA">
              <w:rPr>
                <w:rFonts w:eastAsiaTheme="minorEastAsia"/>
                <w:color w:val="000000"/>
                <w:szCs w:val="21"/>
              </w:rPr>
              <w:t>资产</w:t>
            </w: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301" w:type="dxa"/>
            <w:vAlign w:val="center"/>
          </w:tcPr>
          <w:p w:rsidR="00A10C6C" w:rsidRPr="00C24ACA" w:rsidRDefault="00A10C6C" w:rsidP="00427BFF">
            <w:pPr>
              <w:spacing w:line="360" w:lineRule="auto"/>
              <w:jc w:val="right"/>
              <w:rPr>
                <w:rFonts w:eastAsiaTheme="minorEastAsia"/>
                <w:b/>
                <w:color w:val="000000"/>
                <w:szCs w:val="21"/>
              </w:rPr>
            </w:pPr>
          </w:p>
        </w:tc>
      </w:tr>
      <w:tr w:rsidR="00871824">
        <w:tc>
          <w:tcPr>
            <w:tcW w:w="1588" w:type="dxa"/>
            <w:vAlign w:val="center"/>
          </w:tcPr>
          <w:p w:rsidR="00871824" w:rsidRDefault="00672BD5">
            <w:pPr>
              <w:jc w:val="center"/>
            </w:pPr>
            <w:r>
              <w:rPr>
                <w:rFonts w:eastAsiaTheme="minorEastAsia"/>
                <w:color w:val="000000"/>
                <w:szCs w:val="21"/>
              </w:rPr>
              <w:t>银行存款</w:t>
            </w:r>
          </w:p>
        </w:tc>
        <w:tc>
          <w:tcPr>
            <w:tcW w:w="1701" w:type="dxa"/>
            <w:vAlign w:val="center"/>
          </w:tcPr>
          <w:p w:rsidR="00871824" w:rsidRDefault="00672BD5">
            <w:pPr>
              <w:jc w:val="right"/>
            </w:pPr>
            <w:r>
              <w:rPr>
                <w:rFonts w:eastAsiaTheme="minorEastAsia"/>
                <w:color w:val="000000"/>
                <w:szCs w:val="21"/>
              </w:rPr>
              <w:t>117,364,095.88</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117,364,095.88</w:t>
            </w:r>
          </w:p>
        </w:tc>
      </w:tr>
      <w:tr w:rsidR="00871824">
        <w:tc>
          <w:tcPr>
            <w:tcW w:w="1588" w:type="dxa"/>
            <w:vAlign w:val="center"/>
          </w:tcPr>
          <w:p w:rsidR="00871824" w:rsidRDefault="00672BD5">
            <w:pPr>
              <w:jc w:val="center"/>
            </w:pPr>
            <w:r>
              <w:rPr>
                <w:rFonts w:eastAsiaTheme="minorEastAsia"/>
                <w:color w:val="000000"/>
                <w:szCs w:val="21"/>
              </w:rPr>
              <w:t>结算备付金</w:t>
            </w:r>
          </w:p>
        </w:tc>
        <w:tc>
          <w:tcPr>
            <w:tcW w:w="1701" w:type="dxa"/>
            <w:vAlign w:val="center"/>
          </w:tcPr>
          <w:p w:rsidR="00871824" w:rsidRDefault="00672BD5">
            <w:pPr>
              <w:jc w:val="right"/>
            </w:pPr>
            <w:r>
              <w:rPr>
                <w:rFonts w:eastAsiaTheme="minorEastAsia"/>
                <w:color w:val="000000"/>
                <w:szCs w:val="21"/>
              </w:rPr>
              <w:t>6,818,708.96</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6,818,708.96</w:t>
            </w:r>
          </w:p>
        </w:tc>
      </w:tr>
      <w:tr w:rsidR="00871824">
        <w:tc>
          <w:tcPr>
            <w:tcW w:w="1588" w:type="dxa"/>
            <w:vAlign w:val="center"/>
          </w:tcPr>
          <w:p w:rsidR="00871824" w:rsidRDefault="00672BD5">
            <w:pPr>
              <w:jc w:val="center"/>
            </w:pPr>
            <w:r>
              <w:rPr>
                <w:rFonts w:eastAsiaTheme="minorEastAsia"/>
                <w:color w:val="000000"/>
                <w:szCs w:val="21"/>
              </w:rPr>
              <w:t>存出保证金</w:t>
            </w:r>
          </w:p>
        </w:tc>
        <w:tc>
          <w:tcPr>
            <w:tcW w:w="1701" w:type="dxa"/>
            <w:vAlign w:val="center"/>
          </w:tcPr>
          <w:p w:rsidR="00871824" w:rsidRDefault="00672BD5">
            <w:pPr>
              <w:jc w:val="right"/>
            </w:pPr>
            <w:r>
              <w:rPr>
                <w:rFonts w:eastAsiaTheme="minorEastAsia"/>
                <w:color w:val="000000"/>
                <w:szCs w:val="21"/>
              </w:rPr>
              <w:t>207,751.12</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207,751.12</w:t>
            </w:r>
          </w:p>
        </w:tc>
      </w:tr>
      <w:tr w:rsidR="00871824">
        <w:tc>
          <w:tcPr>
            <w:tcW w:w="1588" w:type="dxa"/>
            <w:vAlign w:val="center"/>
          </w:tcPr>
          <w:p w:rsidR="00871824" w:rsidRDefault="00672BD5">
            <w:pPr>
              <w:jc w:val="center"/>
            </w:pPr>
            <w:r>
              <w:rPr>
                <w:rFonts w:eastAsiaTheme="minorEastAsia"/>
                <w:color w:val="000000"/>
                <w:szCs w:val="21"/>
              </w:rPr>
              <w:t>交易性金融资产</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1,615,478,556.46</w:t>
            </w:r>
          </w:p>
        </w:tc>
        <w:tc>
          <w:tcPr>
            <w:tcW w:w="1301" w:type="dxa"/>
            <w:vAlign w:val="center"/>
          </w:tcPr>
          <w:p w:rsidR="00871824" w:rsidRDefault="00672BD5">
            <w:pPr>
              <w:jc w:val="right"/>
            </w:pPr>
            <w:r>
              <w:rPr>
                <w:rFonts w:eastAsiaTheme="minorEastAsia"/>
                <w:color w:val="000000"/>
                <w:szCs w:val="21"/>
              </w:rPr>
              <w:t>1,615,478,556.46</w:t>
            </w:r>
          </w:p>
        </w:tc>
      </w:tr>
      <w:tr w:rsidR="00871824">
        <w:tc>
          <w:tcPr>
            <w:tcW w:w="1588" w:type="dxa"/>
            <w:vAlign w:val="center"/>
          </w:tcPr>
          <w:p w:rsidR="00871824" w:rsidRDefault="00672BD5">
            <w:pPr>
              <w:jc w:val="center"/>
            </w:pPr>
            <w:r>
              <w:rPr>
                <w:rFonts w:eastAsiaTheme="minorEastAsia"/>
                <w:color w:val="000000"/>
                <w:szCs w:val="21"/>
              </w:rPr>
              <w:t>衍生金融资产</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871824">
        <w:tc>
          <w:tcPr>
            <w:tcW w:w="1588" w:type="dxa"/>
            <w:vAlign w:val="center"/>
          </w:tcPr>
          <w:p w:rsidR="00871824" w:rsidRDefault="00672BD5">
            <w:pPr>
              <w:jc w:val="center"/>
            </w:pPr>
            <w:r>
              <w:rPr>
                <w:rFonts w:eastAsiaTheme="minorEastAsia"/>
                <w:color w:val="000000"/>
                <w:szCs w:val="21"/>
              </w:rPr>
              <w:t>买入返售金融资产</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871824">
        <w:tc>
          <w:tcPr>
            <w:tcW w:w="1588" w:type="dxa"/>
            <w:vAlign w:val="center"/>
          </w:tcPr>
          <w:p w:rsidR="00871824" w:rsidRDefault="00672BD5">
            <w:pPr>
              <w:jc w:val="center"/>
            </w:pPr>
            <w:r>
              <w:rPr>
                <w:rFonts w:eastAsiaTheme="minorEastAsia"/>
                <w:color w:val="000000"/>
                <w:szCs w:val="21"/>
              </w:rPr>
              <w:t>应收证券清算款</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4,578,555.83</w:t>
            </w:r>
          </w:p>
        </w:tc>
        <w:tc>
          <w:tcPr>
            <w:tcW w:w="1301" w:type="dxa"/>
            <w:vAlign w:val="center"/>
          </w:tcPr>
          <w:p w:rsidR="00871824" w:rsidRDefault="00672BD5">
            <w:pPr>
              <w:jc w:val="right"/>
            </w:pPr>
            <w:r>
              <w:rPr>
                <w:rFonts w:eastAsiaTheme="minorEastAsia"/>
                <w:color w:val="000000"/>
                <w:szCs w:val="21"/>
              </w:rPr>
              <w:t>4,578,555.83</w:t>
            </w:r>
          </w:p>
        </w:tc>
      </w:tr>
      <w:tr w:rsidR="00871824">
        <w:tc>
          <w:tcPr>
            <w:tcW w:w="1588" w:type="dxa"/>
            <w:vAlign w:val="center"/>
          </w:tcPr>
          <w:p w:rsidR="00871824" w:rsidRDefault="00672BD5">
            <w:pPr>
              <w:jc w:val="center"/>
            </w:pPr>
            <w:r>
              <w:rPr>
                <w:rFonts w:eastAsiaTheme="minorEastAsia"/>
                <w:color w:val="000000"/>
                <w:szCs w:val="21"/>
              </w:rPr>
              <w:t>应收利息</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9,971.26</w:t>
            </w:r>
          </w:p>
        </w:tc>
        <w:tc>
          <w:tcPr>
            <w:tcW w:w="1301" w:type="dxa"/>
            <w:vAlign w:val="center"/>
          </w:tcPr>
          <w:p w:rsidR="00871824" w:rsidRDefault="00672BD5">
            <w:pPr>
              <w:jc w:val="right"/>
            </w:pPr>
            <w:r>
              <w:rPr>
                <w:rFonts w:eastAsiaTheme="minorEastAsia"/>
                <w:color w:val="000000"/>
                <w:szCs w:val="21"/>
              </w:rPr>
              <w:t>9,971.26</w:t>
            </w:r>
          </w:p>
        </w:tc>
      </w:tr>
      <w:tr w:rsidR="00871824">
        <w:tc>
          <w:tcPr>
            <w:tcW w:w="1588" w:type="dxa"/>
            <w:vAlign w:val="center"/>
          </w:tcPr>
          <w:p w:rsidR="00871824" w:rsidRDefault="00672BD5">
            <w:pPr>
              <w:jc w:val="center"/>
            </w:pPr>
            <w:r>
              <w:rPr>
                <w:rFonts w:eastAsiaTheme="minorEastAsia"/>
                <w:color w:val="000000"/>
                <w:szCs w:val="21"/>
              </w:rPr>
              <w:t>应收股利</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871824">
        <w:tc>
          <w:tcPr>
            <w:tcW w:w="1588" w:type="dxa"/>
            <w:vAlign w:val="center"/>
          </w:tcPr>
          <w:p w:rsidR="00871824" w:rsidRDefault="00672BD5">
            <w:pPr>
              <w:jc w:val="center"/>
            </w:pPr>
            <w:r>
              <w:rPr>
                <w:rFonts w:eastAsiaTheme="minorEastAsia"/>
                <w:color w:val="000000"/>
                <w:szCs w:val="21"/>
              </w:rPr>
              <w:t>应收申购款</w:t>
            </w:r>
          </w:p>
        </w:tc>
        <w:tc>
          <w:tcPr>
            <w:tcW w:w="1701" w:type="dxa"/>
            <w:vAlign w:val="center"/>
          </w:tcPr>
          <w:p w:rsidR="00871824" w:rsidRDefault="00672BD5">
            <w:pPr>
              <w:jc w:val="right"/>
            </w:pPr>
            <w:r>
              <w:rPr>
                <w:rFonts w:eastAsiaTheme="minorEastAsia"/>
                <w:color w:val="000000"/>
                <w:szCs w:val="21"/>
              </w:rPr>
              <w:t>1,767.75</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8,419,021.66</w:t>
            </w:r>
          </w:p>
        </w:tc>
        <w:tc>
          <w:tcPr>
            <w:tcW w:w="1301" w:type="dxa"/>
            <w:vAlign w:val="center"/>
          </w:tcPr>
          <w:p w:rsidR="00871824" w:rsidRDefault="00672BD5">
            <w:pPr>
              <w:jc w:val="right"/>
            </w:pPr>
            <w:r>
              <w:rPr>
                <w:rFonts w:eastAsiaTheme="minorEastAsia"/>
                <w:color w:val="000000"/>
                <w:szCs w:val="21"/>
              </w:rPr>
              <w:t>8,420,789.41</w:t>
            </w:r>
          </w:p>
        </w:tc>
      </w:tr>
      <w:tr w:rsidR="00871824">
        <w:tc>
          <w:tcPr>
            <w:tcW w:w="1588" w:type="dxa"/>
            <w:vAlign w:val="center"/>
          </w:tcPr>
          <w:p w:rsidR="00871824" w:rsidRDefault="00672BD5">
            <w:pPr>
              <w:jc w:val="center"/>
            </w:pPr>
            <w:r>
              <w:rPr>
                <w:rFonts w:eastAsiaTheme="minorEastAsia"/>
                <w:color w:val="000000"/>
                <w:szCs w:val="21"/>
              </w:rPr>
              <w:t>递延所得税资产</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871824">
        <w:tc>
          <w:tcPr>
            <w:tcW w:w="1588" w:type="dxa"/>
            <w:vAlign w:val="center"/>
          </w:tcPr>
          <w:p w:rsidR="00871824" w:rsidRDefault="00672BD5">
            <w:pPr>
              <w:jc w:val="center"/>
            </w:pPr>
            <w:r>
              <w:rPr>
                <w:rFonts w:eastAsiaTheme="minorEastAsia"/>
                <w:color w:val="000000"/>
                <w:szCs w:val="21"/>
              </w:rPr>
              <w:t>其他资产</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A10C6C" w:rsidRPr="00C24ACA" w:rsidTr="004C02E0">
        <w:trPr>
          <w:trHeight w:val="280"/>
        </w:trPr>
        <w:tc>
          <w:tcPr>
            <w:tcW w:w="1588" w:type="dxa"/>
            <w:vAlign w:val="center"/>
          </w:tcPr>
          <w:p w:rsidR="00A10C6C" w:rsidRPr="00C24ACA" w:rsidRDefault="00A10C6C" w:rsidP="00C903E7">
            <w:pPr>
              <w:autoSpaceDE w:val="0"/>
              <w:autoSpaceDN w:val="0"/>
              <w:adjustRightInd w:val="0"/>
              <w:spacing w:before="29" w:line="360" w:lineRule="auto"/>
              <w:jc w:val="center"/>
              <w:rPr>
                <w:rFonts w:eastAsiaTheme="minorEastAsia"/>
                <w:color w:val="000000"/>
                <w:szCs w:val="21"/>
              </w:rPr>
            </w:pPr>
            <w:r w:rsidRPr="00C24ACA">
              <w:rPr>
                <w:rFonts w:eastAsiaTheme="minorEastAsia"/>
                <w:color w:val="000000"/>
                <w:szCs w:val="21"/>
              </w:rPr>
              <w:t>资产总计</w:t>
            </w:r>
          </w:p>
        </w:tc>
        <w:tc>
          <w:tcPr>
            <w:tcW w:w="1701"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124,392,323.71</w:t>
            </w:r>
          </w:p>
        </w:tc>
        <w:tc>
          <w:tcPr>
            <w:tcW w:w="1701"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w:t>
            </w:r>
          </w:p>
        </w:tc>
        <w:tc>
          <w:tcPr>
            <w:tcW w:w="1559"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w:t>
            </w:r>
          </w:p>
        </w:tc>
        <w:tc>
          <w:tcPr>
            <w:tcW w:w="1559"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1,628,486,105.21</w:t>
            </w:r>
          </w:p>
        </w:tc>
        <w:tc>
          <w:tcPr>
            <w:tcW w:w="1301"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1,752,878,428.92</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w:t>
            </w:r>
          </w:p>
        </w:tc>
        <w:tc>
          <w:tcPr>
            <w:tcW w:w="1701" w:type="dxa"/>
            <w:vAlign w:val="center"/>
          </w:tcPr>
          <w:p w:rsidR="00A10C6C" w:rsidRPr="00C24ACA" w:rsidRDefault="00A10C6C" w:rsidP="00427BFF">
            <w:pPr>
              <w:spacing w:line="360" w:lineRule="auto"/>
              <w:jc w:val="right"/>
              <w:rPr>
                <w:rFonts w:eastAsiaTheme="minorEastAsia"/>
                <w:color w:val="0000FF"/>
                <w:kern w:val="0"/>
                <w:szCs w:val="21"/>
              </w:rPr>
            </w:pP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301" w:type="dxa"/>
            <w:vAlign w:val="center"/>
          </w:tcPr>
          <w:p w:rsidR="00A10C6C" w:rsidRPr="00C24ACA" w:rsidRDefault="00A10C6C" w:rsidP="00427BFF">
            <w:pPr>
              <w:spacing w:line="360" w:lineRule="auto"/>
              <w:jc w:val="right"/>
              <w:rPr>
                <w:rFonts w:eastAsiaTheme="minorEastAsia"/>
                <w:color w:val="000000"/>
                <w:szCs w:val="21"/>
              </w:rPr>
            </w:pPr>
          </w:p>
        </w:tc>
      </w:tr>
      <w:tr w:rsidR="00871824">
        <w:tc>
          <w:tcPr>
            <w:tcW w:w="1588" w:type="dxa"/>
            <w:vAlign w:val="center"/>
          </w:tcPr>
          <w:p w:rsidR="00871824" w:rsidRDefault="00672BD5">
            <w:pPr>
              <w:jc w:val="center"/>
            </w:pPr>
            <w:r>
              <w:rPr>
                <w:rFonts w:eastAsiaTheme="minorEastAsia"/>
                <w:color w:val="000000"/>
                <w:szCs w:val="21"/>
              </w:rPr>
              <w:t>短期借款</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871824">
        <w:tc>
          <w:tcPr>
            <w:tcW w:w="1588" w:type="dxa"/>
            <w:vAlign w:val="center"/>
          </w:tcPr>
          <w:p w:rsidR="00871824" w:rsidRDefault="00672BD5">
            <w:pPr>
              <w:jc w:val="center"/>
            </w:pPr>
            <w:r>
              <w:rPr>
                <w:rFonts w:eastAsiaTheme="minorEastAsia"/>
                <w:color w:val="000000"/>
                <w:szCs w:val="21"/>
              </w:rPr>
              <w:t>交易性金融负债</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871824">
        <w:tc>
          <w:tcPr>
            <w:tcW w:w="1588" w:type="dxa"/>
            <w:vAlign w:val="center"/>
          </w:tcPr>
          <w:p w:rsidR="00871824" w:rsidRDefault="00672BD5">
            <w:pPr>
              <w:jc w:val="center"/>
            </w:pPr>
            <w:r>
              <w:rPr>
                <w:rFonts w:eastAsiaTheme="minorEastAsia"/>
                <w:color w:val="000000"/>
                <w:szCs w:val="21"/>
              </w:rPr>
              <w:t>衍生金融负债</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871824">
        <w:tc>
          <w:tcPr>
            <w:tcW w:w="1588" w:type="dxa"/>
            <w:vAlign w:val="center"/>
          </w:tcPr>
          <w:p w:rsidR="00871824" w:rsidRDefault="00672BD5">
            <w:pPr>
              <w:jc w:val="center"/>
            </w:pPr>
            <w:r>
              <w:rPr>
                <w:rFonts w:eastAsiaTheme="minorEastAsia"/>
                <w:color w:val="000000"/>
                <w:szCs w:val="21"/>
              </w:rPr>
              <w:t>卖出回购金融资产款</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871824">
        <w:tc>
          <w:tcPr>
            <w:tcW w:w="1588" w:type="dxa"/>
            <w:vAlign w:val="center"/>
          </w:tcPr>
          <w:p w:rsidR="00871824" w:rsidRDefault="00672BD5">
            <w:pPr>
              <w:jc w:val="center"/>
            </w:pPr>
            <w:r>
              <w:rPr>
                <w:rFonts w:eastAsiaTheme="minorEastAsia"/>
                <w:color w:val="000000"/>
                <w:szCs w:val="21"/>
              </w:rPr>
              <w:t>应付证券清算款</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871824">
        <w:tc>
          <w:tcPr>
            <w:tcW w:w="1588" w:type="dxa"/>
            <w:vAlign w:val="center"/>
          </w:tcPr>
          <w:p w:rsidR="00871824" w:rsidRDefault="00672BD5">
            <w:pPr>
              <w:jc w:val="center"/>
            </w:pPr>
            <w:r>
              <w:rPr>
                <w:rFonts w:eastAsiaTheme="minorEastAsia"/>
                <w:color w:val="000000"/>
                <w:szCs w:val="21"/>
              </w:rPr>
              <w:t>应付赎回款</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35,977,713.48</w:t>
            </w:r>
          </w:p>
        </w:tc>
        <w:tc>
          <w:tcPr>
            <w:tcW w:w="1301" w:type="dxa"/>
            <w:vAlign w:val="center"/>
          </w:tcPr>
          <w:p w:rsidR="00871824" w:rsidRDefault="00672BD5">
            <w:pPr>
              <w:jc w:val="right"/>
            </w:pPr>
            <w:r>
              <w:rPr>
                <w:rFonts w:eastAsiaTheme="minorEastAsia"/>
                <w:color w:val="000000"/>
                <w:szCs w:val="21"/>
              </w:rPr>
              <w:t>35,977,713.48</w:t>
            </w:r>
          </w:p>
        </w:tc>
      </w:tr>
      <w:tr w:rsidR="00871824">
        <w:tc>
          <w:tcPr>
            <w:tcW w:w="1588" w:type="dxa"/>
            <w:vAlign w:val="center"/>
          </w:tcPr>
          <w:p w:rsidR="00871824" w:rsidRDefault="00672BD5">
            <w:pPr>
              <w:jc w:val="center"/>
            </w:pPr>
            <w:r>
              <w:rPr>
                <w:rFonts w:eastAsiaTheme="minorEastAsia"/>
                <w:color w:val="000000"/>
                <w:szCs w:val="21"/>
              </w:rPr>
              <w:t>应付管理人报酬</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47,682.45</w:t>
            </w:r>
          </w:p>
        </w:tc>
        <w:tc>
          <w:tcPr>
            <w:tcW w:w="1301" w:type="dxa"/>
            <w:vAlign w:val="center"/>
          </w:tcPr>
          <w:p w:rsidR="00871824" w:rsidRDefault="00672BD5">
            <w:pPr>
              <w:jc w:val="right"/>
            </w:pPr>
            <w:r>
              <w:rPr>
                <w:rFonts w:eastAsiaTheme="minorEastAsia"/>
                <w:color w:val="000000"/>
                <w:szCs w:val="21"/>
              </w:rPr>
              <w:t>47,682.45</w:t>
            </w:r>
          </w:p>
        </w:tc>
      </w:tr>
      <w:tr w:rsidR="00871824">
        <w:tc>
          <w:tcPr>
            <w:tcW w:w="1588" w:type="dxa"/>
            <w:vAlign w:val="center"/>
          </w:tcPr>
          <w:p w:rsidR="00871824" w:rsidRDefault="00672BD5">
            <w:pPr>
              <w:jc w:val="center"/>
            </w:pPr>
            <w:r>
              <w:rPr>
                <w:rFonts w:eastAsiaTheme="minorEastAsia"/>
                <w:color w:val="000000"/>
                <w:szCs w:val="21"/>
              </w:rPr>
              <w:t>应付托管费</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15,894.16</w:t>
            </w:r>
          </w:p>
        </w:tc>
        <w:tc>
          <w:tcPr>
            <w:tcW w:w="1301" w:type="dxa"/>
            <w:vAlign w:val="center"/>
          </w:tcPr>
          <w:p w:rsidR="00871824" w:rsidRDefault="00672BD5">
            <w:pPr>
              <w:jc w:val="right"/>
            </w:pPr>
            <w:r>
              <w:rPr>
                <w:rFonts w:eastAsiaTheme="minorEastAsia"/>
                <w:color w:val="000000"/>
                <w:szCs w:val="21"/>
              </w:rPr>
              <w:t>15,894.16</w:t>
            </w:r>
          </w:p>
        </w:tc>
      </w:tr>
      <w:tr w:rsidR="00871824">
        <w:tc>
          <w:tcPr>
            <w:tcW w:w="1588" w:type="dxa"/>
            <w:vAlign w:val="center"/>
          </w:tcPr>
          <w:p w:rsidR="00871824" w:rsidRDefault="00672BD5">
            <w:pPr>
              <w:jc w:val="center"/>
            </w:pPr>
            <w:r>
              <w:rPr>
                <w:rFonts w:eastAsiaTheme="minorEastAsia"/>
                <w:color w:val="000000"/>
                <w:szCs w:val="21"/>
              </w:rPr>
              <w:t>应付销售服务费</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46,372.68</w:t>
            </w:r>
          </w:p>
        </w:tc>
        <w:tc>
          <w:tcPr>
            <w:tcW w:w="1301" w:type="dxa"/>
            <w:vAlign w:val="center"/>
          </w:tcPr>
          <w:p w:rsidR="00871824" w:rsidRDefault="00672BD5">
            <w:pPr>
              <w:jc w:val="right"/>
            </w:pPr>
            <w:r>
              <w:rPr>
                <w:rFonts w:eastAsiaTheme="minorEastAsia"/>
                <w:color w:val="000000"/>
                <w:szCs w:val="21"/>
              </w:rPr>
              <w:t>46,372.68</w:t>
            </w:r>
          </w:p>
        </w:tc>
      </w:tr>
      <w:tr w:rsidR="00871824">
        <w:tc>
          <w:tcPr>
            <w:tcW w:w="1588" w:type="dxa"/>
            <w:vAlign w:val="center"/>
          </w:tcPr>
          <w:p w:rsidR="00871824" w:rsidRDefault="00672BD5">
            <w:pPr>
              <w:jc w:val="center"/>
            </w:pPr>
            <w:r>
              <w:rPr>
                <w:rFonts w:eastAsiaTheme="minorEastAsia"/>
                <w:color w:val="000000"/>
                <w:szCs w:val="21"/>
              </w:rPr>
              <w:t>应付交易费用</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871824">
        <w:tc>
          <w:tcPr>
            <w:tcW w:w="1588" w:type="dxa"/>
            <w:vAlign w:val="center"/>
          </w:tcPr>
          <w:p w:rsidR="00871824" w:rsidRDefault="00672BD5">
            <w:pPr>
              <w:jc w:val="center"/>
            </w:pPr>
            <w:r>
              <w:rPr>
                <w:rFonts w:eastAsiaTheme="minorEastAsia"/>
                <w:color w:val="000000"/>
                <w:szCs w:val="21"/>
              </w:rPr>
              <w:t>应交税费</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871824">
        <w:tc>
          <w:tcPr>
            <w:tcW w:w="1588" w:type="dxa"/>
            <w:vAlign w:val="center"/>
          </w:tcPr>
          <w:p w:rsidR="00871824" w:rsidRDefault="00672BD5">
            <w:pPr>
              <w:jc w:val="center"/>
            </w:pPr>
            <w:r>
              <w:rPr>
                <w:rFonts w:eastAsiaTheme="minorEastAsia"/>
                <w:color w:val="000000"/>
                <w:szCs w:val="21"/>
              </w:rPr>
              <w:t>应付利息</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871824">
        <w:tc>
          <w:tcPr>
            <w:tcW w:w="1588" w:type="dxa"/>
            <w:vAlign w:val="center"/>
          </w:tcPr>
          <w:p w:rsidR="00871824" w:rsidRDefault="00672BD5">
            <w:pPr>
              <w:jc w:val="center"/>
            </w:pPr>
            <w:r>
              <w:rPr>
                <w:rFonts w:eastAsiaTheme="minorEastAsia"/>
                <w:color w:val="000000"/>
                <w:szCs w:val="21"/>
              </w:rPr>
              <w:t>应付利润</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871824">
        <w:tc>
          <w:tcPr>
            <w:tcW w:w="1588" w:type="dxa"/>
            <w:vAlign w:val="center"/>
          </w:tcPr>
          <w:p w:rsidR="00871824" w:rsidRDefault="00672BD5">
            <w:pPr>
              <w:jc w:val="center"/>
            </w:pPr>
            <w:r>
              <w:rPr>
                <w:rFonts w:eastAsiaTheme="minorEastAsia"/>
                <w:color w:val="000000"/>
                <w:szCs w:val="21"/>
              </w:rPr>
              <w:t>递延所得税负债</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871824">
        <w:tc>
          <w:tcPr>
            <w:tcW w:w="1588" w:type="dxa"/>
            <w:vAlign w:val="center"/>
          </w:tcPr>
          <w:p w:rsidR="00871824" w:rsidRDefault="00672BD5">
            <w:pPr>
              <w:jc w:val="center"/>
            </w:pPr>
            <w:r>
              <w:rPr>
                <w:rFonts w:eastAsiaTheme="minorEastAsia"/>
                <w:color w:val="000000"/>
                <w:szCs w:val="21"/>
              </w:rPr>
              <w:t>其他负债</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391,766.00</w:t>
            </w:r>
          </w:p>
        </w:tc>
        <w:tc>
          <w:tcPr>
            <w:tcW w:w="1301" w:type="dxa"/>
            <w:vAlign w:val="center"/>
          </w:tcPr>
          <w:p w:rsidR="00871824" w:rsidRDefault="00672BD5">
            <w:pPr>
              <w:jc w:val="right"/>
            </w:pPr>
            <w:r>
              <w:rPr>
                <w:rFonts w:eastAsiaTheme="minorEastAsia"/>
                <w:color w:val="000000"/>
                <w:szCs w:val="21"/>
              </w:rPr>
              <w:t>391,766.00</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负债总计</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36,479,428.77</w:t>
            </w:r>
          </w:p>
        </w:tc>
        <w:tc>
          <w:tcPr>
            <w:tcW w:w="1301" w:type="dxa"/>
            <w:vAlign w:val="center"/>
          </w:tcPr>
          <w:p w:rsidR="00A10C6C" w:rsidRPr="00C24ACA" w:rsidRDefault="00A10C6C" w:rsidP="00C903E7">
            <w:pPr>
              <w:spacing w:line="360" w:lineRule="auto"/>
              <w:ind w:right="210"/>
              <w:jc w:val="right"/>
              <w:rPr>
                <w:rFonts w:eastAsiaTheme="minorEastAsia"/>
                <w:szCs w:val="21"/>
              </w:rPr>
            </w:pPr>
            <w:r w:rsidRPr="00C24ACA">
              <w:rPr>
                <w:rFonts w:eastAsiaTheme="minorEastAsia"/>
                <w:szCs w:val="21"/>
              </w:rPr>
              <w:t>36,479,428.77</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利率敏感度缺口</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124,392,323.71</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1,592,006,676.44</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1,716,399,000.15</w:t>
            </w:r>
          </w:p>
        </w:tc>
      </w:tr>
      <w:tr w:rsidR="00A10C6C" w:rsidRPr="00C24ACA" w:rsidTr="004C02E0">
        <w:trPr>
          <w:trHeight w:val="280"/>
        </w:trPr>
        <w:tc>
          <w:tcPr>
            <w:tcW w:w="1588" w:type="dxa"/>
            <w:vAlign w:val="center"/>
          </w:tcPr>
          <w:p w:rsidR="00A10C6C" w:rsidRPr="00C24ACA" w:rsidRDefault="00A10C6C" w:rsidP="00427BFF">
            <w:pPr>
              <w:spacing w:line="360" w:lineRule="auto"/>
              <w:jc w:val="center"/>
              <w:rPr>
                <w:rFonts w:eastAsiaTheme="minorEastAsia"/>
                <w:szCs w:val="21"/>
              </w:rPr>
            </w:pPr>
            <w:r w:rsidRPr="00C24ACA">
              <w:rPr>
                <w:rFonts w:eastAsiaTheme="minorEastAsia"/>
                <w:szCs w:val="21"/>
              </w:rPr>
              <w:t>上年度末</w:t>
            </w:r>
          </w:p>
          <w:p w:rsidR="00A10C6C" w:rsidRPr="00C24ACA" w:rsidRDefault="00A10C6C" w:rsidP="00427BFF">
            <w:pPr>
              <w:spacing w:line="360" w:lineRule="auto"/>
              <w:jc w:val="center"/>
              <w:rPr>
                <w:rFonts w:eastAsiaTheme="minorEastAsia"/>
                <w:color w:val="000000"/>
                <w:szCs w:val="21"/>
              </w:rPr>
            </w:pPr>
            <w:r w:rsidRPr="00C24ACA">
              <w:rPr>
                <w:rFonts w:eastAsiaTheme="minorEastAsia"/>
                <w:szCs w:val="21"/>
              </w:rPr>
              <w:t>2019</w:t>
            </w:r>
            <w:r w:rsidRPr="00C24ACA">
              <w:rPr>
                <w:rFonts w:eastAsiaTheme="minorEastAsia"/>
                <w:szCs w:val="21"/>
              </w:rPr>
              <w:t>年</w:t>
            </w:r>
            <w:r w:rsidRPr="00C24ACA">
              <w:rPr>
                <w:rFonts w:eastAsiaTheme="minorEastAsia"/>
                <w:szCs w:val="21"/>
              </w:rPr>
              <w:t>12</w:t>
            </w:r>
            <w:r w:rsidRPr="00C24ACA">
              <w:rPr>
                <w:rFonts w:eastAsiaTheme="minorEastAsia"/>
                <w:szCs w:val="21"/>
              </w:rPr>
              <w:t>月</w:t>
            </w:r>
            <w:r w:rsidRPr="00C24ACA">
              <w:rPr>
                <w:rFonts w:eastAsiaTheme="minorEastAsia"/>
                <w:szCs w:val="21"/>
              </w:rPr>
              <w:t>31</w:t>
            </w:r>
            <w:r w:rsidRPr="00C24ACA">
              <w:rPr>
                <w:rFonts w:eastAsiaTheme="minorEastAsia"/>
                <w:szCs w:val="21"/>
              </w:rPr>
              <w:t>日</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年以内</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1-5</w:t>
            </w:r>
            <w:r w:rsidRPr="00C24ACA">
              <w:rPr>
                <w:rFonts w:eastAsiaTheme="minorEastAsia"/>
                <w:color w:val="000000"/>
                <w:szCs w:val="21"/>
              </w:rPr>
              <w:t>年</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年以上</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不计息</w:t>
            </w:r>
          </w:p>
        </w:tc>
        <w:tc>
          <w:tcPr>
            <w:tcW w:w="13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合计</w:t>
            </w:r>
          </w:p>
        </w:tc>
      </w:tr>
      <w:tr w:rsidR="00A10C6C" w:rsidRPr="00C24ACA" w:rsidTr="004C02E0">
        <w:trPr>
          <w:trHeight w:val="280"/>
        </w:trPr>
        <w:tc>
          <w:tcPr>
            <w:tcW w:w="1588" w:type="dxa"/>
          </w:tcPr>
          <w:p w:rsidR="00A10C6C" w:rsidRPr="00C24ACA" w:rsidRDefault="00A10C6C" w:rsidP="00865B2B">
            <w:pPr>
              <w:spacing w:line="360" w:lineRule="auto"/>
              <w:jc w:val="center"/>
              <w:rPr>
                <w:rFonts w:eastAsiaTheme="minorEastAsia"/>
                <w:color w:val="000000"/>
                <w:szCs w:val="21"/>
              </w:rPr>
            </w:pPr>
            <w:r w:rsidRPr="00C24ACA">
              <w:rPr>
                <w:rFonts w:eastAsiaTheme="minorEastAsia"/>
                <w:color w:val="000000"/>
                <w:szCs w:val="21"/>
              </w:rPr>
              <w:t>资产</w:t>
            </w: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701" w:type="dxa"/>
            <w:vAlign w:val="center"/>
          </w:tcPr>
          <w:p w:rsidR="00A10C6C" w:rsidRPr="00C24ACA" w:rsidRDefault="00A10C6C" w:rsidP="00427BFF">
            <w:pPr>
              <w:spacing w:line="360" w:lineRule="auto"/>
              <w:jc w:val="right"/>
              <w:rPr>
                <w:rFonts w:eastAsiaTheme="minorEastAsia"/>
                <w:b/>
                <w:color w:val="000000"/>
                <w:szCs w:val="21"/>
              </w:rPr>
            </w:pPr>
          </w:p>
        </w:tc>
        <w:tc>
          <w:tcPr>
            <w:tcW w:w="1559" w:type="dxa"/>
            <w:vAlign w:val="center"/>
          </w:tcPr>
          <w:p w:rsidR="00A10C6C" w:rsidRPr="00C24ACA" w:rsidRDefault="00A10C6C" w:rsidP="00427BFF">
            <w:pPr>
              <w:spacing w:line="360" w:lineRule="auto"/>
              <w:jc w:val="right"/>
              <w:rPr>
                <w:rFonts w:eastAsiaTheme="minorEastAsia"/>
                <w:b/>
                <w:color w:val="000000"/>
                <w:szCs w:val="21"/>
              </w:rPr>
            </w:pPr>
          </w:p>
        </w:tc>
        <w:tc>
          <w:tcPr>
            <w:tcW w:w="1559" w:type="dxa"/>
            <w:vAlign w:val="center"/>
          </w:tcPr>
          <w:p w:rsidR="00A10C6C" w:rsidRPr="00C24ACA" w:rsidRDefault="00A10C6C" w:rsidP="00427BFF">
            <w:pPr>
              <w:spacing w:line="360" w:lineRule="auto"/>
              <w:jc w:val="right"/>
              <w:rPr>
                <w:rFonts w:eastAsiaTheme="minorEastAsia"/>
                <w:b/>
                <w:color w:val="000000"/>
                <w:szCs w:val="21"/>
              </w:rPr>
            </w:pPr>
          </w:p>
        </w:tc>
        <w:tc>
          <w:tcPr>
            <w:tcW w:w="1301" w:type="dxa"/>
            <w:vAlign w:val="center"/>
          </w:tcPr>
          <w:p w:rsidR="00A10C6C" w:rsidRPr="00C24ACA" w:rsidRDefault="00A10C6C" w:rsidP="00427BFF">
            <w:pPr>
              <w:spacing w:line="360" w:lineRule="auto"/>
              <w:jc w:val="right"/>
              <w:rPr>
                <w:rFonts w:eastAsiaTheme="minorEastAsia"/>
                <w:b/>
                <w:color w:val="000000"/>
                <w:szCs w:val="21"/>
              </w:rPr>
            </w:pPr>
          </w:p>
        </w:tc>
      </w:tr>
      <w:tr w:rsidR="00871824">
        <w:tc>
          <w:tcPr>
            <w:tcW w:w="1588" w:type="dxa"/>
            <w:vAlign w:val="center"/>
          </w:tcPr>
          <w:p w:rsidR="00871824" w:rsidRDefault="00672BD5">
            <w:pPr>
              <w:jc w:val="center"/>
            </w:pPr>
            <w:r>
              <w:rPr>
                <w:rFonts w:eastAsiaTheme="minorEastAsia"/>
                <w:color w:val="000000"/>
                <w:szCs w:val="21"/>
              </w:rPr>
              <w:t>银行存款</w:t>
            </w:r>
          </w:p>
        </w:tc>
        <w:tc>
          <w:tcPr>
            <w:tcW w:w="1701" w:type="dxa"/>
            <w:vAlign w:val="center"/>
          </w:tcPr>
          <w:p w:rsidR="00871824" w:rsidRDefault="00672BD5">
            <w:pPr>
              <w:jc w:val="right"/>
            </w:pPr>
            <w:r>
              <w:rPr>
                <w:rFonts w:eastAsiaTheme="minorEastAsia"/>
                <w:color w:val="000000"/>
                <w:szCs w:val="21"/>
              </w:rPr>
              <w:t>185,704,552.30</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185,704,552.30</w:t>
            </w:r>
          </w:p>
        </w:tc>
      </w:tr>
      <w:tr w:rsidR="00871824">
        <w:tc>
          <w:tcPr>
            <w:tcW w:w="1588" w:type="dxa"/>
            <w:vAlign w:val="center"/>
          </w:tcPr>
          <w:p w:rsidR="00871824" w:rsidRDefault="00672BD5">
            <w:pPr>
              <w:jc w:val="center"/>
            </w:pPr>
            <w:r>
              <w:rPr>
                <w:rFonts w:eastAsiaTheme="minorEastAsia"/>
                <w:color w:val="000000"/>
                <w:szCs w:val="21"/>
              </w:rPr>
              <w:t>结算备付金</w:t>
            </w:r>
          </w:p>
        </w:tc>
        <w:tc>
          <w:tcPr>
            <w:tcW w:w="1701" w:type="dxa"/>
            <w:vAlign w:val="center"/>
          </w:tcPr>
          <w:p w:rsidR="00871824" w:rsidRDefault="00672BD5">
            <w:pPr>
              <w:jc w:val="right"/>
            </w:pPr>
            <w:r>
              <w:rPr>
                <w:rFonts w:eastAsiaTheme="minorEastAsia"/>
                <w:color w:val="000000"/>
                <w:szCs w:val="21"/>
              </w:rPr>
              <w:t>16,389,623.02</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16,389,623.02</w:t>
            </w:r>
          </w:p>
        </w:tc>
      </w:tr>
      <w:tr w:rsidR="00871824">
        <w:tc>
          <w:tcPr>
            <w:tcW w:w="1588" w:type="dxa"/>
            <w:vAlign w:val="center"/>
          </w:tcPr>
          <w:p w:rsidR="00871824" w:rsidRDefault="00672BD5">
            <w:pPr>
              <w:jc w:val="center"/>
            </w:pPr>
            <w:r>
              <w:rPr>
                <w:rFonts w:eastAsiaTheme="minorEastAsia"/>
                <w:color w:val="000000"/>
                <w:szCs w:val="21"/>
              </w:rPr>
              <w:t>存出保证金</w:t>
            </w:r>
          </w:p>
        </w:tc>
        <w:tc>
          <w:tcPr>
            <w:tcW w:w="1701" w:type="dxa"/>
            <w:vAlign w:val="center"/>
          </w:tcPr>
          <w:p w:rsidR="00871824" w:rsidRDefault="00672BD5">
            <w:pPr>
              <w:jc w:val="right"/>
            </w:pPr>
            <w:r>
              <w:rPr>
                <w:rFonts w:eastAsiaTheme="minorEastAsia"/>
                <w:color w:val="000000"/>
                <w:szCs w:val="21"/>
              </w:rPr>
              <w:t>133,604.97</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133,604.97</w:t>
            </w:r>
          </w:p>
        </w:tc>
      </w:tr>
      <w:tr w:rsidR="00871824">
        <w:tc>
          <w:tcPr>
            <w:tcW w:w="1588" w:type="dxa"/>
            <w:vAlign w:val="center"/>
          </w:tcPr>
          <w:p w:rsidR="00871824" w:rsidRDefault="00672BD5">
            <w:pPr>
              <w:jc w:val="center"/>
            </w:pPr>
            <w:r>
              <w:rPr>
                <w:rFonts w:eastAsiaTheme="minorEastAsia"/>
                <w:color w:val="000000"/>
                <w:szCs w:val="21"/>
              </w:rPr>
              <w:t>交易性金融资产</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1,850,339,637.07</w:t>
            </w:r>
          </w:p>
        </w:tc>
        <w:tc>
          <w:tcPr>
            <w:tcW w:w="1301" w:type="dxa"/>
            <w:vAlign w:val="center"/>
          </w:tcPr>
          <w:p w:rsidR="00871824" w:rsidRDefault="00672BD5">
            <w:pPr>
              <w:jc w:val="right"/>
            </w:pPr>
            <w:r>
              <w:rPr>
                <w:rFonts w:eastAsiaTheme="minorEastAsia"/>
                <w:color w:val="000000"/>
                <w:szCs w:val="21"/>
              </w:rPr>
              <w:t>1,850,339,637.07</w:t>
            </w:r>
          </w:p>
        </w:tc>
      </w:tr>
      <w:tr w:rsidR="00871824">
        <w:tc>
          <w:tcPr>
            <w:tcW w:w="1588" w:type="dxa"/>
            <w:vAlign w:val="center"/>
          </w:tcPr>
          <w:p w:rsidR="00871824" w:rsidRDefault="00672BD5">
            <w:pPr>
              <w:jc w:val="center"/>
            </w:pPr>
            <w:r>
              <w:rPr>
                <w:rFonts w:eastAsiaTheme="minorEastAsia"/>
                <w:color w:val="000000"/>
                <w:szCs w:val="21"/>
              </w:rPr>
              <w:t>衍生金融资产</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871824">
        <w:tc>
          <w:tcPr>
            <w:tcW w:w="1588" w:type="dxa"/>
            <w:vAlign w:val="center"/>
          </w:tcPr>
          <w:p w:rsidR="00871824" w:rsidRDefault="00672BD5">
            <w:pPr>
              <w:jc w:val="center"/>
            </w:pPr>
            <w:r>
              <w:rPr>
                <w:rFonts w:eastAsiaTheme="minorEastAsia"/>
                <w:color w:val="000000"/>
                <w:szCs w:val="21"/>
              </w:rPr>
              <w:t>买入返售金融资产</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871824">
        <w:tc>
          <w:tcPr>
            <w:tcW w:w="1588" w:type="dxa"/>
            <w:vAlign w:val="center"/>
          </w:tcPr>
          <w:p w:rsidR="00871824" w:rsidRDefault="00672BD5">
            <w:pPr>
              <w:jc w:val="center"/>
            </w:pPr>
            <w:r>
              <w:rPr>
                <w:rFonts w:eastAsiaTheme="minorEastAsia"/>
                <w:color w:val="000000"/>
                <w:szCs w:val="21"/>
              </w:rPr>
              <w:t>应收证券清算款</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11,029,320.95</w:t>
            </w:r>
          </w:p>
        </w:tc>
        <w:tc>
          <w:tcPr>
            <w:tcW w:w="1301" w:type="dxa"/>
            <w:vAlign w:val="center"/>
          </w:tcPr>
          <w:p w:rsidR="00871824" w:rsidRDefault="00672BD5">
            <w:pPr>
              <w:jc w:val="right"/>
            </w:pPr>
            <w:r>
              <w:rPr>
                <w:rFonts w:eastAsiaTheme="minorEastAsia"/>
                <w:color w:val="000000"/>
                <w:szCs w:val="21"/>
              </w:rPr>
              <w:t>11,029,320.95</w:t>
            </w:r>
          </w:p>
        </w:tc>
      </w:tr>
      <w:tr w:rsidR="00871824">
        <w:tc>
          <w:tcPr>
            <w:tcW w:w="1588" w:type="dxa"/>
            <w:vAlign w:val="center"/>
          </w:tcPr>
          <w:p w:rsidR="00871824" w:rsidRDefault="00672BD5">
            <w:pPr>
              <w:jc w:val="center"/>
            </w:pPr>
            <w:r>
              <w:rPr>
                <w:rFonts w:eastAsiaTheme="minorEastAsia"/>
                <w:color w:val="000000"/>
                <w:szCs w:val="21"/>
              </w:rPr>
              <w:t>应收利息</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11,575.90</w:t>
            </w:r>
          </w:p>
        </w:tc>
        <w:tc>
          <w:tcPr>
            <w:tcW w:w="1301" w:type="dxa"/>
            <w:vAlign w:val="center"/>
          </w:tcPr>
          <w:p w:rsidR="00871824" w:rsidRDefault="00672BD5">
            <w:pPr>
              <w:jc w:val="right"/>
            </w:pPr>
            <w:r>
              <w:rPr>
                <w:rFonts w:eastAsiaTheme="minorEastAsia"/>
                <w:color w:val="000000"/>
                <w:szCs w:val="21"/>
              </w:rPr>
              <w:t>11,575.90</w:t>
            </w:r>
          </w:p>
        </w:tc>
      </w:tr>
      <w:tr w:rsidR="00871824">
        <w:tc>
          <w:tcPr>
            <w:tcW w:w="1588" w:type="dxa"/>
            <w:vAlign w:val="center"/>
          </w:tcPr>
          <w:p w:rsidR="00871824" w:rsidRDefault="00672BD5">
            <w:pPr>
              <w:jc w:val="center"/>
            </w:pPr>
            <w:r>
              <w:rPr>
                <w:rFonts w:eastAsiaTheme="minorEastAsia"/>
                <w:color w:val="000000"/>
                <w:szCs w:val="21"/>
              </w:rPr>
              <w:t>应收股利</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871824">
        <w:tc>
          <w:tcPr>
            <w:tcW w:w="1588" w:type="dxa"/>
            <w:vAlign w:val="center"/>
          </w:tcPr>
          <w:p w:rsidR="00871824" w:rsidRDefault="00672BD5">
            <w:pPr>
              <w:jc w:val="center"/>
            </w:pPr>
            <w:r>
              <w:rPr>
                <w:rFonts w:eastAsiaTheme="minorEastAsia"/>
                <w:color w:val="000000"/>
                <w:szCs w:val="21"/>
              </w:rPr>
              <w:t>应收申购款</w:t>
            </w:r>
          </w:p>
        </w:tc>
        <w:tc>
          <w:tcPr>
            <w:tcW w:w="1701" w:type="dxa"/>
            <w:vAlign w:val="center"/>
          </w:tcPr>
          <w:p w:rsidR="00871824" w:rsidRDefault="00672BD5">
            <w:pPr>
              <w:jc w:val="right"/>
            </w:pPr>
            <w:r>
              <w:rPr>
                <w:rFonts w:eastAsiaTheme="minorEastAsia"/>
                <w:color w:val="000000"/>
                <w:szCs w:val="21"/>
              </w:rPr>
              <w:t>4,145.03</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5,582,689.73</w:t>
            </w:r>
          </w:p>
        </w:tc>
        <w:tc>
          <w:tcPr>
            <w:tcW w:w="1301" w:type="dxa"/>
            <w:vAlign w:val="center"/>
          </w:tcPr>
          <w:p w:rsidR="00871824" w:rsidRDefault="00672BD5">
            <w:pPr>
              <w:jc w:val="right"/>
            </w:pPr>
            <w:r>
              <w:rPr>
                <w:rFonts w:eastAsiaTheme="minorEastAsia"/>
                <w:color w:val="000000"/>
                <w:szCs w:val="21"/>
              </w:rPr>
              <w:t>5,586,834.76</w:t>
            </w:r>
          </w:p>
        </w:tc>
      </w:tr>
      <w:tr w:rsidR="00871824">
        <w:tc>
          <w:tcPr>
            <w:tcW w:w="1588" w:type="dxa"/>
            <w:vAlign w:val="center"/>
          </w:tcPr>
          <w:p w:rsidR="00871824" w:rsidRDefault="00672BD5">
            <w:pPr>
              <w:jc w:val="center"/>
            </w:pPr>
            <w:r>
              <w:rPr>
                <w:rFonts w:eastAsiaTheme="minorEastAsia"/>
                <w:color w:val="000000"/>
                <w:szCs w:val="21"/>
              </w:rPr>
              <w:t>递延所得税资产</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871824">
        <w:tc>
          <w:tcPr>
            <w:tcW w:w="1588" w:type="dxa"/>
            <w:vAlign w:val="center"/>
          </w:tcPr>
          <w:p w:rsidR="00871824" w:rsidRDefault="00672BD5">
            <w:pPr>
              <w:jc w:val="center"/>
            </w:pPr>
            <w:r>
              <w:rPr>
                <w:rFonts w:eastAsiaTheme="minorEastAsia"/>
                <w:color w:val="000000"/>
                <w:szCs w:val="21"/>
              </w:rPr>
              <w:t>其他资产</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资产总计</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202,231,925.32</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1,866,963,223.65</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2,069,195,148.97</w:t>
            </w:r>
          </w:p>
        </w:tc>
      </w:tr>
      <w:tr w:rsidR="00A10C6C" w:rsidRPr="00C24ACA" w:rsidTr="004C02E0">
        <w:trPr>
          <w:trHeight w:val="278"/>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w:t>
            </w:r>
          </w:p>
        </w:tc>
        <w:tc>
          <w:tcPr>
            <w:tcW w:w="1701" w:type="dxa"/>
            <w:vAlign w:val="bottom"/>
          </w:tcPr>
          <w:p w:rsidR="00A10C6C" w:rsidRPr="00C24ACA" w:rsidRDefault="00A10C6C" w:rsidP="00427BFF">
            <w:pPr>
              <w:spacing w:line="360" w:lineRule="auto"/>
              <w:jc w:val="right"/>
              <w:rPr>
                <w:rFonts w:eastAsiaTheme="minorEastAsia"/>
                <w:color w:val="0000FF"/>
                <w:kern w:val="0"/>
                <w:szCs w:val="21"/>
              </w:rPr>
            </w:pPr>
          </w:p>
        </w:tc>
        <w:tc>
          <w:tcPr>
            <w:tcW w:w="1701" w:type="dxa"/>
            <w:vAlign w:val="bottom"/>
          </w:tcPr>
          <w:p w:rsidR="00A10C6C" w:rsidRPr="00C24ACA" w:rsidRDefault="00A10C6C" w:rsidP="00427BFF">
            <w:pPr>
              <w:spacing w:line="360" w:lineRule="auto"/>
              <w:jc w:val="right"/>
              <w:rPr>
                <w:rFonts w:eastAsiaTheme="minorEastAsia"/>
                <w:color w:val="000000"/>
                <w:szCs w:val="21"/>
              </w:rPr>
            </w:pPr>
          </w:p>
        </w:tc>
        <w:tc>
          <w:tcPr>
            <w:tcW w:w="1559" w:type="dxa"/>
            <w:vAlign w:val="bottom"/>
          </w:tcPr>
          <w:p w:rsidR="00A10C6C" w:rsidRPr="00C24ACA" w:rsidRDefault="00A10C6C" w:rsidP="00427BFF">
            <w:pPr>
              <w:spacing w:line="360" w:lineRule="auto"/>
              <w:jc w:val="right"/>
              <w:rPr>
                <w:rFonts w:eastAsiaTheme="minorEastAsia"/>
                <w:color w:val="000000"/>
                <w:szCs w:val="21"/>
              </w:rPr>
            </w:pPr>
          </w:p>
        </w:tc>
        <w:tc>
          <w:tcPr>
            <w:tcW w:w="1559" w:type="dxa"/>
            <w:vAlign w:val="bottom"/>
          </w:tcPr>
          <w:p w:rsidR="00A10C6C" w:rsidRPr="00C24ACA" w:rsidRDefault="00A10C6C" w:rsidP="00427BFF">
            <w:pPr>
              <w:spacing w:line="360" w:lineRule="auto"/>
              <w:jc w:val="right"/>
              <w:rPr>
                <w:rFonts w:eastAsiaTheme="minorEastAsia"/>
                <w:color w:val="000000"/>
                <w:szCs w:val="21"/>
              </w:rPr>
            </w:pPr>
          </w:p>
        </w:tc>
        <w:tc>
          <w:tcPr>
            <w:tcW w:w="1301" w:type="dxa"/>
            <w:vAlign w:val="bottom"/>
          </w:tcPr>
          <w:p w:rsidR="00A10C6C" w:rsidRPr="00C24ACA" w:rsidRDefault="00A10C6C" w:rsidP="00427BFF">
            <w:pPr>
              <w:spacing w:line="360" w:lineRule="auto"/>
              <w:jc w:val="right"/>
              <w:rPr>
                <w:rFonts w:eastAsiaTheme="minorEastAsia"/>
                <w:color w:val="000000"/>
                <w:szCs w:val="21"/>
              </w:rPr>
            </w:pPr>
          </w:p>
        </w:tc>
      </w:tr>
      <w:tr w:rsidR="00871824">
        <w:tc>
          <w:tcPr>
            <w:tcW w:w="1588" w:type="dxa"/>
            <w:vAlign w:val="center"/>
          </w:tcPr>
          <w:p w:rsidR="00871824" w:rsidRDefault="00672BD5">
            <w:pPr>
              <w:jc w:val="center"/>
            </w:pPr>
            <w:r>
              <w:rPr>
                <w:rFonts w:eastAsiaTheme="minorEastAsia"/>
                <w:color w:val="000000"/>
                <w:szCs w:val="21"/>
              </w:rPr>
              <w:t>短期借款</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center"/>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871824">
        <w:tc>
          <w:tcPr>
            <w:tcW w:w="1588" w:type="dxa"/>
            <w:vAlign w:val="center"/>
          </w:tcPr>
          <w:p w:rsidR="00871824" w:rsidRDefault="00672BD5">
            <w:pPr>
              <w:jc w:val="center"/>
            </w:pPr>
            <w:r>
              <w:rPr>
                <w:rFonts w:eastAsiaTheme="minorEastAsia"/>
                <w:color w:val="000000"/>
                <w:szCs w:val="21"/>
              </w:rPr>
              <w:t>交易性金融负债</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center"/>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871824">
        <w:tc>
          <w:tcPr>
            <w:tcW w:w="1588" w:type="dxa"/>
            <w:vAlign w:val="center"/>
          </w:tcPr>
          <w:p w:rsidR="00871824" w:rsidRDefault="00672BD5">
            <w:pPr>
              <w:jc w:val="center"/>
            </w:pPr>
            <w:r>
              <w:rPr>
                <w:rFonts w:eastAsiaTheme="minorEastAsia"/>
                <w:color w:val="000000"/>
                <w:szCs w:val="21"/>
              </w:rPr>
              <w:t>衍生金融负债</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center"/>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871824">
        <w:tc>
          <w:tcPr>
            <w:tcW w:w="1588" w:type="dxa"/>
            <w:vAlign w:val="center"/>
          </w:tcPr>
          <w:p w:rsidR="00871824" w:rsidRDefault="00672BD5">
            <w:pPr>
              <w:jc w:val="center"/>
            </w:pPr>
            <w:r>
              <w:rPr>
                <w:rFonts w:eastAsiaTheme="minorEastAsia"/>
                <w:color w:val="000000"/>
                <w:szCs w:val="21"/>
              </w:rPr>
              <w:t>卖出回购金融资产款</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center"/>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871824">
        <w:tc>
          <w:tcPr>
            <w:tcW w:w="1588" w:type="dxa"/>
            <w:vAlign w:val="center"/>
          </w:tcPr>
          <w:p w:rsidR="00871824" w:rsidRDefault="00672BD5">
            <w:pPr>
              <w:jc w:val="center"/>
            </w:pPr>
            <w:r>
              <w:rPr>
                <w:rFonts w:eastAsiaTheme="minorEastAsia"/>
                <w:color w:val="000000"/>
                <w:szCs w:val="21"/>
              </w:rPr>
              <w:t>应付证券清算款</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center"/>
            </w:pPr>
            <w:r>
              <w:rPr>
                <w:rFonts w:eastAsiaTheme="minorEastAsia"/>
                <w:color w:val="000000"/>
                <w:szCs w:val="21"/>
              </w:rPr>
              <w:t>70,707,453.80</w:t>
            </w:r>
          </w:p>
        </w:tc>
        <w:tc>
          <w:tcPr>
            <w:tcW w:w="1301" w:type="dxa"/>
            <w:vAlign w:val="center"/>
          </w:tcPr>
          <w:p w:rsidR="00871824" w:rsidRDefault="00672BD5">
            <w:pPr>
              <w:jc w:val="right"/>
            </w:pPr>
            <w:r>
              <w:rPr>
                <w:rFonts w:eastAsiaTheme="minorEastAsia"/>
                <w:color w:val="000000"/>
                <w:szCs w:val="21"/>
              </w:rPr>
              <w:t>70,707,453.80</w:t>
            </w:r>
          </w:p>
        </w:tc>
      </w:tr>
      <w:tr w:rsidR="00871824">
        <w:tc>
          <w:tcPr>
            <w:tcW w:w="1588" w:type="dxa"/>
            <w:vAlign w:val="center"/>
          </w:tcPr>
          <w:p w:rsidR="00871824" w:rsidRDefault="00672BD5">
            <w:pPr>
              <w:jc w:val="center"/>
            </w:pPr>
            <w:r>
              <w:rPr>
                <w:rFonts w:eastAsiaTheme="minorEastAsia"/>
                <w:color w:val="000000"/>
                <w:szCs w:val="21"/>
              </w:rPr>
              <w:t>应付赎回款</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center"/>
            </w:pPr>
            <w:r>
              <w:rPr>
                <w:rFonts w:eastAsiaTheme="minorEastAsia"/>
                <w:color w:val="000000"/>
                <w:szCs w:val="21"/>
              </w:rPr>
              <w:t>18,849,115.08</w:t>
            </w:r>
          </w:p>
        </w:tc>
        <w:tc>
          <w:tcPr>
            <w:tcW w:w="1301" w:type="dxa"/>
            <w:vAlign w:val="center"/>
          </w:tcPr>
          <w:p w:rsidR="00871824" w:rsidRDefault="00672BD5">
            <w:pPr>
              <w:jc w:val="right"/>
            </w:pPr>
            <w:r>
              <w:rPr>
                <w:rFonts w:eastAsiaTheme="minorEastAsia"/>
                <w:color w:val="000000"/>
                <w:szCs w:val="21"/>
              </w:rPr>
              <w:t>18,849,115.08</w:t>
            </w:r>
          </w:p>
        </w:tc>
      </w:tr>
      <w:tr w:rsidR="00871824">
        <w:tc>
          <w:tcPr>
            <w:tcW w:w="1588" w:type="dxa"/>
            <w:vAlign w:val="center"/>
          </w:tcPr>
          <w:p w:rsidR="00871824" w:rsidRDefault="00672BD5">
            <w:pPr>
              <w:jc w:val="center"/>
            </w:pPr>
            <w:r>
              <w:rPr>
                <w:rFonts w:eastAsiaTheme="minorEastAsia"/>
                <w:color w:val="000000"/>
                <w:szCs w:val="21"/>
              </w:rPr>
              <w:t>应付管理人报酬</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center"/>
            </w:pPr>
            <w:r>
              <w:rPr>
                <w:rFonts w:eastAsiaTheme="minorEastAsia"/>
                <w:color w:val="000000"/>
                <w:szCs w:val="21"/>
              </w:rPr>
              <w:t>55,968.35</w:t>
            </w:r>
          </w:p>
        </w:tc>
        <w:tc>
          <w:tcPr>
            <w:tcW w:w="1301" w:type="dxa"/>
            <w:vAlign w:val="center"/>
          </w:tcPr>
          <w:p w:rsidR="00871824" w:rsidRDefault="00672BD5">
            <w:pPr>
              <w:jc w:val="right"/>
            </w:pPr>
            <w:r>
              <w:rPr>
                <w:rFonts w:eastAsiaTheme="minorEastAsia"/>
                <w:color w:val="000000"/>
                <w:szCs w:val="21"/>
              </w:rPr>
              <w:t>55,968.35</w:t>
            </w:r>
          </w:p>
        </w:tc>
      </w:tr>
      <w:tr w:rsidR="00871824">
        <w:tc>
          <w:tcPr>
            <w:tcW w:w="1588" w:type="dxa"/>
            <w:vAlign w:val="center"/>
          </w:tcPr>
          <w:p w:rsidR="00871824" w:rsidRDefault="00672BD5">
            <w:pPr>
              <w:jc w:val="center"/>
            </w:pPr>
            <w:r>
              <w:rPr>
                <w:rFonts w:eastAsiaTheme="minorEastAsia"/>
                <w:color w:val="000000"/>
                <w:szCs w:val="21"/>
              </w:rPr>
              <w:t>应付托管费</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center"/>
            </w:pPr>
            <w:r>
              <w:rPr>
                <w:rFonts w:eastAsiaTheme="minorEastAsia"/>
                <w:color w:val="000000"/>
                <w:szCs w:val="21"/>
              </w:rPr>
              <w:t>18,656.11</w:t>
            </w:r>
          </w:p>
        </w:tc>
        <w:tc>
          <w:tcPr>
            <w:tcW w:w="1301" w:type="dxa"/>
            <w:vAlign w:val="center"/>
          </w:tcPr>
          <w:p w:rsidR="00871824" w:rsidRDefault="00672BD5">
            <w:pPr>
              <w:jc w:val="right"/>
            </w:pPr>
            <w:r>
              <w:rPr>
                <w:rFonts w:eastAsiaTheme="minorEastAsia"/>
                <w:color w:val="000000"/>
                <w:szCs w:val="21"/>
              </w:rPr>
              <w:t>18,656.11</w:t>
            </w:r>
          </w:p>
        </w:tc>
      </w:tr>
      <w:tr w:rsidR="00871824">
        <w:tc>
          <w:tcPr>
            <w:tcW w:w="1588" w:type="dxa"/>
            <w:vAlign w:val="center"/>
          </w:tcPr>
          <w:p w:rsidR="00871824" w:rsidRDefault="00672BD5">
            <w:pPr>
              <w:jc w:val="center"/>
            </w:pPr>
            <w:r>
              <w:rPr>
                <w:rFonts w:eastAsiaTheme="minorEastAsia"/>
                <w:color w:val="000000"/>
                <w:szCs w:val="21"/>
              </w:rPr>
              <w:t>应付销售服务费</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center"/>
            </w:pPr>
            <w:r>
              <w:rPr>
                <w:rFonts w:eastAsiaTheme="minorEastAsia"/>
                <w:color w:val="000000"/>
                <w:szCs w:val="21"/>
              </w:rPr>
              <w:t>21,135.01</w:t>
            </w:r>
          </w:p>
        </w:tc>
        <w:tc>
          <w:tcPr>
            <w:tcW w:w="1301" w:type="dxa"/>
            <w:vAlign w:val="center"/>
          </w:tcPr>
          <w:p w:rsidR="00871824" w:rsidRDefault="00672BD5">
            <w:pPr>
              <w:jc w:val="right"/>
            </w:pPr>
            <w:r>
              <w:rPr>
                <w:rFonts w:eastAsiaTheme="minorEastAsia"/>
                <w:color w:val="000000"/>
                <w:szCs w:val="21"/>
              </w:rPr>
              <w:t>21,135.01</w:t>
            </w:r>
          </w:p>
        </w:tc>
      </w:tr>
      <w:tr w:rsidR="00871824">
        <w:tc>
          <w:tcPr>
            <w:tcW w:w="1588" w:type="dxa"/>
            <w:vAlign w:val="center"/>
          </w:tcPr>
          <w:p w:rsidR="00871824" w:rsidRDefault="00672BD5">
            <w:pPr>
              <w:jc w:val="center"/>
            </w:pPr>
            <w:r>
              <w:rPr>
                <w:rFonts w:eastAsiaTheme="minorEastAsia"/>
                <w:color w:val="000000"/>
                <w:szCs w:val="21"/>
              </w:rPr>
              <w:t>应付交易费用</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center"/>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871824">
        <w:tc>
          <w:tcPr>
            <w:tcW w:w="1588" w:type="dxa"/>
            <w:vAlign w:val="center"/>
          </w:tcPr>
          <w:p w:rsidR="00871824" w:rsidRDefault="00672BD5">
            <w:pPr>
              <w:jc w:val="center"/>
            </w:pPr>
            <w:r>
              <w:rPr>
                <w:rFonts w:eastAsiaTheme="minorEastAsia"/>
                <w:color w:val="000000"/>
                <w:szCs w:val="21"/>
              </w:rPr>
              <w:t>应交税费</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center"/>
            </w:pPr>
            <w:r>
              <w:rPr>
                <w:rFonts w:eastAsiaTheme="minorEastAsia"/>
                <w:color w:val="000000"/>
                <w:szCs w:val="21"/>
              </w:rPr>
              <w:t>11,811.36</w:t>
            </w:r>
          </w:p>
        </w:tc>
        <w:tc>
          <w:tcPr>
            <w:tcW w:w="1301" w:type="dxa"/>
            <w:vAlign w:val="center"/>
          </w:tcPr>
          <w:p w:rsidR="00871824" w:rsidRDefault="00672BD5">
            <w:pPr>
              <w:jc w:val="right"/>
            </w:pPr>
            <w:r>
              <w:rPr>
                <w:rFonts w:eastAsiaTheme="minorEastAsia"/>
                <w:color w:val="000000"/>
                <w:szCs w:val="21"/>
              </w:rPr>
              <w:t>11,811.36</w:t>
            </w:r>
          </w:p>
        </w:tc>
      </w:tr>
      <w:tr w:rsidR="00871824">
        <w:tc>
          <w:tcPr>
            <w:tcW w:w="1588" w:type="dxa"/>
            <w:vAlign w:val="center"/>
          </w:tcPr>
          <w:p w:rsidR="00871824" w:rsidRDefault="00672BD5">
            <w:pPr>
              <w:jc w:val="center"/>
            </w:pPr>
            <w:r>
              <w:rPr>
                <w:rFonts w:eastAsiaTheme="minorEastAsia"/>
                <w:color w:val="000000"/>
                <w:szCs w:val="21"/>
              </w:rPr>
              <w:t>应付利息</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center"/>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871824">
        <w:tc>
          <w:tcPr>
            <w:tcW w:w="1588" w:type="dxa"/>
            <w:vAlign w:val="center"/>
          </w:tcPr>
          <w:p w:rsidR="00871824" w:rsidRDefault="00672BD5">
            <w:pPr>
              <w:jc w:val="center"/>
            </w:pPr>
            <w:r>
              <w:rPr>
                <w:rFonts w:eastAsiaTheme="minorEastAsia"/>
                <w:color w:val="000000"/>
                <w:szCs w:val="21"/>
              </w:rPr>
              <w:t>应付利润</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center"/>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871824">
        <w:tc>
          <w:tcPr>
            <w:tcW w:w="1588" w:type="dxa"/>
            <w:vAlign w:val="center"/>
          </w:tcPr>
          <w:p w:rsidR="00871824" w:rsidRDefault="00672BD5">
            <w:pPr>
              <w:jc w:val="center"/>
            </w:pPr>
            <w:r>
              <w:rPr>
                <w:rFonts w:eastAsiaTheme="minorEastAsia"/>
                <w:color w:val="000000"/>
                <w:szCs w:val="21"/>
              </w:rPr>
              <w:t>递延所得税负债</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center"/>
            </w:pPr>
            <w:r>
              <w:rPr>
                <w:rFonts w:eastAsiaTheme="minorEastAsia"/>
                <w:color w:val="000000"/>
                <w:szCs w:val="21"/>
              </w:rPr>
              <w:t>-</w:t>
            </w:r>
          </w:p>
        </w:tc>
        <w:tc>
          <w:tcPr>
            <w:tcW w:w="1301" w:type="dxa"/>
            <w:vAlign w:val="center"/>
          </w:tcPr>
          <w:p w:rsidR="00871824" w:rsidRDefault="00672BD5">
            <w:pPr>
              <w:jc w:val="right"/>
            </w:pPr>
            <w:r>
              <w:rPr>
                <w:rFonts w:eastAsiaTheme="minorEastAsia"/>
                <w:color w:val="000000"/>
                <w:szCs w:val="21"/>
              </w:rPr>
              <w:t>-</w:t>
            </w:r>
          </w:p>
        </w:tc>
      </w:tr>
      <w:tr w:rsidR="00871824">
        <w:tc>
          <w:tcPr>
            <w:tcW w:w="1588" w:type="dxa"/>
            <w:vAlign w:val="center"/>
          </w:tcPr>
          <w:p w:rsidR="00871824" w:rsidRDefault="00672BD5">
            <w:pPr>
              <w:jc w:val="center"/>
            </w:pPr>
            <w:r>
              <w:rPr>
                <w:rFonts w:eastAsiaTheme="minorEastAsia"/>
                <w:color w:val="000000"/>
                <w:szCs w:val="21"/>
              </w:rPr>
              <w:t>其他负债</w:t>
            </w:r>
          </w:p>
        </w:tc>
        <w:tc>
          <w:tcPr>
            <w:tcW w:w="1701" w:type="dxa"/>
            <w:vAlign w:val="center"/>
          </w:tcPr>
          <w:p w:rsidR="00871824" w:rsidRDefault="00672BD5">
            <w:pPr>
              <w:jc w:val="right"/>
            </w:pPr>
            <w:r>
              <w:rPr>
                <w:rFonts w:eastAsiaTheme="minorEastAsia"/>
                <w:color w:val="000000"/>
                <w:szCs w:val="21"/>
              </w:rPr>
              <w:t>-</w:t>
            </w:r>
          </w:p>
        </w:tc>
        <w:tc>
          <w:tcPr>
            <w:tcW w:w="1701"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right"/>
            </w:pPr>
            <w:r>
              <w:rPr>
                <w:rFonts w:eastAsiaTheme="minorEastAsia"/>
                <w:color w:val="000000"/>
                <w:szCs w:val="21"/>
              </w:rPr>
              <w:t>-</w:t>
            </w:r>
          </w:p>
        </w:tc>
        <w:tc>
          <w:tcPr>
            <w:tcW w:w="1559" w:type="dxa"/>
            <w:vAlign w:val="center"/>
          </w:tcPr>
          <w:p w:rsidR="00871824" w:rsidRDefault="00672BD5">
            <w:pPr>
              <w:jc w:val="center"/>
            </w:pPr>
            <w:r>
              <w:rPr>
                <w:rFonts w:eastAsiaTheme="minorEastAsia"/>
                <w:color w:val="000000"/>
                <w:szCs w:val="21"/>
              </w:rPr>
              <w:t>311,868.23</w:t>
            </w:r>
          </w:p>
        </w:tc>
        <w:tc>
          <w:tcPr>
            <w:tcW w:w="1301" w:type="dxa"/>
            <w:vAlign w:val="center"/>
          </w:tcPr>
          <w:p w:rsidR="00871824" w:rsidRDefault="00672BD5">
            <w:pPr>
              <w:jc w:val="right"/>
            </w:pPr>
            <w:r>
              <w:rPr>
                <w:rFonts w:eastAsiaTheme="minorEastAsia"/>
                <w:color w:val="000000"/>
                <w:szCs w:val="21"/>
              </w:rPr>
              <w:t>311,868.23</w:t>
            </w:r>
          </w:p>
        </w:tc>
      </w:tr>
      <w:tr w:rsidR="00A10C6C" w:rsidRPr="00C24ACA" w:rsidTr="004C02E0">
        <w:trPr>
          <w:trHeight w:val="278"/>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负债总计</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89,976,007.94</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89,976,007.94</w:t>
            </w:r>
          </w:p>
        </w:tc>
      </w:tr>
      <w:tr w:rsidR="00A10C6C" w:rsidRPr="00C24ACA" w:rsidTr="004C02E0">
        <w:trPr>
          <w:trHeight w:val="278"/>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利率敏感度缺口</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202,231,925.32</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1,776,987,215.71</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1,979,219,141.03</w:t>
            </w:r>
          </w:p>
        </w:tc>
      </w:tr>
    </w:tbl>
    <w:p w:rsidR="008A5A5D" w:rsidRPr="00C24ACA" w:rsidRDefault="00A10C6C"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注：各期限分类的标准为按金融资产或金融负债的重新定价日或到期日孰早者进行分类。</w:t>
      </w:r>
      <w:r w:rsidRPr="00C24ACA">
        <w:rPr>
          <w:rFonts w:eastAsiaTheme="minorEastAsia"/>
          <w:kern w:val="0"/>
          <w:szCs w:val="21"/>
        </w:rPr>
        <w:t xml:space="preserve"> </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6.4.13.4.1.2</w:t>
      </w:r>
      <w:r w:rsidRPr="00C24ACA">
        <w:rPr>
          <w:rFonts w:eastAsiaTheme="minorEastAsia"/>
          <w:b/>
          <w:bCs/>
          <w:color w:val="000000"/>
          <w:szCs w:val="21"/>
        </w:rPr>
        <w:t>利率风险的敏感性分析</w:t>
      </w:r>
    </w:p>
    <w:p w:rsidR="008A5A5D" w:rsidRPr="00C24ACA" w:rsidRDefault="00022F8F"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本期末本基金未持有交易性债券投资</w:t>
      </w:r>
      <w:r w:rsidRPr="00C24ACA">
        <w:rPr>
          <w:rFonts w:eastAsiaTheme="minorEastAsia"/>
          <w:kern w:val="0"/>
          <w:szCs w:val="21"/>
        </w:rPr>
        <w:t>(</w:t>
      </w:r>
      <w:r w:rsidRPr="00C24ACA">
        <w:rPr>
          <w:rFonts w:eastAsiaTheme="minorEastAsia"/>
          <w:kern w:val="0"/>
          <w:szCs w:val="21"/>
        </w:rPr>
        <w:t>不包括可转债），因此市场利率的变动对于本基金资产净值无重大影响。</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6.4.13.4.2</w:t>
      </w:r>
      <w:r w:rsidRPr="00C24ACA">
        <w:rPr>
          <w:rFonts w:eastAsiaTheme="minorEastAsia"/>
          <w:b/>
          <w:bCs/>
          <w:color w:val="000000"/>
          <w:szCs w:val="21"/>
        </w:rPr>
        <w:t>外汇风险</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本基金投资的目标</w:t>
      </w:r>
      <w:r w:rsidRPr="00C24ACA">
        <w:rPr>
          <w:rFonts w:eastAsiaTheme="minorEastAsia"/>
          <w:kern w:val="0"/>
          <w:szCs w:val="21"/>
        </w:rPr>
        <w:t>ETF</w:t>
      </w:r>
      <w:r w:rsidRPr="00C24ACA">
        <w:rPr>
          <w:rFonts w:eastAsiaTheme="minorEastAsia"/>
          <w:kern w:val="0"/>
          <w:szCs w:val="21"/>
        </w:rPr>
        <w:t>投资于海外市场，海外市场金融品种以外币计价，如果所投资市场的货币相对于人民币贬值，将对基金收益产生不利影响；外币对人民币的汇率大幅波动也将加大基金净值波动的幅度。</w:t>
      </w:r>
    </w:p>
    <w:p w:rsidR="008A5A5D" w:rsidRPr="00C24ACA" w:rsidRDefault="008A5A5D" w:rsidP="006313B1">
      <w:pPr>
        <w:spacing w:line="360" w:lineRule="auto"/>
        <w:rPr>
          <w:rFonts w:eastAsiaTheme="minorEastAsia"/>
          <w:b/>
          <w:bCs/>
          <w:color w:val="000000"/>
          <w:szCs w:val="21"/>
        </w:rPr>
      </w:pPr>
      <w:r w:rsidRPr="00C24ACA">
        <w:rPr>
          <w:rFonts w:eastAsiaTheme="minorEastAsia"/>
          <w:b/>
          <w:bCs/>
          <w:color w:val="000000"/>
          <w:kern w:val="0"/>
          <w:szCs w:val="21"/>
        </w:rPr>
        <w:t>6.4.13.4.2.1</w:t>
      </w:r>
      <w:r w:rsidRPr="00C24ACA">
        <w:rPr>
          <w:rFonts w:eastAsiaTheme="minorEastAsia"/>
          <w:b/>
          <w:bCs/>
          <w:color w:val="000000"/>
          <w:szCs w:val="21"/>
        </w:rPr>
        <w:t>外汇风险敞口</w:t>
      </w:r>
    </w:p>
    <w:p w:rsidR="0056101E" w:rsidRPr="00C24ACA" w:rsidRDefault="0056101E" w:rsidP="0056101E">
      <w:pPr>
        <w:wordWrap w:val="0"/>
        <w:spacing w:line="360" w:lineRule="auto"/>
        <w:jc w:val="right"/>
        <w:rPr>
          <w:rFonts w:eastAsiaTheme="minorEastAsia"/>
          <w:color w:val="000000"/>
          <w:szCs w:val="21"/>
        </w:rPr>
      </w:pPr>
      <w:r w:rsidRPr="00C24ACA">
        <w:rPr>
          <w:rFonts w:eastAsiaTheme="minor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7"/>
        <w:gridCol w:w="1943"/>
        <w:gridCol w:w="1400"/>
        <w:gridCol w:w="2020"/>
        <w:gridCol w:w="2160"/>
      </w:tblGrid>
      <w:tr w:rsidR="0056101E" w:rsidRPr="00C24ACA" w:rsidTr="00742218">
        <w:tc>
          <w:tcPr>
            <w:tcW w:w="1477" w:type="dxa"/>
            <w:vMerge w:val="restart"/>
            <w:vAlign w:val="center"/>
          </w:tcPr>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color w:val="000000"/>
                <w:szCs w:val="21"/>
              </w:rPr>
              <w:t>项目</w:t>
            </w:r>
          </w:p>
        </w:tc>
        <w:tc>
          <w:tcPr>
            <w:tcW w:w="7523" w:type="dxa"/>
            <w:gridSpan w:val="4"/>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本期末</w:t>
            </w:r>
          </w:p>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p>
        </w:tc>
      </w:tr>
      <w:tr w:rsidR="0056101E" w:rsidRPr="00C24ACA" w:rsidTr="00742218">
        <w:tc>
          <w:tcPr>
            <w:tcW w:w="1477" w:type="dxa"/>
            <w:vMerge/>
            <w:vAlign w:val="center"/>
          </w:tcPr>
          <w:p w:rsidR="0056101E" w:rsidRPr="00C24ACA" w:rsidRDefault="0056101E" w:rsidP="00742218">
            <w:pPr>
              <w:autoSpaceDE w:val="0"/>
              <w:autoSpaceDN w:val="0"/>
              <w:adjustRightInd w:val="0"/>
              <w:spacing w:before="29" w:line="360" w:lineRule="auto"/>
              <w:ind w:left="15"/>
              <w:jc w:val="left"/>
              <w:rPr>
                <w:rFonts w:eastAsiaTheme="minorEastAsia"/>
                <w:color w:val="000000"/>
                <w:kern w:val="0"/>
                <w:szCs w:val="21"/>
              </w:rPr>
            </w:pPr>
          </w:p>
        </w:tc>
        <w:tc>
          <w:tcPr>
            <w:tcW w:w="1943"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美元</w:t>
            </w:r>
          </w:p>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折合人民币</w:t>
            </w:r>
          </w:p>
        </w:tc>
        <w:tc>
          <w:tcPr>
            <w:tcW w:w="1400"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港币</w:t>
            </w:r>
          </w:p>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折合人民币</w:t>
            </w:r>
          </w:p>
        </w:tc>
        <w:tc>
          <w:tcPr>
            <w:tcW w:w="2020"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其他币种</w:t>
            </w:r>
          </w:p>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折合人民币</w:t>
            </w:r>
          </w:p>
        </w:tc>
        <w:tc>
          <w:tcPr>
            <w:tcW w:w="2160"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合计</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以外币计价的资产</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vAlign w:val="center"/>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871824">
        <w:tc>
          <w:tcPr>
            <w:tcW w:w="1477" w:type="dxa"/>
            <w:vAlign w:val="center"/>
          </w:tcPr>
          <w:p w:rsidR="00871824" w:rsidRDefault="00672BD5">
            <w:pPr>
              <w:jc w:val="left"/>
            </w:pPr>
            <w:r>
              <w:rPr>
                <w:rFonts w:eastAsiaTheme="minorEastAsia"/>
                <w:color w:val="000000"/>
                <w:kern w:val="0"/>
                <w:szCs w:val="21"/>
              </w:rPr>
              <w:t>银行存款</w:t>
            </w:r>
          </w:p>
        </w:tc>
        <w:tc>
          <w:tcPr>
            <w:tcW w:w="1943" w:type="dxa"/>
            <w:vAlign w:val="center"/>
          </w:tcPr>
          <w:p w:rsidR="00871824" w:rsidRDefault="00672BD5">
            <w:pPr>
              <w:jc w:val="right"/>
            </w:pPr>
            <w:r>
              <w:rPr>
                <w:rFonts w:eastAsiaTheme="minorEastAsia"/>
                <w:color w:val="000000"/>
                <w:kern w:val="0"/>
                <w:szCs w:val="21"/>
              </w:rPr>
              <w:t>67,746,761.42</w:t>
            </w:r>
          </w:p>
        </w:tc>
        <w:tc>
          <w:tcPr>
            <w:tcW w:w="1400" w:type="dxa"/>
            <w:vAlign w:val="center"/>
          </w:tcPr>
          <w:p w:rsidR="00871824" w:rsidRDefault="00672BD5">
            <w:pPr>
              <w:jc w:val="right"/>
            </w:pPr>
            <w:r>
              <w:rPr>
                <w:rFonts w:eastAsiaTheme="minorEastAsia"/>
                <w:color w:val="000000"/>
                <w:kern w:val="0"/>
                <w:szCs w:val="21"/>
              </w:rPr>
              <w:t>72,004.88</w:t>
            </w:r>
          </w:p>
        </w:tc>
        <w:tc>
          <w:tcPr>
            <w:tcW w:w="2020" w:type="dxa"/>
            <w:vAlign w:val="center"/>
          </w:tcPr>
          <w:p w:rsidR="00871824" w:rsidRDefault="00672BD5">
            <w:pPr>
              <w:jc w:val="right"/>
            </w:pPr>
            <w:r>
              <w:rPr>
                <w:rFonts w:eastAsiaTheme="minorEastAsia"/>
                <w:color w:val="000000"/>
                <w:kern w:val="0"/>
                <w:szCs w:val="21"/>
              </w:rPr>
              <w:t>-</w:t>
            </w:r>
          </w:p>
        </w:tc>
        <w:tc>
          <w:tcPr>
            <w:tcW w:w="2160" w:type="dxa"/>
            <w:vAlign w:val="center"/>
          </w:tcPr>
          <w:p w:rsidR="00871824" w:rsidRDefault="00672BD5">
            <w:pPr>
              <w:jc w:val="right"/>
            </w:pPr>
            <w:r>
              <w:rPr>
                <w:rFonts w:eastAsiaTheme="minorEastAsia"/>
                <w:color w:val="000000"/>
                <w:kern w:val="0"/>
                <w:szCs w:val="21"/>
              </w:rPr>
              <w:t>67,818,766.30</w:t>
            </w:r>
          </w:p>
        </w:tc>
      </w:tr>
      <w:tr w:rsidR="00871824">
        <w:tc>
          <w:tcPr>
            <w:tcW w:w="1477" w:type="dxa"/>
            <w:vAlign w:val="center"/>
          </w:tcPr>
          <w:p w:rsidR="00871824" w:rsidRDefault="00672BD5">
            <w:pPr>
              <w:jc w:val="left"/>
            </w:pPr>
            <w:r>
              <w:rPr>
                <w:rFonts w:eastAsiaTheme="minorEastAsia"/>
                <w:color w:val="000000"/>
                <w:kern w:val="0"/>
                <w:szCs w:val="21"/>
              </w:rPr>
              <w:t>结算备付金</w:t>
            </w:r>
          </w:p>
        </w:tc>
        <w:tc>
          <w:tcPr>
            <w:tcW w:w="1943" w:type="dxa"/>
            <w:vAlign w:val="center"/>
          </w:tcPr>
          <w:p w:rsidR="00871824" w:rsidRDefault="00672BD5">
            <w:pPr>
              <w:jc w:val="right"/>
            </w:pPr>
            <w:r>
              <w:rPr>
                <w:rFonts w:eastAsiaTheme="minorEastAsia"/>
                <w:color w:val="000000"/>
                <w:kern w:val="0"/>
                <w:szCs w:val="21"/>
              </w:rPr>
              <w:t>-</w:t>
            </w:r>
          </w:p>
        </w:tc>
        <w:tc>
          <w:tcPr>
            <w:tcW w:w="1400" w:type="dxa"/>
            <w:vAlign w:val="center"/>
          </w:tcPr>
          <w:p w:rsidR="00871824" w:rsidRDefault="00672BD5">
            <w:pPr>
              <w:jc w:val="right"/>
            </w:pPr>
            <w:r>
              <w:rPr>
                <w:rFonts w:eastAsiaTheme="minorEastAsia"/>
                <w:color w:val="000000"/>
                <w:kern w:val="0"/>
                <w:szCs w:val="21"/>
              </w:rPr>
              <w:t>6,796,088.96</w:t>
            </w:r>
          </w:p>
        </w:tc>
        <w:tc>
          <w:tcPr>
            <w:tcW w:w="2020" w:type="dxa"/>
            <w:vAlign w:val="center"/>
          </w:tcPr>
          <w:p w:rsidR="00871824" w:rsidRDefault="00672BD5">
            <w:pPr>
              <w:jc w:val="right"/>
            </w:pPr>
            <w:r>
              <w:rPr>
                <w:rFonts w:eastAsiaTheme="minorEastAsia"/>
                <w:color w:val="000000"/>
                <w:kern w:val="0"/>
                <w:szCs w:val="21"/>
              </w:rPr>
              <w:t>-</w:t>
            </w:r>
          </w:p>
        </w:tc>
        <w:tc>
          <w:tcPr>
            <w:tcW w:w="2160" w:type="dxa"/>
            <w:vAlign w:val="center"/>
          </w:tcPr>
          <w:p w:rsidR="00871824" w:rsidRDefault="00672BD5">
            <w:pPr>
              <w:jc w:val="right"/>
            </w:pPr>
            <w:r>
              <w:rPr>
                <w:rFonts w:eastAsiaTheme="minorEastAsia"/>
                <w:color w:val="000000"/>
                <w:kern w:val="0"/>
                <w:szCs w:val="21"/>
              </w:rPr>
              <w:t>6,796,088.96</w:t>
            </w:r>
          </w:p>
        </w:tc>
      </w:tr>
      <w:tr w:rsidR="00871824">
        <w:tc>
          <w:tcPr>
            <w:tcW w:w="1477" w:type="dxa"/>
            <w:vAlign w:val="center"/>
          </w:tcPr>
          <w:p w:rsidR="00871824" w:rsidRDefault="00672BD5">
            <w:pPr>
              <w:jc w:val="left"/>
            </w:pPr>
            <w:r>
              <w:rPr>
                <w:rFonts w:eastAsiaTheme="minorEastAsia"/>
                <w:color w:val="000000"/>
                <w:kern w:val="0"/>
                <w:szCs w:val="21"/>
              </w:rPr>
              <w:t>交易性金融资产</w:t>
            </w:r>
          </w:p>
        </w:tc>
        <w:tc>
          <w:tcPr>
            <w:tcW w:w="1943" w:type="dxa"/>
            <w:vAlign w:val="center"/>
          </w:tcPr>
          <w:p w:rsidR="00871824" w:rsidRDefault="00672BD5">
            <w:pPr>
              <w:jc w:val="right"/>
            </w:pPr>
            <w:r>
              <w:rPr>
                <w:rFonts w:eastAsiaTheme="minorEastAsia"/>
                <w:color w:val="000000"/>
                <w:kern w:val="0"/>
                <w:szCs w:val="21"/>
              </w:rPr>
              <w:t>-</w:t>
            </w:r>
          </w:p>
        </w:tc>
        <w:tc>
          <w:tcPr>
            <w:tcW w:w="1400" w:type="dxa"/>
            <w:vAlign w:val="center"/>
          </w:tcPr>
          <w:p w:rsidR="00871824" w:rsidRDefault="00672BD5">
            <w:pPr>
              <w:jc w:val="right"/>
            </w:pPr>
            <w:r>
              <w:rPr>
                <w:rFonts w:eastAsiaTheme="minorEastAsia"/>
                <w:color w:val="000000"/>
                <w:kern w:val="0"/>
                <w:szCs w:val="21"/>
              </w:rPr>
              <w:t>-</w:t>
            </w:r>
          </w:p>
        </w:tc>
        <w:tc>
          <w:tcPr>
            <w:tcW w:w="2020" w:type="dxa"/>
            <w:vAlign w:val="center"/>
          </w:tcPr>
          <w:p w:rsidR="00871824" w:rsidRDefault="00672BD5">
            <w:pPr>
              <w:jc w:val="right"/>
            </w:pPr>
            <w:r>
              <w:rPr>
                <w:rFonts w:eastAsiaTheme="minorEastAsia"/>
                <w:color w:val="000000"/>
                <w:kern w:val="0"/>
                <w:szCs w:val="21"/>
              </w:rPr>
              <w:t>-</w:t>
            </w:r>
          </w:p>
        </w:tc>
        <w:tc>
          <w:tcPr>
            <w:tcW w:w="2160" w:type="dxa"/>
            <w:vAlign w:val="center"/>
          </w:tcPr>
          <w:p w:rsidR="00871824" w:rsidRDefault="00672BD5">
            <w:pPr>
              <w:jc w:val="right"/>
            </w:pPr>
            <w:r>
              <w:rPr>
                <w:rFonts w:eastAsiaTheme="minorEastAsia"/>
                <w:color w:val="000000"/>
                <w:kern w:val="0"/>
                <w:szCs w:val="21"/>
              </w:rPr>
              <w:t>-</w:t>
            </w:r>
          </w:p>
        </w:tc>
      </w:tr>
      <w:tr w:rsidR="00871824">
        <w:tc>
          <w:tcPr>
            <w:tcW w:w="1477" w:type="dxa"/>
            <w:vAlign w:val="center"/>
          </w:tcPr>
          <w:p w:rsidR="00871824" w:rsidRDefault="00672BD5">
            <w:pPr>
              <w:jc w:val="left"/>
            </w:pPr>
            <w:r>
              <w:rPr>
                <w:rFonts w:eastAsiaTheme="minorEastAsia"/>
                <w:color w:val="000000"/>
                <w:kern w:val="0"/>
                <w:szCs w:val="21"/>
              </w:rPr>
              <w:t>衍生金融资产</w:t>
            </w:r>
          </w:p>
        </w:tc>
        <w:tc>
          <w:tcPr>
            <w:tcW w:w="1943" w:type="dxa"/>
            <w:vAlign w:val="center"/>
          </w:tcPr>
          <w:p w:rsidR="00871824" w:rsidRDefault="00672BD5">
            <w:pPr>
              <w:jc w:val="right"/>
            </w:pPr>
            <w:r>
              <w:rPr>
                <w:rFonts w:eastAsiaTheme="minorEastAsia"/>
                <w:color w:val="000000"/>
                <w:kern w:val="0"/>
                <w:szCs w:val="21"/>
              </w:rPr>
              <w:t>-</w:t>
            </w:r>
          </w:p>
        </w:tc>
        <w:tc>
          <w:tcPr>
            <w:tcW w:w="1400" w:type="dxa"/>
            <w:vAlign w:val="center"/>
          </w:tcPr>
          <w:p w:rsidR="00871824" w:rsidRDefault="00672BD5">
            <w:pPr>
              <w:jc w:val="right"/>
            </w:pPr>
            <w:r>
              <w:rPr>
                <w:rFonts w:eastAsiaTheme="minorEastAsia"/>
                <w:color w:val="000000"/>
                <w:kern w:val="0"/>
                <w:szCs w:val="21"/>
              </w:rPr>
              <w:t>-</w:t>
            </w:r>
          </w:p>
        </w:tc>
        <w:tc>
          <w:tcPr>
            <w:tcW w:w="2020" w:type="dxa"/>
            <w:vAlign w:val="center"/>
          </w:tcPr>
          <w:p w:rsidR="00871824" w:rsidRDefault="00672BD5">
            <w:pPr>
              <w:jc w:val="right"/>
            </w:pPr>
            <w:r>
              <w:rPr>
                <w:rFonts w:eastAsiaTheme="minorEastAsia"/>
                <w:color w:val="000000"/>
                <w:kern w:val="0"/>
                <w:szCs w:val="21"/>
              </w:rPr>
              <w:t>-</w:t>
            </w:r>
          </w:p>
        </w:tc>
        <w:tc>
          <w:tcPr>
            <w:tcW w:w="2160" w:type="dxa"/>
            <w:vAlign w:val="center"/>
          </w:tcPr>
          <w:p w:rsidR="00871824" w:rsidRDefault="00672BD5">
            <w:pPr>
              <w:jc w:val="right"/>
            </w:pPr>
            <w:r>
              <w:rPr>
                <w:rFonts w:eastAsiaTheme="minorEastAsia"/>
                <w:color w:val="000000"/>
                <w:kern w:val="0"/>
                <w:szCs w:val="21"/>
              </w:rPr>
              <w:t>-</w:t>
            </w:r>
          </w:p>
        </w:tc>
      </w:tr>
      <w:tr w:rsidR="00871824">
        <w:tc>
          <w:tcPr>
            <w:tcW w:w="1477" w:type="dxa"/>
            <w:vAlign w:val="center"/>
          </w:tcPr>
          <w:p w:rsidR="00871824" w:rsidRDefault="00672BD5">
            <w:pPr>
              <w:jc w:val="left"/>
            </w:pPr>
            <w:r>
              <w:rPr>
                <w:rFonts w:eastAsiaTheme="minorEastAsia"/>
                <w:color w:val="000000"/>
                <w:kern w:val="0"/>
                <w:szCs w:val="21"/>
              </w:rPr>
              <w:t>应收证券清算款</w:t>
            </w:r>
          </w:p>
        </w:tc>
        <w:tc>
          <w:tcPr>
            <w:tcW w:w="1943" w:type="dxa"/>
            <w:vAlign w:val="center"/>
          </w:tcPr>
          <w:p w:rsidR="00871824" w:rsidRDefault="00672BD5">
            <w:pPr>
              <w:jc w:val="right"/>
            </w:pPr>
            <w:r>
              <w:rPr>
                <w:rFonts w:eastAsiaTheme="minorEastAsia"/>
                <w:color w:val="000000"/>
                <w:kern w:val="0"/>
                <w:szCs w:val="21"/>
              </w:rPr>
              <w:t>-</w:t>
            </w:r>
          </w:p>
        </w:tc>
        <w:tc>
          <w:tcPr>
            <w:tcW w:w="1400" w:type="dxa"/>
            <w:vAlign w:val="center"/>
          </w:tcPr>
          <w:p w:rsidR="00871824" w:rsidRDefault="00672BD5">
            <w:pPr>
              <w:jc w:val="right"/>
            </w:pPr>
            <w:r>
              <w:rPr>
                <w:rFonts w:eastAsiaTheme="minorEastAsia"/>
                <w:color w:val="000000"/>
                <w:kern w:val="0"/>
                <w:szCs w:val="21"/>
              </w:rPr>
              <w:t>-</w:t>
            </w:r>
          </w:p>
        </w:tc>
        <w:tc>
          <w:tcPr>
            <w:tcW w:w="2020" w:type="dxa"/>
            <w:vAlign w:val="center"/>
          </w:tcPr>
          <w:p w:rsidR="00871824" w:rsidRDefault="00672BD5">
            <w:pPr>
              <w:jc w:val="right"/>
            </w:pPr>
            <w:r>
              <w:rPr>
                <w:rFonts w:eastAsiaTheme="minorEastAsia"/>
                <w:color w:val="000000"/>
                <w:kern w:val="0"/>
                <w:szCs w:val="21"/>
              </w:rPr>
              <w:t>-</w:t>
            </w:r>
          </w:p>
        </w:tc>
        <w:tc>
          <w:tcPr>
            <w:tcW w:w="2160" w:type="dxa"/>
            <w:vAlign w:val="center"/>
          </w:tcPr>
          <w:p w:rsidR="00871824" w:rsidRDefault="00672BD5">
            <w:pPr>
              <w:jc w:val="right"/>
            </w:pPr>
            <w:r>
              <w:rPr>
                <w:rFonts w:eastAsiaTheme="minorEastAsia"/>
                <w:color w:val="000000"/>
                <w:kern w:val="0"/>
                <w:szCs w:val="21"/>
              </w:rPr>
              <w:t>-</w:t>
            </w:r>
          </w:p>
        </w:tc>
      </w:tr>
      <w:tr w:rsidR="00871824">
        <w:tc>
          <w:tcPr>
            <w:tcW w:w="1477" w:type="dxa"/>
            <w:vAlign w:val="center"/>
          </w:tcPr>
          <w:p w:rsidR="00871824" w:rsidRDefault="00672BD5">
            <w:pPr>
              <w:jc w:val="left"/>
            </w:pPr>
            <w:r>
              <w:rPr>
                <w:rFonts w:eastAsiaTheme="minorEastAsia"/>
                <w:color w:val="000000"/>
                <w:kern w:val="0"/>
                <w:szCs w:val="21"/>
              </w:rPr>
              <w:t>应收利息</w:t>
            </w:r>
          </w:p>
        </w:tc>
        <w:tc>
          <w:tcPr>
            <w:tcW w:w="1943" w:type="dxa"/>
            <w:vAlign w:val="center"/>
          </w:tcPr>
          <w:p w:rsidR="00871824" w:rsidRDefault="00672BD5">
            <w:pPr>
              <w:jc w:val="right"/>
            </w:pPr>
            <w:r>
              <w:rPr>
                <w:rFonts w:eastAsiaTheme="minorEastAsia"/>
                <w:color w:val="000000"/>
                <w:kern w:val="0"/>
                <w:szCs w:val="21"/>
              </w:rPr>
              <w:t>851.24</w:t>
            </w:r>
          </w:p>
        </w:tc>
        <w:tc>
          <w:tcPr>
            <w:tcW w:w="1400" w:type="dxa"/>
            <w:vAlign w:val="center"/>
          </w:tcPr>
          <w:p w:rsidR="00871824" w:rsidRDefault="00672BD5">
            <w:pPr>
              <w:jc w:val="right"/>
            </w:pPr>
            <w:r>
              <w:rPr>
                <w:rFonts w:eastAsiaTheme="minorEastAsia"/>
                <w:color w:val="000000"/>
                <w:kern w:val="0"/>
                <w:szCs w:val="21"/>
              </w:rPr>
              <w:t>-</w:t>
            </w:r>
          </w:p>
        </w:tc>
        <w:tc>
          <w:tcPr>
            <w:tcW w:w="2020" w:type="dxa"/>
            <w:vAlign w:val="center"/>
          </w:tcPr>
          <w:p w:rsidR="00871824" w:rsidRDefault="00672BD5">
            <w:pPr>
              <w:jc w:val="right"/>
            </w:pPr>
            <w:r>
              <w:rPr>
                <w:rFonts w:eastAsiaTheme="minorEastAsia"/>
                <w:color w:val="000000"/>
                <w:kern w:val="0"/>
                <w:szCs w:val="21"/>
              </w:rPr>
              <w:t>-</w:t>
            </w:r>
          </w:p>
        </w:tc>
        <w:tc>
          <w:tcPr>
            <w:tcW w:w="2160" w:type="dxa"/>
            <w:vAlign w:val="center"/>
          </w:tcPr>
          <w:p w:rsidR="00871824" w:rsidRDefault="00672BD5">
            <w:pPr>
              <w:jc w:val="right"/>
            </w:pPr>
            <w:r>
              <w:rPr>
                <w:rFonts w:eastAsiaTheme="minorEastAsia"/>
                <w:color w:val="000000"/>
                <w:kern w:val="0"/>
                <w:szCs w:val="21"/>
              </w:rPr>
              <w:t>851.24</w:t>
            </w:r>
          </w:p>
        </w:tc>
      </w:tr>
      <w:tr w:rsidR="00871824">
        <w:tc>
          <w:tcPr>
            <w:tcW w:w="1477" w:type="dxa"/>
            <w:vAlign w:val="center"/>
          </w:tcPr>
          <w:p w:rsidR="00871824" w:rsidRDefault="00672BD5">
            <w:pPr>
              <w:jc w:val="left"/>
            </w:pPr>
            <w:r>
              <w:rPr>
                <w:rFonts w:eastAsiaTheme="minorEastAsia"/>
                <w:color w:val="000000"/>
                <w:kern w:val="0"/>
                <w:szCs w:val="21"/>
              </w:rPr>
              <w:t>应收股利</w:t>
            </w:r>
          </w:p>
        </w:tc>
        <w:tc>
          <w:tcPr>
            <w:tcW w:w="1943" w:type="dxa"/>
            <w:vAlign w:val="center"/>
          </w:tcPr>
          <w:p w:rsidR="00871824" w:rsidRDefault="00672BD5">
            <w:pPr>
              <w:jc w:val="right"/>
            </w:pPr>
            <w:r>
              <w:rPr>
                <w:rFonts w:eastAsiaTheme="minorEastAsia"/>
                <w:color w:val="000000"/>
                <w:kern w:val="0"/>
                <w:szCs w:val="21"/>
              </w:rPr>
              <w:t>-</w:t>
            </w:r>
          </w:p>
        </w:tc>
        <w:tc>
          <w:tcPr>
            <w:tcW w:w="1400" w:type="dxa"/>
            <w:vAlign w:val="center"/>
          </w:tcPr>
          <w:p w:rsidR="00871824" w:rsidRDefault="00672BD5">
            <w:pPr>
              <w:jc w:val="right"/>
            </w:pPr>
            <w:r>
              <w:rPr>
                <w:rFonts w:eastAsiaTheme="minorEastAsia"/>
                <w:color w:val="000000"/>
                <w:kern w:val="0"/>
                <w:szCs w:val="21"/>
              </w:rPr>
              <w:t>-</w:t>
            </w:r>
          </w:p>
        </w:tc>
        <w:tc>
          <w:tcPr>
            <w:tcW w:w="2020" w:type="dxa"/>
            <w:vAlign w:val="center"/>
          </w:tcPr>
          <w:p w:rsidR="00871824" w:rsidRDefault="00672BD5">
            <w:pPr>
              <w:jc w:val="right"/>
            </w:pPr>
            <w:r>
              <w:rPr>
                <w:rFonts w:eastAsiaTheme="minorEastAsia"/>
                <w:color w:val="000000"/>
                <w:kern w:val="0"/>
                <w:szCs w:val="21"/>
              </w:rPr>
              <w:t>-</w:t>
            </w:r>
          </w:p>
        </w:tc>
        <w:tc>
          <w:tcPr>
            <w:tcW w:w="2160" w:type="dxa"/>
            <w:vAlign w:val="center"/>
          </w:tcPr>
          <w:p w:rsidR="00871824" w:rsidRDefault="00672BD5">
            <w:pPr>
              <w:jc w:val="right"/>
            </w:pPr>
            <w:r>
              <w:rPr>
                <w:rFonts w:eastAsiaTheme="minorEastAsia"/>
                <w:color w:val="000000"/>
                <w:kern w:val="0"/>
                <w:szCs w:val="21"/>
              </w:rPr>
              <w:t>-</w:t>
            </w:r>
          </w:p>
        </w:tc>
      </w:tr>
      <w:tr w:rsidR="00871824">
        <w:tc>
          <w:tcPr>
            <w:tcW w:w="1477" w:type="dxa"/>
            <w:vAlign w:val="center"/>
          </w:tcPr>
          <w:p w:rsidR="00871824" w:rsidRDefault="00672BD5">
            <w:pPr>
              <w:jc w:val="left"/>
            </w:pPr>
            <w:r>
              <w:rPr>
                <w:rFonts w:eastAsiaTheme="minorEastAsia"/>
                <w:color w:val="000000"/>
                <w:kern w:val="0"/>
                <w:szCs w:val="21"/>
              </w:rPr>
              <w:t>应收申购款</w:t>
            </w:r>
          </w:p>
        </w:tc>
        <w:tc>
          <w:tcPr>
            <w:tcW w:w="1943" w:type="dxa"/>
            <w:vAlign w:val="center"/>
          </w:tcPr>
          <w:p w:rsidR="00871824" w:rsidRDefault="00672BD5">
            <w:pPr>
              <w:jc w:val="right"/>
            </w:pPr>
            <w:r>
              <w:rPr>
                <w:rFonts w:eastAsiaTheme="minorEastAsia"/>
                <w:color w:val="000000"/>
                <w:kern w:val="0"/>
                <w:szCs w:val="21"/>
              </w:rPr>
              <w:t>194,702.82</w:t>
            </w:r>
          </w:p>
        </w:tc>
        <w:tc>
          <w:tcPr>
            <w:tcW w:w="1400" w:type="dxa"/>
            <w:vAlign w:val="center"/>
          </w:tcPr>
          <w:p w:rsidR="00871824" w:rsidRDefault="00672BD5">
            <w:pPr>
              <w:jc w:val="right"/>
            </w:pPr>
            <w:r>
              <w:rPr>
                <w:rFonts w:eastAsiaTheme="minorEastAsia"/>
                <w:color w:val="000000"/>
                <w:kern w:val="0"/>
                <w:szCs w:val="21"/>
              </w:rPr>
              <w:t>-</w:t>
            </w:r>
          </w:p>
        </w:tc>
        <w:tc>
          <w:tcPr>
            <w:tcW w:w="2020" w:type="dxa"/>
            <w:vAlign w:val="center"/>
          </w:tcPr>
          <w:p w:rsidR="00871824" w:rsidRDefault="00672BD5">
            <w:pPr>
              <w:jc w:val="right"/>
            </w:pPr>
            <w:r>
              <w:rPr>
                <w:rFonts w:eastAsiaTheme="minorEastAsia"/>
                <w:color w:val="000000"/>
                <w:kern w:val="0"/>
                <w:szCs w:val="21"/>
              </w:rPr>
              <w:t>-</w:t>
            </w:r>
          </w:p>
        </w:tc>
        <w:tc>
          <w:tcPr>
            <w:tcW w:w="2160" w:type="dxa"/>
            <w:vAlign w:val="center"/>
          </w:tcPr>
          <w:p w:rsidR="00871824" w:rsidRDefault="00672BD5">
            <w:pPr>
              <w:jc w:val="right"/>
            </w:pPr>
            <w:r>
              <w:rPr>
                <w:rFonts w:eastAsiaTheme="minorEastAsia"/>
                <w:color w:val="000000"/>
                <w:kern w:val="0"/>
                <w:szCs w:val="21"/>
              </w:rPr>
              <w:t>194,702.82</w:t>
            </w:r>
          </w:p>
        </w:tc>
      </w:tr>
      <w:tr w:rsidR="00871824">
        <w:tc>
          <w:tcPr>
            <w:tcW w:w="1477" w:type="dxa"/>
            <w:vAlign w:val="center"/>
          </w:tcPr>
          <w:p w:rsidR="00871824" w:rsidRDefault="00672BD5">
            <w:pPr>
              <w:jc w:val="left"/>
            </w:pPr>
            <w:r>
              <w:rPr>
                <w:rFonts w:eastAsiaTheme="minorEastAsia"/>
                <w:color w:val="000000"/>
                <w:kern w:val="0"/>
                <w:szCs w:val="21"/>
              </w:rPr>
              <w:t>其他资产</w:t>
            </w:r>
          </w:p>
        </w:tc>
        <w:tc>
          <w:tcPr>
            <w:tcW w:w="1943" w:type="dxa"/>
            <w:vAlign w:val="center"/>
          </w:tcPr>
          <w:p w:rsidR="00871824" w:rsidRDefault="00672BD5">
            <w:pPr>
              <w:jc w:val="right"/>
            </w:pPr>
            <w:r>
              <w:rPr>
                <w:rFonts w:eastAsiaTheme="minorEastAsia"/>
                <w:color w:val="000000"/>
                <w:kern w:val="0"/>
                <w:szCs w:val="21"/>
              </w:rPr>
              <w:t>-</w:t>
            </w:r>
          </w:p>
        </w:tc>
        <w:tc>
          <w:tcPr>
            <w:tcW w:w="1400" w:type="dxa"/>
            <w:vAlign w:val="center"/>
          </w:tcPr>
          <w:p w:rsidR="00871824" w:rsidRDefault="00672BD5">
            <w:pPr>
              <w:jc w:val="right"/>
            </w:pPr>
            <w:r>
              <w:rPr>
                <w:rFonts w:eastAsiaTheme="minorEastAsia"/>
                <w:color w:val="000000"/>
                <w:kern w:val="0"/>
                <w:szCs w:val="21"/>
              </w:rPr>
              <w:t>-</w:t>
            </w:r>
          </w:p>
        </w:tc>
        <w:tc>
          <w:tcPr>
            <w:tcW w:w="2020" w:type="dxa"/>
            <w:vAlign w:val="center"/>
          </w:tcPr>
          <w:p w:rsidR="00871824" w:rsidRDefault="00672BD5">
            <w:pPr>
              <w:jc w:val="right"/>
            </w:pPr>
            <w:r>
              <w:rPr>
                <w:rFonts w:eastAsiaTheme="minorEastAsia"/>
                <w:color w:val="000000"/>
                <w:kern w:val="0"/>
                <w:szCs w:val="21"/>
              </w:rPr>
              <w:t>-</w:t>
            </w:r>
          </w:p>
        </w:tc>
        <w:tc>
          <w:tcPr>
            <w:tcW w:w="2160" w:type="dxa"/>
            <w:vAlign w:val="center"/>
          </w:tcPr>
          <w:p w:rsidR="00871824" w:rsidRDefault="00672BD5">
            <w:pPr>
              <w:jc w:val="right"/>
            </w:pPr>
            <w:r>
              <w:rPr>
                <w:rFonts w:eastAsiaTheme="minorEastAsia"/>
                <w:color w:val="000000"/>
                <w:kern w:val="0"/>
                <w:szCs w:val="21"/>
              </w:rPr>
              <w:t>-</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67,942,315.48</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6,868,093.84</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74,810,409.32</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以外币计价的负债</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871824">
        <w:tc>
          <w:tcPr>
            <w:tcW w:w="1477" w:type="dxa"/>
            <w:vAlign w:val="center"/>
          </w:tcPr>
          <w:p w:rsidR="00871824" w:rsidRDefault="00672BD5">
            <w:pPr>
              <w:jc w:val="left"/>
            </w:pPr>
            <w:r>
              <w:rPr>
                <w:rFonts w:eastAsiaTheme="minorEastAsia"/>
                <w:color w:val="000000"/>
                <w:szCs w:val="21"/>
              </w:rPr>
              <w:t>应付证券清算款</w:t>
            </w:r>
          </w:p>
        </w:tc>
        <w:tc>
          <w:tcPr>
            <w:tcW w:w="1943" w:type="dxa"/>
            <w:vAlign w:val="center"/>
          </w:tcPr>
          <w:p w:rsidR="00871824" w:rsidRDefault="00672BD5">
            <w:pPr>
              <w:jc w:val="right"/>
            </w:pPr>
            <w:r>
              <w:rPr>
                <w:rFonts w:eastAsiaTheme="minorEastAsia"/>
                <w:color w:val="000000"/>
                <w:szCs w:val="21"/>
              </w:rPr>
              <w:t>-</w:t>
            </w:r>
          </w:p>
        </w:tc>
        <w:tc>
          <w:tcPr>
            <w:tcW w:w="1400" w:type="dxa"/>
            <w:vAlign w:val="center"/>
          </w:tcPr>
          <w:p w:rsidR="00871824" w:rsidRDefault="00672BD5">
            <w:pPr>
              <w:jc w:val="right"/>
            </w:pPr>
            <w:r>
              <w:rPr>
                <w:rFonts w:eastAsiaTheme="minorEastAsia"/>
                <w:color w:val="000000"/>
                <w:szCs w:val="21"/>
              </w:rPr>
              <w:t>-</w:t>
            </w:r>
          </w:p>
        </w:tc>
        <w:tc>
          <w:tcPr>
            <w:tcW w:w="2020" w:type="dxa"/>
            <w:vAlign w:val="center"/>
          </w:tcPr>
          <w:p w:rsidR="00871824" w:rsidRDefault="00672BD5">
            <w:pPr>
              <w:jc w:val="right"/>
            </w:pPr>
            <w:r>
              <w:rPr>
                <w:rFonts w:eastAsiaTheme="minorEastAsia"/>
                <w:color w:val="000000"/>
                <w:szCs w:val="21"/>
              </w:rPr>
              <w:t>-</w:t>
            </w:r>
          </w:p>
        </w:tc>
        <w:tc>
          <w:tcPr>
            <w:tcW w:w="2160" w:type="dxa"/>
            <w:vAlign w:val="center"/>
          </w:tcPr>
          <w:p w:rsidR="00871824" w:rsidRDefault="00672BD5">
            <w:pPr>
              <w:jc w:val="right"/>
            </w:pPr>
            <w:r>
              <w:rPr>
                <w:rFonts w:eastAsiaTheme="minorEastAsia"/>
                <w:color w:val="000000"/>
                <w:szCs w:val="21"/>
              </w:rPr>
              <w:t>-</w:t>
            </w:r>
          </w:p>
        </w:tc>
      </w:tr>
      <w:tr w:rsidR="00871824">
        <w:tc>
          <w:tcPr>
            <w:tcW w:w="1477" w:type="dxa"/>
            <w:vAlign w:val="center"/>
          </w:tcPr>
          <w:p w:rsidR="00871824" w:rsidRDefault="00672BD5">
            <w:pPr>
              <w:jc w:val="left"/>
            </w:pPr>
            <w:r>
              <w:rPr>
                <w:rFonts w:eastAsiaTheme="minorEastAsia"/>
                <w:color w:val="000000"/>
                <w:szCs w:val="21"/>
              </w:rPr>
              <w:t>应付赎回款</w:t>
            </w:r>
          </w:p>
        </w:tc>
        <w:tc>
          <w:tcPr>
            <w:tcW w:w="1943" w:type="dxa"/>
            <w:vAlign w:val="center"/>
          </w:tcPr>
          <w:p w:rsidR="00871824" w:rsidRDefault="00672BD5">
            <w:pPr>
              <w:jc w:val="right"/>
            </w:pPr>
            <w:r>
              <w:rPr>
                <w:rFonts w:eastAsiaTheme="minorEastAsia"/>
                <w:color w:val="000000"/>
                <w:szCs w:val="21"/>
              </w:rPr>
              <w:t>81,635.42</w:t>
            </w:r>
          </w:p>
        </w:tc>
        <w:tc>
          <w:tcPr>
            <w:tcW w:w="1400" w:type="dxa"/>
            <w:vAlign w:val="center"/>
          </w:tcPr>
          <w:p w:rsidR="00871824" w:rsidRDefault="00672BD5">
            <w:pPr>
              <w:jc w:val="right"/>
            </w:pPr>
            <w:r>
              <w:rPr>
                <w:rFonts w:eastAsiaTheme="minorEastAsia"/>
                <w:color w:val="000000"/>
                <w:szCs w:val="21"/>
              </w:rPr>
              <w:t>-</w:t>
            </w:r>
          </w:p>
        </w:tc>
        <w:tc>
          <w:tcPr>
            <w:tcW w:w="2020" w:type="dxa"/>
            <w:vAlign w:val="center"/>
          </w:tcPr>
          <w:p w:rsidR="00871824" w:rsidRDefault="00672BD5">
            <w:pPr>
              <w:jc w:val="right"/>
            </w:pPr>
            <w:r>
              <w:rPr>
                <w:rFonts w:eastAsiaTheme="minorEastAsia"/>
                <w:color w:val="000000"/>
                <w:szCs w:val="21"/>
              </w:rPr>
              <w:t>-</w:t>
            </w:r>
          </w:p>
        </w:tc>
        <w:tc>
          <w:tcPr>
            <w:tcW w:w="2160" w:type="dxa"/>
            <w:vAlign w:val="center"/>
          </w:tcPr>
          <w:p w:rsidR="00871824" w:rsidRDefault="00672BD5">
            <w:pPr>
              <w:jc w:val="right"/>
            </w:pPr>
            <w:r>
              <w:rPr>
                <w:rFonts w:eastAsiaTheme="minorEastAsia"/>
                <w:color w:val="000000"/>
                <w:szCs w:val="21"/>
              </w:rPr>
              <w:t>81,635.42</w:t>
            </w:r>
          </w:p>
        </w:tc>
      </w:tr>
      <w:tr w:rsidR="00871824">
        <w:tc>
          <w:tcPr>
            <w:tcW w:w="1477" w:type="dxa"/>
            <w:vAlign w:val="center"/>
          </w:tcPr>
          <w:p w:rsidR="00871824" w:rsidRDefault="00672BD5">
            <w:pPr>
              <w:jc w:val="left"/>
            </w:pPr>
            <w:r>
              <w:rPr>
                <w:rFonts w:eastAsiaTheme="minorEastAsia"/>
                <w:color w:val="000000"/>
                <w:szCs w:val="21"/>
              </w:rPr>
              <w:t>其他负债</w:t>
            </w:r>
          </w:p>
        </w:tc>
        <w:tc>
          <w:tcPr>
            <w:tcW w:w="1943" w:type="dxa"/>
            <w:vAlign w:val="center"/>
          </w:tcPr>
          <w:p w:rsidR="00871824" w:rsidRDefault="00672BD5">
            <w:pPr>
              <w:jc w:val="right"/>
            </w:pPr>
            <w:r>
              <w:rPr>
                <w:rFonts w:eastAsiaTheme="minorEastAsia"/>
                <w:color w:val="000000"/>
                <w:szCs w:val="21"/>
              </w:rPr>
              <w:t>243.11</w:t>
            </w:r>
          </w:p>
        </w:tc>
        <w:tc>
          <w:tcPr>
            <w:tcW w:w="1400" w:type="dxa"/>
            <w:vAlign w:val="center"/>
          </w:tcPr>
          <w:p w:rsidR="00871824" w:rsidRDefault="00672BD5">
            <w:pPr>
              <w:jc w:val="right"/>
            </w:pPr>
            <w:r>
              <w:rPr>
                <w:rFonts w:eastAsiaTheme="minorEastAsia"/>
                <w:color w:val="000000"/>
                <w:szCs w:val="21"/>
              </w:rPr>
              <w:t>-</w:t>
            </w:r>
          </w:p>
        </w:tc>
        <w:tc>
          <w:tcPr>
            <w:tcW w:w="2020" w:type="dxa"/>
            <w:vAlign w:val="center"/>
          </w:tcPr>
          <w:p w:rsidR="00871824" w:rsidRDefault="00672BD5">
            <w:pPr>
              <w:jc w:val="right"/>
            </w:pPr>
            <w:r>
              <w:rPr>
                <w:rFonts w:eastAsiaTheme="minorEastAsia"/>
                <w:color w:val="000000"/>
                <w:szCs w:val="21"/>
              </w:rPr>
              <w:t>-</w:t>
            </w:r>
          </w:p>
        </w:tc>
        <w:tc>
          <w:tcPr>
            <w:tcW w:w="2160" w:type="dxa"/>
            <w:vAlign w:val="center"/>
          </w:tcPr>
          <w:p w:rsidR="00871824" w:rsidRDefault="00672BD5">
            <w:pPr>
              <w:jc w:val="right"/>
            </w:pPr>
            <w:r>
              <w:rPr>
                <w:rFonts w:eastAsiaTheme="minorEastAsia"/>
                <w:color w:val="000000"/>
                <w:szCs w:val="21"/>
              </w:rPr>
              <w:t>243.11</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负债合计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81,878.53</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81,878.53</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资产负债表外汇风险敞口净额</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67,860,436.95</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6,868,093.84</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74,728,530.79</w:t>
            </w:r>
          </w:p>
        </w:tc>
      </w:tr>
      <w:tr w:rsidR="0056101E" w:rsidRPr="00C24ACA" w:rsidTr="00742218">
        <w:tc>
          <w:tcPr>
            <w:tcW w:w="1477" w:type="dxa"/>
            <w:vMerge w:val="restart"/>
            <w:vAlign w:val="center"/>
          </w:tcPr>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color w:val="000000"/>
                <w:szCs w:val="21"/>
              </w:rPr>
              <w:t>项目</w:t>
            </w:r>
          </w:p>
        </w:tc>
        <w:tc>
          <w:tcPr>
            <w:tcW w:w="7523" w:type="dxa"/>
            <w:gridSpan w:val="4"/>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上年度末</w:t>
            </w:r>
          </w:p>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szCs w:val="21"/>
              </w:rPr>
              <w:t>2019</w:t>
            </w:r>
            <w:r w:rsidRPr="00C24ACA">
              <w:rPr>
                <w:rFonts w:eastAsiaTheme="minorEastAsia"/>
                <w:b/>
                <w:szCs w:val="21"/>
              </w:rPr>
              <w:t>年</w:t>
            </w:r>
            <w:r w:rsidRPr="00C24ACA">
              <w:rPr>
                <w:rFonts w:eastAsiaTheme="minorEastAsia"/>
                <w:b/>
                <w:szCs w:val="21"/>
              </w:rPr>
              <w:t>12</w:t>
            </w:r>
            <w:r w:rsidRPr="00C24ACA">
              <w:rPr>
                <w:rFonts w:eastAsiaTheme="minorEastAsia"/>
                <w:b/>
                <w:szCs w:val="21"/>
              </w:rPr>
              <w:t>月</w:t>
            </w:r>
            <w:r w:rsidRPr="00C24ACA">
              <w:rPr>
                <w:rFonts w:eastAsiaTheme="minorEastAsia"/>
                <w:b/>
                <w:szCs w:val="21"/>
              </w:rPr>
              <w:t>31</w:t>
            </w:r>
            <w:r w:rsidRPr="00C24ACA">
              <w:rPr>
                <w:rFonts w:eastAsiaTheme="minorEastAsia"/>
                <w:b/>
                <w:szCs w:val="21"/>
              </w:rPr>
              <w:t>日</w:t>
            </w:r>
          </w:p>
        </w:tc>
      </w:tr>
      <w:tr w:rsidR="0056101E" w:rsidRPr="00C24ACA" w:rsidTr="00742218">
        <w:tc>
          <w:tcPr>
            <w:tcW w:w="1477" w:type="dxa"/>
            <w:vMerge/>
            <w:vAlign w:val="center"/>
          </w:tcPr>
          <w:p w:rsidR="0056101E" w:rsidRPr="00C24ACA" w:rsidRDefault="0056101E" w:rsidP="00742218">
            <w:pPr>
              <w:autoSpaceDE w:val="0"/>
              <w:autoSpaceDN w:val="0"/>
              <w:adjustRightInd w:val="0"/>
              <w:spacing w:before="29" w:line="360" w:lineRule="auto"/>
              <w:ind w:left="15"/>
              <w:jc w:val="left"/>
              <w:rPr>
                <w:rFonts w:eastAsiaTheme="minorEastAsia"/>
                <w:color w:val="000000"/>
                <w:kern w:val="0"/>
                <w:szCs w:val="21"/>
              </w:rPr>
            </w:pPr>
          </w:p>
        </w:tc>
        <w:tc>
          <w:tcPr>
            <w:tcW w:w="1943"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美元</w:t>
            </w:r>
          </w:p>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折合人民币</w:t>
            </w:r>
          </w:p>
        </w:tc>
        <w:tc>
          <w:tcPr>
            <w:tcW w:w="1400"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港币</w:t>
            </w:r>
          </w:p>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折合人民币</w:t>
            </w:r>
          </w:p>
        </w:tc>
        <w:tc>
          <w:tcPr>
            <w:tcW w:w="2020"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其他币种</w:t>
            </w:r>
          </w:p>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折合人民币</w:t>
            </w:r>
          </w:p>
        </w:tc>
        <w:tc>
          <w:tcPr>
            <w:tcW w:w="2160"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合计</w:t>
            </w:r>
          </w:p>
        </w:tc>
      </w:tr>
      <w:tr w:rsidR="0056101E" w:rsidRPr="00C24ACA" w:rsidTr="00742218">
        <w:tc>
          <w:tcPr>
            <w:tcW w:w="1477" w:type="dxa"/>
            <w:vAlign w:val="center"/>
          </w:tcPr>
          <w:p w:rsidR="0056101E" w:rsidRPr="00C24ACA" w:rsidRDefault="0056101E" w:rsidP="00742218">
            <w:pPr>
              <w:spacing w:line="360" w:lineRule="auto"/>
              <w:rPr>
                <w:rFonts w:eastAsiaTheme="minorEastAsia"/>
                <w:b/>
                <w:szCs w:val="21"/>
              </w:rPr>
            </w:pPr>
            <w:r w:rsidRPr="00C24ACA">
              <w:rPr>
                <w:rFonts w:eastAsiaTheme="minorEastAsia"/>
                <w:b/>
                <w:szCs w:val="21"/>
              </w:rPr>
              <w:t>以外币计价的资产</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vAlign w:val="center"/>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871824">
        <w:tc>
          <w:tcPr>
            <w:tcW w:w="1477" w:type="dxa"/>
            <w:vAlign w:val="center"/>
          </w:tcPr>
          <w:p w:rsidR="00871824" w:rsidRDefault="00672BD5">
            <w:pPr>
              <w:jc w:val="left"/>
            </w:pPr>
            <w:r>
              <w:rPr>
                <w:rFonts w:eastAsiaTheme="minorEastAsia"/>
                <w:color w:val="000000"/>
                <w:szCs w:val="21"/>
              </w:rPr>
              <w:t>银行存款</w:t>
            </w:r>
          </w:p>
        </w:tc>
        <w:tc>
          <w:tcPr>
            <w:tcW w:w="1943" w:type="dxa"/>
            <w:vAlign w:val="center"/>
          </w:tcPr>
          <w:p w:rsidR="00871824" w:rsidRDefault="00672BD5">
            <w:pPr>
              <w:jc w:val="right"/>
            </w:pPr>
            <w:r>
              <w:rPr>
                <w:rFonts w:eastAsiaTheme="minorEastAsia"/>
                <w:color w:val="000000"/>
                <w:szCs w:val="21"/>
              </w:rPr>
              <w:t>59,560,127.62</w:t>
            </w:r>
          </w:p>
        </w:tc>
        <w:tc>
          <w:tcPr>
            <w:tcW w:w="1400" w:type="dxa"/>
            <w:vAlign w:val="center"/>
          </w:tcPr>
          <w:p w:rsidR="00871824" w:rsidRDefault="00672BD5">
            <w:pPr>
              <w:jc w:val="right"/>
            </w:pPr>
            <w:r>
              <w:rPr>
                <w:rFonts w:eastAsiaTheme="minorEastAsia"/>
                <w:color w:val="000000"/>
                <w:szCs w:val="21"/>
              </w:rPr>
              <w:t>70,606.63</w:t>
            </w:r>
          </w:p>
        </w:tc>
        <w:tc>
          <w:tcPr>
            <w:tcW w:w="2020" w:type="dxa"/>
            <w:vAlign w:val="center"/>
          </w:tcPr>
          <w:p w:rsidR="00871824" w:rsidRDefault="00672BD5">
            <w:pPr>
              <w:jc w:val="right"/>
            </w:pPr>
            <w:r>
              <w:rPr>
                <w:rFonts w:eastAsiaTheme="minorEastAsia"/>
                <w:color w:val="000000"/>
                <w:szCs w:val="21"/>
              </w:rPr>
              <w:t>-</w:t>
            </w:r>
          </w:p>
        </w:tc>
        <w:tc>
          <w:tcPr>
            <w:tcW w:w="2160" w:type="dxa"/>
            <w:vAlign w:val="center"/>
          </w:tcPr>
          <w:p w:rsidR="00871824" w:rsidRDefault="00672BD5">
            <w:pPr>
              <w:jc w:val="right"/>
            </w:pPr>
            <w:r>
              <w:rPr>
                <w:rFonts w:eastAsiaTheme="minorEastAsia"/>
                <w:color w:val="000000"/>
                <w:szCs w:val="21"/>
              </w:rPr>
              <w:t>59,630,734.25</w:t>
            </w:r>
          </w:p>
        </w:tc>
      </w:tr>
      <w:tr w:rsidR="00871824">
        <w:tc>
          <w:tcPr>
            <w:tcW w:w="1477" w:type="dxa"/>
            <w:vAlign w:val="center"/>
          </w:tcPr>
          <w:p w:rsidR="00871824" w:rsidRDefault="00672BD5">
            <w:pPr>
              <w:jc w:val="left"/>
            </w:pPr>
            <w:r>
              <w:rPr>
                <w:rFonts w:eastAsiaTheme="minorEastAsia"/>
                <w:color w:val="000000"/>
                <w:szCs w:val="21"/>
              </w:rPr>
              <w:t>结算备付金</w:t>
            </w:r>
          </w:p>
        </w:tc>
        <w:tc>
          <w:tcPr>
            <w:tcW w:w="1943" w:type="dxa"/>
            <w:vAlign w:val="center"/>
          </w:tcPr>
          <w:p w:rsidR="00871824" w:rsidRDefault="00672BD5">
            <w:pPr>
              <w:jc w:val="right"/>
            </w:pPr>
            <w:r>
              <w:rPr>
                <w:rFonts w:eastAsiaTheme="minorEastAsia"/>
                <w:color w:val="000000"/>
                <w:szCs w:val="21"/>
              </w:rPr>
              <w:t>-</w:t>
            </w:r>
          </w:p>
        </w:tc>
        <w:tc>
          <w:tcPr>
            <w:tcW w:w="1400" w:type="dxa"/>
            <w:vAlign w:val="center"/>
          </w:tcPr>
          <w:p w:rsidR="00871824" w:rsidRDefault="00672BD5">
            <w:pPr>
              <w:jc w:val="right"/>
            </w:pPr>
            <w:r>
              <w:rPr>
                <w:rFonts w:eastAsiaTheme="minorEastAsia"/>
                <w:color w:val="000000"/>
                <w:szCs w:val="21"/>
              </w:rPr>
              <w:t>15,966,002.12</w:t>
            </w:r>
          </w:p>
        </w:tc>
        <w:tc>
          <w:tcPr>
            <w:tcW w:w="2020" w:type="dxa"/>
            <w:vAlign w:val="center"/>
          </w:tcPr>
          <w:p w:rsidR="00871824" w:rsidRDefault="00672BD5">
            <w:pPr>
              <w:jc w:val="right"/>
            </w:pPr>
            <w:r>
              <w:rPr>
                <w:rFonts w:eastAsiaTheme="minorEastAsia"/>
                <w:color w:val="000000"/>
                <w:szCs w:val="21"/>
              </w:rPr>
              <w:t>-</w:t>
            </w:r>
          </w:p>
        </w:tc>
        <w:tc>
          <w:tcPr>
            <w:tcW w:w="2160" w:type="dxa"/>
            <w:vAlign w:val="center"/>
          </w:tcPr>
          <w:p w:rsidR="00871824" w:rsidRDefault="00672BD5">
            <w:pPr>
              <w:jc w:val="right"/>
            </w:pPr>
            <w:r>
              <w:rPr>
                <w:rFonts w:eastAsiaTheme="minorEastAsia"/>
                <w:color w:val="000000"/>
                <w:szCs w:val="21"/>
              </w:rPr>
              <w:t>15,966,002.12</w:t>
            </w:r>
          </w:p>
        </w:tc>
      </w:tr>
      <w:tr w:rsidR="00871824">
        <w:tc>
          <w:tcPr>
            <w:tcW w:w="1477" w:type="dxa"/>
            <w:vAlign w:val="center"/>
          </w:tcPr>
          <w:p w:rsidR="00871824" w:rsidRDefault="00672BD5">
            <w:pPr>
              <w:jc w:val="left"/>
            </w:pPr>
            <w:r>
              <w:rPr>
                <w:rFonts w:eastAsiaTheme="minorEastAsia"/>
                <w:color w:val="000000"/>
                <w:szCs w:val="21"/>
              </w:rPr>
              <w:t>交易性金融资产</w:t>
            </w:r>
          </w:p>
        </w:tc>
        <w:tc>
          <w:tcPr>
            <w:tcW w:w="1943" w:type="dxa"/>
            <w:vAlign w:val="center"/>
          </w:tcPr>
          <w:p w:rsidR="00871824" w:rsidRDefault="00672BD5">
            <w:pPr>
              <w:jc w:val="right"/>
            </w:pPr>
            <w:r>
              <w:rPr>
                <w:rFonts w:eastAsiaTheme="minorEastAsia"/>
                <w:color w:val="000000"/>
                <w:szCs w:val="21"/>
              </w:rPr>
              <w:t>-</w:t>
            </w:r>
          </w:p>
        </w:tc>
        <w:tc>
          <w:tcPr>
            <w:tcW w:w="1400" w:type="dxa"/>
            <w:vAlign w:val="center"/>
          </w:tcPr>
          <w:p w:rsidR="00871824" w:rsidRDefault="00672BD5">
            <w:pPr>
              <w:jc w:val="right"/>
            </w:pPr>
            <w:r>
              <w:rPr>
                <w:rFonts w:eastAsiaTheme="minorEastAsia"/>
                <w:color w:val="000000"/>
                <w:szCs w:val="21"/>
              </w:rPr>
              <w:t>-</w:t>
            </w:r>
          </w:p>
        </w:tc>
        <w:tc>
          <w:tcPr>
            <w:tcW w:w="2020" w:type="dxa"/>
            <w:vAlign w:val="center"/>
          </w:tcPr>
          <w:p w:rsidR="00871824" w:rsidRDefault="00672BD5">
            <w:pPr>
              <w:jc w:val="right"/>
            </w:pPr>
            <w:r>
              <w:rPr>
                <w:rFonts w:eastAsiaTheme="minorEastAsia"/>
                <w:color w:val="000000"/>
                <w:szCs w:val="21"/>
              </w:rPr>
              <w:t>-</w:t>
            </w:r>
          </w:p>
        </w:tc>
        <w:tc>
          <w:tcPr>
            <w:tcW w:w="2160" w:type="dxa"/>
            <w:vAlign w:val="center"/>
          </w:tcPr>
          <w:p w:rsidR="00871824" w:rsidRDefault="00672BD5">
            <w:pPr>
              <w:jc w:val="right"/>
            </w:pPr>
            <w:r>
              <w:rPr>
                <w:rFonts w:eastAsiaTheme="minorEastAsia"/>
                <w:color w:val="000000"/>
                <w:szCs w:val="21"/>
              </w:rPr>
              <w:t>-</w:t>
            </w:r>
          </w:p>
        </w:tc>
      </w:tr>
      <w:tr w:rsidR="00871824">
        <w:tc>
          <w:tcPr>
            <w:tcW w:w="1477" w:type="dxa"/>
            <w:vAlign w:val="center"/>
          </w:tcPr>
          <w:p w:rsidR="00871824" w:rsidRDefault="00672BD5">
            <w:pPr>
              <w:jc w:val="left"/>
            </w:pPr>
            <w:r>
              <w:rPr>
                <w:rFonts w:eastAsiaTheme="minorEastAsia"/>
                <w:color w:val="000000"/>
                <w:szCs w:val="21"/>
              </w:rPr>
              <w:t>衍生金融资产</w:t>
            </w:r>
          </w:p>
        </w:tc>
        <w:tc>
          <w:tcPr>
            <w:tcW w:w="1943" w:type="dxa"/>
            <w:vAlign w:val="center"/>
          </w:tcPr>
          <w:p w:rsidR="00871824" w:rsidRDefault="00672BD5">
            <w:pPr>
              <w:jc w:val="right"/>
            </w:pPr>
            <w:r>
              <w:rPr>
                <w:rFonts w:eastAsiaTheme="minorEastAsia"/>
                <w:color w:val="000000"/>
                <w:szCs w:val="21"/>
              </w:rPr>
              <w:t>-</w:t>
            </w:r>
          </w:p>
        </w:tc>
        <w:tc>
          <w:tcPr>
            <w:tcW w:w="1400" w:type="dxa"/>
            <w:vAlign w:val="center"/>
          </w:tcPr>
          <w:p w:rsidR="00871824" w:rsidRDefault="00672BD5">
            <w:pPr>
              <w:jc w:val="right"/>
            </w:pPr>
            <w:r>
              <w:rPr>
                <w:rFonts w:eastAsiaTheme="minorEastAsia"/>
                <w:color w:val="000000"/>
                <w:szCs w:val="21"/>
              </w:rPr>
              <w:t>-</w:t>
            </w:r>
          </w:p>
        </w:tc>
        <w:tc>
          <w:tcPr>
            <w:tcW w:w="2020" w:type="dxa"/>
            <w:vAlign w:val="center"/>
          </w:tcPr>
          <w:p w:rsidR="00871824" w:rsidRDefault="00672BD5">
            <w:pPr>
              <w:jc w:val="right"/>
            </w:pPr>
            <w:r>
              <w:rPr>
                <w:rFonts w:eastAsiaTheme="minorEastAsia"/>
                <w:color w:val="000000"/>
                <w:szCs w:val="21"/>
              </w:rPr>
              <w:t>-</w:t>
            </w:r>
          </w:p>
        </w:tc>
        <w:tc>
          <w:tcPr>
            <w:tcW w:w="2160" w:type="dxa"/>
            <w:vAlign w:val="center"/>
          </w:tcPr>
          <w:p w:rsidR="00871824" w:rsidRDefault="00672BD5">
            <w:pPr>
              <w:jc w:val="right"/>
            </w:pPr>
            <w:r>
              <w:rPr>
                <w:rFonts w:eastAsiaTheme="minorEastAsia"/>
                <w:color w:val="000000"/>
                <w:szCs w:val="21"/>
              </w:rPr>
              <w:t>-</w:t>
            </w:r>
          </w:p>
        </w:tc>
      </w:tr>
      <w:tr w:rsidR="00871824">
        <w:tc>
          <w:tcPr>
            <w:tcW w:w="1477" w:type="dxa"/>
            <w:vAlign w:val="center"/>
          </w:tcPr>
          <w:p w:rsidR="00871824" w:rsidRDefault="00672BD5">
            <w:pPr>
              <w:jc w:val="left"/>
            </w:pPr>
            <w:r>
              <w:rPr>
                <w:rFonts w:eastAsiaTheme="minorEastAsia"/>
                <w:color w:val="000000"/>
                <w:szCs w:val="21"/>
              </w:rPr>
              <w:t>应收证券清算款</w:t>
            </w:r>
          </w:p>
        </w:tc>
        <w:tc>
          <w:tcPr>
            <w:tcW w:w="1943" w:type="dxa"/>
            <w:vAlign w:val="center"/>
          </w:tcPr>
          <w:p w:rsidR="00871824" w:rsidRDefault="00672BD5">
            <w:pPr>
              <w:jc w:val="right"/>
            </w:pPr>
            <w:r>
              <w:rPr>
                <w:rFonts w:eastAsiaTheme="minorEastAsia"/>
                <w:color w:val="000000"/>
                <w:szCs w:val="21"/>
              </w:rPr>
              <w:t>-</w:t>
            </w:r>
          </w:p>
        </w:tc>
        <w:tc>
          <w:tcPr>
            <w:tcW w:w="1400" w:type="dxa"/>
            <w:vAlign w:val="center"/>
          </w:tcPr>
          <w:p w:rsidR="00871824" w:rsidRDefault="00672BD5">
            <w:pPr>
              <w:jc w:val="right"/>
            </w:pPr>
            <w:r>
              <w:rPr>
                <w:rFonts w:eastAsiaTheme="minorEastAsia"/>
                <w:color w:val="000000"/>
                <w:szCs w:val="21"/>
              </w:rPr>
              <w:t>-</w:t>
            </w:r>
          </w:p>
        </w:tc>
        <w:tc>
          <w:tcPr>
            <w:tcW w:w="2020" w:type="dxa"/>
            <w:vAlign w:val="center"/>
          </w:tcPr>
          <w:p w:rsidR="00871824" w:rsidRDefault="00672BD5">
            <w:pPr>
              <w:jc w:val="right"/>
            </w:pPr>
            <w:r>
              <w:rPr>
                <w:rFonts w:eastAsiaTheme="minorEastAsia"/>
                <w:color w:val="000000"/>
                <w:szCs w:val="21"/>
              </w:rPr>
              <w:t>-</w:t>
            </w:r>
          </w:p>
        </w:tc>
        <w:tc>
          <w:tcPr>
            <w:tcW w:w="2160" w:type="dxa"/>
            <w:vAlign w:val="center"/>
          </w:tcPr>
          <w:p w:rsidR="00871824" w:rsidRDefault="00672BD5">
            <w:pPr>
              <w:jc w:val="right"/>
            </w:pPr>
            <w:r>
              <w:rPr>
                <w:rFonts w:eastAsiaTheme="minorEastAsia"/>
                <w:color w:val="000000"/>
                <w:szCs w:val="21"/>
              </w:rPr>
              <w:t>-</w:t>
            </w:r>
          </w:p>
        </w:tc>
      </w:tr>
      <w:tr w:rsidR="00871824">
        <w:tc>
          <w:tcPr>
            <w:tcW w:w="1477" w:type="dxa"/>
            <w:vAlign w:val="center"/>
          </w:tcPr>
          <w:p w:rsidR="00871824" w:rsidRDefault="00672BD5">
            <w:pPr>
              <w:jc w:val="left"/>
            </w:pPr>
            <w:r>
              <w:rPr>
                <w:rFonts w:eastAsiaTheme="minorEastAsia"/>
                <w:color w:val="000000"/>
                <w:szCs w:val="21"/>
              </w:rPr>
              <w:t>应收利息</w:t>
            </w:r>
          </w:p>
        </w:tc>
        <w:tc>
          <w:tcPr>
            <w:tcW w:w="1943" w:type="dxa"/>
            <w:vAlign w:val="center"/>
          </w:tcPr>
          <w:p w:rsidR="00871824" w:rsidRDefault="00672BD5">
            <w:pPr>
              <w:jc w:val="right"/>
            </w:pPr>
            <w:r>
              <w:rPr>
                <w:rFonts w:eastAsiaTheme="minorEastAsia"/>
                <w:color w:val="000000"/>
                <w:szCs w:val="21"/>
              </w:rPr>
              <w:t>830.94</w:t>
            </w:r>
          </w:p>
        </w:tc>
        <w:tc>
          <w:tcPr>
            <w:tcW w:w="1400" w:type="dxa"/>
            <w:vAlign w:val="center"/>
          </w:tcPr>
          <w:p w:rsidR="00871824" w:rsidRDefault="00672BD5">
            <w:pPr>
              <w:jc w:val="right"/>
            </w:pPr>
            <w:r>
              <w:rPr>
                <w:rFonts w:eastAsiaTheme="minorEastAsia"/>
                <w:color w:val="000000"/>
                <w:szCs w:val="21"/>
              </w:rPr>
              <w:t>5.83</w:t>
            </w:r>
          </w:p>
        </w:tc>
        <w:tc>
          <w:tcPr>
            <w:tcW w:w="2020" w:type="dxa"/>
            <w:vAlign w:val="center"/>
          </w:tcPr>
          <w:p w:rsidR="00871824" w:rsidRDefault="00672BD5">
            <w:pPr>
              <w:jc w:val="right"/>
            </w:pPr>
            <w:r>
              <w:rPr>
                <w:rFonts w:eastAsiaTheme="minorEastAsia"/>
                <w:color w:val="000000"/>
                <w:szCs w:val="21"/>
              </w:rPr>
              <w:t>-</w:t>
            </w:r>
          </w:p>
        </w:tc>
        <w:tc>
          <w:tcPr>
            <w:tcW w:w="2160" w:type="dxa"/>
            <w:vAlign w:val="center"/>
          </w:tcPr>
          <w:p w:rsidR="00871824" w:rsidRDefault="00672BD5">
            <w:pPr>
              <w:jc w:val="right"/>
            </w:pPr>
            <w:r>
              <w:rPr>
                <w:rFonts w:eastAsiaTheme="minorEastAsia"/>
                <w:color w:val="000000"/>
                <w:szCs w:val="21"/>
              </w:rPr>
              <w:t>836.77</w:t>
            </w:r>
          </w:p>
        </w:tc>
      </w:tr>
      <w:tr w:rsidR="00871824">
        <w:tc>
          <w:tcPr>
            <w:tcW w:w="1477" w:type="dxa"/>
            <w:vAlign w:val="center"/>
          </w:tcPr>
          <w:p w:rsidR="00871824" w:rsidRDefault="00672BD5">
            <w:pPr>
              <w:jc w:val="left"/>
            </w:pPr>
            <w:r>
              <w:rPr>
                <w:rFonts w:eastAsiaTheme="minorEastAsia"/>
                <w:color w:val="000000"/>
                <w:szCs w:val="21"/>
              </w:rPr>
              <w:t>应收股利</w:t>
            </w:r>
          </w:p>
        </w:tc>
        <w:tc>
          <w:tcPr>
            <w:tcW w:w="1943" w:type="dxa"/>
            <w:vAlign w:val="center"/>
          </w:tcPr>
          <w:p w:rsidR="00871824" w:rsidRDefault="00672BD5">
            <w:pPr>
              <w:jc w:val="right"/>
            </w:pPr>
            <w:r>
              <w:rPr>
                <w:rFonts w:eastAsiaTheme="minorEastAsia"/>
                <w:color w:val="000000"/>
                <w:szCs w:val="21"/>
              </w:rPr>
              <w:t>-</w:t>
            </w:r>
          </w:p>
        </w:tc>
        <w:tc>
          <w:tcPr>
            <w:tcW w:w="1400" w:type="dxa"/>
            <w:vAlign w:val="center"/>
          </w:tcPr>
          <w:p w:rsidR="00871824" w:rsidRDefault="00672BD5">
            <w:pPr>
              <w:jc w:val="right"/>
            </w:pPr>
            <w:r>
              <w:rPr>
                <w:rFonts w:eastAsiaTheme="minorEastAsia"/>
                <w:color w:val="000000"/>
                <w:szCs w:val="21"/>
              </w:rPr>
              <w:t>-</w:t>
            </w:r>
          </w:p>
        </w:tc>
        <w:tc>
          <w:tcPr>
            <w:tcW w:w="2020" w:type="dxa"/>
            <w:vAlign w:val="center"/>
          </w:tcPr>
          <w:p w:rsidR="00871824" w:rsidRDefault="00672BD5">
            <w:pPr>
              <w:jc w:val="right"/>
            </w:pPr>
            <w:r>
              <w:rPr>
                <w:rFonts w:eastAsiaTheme="minorEastAsia"/>
                <w:color w:val="000000"/>
                <w:szCs w:val="21"/>
              </w:rPr>
              <w:t>-</w:t>
            </w:r>
          </w:p>
        </w:tc>
        <w:tc>
          <w:tcPr>
            <w:tcW w:w="2160" w:type="dxa"/>
            <w:vAlign w:val="center"/>
          </w:tcPr>
          <w:p w:rsidR="00871824" w:rsidRDefault="00672BD5">
            <w:pPr>
              <w:jc w:val="right"/>
            </w:pPr>
            <w:r>
              <w:rPr>
                <w:rFonts w:eastAsiaTheme="minorEastAsia"/>
                <w:color w:val="000000"/>
                <w:szCs w:val="21"/>
              </w:rPr>
              <w:t>-</w:t>
            </w:r>
          </w:p>
        </w:tc>
      </w:tr>
      <w:tr w:rsidR="00871824">
        <w:tc>
          <w:tcPr>
            <w:tcW w:w="1477" w:type="dxa"/>
            <w:vAlign w:val="center"/>
          </w:tcPr>
          <w:p w:rsidR="00871824" w:rsidRDefault="00672BD5">
            <w:pPr>
              <w:jc w:val="left"/>
            </w:pPr>
            <w:r>
              <w:rPr>
                <w:rFonts w:eastAsiaTheme="minorEastAsia"/>
                <w:color w:val="000000"/>
                <w:szCs w:val="21"/>
              </w:rPr>
              <w:t>应收申购款</w:t>
            </w:r>
          </w:p>
        </w:tc>
        <w:tc>
          <w:tcPr>
            <w:tcW w:w="1943" w:type="dxa"/>
            <w:vAlign w:val="center"/>
          </w:tcPr>
          <w:p w:rsidR="00871824" w:rsidRDefault="00672BD5">
            <w:pPr>
              <w:jc w:val="right"/>
            </w:pPr>
            <w:r>
              <w:rPr>
                <w:rFonts w:eastAsiaTheme="minorEastAsia"/>
                <w:color w:val="000000"/>
                <w:szCs w:val="21"/>
              </w:rPr>
              <w:t>301,486.52</w:t>
            </w:r>
          </w:p>
        </w:tc>
        <w:tc>
          <w:tcPr>
            <w:tcW w:w="1400" w:type="dxa"/>
            <w:vAlign w:val="center"/>
          </w:tcPr>
          <w:p w:rsidR="00871824" w:rsidRDefault="00672BD5">
            <w:pPr>
              <w:jc w:val="right"/>
            </w:pPr>
            <w:r>
              <w:rPr>
                <w:rFonts w:eastAsiaTheme="minorEastAsia"/>
                <w:color w:val="000000"/>
                <w:szCs w:val="21"/>
              </w:rPr>
              <w:t>-</w:t>
            </w:r>
          </w:p>
        </w:tc>
        <w:tc>
          <w:tcPr>
            <w:tcW w:w="2020" w:type="dxa"/>
            <w:vAlign w:val="center"/>
          </w:tcPr>
          <w:p w:rsidR="00871824" w:rsidRDefault="00672BD5">
            <w:pPr>
              <w:jc w:val="right"/>
            </w:pPr>
            <w:r>
              <w:rPr>
                <w:rFonts w:eastAsiaTheme="minorEastAsia"/>
                <w:color w:val="000000"/>
                <w:szCs w:val="21"/>
              </w:rPr>
              <w:t>-</w:t>
            </w:r>
          </w:p>
        </w:tc>
        <w:tc>
          <w:tcPr>
            <w:tcW w:w="2160" w:type="dxa"/>
            <w:vAlign w:val="center"/>
          </w:tcPr>
          <w:p w:rsidR="00871824" w:rsidRDefault="00672BD5">
            <w:pPr>
              <w:jc w:val="right"/>
            </w:pPr>
            <w:r>
              <w:rPr>
                <w:rFonts w:eastAsiaTheme="minorEastAsia"/>
                <w:color w:val="000000"/>
                <w:szCs w:val="21"/>
              </w:rPr>
              <w:t>301,486.52</w:t>
            </w:r>
          </w:p>
        </w:tc>
      </w:tr>
      <w:tr w:rsidR="00871824">
        <w:tc>
          <w:tcPr>
            <w:tcW w:w="1477" w:type="dxa"/>
            <w:vAlign w:val="center"/>
          </w:tcPr>
          <w:p w:rsidR="00871824" w:rsidRDefault="00672BD5">
            <w:pPr>
              <w:jc w:val="left"/>
            </w:pPr>
            <w:r>
              <w:rPr>
                <w:rFonts w:eastAsiaTheme="minorEastAsia"/>
                <w:color w:val="000000"/>
                <w:szCs w:val="21"/>
              </w:rPr>
              <w:t>其他资产</w:t>
            </w:r>
          </w:p>
        </w:tc>
        <w:tc>
          <w:tcPr>
            <w:tcW w:w="1943" w:type="dxa"/>
            <w:vAlign w:val="center"/>
          </w:tcPr>
          <w:p w:rsidR="00871824" w:rsidRDefault="00672BD5">
            <w:pPr>
              <w:jc w:val="right"/>
            </w:pPr>
            <w:r>
              <w:rPr>
                <w:rFonts w:eastAsiaTheme="minorEastAsia"/>
                <w:color w:val="000000"/>
                <w:szCs w:val="21"/>
              </w:rPr>
              <w:t>-</w:t>
            </w:r>
          </w:p>
        </w:tc>
        <w:tc>
          <w:tcPr>
            <w:tcW w:w="1400" w:type="dxa"/>
            <w:vAlign w:val="center"/>
          </w:tcPr>
          <w:p w:rsidR="00871824" w:rsidRDefault="00672BD5">
            <w:pPr>
              <w:jc w:val="right"/>
            </w:pPr>
            <w:r>
              <w:rPr>
                <w:rFonts w:eastAsiaTheme="minorEastAsia"/>
                <w:color w:val="000000"/>
                <w:szCs w:val="21"/>
              </w:rPr>
              <w:t>-</w:t>
            </w:r>
          </w:p>
        </w:tc>
        <w:tc>
          <w:tcPr>
            <w:tcW w:w="2020" w:type="dxa"/>
            <w:vAlign w:val="center"/>
          </w:tcPr>
          <w:p w:rsidR="00871824" w:rsidRDefault="00672BD5">
            <w:pPr>
              <w:jc w:val="right"/>
            </w:pPr>
            <w:r>
              <w:rPr>
                <w:rFonts w:eastAsiaTheme="minorEastAsia"/>
                <w:color w:val="000000"/>
                <w:szCs w:val="21"/>
              </w:rPr>
              <w:t>-</w:t>
            </w:r>
          </w:p>
        </w:tc>
        <w:tc>
          <w:tcPr>
            <w:tcW w:w="2160" w:type="dxa"/>
            <w:vAlign w:val="center"/>
          </w:tcPr>
          <w:p w:rsidR="00871824" w:rsidRDefault="00672BD5">
            <w:pPr>
              <w:jc w:val="right"/>
            </w:pPr>
            <w:r>
              <w:rPr>
                <w:rFonts w:eastAsiaTheme="minorEastAsia"/>
                <w:color w:val="000000"/>
                <w:szCs w:val="21"/>
              </w:rPr>
              <w:t>-</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59,862,445.08</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16,036,614.58</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75,899,059.66</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以外币计价的负债</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871824">
        <w:tc>
          <w:tcPr>
            <w:tcW w:w="1477" w:type="dxa"/>
            <w:vAlign w:val="center"/>
          </w:tcPr>
          <w:p w:rsidR="00871824" w:rsidRDefault="00672BD5">
            <w:pPr>
              <w:jc w:val="left"/>
            </w:pPr>
            <w:r>
              <w:rPr>
                <w:rFonts w:eastAsiaTheme="minorEastAsia"/>
                <w:color w:val="000000"/>
                <w:szCs w:val="21"/>
              </w:rPr>
              <w:t>应付证券清算款</w:t>
            </w:r>
          </w:p>
        </w:tc>
        <w:tc>
          <w:tcPr>
            <w:tcW w:w="1943" w:type="dxa"/>
            <w:vAlign w:val="center"/>
          </w:tcPr>
          <w:p w:rsidR="00871824" w:rsidRDefault="00672BD5">
            <w:pPr>
              <w:jc w:val="right"/>
            </w:pPr>
            <w:r>
              <w:rPr>
                <w:rFonts w:eastAsiaTheme="minorEastAsia"/>
                <w:color w:val="000000"/>
                <w:szCs w:val="21"/>
              </w:rPr>
              <w:t>-</w:t>
            </w:r>
          </w:p>
        </w:tc>
        <w:tc>
          <w:tcPr>
            <w:tcW w:w="1400" w:type="dxa"/>
            <w:vAlign w:val="center"/>
          </w:tcPr>
          <w:p w:rsidR="00871824" w:rsidRDefault="00672BD5">
            <w:pPr>
              <w:jc w:val="right"/>
            </w:pPr>
            <w:r>
              <w:rPr>
                <w:rFonts w:eastAsiaTheme="minorEastAsia"/>
                <w:color w:val="000000"/>
                <w:szCs w:val="21"/>
              </w:rPr>
              <w:t>-</w:t>
            </w:r>
          </w:p>
        </w:tc>
        <w:tc>
          <w:tcPr>
            <w:tcW w:w="2020" w:type="dxa"/>
            <w:vAlign w:val="center"/>
          </w:tcPr>
          <w:p w:rsidR="00871824" w:rsidRDefault="00672BD5">
            <w:pPr>
              <w:jc w:val="right"/>
            </w:pPr>
            <w:r>
              <w:rPr>
                <w:rFonts w:eastAsiaTheme="minorEastAsia"/>
                <w:color w:val="000000"/>
                <w:szCs w:val="21"/>
              </w:rPr>
              <w:t>-</w:t>
            </w:r>
          </w:p>
        </w:tc>
        <w:tc>
          <w:tcPr>
            <w:tcW w:w="2160" w:type="dxa"/>
            <w:vAlign w:val="center"/>
          </w:tcPr>
          <w:p w:rsidR="00871824" w:rsidRDefault="00672BD5">
            <w:pPr>
              <w:jc w:val="right"/>
            </w:pPr>
            <w:r>
              <w:rPr>
                <w:rFonts w:eastAsiaTheme="minorEastAsia"/>
                <w:color w:val="000000"/>
                <w:szCs w:val="21"/>
              </w:rPr>
              <w:t>-</w:t>
            </w:r>
          </w:p>
        </w:tc>
      </w:tr>
      <w:tr w:rsidR="00871824">
        <w:tc>
          <w:tcPr>
            <w:tcW w:w="1477" w:type="dxa"/>
            <w:vAlign w:val="center"/>
          </w:tcPr>
          <w:p w:rsidR="00871824" w:rsidRDefault="00672BD5">
            <w:pPr>
              <w:jc w:val="left"/>
            </w:pPr>
            <w:r>
              <w:rPr>
                <w:rFonts w:eastAsiaTheme="minorEastAsia"/>
                <w:color w:val="000000"/>
                <w:szCs w:val="21"/>
              </w:rPr>
              <w:t>应付赎回款</w:t>
            </w:r>
          </w:p>
        </w:tc>
        <w:tc>
          <w:tcPr>
            <w:tcW w:w="1943" w:type="dxa"/>
            <w:vAlign w:val="center"/>
          </w:tcPr>
          <w:p w:rsidR="00871824" w:rsidRDefault="00672BD5">
            <w:pPr>
              <w:jc w:val="right"/>
            </w:pPr>
            <w:r>
              <w:rPr>
                <w:rFonts w:eastAsiaTheme="minorEastAsia"/>
                <w:color w:val="000000"/>
                <w:szCs w:val="21"/>
              </w:rPr>
              <w:t>336,669.80</w:t>
            </w:r>
          </w:p>
        </w:tc>
        <w:tc>
          <w:tcPr>
            <w:tcW w:w="1400" w:type="dxa"/>
            <w:vAlign w:val="center"/>
          </w:tcPr>
          <w:p w:rsidR="00871824" w:rsidRDefault="00672BD5">
            <w:pPr>
              <w:jc w:val="right"/>
            </w:pPr>
            <w:r>
              <w:rPr>
                <w:rFonts w:eastAsiaTheme="minorEastAsia"/>
                <w:color w:val="000000"/>
                <w:szCs w:val="21"/>
              </w:rPr>
              <w:t>-</w:t>
            </w:r>
          </w:p>
        </w:tc>
        <w:tc>
          <w:tcPr>
            <w:tcW w:w="2020" w:type="dxa"/>
            <w:vAlign w:val="center"/>
          </w:tcPr>
          <w:p w:rsidR="00871824" w:rsidRDefault="00672BD5">
            <w:pPr>
              <w:jc w:val="right"/>
            </w:pPr>
            <w:r>
              <w:rPr>
                <w:rFonts w:eastAsiaTheme="minorEastAsia"/>
                <w:color w:val="000000"/>
                <w:szCs w:val="21"/>
              </w:rPr>
              <w:t>-</w:t>
            </w:r>
          </w:p>
        </w:tc>
        <w:tc>
          <w:tcPr>
            <w:tcW w:w="2160" w:type="dxa"/>
            <w:vAlign w:val="center"/>
          </w:tcPr>
          <w:p w:rsidR="00871824" w:rsidRDefault="00672BD5">
            <w:pPr>
              <w:jc w:val="right"/>
            </w:pPr>
            <w:r>
              <w:rPr>
                <w:rFonts w:eastAsiaTheme="minorEastAsia"/>
                <w:color w:val="000000"/>
                <w:szCs w:val="21"/>
              </w:rPr>
              <w:t>336,669.80</w:t>
            </w:r>
          </w:p>
        </w:tc>
      </w:tr>
      <w:tr w:rsidR="00871824">
        <w:tc>
          <w:tcPr>
            <w:tcW w:w="1477" w:type="dxa"/>
            <w:vAlign w:val="center"/>
          </w:tcPr>
          <w:p w:rsidR="00871824" w:rsidRDefault="00672BD5">
            <w:pPr>
              <w:jc w:val="left"/>
            </w:pPr>
            <w:r>
              <w:rPr>
                <w:rFonts w:eastAsiaTheme="minorEastAsia"/>
                <w:color w:val="000000"/>
                <w:szCs w:val="21"/>
              </w:rPr>
              <w:t>其他负债</w:t>
            </w:r>
          </w:p>
        </w:tc>
        <w:tc>
          <w:tcPr>
            <w:tcW w:w="1943" w:type="dxa"/>
            <w:vAlign w:val="center"/>
          </w:tcPr>
          <w:p w:rsidR="00871824" w:rsidRDefault="00672BD5">
            <w:pPr>
              <w:jc w:val="right"/>
            </w:pPr>
            <w:r>
              <w:rPr>
                <w:rFonts w:eastAsiaTheme="minorEastAsia"/>
                <w:color w:val="000000"/>
                <w:szCs w:val="21"/>
              </w:rPr>
              <w:t>264.68</w:t>
            </w:r>
          </w:p>
        </w:tc>
        <w:tc>
          <w:tcPr>
            <w:tcW w:w="1400" w:type="dxa"/>
            <w:vAlign w:val="center"/>
          </w:tcPr>
          <w:p w:rsidR="00871824" w:rsidRDefault="00672BD5">
            <w:pPr>
              <w:jc w:val="right"/>
            </w:pPr>
            <w:r>
              <w:rPr>
                <w:rFonts w:eastAsiaTheme="minorEastAsia"/>
                <w:color w:val="000000"/>
                <w:szCs w:val="21"/>
              </w:rPr>
              <w:t>-</w:t>
            </w:r>
          </w:p>
        </w:tc>
        <w:tc>
          <w:tcPr>
            <w:tcW w:w="2020" w:type="dxa"/>
            <w:vAlign w:val="center"/>
          </w:tcPr>
          <w:p w:rsidR="00871824" w:rsidRDefault="00672BD5">
            <w:pPr>
              <w:jc w:val="right"/>
            </w:pPr>
            <w:r>
              <w:rPr>
                <w:rFonts w:eastAsiaTheme="minorEastAsia"/>
                <w:color w:val="000000"/>
                <w:szCs w:val="21"/>
              </w:rPr>
              <w:t>-</w:t>
            </w:r>
          </w:p>
        </w:tc>
        <w:tc>
          <w:tcPr>
            <w:tcW w:w="2160" w:type="dxa"/>
            <w:vAlign w:val="center"/>
          </w:tcPr>
          <w:p w:rsidR="00871824" w:rsidRDefault="00672BD5">
            <w:pPr>
              <w:jc w:val="right"/>
            </w:pPr>
            <w:r>
              <w:rPr>
                <w:rFonts w:eastAsiaTheme="minorEastAsia"/>
                <w:color w:val="000000"/>
                <w:szCs w:val="21"/>
              </w:rPr>
              <w:t>264.68</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负债合计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336,934.48</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336,934.48</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资产负债表外汇风险敞口净额</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59,525,510.60</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16,036,614.58</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75,562,125.18</w:t>
            </w:r>
          </w:p>
        </w:tc>
      </w:tr>
    </w:tbl>
    <w:p w:rsidR="008A5A5D" w:rsidRPr="00C24ACA" w:rsidRDefault="0056101E"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注：本基金本报告期末投资的目标基金市值为</w:t>
      </w:r>
      <w:r w:rsidRPr="008707EB">
        <w:rPr>
          <w:rFonts w:eastAsiaTheme="minorEastAsia"/>
          <w:kern w:val="0"/>
          <w:szCs w:val="21"/>
        </w:rPr>
        <w:t>1,615,478,556.46</w:t>
      </w:r>
      <w:r w:rsidRPr="008707EB">
        <w:rPr>
          <w:rFonts w:eastAsiaTheme="minorEastAsia"/>
          <w:kern w:val="0"/>
          <w:szCs w:val="21"/>
        </w:rPr>
        <w:t>元，列示于资产负债表</w:t>
      </w:r>
      <w:r w:rsidRPr="008707EB">
        <w:rPr>
          <w:rFonts w:eastAsiaTheme="minorEastAsia"/>
          <w:kern w:val="0"/>
          <w:szCs w:val="21"/>
        </w:rPr>
        <w:t>“</w:t>
      </w:r>
      <w:r w:rsidRPr="008707EB">
        <w:rPr>
          <w:rFonts w:eastAsiaTheme="minorEastAsia"/>
          <w:kern w:val="0"/>
          <w:szCs w:val="21"/>
        </w:rPr>
        <w:t>交易性金融资产</w:t>
      </w:r>
      <w:r w:rsidRPr="008707EB">
        <w:rPr>
          <w:rFonts w:eastAsiaTheme="minorEastAsia"/>
          <w:kern w:val="0"/>
          <w:szCs w:val="21"/>
        </w:rPr>
        <w:t>”</w:t>
      </w:r>
      <w:r w:rsidRPr="008707EB">
        <w:rPr>
          <w:rFonts w:eastAsiaTheme="minorEastAsia"/>
          <w:kern w:val="0"/>
          <w:szCs w:val="21"/>
        </w:rPr>
        <w:t>科目中。目标基金本报告期末投资的港股折合人民币为</w:t>
      </w:r>
      <w:r w:rsidRPr="008707EB">
        <w:rPr>
          <w:rFonts w:eastAsiaTheme="minorEastAsia"/>
          <w:kern w:val="0"/>
          <w:szCs w:val="21"/>
        </w:rPr>
        <w:t>9,054,307,061.54</w:t>
      </w:r>
      <w:r w:rsidRPr="008707EB">
        <w:rPr>
          <w:rFonts w:eastAsiaTheme="minorEastAsia"/>
          <w:kern w:val="0"/>
          <w:szCs w:val="21"/>
        </w:rPr>
        <w:t>元，占净值比例</w:t>
      </w:r>
      <w:r w:rsidRPr="008707EB">
        <w:rPr>
          <w:rFonts w:eastAsiaTheme="minorEastAsia"/>
          <w:kern w:val="0"/>
          <w:szCs w:val="21"/>
        </w:rPr>
        <w:t>98.03%</w:t>
      </w:r>
      <w:r w:rsidRPr="008707EB">
        <w:rPr>
          <w:rFonts w:eastAsiaTheme="minorEastAsia"/>
          <w:kern w:val="0"/>
          <w:szCs w:val="21"/>
        </w:rPr>
        <w:t>。本基金上年度末投资的目标基金市值为</w:t>
      </w:r>
      <w:r w:rsidRPr="008707EB">
        <w:rPr>
          <w:rFonts w:eastAsiaTheme="minorEastAsia"/>
          <w:kern w:val="0"/>
          <w:szCs w:val="21"/>
        </w:rPr>
        <w:t>1,850,339,637.07</w:t>
      </w:r>
      <w:r w:rsidRPr="008707EB">
        <w:rPr>
          <w:rFonts w:eastAsiaTheme="minorEastAsia"/>
          <w:kern w:val="0"/>
          <w:szCs w:val="21"/>
        </w:rPr>
        <w:t>元，列示于资产负债表</w:t>
      </w:r>
      <w:r w:rsidRPr="008707EB">
        <w:rPr>
          <w:rFonts w:eastAsiaTheme="minorEastAsia"/>
          <w:kern w:val="0"/>
          <w:szCs w:val="21"/>
        </w:rPr>
        <w:t>“</w:t>
      </w:r>
      <w:r w:rsidRPr="008707EB">
        <w:rPr>
          <w:rFonts w:eastAsiaTheme="minorEastAsia"/>
          <w:kern w:val="0"/>
          <w:szCs w:val="21"/>
        </w:rPr>
        <w:t>交易性金融资产</w:t>
      </w:r>
      <w:r w:rsidRPr="008707EB">
        <w:rPr>
          <w:rFonts w:eastAsiaTheme="minorEastAsia"/>
          <w:kern w:val="0"/>
          <w:szCs w:val="21"/>
        </w:rPr>
        <w:t>”</w:t>
      </w:r>
      <w:r w:rsidRPr="008707EB">
        <w:rPr>
          <w:rFonts w:eastAsiaTheme="minorEastAsia"/>
          <w:kern w:val="0"/>
          <w:szCs w:val="21"/>
        </w:rPr>
        <w:t>科目中。目标基金上年度末投资的港股折合人民币为</w:t>
      </w:r>
      <w:r w:rsidRPr="008707EB">
        <w:rPr>
          <w:rFonts w:eastAsiaTheme="minorEastAsia"/>
          <w:kern w:val="0"/>
          <w:szCs w:val="21"/>
        </w:rPr>
        <w:t>10,263,317,129.17</w:t>
      </w:r>
      <w:r w:rsidRPr="008707EB">
        <w:rPr>
          <w:rFonts w:eastAsiaTheme="minorEastAsia"/>
          <w:kern w:val="0"/>
          <w:szCs w:val="21"/>
        </w:rPr>
        <w:t>元，占净值比例</w:t>
      </w:r>
      <w:r w:rsidRPr="008707EB">
        <w:rPr>
          <w:rFonts w:eastAsiaTheme="minorEastAsia"/>
          <w:kern w:val="0"/>
          <w:szCs w:val="21"/>
        </w:rPr>
        <w:t>99.27%</w:t>
      </w:r>
      <w:r w:rsidRPr="008707EB">
        <w:rPr>
          <w:rFonts w:eastAsiaTheme="minorEastAsia"/>
          <w:kern w:val="0"/>
          <w:szCs w:val="21"/>
        </w:rPr>
        <w:t>。</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6.4.13.4.2.2</w:t>
      </w:r>
      <w:r w:rsidRPr="00C24ACA">
        <w:rPr>
          <w:rFonts w:eastAsiaTheme="minorEastAsia"/>
          <w:b/>
          <w:bCs/>
          <w:color w:val="000000"/>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2373"/>
        <w:gridCol w:w="2374"/>
      </w:tblGrid>
      <w:tr w:rsidR="00871824">
        <w:tc>
          <w:tcPr>
            <w:tcW w:w="993" w:type="dxa"/>
            <w:vAlign w:val="center"/>
          </w:tcPr>
          <w:p w:rsidR="00871824" w:rsidRDefault="00672BD5">
            <w:pPr>
              <w:jc w:val="left"/>
            </w:pPr>
            <w:r>
              <w:rPr>
                <w:rFonts w:eastAsiaTheme="minorEastAsia"/>
                <w:color w:val="000000"/>
                <w:szCs w:val="21"/>
              </w:rPr>
              <w:t>假设</w:t>
            </w:r>
          </w:p>
        </w:tc>
        <w:tc>
          <w:tcPr>
            <w:tcW w:w="8007" w:type="dxa"/>
            <w:gridSpan w:val="3"/>
            <w:vAlign w:val="center"/>
          </w:tcPr>
          <w:p w:rsidR="00871824" w:rsidRDefault="00672BD5">
            <w:pPr>
              <w:jc w:val="center"/>
            </w:pPr>
            <w:r>
              <w:rPr>
                <w:rFonts w:eastAsiaTheme="minorEastAsia"/>
                <w:color w:val="000000"/>
                <w:szCs w:val="21"/>
              </w:rPr>
              <w:t>除汇率外其他因素保持不变</w:t>
            </w:r>
          </w:p>
        </w:tc>
      </w:tr>
      <w:tr w:rsidR="00022F8F" w:rsidRPr="00C24ACA" w:rsidTr="0087507A">
        <w:tc>
          <w:tcPr>
            <w:tcW w:w="993" w:type="dxa"/>
            <w:vMerge w:val="restart"/>
            <w:vAlign w:val="center"/>
          </w:tcPr>
          <w:p w:rsidR="00022F8F" w:rsidRPr="00C24ACA" w:rsidRDefault="00022F8F" w:rsidP="00F86374">
            <w:pPr>
              <w:pStyle w:val="ae"/>
              <w:jc w:val="center"/>
              <w:rPr>
                <w:rFonts w:eastAsiaTheme="minorEastAsia"/>
                <w:color w:val="000000"/>
                <w:sz w:val="21"/>
                <w:szCs w:val="21"/>
              </w:rPr>
            </w:pPr>
            <w:r w:rsidRPr="00C24ACA">
              <w:rPr>
                <w:rFonts w:eastAsiaTheme="minorEastAsia"/>
                <w:bCs/>
                <w:color w:val="000000"/>
                <w:sz w:val="21"/>
                <w:szCs w:val="21"/>
              </w:rPr>
              <w:t>分析</w:t>
            </w:r>
          </w:p>
        </w:tc>
        <w:tc>
          <w:tcPr>
            <w:tcW w:w="3260" w:type="dxa"/>
            <w:vMerge w:val="restart"/>
            <w:vAlign w:val="center"/>
          </w:tcPr>
          <w:p w:rsidR="00022F8F" w:rsidRPr="00C24ACA" w:rsidRDefault="00022F8F" w:rsidP="0087507A">
            <w:pPr>
              <w:widowControl/>
              <w:autoSpaceDE w:val="0"/>
              <w:autoSpaceDN w:val="0"/>
              <w:ind w:right="-15"/>
              <w:jc w:val="center"/>
              <w:textAlignment w:val="bottom"/>
              <w:rPr>
                <w:rFonts w:eastAsiaTheme="minorEastAsia"/>
                <w:color w:val="000000"/>
                <w:kern w:val="0"/>
                <w:szCs w:val="21"/>
              </w:rPr>
            </w:pPr>
            <w:r w:rsidRPr="00C24ACA">
              <w:rPr>
                <w:rFonts w:eastAsiaTheme="minorEastAsia"/>
                <w:bCs/>
                <w:color w:val="000000"/>
                <w:szCs w:val="21"/>
              </w:rPr>
              <w:t>相关风险变量的变动</w:t>
            </w:r>
          </w:p>
        </w:tc>
        <w:tc>
          <w:tcPr>
            <w:tcW w:w="4747" w:type="dxa"/>
            <w:gridSpan w:val="2"/>
          </w:tcPr>
          <w:p w:rsidR="00022F8F" w:rsidRPr="00C24ACA" w:rsidRDefault="00022F8F" w:rsidP="0087507A">
            <w:pPr>
              <w:jc w:val="center"/>
              <w:rPr>
                <w:rFonts w:eastAsiaTheme="minorEastAsia"/>
                <w:color w:val="000000"/>
                <w:szCs w:val="21"/>
              </w:rPr>
            </w:pPr>
            <w:r w:rsidRPr="00C24ACA">
              <w:rPr>
                <w:rFonts w:eastAsiaTheme="minorEastAsia"/>
                <w:color w:val="000000"/>
                <w:szCs w:val="21"/>
              </w:rPr>
              <w:t>对资产负债表日基金资产净值的</w:t>
            </w:r>
          </w:p>
          <w:p w:rsidR="00022F8F" w:rsidRPr="00C24ACA" w:rsidRDefault="00022F8F" w:rsidP="0087507A">
            <w:pPr>
              <w:jc w:val="center"/>
              <w:rPr>
                <w:rFonts w:eastAsiaTheme="minorEastAsia"/>
                <w:color w:val="000000"/>
                <w:szCs w:val="21"/>
              </w:rPr>
            </w:pPr>
          </w:p>
          <w:p w:rsidR="00022F8F" w:rsidRPr="00C24ACA" w:rsidRDefault="00F86374" w:rsidP="00F86374">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00022F8F" w:rsidRPr="00C24ACA">
              <w:rPr>
                <w:rFonts w:eastAsiaTheme="minorEastAsia"/>
                <w:color w:val="000000"/>
                <w:szCs w:val="21"/>
              </w:rPr>
              <w:t>元）</w:t>
            </w:r>
          </w:p>
        </w:tc>
      </w:tr>
      <w:tr w:rsidR="00022F8F" w:rsidRPr="00C24ACA" w:rsidTr="0087507A">
        <w:tc>
          <w:tcPr>
            <w:tcW w:w="993" w:type="dxa"/>
            <w:vMerge/>
            <w:vAlign w:val="center"/>
          </w:tcPr>
          <w:p w:rsidR="00022F8F" w:rsidRPr="00C24ACA" w:rsidRDefault="00022F8F" w:rsidP="0087507A">
            <w:pPr>
              <w:widowControl/>
              <w:jc w:val="left"/>
              <w:rPr>
                <w:rFonts w:eastAsiaTheme="minorEastAsia"/>
                <w:color w:val="000000"/>
                <w:szCs w:val="21"/>
              </w:rPr>
            </w:pPr>
          </w:p>
        </w:tc>
        <w:tc>
          <w:tcPr>
            <w:tcW w:w="3260" w:type="dxa"/>
            <w:vMerge/>
            <w:vAlign w:val="center"/>
          </w:tcPr>
          <w:p w:rsidR="00022F8F" w:rsidRPr="00C24ACA" w:rsidRDefault="00022F8F" w:rsidP="0087507A">
            <w:pPr>
              <w:widowControl/>
              <w:jc w:val="left"/>
              <w:rPr>
                <w:rFonts w:eastAsiaTheme="minorEastAsia"/>
                <w:color w:val="000000"/>
                <w:kern w:val="0"/>
                <w:szCs w:val="21"/>
              </w:rPr>
            </w:pPr>
          </w:p>
        </w:tc>
        <w:tc>
          <w:tcPr>
            <w:tcW w:w="2373" w:type="dxa"/>
          </w:tcPr>
          <w:p w:rsidR="00022F8F" w:rsidRPr="00C24ACA" w:rsidRDefault="00022F8F" w:rsidP="0087507A">
            <w:pPr>
              <w:spacing w:line="360" w:lineRule="auto"/>
              <w:jc w:val="center"/>
              <w:rPr>
                <w:rFonts w:eastAsiaTheme="minorEastAsia"/>
                <w:color w:val="000000"/>
                <w:szCs w:val="21"/>
              </w:rPr>
            </w:pPr>
            <w:r w:rsidRPr="00C24ACA">
              <w:rPr>
                <w:rFonts w:eastAsiaTheme="minorEastAsia"/>
                <w:color w:val="000000"/>
                <w:szCs w:val="21"/>
              </w:rPr>
              <w:t>本期末</w:t>
            </w:r>
          </w:p>
          <w:p w:rsidR="00022F8F" w:rsidRPr="00C24ACA" w:rsidRDefault="00022F8F" w:rsidP="0087507A">
            <w:pPr>
              <w:spacing w:line="360" w:lineRule="auto"/>
              <w:jc w:val="center"/>
              <w:rPr>
                <w:rFonts w:eastAsiaTheme="minorEastAsia"/>
                <w:bCs/>
                <w:color w:val="00000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2374" w:type="dxa"/>
          </w:tcPr>
          <w:p w:rsidR="00022F8F" w:rsidRPr="00C24ACA" w:rsidRDefault="00022F8F" w:rsidP="0087507A">
            <w:pPr>
              <w:spacing w:line="360" w:lineRule="auto"/>
              <w:jc w:val="center"/>
              <w:rPr>
                <w:rFonts w:eastAsiaTheme="minorEastAsia"/>
                <w:color w:val="000000"/>
                <w:szCs w:val="21"/>
              </w:rPr>
            </w:pPr>
            <w:r w:rsidRPr="00C24ACA">
              <w:rPr>
                <w:rFonts w:eastAsiaTheme="minorEastAsia"/>
                <w:color w:val="000000"/>
                <w:szCs w:val="21"/>
              </w:rPr>
              <w:t>上年度末</w:t>
            </w:r>
          </w:p>
          <w:p w:rsidR="00022F8F" w:rsidRPr="00C24ACA" w:rsidRDefault="00022F8F" w:rsidP="0087507A">
            <w:pPr>
              <w:spacing w:line="360" w:lineRule="auto"/>
              <w:jc w:val="center"/>
              <w:rPr>
                <w:rFonts w:eastAsiaTheme="minorEastAsia"/>
                <w:bCs/>
                <w:color w:val="00000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12</w:t>
            </w:r>
            <w:r w:rsidRPr="00C24ACA">
              <w:rPr>
                <w:rFonts w:eastAsiaTheme="minorEastAsia"/>
                <w:color w:val="000000"/>
                <w:szCs w:val="21"/>
              </w:rPr>
              <w:t>月</w:t>
            </w:r>
            <w:r w:rsidRPr="00C24ACA">
              <w:rPr>
                <w:rFonts w:eastAsiaTheme="minorEastAsia"/>
                <w:color w:val="000000"/>
                <w:szCs w:val="21"/>
              </w:rPr>
              <w:t>31</w:t>
            </w:r>
            <w:r w:rsidRPr="00C24ACA">
              <w:rPr>
                <w:rFonts w:eastAsiaTheme="minorEastAsia"/>
                <w:color w:val="000000"/>
                <w:szCs w:val="21"/>
              </w:rPr>
              <w:t>日</w:t>
            </w:r>
          </w:p>
        </w:tc>
      </w:tr>
      <w:tr w:rsidR="00871824">
        <w:tc>
          <w:tcPr>
            <w:tcW w:w="993" w:type="dxa"/>
            <w:vMerge/>
          </w:tcPr>
          <w:p w:rsidR="00871824" w:rsidRDefault="00871824"/>
        </w:tc>
        <w:tc>
          <w:tcPr>
            <w:tcW w:w="3260" w:type="dxa"/>
            <w:vAlign w:val="center"/>
          </w:tcPr>
          <w:p w:rsidR="00871824" w:rsidRDefault="00672BD5">
            <w:pPr>
              <w:jc w:val="left"/>
            </w:pPr>
            <w:r>
              <w:rPr>
                <w:rFonts w:eastAsiaTheme="minorEastAsia"/>
                <w:color w:val="000000"/>
                <w:szCs w:val="21"/>
              </w:rPr>
              <w:t>假设人民币对一揽子货币平均升值</w:t>
            </w:r>
            <w:r>
              <w:rPr>
                <w:rFonts w:eastAsiaTheme="minorEastAsia"/>
                <w:color w:val="000000"/>
                <w:szCs w:val="21"/>
              </w:rPr>
              <w:t>5%</w:t>
            </w:r>
          </w:p>
        </w:tc>
        <w:tc>
          <w:tcPr>
            <w:tcW w:w="2373" w:type="dxa"/>
            <w:vAlign w:val="center"/>
          </w:tcPr>
          <w:p w:rsidR="00871824" w:rsidRDefault="00672BD5">
            <w:pPr>
              <w:jc w:val="right"/>
            </w:pPr>
            <w:r>
              <w:rPr>
                <w:rFonts w:eastAsiaTheme="minorEastAsia"/>
                <w:color w:val="000000"/>
                <w:szCs w:val="21"/>
              </w:rPr>
              <w:t>-84,510,354.36</w:t>
            </w:r>
          </w:p>
        </w:tc>
        <w:tc>
          <w:tcPr>
            <w:tcW w:w="2374" w:type="dxa"/>
            <w:vAlign w:val="center"/>
          </w:tcPr>
          <w:p w:rsidR="00871824" w:rsidRDefault="00672BD5">
            <w:pPr>
              <w:jc w:val="right"/>
            </w:pPr>
            <w:r>
              <w:rPr>
                <w:rFonts w:eastAsiaTheme="minorEastAsia"/>
                <w:color w:val="000000"/>
                <w:szCs w:val="21"/>
              </w:rPr>
              <w:t>-96,295,088.11</w:t>
            </w:r>
          </w:p>
        </w:tc>
      </w:tr>
      <w:tr w:rsidR="00871824">
        <w:tc>
          <w:tcPr>
            <w:tcW w:w="993" w:type="dxa"/>
            <w:vMerge/>
          </w:tcPr>
          <w:p w:rsidR="00871824" w:rsidRDefault="00871824"/>
        </w:tc>
        <w:tc>
          <w:tcPr>
            <w:tcW w:w="3260" w:type="dxa"/>
            <w:vAlign w:val="center"/>
          </w:tcPr>
          <w:p w:rsidR="00871824" w:rsidRDefault="00672BD5">
            <w:pPr>
              <w:jc w:val="left"/>
            </w:pPr>
            <w:r>
              <w:rPr>
                <w:rFonts w:eastAsiaTheme="minorEastAsia"/>
                <w:color w:val="000000"/>
                <w:szCs w:val="21"/>
              </w:rPr>
              <w:t>假设人民币对一揽子货币平均贬值</w:t>
            </w:r>
            <w:r>
              <w:rPr>
                <w:rFonts w:eastAsiaTheme="minorEastAsia"/>
                <w:color w:val="000000"/>
                <w:szCs w:val="21"/>
              </w:rPr>
              <w:t>5%</w:t>
            </w:r>
          </w:p>
        </w:tc>
        <w:tc>
          <w:tcPr>
            <w:tcW w:w="2373" w:type="dxa"/>
            <w:vAlign w:val="center"/>
          </w:tcPr>
          <w:p w:rsidR="00871824" w:rsidRDefault="00672BD5">
            <w:pPr>
              <w:jc w:val="right"/>
            </w:pPr>
            <w:r>
              <w:rPr>
                <w:rFonts w:eastAsiaTheme="minorEastAsia"/>
                <w:color w:val="000000"/>
                <w:szCs w:val="21"/>
              </w:rPr>
              <w:t>84,510,354.36</w:t>
            </w:r>
          </w:p>
        </w:tc>
        <w:tc>
          <w:tcPr>
            <w:tcW w:w="2374" w:type="dxa"/>
            <w:vAlign w:val="center"/>
          </w:tcPr>
          <w:p w:rsidR="00871824" w:rsidRDefault="00672BD5">
            <w:pPr>
              <w:jc w:val="right"/>
            </w:pPr>
            <w:r>
              <w:rPr>
                <w:rFonts w:eastAsiaTheme="minorEastAsia"/>
                <w:color w:val="000000"/>
                <w:szCs w:val="21"/>
              </w:rPr>
              <w:t>96,295,088.11</w:t>
            </w:r>
          </w:p>
        </w:tc>
      </w:tr>
    </w:tbl>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6.4.13.4.3</w:t>
      </w:r>
      <w:r w:rsidRPr="00C24ACA">
        <w:rPr>
          <w:rFonts w:eastAsiaTheme="minorEastAsia"/>
          <w:b/>
          <w:bCs/>
          <w:color w:val="000000"/>
          <w:szCs w:val="21"/>
        </w:rPr>
        <w:t>其他价格风险</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本基金的基金管理人采用</w:t>
      </w:r>
      <w:r w:rsidRPr="00C24ACA">
        <w:rPr>
          <w:rFonts w:eastAsiaTheme="minorEastAsia"/>
          <w:kern w:val="0"/>
          <w:szCs w:val="21"/>
        </w:rPr>
        <w:t>Barra</w:t>
      </w:r>
      <w:r w:rsidRPr="00C24ACA">
        <w:rPr>
          <w:rFonts w:eastAsiaTheme="minorEastAsia"/>
          <w:kern w:val="0"/>
          <w:szCs w:val="21"/>
        </w:rPr>
        <w:t>风险管理系统，通过标准差、跟踪误差、</w:t>
      </w:r>
      <w:r w:rsidRPr="00C24ACA">
        <w:rPr>
          <w:rFonts w:eastAsiaTheme="minorEastAsia"/>
          <w:kern w:val="0"/>
          <w:szCs w:val="21"/>
        </w:rPr>
        <w:t>beta</w:t>
      </w:r>
      <w:r w:rsidRPr="00C24ACA">
        <w:rPr>
          <w:rFonts w:eastAsiaTheme="minorEastAsia"/>
          <w:kern w:val="0"/>
          <w:szCs w:val="21"/>
        </w:rPr>
        <w:t>值、</w:t>
      </w:r>
      <w:r w:rsidRPr="00C24ACA">
        <w:rPr>
          <w:rFonts w:eastAsiaTheme="minorEastAsia"/>
          <w:kern w:val="0"/>
          <w:szCs w:val="21"/>
        </w:rPr>
        <w:t>VAR</w:t>
      </w:r>
      <w:r w:rsidRPr="00C24ACA">
        <w:rPr>
          <w:rFonts w:eastAsiaTheme="minorEastAsia"/>
          <w:kern w:val="0"/>
          <w:szCs w:val="21"/>
        </w:rPr>
        <w:t>等指标，监控投资组合面临的市场价格波动风险。</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6.4.13.4.3.1</w:t>
      </w:r>
      <w:r w:rsidRPr="00C24ACA">
        <w:rPr>
          <w:rFonts w:eastAsiaTheme="minorEastAsia"/>
          <w:b/>
          <w:bCs/>
          <w:color w:val="000000"/>
          <w:szCs w:val="21"/>
        </w:rPr>
        <w:t>其他价格风险敞口</w:t>
      </w:r>
    </w:p>
    <w:p w:rsidR="004A2F25" w:rsidRPr="00C24ACA" w:rsidRDefault="004A2F25" w:rsidP="004A2F25">
      <w:pPr>
        <w:spacing w:line="288" w:lineRule="auto"/>
        <w:ind w:firstLine="420"/>
        <w:jc w:val="right"/>
        <w:rPr>
          <w:rFonts w:eastAsiaTheme="minorEastAsia"/>
          <w:bCs/>
          <w:color w:val="000000"/>
          <w:szCs w:val="21"/>
        </w:rPr>
      </w:pPr>
      <w:r w:rsidRPr="00C24ACA">
        <w:rPr>
          <w:rFonts w:eastAsiaTheme="minorEastAsia"/>
          <w:bCs/>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701"/>
        <w:gridCol w:w="1559"/>
        <w:gridCol w:w="1559"/>
        <w:gridCol w:w="1487"/>
      </w:tblGrid>
      <w:tr w:rsidR="008A5A5D" w:rsidRPr="00C24ACA" w:rsidTr="004A4847">
        <w:tc>
          <w:tcPr>
            <w:tcW w:w="2694" w:type="dxa"/>
            <w:vMerge w:val="restart"/>
            <w:vAlign w:val="center"/>
          </w:tcPr>
          <w:p w:rsidR="008A5A5D" w:rsidRPr="00C24ACA" w:rsidRDefault="008A5A5D" w:rsidP="00F5070F">
            <w:pPr>
              <w:jc w:val="center"/>
              <w:rPr>
                <w:rFonts w:eastAsiaTheme="minorEastAsia"/>
                <w:color w:val="000000"/>
                <w:szCs w:val="21"/>
              </w:rPr>
            </w:pPr>
            <w:r w:rsidRPr="00C24ACA">
              <w:rPr>
                <w:rFonts w:eastAsiaTheme="minorEastAsia"/>
                <w:color w:val="000000"/>
                <w:szCs w:val="21"/>
              </w:rPr>
              <w:t>项目</w:t>
            </w:r>
          </w:p>
        </w:tc>
        <w:tc>
          <w:tcPr>
            <w:tcW w:w="3260"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本期末</w:t>
            </w:r>
          </w:p>
          <w:p w:rsidR="008A5A5D" w:rsidRPr="00C24ACA" w:rsidRDefault="00AC4A34" w:rsidP="004A4847">
            <w:pPr>
              <w:jc w:val="center"/>
              <w:rPr>
                <w:rFonts w:eastAsiaTheme="minorEastAsia"/>
                <w:color w:val="00000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3046"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上年度末</w:t>
            </w:r>
          </w:p>
          <w:p w:rsidR="008A5A5D" w:rsidRPr="00C24ACA" w:rsidRDefault="00520D7F" w:rsidP="00022F8F">
            <w:pPr>
              <w:jc w:val="center"/>
              <w:rPr>
                <w:rFonts w:eastAsiaTheme="minorEastAsia"/>
                <w:color w:val="00000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12</w:t>
            </w:r>
            <w:r w:rsidRPr="00C24ACA">
              <w:rPr>
                <w:rFonts w:eastAsiaTheme="minorEastAsia"/>
                <w:color w:val="000000"/>
                <w:szCs w:val="21"/>
              </w:rPr>
              <w:t>月</w:t>
            </w:r>
            <w:r w:rsidRPr="00C24ACA">
              <w:rPr>
                <w:rFonts w:eastAsiaTheme="minorEastAsia"/>
                <w:color w:val="000000"/>
                <w:szCs w:val="21"/>
              </w:rPr>
              <w:t>31</w:t>
            </w:r>
            <w:r w:rsidRPr="00C24ACA">
              <w:rPr>
                <w:rFonts w:eastAsiaTheme="minorEastAsia"/>
                <w:color w:val="000000"/>
                <w:szCs w:val="21"/>
              </w:rPr>
              <w:t>日</w:t>
            </w:r>
          </w:p>
        </w:tc>
      </w:tr>
      <w:tr w:rsidR="008A5A5D" w:rsidRPr="00C24ACA" w:rsidTr="00022F8F">
        <w:tc>
          <w:tcPr>
            <w:tcW w:w="2694" w:type="dxa"/>
            <w:vMerge/>
            <w:vAlign w:val="center"/>
          </w:tcPr>
          <w:p w:rsidR="008A5A5D" w:rsidRPr="00C24ACA" w:rsidRDefault="008A5A5D" w:rsidP="004A4847">
            <w:pPr>
              <w:widowControl/>
              <w:jc w:val="left"/>
              <w:rPr>
                <w:rFonts w:eastAsiaTheme="minorEastAsia"/>
                <w:color w:val="000000"/>
                <w:szCs w:val="21"/>
              </w:rPr>
            </w:pPr>
          </w:p>
        </w:tc>
        <w:tc>
          <w:tcPr>
            <w:tcW w:w="1701" w:type="dxa"/>
            <w:vAlign w:val="center"/>
          </w:tcPr>
          <w:p w:rsidR="008A5A5D" w:rsidRPr="00C24ACA" w:rsidRDefault="008A5A5D" w:rsidP="004A4847">
            <w:pPr>
              <w:ind w:right="142"/>
              <w:jc w:val="center"/>
              <w:rPr>
                <w:rFonts w:eastAsiaTheme="minorEastAsia"/>
                <w:color w:val="000000"/>
                <w:szCs w:val="21"/>
              </w:rPr>
            </w:pPr>
            <w:r w:rsidRPr="00C24ACA">
              <w:rPr>
                <w:rFonts w:eastAsiaTheme="minorEastAsia"/>
                <w:color w:val="000000"/>
                <w:szCs w:val="21"/>
              </w:rPr>
              <w:t>公允价值</w:t>
            </w:r>
          </w:p>
        </w:tc>
        <w:tc>
          <w:tcPr>
            <w:tcW w:w="1559" w:type="dxa"/>
            <w:vAlign w:val="center"/>
          </w:tcPr>
          <w:p w:rsidR="008A5A5D" w:rsidRPr="00C24ACA" w:rsidRDefault="008A5A5D" w:rsidP="004A4847">
            <w:pPr>
              <w:ind w:right="141"/>
              <w:jc w:val="center"/>
              <w:rPr>
                <w:rFonts w:eastAsiaTheme="minorEastAsia"/>
                <w:color w:val="000000"/>
                <w:szCs w:val="21"/>
              </w:rPr>
            </w:pPr>
            <w:r w:rsidRPr="00C24ACA">
              <w:rPr>
                <w:rFonts w:eastAsiaTheme="minorEastAsia"/>
                <w:color w:val="000000"/>
                <w:szCs w:val="21"/>
              </w:rPr>
              <w:t>占基金资产净值比例（</w:t>
            </w:r>
            <w:r w:rsidRPr="00C24ACA">
              <w:rPr>
                <w:rFonts w:eastAsiaTheme="minorEastAsia"/>
                <w:color w:val="000000"/>
                <w:szCs w:val="21"/>
              </w:rPr>
              <w:t>%</w:t>
            </w:r>
            <w:r w:rsidRPr="00C24ACA">
              <w:rPr>
                <w:rFonts w:eastAsiaTheme="minorEastAsia"/>
                <w:color w:val="000000"/>
                <w:szCs w:val="21"/>
              </w:rPr>
              <w:t>）</w:t>
            </w:r>
          </w:p>
        </w:tc>
        <w:tc>
          <w:tcPr>
            <w:tcW w:w="1559" w:type="dxa"/>
            <w:vAlign w:val="center"/>
          </w:tcPr>
          <w:p w:rsidR="008A5A5D" w:rsidRPr="00C24ACA" w:rsidRDefault="008A5A5D" w:rsidP="00022F8F">
            <w:pPr>
              <w:ind w:right="113"/>
              <w:jc w:val="center"/>
              <w:rPr>
                <w:rFonts w:eastAsiaTheme="minorEastAsia"/>
                <w:color w:val="000000"/>
                <w:szCs w:val="21"/>
              </w:rPr>
            </w:pPr>
            <w:r w:rsidRPr="00C24ACA">
              <w:rPr>
                <w:rFonts w:eastAsiaTheme="minorEastAsia"/>
                <w:color w:val="000000"/>
                <w:szCs w:val="21"/>
              </w:rPr>
              <w:t>公允价值</w:t>
            </w:r>
          </w:p>
        </w:tc>
        <w:tc>
          <w:tcPr>
            <w:tcW w:w="1487" w:type="dxa"/>
            <w:vAlign w:val="center"/>
          </w:tcPr>
          <w:p w:rsidR="008A5A5D" w:rsidRPr="00C24ACA" w:rsidRDefault="008A5A5D" w:rsidP="00022F8F">
            <w:pPr>
              <w:ind w:right="141"/>
              <w:jc w:val="center"/>
              <w:rPr>
                <w:rFonts w:eastAsiaTheme="minorEastAsia"/>
                <w:color w:val="000000"/>
                <w:szCs w:val="21"/>
              </w:rPr>
            </w:pPr>
            <w:r w:rsidRPr="00C24ACA">
              <w:rPr>
                <w:rFonts w:eastAsiaTheme="minorEastAsia"/>
                <w:color w:val="000000"/>
                <w:szCs w:val="21"/>
              </w:rPr>
              <w:t>占基金资产净值比例（</w:t>
            </w:r>
            <w:r w:rsidRPr="00C24ACA">
              <w:rPr>
                <w:rFonts w:eastAsiaTheme="minorEastAsia"/>
                <w:color w:val="000000"/>
                <w:szCs w:val="21"/>
              </w:rPr>
              <w:t>%</w:t>
            </w:r>
            <w:r w:rsidRPr="00C24ACA">
              <w:rPr>
                <w:rFonts w:eastAsiaTheme="minorEastAsia"/>
                <w:color w:val="000000"/>
                <w:szCs w:val="21"/>
              </w:rPr>
              <w:t>）</w:t>
            </w:r>
          </w:p>
        </w:tc>
      </w:tr>
      <w:tr w:rsidR="008A5A5D" w:rsidRPr="00C24ACA" w:rsidTr="00022F8F">
        <w:tc>
          <w:tcPr>
            <w:tcW w:w="2694" w:type="dxa"/>
            <w:vAlign w:val="center"/>
          </w:tcPr>
          <w:p w:rsidR="008A5A5D" w:rsidRPr="00C24ACA" w:rsidRDefault="008A5A5D" w:rsidP="004A4847">
            <w:pPr>
              <w:jc w:val="left"/>
              <w:rPr>
                <w:rFonts w:eastAsiaTheme="minorEastAsia"/>
                <w:color w:val="000000"/>
                <w:szCs w:val="21"/>
              </w:rPr>
            </w:pPr>
            <w:r w:rsidRPr="00C24ACA">
              <w:rPr>
                <w:rFonts w:eastAsiaTheme="minorEastAsia"/>
                <w:color w:val="000000"/>
                <w:szCs w:val="21"/>
              </w:rPr>
              <w:t>交易性金融资产</w:t>
            </w:r>
            <w:r w:rsidRPr="00C24ACA">
              <w:rPr>
                <w:rFonts w:eastAsiaTheme="minorEastAsia"/>
                <w:szCs w:val="21"/>
              </w:rPr>
              <w:t>－</w:t>
            </w:r>
            <w:r w:rsidRPr="00C24ACA">
              <w:rPr>
                <w:rFonts w:eastAsiaTheme="minorEastAsia"/>
                <w:color w:val="000000"/>
                <w:szCs w:val="21"/>
              </w:rPr>
              <w:t>股票投资</w:t>
            </w:r>
          </w:p>
        </w:tc>
        <w:tc>
          <w:tcPr>
            <w:tcW w:w="1701" w:type="dxa"/>
            <w:vAlign w:val="center"/>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w:t>
            </w:r>
          </w:p>
        </w:tc>
        <w:tc>
          <w:tcPr>
            <w:tcW w:w="1559" w:type="dxa"/>
            <w:vAlign w:val="center"/>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w:t>
            </w:r>
          </w:p>
        </w:tc>
        <w:tc>
          <w:tcPr>
            <w:tcW w:w="1559" w:type="dxa"/>
            <w:vAlign w:val="center"/>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w:t>
            </w:r>
          </w:p>
        </w:tc>
        <w:tc>
          <w:tcPr>
            <w:tcW w:w="1487" w:type="dxa"/>
            <w:vAlign w:val="center"/>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w:t>
            </w:r>
          </w:p>
        </w:tc>
      </w:tr>
      <w:tr w:rsidR="008A5A5D" w:rsidRPr="00C24ACA" w:rsidTr="00022F8F">
        <w:tc>
          <w:tcPr>
            <w:tcW w:w="2694" w:type="dxa"/>
            <w:vAlign w:val="center"/>
          </w:tcPr>
          <w:p w:rsidR="008A5A5D" w:rsidRPr="00C24ACA" w:rsidRDefault="008A5A5D" w:rsidP="004A4847">
            <w:pPr>
              <w:jc w:val="left"/>
              <w:rPr>
                <w:rFonts w:eastAsiaTheme="minorEastAsia"/>
                <w:color w:val="000000"/>
                <w:szCs w:val="21"/>
              </w:rPr>
            </w:pPr>
            <w:r w:rsidRPr="00C24ACA">
              <w:rPr>
                <w:rFonts w:eastAsiaTheme="minorEastAsia"/>
                <w:color w:val="000000"/>
                <w:szCs w:val="21"/>
              </w:rPr>
              <w:t>交易性金融资产</w:t>
            </w:r>
            <w:r w:rsidRPr="00C24ACA">
              <w:rPr>
                <w:rFonts w:eastAsiaTheme="minorEastAsia"/>
                <w:color w:val="000000"/>
                <w:szCs w:val="21"/>
              </w:rPr>
              <w:t>—</w:t>
            </w:r>
            <w:r w:rsidRPr="00C24ACA">
              <w:rPr>
                <w:rFonts w:eastAsiaTheme="minorEastAsia"/>
                <w:color w:val="000000"/>
                <w:szCs w:val="21"/>
              </w:rPr>
              <w:t>基金投资</w:t>
            </w:r>
          </w:p>
        </w:tc>
        <w:tc>
          <w:tcPr>
            <w:tcW w:w="1701" w:type="dxa"/>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1,615,478,556.46</w:t>
            </w:r>
          </w:p>
        </w:tc>
        <w:tc>
          <w:tcPr>
            <w:tcW w:w="1559" w:type="dxa"/>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94.12</w:t>
            </w:r>
          </w:p>
        </w:tc>
        <w:tc>
          <w:tcPr>
            <w:tcW w:w="1559" w:type="dxa"/>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1,850,339,637.07</w:t>
            </w:r>
          </w:p>
        </w:tc>
        <w:tc>
          <w:tcPr>
            <w:tcW w:w="1487" w:type="dxa"/>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93.49</w:t>
            </w:r>
          </w:p>
        </w:tc>
      </w:tr>
      <w:tr w:rsidR="001D0D6A" w:rsidRPr="00C24ACA" w:rsidTr="00742218">
        <w:tc>
          <w:tcPr>
            <w:tcW w:w="2694" w:type="dxa"/>
            <w:vAlign w:val="center"/>
          </w:tcPr>
          <w:p w:rsidR="001D0D6A" w:rsidRPr="00224952" w:rsidRDefault="001D0D6A" w:rsidP="001D0D6A">
            <w:pPr>
              <w:spacing w:line="360" w:lineRule="auto"/>
              <w:jc w:val="left"/>
              <w:rPr>
                <w:szCs w:val="21"/>
              </w:rPr>
            </w:pPr>
            <w:r w:rsidRPr="00224952">
              <w:rPr>
                <w:rFonts w:hint="eastAsia"/>
                <w:szCs w:val="21"/>
              </w:rPr>
              <w:t>交易性金融资产－贵金属投资</w:t>
            </w:r>
          </w:p>
        </w:tc>
        <w:tc>
          <w:tcPr>
            <w:tcW w:w="1701" w:type="dxa"/>
            <w:vAlign w:val="center"/>
          </w:tcPr>
          <w:p w:rsidR="001D0D6A" w:rsidRPr="00224952" w:rsidRDefault="001D0D6A" w:rsidP="001D0D6A">
            <w:pPr>
              <w:spacing w:line="360" w:lineRule="auto"/>
              <w:jc w:val="right"/>
              <w:rPr>
                <w:color w:val="000000"/>
                <w:szCs w:val="21"/>
              </w:rPr>
            </w:pPr>
            <w:r w:rsidRPr="00224952">
              <w:rPr>
                <w:color w:val="000000"/>
                <w:szCs w:val="21"/>
              </w:rPr>
              <w:t>-</w:t>
            </w:r>
          </w:p>
        </w:tc>
        <w:tc>
          <w:tcPr>
            <w:tcW w:w="1559" w:type="dxa"/>
            <w:vAlign w:val="center"/>
          </w:tcPr>
          <w:p w:rsidR="001D0D6A" w:rsidRPr="00224952" w:rsidRDefault="001D0D6A" w:rsidP="001D0D6A">
            <w:pPr>
              <w:spacing w:line="360" w:lineRule="auto"/>
              <w:jc w:val="right"/>
              <w:rPr>
                <w:color w:val="000000"/>
                <w:szCs w:val="21"/>
              </w:rPr>
            </w:pPr>
            <w:r w:rsidRPr="00224952">
              <w:rPr>
                <w:color w:val="000000"/>
                <w:szCs w:val="21"/>
              </w:rPr>
              <w:t>-</w:t>
            </w:r>
          </w:p>
        </w:tc>
        <w:tc>
          <w:tcPr>
            <w:tcW w:w="1559" w:type="dxa"/>
            <w:vAlign w:val="center"/>
          </w:tcPr>
          <w:p w:rsidR="001D0D6A" w:rsidRPr="00224952" w:rsidRDefault="001D0D6A" w:rsidP="003B2040">
            <w:pPr>
              <w:spacing w:line="360" w:lineRule="auto"/>
              <w:jc w:val="right"/>
              <w:rPr>
                <w:color w:val="000000"/>
                <w:szCs w:val="21"/>
              </w:rPr>
            </w:pPr>
            <w:r w:rsidRPr="00224952">
              <w:rPr>
                <w:color w:val="000000"/>
                <w:szCs w:val="21"/>
              </w:rPr>
              <w:t>-</w:t>
            </w:r>
          </w:p>
        </w:tc>
        <w:tc>
          <w:tcPr>
            <w:tcW w:w="1487" w:type="dxa"/>
            <w:vAlign w:val="center"/>
          </w:tcPr>
          <w:p w:rsidR="001D0D6A" w:rsidRPr="00224952" w:rsidRDefault="001D0D6A" w:rsidP="003B2040">
            <w:pPr>
              <w:spacing w:line="360" w:lineRule="auto"/>
              <w:jc w:val="right"/>
              <w:rPr>
                <w:color w:val="000000"/>
                <w:szCs w:val="21"/>
              </w:rPr>
            </w:pPr>
            <w:r w:rsidRPr="00224952">
              <w:rPr>
                <w:color w:val="000000"/>
                <w:szCs w:val="21"/>
              </w:rPr>
              <w:t>-</w:t>
            </w:r>
          </w:p>
        </w:tc>
      </w:tr>
      <w:tr w:rsidR="001D0D6A" w:rsidRPr="00C24ACA" w:rsidTr="00022F8F">
        <w:tc>
          <w:tcPr>
            <w:tcW w:w="2694" w:type="dxa"/>
            <w:vAlign w:val="center"/>
          </w:tcPr>
          <w:p w:rsidR="001D0D6A" w:rsidRPr="00C24ACA" w:rsidRDefault="001D0D6A" w:rsidP="001D0D6A">
            <w:pPr>
              <w:jc w:val="left"/>
              <w:rPr>
                <w:rFonts w:eastAsiaTheme="minorEastAsia"/>
                <w:color w:val="000000"/>
                <w:szCs w:val="21"/>
              </w:rPr>
            </w:pPr>
            <w:r w:rsidRPr="00C24ACA">
              <w:rPr>
                <w:rFonts w:eastAsiaTheme="minorEastAsia"/>
                <w:color w:val="000000"/>
                <w:szCs w:val="21"/>
              </w:rPr>
              <w:t>衍生金融资产－权证投资</w:t>
            </w:r>
          </w:p>
        </w:tc>
        <w:tc>
          <w:tcPr>
            <w:tcW w:w="1701"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487"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r>
      <w:tr w:rsidR="001D0D6A" w:rsidRPr="00C24ACA" w:rsidTr="00022F8F">
        <w:tc>
          <w:tcPr>
            <w:tcW w:w="2694" w:type="dxa"/>
            <w:vAlign w:val="center"/>
          </w:tcPr>
          <w:p w:rsidR="001D0D6A" w:rsidRPr="00C24ACA" w:rsidRDefault="001D0D6A" w:rsidP="001D0D6A">
            <w:pPr>
              <w:jc w:val="left"/>
              <w:rPr>
                <w:rFonts w:eastAsiaTheme="minorEastAsia"/>
                <w:color w:val="000000"/>
                <w:szCs w:val="21"/>
              </w:rPr>
            </w:pPr>
            <w:r w:rsidRPr="00C24ACA">
              <w:rPr>
                <w:rFonts w:eastAsiaTheme="minorEastAsia"/>
                <w:color w:val="000000"/>
                <w:szCs w:val="21"/>
              </w:rPr>
              <w:t>其他</w:t>
            </w:r>
          </w:p>
        </w:tc>
        <w:tc>
          <w:tcPr>
            <w:tcW w:w="1701"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487"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r>
      <w:tr w:rsidR="001D0D6A" w:rsidRPr="00C24ACA" w:rsidTr="00022F8F">
        <w:tc>
          <w:tcPr>
            <w:tcW w:w="2694" w:type="dxa"/>
            <w:vAlign w:val="center"/>
          </w:tcPr>
          <w:p w:rsidR="001D0D6A" w:rsidRPr="00C24ACA" w:rsidRDefault="001D0D6A" w:rsidP="001D0D6A">
            <w:pPr>
              <w:rPr>
                <w:rFonts w:eastAsiaTheme="minorEastAsia"/>
                <w:color w:val="000000"/>
                <w:szCs w:val="21"/>
              </w:rPr>
            </w:pPr>
            <w:r w:rsidRPr="00C24ACA">
              <w:rPr>
                <w:rFonts w:eastAsiaTheme="minorEastAsia"/>
                <w:color w:val="000000"/>
                <w:szCs w:val="21"/>
              </w:rPr>
              <w:t>合计</w:t>
            </w:r>
          </w:p>
        </w:tc>
        <w:tc>
          <w:tcPr>
            <w:tcW w:w="1701"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1,615,478,556.46</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94.12</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1,850,339,637.07</w:t>
            </w:r>
          </w:p>
        </w:tc>
        <w:tc>
          <w:tcPr>
            <w:tcW w:w="1487"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93.49</w:t>
            </w:r>
          </w:p>
        </w:tc>
      </w:tr>
    </w:tbl>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6.4.13.4.3.2</w:t>
      </w:r>
      <w:r w:rsidRPr="00C24ACA">
        <w:rPr>
          <w:rFonts w:eastAsiaTheme="minorEastAsia"/>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79"/>
        <w:gridCol w:w="72"/>
      </w:tblGrid>
      <w:tr w:rsidR="00871824">
        <w:tc>
          <w:tcPr>
            <w:tcW w:w="993" w:type="dxa"/>
            <w:vAlign w:val="center"/>
          </w:tcPr>
          <w:p w:rsidR="00871824" w:rsidRDefault="00672BD5">
            <w:pPr>
              <w:jc w:val="left"/>
            </w:pPr>
            <w:r>
              <w:rPr>
                <w:rFonts w:eastAsiaTheme="minorEastAsia"/>
                <w:color w:val="000000"/>
                <w:szCs w:val="21"/>
              </w:rPr>
              <w:t>假设</w:t>
            </w:r>
          </w:p>
        </w:tc>
        <w:tc>
          <w:tcPr>
            <w:tcW w:w="8079" w:type="dxa"/>
            <w:gridSpan w:val="4"/>
            <w:vAlign w:val="center"/>
          </w:tcPr>
          <w:p w:rsidR="00871824" w:rsidRDefault="00672BD5">
            <w:pPr>
              <w:jc w:val="center"/>
            </w:pPr>
            <w:r>
              <w:rPr>
                <w:rFonts w:eastAsiaTheme="minorEastAsia"/>
                <w:color w:val="000000"/>
                <w:szCs w:val="21"/>
              </w:rPr>
              <w:t>除业绩比较基准以外的其他市场变量保持不变</w:t>
            </w:r>
          </w:p>
        </w:tc>
      </w:tr>
      <w:tr w:rsidR="00695204" w:rsidRPr="00C24ACA" w:rsidTr="007C6EA8">
        <w:trPr>
          <w:gridAfter w:val="1"/>
          <w:wAfter w:w="72" w:type="dxa"/>
        </w:trPr>
        <w:tc>
          <w:tcPr>
            <w:tcW w:w="993" w:type="dxa"/>
            <w:vMerge w:val="restart"/>
            <w:vAlign w:val="center"/>
          </w:tcPr>
          <w:p w:rsidR="00695204" w:rsidRPr="00C24ACA" w:rsidRDefault="00695204" w:rsidP="00F86374">
            <w:pPr>
              <w:pStyle w:val="ae"/>
              <w:jc w:val="center"/>
              <w:rPr>
                <w:rFonts w:eastAsiaTheme="minorEastAsia"/>
                <w:color w:val="000000"/>
                <w:sz w:val="21"/>
                <w:szCs w:val="21"/>
              </w:rPr>
            </w:pPr>
            <w:r w:rsidRPr="00C24ACA">
              <w:rPr>
                <w:rFonts w:eastAsiaTheme="minorEastAsia"/>
                <w:bCs/>
                <w:color w:val="000000"/>
                <w:sz w:val="21"/>
                <w:szCs w:val="21"/>
              </w:rPr>
              <w:t>分析</w:t>
            </w:r>
          </w:p>
        </w:tc>
        <w:tc>
          <w:tcPr>
            <w:tcW w:w="2448" w:type="dxa"/>
            <w:vMerge w:val="restart"/>
            <w:vAlign w:val="center"/>
          </w:tcPr>
          <w:p w:rsidR="00695204" w:rsidRPr="00C24ACA" w:rsidRDefault="00695204" w:rsidP="007C6EA8">
            <w:pPr>
              <w:widowControl/>
              <w:autoSpaceDE w:val="0"/>
              <w:autoSpaceDN w:val="0"/>
              <w:ind w:right="-15"/>
              <w:jc w:val="center"/>
              <w:textAlignment w:val="bottom"/>
              <w:rPr>
                <w:rFonts w:eastAsiaTheme="minorEastAsia"/>
                <w:color w:val="000000"/>
                <w:kern w:val="0"/>
                <w:szCs w:val="21"/>
              </w:rPr>
            </w:pPr>
            <w:r w:rsidRPr="00C24ACA">
              <w:rPr>
                <w:rFonts w:eastAsiaTheme="minorEastAsia"/>
                <w:bCs/>
                <w:color w:val="000000"/>
                <w:szCs w:val="21"/>
              </w:rPr>
              <w:t>相关风险变量的变动</w:t>
            </w:r>
          </w:p>
        </w:tc>
        <w:tc>
          <w:tcPr>
            <w:tcW w:w="5559" w:type="dxa"/>
            <w:gridSpan w:val="2"/>
          </w:tcPr>
          <w:p w:rsidR="00695204" w:rsidRPr="00C24ACA" w:rsidRDefault="00695204" w:rsidP="007C6EA8">
            <w:pPr>
              <w:jc w:val="center"/>
              <w:rPr>
                <w:rFonts w:eastAsiaTheme="minorEastAsia"/>
                <w:color w:val="000000"/>
                <w:szCs w:val="21"/>
              </w:rPr>
            </w:pPr>
            <w:r w:rsidRPr="00C24ACA">
              <w:rPr>
                <w:rFonts w:eastAsiaTheme="minorEastAsia"/>
                <w:color w:val="000000"/>
                <w:szCs w:val="21"/>
              </w:rPr>
              <w:t>对资产负债表日基金资产净值的</w:t>
            </w:r>
          </w:p>
          <w:p w:rsidR="00695204" w:rsidRPr="00C24ACA" w:rsidRDefault="00F86374" w:rsidP="00F86374">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00695204" w:rsidRPr="00C24ACA">
              <w:rPr>
                <w:rFonts w:eastAsiaTheme="minorEastAsia"/>
                <w:color w:val="000000"/>
                <w:szCs w:val="21"/>
              </w:rPr>
              <w:t>元）</w:t>
            </w:r>
          </w:p>
        </w:tc>
      </w:tr>
      <w:tr w:rsidR="00695204" w:rsidRPr="00C24ACA" w:rsidTr="007C6EA8">
        <w:trPr>
          <w:gridAfter w:val="1"/>
          <w:wAfter w:w="72" w:type="dxa"/>
        </w:trPr>
        <w:tc>
          <w:tcPr>
            <w:tcW w:w="993" w:type="dxa"/>
            <w:vMerge/>
            <w:vAlign w:val="center"/>
          </w:tcPr>
          <w:p w:rsidR="00695204" w:rsidRPr="00C24ACA" w:rsidRDefault="00695204" w:rsidP="007C6EA8">
            <w:pPr>
              <w:widowControl/>
              <w:jc w:val="left"/>
              <w:rPr>
                <w:rFonts w:eastAsiaTheme="minorEastAsia"/>
                <w:color w:val="000000"/>
                <w:szCs w:val="21"/>
              </w:rPr>
            </w:pPr>
          </w:p>
        </w:tc>
        <w:tc>
          <w:tcPr>
            <w:tcW w:w="2448" w:type="dxa"/>
            <w:vMerge/>
            <w:vAlign w:val="center"/>
          </w:tcPr>
          <w:p w:rsidR="00695204" w:rsidRPr="00C24ACA" w:rsidRDefault="00695204" w:rsidP="007C6EA8">
            <w:pPr>
              <w:widowControl/>
              <w:jc w:val="left"/>
              <w:rPr>
                <w:rFonts w:eastAsiaTheme="minorEastAsia"/>
                <w:color w:val="000000"/>
                <w:kern w:val="0"/>
                <w:szCs w:val="21"/>
              </w:rPr>
            </w:pPr>
          </w:p>
        </w:tc>
        <w:tc>
          <w:tcPr>
            <w:tcW w:w="2880" w:type="dxa"/>
          </w:tcPr>
          <w:p w:rsidR="00695204" w:rsidRPr="00C24ACA" w:rsidRDefault="00695204" w:rsidP="008134C7">
            <w:pPr>
              <w:spacing w:line="360" w:lineRule="auto"/>
              <w:ind w:firstLineChars="350" w:firstLine="735"/>
              <w:rPr>
                <w:rFonts w:eastAsiaTheme="minorEastAsia"/>
                <w:color w:val="000000"/>
                <w:szCs w:val="21"/>
              </w:rPr>
            </w:pPr>
            <w:r w:rsidRPr="00C24ACA">
              <w:rPr>
                <w:rFonts w:eastAsiaTheme="minorEastAsia"/>
                <w:color w:val="000000"/>
                <w:szCs w:val="21"/>
              </w:rPr>
              <w:t>本期末</w:t>
            </w:r>
          </w:p>
          <w:p w:rsidR="00695204" w:rsidRPr="00C24ACA" w:rsidRDefault="00695204" w:rsidP="007C6EA8">
            <w:pPr>
              <w:spacing w:line="360" w:lineRule="auto"/>
              <w:jc w:val="center"/>
              <w:rPr>
                <w:rFonts w:eastAsiaTheme="minorEastAsia"/>
                <w:bCs/>
                <w:color w:val="00000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2679" w:type="dxa"/>
          </w:tcPr>
          <w:p w:rsidR="00695204" w:rsidRPr="00C24ACA" w:rsidRDefault="00695204" w:rsidP="008134C7">
            <w:pPr>
              <w:spacing w:line="360" w:lineRule="auto"/>
              <w:ind w:firstLineChars="300" w:firstLine="630"/>
              <w:rPr>
                <w:rFonts w:eastAsiaTheme="minorEastAsia"/>
                <w:color w:val="000000"/>
                <w:szCs w:val="21"/>
              </w:rPr>
            </w:pPr>
            <w:r w:rsidRPr="00C24ACA">
              <w:rPr>
                <w:rFonts w:eastAsiaTheme="minorEastAsia"/>
                <w:color w:val="000000"/>
                <w:szCs w:val="21"/>
              </w:rPr>
              <w:t>上年度末</w:t>
            </w:r>
          </w:p>
          <w:p w:rsidR="00695204" w:rsidRPr="00C24ACA" w:rsidRDefault="00695204" w:rsidP="007C6EA8">
            <w:pPr>
              <w:spacing w:line="360" w:lineRule="auto"/>
              <w:jc w:val="center"/>
              <w:rPr>
                <w:rFonts w:eastAsiaTheme="minorEastAsia"/>
                <w:bCs/>
                <w:color w:val="00000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12</w:t>
            </w:r>
            <w:r w:rsidRPr="00C24ACA">
              <w:rPr>
                <w:rFonts w:eastAsiaTheme="minorEastAsia"/>
                <w:color w:val="000000"/>
                <w:szCs w:val="21"/>
              </w:rPr>
              <w:t>月</w:t>
            </w:r>
            <w:r w:rsidRPr="00C24ACA">
              <w:rPr>
                <w:rFonts w:eastAsiaTheme="minorEastAsia"/>
                <w:color w:val="000000"/>
                <w:szCs w:val="21"/>
              </w:rPr>
              <w:t>31</w:t>
            </w:r>
            <w:r w:rsidRPr="00C24ACA">
              <w:rPr>
                <w:rFonts w:eastAsiaTheme="minorEastAsia"/>
                <w:color w:val="000000"/>
                <w:szCs w:val="21"/>
              </w:rPr>
              <w:t>日</w:t>
            </w:r>
          </w:p>
        </w:tc>
      </w:tr>
      <w:tr w:rsidR="00871824">
        <w:trPr>
          <w:gridAfter w:val="1"/>
          <w:wAfter w:w="72" w:type="dxa"/>
        </w:trPr>
        <w:tc>
          <w:tcPr>
            <w:tcW w:w="993" w:type="dxa"/>
            <w:vMerge/>
          </w:tcPr>
          <w:p w:rsidR="00871824" w:rsidRDefault="00871824"/>
        </w:tc>
        <w:tc>
          <w:tcPr>
            <w:tcW w:w="2448" w:type="dxa"/>
            <w:vAlign w:val="center"/>
          </w:tcPr>
          <w:p w:rsidR="00871824" w:rsidRDefault="00672BD5">
            <w:r>
              <w:rPr>
                <w:rFonts w:eastAsiaTheme="minorEastAsia"/>
                <w:color w:val="000000"/>
                <w:szCs w:val="21"/>
              </w:rPr>
              <w:t>1.</w:t>
            </w:r>
            <w:r>
              <w:rPr>
                <w:rFonts w:eastAsiaTheme="minorEastAsia"/>
                <w:color w:val="000000"/>
                <w:szCs w:val="21"/>
              </w:rPr>
              <w:t>业绩比较基准上升</w:t>
            </w:r>
            <w:r>
              <w:rPr>
                <w:rFonts w:eastAsiaTheme="minorEastAsia"/>
                <w:color w:val="000000"/>
                <w:szCs w:val="21"/>
              </w:rPr>
              <w:t>5%</w:t>
            </w:r>
          </w:p>
        </w:tc>
        <w:tc>
          <w:tcPr>
            <w:tcW w:w="2880" w:type="dxa"/>
            <w:vAlign w:val="center"/>
          </w:tcPr>
          <w:p w:rsidR="00871824" w:rsidRDefault="00672BD5">
            <w:pPr>
              <w:jc w:val="right"/>
            </w:pPr>
            <w:r>
              <w:rPr>
                <w:rFonts w:eastAsiaTheme="minorEastAsia"/>
                <w:color w:val="000000"/>
                <w:szCs w:val="21"/>
              </w:rPr>
              <w:t>80,773,927.82</w:t>
            </w:r>
          </w:p>
        </w:tc>
        <w:tc>
          <w:tcPr>
            <w:tcW w:w="2679" w:type="dxa"/>
            <w:vAlign w:val="center"/>
          </w:tcPr>
          <w:p w:rsidR="00871824" w:rsidRDefault="00672BD5">
            <w:pPr>
              <w:jc w:val="right"/>
            </w:pPr>
            <w:r>
              <w:rPr>
                <w:rFonts w:eastAsiaTheme="minorEastAsia"/>
                <w:color w:val="000000"/>
                <w:szCs w:val="21"/>
              </w:rPr>
              <w:t>92,516,981.84</w:t>
            </w:r>
          </w:p>
        </w:tc>
      </w:tr>
      <w:tr w:rsidR="00871824">
        <w:trPr>
          <w:gridAfter w:val="1"/>
          <w:wAfter w:w="72" w:type="dxa"/>
        </w:trPr>
        <w:tc>
          <w:tcPr>
            <w:tcW w:w="993" w:type="dxa"/>
            <w:vMerge/>
          </w:tcPr>
          <w:p w:rsidR="00871824" w:rsidRDefault="00871824"/>
        </w:tc>
        <w:tc>
          <w:tcPr>
            <w:tcW w:w="2448" w:type="dxa"/>
            <w:vAlign w:val="center"/>
          </w:tcPr>
          <w:p w:rsidR="00871824" w:rsidRDefault="00672BD5">
            <w:r>
              <w:rPr>
                <w:rFonts w:eastAsiaTheme="minorEastAsia"/>
                <w:color w:val="000000"/>
                <w:szCs w:val="21"/>
              </w:rPr>
              <w:t>2.</w:t>
            </w:r>
            <w:r>
              <w:rPr>
                <w:rFonts w:eastAsiaTheme="minorEastAsia"/>
                <w:color w:val="000000"/>
                <w:szCs w:val="21"/>
              </w:rPr>
              <w:t>业绩比较基准下降</w:t>
            </w:r>
            <w:r>
              <w:rPr>
                <w:rFonts w:eastAsiaTheme="minorEastAsia"/>
                <w:color w:val="000000"/>
                <w:szCs w:val="21"/>
              </w:rPr>
              <w:t>5%</w:t>
            </w:r>
          </w:p>
        </w:tc>
        <w:tc>
          <w:tcPr>
            <w:tcW w:w="2880" w:type="dxa"/>
            <w:vAlign w:val="center"/>
          </w:tcPr>
          <w:p w:rsidR="00871824" w:rsidRDefault="00672BD5">
            <w:pPr>
              <w:jc w:val="right"/>
            </w:pPr>
            <w:r>
              <w:rPr>
                <w:rFonts w:eastAsiaTheme="minorEastAsia"/>
                <w:color w:val="000000"/>
                <w:szCs w:val="21"/>
              </w:rPr>
              <w:t>-80,773,927.82</w:t>
            </w:r>
          </w:p>
        </w:tc>
        <w:tc>
          <w:tcPr>
            <w:tcW w:w="2679" w:type="dxa"/>
            <w:vAlign w:val="center"/>
          </w:tcPr>
          <w:p w:rsidR="00871824" w:rsidRDefault="00672BD5">
            <w:pPr>
              <w:jc w:val="right"/>
            </w:pPr>
            <w:r>
              <w:rPr>
                <w:rFonts w:eastAsiaTheme="minorEastAsia"/>
                <w:color w:val="000000"/>
                <w:szCs w:val="21"/>
              </w:rPr>
              <w:t>-92,516,981.84</w:t>
            </w:r>
          </w:p>
        </w:tc>
      </w:tr>
    </w:tbl>
    <w:p w:rsidR="008A5A5D" w:rsidRPr="00C24ACA" w:rsidRDefault="008A5A5D" w:rsidP="006C64F3">
      <w:pPr>
        <w:adjustRightInd w:val="0"/>
        <w:snapToGrid w:val="0"/>
        <w:spacing w:beforeLines="100" w:before="312" w:line="360" w:lineRule="auto"/>
        <w:rPr>
          <w:rFonts w:eastAsiaTheme="minorEastAsia"/>
          <w:b/>
          <w:color w:val="000000"/>
          <w:szCs w:val="21"/>
        </w:rPr>
      </w:pPr>
      <w:r w:rsidRPr="00C24ACA">
        <w:rPr>
          <w:rFonts w:eastAsiaTheme="minorEastAsia"/>
          <w:b/>
          <w:bCs/>
          <w:color w:val="000000"/>
          <w:kern w:val="0"/>
          <w:szCs w:val="21"/>
        </w:rPr>
        <w:t>6.4.14</w:t>
      </w:r>
      <w:r w:rsidRPr="00C24ACA">
        <w:rPr>
          <w:rFonts w:eastAsiaTheme="minorEastAsia"/>
          <w:b/>
          <w:color w:val="000000"/>
          <w:szCs w:val="21"/>
        </w:rPr>
        <w:t>有助于理解和分析会计报表需要说明的其他事项</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(1)</w:t>
      </w:r>
      <w:r>
        <w:rPr>
          <w:rFonts w:eastAsiaTheme="minorEastAsia"/>
          <w:kern w:val="0"/>
          <w:szCs w:val="21"/>
        </w:rPr>
        <w:t>公允价值</w:t>
      </w:r>
      <w:r>
        <w:rPr>
          <w:rFonts w:eastAsiaTheme="minorEastAsia"/>
          <w:kern w:val="0"/>
          <w:szCs w:val="21"/>
        </w:rPr>
        <w:t xml:space="preserve"> </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(a)</w:t>
      </w:r>
      <w:r>
        <w:rPr>
          <w:rFonts w:eastAsiaTheme="minorEastAsia"/>
          <w:kern w:val="0"/>
          <w:szCs w:val="21"/>
        </w:rPr>
        <w:t>金融工具公允价值计量的方法</w:t>
      </w:r>
      <w:r>
        <w:rPr>
          <w:rFonts w:eastAsiaTheme="minorEastAsia"/>
          <w:kern w:val="0"/>
          <w:szCs w:val="21"/>
        </w:rPr>
        <w:t xml:space="preserve"> </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公允价值计量结果所属的层次，由对公允价值计量整体而言具有重要意义的输入值所属的最低层次决定：</w:t>
      </w:r>
      <w:r>
        <w:rPr>
          <w:rFonts w:eastAsiaTheme="minorEastAsia"/>
          <w:kern w:val="0"/>
          <w:szCs w:val="21"/>
        </w:rPr>
        <w:t xml:space="preserve"> </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第一层次：相同资产或负债在活跃市场上未经调整的报价。</w:t>
      </w:r>
      <w:r>
        <w:rPr>
          <w:rFonts w:eastAsiaTheme="minorEastAsia"/>
          <w:kern w:val="0"/>
          <w:szCs w:val="21"/>
        </w:rPr>
        <w:t xml:space="preserve"> </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第二层次：除第一层次输入值外相关资产或负债直接或间接可观察的输入值。</w:t>
      </w:r>
      <w:r>
        <w:rPr>
          <w:rFonts w:eastAsiaTheme="minorEastAsia"/>
          <w:kern w:val="0"/>
          <w:szCs w:val="21"/>
        </w:rPr>
        <w:t xml:space="preserve"> </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第三层次：相关资产或负债的不可观察输入值。</w:t>
      </w:r>
      <w:r>
        <w:rPr>
          <w:rFonts w:eastAsiaTheme="minorEastAsia"/>
          <w:kern w:val="0"/>
          <w:szCs w:val="21"/>
        </w:rPr>
        <w:t xml:space="preserve"> </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(b)</w:t>
      </w:r>
      <w:r>
        <w:rPr>
          <w:rFonts w:eastAsiaTheme="minorEastAsia"/>
          <w:kern w:val="0"/>
          <w:szCs w:val="21"/>
        </w:rPr>
        <w:t>持续的以公允价值计量的金融工具</w:t>
      </w:r>
      <w:r>
        <w:rPr>
          <w:rFonts w:eastAsiaTheme="minorEastAsia"/>
          <w:kern w:val="0"/>
          <w:szCs w:val="21"/>
        </w:rPr>
        <w:t xml:space="preserve"> </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(i)</w:t>
      </w:r>
      <w:r>
        <w:rPr>
          <w:rFonts w:eastAsiaTheme="minorEastAsia"/>
          <w:kern w:val="0"/>
          <w:szCs w:val="21"/>
        </w:rPr>
        <w:t>各层次金融工具公允价值</w:t>
      </w:r>
      <w:r>
        <w:rPr>
          <w:rFonts w:eastAsiaTheme="minorEastAsia"/>
          <w:kern w:val="0"/>
          <w:szCs w:val="21"/>
        </w:rPr>
        <w:t xml:space="preserve"> </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于</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30</w:t>
      </w:r>
      <w:r>
        <w:rPr>
          <w:rFonts w:eastAsiaTheme="minorEastAsia"/>
          <w:kern w:val="0"/>
          <w:szCs w:val="21"/>
        </w:rPr>
        <w:t>日，本基金持有的以公允价值计量且其变动计入当期损益的金融资产中属于第一层次的余额为</w:t>
      </w:r>
      <w:r>
        <w:rPr>
          <w:rFonts w:eastAsiaTheme="minorEastAsia"/>
          <w:kern w:val="0"/>
          <w:szCs w:val="21"/>
        </w:rPr>
        <w:t>1,615,478,556.46</w:t>
      </w:r>
      <w:r>
        <w:rPr>
          <w:rFonts w:eastAsiaTheme="minorEastAsia"/>
          <w:kern w:val="0"/>
          <w:szCs w:val="21"/>
        </w:rPr>
        <w:t>元，无属于第二层次的余额，无属于第三层次的余额</w:t>
      </w:r>
      <w:r>
        <w:rPr>
          <w:rFonts w:eastAsiaTheme="minorEastAsia"/>
          <w:kern w:val="0"/>
          <w:szCs w:val="21"/>
        </w:rPr>
        <w:t>(2019</w:t>
      </w:r>
      <w:r>
        <w:rPr>
          <w:rFonts w:eastAsiaTheme="minorEastAsia"/>
          <w:kern w:val="0"/>
          <w:szCs w:val="21"/>
        </w:rPr>
        <w:t>年</w:t>
      </w:r>
      <w:r>
        <w:rPr>
          <w:rFonts w:eastAsiaTheme="minorEastAsia"/>
          <w:kern w:val="0"/>
          <w:szCs w:val="21"/>
        </w:rPr>
        <w:t>12</w:t>
      </w:r>
      <w:r>
        <w:rPr>
          <w:rFonts w:eastAsiaTheme="minorEastAsia"/>
          <w:kern w:val="0"/>
          <w:szCs w:val="21"/>
        </w:rPr>
        <w:t>月</w:t>
      </w:r>
      <w:r>
        <w:rPr>
          <w:rFonts w:eastAsiaTheme="minorEastAsia"/>
          <w:kern w:val="0"/>
          <w:szCs w:val="21"/>
        </w:rPr>
        <w:t>31</w:t>
      </w:r>
      <w:r>
        <w:rPr>
          <w:rFonts w:eastAsiaTheme="minorEastAsia"/>
          <w:kern w:val="0"/>
          <w:szCs w:val="21"/>
        </w:rPr>
        <w:t>日：第一层次</w:t>
      </w:r>
      <w:r>
        <w:rPr>
          <w:rFonts w:eastAsiaTheme="minorEastAsia"/>
          <w:kern w:val="0"/>
          <w:szCs w:val="21"/>
        </w:rPr>
        <w:t>1,850,339,637.07</w:t>
      </w:r>
      <w:r>
        <w:rPr>
          <w:rFonts w:eastAsiaTheme="minorEastAsia"/>
          <w:kern w:val="0"/>
          <w:szCs w:val="21"/>
        </w:rPr>
        <w:t>元，无属于第二层次的余额，无属于第三层次的余额</w:t>
      </w:r>
      <w:r>
        <w:rPr>
          <w:rFonts w:eastAsiaTheme="minorEastAsia"/>
          <w:kern w:val="0"/>
          <w:szCs w:val="21"/>
        </w:rPr>
        <w:t xml:space="preserve">) </w:t>
      </w:r>
      <w:r>
        <w:rPr>
          <w:rFonts w:eastAsiaTheme="minorEastAsia"/>
          <w:kern w:val="0"/>
          <w:szCs w:val="21"/>
        </w:rPr>
        <w:t>。</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(ii)</w:t>
      </w:r>
      <w:r>
        <w:rPr>
          <w:rFonts w:eastAsiaTheme="minorEastAsia"/>
          <w:kern w:val="0"/>
          <w:szCs w:val="21"/>
        </w:rPr>
        <w:t>公允价值所属层次间的重大变动</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对于证券交易所上市的股票，若出现重大事项停牌、交易不活跃</w:t>
      </w:r>
      <w:r>
        <w:rPr>
          <w:rFonts w:eastAsiaTheme="minorEastAsia"/>
          <w:kern w:val="0"/>
          <w:szCs w:val="21"/>
        </w:rPr>
        <w:t>(</w:t>
      </w:r>
      <w:r>
        <w:rPr>
          <w:rFonts w:eastAsiaTheme="minorEastAsia"/>
          <w:kern w:val="0"/>
          <w:szCs w:val="21"/>
        </w:rPr>
        <w:t>包括涨跌停时的交易不活跃</w:t>
      </w:r>
      <w:r>
        <w:rPr>
          <w:rFonts w:eastAsiaTheme="minorEastAsia"/>
          <w:kern w:val="0"/>
          <w:szCs w:val="21"/>
        </w:rPr>
        <w:t>)</w:t>
      </w:r>
      <w:r>
        <w:rPr>
          <w:rFonts w:eastAsiaTheme="minorEastAsia"/>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对于目标</w:t>
      </w:r>
      <w:r>
        <w:rPr>
          <w:rFonts w:eastAsiaTheme="minorEastAsia"/>
          <w:kern w:val="0"/>
          <w:szCs w:val="21"/>
        </w:rPr>
        <w:t>ETF</w:t>
      </w:r>
      <w:r>
        <w:rPr>
          <w:rFonts w:eastAsiaTheme="minorEastAsia"/>
          <w:kern w:val="0"/>
          <w:szCs w:val="21"/>
        </w:rPr>
        <w:t>，若本基金因上述事项在目标</w:t>
      </w:r>
      <w:r>
        <w:rPr>
          <w:rFonts w:eastAsiaTheme="minorEastAsia"/>
          <w:kern w:val="0"/>
          <w:szCs w:val="21"/>
        </w:rPr>
        <w:t>ETF</w:t>
      </w:r>
      <w:r>
        <w:rPr>
          <w:rFonts w:eastAsiaTheme="minorEastAsia"/>
          <w:kern w:val="0"/>
          <w:szCs w:val="21"/>
        </w:rPr>
        <w:t>当日份额净值的基础上，对目标</w:t>
      </w:r>
      <w:r>
        <w:rPr>
          <w:rFonts w:eastAsiaTheme="minorEastAsia"/>
          <w:kern w:val="0"/>
          <w:szCs w:val="21"/>
        </w:rPr>
        <w:t>ETF</w:t>
      </w:r>
      <w:r>
        <w:rPr>
          <w:rFonts w:eastAsiaTheme="minorEastAsia"/>
          <w:kern w:val="0"/>
          <w:szCs w:val="21"/>
        </w:rPr>
        <w:t>的公允价值进行调整，则本基金在调整期间内将目标</w:t>
      </w:r>
      <w:r>
        <w:rPr>
          <w:rFonts w:eastAsiaTheme="minorEastAsia"/>
          <w:kern w:val="0"/>
          <w:szCs w:val="21"/>
        </w:rPr>
        <w:t>ETF</w:t>
      </w:r>
      <w:r>
        <w:rPr>
          <w:rFonts w:eastAsiaTheme="minorEastAsia"/>
          <w:kern w:val="0"/>
          <w:szCs w:val="21"/>
        </w:rPr>
        <w:t>的公允价值从第一层次转出。</w:t>
      </w:r>
      <w:r>
        <w:rPr>
          <w:rFonts w:eastAsiaTheme="minorEastAsia"/>
          <w:kern w:val="0"/>
          <w:szCs w:val="21"/>
        </w:rPr>
        <w:t xml:space="preserve"> </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 xml:space="preserve"> (iii)</w:t>
      </w:r>
      <w:r>
        <w:rPr>
          <w:rFonts w:eastAsiaTheme="minorEastAsia"/>
          <w:kern w:val="0"/>
          <w:szCs w:val="21"/>
        </w:rPr>
        <w:t>第三层次公允价值余额和本期变动金额</w:t>
      </w:r>
      <w:r>
        <w:rPr>
          <w:rFonts w:eastAsiaTheme="minorEastAsia"/>
          <w:kern w:val="0"/>
          <w:szCs w:val="21"/>
        </w:rPr>
        <w:t xml:space="preserve"> </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无。</w:t>
      </w:r>
      <w:r>
        <w:rPr>
          <w:rFonts w:eastAsiaTheme="minorEastAsia"/>
          <w:kern w:val="0"/>
          <w:szCs w:val="21"/>
        </w:rPr>
        <w:t xml:space="preserve"> </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(c)</w:t>
      </w:r>
      <w:r>
        <w:rPr>
          <w:rFonts w:eastAsiaTheme="minorEastAsia"/>
          <w:kern w:val="0"/>
          <w:szCs w:val="21"/>
        </w:rPr>
        <w:t>非持续的以公允价值计量的金融工具</w:t>
      </w:r>
      <w:r>
        <w:rPr>
          <w:rFonts w:eastAsiaTheme="minorEastAsia"/>
          <w:kern w:val="0"/>
          <w:szCs w:val="21"/>
        </w:rPr>
        <w:t xml:space="preserve"> </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于</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30</w:t>
      </w:r>
      <w:r>
        <w:rPr>
          <w:rFonts w:eastAsiaTheme="minorEastAsia"/>
          <w:kern w:val="0"/>
          <w:szCs w:val="21"/>
        </w:rPr>
        <w:t>日，本基金未持有非持续的以公允价值计量的金融资产</w:t>
      </w:r>
      <w:r>
        <w:rPr>
          <w:rFonts w:eastAsiaTheme="minorEastAsia"/>
          <w:kern w:val="0"/>
          <w:szCs w:val="21"/>
        </w:rPr>
        <w:t>(2019</w:t>
      </w:r>
      <w:r>
        <w:rPr>
          <w:rFonts w:eastAsiaTheme="minorEastAsia"/>
          <w:kern w:val="0"/>
          <w:szCs w:val="21"/>
        </w:rPr>
        <w:t>年</w:t>
      </w:r>
      <w:r>
        <w:rPr>
          <w:rFonts w:eastAsiaTheme="minorEastAsia"/>
          <w:kern w:val="0"/>
          <w:szCs w:val="21"/>
        </w:rPr>
        <w:t>12</w:t>
      </w:r>
      <w:r>
        <w:rPr>
          <w:rFonts w:eastAsiaTheme="minorEastAsia"/>
          <w:kern w:val="0"/>
          <w:szCs w:val="21"/>
        </w:rPr>
        <w:t>月</w:t>
      </w:r>
      <w:r>
        <w:rPr>
          <w:rFonts w:eastAsiaTheme="minorEastAsia"/>
          <w:kern w:val="0"/>
          <w:szCs w:val="21"/>
        </w:rPr>
        <w:t>31</w:t>
      </w:r>
      <w:r>
        <w:rPr>
          <w:rFonts w:eastAsiaTheme="minorEastAsia"/>
          <w:kern w:val="0"/>
          <w:szCs w:val="21"/>
        </w:rPr>
        <w:t>日：同</w:t>
      </w:r>
      <w:r>
        <w:rPr>
          <w:rFonts w:eastAsiaTheme="minorEastAsia"/>
          <w:kern w:val="0"/>
          <w:szCs w:val="21"/>
        </w:rPr>
        <w:t xml:space="preserve">)  </w:t>
      </w:r>
      <w:r>
        <w:rPr>
          <w:rFonts w:eastAsiaTheme="minorEastAsia"/>
          <w:kern w:val="0"/>
          <w:szCs w:val="21"/>
        </w:rPr>
        <w:t>。</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(d)</w:t>
      </w:r>
      <w:r>
        <w:rPr>
          <w:rFonts w:eastAsiaTheme="minorEastAsia"/>
          <w:kern w:val="0"/>
          <w:szCs w:val="21"/>
        </w:rPr>
        <w:t>不以公允价值计量的金融工具</w:t>
      </w:r>
      <w:r>
        <w:rPr>
          <w:rFonts w:eastAsiaTheme="minorEastAsia"/>
          <w:kern w:val="0"/>
          <w:szCs w:val="21"/>
        </w:rPr>
        <w:t xml:space="preserve"> </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不以公允价值计量的金融资产和负债主要包括应收款项和其他金融负债，其账面价值与公允价值相差很小。</w:t>
      </w:r>
      <w:r>
        <w:rPr>
          <w:rFonts w:eastAsiaTheme="minorEastAsia"/>
          <w:kern w:val="0"/>
          <w:szCs w:val="21"/>
        </w:rPr>
        <w:t xml:space="preserve"> </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 xml:space="preserve"> (2)</w:t>
      </w:r>
      <w:r w:rsidRPr="00C24ACA">
        <w:rPr>
          <w:rFonts w:eastAsiaTheme="minorEastAsia"/>
          <w:kern w:val="0"/>
          <w:szCs w:val="21"/>
        </w:rPr>
        <w:t>除公允价值外，截至资产负债表日本基金无需要说明的其他重要事项。</w:t>
      </w:r>
    </w:p>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96" w:name="_Toc225498272"/>
      <w:bookmarkStart w:id="197" w:name="_Toc352255995"/>
      <w:bookmarkStart w:id="198" w:name="_Toc352256063"/>
      <w:bookmarkStart w:id="199" w:name="_Toc352331241"/>
      <w:bookmarkStart w:id="200" w:name="_Toc390164820"/>
      <w:bookmarkStart w:id="201" w:name="_Toc48662495"/>
      <w:r w:rsidRPr="000C6CCD">
        <w:rPr>
          <w:rFonts w:ascii="宋体" w:hAnsi="宋体"/>
          <w:bCs w:val="0"/>
          <w:color w:val="000000"/>
          <w:sz w:val="21"/>
          <w:szCs w:val="21"/>
        </w:rPr>
        <w:t>7</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投资组合报告</w:t>
      </w:r>
      <w:bookmarkEnd w:id="196"/>
      <w:bookmarkEnd w:id="197"/>
      <w:bookmarkEnd w:id="198"/>
      <w:bookmarkEnd w:id="199"/>
      <w:bookmarkEnd w:id="200"/>
      <w:bookmarkEnd w:id="201"/>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02" w:name="_Toc225498273"/>
      <w:bookmarkStart w:id="203" w:name="_Toc352255996"/>
      <w:bookmarkStart w:id="204" w:name="_Toc352256064"/>
      <w:bookmarkStart w:id="205" w:name="_Toc352331242"/>
      <w:bookmarkStart w:id="206" w:name="_Toc390164821"/>
      <w:bookmarkStart w:id="207" w:name="_Toc48662496"/>
      <w:r w:rsidRPr="0087359D">
        <w:rPr>
          <w:rFonts w:ascii="宋体" w:hAnsi="宋体"/>
          <w:kern w:val="0"/>
          <w:sz w:val="21"/>
          <w:szCs w:val="21"/>
        </w:rPr>
        <w:t>7.1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期末基金资产组合情况</w:t>
      </w:r>
      <w:bookmarkEnd w:id="202"/>
      <w:bookmarkEnd w:id="203"/>
      <w:bookmarkEnd w:id="204"/>
      <w:bookmarkEnd w:id="205"/>
      <w:bookmarkEnd w:id="206"/>
      <w:bookmarkEnd w:id="207"/>
    </w:p>
    <w:p w:rsidR="008A5A5D" w:rsidRPr="00C24ACA" w:rsidRDefault="008A5A5D" w:rsidP="002116B9">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szCs w:val="21"/>
        </w:rPr>
        <w:t>金额单位：人民币元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420"/>
        <w:gridCol w:w="2520"/>
        <w:gridCol w:w="2052"/>
      </w:tblGrid>
      <w:tr w:rsidR="008A5A5D" w:rsidRPr="00C24ACA" w:rsidTr="00206018">
        <w:trPr>
          <w:jc w:val="center"/>
        </w:trPr>
        <w:tc>
          <w:tcPr>
            <w:tcW w:w="108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序号</w:t>
            </w:r>
          </w:p>
        </w:tc>
        <w:tc>
          <w:tcPr>
            <w:tcW w:w="342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项目</w:t>
            </w:r>
          </w:p>
        </w:tc>
        <w:tc>
          <w:tcPr>
            <w:tcW w:w="252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金额</w:t>
            </w:r>
          </w:p>
        </w:tc>
        <w:tc>
          <w:tcPr>
            <w:tcW w:w="2052"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占基金总资产的比例（</w:t>
            </w:r>
            <w:r w:rsidRPr="00C24ACA">
              <w:rPr>
                <w:rFonts w:eastAsiaTheme="minorEastAsia"/>
                <w:color w:val="000000"/>
                <w:szCs w:val="21"/>
              </w:rPr>
              <w:t>%</w:t>
            </w:r>
            <w:r w:rsidRPr="00C24ACA">
              <w:rPr>
                <w:rFonts w:eastAsiaTheme="minorEastAsia"/>
                <w:color w:val="000000"/>
                <w:szCs w:val="21"/>
              </w:rPr>
              <w:t>）</w:t>
            </w:r>
          </w:p>
        </w:tc>
      </w:tr>
      <w:tr w:rsidR="008A5A5D" w:rsidRPr="00C24ACA" w:rsidTr="00206018">
        <w:trPr>
          <w:jc w:val="center"/>
        </w:trPr>
        <w:tc>
          <w:tcPr>
            <w:tcW w:w="1080" w:type="dxa"/>
            <w:vAlign w:val="center"/>
          </w:tcPr>
          <w:p w:rsidR="008A5A5D" w:rsidRPr="00C24ACA" w:rsidRDefault="008A5A5D" w:rsidP="00930E47">
            <w:pPr>
              <w:jc w:val="center"/>
              <w:rPr>
                <w:rFonts w:eastAsiaTheme="minorEastAsia"/>
                <w:color w:val="000000"/>
                <w:szCs w:val="21"/>
              </w:rPr>
            </w:pPr>
            <w:r w:rsidRPr="00C24ACA">
              <w:rPr>
                <w:rFonts w:eastAsiaTheme="minorEastAsia"/>
                <w:szCs w:val="21"/>
              </w:rPr>
              <w:t>1</w:t>
            </w:r>
          </w:p>
        </w:tc>
        <w:tc>
          <w:tcPr>
            <w:tcW w:w="3420" w:type="dxa"/>
            <w:vAlign w:val="center"/>
          </w:tcPr>
          <w:p w:rsidR="008A5A5D" w:rsidRPr="00C24ACA" w:rsidRDefault="008A5A5D" w:rsidP="00C87473">
            <w:pPr>
              <w:ind w:leftChars="50" w:left="105"/>
              <w:rPr>
                <w:rFonts w:eastAsiaTheme="minorEastAsia"/>
                <w:color w:val="000000"/>
                <w:szCs w:val="21"/>
              </w:rPr>
            </w:pPr>
            <w:r w:rsidRPr="00C24ACA">
              <w:rPr>
                <w:rFonts w:eastAsiaTheme="minorEastAsia"/>
                <w:szCs w:val="21"/>
              </w:rPr>
              <w:t>权益投资</w:t>
            </w:r>
          </w:p>
        </w:tc>
        <w:tc>
          <w:tcPr>
            <w:tcW w:w="2520"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c>
          <w:tcPr>
            <w:tcW w:w="2052"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r>
      <w:tr w:rsidR="008A5A5D" w:rsidRPr="00C24ACA" w:rsidTr="00206018">
        <w:trPr>
          <w:jc w:val="center"/>
        </w:trPr>
        <w:tc>
          <w:tcPr>
            <w:tcW w:w="1080" w:type="dxa"/>
            <w:vAlign w:val="center"/>
          </w:tcPr>
          <w:p w:rsidR="008A5A5D" w:rsidRPr="00C24ACA" w:rsidRDefault="008A5A5D" w:rsidP="00930E47">
            <w:pPr>
              <w:jc w:val="center"/>
              <w:rPr>
                <w:rFonts w:eastAsiaTheme="minorEastAsia"/>
                <w:color w:val="000000"/>
                <w:szCs w:val="21"/>
              </w:rPr>
            </w:pPr>
          </w:p>
        </w:tc>
        <w:tc>
          <w:tcPr>
            <w:tcW w:w="3420" w:type="dxa"/>
            <w:vAlign w:val="center"/>
          </w:tcPr>
          <w:p w:rsidR="008A5A5D" w:rsidRPr="00C24ACA" w:rsidRDefault="008A5A5D" w:rsidP="00C87473">
            <w:pPr>
              <w:ind w:leftChars="50" w:left="105"/>
              <w:rPr>
                <w:rFonts w:eastAsiaTheme="minorEastAsia"/>
                <w:color w:val="000000"/>
                <w:szCs w:val="21"/>
              </w:rPr>
            </w:pPr>
            <w:r w:rsidRPr="00C24ACA">
              <w:rPr>
                <w:rFonts w:eastAsiaTheme="minorEastAsia"/>
                <w:szCs w:val="21"/>
              </w:rPr>
              <w:t>其中：普通股</w:t>
            </w:r>
          </w:p>
        </w:tc>
        <w:tc>
          <w:tcPr>
            <w:tcW w:w="2520"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c>
          <w:tcPr>
            <w:tcW w:w="2052"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r>
      <w:tr w:rsidR="008A5A5D" w:rsidRPr="00C24ACA" w:rsidTr="00206018">
        <w:trPr>
          <w:jc w:val="center"/>
        </w:trPr>
        <w:tc>
          <w:tcPr>
            <w:tcW w:w="1080" w:type="dxa"/>
            <w:vAlign w:val="center"/>
          </w:tcPr>
          <w:p w:rsidR="008A5A5D" w:rsidRPr="00C24ACA" w:rsidRDefault="008A5A5D" w:rsidP="00930E47">
            <w:pPr>
              <w:jc w:val="center"/>
              <w:rPr>
                <w:rFonts w:eastAsiaTheme="minorEastAsia"/>
                <w:color w:val="000000"/>
                <w:szCs w:val="21"/>
              </w:rPr>
            </w:pPr>
          </w:p>
        </w:tc>
        <w:tc>
          <w:tcPr>
            <w:tcW w:w="3420" w:type="dxa"/>
            <w:vAlign w:val="center"/>
          </w:tcPr>
          <w:p w:rsidR="008A5A5D" w:rsidRPr="00C24ACA" w:rsidRDefault="008A5A5D" w:rsidP="008134C7">
            <w:pPr>
              <w:ind w:firstLineChars="350" w:firstLine="735"/>
              <w:rPr>
                <w:rFonts w:eastAsiaTheme="minorEastAsia"/>
                <w:color w:val="000000"/>
                <w:szCs w:val="21"/>
              </w:rPr>
            </w:pPr>
            <w:r w:rsidRPr="00C24ACA">
              <w:rPr>
                <w:rFonts w:eastAsiaTheme="minorEastAsia"/>
                <w:szCs w:val="21"/>
              </w:rPr>
              <w:t>存托凭证</w:t>
            </w:r>
          </w:p>
        </w:tc>
        <w:tc>
          <w:tcPr>
            <w:tcW w:w="2520"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c>
          <w:tcPr>
            <w:tcW w:w="2052"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8134C7">
            <w:pPr>
              <w:spacing w:before="29" w:line="360" w:lineRule="auto"/>
              <w:ind w:firstLineChars="350" w:firstLine="735"/>
              <w:rPr>
                <w:rFonts w:eastAsiaTheme="minorEastAsia"/>
                <w:color w:val="000000"/>
                <w:szCs w:val="21"/>
              </w:rPr>
            </w:pPr>
            <w:r w:rsidRPr="00C24ACA">
              <w:rPr>
                <w:rFonts w:eastAsiaTheme="minorEastAsia"/>
                <w:color w:val="000000"/>
                <w:szCs w:val="21"/>
              </w:rPr>
              <w:t>优先股</w:t>
            </w:r>
          </w:p>
        </w:tc>
        <w:tc>
          <w:tcPr>
            <w:tcW w:w="2520"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c>
          <w:tcPr>
            <w:tcW w:w="2052"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8134C7">
            <w:pPr>
              <w:spacing w:before="29" w:line="360" w:lineRule="auto"/>
              <w:ind w:firstLineChars="350" w:firstLine="735"/>
              <w:rPr>
                <w:rFonts w:eastAsiaTheme="minorEastAsia"/>
                <w:color w:val="000000"/>
                <w:szCs w:val="21"/>
              </w:rPr>
            </w:pPr>
            <w:r w:rsidRPr="00C24ACA">
              <w:rPr>
                <w:rFonts w:eastAsiaTheme="minorEastAsia"/>
                <w:color w:val="000000"/>
                <w:szCs w:val="21"/>
              </w:rPr>
              <w:t>房地产信托</w:t>
            </w:r>
            <w:r w:rsidR="007969C0" w:rsidRPr="00C24ACA">
              <w:rPr>
                <w:rFonts w:eastAsiaTheme="minorEastAsia"/>
                <w:color w:val="000000"/>
                <w:szCs w:val="21"/>
              </w:rPr>
              <w:t>凭证</w:t>
            </w:r>
          </w:p>
        </w:tc>
        <w:tc>
          <w:tcPr>
            <w:tcW w:w="2520"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c>
          <w:tcPr>
            <w:tcW w:w="2052"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2</w:t>
            </w:r>
          </w:p>
        </w:tc>
        <w:tc>
          <w:tcPr>
            <w:tcW w:w="3420" w:type="dxa"/>
            <w:vAlign w:val="center"/>
          </w:tcPr>
          <w:p w:rsidR="00380273" w:rsidRPr="00C24ACA" w:rsidRDefault="00380273" w:rsidP="00C87473">
            <w:pPr>
              <w:ind w:leftChars="49" w:left="103"/>
              <w:rPr>
                <w:rFonts w:eastAsiaTheme="minorEastAsia"/>
                <w:color w:val="000000"/>
                <w:szCs w:val="21"/>
              </w:rPr>
            </w:pPr>
            <w:r w:rsidRPr="00C24ACA">
              <w:rPr>
                <w:rFonts w:eastAsiaTheme="minorEastAsia"/>
                <w:szCs w:val="21"/>
              </w:rPr>
              <w:t>基金投资</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1,615,478,556.46</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92.16</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3</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固定收益投资</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其中：债券</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8134C7">
            <w:pPr>
              <w:ind w:leftChars="50" w:left="105" w:firstLineChars="300" w:firstLine="630"/>
              <w:rPr>
                <w:rFonts w:eastAsiaTheme="minorEastAsia"/>
                <w:color w:val="000000"/>
                <w:szCs w:val="21"/>
              </w:rPr>
            </w:pPr>
            <w:r w:rsidRPr="00C24ACA">
              <w:rPr>
                <w:rFonts w:eastAsiaTheme="minorEastAsia"/>
                <w:szCs w:val="21"/>
              </w:rPr>
              <w:t>资产支持证券</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4</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金融衍生品投资</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其中：远期</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 xml:space="preserve">      </w:t>
            </w:r>
            <w:r w:rsidRPr="00C24ACA">
              <w:rPr>
                <w:rFonts w:eastAsiaTheme="minorEastAsia"/>
                <w:szCs w:val="21"/>
              </w:rPr>
              <w:t>期货</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 xml:space="preserve">      </w:t>
            </w:r>
            <w:r w:rsidRPr="00C24ACA">
              <w:rPr>
                <w:rFonts w:eastAsiaTheme="minorEastAsia"/>
                <w:szCs w:val="21"/>
              </w:rPr>
              <w:t>期权</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 xml:space="preserve">      </w:t>
            </w:r>
            <w:r w:rsidRPr="00C24ACA">
              <w:rPr>
                <w:rFonts w:eastAsiaTheme="minorEastAsia"/>
                <w:szCs w:val="21"/>
              </w:rPr>
              <w:t>权证</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5</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买入返售金融资产</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其中：买断式回购的买入返售金融资产</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6</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货币市场工具</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7</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银行存款和结算备付金合计</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124,182,804.84</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7.08</w:t>
            </w:r>
          </w:p>
        </w:tc>
      </w:tr>
      <w:tr w:rsidR="00380273" w:rsidRPr="00C24ACA" w:rsidTr="00206018">
        <w:trPr>
          <w:jc w:val="center"/>
        </w:trPr>
        <w:tc>
          <w:tcPr>
            <w:tcW w:w="1080" w:type="dxa"/>
            <w:vAlign w:val="center"/>
          </w:tcPr>
          <w:p w:rsidR="00380273" w:rsidRPr="00C24ACA" w:rsidRDefault="00380273" w:rsidP="004A4847">
            <w:pPr>
              <w:spacing w:before="29" w:line="360" w:lineRule="auto"/>
              <w:ind w:left="17"/>
              <w:jc w:val="center"/>
              <w:rPr>
                <w:rFonts w:eastAsiaTheme="minorEastAsia"/>
                <w:color w:val="000000"/>
                <w:szCs w:val="21"/>
              </w:rPr>
            </w:pPr>
            <w:r w:rsidRPr="00C24ACA">
              <w:rPr>
                <w:rFonts w:eastAsiaTheme="minorEastAsia"/>
                <w:color w:val="000000"/>
                <w:szCs w:val="21"/>
              </w:rPr>
              <w:t>8</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其他各项资产</w:t>
            </w:r>
          </w:p>
        </w:tc>
        <w:tc>
          <w:tcPr>
            <w:tcW w:w="2520" w:type="dxa"/>
            <w:vAlign w:val="center"/>
          </w:tcPr>
          <w:p w:rsidR="00380273" w:rsidRPr="00C24ACA" w:rsidRDefault="00380273" w:rsidP="004A4847">
            <w:pPr>
              <w:jc w:val="right"/>
              <w:rPr>
                <w:rFonts w:eastAsiaTheme="minorEastAsia"/>
                <w:szCs w:val="21"/>
              </w:rPr>
            </w:pPr>
            <w:r w:rsidRPr="00C24ACA">
              <w:rPr>
                <w:rFonts w:eastAsiaTheme="minorEastAsia"/>
                <w:szCs w:val="21"/>
              </w:rPr>
              <w:t>13,217,067.62</w:t>
            </w:r>
          </w:p>
        </w:tc>
        <w:tc>
          <w:tcPr>
            <w:tcW w:w="2052" w:type="dxa"/>
            <w:vAlign w:val="center"/>
          </w:tcPr>
          <w:p w:rsidR="00380273" w:rsidRPr="00C24ACA" w:rsidRDefault="00380273" w:rsidP="004A4847">
            <w:pPr>
              <w:jc w:val="right"/>
              <w:rPr>
                <w:rFonts w:eastAsiaTheme="minorEastAsia"/>
                <w:szCs w:val="21"/>
              </w:rPr>
            </w:pPr>
            <w:r w:rsidRPr="00C24ACA">
              <w:rPr>
                <w:rFonts w:eastAsiaTheme="minorEastAsia"/>
                <w:szCs w:val="21"/>
              </w:rPr>
              <w:t>0.75</w:t>
            </w:r>
          </w:p>
        </w:tc>
      </w:tr>
      <w:tr w:rsidR="00380273" w:rsidRPr="00C24ACA" w:rsidTr="00206018">
        <w:trPr>
          <w:jc w:val="center"/>
        </w:trPr>
        <w:tc>
          <w:tcPr>
            <w:tcW w:w="1080" w:type="dxa"/>
            <w:vAlign w:val="center"/>
          </w:tcPr>
          <w:p w:rsidR="00380273" w:rsidRPr="00C24ACA" w:rsidRDefault="00380273" w:rsidP="004A4847">
            <w:pPr>
              <w:spacing w:before="29" w:line="360" w:lineRule="auto"/>
              <w:ind w:left="17"/>
              <w:jc w:val="center"/>
              <w:rPr>
                <w:rFonts w:eastAsiaTheme="minorEastAsia"/>
                <w:color w:val="000000"/>
                <w:szCs w:val="21"/>
              </w:rPr>
            </w:pPr>
            <w:r w:rsidRPr="00C24ACA">
              <w:rPr>
                <w:rFonts w:eastAsiaTheme="minorEastAsia"/>
                <w:color w:val="000000"/>
                <w:szCs w:val="21"/>
              </w:rPr>
              <w:t>9</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合计</w:t>
            </w:r>
          </w:p>
        </w:tc>
        <w:tc>
          <w:tcPr>
            <w:tcW w:w="2520" w:type="dxa"/>
            <w:vAlign w:val="center"/>
          </w:tcPr>
          <w:p w:rsidR="00380273" w:rsidRPr="00C24ACA" w:rsidRDefault="00380273" w:rsidP="004A4847">
            <w:pPr>
              <w:jc w:val="right"/>
              <w:rPr>
                <w:rFonts w:eastAsiaTheme="minorEastAsia"/>
                <w:szCs w:val="21"/>
              </w:rPr>
            </w:pPr>
            <w:r w:rsidRPr="00C24ACA">
              <w:rPr>
                <w:rFonts w:eastAsiaTheme="minorEastAsia"/>
                <w:szCs w:val="21"/>
              </w:rPr>
              <w:t>1,752,878,428.92</w:t>
            </w:r>
          </w:p>
        </w:tc>
        <w:tc>
          <w:tcPr>
            <w:tcW w:w="2052" w:type="dxa"/>
            <w:vAlign w:val="center"/>
          </w:tcPr>
          <w:p w:rsidR="00380273" w:rsidRPr="00C24ACA" w:rsidRDefault="00380273" w:rsidP="004A4847">
            <w:pPr>
              <w:jc w:val="right"/>
              <w:rPr>
                <w:rFonts w:eastAsiaTheme="minorEastAsia"/>
                <w:szCs w:val="21"/>
              </w:rPr>
            </w:pPr>
            <w:r w:rsidRPr="00C24ACA">
              <w:rPr>
                <w:rFonts w:eastAsiaTheme="minorEastAsia"/>
                <w:szCs w:val="21"/>
              </w:rPr>
              <w:t>100.00</w:t>
            </w:r>
          </w:p>
        </w:tc>
      </w:tr>
    </w:tbl>
    <w:p w:rsidR="00771F95" w:rsidRPr="00A317EA" w:rsidRDefault="00771F95" w:rsidP="006C64F3">
      <w:pPr>
        <w:pStyle w:val="20"/>
        <w:spacing w:beforeLines="100" w:before="312" w:after="0"/>
        <w:rPr>
          <w:rFonts w:ascii="Times New Roman" w:eastAsiaTheme="minorEastAsia" w:hAnsi="Times New Roman"/>
          <w:kern w:val="0"/>
          <w:sz w:val="21"/>
          <w:szCs w:val="21"/>
        </w:rPr>
      </w:pPr>
      <w:bookmarkStart w:id="208" w:name="_Toc48662497"/>
      <w:r w:rsidRPr="0087359D">
        <w:rPr>
          <w:rFonts w:ascii="宋体" w:hAnsi="宋体"/>
          <w:kern w:val="0"/>
          <w:sz w:val="21"/>
          <w:szCs w:val="21"/>
        </w:rPr>
        <w:t>7.2</w:t>
      </w:r>
      <w:bookmarkStart w:id="209" w:name="_Toc351577071"/>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期末投资目标基金明细</w:t>
      </w:r>
      <w:bookmarkEnd w:id="209"/>
      <w:bookmarkEnd w:id="208"/>
    </w:p>
    <w:p w:rsidR="007A2F14" w:rsidRPr="00F83CFF" w:rsidRDefault="007A2F14" w:rsidP="007A2F14">
      <w:pPr>
        <w:wordWrap w:val="0"/>
        <w:spacing w:line="360" w:lineRule="auto"/>
        <w:jc w:val="right"/>
        <w:rPr>
          <w:color w:val="000000"/>
          <w:szCs w:val="21"/>
        </w:rPr>
      </w:pPr>
      <w:bookmarkStart w:id="210" w:name="_Toc390164822"/>
      <w:r>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1276"/>
        <w:gridCol w:w="1276"/>
        <w:gridCol w:w="1134"/>
        <w:gridCol w:w="1843"/>
        <w:gridCol w:w="1701"/>
        <w:gridCol w:w="1416"/>
      </w:tblGrid>
      <w:tr w:rsidR="007A2F14" w:rsidRPr="00643EB5" w:rsidTr="007F5D9C">
        <w:trPr>
          <w:jc w:val="center"/>
        </w:trPr>
        <w:tc>
          <w:tcPr>
            <w:tcW w:w="710" w:type="dxa"/>
            <w:vAlign w:val="center"/>
          </w:tcPr>
          <w:p w:rsidR="007A2F14" w:rsidRPr="00643EB5" w:rsidRDefault="007A2F14" w:rsidP="007F5D9C">
            <w:pPr>
              <w:spacing w:line="360" w:lineRule="auto"/>
              <w:jc w:val="center"/>
              <w:rPr>
                <w:color w:val="000000"/>
                <w:szCs w:val="21"/>
              </w:rPr>
            </w:pPr>
            <w:r w:rsidRPr="00643EB5">
              <w:rPr>
                <w:rFonts w:hint="eastAsia"/>
                <w:color w:val="000000"/>
                <w:szCs w:val="21"/>
              </w:rPr>
              <w:t>序号</w:t>
            </w:r>
          </w:p>
        </w:tc>
        <w:tc>
          <w:tcPr>
            <w:tcW w:w="1276" w:type="dxa"/>
            <w:vAlign w:val="center"/>
          </w:tcPr>
          <w:p w:rsidR="007A2F14" w:rsidRPr="00643EB5" w:rsidRDefault="007A2F14" w:rsidP="007F5D9C">
            <w:pPr>
              <w:spacing w:line="360" w:lineRule="auto"/>
              <w:jc w:val="center"/>
              <w:rPr>
                <w:color w:val="000000"/>
                <w:szCs w:val="21"/>
              </w:rPr>
            </w:pPr>
            <w:r w:rsidRPr="00643EB5">
              <w:rPr>
                <w:rFonts w:hint="eastAsia"/>
                <w:color w:val="000000"/>
                <w:szCs w:val="21"/>
              </w:rPr>
              <w:t>基金名称</w:t>
            </w:r>
          </w:p>
        </w:tc>
        <w:tc>
          <w:tcPr>
            <w:tcW w:w="1276" w:type="dxa"/>
            <w:vAlign w:val="center"/>
          </w:tcPr>
          <w:p w:rsidR="007A2F14" w:rsidRPr="00643EB5" w:rsidRDefault="007A2F14" w:rsidP="007F5D9C">
            <w:pPr>
              <w:spacing w:line="360" w:lineRule="auto"/>
              <w:jc w:val="center"/>
              <w:rPr>
                <w:color w:val="000000"/>
                <w:szCs w:val="21"/>
              </w:rPr>
            </w:pPr>
            <w:r w:rsidRPr="00643EB5">
              <w:rPr>
                <w:rFonts w:hint="eastAsia"/>
                <w:color w:val="000000"/>
                <w:szCs w:val="21"/>
              </w:rPr>
              <w:t>基金类型</w:t>
            </w:r>
          </w:p>
        </w:tc>
        <w:tc>
          <w:tcPr>
            <w:tcW w:w="1134" w:type="dxa"/>
            <w:vAlign w:val="center"/>
          </w:tcPr>
          <w:p w:rsidR="007A2F14" w:rsidRPr="00643EB5" w:rsidRDefault="007A2F14" w:rsidP="007F5D9C">
            <w:pPr>
              <w:spacing w:line="360" w:lineRule="auto"/>
              <w:jc w:val="center"/>
              <w:rPr>
                <w:color w:val="000000"/>
                <w:szCs w:val="21"/>
              </w:rPr>
            </w:pPr>
            <w:r w:rsidRPr="00643EB5">
              <w:rPr>
                <w:rFonts w:hint="eastAsia"/>
                <w:color w:val="000000"/>
                <w:szCs w:val="21"/>
              </w:rPr>
              <w:t>运作方式</w:t>
            </w:r>
          </w:p>
        </w:tc>
        <w:tc>
          <w:tcPr>
            <w:tcW w:w="1843" w:type="dxa"/>
            <w:vAlign w:val="center"/>
          </w:tcPr>
          <w:p w:rsidR="007A2F14" w:rsidRPr="00643EB5" w:rsidRDefault="007A2F14" w:rsidP="007F5D9C">
            <w:pPr>
              <w:spacing w:line="360" w:lineRule="auto"/>
              <w:jc w:val="center"/>
              <w:rPr>
                <w:color w:val="000000"/>
                <w:szCs w:val="21"/>
              </w:rPr>
            </w:pPr>
            <w:r w:rsidRPr="00643EB5">
              <w:rPr>
                <w:rFonts w:hint="eastAsia"/>
                <w:color w:val="000000"/>
                <w:szCs w:val="21"/>
              </w:rPr>
              <w:t>管理人</w:t>
            </w:r>
          </w:p>
        </w:tc>
        <w:tc>
          <w:tcPr>
            <w:tcW w:w="1701" w:type="dxa"/>
            <w:vAlign w:val="center"/>
          </w:tcPr>
          <w:p w:rsidR="007A2F14" w:rsidRPr="00643EB5" w:rsidRDefault="007A2F14" w:rsidP="007F5D9C">
            <w:pPr>
              <w:spacing w:line="360" w:lineRule="auto"/>
              <w:jc w:val="center"/>
              <w:rPr>
                <w:color w:val="000000"/>
                <w:szCs w:val="21"/>
              </w:rPr>
            </w:pPr>
            <w:r w:rsidRPr="00643EB5">
              <w:rPr>
                <w:rFonts w:hint="eastAsia"/>
                <w:color w:val="000000"/>
                <w:szCs w:val="21"/>
              </w:rPr>
              <w:t>公允价值</w:t>
            </w:r>
            <w:r w:rsidR="006C0DBC">
              <w:rPr>
                <w:rFonts w:eastAsiaTheme="minorEastAsia"/>
                <w:color w:val="000000"/>
                <w:kern w:val="0"/>
                <w:szCs w:val="21"/>
              </w:rPr>
              <w:t>（人民币</w:t>
            </w:r>
            <w:r w:rsidR="006C0DBC" w:rsidRPr="00C24ACA">
              <w:rPr>
                <w:rFonts w:eastAsiaTheme="minorEastAsia"/>
                <w:color w:val="000000"/>
                <w:kern w:val="0"/>
                <w:szCs w:val="21"/>
              </w:rPr>
              <w:t>元）</w:t>
            </w:r>
          </w:p>
        </w:tc>
        <w:tc>
          <w:tcPr>
            <w:tcW w:w="1416" w:type="dxa"/>
            <w:vAlign w:val="center"/>
          </w:tcPr>
          <w:p w:rsidR="007A2F14" w:rsidRPr="00643EB5" w:rsidRDefault="007A2F14" w:rsidP="007F5D9C">
            <w:pPr>
              <w:spacing w:line="360" w:lineRule="auto"/>
              <w:jc w:val="center"/>
              <w:rPr>
                <w:color w:val="000000"/>
                <w:szCs w:val="21"/>
              </w:rPr>
            </w:pPr>
            <w:r w:rsidRPr="00643EB5">
              <w:rPr>
                <w:rFonts w:hint="eastAsia"/>
                <w:color w:val="000000"/>
                <w:szCs w:val="21"/>
              </w:rPr>
              <w:t>占基金资产净值比例</w:t>
            </w:r>
            <w:r>
              <w:rPr>
                <w:rFonts w:hint="eastAsia"/>
                <w:color w:val="000000"/>
                <w:szCs w:val="21"/>
              </w:rPr>
              <w:t>（％）</w:t>
            </w:r>
          </w:p>
        </w:tc>
      </w:tr>
      <w:tr w:rsidR="00871824">
        <w:trPr>
          <w:jc w:val="center"/>
        </w:trPr>
        <w:tc>
          <w:tcPr>
            <w:tcW w:w="710" w:type="dxa"/>
            <w:vAlign w:val="center"/>
          </w:tcPr>
          <w:p w:rsidR="00871824" w:rsidRDefault="00672BD5">
            <w:pPr>
              <w:jc w:val="center"/>
            </w:pPr>
            <w:r>
              <w:rPr>
                <w:color w:val="000000"/>
                <w:szCs w:val="21"/>
              </w:rPr>
              <w:t>1</w:t>
            </w:r>
          </w:p>
        </w:tc>
        <w:tc>
          <w:tcPr>
            <w:tcW w:w="1276" w:type="dxa"/>
            <w:vAlign w:val="center"/>
          </w:tcPr>
          <w:p w:rsidR="00871824" w:rsidRDefault="00672BD5">
            <w:pPr>
              <w:jc w:val="center"/>
            </w:pPr>
            <w:r>
              <w:rPr>
                <w:color w:val="000000"/>
                <w:szCs w:val="21"/>
              </w:rPr>
              <w:t>易方达恒生中国企业交易型开放式指数证券投资基金</w:t>
            </w:r>
          </w:p>
        </w:tc>
        <w:tc>
          <w:tcPr>
            <w:tcW w:w="1276" w:type="dxa"/>
            <w:vAlign w:val="center"/>
          </w:tcPr>
          <w:p w:rsidR="00871824" w:rsidRDefault="00672BD5">
            <w:pPr>
              <w:jc w:val="center"/>
            </w:pPr>
            <w:r>
              <w:rPr>
                <w:color w:val="000000"/>
                <w:szCs w:val="21"/>
              </w:rPr>
              <w:t>股票型</w:t>
            </w:r>
          </w:p>
        </w:tc>
        <w:tc>
          <w:tcPr>
            <w:tcW w:w="1134" w:type="dxa"/>
            <w:vAlign w:val="center"/>
          </w:tcPr>
          <w:p w:rsidR="00871824" w:rsidRDefault="00672BD5">
            <w:pPr>
              <w:jc w:val="center"/>
            </w:pPr>
            <w:r>
              <w:rPr>
                <w:color w:val="000000"/>
                <w:szCs w:val="21"/>
              </w:rPr>
              <w:t>交易型开放式（</w:t>
            </w:r>
            <w:r>
              <w:rPr>
                <w:color w:val="000000"/>
                <w:szCs w:val="21"/>
              </w:rPr>
              <w:t>ETF</w:t>
            </w:r>
            <w:r>
              <w:rPr>
                <w:color w:val="000000"/>
                <w:szCs w:val="21"/>
              </w:rPr>
              <w:t>）</w:t>
            </w:r>
          </w:p>
        </w:tc>
        <w:tc>
          <w:tcPr>
            <w:tcW w:w="1843" w:type="dxa"/>
            <w:vAlign w:val="center"/>
          </w:tcPr>
          <w:p w:rsidR="00871824" w:rsidRDefault="00672BD5">
            <w:pPr>
              <w:jc w:val="center"/>
            </w:pPr>
            <w:r>
              <w:rPr>
                <w:color w:val="000000"/>
                <w:szCs w:val="21"/>
              </w:rPr>
              <w:t>易方达基金管理有限公司</w:t>
            </w:r>
          </w:p>
        </w:tc>
        <w:tc>
          <w:tcPr>
            <w:tcW w:w="1701" w:type="dxa"/>
            <w:vAlign w:val="center"/>
          </w:tcPr>
          <w:p w:rsidR="00871824" w:rsidRDefault="00672BD5">
            <w:pPr>
              <w:jc w:val="right"/>
            </w:pPr>
            <w:r>
              <w:rPr>
                <w:color w:val="000000"/>
                <w:szCs w:val="21"/>
              </w:rPr>
              <w:t>1,615,478,556.46</w:t>
            </w:r>
          </w:p>
        </w:tc>
        <w:tc>
          <w:tcPr>
            <w:tcW w:w="1416" w:type="dxa"/>
            <w:vAlign w:val="center"/>
          </w:tcPr>
          <w:p w:rsidR="00871824" w:rsidRDefault="00672BD5">
            <w:pPr>
              <w:jc w:val="right"/>
            </w:pPr>
            <w:r>
              <w:rPr>
                <w:color w:val="000000"/>
                <w:szCs w:val="21"/>
              </w:rPr>
              <w:t>94.12</w:t>
            </w:r>
          </w:p>
        </w:tc>
      </w:tr>
    </w:tbl>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11" w:name="_Toc48662498"/>
      <w:r w:rsidRPr="0087359D">
        <w:rPr>
          <w:rFonts w:ascii="宋体" w:hAnsi="宋体"/>
          <w:kern w:val="0"/>
          <w:sz w:val="21"/>
          <w:szCs w:val="21"/>
        </w:rPr>
        <w:t>7.3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期末在各个国家（地区）证券市场的权益投资分布</w:t>
      </w:r>
      <w:bookmarkEnd w:id="210"/>
      <w:bookmarkEnd w:id="211"/>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本基金本报告期末未持有权益投资。</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12" w:name="_Toc224618378"/>
      <w:bookmarkStart w:id="213" w:name="_Toc248233025"/>
      <w:bookmarkStart w:id="214" w:name="_Toc249790557"/>
      <w:bookmarkStart w:id="215" w:name="_Toc286929758"/>
      <w:bookmarkStart w:id="216" w:name="_Toc352255997"/>
      <w:bookmarkStart w:id="217" w:name="_Toc352256065"/>
      <w:bookmarkStart w:id="218" w:name="_Toc352331243"/>
      <w:bookmarkStart w:id="219" w:name="_Toc390164823"/>
      <w:bookmarkStart w:id="220" w:name="_Toc48662499"/>
      <w:r w:rsidRPr="0087359D">
        <w:rPr>
          <w:rFonts w:ascii="宋体" w:hAnsi="宋体"/>
          <w:kern w:val="0"/>
          <w:sz w:val="21"/>
          <w:szCs w:val="21"/>
        </w:rPr>
        <w:t>7.4</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期末按行业分类的权益投资组合</w:t>
      </w:r>
      <w:bookmarkEnd w:id="212"/>
      <w:bookmarkEnd w:id="213"/>
      <w:bookmarkEnd w:id="214"/>
      <w:bookmarkEnd w:id="215"/>
      <w:bookmarkEnd w:id="216"/>
      <w:bookmarkEnd w:id="217"/>
      <w:bookmarkEnd w:id="218"/>
      <w:bookmarkEnd w:id="219"/>
      <w:bookmarkEnd w:id="220"/>
    </w:p>
    <w:p w:rsidR="008A5A5D" w:rsidRPr="008707EB" w:rsidRDefault="007863A3"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本基金本报告期末未持有权益投资。</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21" w:name="_Toc352255998"/>
      <w:bookmarkStart w:id="222" w:name="_Toc352256066"/>
      <w:bookmarkStart w:id="223" w:name="_Toc352331244"/>
      <w:bookmarkStart w:id="224" w:name="_Toc390164824"/>
      <w:bookmarkStart w:id="225" w:name="_Toc48662500"/>
      <w:r w:rsidRPr="0087359D">
        <w:rPr>
          <w:rFonts w:ascii="宋体" w:hAnsi="宋体"/>
          <w:kern w:val="0"/>
          <w:sz w:val="21"/>
          <w:szCs w:val="21"/>
        </w:rPr>
        <w:t>7.5</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期末按公允价值占基金资产净值比例大小排序的所有权益投资明细</w:t>
      </w:r>
      <w:bookmarkEnd w:id="221"/>
      <w:bookmarkEnd w:id="222"/>
      <w:bookmarkEnd w:id="223"/>
      <w:bookmarkEnd w:id="224"/>
      <w:bookmarkEnd w:id="225"/>
    </w:p>
    <w:p w:rsidR="00FF05DE"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本基金本报告期末未持有权益投资。</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26" w:name="_Toc224618380"/>
      <w:bookmarkStart w:id="227" w:name="_Toc248233027"/>
      <w:bookmarkStart w:id="228" w:name="_Toc249790559"/>
      <w:bookmarkStart w:id="229" w:name="_Toc286929760"/>
      <w:bookmarkStart w:id="230" w:name="_Toc352255999"/>
      <w:bookmarkStart w:id="231" w:name="_Toc352256067"/>
      <w:bookmarkStart w:id="232" w:name="_Toc352331245"/>
      <w:bookmarkStart w:id="233" w:name="_Toc390164827"/>
      <w:bookmarkStart w:id="234" w:name="_Toc48662501"/>
      <w:r w:rsidRPr="0087359D">
        <w:rPr>
          <w:rFonts w:ascii="宋体" w:hAnsi="宋体"/>
          <w:kern w:val="0"/>
          <w:sz w:val="21"/>
          <w:szCs w:val="21"/>
        </w:rPr>
        <w:t>7.6</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报告期内</w:t>
      </w:r>
      <w:r w:rsidR="00047DFF">
        <w:rPr>
          <w:rFonts w:ascii="Times New Roman" w:eastAsiaTheme="minorEastAsia" w:hAnsi="Times New Roman" w:hint="eastAsia"/>
          <w:kern w:val="0"/>
          <w:sz w:val="21"/>
          <w:szCs w:val="21"/>
        </w:rPr>
        <w:t>权益</w:t>
      </w:r>
      <w:r w:rsidRPr="00C24ACA">
        <w:rPr>
          <w:rFonts w:ascii="Times New Roman" w:eastAsiaTheme="minorEastAsia" w:hAnsi="Times New Roman"/>
          <w:kern w:val="0"/>
          <w:sz w:val="21"/>
          <w:szCs w:val="21"/>
        </w:rPr>
        <w:t>投资组合的重大变动</w:t>
      </w:r>
      <w:bookmarkEnd w:id="226"/>
      <w:bookmarkEnd w:id="227"/>
      <w:bookmarkEnd w:id="228"/>
      <w:bookmarkEnd w:id="229"/>
      <w:bookmarkEnd w:id="230"/>
      <w:bookmarkEnd w:id="231"/>
      <w:bookmarkEnd w:id="232"/>
      <w:bookmarkEnd w:id="233"/>
      <w:bookmarkEnd w:id="234"/>
    </w:p>
    <w:p w:rsidR="008A5A5D" w:rsidRPr="00C24ACA" w:rsidRDefault="008A5A5D" w:rsidP="006313B1">
      <w:pPr>
        <w:autoSpaceDE w:val="0"/>
        <w:autoSpaceDN w:val="0"/>
        <w:adjustRightInd w:val="0"/>
        <w:snapToGrid w:val="0"/>
        <w:spacing w:line="360" w:lineRule="auto"/>
        <w:jc w:val="left"/>
        <w:rPr>
          <w:rFonts w:eastAsiaTheme="minorEastAsia"/>
          <w:b/>
          <w:color w:val="000000"/>
          <w:kern w:val="0"/>
          <w:szCs w:val="21"/>
        </w:rPr>
      </w:pPr>
      <w:r w:rsidRPr="00C24ACA">
        <w:rPr>
          <w:rFonts w:eastAsiaTheme="minorEastAsia"/>
          <w:b/>
          <w:kern w:val="0"/>
          <w:szCs w:val="21"/>
        </w:rPr>
        <w:t>7.6.1</w:t>
      </w:r>
      <w:r w:rsidRPr="00C24ACA">
        <w:rPr>
          <w:rFonts w:eastAsiaTheme="minorEastAsia"/>
          <w:b/>
          <w:color w:val="000000"/>
          <w:kern w:val="0"/>
          <w:szCs w:val="21"/>
        </w:rPr>
        <w:t>累计买入金额超出</w:t>
      </w:r>
      <w:r w:rsidR="00243C23" w:rsidRPr="00C24ACA">
        <w:rPr>
          <w:rFonts w:eastAsiaTheme="minorEastAsia"/>
          <w:b/>
          <w:color w:val="000000"/>
          <w:kern w:val="0"/>
          <w:szCs w:val="21"/>
        </w:rPr>
        <w:t>期初</w:t>
      </w:r>
      <w:r w:rsidRPr="00C24ACA">
        <w:rPr>
          <w:rFonts w:eastAsiaTheme="minorEastAsia"/>
          <w:b/>
          <w:color w:val="000000"/>
          <w:kern w:val="0"/>
          <w:szCs w:val="21"/>
        </w:rPr>
        <w:t>基金资产净值</w:t>
      </w:r>
      <w:r w:rsidRPr="00C24ACA">
        <w:rPr>
          <w:rFonts w:eastAsiaTheme="minorEastAsia"/>
          <w:b/>
          <w:color w:val="000000"/>
          <w:kern w:val="0"/>
          <w:szCs w:val="21"/>
        </w:rPr>
        <w:t>2%</w:t>
      </w:r>
      <w:r w:rsidRPr="00C24ACA">
        <w:rPr>
          <w:rFonts w:eastAsiaTheme="minorEastAsia"/>
          <w:b/>
          <w:color w:val="000000"/>
          <w:kern w:val="0"/>
          <w:szCs w:val="21"/>
        </w:rPr>
        <w:t>或前</w:t>
      </w:r>
      <w:r w:rsidRPr="00C24ACA">
        <w:rPr>
          <w:rFonts w:eastAsiaTheme="minorEastAsia"/>
          <w:b/>
          <w:color w:val="000000"/>
          <w:kern w:val="0"/>
          <w:szCs w:val="21"/>
        </w:rPr>
        <w:t>20</w:t>
      </w:r>
      <w:r w:rsidRPr="00C24ACA">
        <w:rPr>
          <w:rFonts w:eastAsiaTheme="minorEastAsia"/>
          <w:b/>
          <w:color w:val="000000"/>
          <w:kern w:val="0"/>
          <w:szCs w:val="21"/>
        </w:rPr>
        <w:t>名的权益投资明细</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本基金本报告期内未进行权益投资交易。</w:t>
      </w:r>
    </w:p>
    <w:p w:rsidR="008A5A5D" w:rsidRPr="00C24ACA" w:rsidRDefault="008A5A5D" w:rsidP="006C64F3">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kern w:val="0"/>
          <w:szCs w:val="21"/>
        </w:rPr>
        <w:t>7.6.2</w:t>
      </w:r>
      <w:r w:rsidRPr="00C24ACA">
        <w:rPr>
          <w:rFonts w:eastAsiaTheme="minorEastAsia"/>
          <w:b/>
          <w:color w:val="000000"/>
          <w:kern w:val="0"/>
          <w:szCs w:val="21"/>
        </w:rPr>
        <w:t>累计卖出金额超出</w:t>
      </w:r>
      <w:r w:rsidR="00B7546A" w:rsidRPr="00C24ACA">
        <w:rPr>
          <w:rFonts w:eastAsiaTheme="minorEastAsia"/>
          <w:b/>
          <w:color w:val="000000"/>
          <w:kern w:val="0"/>
          <w:szCs w:val="21"/>
        </w:rPr>
        <w:t>期初</w:t>
      </w:r>
      <w:r w:rsidRPr="00C24ACA">
        <w:rPr>
          <w:rFonts w:eastAsiaTheme="minorEastAsia"/>
          <w:b/>
          <w:color w:val="000000"/>
          <w:kern w:val="0"/>
          <w:szCs w:val="21"/>
        </w:rPr>
        <w:t>基金资产净值</w:t>
      </w:r>
      <w:r w:rsidRPr="00C24ACA">
        <w:rPr>
          <w:rFonts w:eastAsiaTheme="minorEastAsia"/>
          <w:b/>
          <w:color w:val="000000"/>
          <w:kern w:val="0"/>
          <w:szCs w:val="21"/>
        </w:rPr>
        <w:t>2%</w:t>
      </w:r>
      <w:r w:rsidRPr="00C24ACA">
        <w:rPr>
          <w:rFonts w:eastAsiaTheme="minorEastAsia"/>
          <w:b/>
          <w:color w:val="000000"/>
          <w:kern w:val="0"/>
          <w:szCs w:val="21"/>
        </w:rPr>
        <w:t>或前</w:t>
      </w:r>
      <w:r w:rsidRPr="00C24ACA">
        <w:rPr>
          <w:rFonts w:eastAsiaTheme="minorEastAsia"/>
          <w:b/>
          <w:color w:val="000000"/>
          <w:kern w:val="0"/>
          <w:szCs w:val="21"/>
        </w:rPr>
        <w:t>20</w:t>
      </w:r>
      <w:r w:rsidRPr="00C24ACA">
        <w:rPr>
          <w:rFonts w:eastAsiaTheme="minorEastAsia"/>
          <w:b/>
          <w:color w:val="000000"/>
          <w:kern w:val="0"/>
          <w:szCs w:val="21"/>
        </w:rPr>
        <w:t>名的权益投资明细</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本基金本报告期内未进行权益投资交易。</w:t>
      </w:r>
    </w:p>
    <w:p w:rsidR="008A5A5D" w:rsidRPr="00C24ACA" w:rsidRDefault="008A5A5D" w:rsidP="006C64F3">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kern w:val="0"/>
          <w:szCs w:val="21"/>
        </w:rPr>
        <w:t>7.6.3</w:t>
      </w:r>
      <w:r w:rsidRPr="00C24ACA">
        <w:rPr>
          <w:rFonts w:eastAsiaTheme="minorEastAsia"/>
          <w:b/>
          <w:color w:val="000000"/>
          <w:kern w:val="0"/>
          <w:szCs w:val="21"/>
        </w:rPr>
        <w:t>权益投资的买入成本总额及卖出收入总额</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本基金本报告期内未进行权益投资交易。</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35" w:name="_Toc224618381"/>
      <w:bookmarkStart w:id="236" w:name="_Toc248233028"/>
      <w:bookmarkStart w:id="237" w:name="_Toc249790560"/>
      <w:bookmarkStart w:id="238" w:name="_Toc286929761"/>
      <w:bookmarkStart w:id="239" w:name="_Toc352256000"/>
      <w:bookmarkStart w:id="240" w:name="_Toc352256068"/>
      <w:bookmarkStart w:id="241" w:name="_Toc352331246"/>
      <w:bookmarkStart w:id="242" w:name="_Toc390164828"/>
      <w:bookmarkStart w:id="243" w:name="_Toc48662502"/>
      <w:r w:rsidRPr="0087359D">
        <w:rPr>
          <w:rFonts w:ascii="宋体" w:hAnsi="宋体"/>
          <w:kern w:val="0"/>
          <w:sz w:val="21"/>
          <w:szCs w:val="21"/>
        </w:rPr>
        <w:t>7.7</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期末按债券信用等级分类的债券投资组合</w:t>
      </w:r>
      <w:bookmarkEnd w:id="235"/>
      <w:bookmarkEnd w:id="236"/>
      <w:bookmarkEnd w:id="237"/>
      <w:bookmarkEnd w:id="238"/>
      <w:bookmarkEnd w:id="239"/>
      <w:bookmarkEnd w:id="240"/>
      <w:bookmarkEnd w:id="241"/>
      <w:bookmarkEnd w:id="242"/>
      <w:bookmarkEnd w:id="243"/>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本基金本报告期末未持有债券。</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44" w:name="_Toc224618382"/>
      <w:bookmarkStart w:id="245" w:name="_Toc248233029"/>
      <w:bookmarkStart w:id="246" w:name="_Toc249790561"/>
      <w:bookmarkStart w:id="247" w:name="_Toc286929762"/>
      <w:bookmarkStart w:id="248" w:name="_Toc352256001"/>
      <w:bookmarkStart w:id="249" w:name="_Toc352256069"/>
      <w:bookmarkStart w:id="250" w:name="_Toc352331247"/>
      <w:bookmarkStart w:id="251" w:name="_Toc390164829"/>
      <w:bookmarkStart w:id="252" w:name="_Toc48662503"/>
      <w:r w:rsidRPr="0087359D">
        <w:rPr>
          <w:rFonts w:ascii="宋体" w:hAnsi="宋体"/>
          <w:kern w:val="0"/>
          <w:sz w:val="21"/>
          <w:szCs w:val="21"/>
        </w:rPr>
        <w:t>7.8</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期末按公允价值占基金资产净值比例大小排名的前五名债券投资明细</w:t>
      </w:r>
      <w:bookmarkEnd w:id="244"/>
      <w:bookmarkEnd w:id="245"/>
      <w:bookmarkEnd w:id="246"/>
      <w:bookmarkEnd w:id="247"/>
      <w:bookmarkEnd w:id="248"/>
      <w:bookmarkEnd w:id="249"/>
      <w:bookmarkEnd w:id="250"/>
      <w:bookmarkEnd w:id="251"/>
      <w:bookmarkEnd w:id="252"/>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本基金本报告期末未持有债券。</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53" w:name="_Toc224618383"/>
      <w:bookmarkStart w:id="254" w:name="_Toc248233030"/>
      <w:bookmarkStart w:id="255" w:name="_Toc249790562"/>
      <w:bookmarkStart w:id="256" w:name="_Toc286929763"/>
      <w:bookmarkStart w:id="257" w:name="_Toc352256002"/>
      <w:bookmarkStart w:id="258" w:name="_Toc352256070"/>
      <w:bookmarkStart w:id="259" w:name="_Toc352331248"/>
      <w:bookmarkStart w:id="260" w:name="_Toc390164830"/>
      <w:bookmarkStart w:id="261" w:name="_Toc48662504"/>
      <w:r w:rsidRPr="0087359D">
        <w:rPr>
          <w:rFonts w:ascii="宋体" w:hAnsi="宋体"/>
          <w:kern w:val="0"/>
          <w:sz w:val="21"/>
          <w:szCs w:val="21"/>
        </w:rPr>
        <w:t>7.9</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期末按公允价值占基金资产净值比例大小排名的所有资产支持证券投资明细</w:t>
      </w:r>
      <w:bookmarkEnd w:id="253"/>
      <w:bookmarkEnd w:id="254"/>
      <w:bookmarkEnd w:id="255"/>
      <w:bookmarkEnd w:id="256"/>
      <w:bookmarkEnd w:id="257"/>
      <w:bookmarkEnd w:id="258"/>
      <w:bookmarkEnd w:id="259"/>
      <w:bookmarkEnd w:id="260"/>
      <w:bookmarkEnd w:id="261"/>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本基金本报告期末未持有资产支持证券。</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62" w:name="_Toc224618384"/>
      <w:bookmarkStart w:id="263" w:name="_Toc248233031"/>
      <w:bookmarkStart w:id="264" w:name="_Toc249790563"/>
      <w:bookmarkStart w:id="265" w:name="_Toc286929764"/>
      <w:bookmarkStart w:id="266" w:name="_Toc352256003"/>
      <w:bookmarkStart w:id="267" w:name="_Toc352256071"/>
      <w:bookmarkStart w:id="268" w:name="_Toc352331249"/>
      <w:bookmarkStart w:id="269" w:name="_Toc390164831"/>
      <w:bookmarkStart w:id="270" w:name="_Toc48662505"/>
      <w:r w:rsidRPr="0087359D">
        <w:rPr>
          <w:rFonts w:ascii="宋体" w:hAnsi="宋体"/>
          <w:kern w:val="0"/>
          <w:sz w:val="21"/>
          <w:szCs w:val="21"/>
        </w:rPr>
        <w:t>7.10</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期末按公允价值占基金资产净值比例大小排名的前五名金融衍生品投资明细</w:t>
      </w:r>
      <w:bookmarkEnd w:id="262"/>
      <w:bookmarkEnd w:id="263"/>
      <w:bookmarkEnd w:id="264"/>
      <w:bookmarkEnd w:id="265"/>
      <w:bookmarkEnd w:id="266"/>
      <w:bookmarkEnd w:id="267"/>
      <w:bookmarkEnd w:id="268"/>
      <w:bookmarkEnd w:id="269"/>
      <w:bookmarkEnd w:id="270"/>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本基金本报告期末未持有金融衍生品。</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71" w:name="_Toc248233032"/>
      <w:bookmarkStart w:id="272" w:name="_Toc249790564"/>
      <w:bookmarkStart w:id="273" w:name="_Toc286929765"/>
      <w:bookmarkStart w:id="274" w:name="_Toc352256004"/>
      <w:bookmarkStart w:id="275" w:name="_Toc352256072"/>
      <w:bookmarkStart w:id="276" w:name="_Toc352331250"/>
      <w:bookmarkStart w:id="277" w:name="_Toc390164832"/>
      <w:bookmarkStart w:id="278" w:name="_Toc48662506"/>
      <w:r w:rsidRPr="0087359D">
        <w:rPr>
          <w:rFonts w:ascii="宋体" w:hAnsi="宋体"/>
          <w:kern w:val="0"/>
          <w:sz w:val="21"/>
          <w:szCs w:val="21"/>
        </w:rPr>
        <w:t>7.11</w:t>
      </w:r>
      <w:bookmarkStart w:id="279" w:name="_Toc224618385"/>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期末按公允价值占基金资产净值比例大小排序的前十名基金投资明细</w:t>
      </w:r>
      <w:bookmarkEnd w:id="271"/>
      <w:bookmarkEnd w:id="272"/>
      <w:bookmarkEnd w:id="273"/>
      <w:bookmarkEnd w:id="274"/>
      <w:bookmarkEnd w:id="275"/>
      <w:bookmarkEnd w:id="276"/>
      <w:bookmarkEnd w:id="277"/>
      <w:bookmarkEnd w:id="279"/>
      <w:bookmarkEnd w:id="278"/>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9"/>
        <w:gridCol w:w="1214"/>
        <w:gridCol w:w="1250"/>
        <w:gridCol w:w="870"/>
        <w:gridCol w:w="1428"/>
        <w:gridCol w:w="1963"/>
        <w:gridCol w:w="1702"/>
      </w:tblGrid>
      <w:tr w:rsidR="008A5A5D" w:rsidRPr="00C24ACA" w:rsidTr="00206018">
        <w:trPr>
          <w:jc w:val="center"/>
        </w:trPr>
        <w:tc>
          <w:tcPr>
            <w:tcW w:w="929"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序号</w:t>
            </w:r>
          </w:p>
        </w:tc>
        <w:tc>
          <w:tcPr>
            <w:tcW w:w="1214"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基金</w:t>
            </w:r>
          </w:p>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名称</w:t>
            </w:r>
          </w:p>
        </w:tc>
        <w:tc>
          <w:tcPr>
            <w:tcW w:w="1250"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基金</w:t>
            </w:r>
          </w:p>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类型</w:t>
            </w:r>
          </w:p>
        </w:tc>
        <w:tc>
          <w:tcPr>
            <w:tcW w:w="870"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运作</w:t>
            </w:r>
          </w:p>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方式</w:t>
            </w:r>
          </w:p>
        </w:tc>
        <w:tc>
          <w:tcPr>
            <w:tcW w:w="1428"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管理人</w:t>
            </w:r>
          </w:p>
        </w:tc>
        <w:tc>
          <w:tcPr>
            <w:tcW w:w="1963"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公允价值</w:t>
            </w:r>
          </w:p>
        </w:tc>
        <w:tc>
          <w:tcPr>
            <w:tcW w:w="1702"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占基金资产净值比例</w:t>
            </w:r>
            <w:r w:rsidRPr="00C24ACA">
              <w:rPr>
                <w:rFonts w:eastAsiaTheme="minorEastAsia"/>
                <w:color w:val="000000"/>
                <w:szCs w:val="21"/>
              </w:rPr>
              <w:t>(%)</w:t>
            </w:r>
          </w:p>
        </w:tc>
      </w:tr>
      <w:tr w:rsidR="00871824">
        <w:trPr>
          <w:jc w:val="center"/>
        </w:trPr>
        <w:tc>
          <w:tcPr>
            <w:tcW w:w="929" w:type="dxa"/>
            <w:vAlign w:val="center"/>
          </w:tcPr>
          <w:p w:rsidR="00871824" w:rsidRDefault="00672BD5">
            <w:pPr>
              <w:jc w:val="center"/>
            </w:pPr>
            <w:r>
              <w:rPr>
                <w:rFonts w:eastAsiaTheme="minorEastAsia"/>
                <w:color w:val="000000"/>
                <w:szCs w:val="21"/>
              </w:rPr>
              <w:t>1</w:t>
            </w:r>
          </w:p>
        </w:tc>
        <w:tc>
          <w:tcPr>
            <w:tcW w:w="1214" w:type="dxa"/>
            <w:vAlign w:val="center"/>
          </w:tcPr>
          <w:p w:rsidR="00871824" w:rsidRDefault="00672BD5">
            <w:pPr>
              <w:jc w:val="center"/>
            </w:pPr>
            <w:r>
              <w:rPr>
                <w:rFonts w:eastAsiaTheme="minorEastAsia"/>
                <w:color w:val="000000"/>
                <w:szCs w:val="21"/>
              </w:rPr>
              <w:t>易方达恒生中国企业交易型开放式指数证券投资基金</w:t>
            </w:r>
          </w:p>
        </w:tc>
        <w:tc>
          <w:tcPr>
            <w:tcW w:w="1250" w:type="dxa"/>
            <w:vAlign w:val="center"/>
          </w:tcPr>
          <w:p w:rsidR="00871824" w:rsidRDefault="00672BD5">
            <w:pPr>
              <w:jc w:val="center"/>
            </w:pPr>
            <w:r>
              <w:rPr>
                <w:rFonts w:eastAsiaTheme="minorEastAsia"/>
                <w:color w:val="000000"/>
                <w:szCs w:val="21"/>
              </w:rPr>
              <w:t>股票型</w:t>
            </w:r>
          </w:p>
        </w:tc>
        <w:tc>
          <w:tcPr>
            <w:tcW w:w="870" w:type="dxa"/>
            <w:vAlign w:val="center"/>
          </w:tcPr>
          <w:p w:rsidR="00871824" w:rsidRDefault="00672BD5">
            <w:pPr>
              <w:jc w:val="center"/>
            </w:pPr>
            <w:r>
              <w:rPr>
                <w:rFonts w:eastAsiaTheme="minorEastAsia"/>
                <w:color w:val="000000"/>
                <w:szCs w:val="21"/>
              </w:rPr>
              <w:t>交易型开放式（</w:t>
            </w:r>
            <w:r>
              <w:rPr>
                <w:rFonts w:eastAsiaTheme="minorEastAsia"/>
                <w:color w:val="000000"/>
                <w:szCs w:val="21"/>
              </w:rPr>
              <w:t>ETF</w:t>
            </w:r>
            <w:r>
              <w:rPr>
                <w:rFonts w:eastAsiaTheme="minorEastAsia"/>
                <w:color w:val="000000"/>
                <w:szCs w:val="21"/>
              </w:rPr>
              <w:t>）</w:t>
            </w:r>
          </w:p>
        </w:tc>
        <w:tc>
          <w:tcPr>
            <w:tcW w:w="1428" w:type="dxa"/>
            <w:vAlign w:val="center"/>
          </w:tcPr>
          <w:p w:rsidR="00871824" w:rsidRDefault="00672BD5">
            <w:pPr>
              <w:jc w:val="center"/>
            </w:pPr>
            <w:r>
              <w:rPr>
                <w:rFonts w:eastAsiaTheme="minorEastAsia"/>
                <w:color w:val="000000"/>
                <w:szCs w:val="21"/>
              </w:rPr>
              <w:t>易方达基金管理有限公司</w:t>
            </w:r>
          </w:p>
        </w:tc>
        <w:tc>
          <w:tcPr>
            <w:tcW w:w="1963" w:type="dxa"/>
            <w:vAlign w:val="center"/>
          </w:tcPr>
          <w:p w:rsidR="00871824" w:rsidRDefault="00672BD5">
            <w:pPr>
              <w:jc w:val="right"/>
            </w:pPr>
            <w:r>
              <w:rPr>
                <w:rFonts w:eastAsiaTheme="minorEastAsia"/>
                <w:color w:val="000000"/>
                <w:szCs w:val="21"/>
              </w:rPr>
              <w:t>1,615,478,556.46</w:t>
            </w:r>
          </w:p>
        </w:tc>
        <w:tc>
          <w:tcPr>
            <w:tcW w:w="1702" w:type="dxa"/>
            <w:vAlign w:val="center"/>
          </w:tcPr>
          <w:p w:rsidR="00871824" w:rsidRDefault="00672BD5">
            <w:pPr>
              <w:jc w:val="right"/>
            </w:pPr>
            <w:r>
              <w:rPr>
                <w:rFonts w:eastAsiaTheme="minorEastAsia"/>
                <w:color w:val="000000"/>
                <w:szCs w:val="21"/>
              </w:rPr>
              <w:t>94.12</w:t>
            </w:r>
          </w:p>
        </w:tc>
      </w:tr>
    </w:tbl>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80" w:name="_Toc224618386"/>
      <w:bookmarkStart w:id="281" w:name="_Toc248233033"/>
      <w:bookmarkStart w:id="282" w:name="_Toc249790565"/>
      <w:bookmarkStart w:id="283" w:name="_Toc286929766"/>
      <w:bookmarkStart w:id="284" w:name="_Toc352256005"/>
      <w:bookmarkStart w:id="285" w:name="_Toc352256073"/>
      <w:bookmarkStart w:id="286" w:name="_Toc352331251"/>
      <w:bookmarkStart w:id="287" w:name="_Toc390164833"/>
      <w:bookmarkStart w:id="288" w:name="_Toc48662507"/>
      <w:r w:rsidRPr="0087359D">
        <w:rPr>
          <w:rFonts w:ascii="宋体" w:hAnsi="宋体"/>
          <w:kern w:val="0"/>
          <w:sz w:val="21"/>
          <w:szCs w:val="21"/>
        </w:rPr>
        <w:t>7.12</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投资组合报告附注</w:t>
      </w:r>
      <w:bookmarkEnd w:id="280"/>
      <w:bookmarkEnd w:id="281"/>
      <w:bookmarkEnd w:id="282"/>
      <w:bookmarkEnd w:id="283"/>
      <w:bookmarkEnd w:id="284"/>
      <w:bookmarkEnd w:id="285"/>
      <w:bookmarkEnd w:id="286"/>
      <w:bookmarkEnd w:id="287"/>
      <w:bookmarkEnd w:id="288"/>
    </w:p>
    <w:p w:rsidR="008A5A5D" w:rsidRPr="00C24ACA" w:rsidRDefault="008A5A5D" w:rsidP="006313B1">
      <w:pPr>
        <w:spacing w:line="360" w:lineRule="auto"/>
        <w:rPr>
          <w:rFonts w:eastAsiaTheme="minorEastAsia"/>
          <w:kern w:val="0"/>
          <w:szCs w:val="21"/>
        </w:rPr>
      </w:pPr>
      <w:r w:rsidRPr="00C24ACA">
        <w:rPr>
          <w:rFonts w:eastAsiaTheme="minorEastAsia"/>
          <w:b/>
          <w:color w:val="000000"/>
          <w:szCs w:val="21"/>
        </w:rPr>
        <w:t>7.12.1</w:t>
      </w:r>
      <w:r w:rsidR="00ED31E5" w:rsidRPr="00C24ACA">
        <w:rPr>
          <w:rFonts w:eastAsiaTheme="minorEastAsia"/>
          <w:kern w:val="0"/>
          <w:szCs w:val="21"/>
        </w:rPr>
        <w:t xml:space="preserve"> </w:t>
      </w:r>
      <w:r w:rsidRPr="00C24ACA">
        <w:rPr>
          <w:rFonts w:eastAsiaTheme="minorEastAsia"/>
          <w:kern w:val="0"/>
          <w:szCs w:val="21"/>
        </w:rPr>
        <w:t>2019</w:t>
      </w:r>
      <w:r w:rsidRPr="00C24ACA">
        <w:rPr>
          <w:rFonts w:eastAsiaTheme="minorEastAsia"/>
          <w:kern w:val="0"/>
          <w:szCs w:val="21"/>
        </w:rPr>
        <w:t>年</w:t>
      </w:r>
      <w:r w:rsidRPr="00C24ACA">
        <w:rPr>
          <w:rFonts w:eastAsiaTheme="minorEastAsia"/>
          <w:kern w:val="0"/>
          <w:szCs w:val="21"/>
        </w:rPr>
        <w:t>7</w:t>
      </w:r>
      <w:r w:rsidRPr="00C24ACA">
        <w:rPr>
          <w:rFonts w:eastAsiaTheme="minorEastAsia"/>
          <w:kern w:val="0"/>
          <w:szCs w:val="21"/>
        </w:rPr>
        <w:t>月</w:t>
      </w:r>
      <w:r w:rsidRPr="00C24ACA">
        <w:rPr>
          <w:rFonts w:eastAsiaTheme="minorEastAsia"/>
          <w:kern w:val="0"/>
          <w:szCs w:val="21"/>
        </w:rPr>
        <w:t>8</w:t>
      </w:r>
      <w:r w:rsidRPr="00C24ACA">
        <w:rPr>
          <w:rFonts w:eastAsiaTheme="minorEastAsia"/>
          <w:kern w:val="0"/>
          <w:szCs w:val="21"/>
        </w:rPr>
        <w:t>日，中国银行保险监督管理委员会上海监管局对招商银行股份有限公司信用卡中心</w:t>
      </w:r>
      <w:r w:rsidRPr="00C24ACA">
        <w:rPr>
          <w:rFonts w:eastAsiaTheme="minorEastAsia"/>
          <w:kern w:val="0"/>
          <w:szCs w:val="21"/>
        </w:rPr>
        <w:t>2016</w:t>
      </w:r>
      <w:r w:rsidRPr="00C24ACA">
        <w:rPr>
          <w:rFonts w:eastAsiaTheme="minorEastAsia"/>
          <w:kern w:val="0"/>
          <w:szCs w:val="21"/>
        </w:rPr>
        <w:t>年</w:t>
      </w:r>
      <w:r w:rsidRPr="00C24ACA">
        <w:rPr>
          <w:rFonts w:eastAsiaTheme="minorEastAsia"/>
          <w:kern w:val="0"/>
          <w:szCs w:val="21"/>
        </w:rPr>
        <w:t>9</w:t>
      </w:r>
      <w:r w:rsidRPr="00C24ACA">
        <w:rPr>
          <w:rFonts w:eastAsiaTheme="minorEastAsia"/>
          <w:kern w:val="0"/>
          <w:szCs w:val="21"/>
        </w:rPr>
        <w:t>月至</w:t>
      </w:r>
      <w:r w:rsidRPr="00C24ACA">
        <w:rPr>
          <w:rFonts w:eastAsiaTheme="minorEastAsia"/>
          <w:kern w:val="0"/>
          <w:szCs w:val="21"/>
        </w:rPr>
        <w:t>2018</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月在为部分客户办理信用卡业务时，未遵守总授信额度管理制度的违法违规事实，责令改正，并处罚款</w:t>
      </w:r>
      <w:r w:rsidRPr="00C24ACA">
        <w:rPr>
          <w:rFonts w:eastAsiaTheme="minorEastAsia"/>
          <w:kern w:val="0"/>
          <w:szCs w:val="21"/>
        </w:rPr>
        <w:t>20</w:t>
      </w:r>
      <w:r w:rsidRPr="00C24ACA">
        <w:rPr>
          <w:rFonts w:eastAsiaTheme="minorEastAsia"/>
          <w:kern w:val="0"/>
          <w:szCs w:val="21"/>
        </w:rPr>
        <w:t>万元。</w:t>
      </w:r>
    </w:p>
    <w:p w:rsidR="00871824" w:rsidRDefault="00672BD5">
      <w:pPr>
        <w:spacing w:line="360" w:lineRule="auto"/>
        <w:rPr>
          <w:rFonts w:eastAsiaTheme="minorEastAsia"/>
          <w:kern w:val="0"/>
          <w:szCs w:val="21"/>
        </w:rPr>
      </w:pPr>
      <w:r>
        <w:rPr>
          <w:rFonts w:eastAsiaTheme="minorEastAsia"/>
          <w:kern w:val="0"/>
          <w:szCs w:val="21"/>
        </w:rPr>
        <w:t>2019</w:t>
      </w:r>
      <w:r>
        <w:rPr>
          <w:rFonts w:eastAsiaTheme="minorEastAsia"/>
          <w:kern w:val="0"/>
          <w:szCs w:val="21"/>
        </w:rPr>
        <w:t>年</w:t>
      </w:r>
      <w:r>
        <w:rPr>
          <w:rFonts w:eastAsiaTheme="minorEastAsia"/>
          <w:kern w:val="0"/>
          <w:szCs w:val="21"/>
        </w:rPr>
        <w:t>7</w:t>
      </w:r>
      <w:r>
        <w:rPr>
          <w:rFonts w:eastAsiaTheme="minorEastAsia"/>
          <w:kern w:val="0"/>
          <w:szCs w:val="21"/>
        </w:rPr>
        <w:t>月</w:t>
      </w:r>
      <w:r>
        <w:rPr>
          <w:rFonts w:eastAsiaTheme="minorEastAsia"/>
          <w:kern w:val="0"/>
          <w:szCs w:val="21"/>
        </w:rPr>
        <w:t>8</w:t>
      </w:r>
      <w:r>
        <w:rPr>
          <w:rFonts w:eastAsiaTheme="minorEastAsia"/>
          <w:kern w:val="0"/>
          <w:szCs w:val="21"/>
        </w:rPr>
        <w:t>日，中国银行保险监督管理委员会上海监管局针对中国建设银行股份有限公司信用卡中心的如下违法违规行为作出</w:t>
      </w:r>
      <w:r>
        <w:rPr>
          <w:rFonts w:eastAsiaTheme="minorEastAsia"/>
          <w:kern w:val="0"/>
          <w:szCs w:val="21"/>
        </w:rPr>
        <w:t>“</w:t>
      </w:r>
      <w:r>
        <w:rPr>
          <w:rFonts w:eastAsiaTheme="minorEastAsia"/>
          <w:kern w:val="0"/>
          <w:szCs w:val="21"/>
        </w:rPr>
        <w:t>责令改正，并处罚款</w:t>
      </w:r>
      <w:r>
        <w:rPr>
          <w:rFonts w:eastAsiaTheme="minorEastAsia"/>
          <w:kern w:val="0"/>
          <w:szCs w:val="21"/>
        </w:rPr>
        <w:t>30</w:t>
      </w:r>
      <w:r>
        <w:rPr>
          <w:rFonts w:eastAsiaTheme="minorEastAsia"/>
          <w:kern w:val="0"/>
          <w:szCs w:val="21"/>
        </w:rPr>
        <w:t>万元</w:t>
      </w:r>
      <w:r>
        <w:rPr>
          <w:rFonts w:eastAsiaTheme="minorEastAsia"/>
          <w:kern w:val="0"/>
          <w:szCs w:val="21"/>
        </w:rPr>
        <w:t>”</w:t>
      </w:r>
      <w:r>
        <w:rPr>
          <w:rFonts w:eastAsiaTheme="minorEastAsia"/>
          <w:kern w:val="0"/>
          <w:szCs w:val="21"/>
        </w:rPr>
        <w:t>的行政处罚决定：</w:t>
      </w:r>
      <w:r>
        <w:rPr>
          <w:rFonts w:eastAsiaTheme="minorEastAsia"/>
          <w:kern w:val="0"/>
          <w:szCs w:val="21"/>
        </w:rPr>
        <w:t>1</w:t>
      </w:r>
      <w:r>
        <w:rPr>
          <w:rFonts w:eastAsiaTheme="minorEastAsia"/>
          <w:kern w:val="0"/>
          <w:szCs w:val="21"/>
        </w:rPr>
        <w:t>、</w:t>
      </w:r>
      <w:r>
        <w:rPr>
          <w:rFonts w:eastAsiaTheme="minorEastAsia"/>
          <w:kern w:val="0"/>
          <w:szCs w:val="21"/>
        </w:rPr>
        <w:t>2017</w:t>
      </w:r>
      <w:r>
        <w:rPr>
          <w:rFonts w:eastAsiaTheme="minorEastAsia"/>
          <w:kern w:val="0"/>
          <w:szCs w:val="21"/>
        </w:rPr>
        <w:t>年</w:t>
      </w:r>
      <w:r>
        <w:rPr>
          <w:rFonts w:eastAsiaTheme="minorEastAsia"/>
          <w:kern w:val="0"/>
          <w:szCs w:val="21"/>
        </w:rPr>
        <w:t>5</w:t>
      </w:r>
      <w:r>
        <w:rPr>
          <w:rFonts w:eastAsiaTheme="minorEastAsia"/>
          <w:kern w:val="0"/>
          <w:szCs w:val="21"/>
        </w:rPr>
        <w:t>月在为部分客户办理信用卡业务时，未遵守总授信额度管理制度；</w:t>
      </w:r>
      <w:r>
        <w:rPr>
          <w:rFonts w:eastAsiaTheme="minorEastAsia"/>
          <w:kern w:val="0"/>
          <w:szCs w:val="21"/>
        </w:rPr>
        <w:t>2</w:t>
      </w:r>
      <w:r>
        <w:rPr>
          <w:rFonts w:eastAsiaTheme="minorEastAsia"/>
          <w:kern w:val="0"/>
          <w:szCs w:val="21"/>
        </w:rPr>
        <w:t>、</w:t>
      </w:r>
      <w:r>
        <w:rPr>
          <w:rFonts w:eastAsiaTheme="minorEastAsia"/>
          <w:kern w:val="0"/>
          <w:szCs w:val="21"/>
        </w:rPr>
        <w:t>2017</w:t>
      </w:r>
      <w:r>
        <w:rPr>
          <w:rFonts w:eastAsiaTheme="minorEastAsia"/>
          <w:kern w:val="0"/>
          <w:szCs w:val="21"/>
        </w:rPr>
        <w:t>年</w:t>
      </w:r>
      <w:r>
        <w:rPr>
          <w:rFonts w:eastAsiaTheme="minorEastAsia"/>
          <w:kern w:val="0"/>
          <w:szCs w:val="21"/>
        </w:rPr>
        <w:t>9</w:t>
      </w:r>
      <w:r>
        <w:rPr>
          <w:rFonts w:eastAsiaTheme="minorEastAsia"/>
          <w:kern w:val="0"/>
          <w:szCs w:val="21"/>
        </w:rPr>
        <w:t>月、</w:t>
      </w:r>
      <w:r>
        <w:rPr>
          <w:rFonts w:eastAsiaTheme="minorEastAsia"/>
          <w:kern w:val="0"/>
          <w:szCs w:val="21"/>
        </w:rPr>
        <w:t>10</w:t>
      </w:r>
      <w:r>
        <w:rPr>
          <w:rFonts w:eastAsiaTheme="minorEastAsia"/>
          <w:kern w:val="0"/>
          <w:szCs w:val="21"/>
        </w:rPr>
        <w:t>月对部分信用卡申请人资信水平调查严重不尽职。</w:t>
      </w:r>
    </w:p>
    <w:p w:rsidR="00871824" w:rsidRDefault="00672BD5">
      <w:pPr>
        <w:spacing w:line="360" w:lineRule="auto"/>
        <w:rPr>
          <w:rFonts w:eastAsiaTheme="minorEastAsia"/>
          <w:kern w:val="0"/>
          <w:szCs w:val="21"/>
        </w:rPr>
      </w:pPr>
      <w:r>
        <w:rPr>
          <w:rFonts w:eastAsiaTheme="minorEastAsia"/>
          <w:kern w:val="0"/>
          <w:szCs w:val="21"/>
        </w:rPr>
        <w:t>2019</w:t>
      </w:r>
      <w:r>
        <w:rPr>
          <w:rFonts w:eastAsiaTheme="minorEastAsia"/>
          <w:kern w:val="0"/>
          <w:szCs w:val="21"/>
        </w:rPr>
        <w:t>年</w:t>
      </w:r>
      <w:r>
        <w:rPr>
          <w:rFonts w:eastAsiaTheme="minorEastAsia"/>
          <w:kern w:val="0"/>
          <w:szCs w:val="21"/>
        </w:rPr>
        <w:t>12</w:t>
      </w:r>
      <w:r>
        <w:rPr>
          <w:rFonts w:eastAsiaTheme="minorEastAsia"/>
          <w:kern w:val="0"/>
          <w:szCs w:val="21"/>
        </w:rPr>
        <w:t>月</w:t>
      </w:r>
      <w:r>
        <w:rPr>
          <w:rFonts w:eastAsiaTheme="minorEastAsia"/>
          <w:kern w:val="0"/>
          <w:szCs w:val="21"/>
        </w:rPr>
        <w:t>27</w:t>
      </w:r>
      <w:r>
        <w:rPr>
          <w:rFonts w:eastAsiaTheme="minorEastAsia"/>
          <w:kern w:val="0"/>
          <w:szCs w:val="21"/>
        </w:rPr>
        <w:t>日，中国银行保险监督管理委员会对中国建设银行股份有限公司的如下违法违规行为作出</w:t>
      </w:r>
      <w:r>
        <w:rPr>
          <w:rFonts w:eastAsiaTheme="minorEastAsia"/>
          <w:kern w:val="0"/>
          <w:szCs w:val="21"/>
        </w:rPr>
        <w:t>“</w:t>
      </w:r>
      <w:r>
        <w:rPr>
          <w:rFonts w:eastAsiaTheme="minorEastAsia"/>
          <w:kern w:val="0"/>
          <w:szCs w:val="21"/>
        </w:rPr>
        <w:t>罚款</w:t>
      </w:r>
      <w:r>
        <w:rPr>
          <w:rFonts w:eastAsiaTheme="minorEastAsia"/>
          <w:kern w:val="0"/>
          <w:szCs w:val="21"/>
        </w:rPr>
        <w:t>80</w:t>
      </w:r>
      <w:r>
        <w:rPr>
          <w:rFonts w:eastAsiaTheme="minorEastAsia"/>
          <w:kern w:val="0"/>
          <w:szCs w:val="21"/>
        </w:rPr>
        <w:t>万元</w:t>
      </w:r>
      <w:r>
        <w:rPr>
          <w:rFonts w:eastAsiaTheme="minorEastAsia"/>
          <w:kern w:val="0"/>
          <w:szCs w:val="21"/>
        </w:rPr>
        <w:t>”</w:t>
      </w:r>
      <w:r>
        <w:rPr>
          <w:rFonts w:eastAsiaTheme="minorEastAsia"/>
          <w:kern w:val="0"/>
          <w:szCs w:val="21"/>
        </w:rPr>
        <w:t>的行政处罚决定：</w:t>
      </w:r>
      <w:r>
        <w:rPr>
          <w:rFonts w:eastAsiaTheme="minorEastAsia"/>
          <w:kern w:val="0"/>
          <w:szCs w:val="21"/>
        </w:rPr>
        <w:t>1</w:t>
      </w:r>
      <w:r>
        <w:rPr>
          <w:rFonts w:eastAsiaTheme="minorEastAsia"/>
          <w:kern w:val="0"/>
          <w:szCs w:val="21"/>
        </w:rPr>
        <w:t>、用于风险缓释的保证金管理存在漏洞；</w:t>
      </w:r>
      <w:r>
        <w:rPr>
          <w:rFonts w:eastAsiaTheme="minorEastAsia"/>
          <w:kern w:val="0"/>
          <w:szCs w:val="21"/>
        </w:rPr>
        <w:t>2</w:t>
      </w:r>
      <w:r>
        <w:rPr>
          <w:rFonts w:eastAsiaTheme="minorEastAsia"/>
          <w:kern w:val="0"/>
          <w:szCs w:val="21"/>
        </w:rPr>
        <w:t>、国别风险管理不完善。</w:t>
      </w:r>
    </w:p>
    <w:p w:rsidR="00871824" w:rsidRDefault="00672BD5">
      <w:pPr>
        <w:spacing w:line="360" w:lineRule="auto"/>
        <w:rPr>
          <w:rFonts w:eastAsiaTheme="minorEastAsia"/>
          <w:kern w:val="0"/>
          <w:szCs w:val="21"/>
        </w:rPr>
      </w:pPr>
      <w:r>
        <w:rPr>
          <w:rFonts w:eastAsiaTheme="minorEastAsia"/>
          <w:kern w:val="0"/>
          <w:szCs w:val="21"/>
        </w:rPr>
        <w:t>2020</w:t>
      </w:r>
      <w:r>
        <w:rPr>
          <w:rFonts w:eastAsiaTheme="minorEastAsia"/>
          <w:kern w:val="0"/>
          <w:szCs w:val="21"/>
        </w:rPr>
        <w:t>年</w:t>
      </w:r>
      <w:r>
        <w:rPr>
          <w:rFonts w:eastAsiaTheme="minorEastAsia"/>
          <w:kern w:val="0"/>
          <w:szCs w:val="21"/>
        </w:rPr>
        <w:t>4</w:t>
      </w:r>
      <w:r>
        <w:rPr>
          <w:rFonts w:eastAsiaTheme="minorEastAsia"/>
          <w:kern w:val="0"/>
          <w:szCs w:val="21"/>
        </w:rPr>
        <w:t>月</w:t>
      </w:r>
      <w:r>
        <w:rPr>
          <w:rFonts w:eastAsiaTheme="minorEastAsia"/>
          <w:kern w:val="0"/>
          <w:szCs w:val="21"/>
        </w:rPr>
        <w:t>20</w:t>
      </w:r>
      <w:r>
        <w:rPr>
          <w:rFonts w:eastAsiaTheme="minorEastAsia"/>
          <w:kern w:val="0"/>
          <w:szCs w:val="21"/>
        </w:rPr>
        <w:t>日，中国银行保险监督管理委员会针对中国建设银行股份有限公司监管标准化数据（</w:t>
      </w:r>
      <w:r>
        <w:rPr>
          <w:rFonts w:eastAsiaTheme="minorEastAsia"/>
          <w:kern w:val="0"/>
          <w:szCs w:val="21"/>
        </w:rPr>
        <w:t>EAST</w:t>
      </w:r>
      <w:r>
        <w:rPr>
          <w:rFonts w:eastAsiaTheme="minorEastAsia"/>
          <w:kern w:val="0"/>
          <w:szCs w:val="21"/>
        </w:rPr>
        <w:t>）系统数据质量及数据报送存在以下违法违规行为：</w:t>
      </w:r>
      <w:r>
        <w:rPr>
          <w:rFonts w:eastAsiaTheme="minorEastAsia"/>
          <w:kern w:val="0"/>
          <w:szCs w:val="21"/>
        </w:rPr>
        <w:t>1</w:t>
      </w:r>
      <w:r>
        <w:rPr>
          <w:rFonts w:eastAsiaTheme="minorEastAsia"/>
          <w:kern w:val="0"/>
          <w:szCs w:val="21"/>
        </w:rPr>
        <w:t>、资金交易信息漏报严重；</w:t>
      </w:r>
      <w:r>
        <w:rPr>
          <w:rFonts w:eastAsiaTheme="minorEastAsia"/>
          <w:kern w:val="0"/>
          <w:szCs w:val="21"/>
        </w:rPr>
        <w:t>2</w:t>
      </w:r>
      <w:r>
        <w:rPr>
          <w:rFonts w:eastAsiaTheme="minorEastAsia"/>
          <w:kern w:val="0"/>
          <w:szCs w:val="21"/>
        </w:rPr>
        <w:t>、信贷资产转让业务漏报；</w:t>
      </w:r>
      <w:r>
        <w:rPr>
          <w:rFonts w:eastAsiaTheme="minorEastAsia"/>
          <w:kern w:val="0"/>
          <w:szCs w:val="21"/>
        </w:rPr>
        <w:t>3</w:t>
      </w:r>
      <w:r>
        <w:rPr>
          <w:rFonts w:eastAsiaTheme="minorEastAsia"/>
          <w:kern w:val="0"/>
          <w:szCs w:val="21"/>
        </w:rPr>
        <w:t>、银行承兑汇票业务漏报；</w:t>
      </w:r>
      <w:r>
        <w:rPr>
          <w:rFonts w:eastAsiaTheme="minorEastAsia"/>
          <w:kern w:val="0"/>
          <w:szCs w:val="21"/>
        </w:rPr>
        <w:t>4</w:t>
      </w:r>
      <w:r>
        <w:rPr>
          <w:rFonts w:eastAsiaTheme="minorEastAsia"/>
          <w:kern w:val="0"/>
          <w:szCs w:val="21"/>
        </w:rPr>
        <w:t>、贸易融资业务漏报和错报；</w:t>
      </w:r>
      <w:r>
        <w:rPr>
          <w:rFonts w:eastAsiaTheme="minorEastAsia"/>
          <w:kern w:val="0"/>
          <w:szCs w:val="21"/>
        </w:rPr>
        <w:t>5</w:t>
      </w:r>
      <w:r>
        <w:rPr>
          <w:rFonts w:eastAsiaTheme="minorEastAsia"/>
          <w:kern w:val="0"/>
          <w:szCs w:val="21"/>
        </w:rPr>
        <w:t>、分户账明细记录应报未报；</w:t>
      </w:r>
      <w:r>
        <w:rPr>
          <w:rFonts w:eastAsiaTheme="minorEastAsia"/>
          <w:kern w:val="0"/>
          <w:szCs w:val="21"/>
        </w:rPr>
        <w:t>6</w:t>
      </w:r>
      <w:r>
        <w:rPr>
          <w:rFonts w:eastAsiaTheme="minorEastAsia"/>
          <w:kern w:val="0"/>
          <w:szCs w:val="21"/>
        </w:rPr>
        <w:t>、分户账账户数据应报未报；</w:t>
      </w:r>
      <w:r>
        <w:rPr>
          <w:rFonts w:eastAsiaTheme="minorEastAsia"/>
          <w:kern w:val="0"/>
          <w:szCs w:val="21"/>
        </w:rPr>
        <w:t>7</w:t>
      </w:r>
      <w:r>
        <w:rPr>
          <w:rFonts w:eastAsiaTheme="minorEastAsia"/>
          <w:kern w:val="0"/>
          <w:szCs w:val="21"/>
        </w:rPr>
        <w:t>、关键且应报字段漏报或填报错误，处以责令改正，并处罚款</w:t>
      </w:r>
      <w:r>
        <w:rPr>
          <w:rFonts w:eastAsiaTheme="minorEastAsia"/>
          <w:kern w:val="0"/>
          <w:szCs w:val="21"/>
        </w:rPr>
        <w:t>230</w:t>
      </w:r>
      <w:r>
        <w:rPr>
          <w:rFonts w:eastAsiaTheme="minorEastAsia"/>
          <w:kern w:val="0"/>
          <w:szCs w:val="21"/>
        </w:rPr>
        <w:t>万元的行政处罚。</w:t>
      </w:r>
    </w:p>
    <w:p w:rsidR="00871824" w:rsidRDefault="00672BD5">
      <w:pPr>
        <w:spacing w:line="360" w:lineRule="auto"/>
        <w:rPr>
          <w:rFonts w:eastAsiaTheme="minorEastAsia"/>
          <w:kern w:val="0"/>
          <w:szCs w:val="21"/>
        </w:rPr>
      </w:pPr>
      <w:r>
        <w:rPr>
          <w:rFonts w:eastAsiaTheme="minorEastAsia"/>
          <w:kern w:val="0"/>
          <w:szCs w:val="21"/>
        </w:rPr>
        <w:t>2020</w:t>
      </w:r>
      <w:r>
        <w:rPr>
          <w:rFonts w:eastAsiaTheme="minorEastAsia"/>
          <w:kern w:val="0"/>
          <w:szCs w:val="21"/>
        </w:rPr>
        <w:t>年</w:t>
      </w:r>
      <w:r>
        <w:rPr>
          <w:rFonts w:eastAsiaTheme="minorEastAsia"/>
          <w:kern w:val="0"/>
          <w:szCs w:val="21"/>
        </w:rPr>
        <w:t>4</w:t>
      </w:r>
      <w:r>
        <w:rPr>
          <w:rFonts w:eastAsiaTheme="minorEastAsia"/>
          <w:kern w:val="0"/>
          <w:szCs w:val="21"/>
        </w:rPr>
        <w:t>月</w:t>
      </w:r>
      <w:r>
        <w:rPr>
          <w:rFonts w:eastAsiaTheme="minorEastAsia"/>
          <w:kern w:val="0"/>
          <w:szCs w:val="21"/>
        </w:rPr>
        <w:t>20</w:t>
      </w:r>
      <w:r>
        <w:rPr>
          <w:rFonts w:eastAsiaTheme="minorEastAsia"/>
          <w:kern w:val="0"/>
          <w:szCs w:val="21"/>
        </w:rPr>
        <w:t>日，中国银行保险监督管理委员会针对中国工商银行股份有限公司监管标准化数据（</w:t>
      </w:r>
      <w:r>
        <w:rPr>
          <w:rFonts w:eastAsiaTheme="minorEastAsia"/>
          <w:kern w:val="0"/>
          <w:szCs w:val="21"/>
        </w:rPr>
        <w:t>EAST</w:t>
      </w:r>
      <w:r>
        <w:rPr>
          <w:rFonts w:eastAsiaTheme="minorEastAsia"/>
          <w:kern w:val="0"/>
          <w:szCs w:val="21"/>
        </w:rPr>
        <w:t>）系统数据质量及数据报送存在以下违法违规行为：</w:t>
      </w:r>
      <w:r>
        <w:rPr>
          <w:rFonts w:eastAsiaTheme="minorEastAsia"/>
          <w:kern w:val="0"/>
          <w:szCs w:val="21"/>
        </w:rPr>
        <w:t>1</w:t>
      </w:r>
      <w:r>
        <w:rPr>
          <w:rFonts w:eastAsiaTheme="minorEastAsia"/>
          <w:kern w:val="0"/>
          <w:szCs w:val="21"/>
        </w:rPr>
        <w:t>、理财产品数量漏报；</w:t>
      </w:r>
      <w:r>
        <w:rPr>
          <w:rFonts w:eastAsiaTheme="minorEastAsia"/>
          <w:kern w:val="0"/>
          <w:szCs w:val="21"/>
        </w:rPr>
        <w:t>2</w:t>
      </w:r>
      <w:r>
        <w:rPr>
          <w:rFonts w:eastAsiaTheme="minorEastAsia"/>
          <w:kern w:val="0"/>
          <w:szCs w:val="21"/>
        </w:rPr>
        <w:t>、资金交易信息漏报严重；</w:t>
      </w:r>
      <w:r>
        <w:rPr>
          <w:rFonts w:eastAsiaTheme="minorEastAsia"/>
          <w:kern w:val="0"/>
          <w:szCs w:val="21"/>
        </w:rPr>
        <w:t>3</w:t>
      </w:r>
      <w:r>
        <w:rPr>
          <w:rFonts w:eastAsiaTheme="minorEastAsia"/>
          <w:kern w:val="0"/>
          <w:szCs w:val="21"/>
        </w:rPr>
        <w:t>、信贷资产转让业务漏报；</w:t>
      </w:r>
      <w:r>
        <w:rPr>
          <w:rFonts w:eastAsiaTheme="minorEastAsia"/>
          <w:kern w:val="0"/>
          <w:szCs w:val="21"/>
        </w:rPr>
        <w:t>4</w:t>
      </w:r>
      <w:r>
        <w:rPr>
          <w:rFonts w:eastAsiaTheme="minorEastAsia"/>
          <w:kern w:val="0"/>
          <w:szCs w:val="21"/>
        </w:rPr>
        <w:t>、贷款核销业务漏报；</w:t>
      </w:r>
      <w:r>
        <w:rPr>
          <w:rFonts w:eastAsiaTheme="minorEastAsia"/>
          <w:kern w:val="0"/>
          <w:szCs w:val="21"/>
        </w:rPr>
        <w:t>5</w:t>
      </w:r>
      <w:r>
        <w:rPr>
          <w:rFonts w:eastAsiaTheme="minorEastAsia"/>
          <w:kern w:val="0"/>
          <w:szCs w:val="21"/>
        </w:rPr>
        <w:t>、分户账明细记录应报未报；</w:t>
      </w:r>
      <w:r>
        <w:rPr>
          <w:rFonts w:eastAsiaTheme="minorEastAsia"/>
          <w:kern w:val="0"/>
          <w:szCs w:val="21"/>
        </w:rPr>
        <w:t>6</w:t>
      </w:r>
      <w:r>
        <w:rPr>
          <w:rFonts w:eastAsiaTheme="minorEastAsia"/>
          <w:kern w:val="0"/>
          <w:szCs w:val="21"/>
        </w:rPr>
        <w:t>、分户账账户数据应报未报；</w:t>
      </w:r>
      <w:r>
        <w:rPr>
          <w:rFonts w:eastAsiaTheme="minorEastAsia"/>
          <w:kern w:val="0"/>
          <w:szCs w:val="21"/>
        </w:rPr>
        <w:t>7</w:t>
      </w:r>
      <w:r>
        <w:rPr>
          <w:rFonts w:eastAsiaTheme="minorEastAsia"/>
          <w:kern w:val="0"/>
          <w:szCs w:val="21"/>
        </w:rPr>
        <w:t>、委托贷款业务应报未报；</w:t>
      </w:r>
      <w:r>
        <w:rPr>
          <w:rFonts w:eastAsiaTheme="minorEastAsia"/>
          <w:kern w:val="0"/>
          <w:szCs w:val="21"/>
        </w:rPr>
        <w:t>8</w:t>
      </w:r>
      <w:r>
        <w:rPr>
          <w:rFonts w:eastAsiaTheme="minorEastAsia"/>
          <w:kern w:val="0"/>
          <w:szCs w:val="21"/>
        </w:rPr>
        <w:t>、关键且应报字段漏报或填报错误，处以责令改正，并处罚款</w:t>
      </w:r>
      <w:r>
        <w:rPr>
          <w:rFonts w:eastAsiaTheme="minorEastAsia"/>
          <w:kern w:val="0"/>
          <w:szCs w:val="21"/>
        </w:rPr>
        <w:t>270</w:t>
      </w:r>
      <w:r>
        <w:rPr>
          <w:rFonts w:eastAsiaTheme="minorEastAsia"/>
          <w:kern w:val="0"/>
          <w:szCs w:val="21"/>
        </w:rPr>
        <w:t>万元的行政处罚。</w:t>
      </w:r>
    </w:p>
    <w:p w:rsidR="00871824" w:rsidRDefault="00672BD5">
      <w:pPr>
        <w:spacing w:line="360" w:lineRule="auto"/>
        <w:rPr>
          <w:rFonts w:eastAsiaTheme="minorEastAsia"/>
          <w:kern w:val="0"/>
          <w:szCs w:val="21"/>
        </w:rPr>
      </w:pPr>
      <w:r>
        <w:rPr>
          <w:rFonts w:eastAsiaTheme="minorEastAsia"/>
          <w:kern w:val="0"/>
          <w:szCs w:val="21"/>
        </w:rPr>
        <w:t>2020</w:t>
      </w:r>
      <w:r>
        <w:rPr>
          <w:rFonts w:eastAsiaTheme="minorEastAsia"/>
          <w:kern w:val="0"/>
          <w:szCs w:val="21"/>
        </w:rPr>
        <w:t>年</w:t>
      </w:r>
      <w:r>
        <w:rPr>
          <w:rFonts w:eastAsiaTheme="minorEastAsia"/>
          <w:kern w:val="0"/>
          <w:szCs w:val="21"/>
        </w:rPr>
        <w:t>4</w:t>
      </w:r>
      <w:r>
        <w:rPr>
          <w:rFonts w:eastAsiaTheme="minorEastAsia"/>
          <w:kern w:val="0"/>
          <w:szCs w:val="21"/>
        </w:rPr>
        <w:t>月</w:t>
      </w:r>
      <w:r>
        <w:rPr>
          <w:rFonts w:eastAsiaTheme="minorEastAsia"/>
          <w:kern w:val="0"/>
          <w:szCs w:val="21"/>
        </w:rPr>
        <w:t>20</w:t>
      </w:r>
      <w:r>
        <w:rPr>
          <w:rFonts w:eastAsiaTheme="minorEastAsia"/>
          <w:kern w:val="0"/>
          <w:szCs w:val="21"/>
        </w:rPr>
        <w:t>日，中国银行保险监督管理委员会针对中国银行股份有限公司监管标准化数据（</w:t>
      </w:r>
      <w:r>
        <w:rPr>
          <w:rFonts w:eastAsiaTheme="minorEastAsia"/>
          <w:kern w:val="0"/>
          <w:szCs w:val="21"/>
        </w:rPr>
        <w:t>EAST</w:t>
      </w:r>
      <w:r>
        <w:rPr>
          <w:rFonts w:eastAsiaTheme="minorEastAsia"/>
          <w:kern w:val="0"/>
          <w:szCs w:val="21"/>
        </w:rPr>
        <w:t>）系统数据质量及数据报送存在以下违法违规行为：</w:t>
      </w:r>
      <w:r>
        <w:rPr>
          <w:rFonts w:eastAsiaTheme="minorEastAsia"/>
          <w:kern w:val="0"/>
          <w:szCs w:val="21"/>
        </w:rPr>
        <w:t>1</w:t>
      </w:r>
      <w:r>
        <w:rPr>
          <w:rFonts w:eastAsiaTheme="minorEastAsia"/>
          <w:kern w:val="0"/>
          <w:szCs w:val="21"/>
        </w:rPr>
        <w:t>、理财产品数量漏报；</w:t>
      </w:r>
      <w:r>
        <w:rPr>
          <w:rFonts w:eastAsiaTheme="minorEastAsia"/>
          <w:kern w:val="0"/>
          <w:szCs w:val="21"/>
        </w:rPr>
        <w:t>2</w:t>
      </w:r>
      <w:r>
        <w:rPr>
          <w:rFonts w:eastAsiaTheme="minorEastAsia"/>
          <w:kern w:val="0"/>
          <w:szCs w:val="21"/>
        </w:rPr>
        <w:t>、资金交易信息漏报严重；</w:t>
      </w:r>
      <w:r>
        <w:rPr>
          <w:rFonts w:eastAsiaTheme="minorEastAsia"/>
          <w:kern w:val="0"/>
          <w:szCs w:val="21"/>
        </w:rPr>
        <w:t>3</w:t>
      </w:r>
      <w:r>
        <w:rPr>
          <w:rFonts w:eastAsiaTheme="minorEastAsia"/>
          <w:kern w:val="0"/>
          <w:szCs w:val="21"/>
        </w:rPr>
        <w:t>、贸易融资业务漏报；</w:t>
      </w:r>
      <w:r>
        <w:rPr>
          <w:rFonts w:eastAsiaTheme="minorEastAsia"/>
          <w:kern w:val="0"/>
          <w:szCs w:val="21"/>
        </w:rPr>
        <w:t>4</w:t>
      </w:r>
      <w:r>
        <w:rPr>
          <w:rFonts w:eastAsiaTheme="minorEastAsia"/>
          <w:kern w:val="0"/>
          <w:szCs w:val="21"/>
        </w:rPr>
        <w:t>、分户账明细记录应报未报；</w:t>
      </w:r>
      <w:r>
        <w:rPr>
          <w:rFonts w:eastAsiaTheme="minorEastAsia"/>
          <w:kern w:val="0"/>
          <w:szCs w:val="21"/>
        </w:rPr>
        <w:t>5</w:t>
      </w:r>
      <w:r>
        <w:rPr>
          <w:rFonts w:eastAsiaTheme="minorEastAsia"/>
          <w:kern w:val="0"/>
          <w:szCs w:val="21"/>
        </w:rPr>
        <w:t>、分户账账户数据应报未报；</w:t>
      </w:r>
      <w:r>
        <w:rPr>
          <w:rFonts w:eastAsiaTheme="minorEastAsia"/>
          <w:kern w:val="0"/>
          <w:szCs w:val="21"/>
        </w:rPr>
        <w:t>6</w:t>
      </w:r>
      <w:r>
        <w:rPr>
          <w:rFonts w:eastAsiaTheme="minorEastAsia"/>
          <w:kern w:val="0"/>
          <w:szCs w:val="21"/>
        </w:rPr>
        <w:t>、关键且应报字段漏报或填报错误，处以责令改正，并处罚款</w:t>
      </w:r>
      <w:r>
        <w:rPr>
          <w:rFonts w:eastAsiaTheme="minorEastAsia"/>
          <w:kern w:val="0"/>
          <w:szCs w:val="21"/>
        </w:rPr>
        <w:t>270</w:t>
      </w:r>
      <w:r>
        <w:rPr>
          <w:rFonts w:eastAsiaTheme="minorEastAsia"/>
          <w:kern w:val="0"/>
          <w:szCs w:val="21"/>
        </w:rPr>
        <w:t>万元的行政处罚。</w:t>
      </w:r>
    </w:p>
    <w:p w:rsidR="00871824" w:rsidRDefault="00672BD5">
      <w:pPr>
        <w:spacing w:line="360" w:lineRule="auto"/>
        <w:rPr>
          <w:rFonts w:eastAsiaTheme="minorEastAsia"/>
          <w:kern w:val="0"/>
          <w:szCs w:val="21"/>
        </w:rPr>
      </w:pPr>
      <w:r>
        <w:rPr>
          <w:rFonts w:eastAsiaTheme="minorEastAsia"/>
          <w:kern w:val="0"/>
          <w:szCs w:val="21"/>
        </w:rPr>
        <w:t>本基金为目标</w:t>
      </w:r>
      <w:r>
        <w:rPr>
          <w:rFonts w:eastAsiaTheme="minorEastAsia"/>
          <w:kern w:val="0"/>
          <w:szCs w:val="21"/>
        </w:rPr>
        <w:t>ETF</w:t>
      </w:r>
      <w:r>
        <w:rPr>
          <w:rFonts w:eastAsiaTheme="minorEastAsia"/>
          <w:kern w:val="0"/>
          <w:szCs w:val="21"/>
        </w:rPr>
        <w:t>的联接基金，上述股票系标的指数成份股，上述股票的投资决策程序符合公司投资制度的规定。除招商银行、建设银行、工商银行、中国银行外，本基金目标</w:t>
      </w:r>
      <w:r>
        <w:rPr>
          <w:rFonts w:eastAsiaTheme="minorEastAsia"/>
          <w:kern w:val="0"/>
          <w:szCs w:val="21"/>
        </w:rPr>
        <w:t>ETF</w:t>
      </w:r>
      <w:r>
        <w:rPr>
          <w:rFonts w:eastAsiaTheme="minorEastAsia"/>
          <w:kern w:val="0"/>
          <w:szCs w:val="21"/>
        </w:rPr>
        <w:t>投资的前十名证券的发行主体本期没有出现被监管部门立案调查，或在报告编制日前一年内受到公开谴责、处罚的情形。</w:t>
      </w:r>
    </w:p>
    <w:p w:rsidR="00871824" w:rsidRDefault="00672BD5">
      <w:pPr>
        <w:spacing w:line="360" w:lineRule="auto"/>
        <w:rPr>
          <w:rFonts w:eastAsiaTheme="minorEastAsia"/>
          <w:kern w:val="0"/>
          <w:szCs w:val="21"/>
        </w:rPr>
      </w:pPr>
      <w:r>
        <w:rPr>
          <w:rFonts w:eastAsiaTheme="minorEastAsia"/>
          <w:kern w:val="0"/>
          <w:szCs w:val="21"/>
        </w:rPr>
        <w:t>本联接基金投资的前十名证券的发行主体本期没有出现被监管部门立案调查，或在报告编制日前一年内受到公开谴责、处罚的情形。</w:t>
      </w:r>
    </w:p>
    <w:p w:rsidR="008A5A5D" w:rsidRPr="00C24ACA" w:rsidRDefault="008A5A5D" w:rsidP="006C64F3">
      <w:pPr>
        <w:spacing w:beforeLines="100" w:before="312" w:line="360" w:lineRule="auto"/>
        <w:rPr>
          <w:rFonts w:eastAsiaTheme="minorEastAsia"/>
          <w:kern w:val="0"/>
          <w:szCs w:val="21"/>
        </w:rPr>
      </w:pPr>
      <w:r w:rsidRPr="00C24ACA">
        <w:rPr>
          <w:rFonts w:eastAsiaTheme="minorEastAsia"/>
          <w:b/>
          <w:color w:val="000000"/>
          <w:szCs w:val="21"/>
        </w:rPr>
        <w:t>7.12.2</w:t>
      </w:r>
      <w:r w:rsidRPr="00C24ACA">
        <w:rPr>
          <w:rFonts w:eastAsiaTheme="minorEastAsia"/>
          <w:kern w:val="0"/>
          <w:szCs w:val="21"/>
        </w:rPr>
        <w:t xml:space="preserve"> </w:t>
      </w:r>
      <w:r w:rsidRPr="00C24ACA">
        <w:rPr>
          <w:rFonts w:eastAsiaTheme="minorEastAsia"/>
          <w:kern w:val="0"/>
          <w:szCs w:val="21"/>
        </w:rPr>
        <w:t>本基金本报告期末未持有股票，不存在投资的前十名股票超出基金合同规定的备选股票库情况。</w:t>
      </w:r>
    </w:p>
    <w:p w:rsidR="008A5A5D" w:rsidRPr="00C24ACA" w:rsidRDefault="008A5A5D" w:rsidP="006C64F3">
      <w:pPr>
        <w:spacing w:beforeLines="100" w:before="312" w:line="360" w:lineRule="auto"/>
        <w:rPr>
          <w:rFonts w:eastAsiaTheme="minorEastAsia"/>
          <w:b/>
          <w:color w:val="000000"/>
          <w:kern w:val="0"/>
          <w:szCs w:val="21"/>
        </w:rPr>
      </w:pPr>
      <w:r w:rsidRPr="00C24ACA">
        <w:rPr>
          <w:rFonts w:eastAsiaTheme="minorEastAsia"/>
          <w:b/>
          <w:color w:val="000000"/>
          <w:szCs w:val="21"/>
        </w:rPr>
        <w:t>7.12.3</w:t>
      </w:r>
      <w:r w:rsidR="004E34BB" w:rsidRPr="00C24ACA">
        <w:rPr>
          <w:rFonts w:eastAsiaTheme="minorEastAsia"/>
          <w:b/>
          <w:szCs w:val="21"/>
        </w:rPr>
        <w:t>期末其他各项资产构成</w:t>
      </w:r>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20"/>
        <w:gridCol w:w="4431"/>
        <w:gridCol w:w="4105"/>
      </w:tblGrid>
      <w:tr w:rsidR="008A5A5D" w:rsidRPr="00C24ACA" w:rsidTr="00206018">
        <w:trPr>
          <w:trHeight w:val="285"/>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序号</w:t>
            </w:r>
          </w:p>
        </w:tc>
        <w:tc>
          <w:tcPr>
            <w:tcW w:w="4431"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名称</w:t>
            </w:r>
          </w:p>
        </w:tc>
        <w:tc>
          <w:tcPr>
            <w:tcW w:w="4105"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金额</w:t>
            </w:r>
          </w:p>
        </w:tc>
      </w:tr>
      <w:tr w:rsidR="008A5A5D" w:rsidRPr="00C24ACA" w:rsidTr="00206018">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1</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存出保证金</w:t>
            </w:r>
          </w:p>
        </w:tc>
        <w:tc>
          <w:tcPr>
            <w:tcW w:w="4105" w:type="dxa"/>
            <w:tcMar>
              <w:top w:w="15" w:type="dxa"/>
              <w:left w:w="15" w:type="dxa"/>
              <w:bottom w:w="0" w:type="dxa"/>
              <w:right w:w="15" w:type="dxa"/>
            </w:tcMar>
            <w:vAlign w:val="center"/>
          </w:tcPr>
          <w:p w:rsidR="008A5A5D" w:rsidRPr="00C24ACA" w:rsidRDefault="008A5A5D" w:rsidP="00E87EC9">
            <w:pPr>
              <w:jc w:val="right"/>
              <w:rPr>
                <w:rFonts w:eastAsiaTheme="minorEastAsia"/>
                <w:szCs w:val="21"/>
              </w:rPr>
            </w:pPr>
            <w:r w:rsidRPr="00C24ACA">
              <w:rPr>
                <w:rFonts w:eastAsiaTheme="minorEastAsia"/>
                <w:szCs w:val="21"/>
              </w:rPr>
              <w:t>207,751.12</w:t>
            </w:r>
          </w:p>
        </w:tc>
      </w:tr>
      <w:tr w:rsidR="008A5A5D" w:rsidRPr="00C24ACA" w:rsidTr="00206018">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2</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应收证券清算款</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4,578,555.83</w:t>
            </w:r>
          </w:p>
        </w:tc>
      </w:tr>
      <w:tr w:rsidR="008A5A5D" w:rsidRPr="00C24ACA" w:rsidTr="00206018">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3</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应收股利</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8A5A5D" w:rsidRPr="00C24ACA" w:rsidTr="00206018">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4</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应收利息</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9,971.26</w:t>
            </w:r>
          </w:p>
        </w:tc>
      </w:tr>
      <w:tr w:rsidR="008A5A5D" w:rsidRPr="00C24ACA" w:rsidTr="00206018">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5</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应收申购款</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8,420,789.41</w:t>
            </w:r>
          </w:p>
        </w:tc>
      </w:tr>
      <w:tr w:rsidR="008A5A5D" w:rsidRPr="00C24ACA" w:rsidTr="00206018">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6</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其他应收款</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8A5A5D" w:rsidRPr="00C24ACA" w:rsidTr="00206018">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7</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待摊费用</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E87EC9" w:rsidRPr="00C24ACA" w:rsidTr="00206018">
        <w:trPr>
          <w:trHeight w:val="312"/>
          <w:jc w:val="center"/>
        </w:trPr>
        <w:tc>
          <w:tcPr>
            <w:tcW w:w="820" w:type="dxa"/>
            <w:vAlign w:val="center"/>
          </w:tcPr>
          <w:p w:rsidR="00E87EC9" w:rsidRPr="00C24ACA" w:rsidRDefault="00E87EC9" w:rsidP="007C6EA8">
            <w:pPr>
              <w:jc w:val="center"/>
              <w:rPr>
                <w:rFonts w:eastAsiaTheme="minorEastAsia"/>
                <w:color w:val="000000"/>
                <w:szCs w:val="21"/>
              </w:rPr>
            </w:pPr>
            <w:r w:rsidRPr="00C24ACA">
              <w:rPr>
                <w:rFonts w:eastAsiaTheme="minorEastAsia"/>
                <w:color w:val="000000"/>
                <w:szCs w:val="21"/>
              </w:rPr>
              <w:t>8</w:t>
            </w:r>
          </w:p>
        </w:tc>
        <w:tc>
          <w:tcPr>
            <w:tcW w:w="4431" w:type="dxa"/>
            <w:vAlign w:val="center"/>
          </w:tcPr>
          <w:p w:rsidR="00E87EC9" w:rsidRPr="00C24ACA" w:rsidRDefault="00E87EC9" w:rsidP="007C6EA8">
            <w:pPr>
              <w:ind w:leftChars="50" w:left="105"/>
              <w:rPr>
                <w:rFonts w:eastAsiaTheme="minorEastAsia"/>
                <w:color w:val="000000"/>
                <w:szCs w:val="21"/>
              </w:rPr>
            </w:pPr>
            <w:r w:rsidRPr="00C24ACA">
              <w:rPr>
                <w:rFonts w:eastAsiaTheme="minorEastAsia"/>
                <w:color w:val="000000"/>
                <w:szCs w:val="21"/>
              </w:rPr>
              <w:t>其他</w:t>
            </w:r>
          </w:p>
        </w:tc>
        <w:tc>
          <w:tcPr>
            <w:tcW w:w="4105" w:type="dxa"/>
            <w:vAlign w:val="center"/>
          </w:tcPr>
          <w:p w:rsidR="00E87EC9" w:rsidRPr="00C24ACA" w:rsidRDefault="00E87EC9" w:rsidP="007C6EA8">
            <w:pPr>
              <w:jc w:val="right"/>
              <w:rPr>
                <w:rFonts w:eastAsiaTheme="minorEastAsia"/>
                <w:szCs w:val="21"/>
              </w:rPr>
            </w:pPr>
            <w:r w:rsidRPr="00C24ACA">
              <w:rPr>
                <w:rFonts w:eastAsiaTheme="minorEastAsia"/>
                <w:szCs w:val="21"/>
              </w:rPr>
              <w:t>-</w:t>
            </w:r>
          </w:p>
        </w:tc>
      </w:tr>
      <w:tr w:rsidR="00E87EC9" w:rsidRPr="00C24ACA" w:rsidTr="00206018">
        <w:trPr>
          <w:trHeight w:val="312"/>
          <w:jc w:val="center"/>
        </w:trPr>
        <w:tc>
          <w:tcPr>
            <w:tcW w:w="820" w:type="dxa"/>
            <w:vAlign w:val="center"/>
          </w:tcPr>
          <w:p w:rsidR="00E87EC9" w:rsidRPr="00C24ACA" w:rsidRDefault="00E87EC9" w:rsidP="007C6EA8">
            <w:pPr>
              <w:jc w:val="center"/>
              <w:rPr>
                <w:rFonts w:eastAsiaTheme="minorEastAsia"/>
                <w:color w:val="000000"/>
                <w:szCs w:val="21"/>
              </w:rPr>
            </w:pPr>
            <w:r w:rsidRPr="00C24ACA">
              <w:rPr>
                <w:rFonts w:eastAsiaTheme="minorEastAsia"/>
                <w:color w:val="000000"/>
                <w:szCs w:val="21"/>
              </w:rPr>
              <w:t>9</w:t>
            </w:r>
          </w:p>
        </w:tc>
        <w:tc>
          <w:tcPr>
            <w:tcW w:w="4431" w:type="dxa"/>
            <w:vAlign w:val="center"/>
          </w:tcPr>
          <w:p w:rsidR="00E87EC9" w:rsidRPr="00C24ACA" w:rsidRDefault="00E87EC9" w:rsidP="007C6EA8">
            <w:pPr>
              <w:ind w:leftChars="50" w:left="105"/>
              <w:rPr>
                <w:rFonts w:eastAsiaTheme="minorEastAsia"/>
                <w:color w:val="000000"/>
                <w:szCs w:val="21"/>
              </w:rPr>
            </w:pPr>
            <w:r w:rsidRPr="00C24ACA">
              <w:rPr>
                <w:rFonts w:eastAsiaTheme="minorEastAsia"/>
                <w:color w:val="000000"/>
                <w:szCs w:val="21"/>
              </w:rPr>
              <w:t>合计</w:t>
            </w:r>
          </w:p>
        </w:tc>
        <w:tc>
          <w:tcPr>
            <w:tcW w:w="4105" w:type="dxa"/>
            <w:vAlign w:val="center"/>
          </w:tcPr>
          <w:p w:rsidR="00E87EC9" w:rsidRPr="00C24ACA" w:rsidRDefault="00E87EC9" w:rsidP="007C6EA8">
            <w:pPr>
              <w:jc w:val="right"/>
              <w:rPr>
                <w:rFonts w:eastAsiaTheme="minorEastAsia"/>
                <w:szCs w:val="21"/>
              </w:rPr>
            </w:pPr>
            <w:r w:rsidRPr="00C24ACA">
              <w:rPr>
                <w:rFonts w:eastAsiaTheme="minorEastAsia"/>
                <w:szCs w:val="21"/>
              </w:rPr>
              <w:t>13,217,067.62</w:t>
            </w:r>
          </w:p>
        </w:tc>
      </w:tr>
    </w:tbl>
    <w:p w:rsidR="008A5A5D" w:rsidRPr="00C24ACA" w:rsidRDefault="008A5A5D" w:rsidP="006C64F3">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color w:val="000000"/>
          <w:szCs w:val="21"/>
        </w:rPr>
        <w:t>7.12.4</w:t>
      </w:r>
      <w:r w:rsidRPr="00C24ACA">
        <w:rPr>
          <w:rFonts w:eastAsiaTheme="minorEastAsia"/>
          <w:b/>
          <w:color w:val="000000"/>
          <w:kern w:val="0"/>
          <w:szCs w:val="21"/>
        </w:rPr>
        <w:t>期末持有的处于转股期的可转换债券明细</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本基金本报告期末未持有处于转股期的可转换债券。</w:t>
      </w:r>
    </w:p>
    <w:p w:rsidR="008A5A5D" w:rsidRPr="00C24ACA" w:rsidRDefault="008A5A5D" w:rsidP="006C64F3">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color w:val="000000"/>
          <w:szCs w:val="21"/>
        </w:rPr>
        <w:t>7.12.5</w:t>
      </w:r>
      <w:r w:rsidRPr="00C24ACA">
        <w:rPr>
          <w:rFonts w:eastAsiaTheme="minorEastAsia"/>
          <w:b/>
          <w:color w:val="000000"/>
          <w:kern w:val="0"/>
          <w:szCs w:val="21"/>
        </w:rPr>
        <w:t>期末前十名股票中存在流通受限情况的说明</w:t>
      </w:r>
    </w:p>
    <w:p w:rsidR="008A5A5D" w:rsidRPr="008707EB" w:rsidRDefault="00DC59DF"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本基金本报告期末未持有股票。</w:t>
      </w:r>
    </w:p>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289" w:name="_Toc225500050"/>
      <w:bookmarkStart w:id="290" w:name="_Toc352256006"/>
      <w:bookmarkStart w:id="291" w:name="_Toc352256074"/>
      <w:bookmarkStart w:id="292" w:name="_Toc352331252"/>
      <w:bookmarkStart w:id="293" w:name="_Toc390164834"/>
      <w:bookmarkStart w:id="294" w:name="_Toc48662508"/>
      <w:r w:rsidRPr="000C6CCD">
        <w:rPr>
          <w:rFonts w:ascii="宋体" w:hAnsi="宋体"/>
          <w:bCs w:val="0"/>
          <w:color w:val="000000"/>
          <w:sz w:val="21"/>
          <w:szCs w:val="21"/>
        </w:rPr>
        <w:t>8</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基金份额持有人信息</w:t>
      </w:r>
      <w:bookmarkEnd w:id="289"/>
      <w:bookmarkEnd w:id="290"/>
      <w:bookmarkEnd w:id="291"/>
      <w:bookmarkEnd w:id="292"/>
      <w:bookmarkEnd w:id="293"/>
      <w:bookmarkEnd w:id="294"/>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95" w:name="_Toc225500051"/>
      <w:bookmarkStart w:id="296" w:name="_Toc352256007"/>
      <w:bookmarkStart w:id="297" w:name="_Toc352256075"/>
      <w:bookmarkStart w:id="298" w:name="_Toc352331253"/>
      <w:bookmarkStart w:id="299" w:name="_Toc390164835"/>
      <w:bookmarkStart w:id="300" w:name="_Toc48662509"/>
      <w:r w:rsidRPr="0087359D">
        <w:rPr>
          <w:rFonts w:ascii="宋体" w:hAnsi="宋体"/>
          <w:kern w:val="0"/>
          <w:sz w:val="21"/>
          <w:szCs w:val="21"/>
        </w:rPr>
        <w:t>8.1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期末基金份额持有人户数及持有人结构</w:t>
      </w:r>
      <w:bookmarkEnd w:id="295"/>
      <w:bookmarkEnd w:id="296"/>
      <w:bookmarkEnd w:id="297"/>
      <w:bookmarkEnd w:id="298"/>
      <w:bookmarkEnd w:id="299"/>
      <w:bookmarkEnd w:id="300"/>
    </w:p>
    <w:p w:rsidR="002716BD" w:rsidRPr="00C24ACA" w:rsidRDefault="002716BD" w:rsidP="002716BD">
      <w:pPr>
        <w:autoSpaceDE w:val="0"/>
        <w:autoSpaceDN w:val="0"/>
        <w:adjustRightInd w:val="0"/>
        <w:spacing w:before="29" w:line="360" w:lineRule="auto"/>
        <w:ind w:left="15"/>
        <w:jc w:val="right"/>
        <w:rPr>
          <w:rFonts w:eastAsiaTheme="minorEastAsia"/>
          <w:color w:val="000000"/>
          <w:szCs w:val="21"/>
        </w:rPr>
      </w:pPr>
      <w:bookmarkStart w:id="301" w:name="_Toc352256008"/>
      <w:bookmarkStart w:id="302" w:name="_Toc352256076"/>
      <w:bookmarkStart w:id="303" w:name="_Toc352331254"/>
      <w:r w:rsidRPr="00C24ACA">
        <w:rPr>
          <w:rFonts w:eastAsiaTheme="minor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39"/>
        <w:gridCol w:w="1131"/>
        <w:gridCol w:w="1233"/>
        <w:gridCol w:w="1529"/>
        <w:gridCol w:w="945"/>
        <w:gridCol w:w="1686"/>
        <w:gridCol w:w="915"/>
      </w:tblGrid>
      <w:tr w:rsidR="002716BD" w:rsidRPr="00C24ACA" w:rsidTr="00D0593F">
        <w:tc>
          <w:tcPr>
            <w:tcW w:w="964" w:type="pct"/>
            <w:vMerge w:val="restar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szCs w:val="21"/>
              </w:rPr>
              <w:t>份额级别</w:t>
            </w:r>
          </w:p>
        </w:tc>
        <w:tc>
          <w:tcPr>
            <w:tcW w:w="633" w:type="pct"/>
            <w:vMerge w:val="restar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持有人户数</w:t>
            </w:r>
            <w:r w:rsidRPr="00C24ACA">
              <w:rPr>
                <w:rFonts w:eastAsiaTheme="minorEastAsia"/>
                <w:bCs/>
                <w:color w:val="000000"/>
                <w:szCs w:val="21"/>
              </w:rPr>
              <w:t>(</w:t>
            </w:r>
            <w:r w:rsidRPr="00C24ACA">
              <w:rPr>
                <w:rFonts w:eastAsiaTheme="minorEastAsia"/>
                <w:bCs/>
                <w:color w:val="000000"/>
                <w:szCs w:val="21"/>
              </w:rPr>
              <w:t>户</w:t>
            </w:r>
            <w:r w:rsidRPr="00C24ACA">
              <w:rPr>
                <w:rFonts w:eastAsiaTheme="minorEastAsia"/>
                <w:bCs/>
                <w:color w:val="000000"/>
                <w:szCs w:val="21"/>
              </w:rPr>
              <w:t>)</w:t>
            </w:r>
          </w:p>
        </w:tc>
        <w:tc>
          <w:tcPr>
            <w:tcW w:w="688" w:type="pct"/>
            <w:vMerge w:val="restar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户均持有的基金份额</w:t>
            </w:r>
          </w:p>
        </w:tc>
        <w:tc>
          <w:tcPr>
            <w:tcW w:w="2715" w:type="pct"/>
            <w:gridSpan w:val="4"/>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持有人结构</w:t>
            </w:r>
          </w:p>
        </w:tc>
      </w:tr>
      <w:tr w:rsidR="002716BD" w:rsidRPr="00C24ACA" w:rsidTr="00D0593F">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1357" w:type="pct"/>
            <w:gridSpan w:val="2"/>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机构投资者</w:t>
            </w:r>
          </w:p>
        </w:tc>
        <w:tc>
          <w:tcPr>
            <w:tcW w:w="1358" w:type="pct"/>
            <w:gridSpan w:val="2"/>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个人投资者</w:t>
            </w:r>
          </w:p>
        </w:tc>
      </w:tr>
      <w:tr w:rsidR="002716BD" w:rsidRPr="00C24ACA" w:rsidTr="00D0593F">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826"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持有份额</w:t>
            </w:r>
          </w:p>
        </w:tc>
        <w:tc>
          <w:tcPr>
            <w:tcW w:w="531"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占总份额比例</w:t>
            </w:r>
          </w:p>
        </w:tc>
        <w:tc>
          <w:tcPr>
            <w:tcW w:w="84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持有份额</w:t>
            </w:r>
          </w:p>
        </w:tc>
        <w:tc>
          <w:tcPr>
            <w:tcW w:w="515"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占总份额比例</w:t>
            </w:r>
          </w:p>
        </w:tc>
      </w:tr>
      <w:tr w:rsidR="002716BD" w:rsidRPr="00C24ACA" w:rsidTr="00D0593F">
        <w:tc>
          <w:tcPr>
            <w:tcW w:w="964" w:type="pct"/>
            <w:hideMark/>
          </w:tcPr>
          <w:p w:rsidR="002716BD" w:rsidRPr="00C24ACA" w:rsidRDefault="002716BD">
            <w:pPr>
              <w:widowControl/>
              <w:spacing w:line="360" w:lineRule="auto"/>
              <w:jc w:val="center"/>
              <w:rPr>
                <w:rFonts w:eastAsiaTheme="minorEastAsia"/>
                <w:bCs/>
                <w:color w:val="000000"/>
                <w:szCs w:val="21"/>
              </w:rPr>
            </w:pPr>
            <w:r w:rsidRPr="00C24ACA">
              <w:rPr>
                <w:rFonts w:eastAsiaTheme="minorEastAsia"/>
                <w:bCs/>
                <w:color w:val="000000"/>
                <w:szCs w:val="21"/>
              </w:rPr>
              <w:t>易方达恒生国企联接（</w:t>
            </w:r>
            <w:r w:rsidRPr="00C24ACA">
              <w:rPr>
                <w:rFonts w:eastAsiaTheme="minorEastAsia"/>
                <w:bCs/>
                <w:color w:val="000000"/>
                <w:szCs w:val="21"/>
              </w:rPr>
              <w:t>QDII</w:t>
            </w:r>
            <w:r w:rsidRPr="00C24ACA">
              <w:rPr>
                <w:rFonts w:eastAsiaTheme="minorEastAsia"/>
                <w:bCs/>
                <w:color w:val="000000"/>
                <w:szCs w:val="21"/>
              </w:rPr>
              <w:t>）</w:t>
            </w:r>
            <w:r w:rsidRPr="00C24ACA">
              <w:rPr>
                <w:rFonts w:eastAsiaTheme="minorEastAsia"/>
                <w:bCs/>
                <w:color w:val="000000"/>
                <w:szCs w:val="21"/>
              </w:rPr>
              <w:t>A</w:t>
            </w:r>
          </w:p>
        </w:tc>
        <w:tc>
          <w:tcPr>
            <w:tcW w:w="63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95,669</w:t>
            </w:r>
          </w:p>
        </w:tc>
        <w:tc>
          <w:tcPr>
            <w:tcW w:w="688"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13,640.50</w:t>
            </w:r>
          </w:p>
        </w:tc>
        <w:tc>
          <w:tcPr>
            <w:tcW w:w="826"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245,321,940.91</w:t>
            </w:r>
          </w:p>
        </w:tc>
        <w:tc>
          <w:tcPr>
            <w:tcW w:w="531"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18.80%</w:t>
            </w:r>
          </w:p>
        </w:tc>
        <w:tc>
          <w:tcPr>
            <w:tcW w:w="843"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1,059,650,974.12</w:t>
            </w:r>
          </w:p>
        </w:tc>
        <w:tc>
          <w:tcPr>
            <w:tcW w:w="515"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81.20%</w:t>
            </w:r>
          </w:p>
        </w:tc>
      </w:tr>
      <w:tr w:rsidR="002716BD" w:rsidRPr="00C24ACA" w:rsidTr="00D0593F">
        <w:tc>
          <w:tcPr>
            <w:tcW w:w="964" w:type="pct"/>
            <w:hideMark/>
          </w:tcPr>
          <w:p w:rsidR="002716BD" w:rsidRPr="00C24ACA" w:rsidRDefault="002716BD">
            <w:pPr>
              <w:widowControl/>
              <w:spacing w:line="360" w:lineRule="auto"/>
              <w:jc w:val="center"/>
              <w:rPr>
                <w:rFonts w:eastAsiaTheme="minorEastAsia"/>
                <w:bCs/>
                <w:color w:val="000000"/>
                <w:szCs w:val="21"/>
              </w:rPr>
            </w:pPr>
            <w:r w:rsidRPr="00C24ACA">
              <w:rPr>
                <w:rFonts w:eastAsiaTheme="minorEastAsia"/>
                <w:bCs/>
                <w:color w:val="000000"/>
                <w:szCs w:val="21"/>
              </w:rPr>
              <w:t>易方达恒生国企联接（</w:t>
            </w:r>
            <w:r w:rsidRPr="00C24ACA">
              <w:rPr>
                <w:rFonts w:eastAsiaTheme="minorEastAsia"/>
                <w:bCs/>
                <w:color w:val="000000"/>
                <w:szCs w:val="21"/>
              </w:rPr>
              <w:t>QDII</w:t>
            </w:r>
            <w:r w:rsidRPr="00C24ACA">
              <w:rPr>
                <w:rFonts w:eastAsiaTheme="minorEastAsia"/>
                <w:bCs/>
                <w:color w:val="000000"/>
                <w:szCs w:val="21"/>
              </w:rPr>
              <w:t>）</w:t>
            </w:r>
            <w:r w:rsidRPr="00C24ACA">
              <w:rPr>
                <w:rFonts w:eastAsiaTheme="minorEastAsia"/>
                <w:bCs/>
                <w:color w:val="000000"/>
                <w:szCs w:val="21"/>
              </w:rPr>
              <w:t>C</w:t>
            </w:r>
          </w:p>
        </w:tc>
        <w:tc>
          <w:tcPr>
            <w:tcW w:w="63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10,329</w:t>
            </w:r>
          </w:p>
        </w:tc>
        <w:tc>
          <w:tcPr>
            <w:tcW w:w="688"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18,812.29</w:t>
            </w:r>
          </w:p>
        </w:tc>
        <w:tc>
          <w:tcPr>
            <w:tcW w:w="826"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102,098,785.30</w:t>
            </w:r>
          </w:p>
        </w:tc>
        <w:tc>
          <w:tcPr>
            <w:tcW w:w="531"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52.54%</w:t>
            </w:r>
          </w:p>
        </w:tc>
        <w:tc>
          <w:tcPr>
            <w:tcW w:w="843"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92,213,381.80</w:t>
            </w:r>
          </w:p>
        </w:tc>
        <w:tc>
          <w:tcPr>
            <w:tcW w:w="515"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47.46%</w:t>
            </w:r>
          </w:p>
        </w:tc>
      </w:tr>
      <w:tr w:rsidR="002716BD" w:rsidRPr="00C24ACA" w:rsidTr="00D0593F">
        <w:tc>
          <w:tcPr>
            <w:tcW w:w="964" w:type="pct"/>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合计</w:t>
            </w:r>
          </w:p>
        </w:tc>
        <w:tc>
          <w:tcPr>
            <w:tcW w:w="63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105,998</w:t>
            </w:r>
          </w:p>
        </w:tc>
        <w:tc>
          <w:tcPr>
            <w:tcW w:w="688"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14,144.47</w:t>
            </w:r>
          </w:p>
        </w:tc>
        <w:tc>
          <w:tcPr>
            <w:tcW w:w="826"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347,420,726.21</w:t>
            </w:r>
          </w:p>
        </w:tc>
        <w:tc>
          <w:tcPr>
            <w:tcW w:w="531"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23.17%</w:t>
            </w:r>
          </w:p>
        </w:tc>
        <w:tc>
          <w:tcPr>
            <w:tcW w:w="843"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1,151,864,355.92</w:t>
            </w:r>
          </w:p>
        </w:tc>
        <w:tc>
          <w:tcPr>
            <w:tcW w:w="515"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76.83%</w:t>
            </w:r>
          </w:p>
        </w:tc>
      </w:tr>
    </w:tbl>
    <w:p w:rsidR="002716BD" w:rsidRPr="008707EB" w:rsidRDefault="002716BD"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注：易方达恒生国企联接（</w:t>
      </w:r>
      <w:r w:rsidRPr="008707EB">
        <w:rPr>
          <w:rFonts w:eastAsiaTheme="minorEastAsia"/>
          <w:kern w:val="0"/>
          <w:szCs w:val="21"/>
        </w:rPr>
        <w:t>QDII</w:t>
      </w:r>
      <w:r w:rsidRPr="008707EB">
        <w:rPr>
          <w:rFonts w:eastAsiaTheme="minorEastAsia"/>
          <w:kern w:val="0"/>
          <w:szCs w:val="21"/>
        </w:rPr>
        <w:t>）</w:t>
      </w:r>
      <w:r w:rsidRPr="008707EB">
        <w:rPr>
          <w:rFonts w:eastAsiaTheme="minorEastAsia"/>
          <w:kern w:val="0"/>
          <w:szCs w:val="21"/>
        </w:rPr>
        <w:t>A</w:t>
      </w:r>
      <w:r w:rsidRPr="008707EB">
        <w:rPr>
          <w:rFonts w:eastAsiaTheme="minorEastAsia"/>
          <w:kern w:val="0"/>
          <w:szCs w:val="21"/>
        </w:rPr>
        <w:t>的持有人户数及结构含</w:t>
      </w:r>
      <w:r w:rsidRPr="008707EB">
        <w:rPr>
          <w:rFonts w:eastAsiaTheme="minorEastAsia"/>
          <w:kern w:val="0"/>
          <w:szCs w:val="21"/>
        </w:rPr>
        <w:t>A</w:t>
      </w:r>
      <w:r w:rsidRPr="008707EB">
        <w:rPr>
          <w:rFonts w:eastAsiaTheme="minorEastAsia"/>
          <w:kern w:val="0"/>
          <w:szCs w:val="21"/>
        </w:rPr>
        <w:t>类人民币份额、</w:t>
      </w:r>
      <w:r w:rsidRPr="008707EB">
        <w:rPr>
          <w:rFonts w:eastAsiaTheme="minorEastAsia"/>
          <w:kern w:val="0"/>
          <w:szCs w:val="21"/>
        </w:rPr>
        <w:t>A</w:t>
      </w:r>
      <w:r w:rsidRPr="008707EB">
        <w:rPr>
          <w:rFonts w:eastAsiaTheme="minorEastAsia"/>
          <w:kern w:val="0"/>
          <w:szCs w:val="21"/>
        </w:rPr>
        <w:t>类美元现汇份额及</w:t>
      </w:r>
      <w:r w:rsidRPr="008707EB">
        <w:rPr>
          <w:rFonts w:eastAsiaTheme="minorEastAsia"/>
          <w:kern w:val="0"/>
          <w:szCs w:val="21"/>
        </w:rPr>
        <w:t>A</w:t>
      </w:r>
      <w:r w:rsidRPr="008707EB">
        <w:rPr>
          <w:rFonts w:eastAsiaTheme="minorEastAsia"/>
          <w:kern w:val="0"/>
          <w:szCs w:val="21"/>
        </w:rPr>
        <w:t>类美元现钞份额；易方达恒生国企联接（</w:t>
      </w:r>
      <w:r w:rsidRPr="008707EB">
        <w:rPr>
          <w:rFonts w:eastAsiaTheme="minorEastAsia"/>
          <w:kern w:val="0"/>
          <w:szCs w:val="21"/>
        </w:rPr>
        <w:t>QDII</w:t>
      </w:r>
      <w:r w:rsidRPr="008707EB">
        <w:rPr>
          <w:rFonts w:eastAsiaTheme="minorEastAsia"/>
          <w:kern w:val="0"/>
          <w:szCs w:val="21"/>
        </w:rPr>
        <w:t>）</w:t>
      </w:r>
      <w:r w:rsidRPr="008707EB">
        <w:rPr>
          <w:rFonts w:eastAsiaTheme="minorEastAsia"/>
          <w:kern w:val="0"/>
          <w:szCs w:val="21"/>
        </w:rPr>
        <w:t>C</w:t>
      </w:r>
      <w:r w:rsidRPr="008707EB">
        <w:rPr>
          <w:rFonts w:eastAsiaTheme="minorEastAsia"/>
          <w:kern w:val="0"/>
          <w:szCs w:val="21"/>
        </w:rPr>
        <w:t>的持有人户数及结构含</w:t>
      </w:r>
      <w:r w:rsidRPr="008707EB">
        <w:rPr>
          <w:rFonts w:eastAsiaTheme="minorEastAsia"/>
          <w:kern w:val="0"/>
          <w:szCs w:val="21"/>
        </w:rPr>
        <w:t>C</w:t>
      </w:r>
      <w:r w:rsidRPr="008707EB">
        <w:rPr>
          <w:rFonts w:eastAsiaTheme="minorEastAsia"/>
          <w:kern w:val="0"/>
          <w:szCs w:val="21"/>
        </w:rPr>
        <w:t>类人民币份额。</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304" w:name="_Toc390164837"/>
      <w:bookmarkStart w:id="305" w:name="_Toc48662510"/>
      <w:r w:rsidRPr="0087359D">
        <w:rPr>
          <w:rFonts w:ascii="宋体" w:hAnsi="宋体"/>
          <w:kern w:val="0"/>
          <w:sz w:val="21"/>
          <w:szCs w:val="21"/>
        </w:rPr>
        <w:t>8.2</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期末基金管理人的从业人员持有本基金的情况</w:t>
      </w:r>
      <w:bookmarkEnd w:id="301"/>
      <w:bookmarkEnd w:id="302"/>
      <w:bookmarkEnd w:id="303"/>
      <w:bookmarkEnd w:id="304"/>
      <w:bookmarkEnd w:id="305"/>
    </w:p>
    <w:tbl>
      <w:tblPr>
        <w:tblStyle w:val="af7"/>
        <w:tblW w:w="0" w:type="auto"/>
        <w:tblInd w:w="108" w:type="dxa"/>
        <w:tblLayout w:type="fixed"/>
        <w:tblLook w:val="04A0" w:firstRow="1" w:lastRow="0" w:firstColumn="1" w:lastColumn="0" w:noHBand="0" w:noVBand="1"/>
      </w:tblPr>
      <w:tblGrid>
        <w:gridCol w:w="2321"/>
        <w:gridCol w:w="2321"/>
        <w:gridCol w:w="2322"/>
        <w:gridCol w:w="2322"/>
      </w:tblGrid>
      <w:tr w:rsidR="00232443" w:rsidRPr="00C24ACA" w:rsidTr="005C3575">
        <w:tc>
          <w:tcPr>
            <w:tcW w:w="2321" w:type="dxa"/>
            <w:vAlign w:val="center"/>
          </w:tcPr>
          <w:p w:rsidR="00232443" w:rsidRPr="00C24ACA" w:rsidRDefault="00232443" w:rsidP="005C3575">
            <w:pPr>
              <w:pStyle w:val="a0"/>
              <w:ind w:firstLineChars="0" w:firstLine="0"/>
              <w:jc w:val="center"/>
              <w:rPr>
                <w:rFonts w:eastAsiaTheme="minorEastAsia"/>
                <w:szCs w:val="21"/>
              </w:rPr>
            </w:pPr>
            <w:bookmarkStart w:id="306" w:name="_Toc286911325"/>
            <w:bookmarkStart w:id="307" w:name="_Toc247957892"/>
            <w:r w:rsidRPr="00C24ACA">
              <w:rPr>
                <w:rFonts w:eastAsiaTheme="minorEastAsia"/>
                <w:szCs w:val="21"/>
              </w:rPr>
              <w:t>项目</w:t>
            </w:r>
          </w:p>
        </w:tc>
        <w:tc>
          <w:tcPr>
            <w:tcW w:w="2321" w:type="dxa"/>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szCs w:val="21"/>
              </w:rPr>
              <w:t>份额级别</w:t>
            </w:r>
          </w:p>
        </w:tc>
        <w:tc>
          <w:tcPr>
            <w:tcW w:w="2322" w:type="dxa"/>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szCs w:val="21"/>
              </w:rPr>
              <w:t>持有份额总数（份）</w:t>
            </w:r>
          </w:p>
        </w:tc>
        <w:tc>
          <w:tcPr>
            <w:tcW w:w="2322" w:type="dxa"/>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szCs w:val="21"/>
              </w:rPr>
              <w:t>占基金总份额比例</w:t>
            </w:r>
          </w:p>
        </w:tc>
      </w:tr>
      <w:tr w:rsidR="00232443" w:rsidRPr="00C24ACA" w:rsidTr="005C3575">
        <w:tc>
          <w:tcPr>
            <w:tcW w:w="2321" w:type="dxa"/>
            <w:vMerge w:val="restart"/>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color w:val="000000"/>
                <w:szCs w:val="21"/>
              </w:rPr>
              <w:t>基金管理人所有从业人员持有本基金</w:t>
            </w:r>
          </w:p>
        </w:tc>
        <w:tc>
          <w:tcPr>
            <w:tcW w:w="2321" w:type="dxa"/>
            <w:vAlign w:val="center"/>
          </w:tcPr>
          <w:p w:rsidR="00232443" w:rsidRPr="00C24ACA" w:rsidRDefault="00232443" w:rsidP="005C3575">
            <w:pPr>
              <w:jc w:val="center"/>
              <w:rPr>
                <w:rFonts w:eastAsiaTheme="minorEastAsia"/>
                <w:color w:val="000000"/>
                <w:kern w:val="0"/>
                <w:szCs w:val="21"/>
              </w:rPr>
            </w:pPr>
            <w:r w:rsidRPr="00C24ACA">
              <w:rPr>
                <w:rFonts w:eastAsiaTheme="minorEastAsia"/>
                <w:szCs w:val="21"/>
              </w:rPr>
              <w:t>易方达恒生国企联接（</w:t>
            </w:r>
            <w:r w:rsidRPr="00C24ACA">
              <w:rPr>
                <w:rFonts w:eastAsiaTheme="minorEastAsia"/>
                <w:szCs w:val="21"/>
              </w:rPr>
              <w:t>QDII</w:t>
            </w:r>
            <w:r w:rsidRPr="00C24ACA">
              <w:rPr>
                <w:rFonts w:eastAsiaTheme="minorEastAsia"/>
                <w:szCs w:val="21"/>
              </w:rPr>
              <w:t>）</w:t>
            </w:r>
            <w:r w:rsidRPr="00C24ACA">
              <w:rPr>
                <w:rFonts w:eastAsiaTheme="minorEastAsia"/>
                <w:szCs w:val="21"/>
              </w:rPr>
              <w:t>A</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399,521.19</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0.0306%</w:t>
            </w:r>
          </w:p>
        </w:tc>
      </w:tr>
      <w:tr w:rsidR="00232443" w:rsidRPr="00C24ACA" w:rsidTr="005C3575">
        <w:tc>
          <w:tcPr>
            <w:tcW w:w="2321" w:type="dxa"/>
            <w:vMerge/>
          </w:tcPr>
          <w:p w:rsidR="00232443" w:rsidRPr="00C24ACA" w:rsidRDefault="00232443" w:rsidP="005C3575">
            <w:pPr>
              <w:pStyle w:val="a0"/>
              <w:ind w:firstLineChars="0" w:firstLine="0"/>
              <w:rPr>
                <w:rFonts w:eastAsiaTheme="minorEastAsia"/>
                <w:szCs w:val="21"/>
              </w:rPr>
            </w:pPr>
          </w:p>
        </w:tc>
        <w:tc>
          <w:tcPr>
            <w:tcW w:w="2321" w:type="dxa"/>
            <w:vAlign w:val="center"/>
          </w:tcPr>
          <w:p w:rsidR="00232443" w:rsidRPr="00C24ACA" w:rsidRDefault="00232443" w:rsidP="005C3575">
            <w:pPr>
              <w:jc w:val="center"/>
              <w:rPr>
                <w:rFonts w:eastAsiaTheme="minorEastAsia"/>
                <w:color w:val="000000"/>
                <w:kern w:val="0"/>
                <w:szCs w:val="21"/>
              </w:rPr>
            </w:pPr>
            <w:r w:rsidRPr="00C24ACA">
              <w:rPr>
                <w:rFonts w:eastAsiaTheme="minorEastAsia"/>
                <w:szCs w:val="21"/>
              </w:rPr>
              <w:t>易方达恒生国企联接（</w:t>
            </w:r>
            <w:r w:rsidRPr="00C24ACA">
              <w:rPr>
                <w:rFonts w:eastAsiaTheme="minorEastAsia"/>
                <w:szCs w:val="21"/>
              </w:rPr>
              <w:t>QDII</w:t>
            </w:r>
            <w:r w:rsidRPr="00C24ACA">
              <w:rPr>
                <w:rFonts w:eastAsiaTheme="minorEastAsia"/>
                <w:szCs w:val="21"/>
              </w:rPr>
              <w:t>）</w:t>
            </w:r>
            <w:r w:rsidRPr="00C24ACA">
              <w:rPr>
                <w:rFonts w:eastAsiaTheme="minorEastAsia"/>
                <w:szCs w:val="21"/>
              </w:rPr>
              <w:t>C</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544,896.05</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0.2804%</w:t>
            </w:r>
          </w:p>
        </w:tc>
      </w:tr>
      <w:tr w:rsidR="00232443" w:rsidRPr="00C24ACA" w:rsidTr="005C3575">
        <w:tc>
          <w:tcPr>
            <w:tcW w:w="2321" w:type="dxa"/>
            <w:vMerge/>
          </w:tcPr>
          <w:p w:rsidR="00232443" w:rsidRPr="00C24ACA" w:rsidRDefault="00232443" w:rsidP="005C3575">
            <w:pPr>
              <w:pStyle w:val="a0"/>
              <w:ind w:firstLineChars="0" w:firstLine="0"/>
              <w:rPr>
                <w:rFonts w:eastAsiaTheme="minorEastAsia"/>
                <w:szCs w:val="21"/>
              </w:rPr>
            </w:pPr>
          </w:p>
        </w:tc>
        <w:tc>
          <w:tcPr>
            <w:tcW w:w="2321" w:type="dxa"/>
            <w:vAlign w:val="center"/>
          </w:tcPr>
          <w:p w:rsidR="00232443" w:rsidRPr="00C24ACA" w:rsidRDefault="00232443" w:rsidP="005C3575">
            <w:pPr>
              <w:widowControl/>
              <w:jc w:val="center"/>
              <w:rPr>
                <w:rFonts w:eastAsiaTheme="minorEastAsia"/>
                <w:color w:val="000000"/>
                <w:kern w:val="0"/>
                <w:szCs w:val="21"/>
              </w:rPr>
            </w:pPr>
            <w:r w:rsidRPr="00C24ACA">
              <w:rPr>
                <w:rFonts w:eastAsiaTheme="minorEastAsia"/>
                <w:color w:val="000000"/>
                <w:kern w:val="0"/>
                <w:szCs w:val="21"/>
              </w:rPr>
              <w:t>合计</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944,417.24</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0.0630%</w:t>
            </w:r>
          </w:p>
        </w:tc>
      </w:tr>
    </w:tbl>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注：基金管理人的从业人员持有的易方达恒生国企联接（</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A</w:t>
      </w:r>
      <w:r w:rsidRPr="00C24ACA">
        <w:rPr>
          <w:rFonts w:eastAsiaTheme="minorEastAsia"/>
          <w:kern w:val="0"/>
          <w:szCs w:val="21"/>
        </w:rPr>
        <w:t>类份额含</w:t>
      </w:r>
      <w:r w:rsidRPr="00C24ACA">
        <w:rPr>
          <w:rFonts w:eastAsiaTheme="minorEastAsia"/>
          <w:kern w:val="0"/>
          <w:szCs w:val="21"/>
        </w:rPr>
        <w:t>A</w:t>
      </w:r>
      <w:r w:rsidRPr="00C24ACA">
        <w:rPr>
          <w:rFonts w:eastAsiaTheme="minorEastAsia"/>
          <w:kern w:val="0"/>
          <w:szCs w:val="21"/>
        </w:rPr>
        <w:t>类人民币份额、</w:t>
      </w:r>
      <w:r w:rsidRPr="00C24ACA">
        <w:rPr>
          <w:rFonts w:eastAsiaTheme="minorEastAsia"/>
          <w:kern w:val="0"/>
          <w:szCs w:val="21"/>
        </w:rPr>
        <w:t>A</w:t>
      </w:r>
      <w:r w:rsidRPr="00C24ACA">
        <w:rPr>
          <w:rFonts w:eastAsiaTheme="minorEastAsia"/>
          <w:kern w:val="0"/>
          <w:szCs w:val="21"/>
        </w:rPr>
        <w:t>类美元现汇份额和</w:t>
      </w:r>
      <w:r w:rsidRPr="00C24ACA">
        <w:rPr>
          <w:rFonts w:eastAsiaTheme="minorEastAsia"/>
          <w:kern w:val="0"/>
          <w:szCs w:val="21"/>
        </w:rPr>
        <w:t>A</w:t>
      </w:r>
      <w:r w:rsidRPr="00C24ACA">
        <w:rPr>
          <w:rFonts w:eastAsiaTheme="minorEastAsia"/>
          <w:kern w:val="0"/>
          <w:szCs w:val="21"/>
        </w:rPr>
        <w:t>类美元现钞份额；易方达恒生国企联接（</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C</w:t>
      </w:r>
      <w:r w:rsidRPr="00C24ACA">
        <w:rPr>
          <w:rFonts w:eastAsiaTheme="minorEastAsia"/>
          <w:kern w:val="0"/>
          <w:szCs w:val="21"/>
        </w:rPr>
        <w:t>类份额含</w:t>
      </w:r>
      <w:r w:rsidRPr="00C24ACA">
        <w:rPr>
          <w:rFonts w:eastAsiaTheme="minorEastAsia"/>
          <w:kern w:val="0"/>
          <w:szCs w:val="21"/>
        </w:rPr>
        <w:t>C</w:t>
      </w:r>
      <w:r w:rsidRPr="00C24ACA">
        <w:rPr>
          <w:rFonts w:eastAsiaTheme="minorEastAsia"/>
          <w:kern w:val="0"/>
          <w:szCs w:val="21"/>
        </w:rPr>
        <w:t>类人民币份额。</w:t>
      </w:r>
      <w:bookmarkEnd w:id="306"/>
      <w:bookmarkEnd w:id="307"/>
    </w:p>
    <w:p w:rsidR="000B6328" w:rsidRPr="00A317EA" w:rsidRDefault="00251D61" w:rsidP="006C64F3">
      <w:pPr>
        <w:pStyle w:val="20"/>
        <w:spacing w:beforeLines="100" w:before="312" w:after="0"/>
        <w:rPr>
          <w:rFonts w:ascii="Times New Roman" w:eastAsiaTheme="minorEastAsia" w:hAnsi="Times New Roman"/>
          <w:kern w:val="0"/>
          <w:sz w:val="21"/>
          <w:szCs w:val="21"/>
        </w:rPr>
      </w:pPr>
      <w:bookmarkStart w:id="308" w:name="_Toc48662511"/>
      <w:r w:rsidRPr="0087359D">
        <w:rPr>
          <w:rFonts w:ascii="宋体" w:hAnsi="宋体"/>
          <w:kern w:val="0"/>
          <w:sz w:val="21"/>
          <w:szCs w:val="21"/>
        </w:rPr>
        <w:t>8.3</w:t>
      </w:r>
      <w:r w:rsidR="00982AAE" w:rsidRPr="009A2157">
        <w:rPr>
          <w:rFonts w:ascii="Times New Roman" w:eastAsiaTheme="minorEastAsia" w:hAnsi="Times New Roman"/>
          <w:kern w:val="0"/>
          <w:sz w:val="21"/>
          <w:szCs w:val="21"/>
        </w:rPr>
        <w:t xml:space="preserve">   </w:t>
      </w:r>
      <w:r w:rsidR="000B6328" w:rsidRPr="00A317EA">
        <w:rPr>
          <w:rFonts w:ascii="Times New Roman" w:eastAsiaTheme="minorEastAsia" w:hAnsi="Times New Roman"/>
          <w:kern w:val="0"/>
          <w:sz w:val="21"/>
          <w:szCs w:val="21"/>
        </w:rPr>
        <w:t>期末基金管理人的从业人员持有本开放式基金份额总量区间的情况</w:t>
      </w:r>
      <w:bookmarkEnd w:id="30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232443" w:rsidRPr="00C24ACA" w:rsidTr="00D0593F">
        <w:trPr>
          <w:trHeight w:val="285"/>
        </w:trPr>
        <w:tc>
          <w:tcPr>
            <w:tcW w:w="2548"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项目</w:t>
            </w: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份额级别</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持有基金份额总量的数量区间（万份）</w:t>
            </w:r>
          </w:p>
        </w:tc>
      </w:tr>
      <w:tr w:rsidR="00232443" w:rsidRPr="00C24ACA" w:rsidTr="00D0593F">
        <w:trPr>
          <w:trHeight w:val="285"/>
        </w:trPr>
        <w:tc>
          <w:tcPr>
            <w:tcW w:w="2548" w:type="dxa"/>
            <w:vMerge w:val="restart"/>
            <w:shd w:val="clear" w:color="auto" w:fill="auto"/>
            <w:tcMar>
              <w:top w:w="0" w:type="dxa"/>
              <w:left w:w="108" w:type="dxa"/>
              <w:bottom w:w="0" w:type="dxa"/>
              <w:right w:w="108" w:type="dxa"/>
            </w:tcMar>
            <w:vAlign w:val="center"/>
            <w:hideMark/>
          </w:tcPr>
          <w:p w:rsidR="00232443" w:rsidRPr="00C24ACA" w:rsidRDefault="00232443" w:rsidP="005C3575">
            <w:pPr>
              <w:widowControl/>
              <w:jc w:val="left"/>
              <w:rPr>
                <w:rFonts w:eastAsiaTheme="minorEastAsia"/>
                <w:kern w:val="0"/>
                <w:szCs w:val="21"/>
              </w:rPr>
            </w:pPr>
            <w:r w:rsidRPr="00C24ACA">
              <w:rPr>
                <w:rFonts w:eastAsiaTheme="minorEastAsia"/>
                <w:kern w:val="0"/>
                <w:szCs w:val="21"/>
              </w:rPr>
              <w:t>本公司高级管理人员、基金投资和研究部门负责人</w:t>
            </w:r>
            <w:r w:rsidRPr="00C24ACA">
              <w:rPr>
                <w:rFonts w:eastAsiaTheme="minor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易方达恒生国企联接（</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A</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D0593F">
        <w:trPr>
          <w:trHeight w:val="285"/>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易方达恒生国企联接（</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C</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D0593F">
        <w:trPr>
          <w:trHeight w:val="285"/>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合计</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D0593F">
        <w:trPr>
          <w:trHeight w:val="285"/>
        </w:trPr>
        <w:tc>
          <w:tcPr>
            <w:tcW w:w="2548" w:type="dxa"/>
            <w:vMerge w:val="restart"/>
            <w:shd w:val="clear" w:color="auto" w:fill="auto"/>
            <w:tcMar>
              <w:top w:w="0" w:type="dxa"/>
              <w:left w:w="108" w:type="dxa"/>
              <w:bottom w:w="0" w:type="dxa"/>
              <w:right w:w="108" w:type="dxa"/>
            </w:tcMar>
            <w:vAlign w:val="center"/>
            <w:hideMark/>
          </w:tcPr>
          <w:p w:rsidR="00232443" w:rsidRPr="00C24ACA" w:rsidRDefault="00232443" w:rsidP="005C3575">
            <w:pPr>
              <w:widowControl/>
              <w:jc w:val="left"/>
              <w:rPr>
                <w:rFonts w:eastAsiaTheme="minorEastAsia"/>
                <w:kern w:val="0"/>
                <w:szCs w:val="21"/>
              </w:rPr>
            </w:pPr>
            <w:r w:rsidRPr="00C24ACA">
              <w:rPr>
                <w:rFonts w:eastAsiaTheme="minorEastAsia"/>
                <w:kern w:val="0"/>
                <w:szCs w:val="21"/>
              </w:rPr>
              <w:t>本基金基金经理</w:t>
            </w:r>
            <w:r w:rsidRPr="00C24ACA">
              <w:rPr>
                <w:rFonts w:eastAsiaTheme="minor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易方达恒生国企联接（</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A</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D0593F">
        <w:trPr>
          <w:trHeight w:val="525"/>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易方达恒生国企联接（</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C</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D0593F">
        <w:trPr>
          <w:trHeight w:val="653"/>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合计</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bl>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309" w:name="_Toc225500053"/>
      <w:bookmarkStart w:id="310" w:name="_Toc352256009"/>
      <w:bookmarkStart w:id="311" w:name="_Toc352256077"/>
      <w:bookmarkStart w:id="312" w:name="_Toc352331255"/>
      <w:bookmarkStart w:id="313" w:name="_Toc390164839"/>
      <w:bookmarkStart w:id="314" w:name="_Toc48662512"/>
      <w:r w:rsidRPr="00A432E9">
        <w:rPr>
          <w:rFonts w:ascii="Times New Roman" w:hAnsi="Times New Roman"/>
          <w:bCs w:val="0"/>
          <w:color w:val="000000"/>
          <w:sz w:val="21"/>
          <w:szCs w:val="21"/>
        </w:rPr>
        <w:t>9</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开放式基金份额变动</w:t>
      </w:r>
      <w:bookmarkEnd w:id="309"/>
      <w:bookmarkEnd w:id="310"/>
      <w:bookmarkEnd w:id="311"/>
      <w:bookmarkEnd w:id="312"/>
      <w:bookmarkEnd w:id="313"/>
      <w:bookmarkEnd w:id="314"/>
    </w:p>
    <w:p w:rsidR="008A5A5D" w:rsidRPr="00C24ACA" w:rsidRDefault="008A5A5D" w:rsidP="002116B9">
      <w:pPr>
        <w:jc w:val="right"/>
        <w:rPr>
          <w:rFonts w:eastAsiaTheme="minorEastAsia"/>
          <w:szCs w:val="21"/>
        </w:rPr>
      </w:pPr>
      <w:r w:rsidRPr="00C24ACA">
        <w:rPr>
          <w:rFonts w:eastAsiaTheme="minorEastAsia"/>
          <w:szCs w:val="21"/>
        </w:rPr>
        <w:t>单位：份</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DE1120" w:rsidRPr="00C24ACA" w:rsidTr="005C3575">
        <w:tc>
          <w:tcPr>
            <w:tcW w:w="1771" w:type="pct"/>
            <w:vAlign w:val="center"/>
          </w:tcPr>
          <w:p w:rsidR="00DE1120" w:rsidRPr="00C24ACA" w:rsidRDefault="00DE1120" w:rsidP="005C3575">
            <w:pPr>
              <w:jc w:val="center"/>
              <w:rPr>
                <w:rFonts w:eastAsiaTheme="minorEastAsia"/>
                <w:szCs w:val="21"/>
              </w:rPr>
            </w:pPr>
            <w:r w:rsidRPr="00C24ACA">
              <w:rPr>
                <w:rFonts w:eastAsiaTheme="minorEastAsia"/>
                <w:szCs w:val="21"/>
              </w:rPr>
              <w:t>项目</w:t>
            </w:r>
          </w:p>
        </w:tc>
        <w:tc>
          <w:tcPr>
            <w:tcW w:w="1614" w:type="pct"/>
            <w:vAlign w:val="center"/>
          </w:tcPr>
          <w:p w:rsidR="00DE1120" w:rsidRPr="00C24ACA" w:rsidRDefault="00DE1120" w:rsidP="005C3575">
            <w:pPr>
              <w:jc w:val="center"/>
              <w:rPr>
                <w:rFonts w:eastAsiaTheme="minorEastAsia"/>
                <w:szCs w:val="21"/>
              </w:rPr>
            </w:pPr>
            <w:r w:rsidRPr="00C24ACA">
              <w:rPr>
                <w:rFonts w:eastAsiaTheme="minorEastAsia"/>
                <w:szCs w:val="21"/>
              </w:rPr>
              <w:t>易方达恒生国企联接（</w:t>
            </w:r>
            <w:r w:rsidRPr="00C24ACA">
              <w:rPr>
                <w:rFonts w:eastAsiaTheme="minorEastAsia"/>
                <w:szCs w:val="21"/>
              </w:rPr>
              <w:t>QDII</w:t>
            </w:r>
            <w:r w:rsidRPr="00C24ACA">
              <w:rPr>
                <w:rFonts w:eastAsiaTheme="minorEastAsia"/>
                <w:szCs w:val="21"/>
              </w:rPr>
              <w:t>）</w:t>
            </w:r>
            <w:r w:rsidRPr="00C24ACA">
              <w:rPr>
                <w:rFonts w:eastAsiaTheme="minorEastAsia"/>
                <w:szCs w:val="21"/>
              </w:rPr>
              <w:t>A</w:t>
            </w:r>
          </w:p>
        </w:tc>
        <w:tc>
          <w:tcPr>
            <w:tcW w:w="1615" w:type="pct"/>
            <w:vAlign w:val="center"/>
          </w:tcPr>
          <w:p w:rsidR="00DE1120" w:rsidRPr="00C24ACA" w:rsidRDefault="00DE1120" w:rsidP="005C3575">
            <w:pPr>
              <w:jc w:val="center"/>
              <w:rPr>
                <w:rFonts w:eastAsiaTheme="minorEastAsia"/>
                <w:szCs w:val="21"/>
              </w:rPr>
            </w:pPr>
            <w:r w:rsidRPr="00C24ACA">
              <w:rPr>
                <w:rFonts w:eastAsiaTheme="minorEastAsia"/>
                <w:szCs w:val="21"/>
              </w:rPr>
              <w:t>易方达恒生国企联接（</w:t>
            </w:r>
            <w:r w:rsidRPr="00C24ACA">
              <w:rPr>
                <w:rFonts w:eastAsiaTheme="minorEastAsia"/>
                <w:szCs w:val="21"/>
              </w:rPr>
              <w:t>QDII</w:t>
            </w:r>
            <w:r w:rsidRPr="00C24ACA">
              <w:rPr>
                <w:rFonts w:eastAsiaTheme="minorEastAsia"/>
                <w:szCs w:val="21"/>
              </w:rPr>
              <w:t>）</w:t>
            </w:r>
            <w:r w:rsidRPr="00C24ACA">
              <w:rPr>
                <w:rFonts w:eastAsiaTheme="minorEastAsia"/>
                <w:szCs w:val="21"/>
              </w:rPr>
              <w:t>C</w:t>
            </w:r>
          </w:p>
        </w:tc>
      </w:tr>
      <w:tr w:rsidR="00DE1120" w:rsidRPr="00C24ACA" w:rsidTr="005C3575">
        <w:tc>
          <w:tcPr>
            <w:tcW w:w="1771" w:type="pct"/>
          </w:tcPr>
          <w:p w:rsidR="00DE1120" w:rsidRPr="00C24ACA" w:rsidRDefault="00DE1120" w:rsidP="005C3575">
            <w:pPr>
              <w:rPr>
                <w:rFonts w:eastAsiaTheme="minorEastAsia"/>
                <w:szCs w:val="21"/>
              </w:rPr>
            </w:pPr>
            <w:r w:rsidRPr="00C24ACA">
              <w:rPr>
                <w:rFonts w:eastAsiaTheme="minorEastAsia"/>
                <w:szCs w:val="21"/>
              </w:rPr>
              <w:t>基金合同生效日（</w:t>
            </w:r>
            <w:r w:rsidRPr="00C24ACA">
              <w:rPr>
                <w:rFonts w:eastAsiaTheme="minorEastAsia"/>
                <w:szCs w:val="21"/>
              </w:rPr>
              <w:t>2012</w:t>
            </w:r>
            <w:r w:rsidRPr="00C24ACA">
              <w:rPr>
                <w:rFonts w:eastAsiaTheme="minorEastAsia"/>
                <w:szCs w:val="21"/>
              </w:rPr>
              <w:t>年</w:t>
            </w:r>
            <w:r w:rsidRPr="00C24ACA">
              <w:rPr>
                <w:rFonts w:eastAsiaTheme="minorEastAsia"/>
                <w:szCs w:val="21"/>
              </w:rPr>
              <w:t>8</w:t>
            </w:r>
            <w:r w:rsidRPr="00C24ACA">
              <w:rPr>
                <w:rFonts w:eastAsiaTheme="minorEastAsia"/>
                <w:szCs w:val="21"/>
              </w:rPr>
              <w:t>月</w:t>
            </w:r>
            <w:r w:rsidRPr="00C24ACA">
              <w:rPr>
                <w:rFonts w:eastAsiaTheme="minorEastAsia"/>
                <w:szCs w:val="21"/>
              </w:rPr>
              <w:t>21</w:t>
            </w:r>
            <w:r w:rsidRPr="00C24ACA">
              <w:rPr>
                <w:rFonts w:eastAsiaTheme="minorEastAsia"/>
                <w:szCs w:val="21"/>
              </w:rPr>
              <w:t>日）基金份额总额</w:t>
            </w:r>
          </w:p>
        </w:tc>
        <w:tc>
          <w:tcPr>
            <w:tcW w:w="1614" w:type="pct"/>
            <w:vAlign w:val="center"/>
          </w:tcPr>
          <w:p w:rsidR="00DE1120" w:rsidRPr="00C24ACA" w:rsidRDefault="00DE1120" w:rsidP="005C3575">
            <w:pPr>
              <w:jc w:val="right"/>
              <w:rPr>
                <w:rFonts w:eastAsiaTheme="minorEastAsia"/>
                <w:szCs w:val="21"/>
              </w:rPr>
            </w:pPr>
            <w:r w:rsidRPr="00C24ACA">
              <w:rPr>
                <w:rFonts w:eastAsiaTheme="minorEastAsia"/>
                <w:szCs w:val="21"/>
              </w:rPr>
              <w:t>3,221,784,925.61</w:t>
            </w:r>
          </w:p>
        </w:tc>
        <w:tc>
          <w:tcPr>
            <w:tcW w:w="1615" w:type="pct"/>
            <w:vAlign w:val="center"/>
          </w:tcPr>
          <w:p w:rsidR="00DE1120" w:rsidRPr="00C24ACA" w:rsidRDefault="00DE1120" w:rsidP="005C3575">
            <w:pPr>
              <w:jc w:val="right"/>
              <w:rPr>
                <w:rFonts w:eastAsiaTheme="minorEastAsia"/>
                <w:szCs w:val="21"/>
              </w:rPr>
            </w:pPr>
            <w:r w:rsidRPr="00C24ACA">
              <w:rPr>
                <w:rFonts w:eastAsiaTheme="minorEastAsia"/>
                <w:szCs w:val="21"/>
              </w:rPr>
              <w:t>-</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本报告期期初基金份额总额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1,429,420,128.29</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134,992,981.64</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本报告期基金总申购份额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765,670,759.86</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520,792,556.10</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减：本报告期基金总赎回份额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890,117,973.12</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461,473,370.64</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本报告期基金拆分变动份额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本报告期期末基金份额总额</w:t>
            </w:r>
          </w:p>
        </w:tc>
        <w:tc>
          <w:tcPr>
            <w:tcW w:w="1614" w:type="pct"/>
            <w:vAlign w:val="center"/>
          </w:tcPr>
          <w:p w:rsidR="00DE1120" w:rsidRPr="00C24ACA" w:rsidRDefault="00DE1120" w:rsidP="005C3575">
            <w:pPr>
              <w:jc w:val="right"/>
              <w:rPr>
                <w:rFonts w:eastAsiaTheme="minorEastAsia"/>
                <w:szCs w:val="21"/>
              </w:rPr>
            </w:pPr>
            <w:r w:rsidRPr="00C24ACA">
              <w:rPr>
                <w:rFonts w:eastAsiaTheme="minorEastAsia"/>
                <w:szCs w:val="21"/>
              </w:rPr>
              <w:t>1,304,972,915.03</w:t>
            </w:r>
          </w:p>
        </w:tc>
        <w:tc>
          <w:tcPr>
            <w:tcW w:w="1615" w:type="pct"/>
            <w:vAlign w:val="center"/>
          </w:tcPr>
          <w:p w:rsidR="00DE1120" w:rsidRPr="00C24ACA" w:rsidRDefault="00DE1120" w:rsidP="005C3575">
            <w:pPr>
              <w:jc w:val="right"/>
              <w:rPr>
                <w:rFonts w:eastAsiaTheme="minorEastAsia"/>
                <w:szCs w:val="21"/>
              </w:rPr>
            </w:pPr>
            <w:r w:rsidRPr="00C24ACA">
              <w:rPr>
                <w:rFonts w:eastAsiaTheme="minorEastAsia"/>
                <w:szCs w:val="21"/>
              </w:rPr>
              <w:t>194,312,167.10</w:t>
            </w:r>
          </w:p>
        </w:tc>
      </w:tr>
    </w:tbl>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注：易方达恒生国企联接（</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A</w:t>
      </w:r>
      <w:r w:rsidRPr="00C24ACA">
        <w:rPr>
          <w:rFonts w:eastAsiaTheme="minorEastAsia"/>
          <w:kern w:val="0"/>
          <w:szCs w:val="21"/>
        </w:rPr>
        <w:t>份额变动含</w:t>
      </w:r>
      <w:r w:rsidRPr="00C24ACA">
        <w:rPr>
          <w:rFonts w:eastAsiaTheme="minorEastAsia"/>
          <w:kern w:val="0"/>
          <w:szCs w:val="21"/>
        </w:rPr>
        <w:t>A</w:t>
      </w:r>
      <w:r w:rsidRPr="00C24ACA">
        <w:rPr>
          <w:rFonts w:eastAsiaTheme="minorEastAsia"/>
          <w:kern w:val="0"/>
          <w:szCs w:val="21"/>
        </w:rPr>
        <w:t>类人民币份额、</w:t>
      </w:r>
      <w:r w:rsidRPr="00C24ACA">
        <w:rPr>
          <w:rFonts w:eastAsiaTheme="minorEastAsia"/>
          <w:kern w:val="0"/>
          <w:szCs w:val="21"/>
        </w:rPr>
        <w:t>A</w:t>
      </w:r>
      <w:r w:rsidRPr="00C24ACA">
        <w:rPr>
          <w:rFonts w:eastAsiaTheme="minorEastAsia"/>
          <w:kern w:val="0"/>
          <w:szCs w:val="21"/>
        </w:rPr>
        <w:t>类美元现汇份额及</w:t>
      </w:r>
      <w:r w:rsidRPr="00C24ACA">
        <w:rPr>
          <w:rFonts w:eastAsiaTheme="minorEastAsia"/>
          <w:kern w:val="0"/>
          <w:szCs w:val="21"/>
        </w:rPr>
        <w:t>A</w:t>
      </w:r>
      <w:r w:rsidRPr="00C24ACA">
        <w:rPr>
          <w:rFonts w:eastAsiaTheme="minorEastAsia"/>
          <w:kern w:val="0"/>
          <w:szCs w:val="21"/>
        </w:rPr>
        <w:t>类美元现钞份额；易方达恒生国企联接（</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C</w:t>
      </w:r>
      <w:r w:rsidRPr="00C24ACA">
        <w:rPr>
          <w:rFonts w:eastAsiaTheme="minorEastAsia"/>
          <w:kern w:val="0"/>
          <w:szCs w:val="21"/>
        </w:rPr>
        <w:t>份额变动含</w:t>
      </w:r>
      <w:r w:rsidRPr="00C24ACA">
        <w:rPr>
          <w:rFonts w:eastAsiaTheme="minorEastAsia"/>
          <w:kern w:val="0"/>
          <w:szCs w:val="21"/>
        </w:rPr>
        <w:t>C</w:t>
      </w:r>
      <w:r w:rsidRPr="00C24ACA">
        <w:rPr>
          <w:rFonts w:eastAsiaTheme="minorEastAsia"/>
          <w:kern w:val="0"/>
          <w:szCs w:val="21"/>
        </w:rPr>
        <w:t>类人民币份额。</w:t>
      </w:r>
    </w:p>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315" w:name="_Toc225500054"/>
      <w:bookmarkStart w:id="316" w:name="_Toc352256010"/>
      <w:bookmarkStart w:id="317" w:name="_Toc352256078"/>
      <w:bookmarkStart w:id="318" w:name="_Toc352331256"/>
      <w:bookmarkStart w:id="319" w:name="_Toc390164840"/>
      <w:bookmarkStart w:id="320" w:name="_Toc48662513"/>
      <w:r w:rsidRPr="000C6CCD">
        <w:rPr>
          <w:rFonts w:ascii="宋体" w:hAnsi="宋体"/>
          <w:bCs w:val="0"/>
          <w:color w:val="000000"/>
          <w:sz w:val="21"/>
          <w:szCs w:val="21"/>
        </w:rPr>
        <w:t>10</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重大事件揭示</w:t>
      </w:r>
      <w:bookmarkEnd w:id="315"/>
      <w:bookmarkEnd w:id="316"/>
      <w:bookmarkEnd w:id="317"/>
      <w:bookmarkEnd w:id="318"/>
      <w:bookmarkEnd w:id="319"/>
      <w:bookmarkEnd w:id="320"/>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321" w:name="_Toc352256011"/>
      <w:bookmarkStart w:id="322" w:name="_Toc352256079"/>
      <w:bookmarkStart w:id="323" w:name="_Toc352331257"/>
      <w:bookmarkStart w:id="324" w:name="_Toc390164841"/>
      <w:bookmarkStart w:id="325" w:name="_Toc48662514"/>
      <w:r w:rsidRPr="0087359D">
        <w:rPr>
          <w:rFonts w:ascii="宋体" w:hAnsi="宋体"/>
          <w:kern w:val="0"/>
          <w:sz w:val="21"/>
          <w:szCs w:val="21"/>
        </w:rPr>
        <w:t>10.</w:t>
      </w:r>
      <w:r w:rsidR="00F0322F">
        <w:rPr>
          <w:rFonts w:ascii="宋体" w:hAnsi="宋体" w:hint="eastAsia"/>
          <w:kern w:val="0"/>
          <w:sz w:val="21"/>
          <w:szCs w:val="21"/>
        </w:rPr>
        <w:t>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基金份额持有人大会决议</w:t>
      </w:r>
      <w:bookmarkEnd w:id="321"/>
      <w:bookmarkEnd w:id="322"/>
      <w:bookmarkEnd w:id="323"/>
      <w:bookmarkEnd w:id="324"/>
      <w:bookmarkEnd w:id="325"/>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本报告期内未召开基金份额持有人大会。</w:t>
      </w:r>
    </w:p>
    <w:p w:rsidR="008A5A5D" w:rsidRPr="00C24ACA" w:rsidRDefault="00F0322F" w:rsidP="006C64F3">
      <w:pPr>
        <w:pStyle w:val="20"/>
        <w:spacing w:beforeLines="100" w:before="312" w:after="0"/>
        <w:rPr>
          <w:rFonts w:ascii="Times New Roman" w:eastAsiaTheme="minorEastAsia" w:hAnsi="Times New Roman"/>
          <w:kern w:val="0"/>
          <w:sz w:val="21"/>
          <w:szCs w:val="21"/>
        </w:rPr>
      </w:pPr>
      <w:bookmarkStart w:id="326" w:name="_Toc352256012"/>
      <w:bookmarkStart w:id="327" w:name="_Toc352256080"/>
      <w:bookmarkStart w:id="328" w:name="_Toc352331258"/>
      <w:bookmarkStart w:id="329" w:name="_Toc390164842"/>
      <w:bookmarkStart w:id="330" w:name="_Toc48662515"/>
      <w:r w:rsidRPr="0087359D">
        <w:rPr>
          <w:rFonts w:ascii="宋体" w:hAnsi="宋体"/>
          <w:kern w:val="0"/>
          <w:sz w:val="21"/>
          <w:szCs w:val="21"/>
        </w:rPr>
        <w:t>10.</w:t>
      </w:r>
      <w:r>
        <w:rPr>
          <w:rFonts w:ascii="宋体" w:hAnsi="宋体" w:hint="eastAsia"/>
          <w:kern w:val="0"/>
          <w:sz w:val="21"/>
          <w:szCs w:val="21"/>
        </w:rPr>
        <w:t>2</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基金管理人、基金托管人的专门基金托管部门的重大人事变动</w:t>
      </w:r>
      <w:bookmarkEnd w:id="326"/>
      <w:bookmarkEnd w:id="327"/>
      <w:bookmarkEnd w:id="328"/>
      <w:bookmarkEnd w:id="329"/>
      <w:bookmarkEnd w:id="330"/>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本基金管理人于</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22</w:t>
      </w:r>
      <w:r>
        <w:rPr>
          <w:rFonts w:eastAsiaTheme="minorEastAsia"/>
          <w:kern w:val="0"/>
          <w:szCs w:val="21"/>
        </w:rPr>
        <w:t>日发布公告，自</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22</w:t>
      </w:r>
      <w:r>
        <w:rPr>
          <w:rFonts w:eastAsiaTheme="minorEastAsia"/>
          <w:kern w:val="0"/>
          <w:szCs w:val="21"/>
        </w:rPr>
        <w:t>日起聘任张坤先生、陈丽园女士担任公司副总经理级高级管理人员。</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本报告期内本基金托管人的专门基金托管部门未发生重大人事变动。</w:t>
      </w:r>
    </w:p>
    <w:p w:rsidR="008A5A5D" w:rsidRPr="00C24ACA" w:rsidRDefault="00F0322F" w:rsidP="006C64F3">
      <w:pPr>
        <w:pStyle w:val="20"/>
        <w:spacing w:beforeLines="100" w:before="312" w:after="0"/>
        <w:rPr>
          <w:rFonts w:ascii="Times New Roman" w:eastAsiaTheme="minorEastAsia" w:hAnsi="Times New Roman"/>
          <w:kern w:val="0"/>
          <w:sz w:val="21"/>
          <w:szCs w:val="21"/>
        </w:rPr>
      </w:pPr>
      <w:bookmarkStart w:id="331" w:name="_Toc352256013"/>
      <w:bookmarkStart w:id="332" w:name="_Toc352256081"/>
      <w:bookmarkStart w:id="333" w:name="_Toc352331259"/>
      <w:bookmarkStart w:id="334" w:name="_Toc390164843"/>
      <w:bookmarkStart w:id="335" w:name="_Toc48662516"/>
      <w:r w:rsidRPr="0087359D">
        <w:rPr>
          <w:rFonts w:ascii="宋体" w:hAnsi="宋体"/>
          <w:kern w:val="0"/>
          <w:sz w:val="21"/>
          <w:szCs w:val="21"/>
        </w:rPr>
        <w:t>10.</w:t>
      </w:r>
      <w:r>
        <w:rPr>
          <w:rFonts w:ascii="宋体" w:hAnsi="宋体" w:hint="eastAsia"/>
          <w:kern w:val="0"/>
          <w:sz w:val="21"/>
          <w:szCs w:val="21"/>
        </w:rPr>
        <w:t>3</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涉及基金管理人、基金财产、基金托管业务的诉讼</w:t>
      </w:r>
      <w:bookmarkEnd w:id="331"/>
      <w:bookmarkEnd w:id="332"/>
      <w:bookmarkEnd w:id="333"/>
      <w:bookmarkEnd w:id="334"/>
      <w:bookmarkEnd w:id="335"/>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本报告期内无涉及本基金管理人、基金财产、基金托管业务的诉讼事项。</w:t>
      </w:r>
    </w:p>
    <w:p w:rsidR="008A5A5D" w:rsidRPr="00C24ACA" w:rsidRDefault="00F0322F" w:rsidP="006C64F3">
      <w:pPr>
        <w:pStyle w:val="20"/>
        <w:spacing w:beforeLines="100" w:before="312" w:after="0"/>
        <w:rPr>
          <w:rFonts w:ascii="Times New Roman" w:eastAsiaTheme="minorEastAsia" w:hAnsi="Times New Roman"/>
          <w:kern w:val="0"/>
          <w:sz w:val="21"/>
          <w:szCs w:val="21"/>
        </w:rPr>
      </w:pPr>
      <w:bookmarkStart w:id="336" w:name="_Toc352256014"/>
      <w:bookmarkStart w:id="337" w:name="_Toc352256082"/>
      <w:bookmarkStart w:id="338" w:name="_Toc352331260"/>
      <w:bookmarkStart w:id="339" w:name="_Toc390164844"/>
      <w:bookmarkStart w:id="340" w:name="_Toc48662517"/>
      <w:r w:rsidRPr="0087359D">
        <w:rPr>
          <w:rFonts w:ascii="宋体" w:hAnsi="宋体"/>
          <w:kern w:val="0"/>
          <w:sz w:val="21"/>
          <w:szCs w:val="21"/>
        </w:rPr>
        <w:t>10.</w:t>
      </w:r>
      <w:r>
        <w:rPr>
          <w:rFonts w:ascii="宋体" w:hAnsi="宋体" w:hint="eastAsia"/>
          <w:kern w:val="0"/>
          <w:sz w:val="21"/>
          <w:szCs w:val="21"/>
        </w:rPr>
        <w:t>4</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基金投资策略的改变</w:t>
      </w:r>
      <w:bookmarkEnd w:id="336"/>
      <w:bookmarkEnd w:id="337"/>
      <w:bookmarkEnd w:id="338"/>
      <w:bookmarkEnd w:id="339"/>
      <w:bookmarkEnd w:id="340"/>
    </w:p>
    <w:p w:rsidR="00F0322F" w:rsidRPr="00F13227"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本报告期内本基金的投资策略未有重大变化。</w:t>
      </w:r>
    </w:p>
    <w:p w:rsidR="008A5A5D" w:rsidRPr="00C24ACA" w:rsidRDefault="00F0322F" w:rsidP="006C64F3">
      <w:pPr>
        <w:pStyle w:val="20"/>
        <w:spacing w:beforeLines="100" w:before="312" w:after="0"/>
        <w:rPr>
          <w:rFonts w:ascii="Times New Roman" w:eastAsiaTheme="minorEastAsia" w:hAnsi="Times New Roman"/>
          <w:kern w:val="0"/>
          <w:sz w:val="21"/>
          <w:szCs w:val="21"/>
        </w:rPr>
      </w:pPr>
      <w:bookmarkStart w:id="341" w:name="_Toc352256015"/>
      <w:bookmarkStart w:id="342" w:name="_Toc352256083"/>
      <w:bookmarkStart w:id="343" w:name="_Toc352331261"/>
      <w:bookmarkStart w:id="344" w:name="_Toc390164845"/>
      <w:bookmarkStart w:id="345" w:name="_Toc48662518"/>
      <w:r w:rsidRPr="0087359D">
        <w:rPr>
          <w:rFonts w:ascii="宋体" w:hAnsi="宋体"/>
          <w:kern w:val="0"/>
          <w:sz w:val="21"/>
          <w:szCs w:val="21"/>
        </w:rPr>
        <w:t>10.</w:t>
      </w:r>
      <w:r>
        <w:rPr>
          <w:rFonts w:ascii="宋体" w:hAnsi="宋体" w:hint="eastAsia"/>
          <w:kern w:val="0"/>
          <w:sz w:val="21"/>
          <w:szCs w:val="21"/>
        </w:rPr>
        <w:t>5</w:t>
      </w:r>
      <w:r w:rsidR="00982AAE" w:rsidRPr="009A2157">
        <w:rPr>
          <w:rFonts w:ascii="Times New Roman" w:eastAsiaTheme="minorEastAsia" w:hAnsi="Times New Roman"/>
          <w:kern w:val="0"/>
          <w:sz w:val="21"/>
          <w:szCs w:val="21"/>
        </w:rPr>
        <w:t xml:space="preserve">  </w:t>
      </w:r>
      <w:bookmarkEnd w:id="341"/>
      <w:bookmarkEnd w:id="342"/>
      <w:bookmarkEnd w:id="343"/>
      <w:bookmarkEnd w:id="344"/>
      <w:r w:rsidR="00C46FA8" w:rsidRPr="0087410D">
        <w:rPr>
          <w:rFonts w:ascii="宋体" w:hAnsi="宋体" w:hint="eastAsia"/>
          <w:kern w:val="0"/>
          <w:sz w:val="21"/>
          <w:szCs w:val="21"/>
        </w:rPr>
        <w:t>为基金进行审计的会计师事务所情况</w:t>
      </w:r>
      <w:bookmarkEnd w:id="345"/>
    </w:p>
    <w:p w:rsidR="008A5A5D" w:rsidRPr="00C24ACA" w:rsidRDefault="008A5A5D" w:rsidP="008707EB">
      <w:pPr>
        <w:tabs>
          <w:tab w:val="left" w:pos="426"/>
        </w:tabs>
        <w:spacing w:line="360" w:lineRule="auto"/>
        <w:ind w:firstLineChars="200" w:firstLine="420"/>
        <w:rPr>
          <w:rFonts w:eastAsiaTheme="minorEastAsia"/>
          <w:kern w:val="0"/>
          <w:szCs w:val="21"/>
        </w:rPr>
      </w:pPr>
      <w:bookmarkStart w:id="346" w:name="OLE_LINK3"/>
      <w:r w:rsidRPr="00C24ACA">
        <w:rPr>
          <w:rFonts w:eastAsiaTheme="minorEastAsia"/>
          <w:kern w:val="0"/>
          <w:szCs w:val="21"/>
        </w:rPr>
        <w:t>本报告期内本基金未改聘会计师事务所。</w:t>
      </w:r>
    </w:p>
    <w:p w:rsidR="008A5A5D" w:rsidRPr="00C24ACA" w:rsidRDefault="00F0322F" w:rsidP="006C64F3">
      <w:pPr>
        <w:pStyle w:val="20"/>
        <w:spacing w:beforeLines="100" w:before="312" w:after="0"/>
        <w:rPr>
          <w:rFonts w:ascii="Times New Roman" w:eastAsiaTheme="minorEastAsia" w:hAnsi="Times New Roman"/>
          <w:kern w:val="0"/>
          <w:sz w:val="21"/>
          <w:szCs w:val="21"/>
        </w:rPr>
      </w:pPr>
      <w:bookmarkStart w:id="347" w:name="_Toc352256016"/>
      <w:bookmarkStart w:id="348" w:name="_Toc352256084"/>
      <w:bookmarkStart w:id="349" w:name="_Toc352331262"/>
      <w:bookmarkStart w:id="350" w:name="_Toc390164846"/>
      <w:bookmarkStart w:id="351" w:name="_Toc48662519"/>
      <w:bookmarkEnd w:id="346"/>
      <w:r w:rsidRPr="0087359D">
        <w:rPr>
          <w:rFonts w:ascii="宋体" w:hAnsi="宋体"/>
          <w:kern w:val="0"/>
          <w:sz w:val="21"/>
          <w:szCs w:val="21"/>
        </w:rPr>
        <w:t>10.</w:t>
      </w:r>
      <w:r>
        <w:rPr>
          <w:rFonts w:ascii="宋体" w:hAnsi="宋体" w:hint="eastAsia"/>
          <w:kern w:val="0"/>
          <w:sz w:val="21"/>
          <w:szCs w:val="21"/>
        </w:rPr>
        <w:t>6</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管理人、托管人及其高级管理人员受稽查或处罚等情况</w:t>
      </w:r>
      <w:bookmarkEnd w:id="347"/>
      <w:bookmarkEnd w:id="348"/>
      <w:bookmarkEnd w:id="349"/>
      <w:bookmarkEnd w:id="350"/>
      <w:bookmarkEnd w:id="351"/>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本报告期内，本基金管理人和托管人托管业务部门及其相关高级管理人员未受到稽查或处罚。</w:t>
      </w:r>
    </w:p>
    <w:p w:rsidR="008A5A5D" w:rsidRPr="00C24ACA" w:rsidRDefault="00F0322F" w:rsidP="006C64F3">
      <w:pPr>
        <w:pStyle w:val="20"/>
        <w:spacing w:beforeLines="100" w:before="312" w:after="0"/>
        <w:rPr>
          <w:rFonts w:ascii="Times New Roman" w:eastAsiaTheme="minorEastAsia" w:hAnsi="Times New Roman"/>
          <w:kern w:val="0"/>
          <w:sz w:val="21"/>
          <w:szCs w:val="21"/>
        </w:rPr>
      </w:pPr>
      <w:bookmarkStart w:id="352" w:name="_Toc352256017"/>
      <w:bookmarkStart w:id="353" w:name="_Toc352256085"/>
      <w:bookmarkStart w:id="354" w:name="_Toc352331263"/>
      <w:bookmarkStart w:id="355" w:name="_Toc390164847"/>
      <w:bookmarkStart w:id="356" w:name="_Toc48662520"/>
      <w:r w:rsidRPr="0087359D">
        <w:rPr>
          <w:rFonts w:ascii="宋体" w:hAnsi="宋体"/>
          <w:kern w:val="0"/>
          <w:sz w:val="21"/>
          <w:szCs w:val="21"/>
        </w:rPr>
        <w:t>10.</w:t>
      </w:r>
      <w:r>
        <w:rPr>
          <w:rFonts w:ascii="宋体" w:hAnsi="宋体" w:hint="eastAsia"/>
          <w:kern w:val="0"/>
          <w:sz w:val="21"/>
          <w:szCs w:val="21"/>
        </w:rPr>
        <w:t>7</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基金租用证券公司交易单元的有关情况</w:t>
      </w:r>
      <w:bookmarkEnd w:id="352"/>
      <w:bookmarkEnd w:id="353"/>
      <w:bookmarkEnd w:id="354"/>
      <w:bookmarkEnd w:id="355"/>
      <w:bookmarkEnd w:id="356"/>
    </w:p>
    <w:p w:rsidR="008A5A5D" w:rsidRPr="00C24ACA" w:rsidRDefault="000D1F25" w:rsidP="00E92B70">
      <w:pPr>
        <w:spacing w:line="360" w:lineRule="auto"/>
        <w:rPr>
          <w:rFonts w:eastAsiaTheme="minorEastAsia"/>
          <w:b/>
          <w:szCs w:val="21"/>
        </w:rPr>
      </w:pPr>
      <w:bookmarkStart w:id="357" w:name="_Toc249760070"/>
      <w:r w:rsidRPr="00576CAF">
        <w:rPr>
          <w:rFonts w:eastAsiaTheme="minorEastAsia"/>
          <w:b/>
          <w:kern w:val="0"/>
          <w:szCs w:val="21"/>
        </w:rPr>
        <w:t>10</w:t>
      </w:r>
      <w:r>
        <w:rPr>
          <w:rFonts w:eastAsiaTheme="minorEastAsia"/>
          <w:b/>
          <w:szCs w:val="21"/>
        </w:rPr>
        <w:t>.</w:t>
      </w:r>
      <w:r>
        <w:rPr>
          <w:rFonts w:eastAsiaTheme="minorEastAsia" w:hint="eastAsia"/>
          <w:b/>
          <w:szCs w:val="21"/>
        </w:rPr>
        <w:t>7</w:t>
      </w:r>
      <w:r>
        <w:rPr>
          <w:rFonts w:eastAsiaTheme="minorEastAsia"/>
          <w:b/>
          <w:szCs w:val="21"/>
        </w:rPr>
        <w:t>.</w:t>
      </w:r>
      <w:r>
        <w:rPr>
          <w:rFonts w:eastAsiaTheme="minorEastAsia" w:hint="eastAsia"/>
          <w:b/>
          <w:szCs w:val="21"/>
        </w:rPr>
        <w:t>1</w:t>
      </w:r>
      <w:r w:rsidR="008A5A5D" w:rsidRPr="00C24ACA">
        <w:rPr>
          <w:rFonts w:eastAsiaTheme="minorEastAsia"/>
          <w:b/>
          <w:szCs w:val="21"/>
        </w:rPr>
        <w:t>基金租用证券公司交易单元进行股票投资及佣金支付情况</w:t>
      </w:r>
      <w:bookmarkEnd w:id="357"/>
    </w:p>
    <w:p w:rsidR="008A5A5D" w:rsidRPr="00C24ACA" w:rsidRDefault="008A5A5D" w:rsidP="008134C7">
      <w:pPr>
        <w:pStyle w:val="a0"/>
        <w:ind w:firstLineChars="2600" w:firstLine="5460"/>
        <w:jc w:val="right"/>
        <w:rPr>
          <w:rFonts w:eastAsiaTheme="minorEastAsia"/>
          <w:color w:val="000000"/>
          <w:szCs w:val="21"/>
        </w:rPr>
      </w:pPr>
      <w:r w:rsidRPr="00C24ACA">
        <w:rPr>
          <w:rFonts w:eastAsiaTheme="minor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8A5A5D" w:rsidRPr="00C24ACA" w:rsidTr="004A4847">
        <w:tc>
          <w:tcPr>
            <w:tcW w:w="1560" w:type="dxa"/>
            <w:vMerge w:val="restart"/>
            <w:vAlign w:val="center"/>
          </w:tcPr>
          <w:p w:rsidR="008A5A5D" w:rsidRPr="00C24ACA" w:rsidRDefault="008A5A5D" w:rsidP="004A4847">
            <w:pPr>
              <w:jc w:val="center"/>
              <w:rPr>
                <w:rFonts w:eastAsiaTheme="minorEastAsia"/>
                <w:color w:val="000000"/>
                <w:szCs w:val="21"/>
              </w:rPr>
            </w:pPr>
            <w:bookmarkStart w:id="358" w:name="_Toc249760071"/>
            <w:r w:rsidRPr="00C24ACA">
              <w:rPr>
                <w:rFonts w:eastAsiaTheme="minorEastAsia"/>
                <w:color w:val="000000"/>
                <w:szCs w:val="21"/>
              </w:rPr>
              <w:t>券商名称</w:t>
            </w:r>
          </w:p>
        </w:tc>
        <w:tc>
          <w:tcPr>
            <w:tcW w:w="780" w:type="dxa"/>
            <w:vMerge w:val="restart"/>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交易单元数量</w:t>
            </w:r>
          </w:p>
        </w:tc>
        <w:tc>
          <w:tcPr>
            <w:tcW w:w="2880"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股票交易</w:t>
            </w:r>
          </w:p>
        </w:tc>
        <w:tc>
          <w:tcPr>
            <w:tcW w:w="2700"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应支付该券商的佣金</w:t>
            </w:r>
          </w:p>
        </w:tc>
        <w:tc>
          <w:tcPr>
            <w:tcW w:w="1080" w:type="dxa"/>
            <w:vMerge w:val="restart"/>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备注</w:t>
            </w:r>
          </w:p>
        </w:tc>
      </w:tr>
      <w:tr w:rsidR="008A5A5D" w:rsidRPr="00C24ACA" w:rsidTr="004A4847">
        <w:tc>
          <w:tcPr>
            <w:tcW w:w="9000" w:type="dxa"/>
            <w:vMerge/>
            <w:vAlign w:val="center"/>
          </w:tcPr>
          <w:p w:rsidR="008A5A5D" w:rsidRPr="00C24ACA" w:rsidRDefault="008A5A5D" w:rsidP="004A4847">
            <w:pPr>
              <w:widowControl/>
              <w:jc w:val="left"/>
              <w:rPr>
                <w:rFonts w:eastAsiaTheme="minorEastAsia"/>
                <w:color w:val="000000"/>
                <w:szCs w:val="21"/>
              </w:rPr>
            </w:pPr>
          </w:p>
        </w:tc>
        <w:tc>
          <w:tcPr>
            <w:tcW w:w="780" w:type="dxa"/>
            <w:vMerge/>
            <w:vAlign w:val="center"/>
          </w:tcPr>
          <w:p w:rsidR="008A5A5D" w:rsidRPr="00C24ACA" w:rsidRDefault="008A5A5D" w:rsidP="004A4847">
            <w:pPr>
              <w:widowControl/>
              <w:jc w:val="left"/>
              <w:rPr>
                <w:rFonts w:eastAsiaTheme="minorEastAsia"/>
                <w:color w:val="000000"/>
                <w:szCs w:val="21"/>
              </w:rPr>
            </w:pPr>
          </w:p>
        </w:tc>
        <w:tc>
          <w:tcPr>
            <w:tcW w:w="180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成交金额</w:t>
            </w:r>
          </w:p>
        </w:tc>
        <w:tc>
          <w:tcPr>
            <w:tcW w:w="108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占当期股票成交总额的比例</w:t>
            </w:r>
          </w:p>
        </w:tc>
        <w:tc>
          <w:tcPr>
            <w:tcW w:w="1620"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佣金</w:t>
            </w:r>
          </w:p>
        </w:tc>
        <w:tc>
          <w:tcPr>
            <w:tcW w:w="108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占当期佣金总量的比例</w:t>
            </w:r>
          </w:p>
        </w:tc>
        <w:tc>
          <w:tcPr>
            <w:tcW w:w="1080" w:type="dxa"/>
            <w:vMerge/>
            <w:vAlign w:val="center"/>
          </w:tcPr>
          <w:p w:rsidR="008A5A5D" w:rsidRPr="00C24ACA" w:rsidRDefault="008A5A5D" w:rsidP="004A4847">
            <w:pPr>
              <w:widowControl/>
              <w:jc w:val="left"/>
              <w:rPr>
                <w:rFonts w:eastAsiaTheme="minorEastAsia"/>
                <w:color w:val="000000"/>
                <w:kern w:val="0"/>
                <w:szCs w:val="21"/>
              </w:rPr>
            </w:pPr>
          </w:p>
        </w:tc>
      </w:tr>
      <w:tr w:rsidR="00871824">
        <w:tc>
          <w:tcPr>
            <w:tcW w:w="1560" w:type="dxa"/>
            <w:vAlign w:val="center"/>
          </w:tcPr>
          <w:p w:rsidR="00871824" w:rsidRDefault="00672BD5">
            <w:pPr>
              <w:jc w:val="center"/>
            </w:pPr>
            <w:r>
              <w:rPr>
                <w:rFonts w:eastAsiaTheme="minorEastAsia"/>
                <w:color w:val="000000"/>
                <w:szCs w:val="21"/>
              </w:rPr>
              <w:t>广发证券</w:t>
            </w:r>
          </w:p>
        </w:tc>
        <w:tc>
          <w:tcPr>
            <w:tcW w:w="780" w:type="dxa"/>
            <w:vAlign w:val="center"/>
          </w:tcPr>
          <w:p w:rsidR="00871824" w:rsidRDefault="00672BD5">
            <w:pPr>
              <w:jc w:val="right"/>
            </w:pPr>
            <w:r>
              <w:rPr>
                <w:rFonts w:eastAsiaTheme="minorEastAsia"/>
                <w:color w:val="000000"/>
                <w:szCs w:val="21"/>
              </w:rPr>
              <w:t>1</w:t>
            </w:r>
          </w:p>
        </w:tc>
        <w:tc>
          <w:tcPr>
            <w:tcW w:w="1800" w:type="dxa"/>
            <w:vAlign w:val="center"/>
          </w:tcPr>
          <w:p w:rsidR="00871824" w:rsidRDefault="00672BD5">
            <w:pPr>
              <w:jc w:val="right"/>
            </w:pPr>
            <w:r>
              <w:rPr>
                <w:rFonts w:eastAsiaTheme="minorEastAsia"/>
                <w:color w:val="000000"/>
                <w:szCs w:val="21"/>
              </w:rPr>
              <w:t>-</w:t>
            </w:r>
          </w:p>
        </w:tc>
        <w:tc>
          <w:tcPr>
            <w:tcW w:w="1080" w:type="dxa"/>
            <w:vAlign w:val="center"/>
          </w:tcPr>
          <w:p w:rsidR="00871824" w:rsidRDefault="00672BD5">
            <w:pPr>
              <w:jc w:val="right"/>
            </w:pPr>
            <w:r>
              <w:rPr>
                <w:rFonts w:eastAsiaTheme="minorEastAsia"/>
                <w:color w:val="000000"/>
                <w:szCs w:val="21"/>
              </w:rPr>
              <w:t>-</w:t>
            </w:r>
          </w:p>
        </w:tc>
        <w:tc>
          <w:tcPr>
            <w:tcW w:w="1620" w:type="dxa"/>
            <w:vAlign w:val="center"/>
          </w:tcPr>
          <w:p w:rsidR="00871824" w:rsidRDefault="00672BD5">
            <w:pPr>
              <w:jc w:val="right"/>
            </w:pPr>
            <w:r>
              <w:rPr>
                <w:rFonts w:eastAsiaTheme="minorEastAsia"/>
                <w:color w:val="000000"/>
                <w:szCs w:val="21"/>
              </w:rPr>
              <w:t>-</w:t>
            </w:r>
          </w:p>
        </w:tc>
        <w:tc>
          <w:tcPr>
            <w:tcW w:w="1080" w:type="dxa"/>
            <w:vAlign w:val="center"/>
          </w:tcPr>
          <w:p w:rsidR="00871824" w:rsidRDefault="00672BD5">
            <w:pPr>
              <w:jc w:val="right"/>
            </w:pPr>
            <w:r>
              <w:rPr>
                <w:rFonts w:eastAsiaTheme="minorEastAsia"/>
                <w:color w:val="000000"/>
                <w:szCs w:val="21"/>
              </w:rPr>
              <w:t>-</w:t>
            </w:r>
          </w:p>
        </w:tc>
        <w:tc>
          <w:tcPr>
            <w:tcW w:w="1080" w:type="dxa"/>
            <w:vAlign w:val="center"/>
          </w:tcPr>
          <w:p w:rsidR="00871824" w:rsidRDefault="00672BD5">
            <w:pPr>
              <w:jc w:val="left"/>
            </w:pPr>
            <w:r>
              <w:rPr>
                <w:rFonts w:eastAsiaTheme="minorEastAsia"/>
                <w:color w:val="000000"/>
                <w:szCs w:val="21"/>
              </w:rPr>
              <w:t>-</w:t>
            </w:r>
          </w:p>
        </w:tc>
      </w:tr>
      <w:tr w:rsidR="00871824">
        <w:tc>
          <w:tcPr>
            <w:tcW w:w="1560" w:type="dxa"/>
            <w:vAlign w:val="center"/>
          </w:tcPr>
          <w:p w:rsidR="00871824" w:rsidRDefault="00672BD5">
            <w:pPr>
              <w:jc w:val="center"/>
            </w:pPr>
            <w:r>
              <w:rPr>
                <w:rFonts w:eastAsiaTheme="minorEastAsia"/>
                <w:color w:val="000000"/>
                <w:szCs w:val="21"/>
              </w:rPr>
              <w:t>GF Futures (Hong Kong) Co. Ltd.</w:t>
            </w:r>
          </w:p>
        </w:tc>
        <w:tc>
          <w:tcPr>
            <w:tcW w:w="780" w:type="dxa"/>
            <w:vAlign w:val="center"/>
          </w:tcPr>
          <w:p w:rsidR="00871824" w:rsidRDefault="00672BD5">
            <w:pPr>
              <w:jc w:val="right"/>
            </w:pPr>
            <w:r>
              <w:rPr>
                <w:rFonts w:eastAsiaTheme="minorEastAsia"/>
                <w:color w:val="000000"/>
                <w:szCs w:val="21"/>
              </w:rPr>
              <w:t>1</w:t>
            </w:r>
          </w:p>
        </w:tc>
        <w:tc>
          <w:tcPr>
            <w:tcW w:w="1800" w:type="dxa"/>
            <w:vAlign w:val="center"/>
          </w:tcPr>
          <w:p w:rsidR="00871824" w:rsidRDefault="00672BD5">
            <w:pPr>
              <w:jc w:val="right"/>
            </w:pPr>
            <w:r>
              <w:rPr>
                <w:rFonts w:eastAsiaTheme="minorEastAsia"/>
                <w:color w:val="000000"/>
                <w:szCs w:val="21"/>
              </w:rPr>
              <w:t>-</w:t>
            </w:r>
          </w:p>
        </w:tc>
        <w:tc>
          <w:tcPr>
            <w:tcW w:w="1080" w:type="dxa"/>
            <w:vAlign w:val="center"/>
          </w:tcPr>
          <w:p w:rsidR="00871824" w:rsidRDefault="00672BD5">
            <w:pPr>
              <w:jc w:val="right"/>
            </w:pPr>
            <w:r>
              <w:rPr>
                <w:rFonts w:eastAsiaTheme="minorEastAsia"/>
                <w:color w:val="000000"/>
                <w:szCs w:val="21"/>
              </w:rPr>
              <w:t>-</w:t>
            </w:r>
          </w:p>
        </w:tc>
        <w:tc>
          <w:tcPr>
            <w:tcW w:w="1620" w:type="dxa"/>
            <w:vAlign w:val="center"/>
          </w:tcPr>
          <w:p w:rsidR="00871824" w:rsidRDefault="00672BD5">
            <w:pPr>
              <w:jc w:val="right"/>
            </w:pPr>
            <w:r>
              <w:rPr>
                <w:rFonts w:eastAsiaTheme="minorEastAsia"/>
                <w:color w:val="000000"/>
                <w:szCs w:val="21"/>
              </w:rPr>
              <w:t>-</w:t>
            </w:r>
          </w:p>
        </w:tc>
        <w:tc>
          <w:tcPr>
            <w:tcW w:w="1080" w:type="dxa"/>
            <w:vAlign w:val="center"/>
          </w:tcPr>
          <w:p w:rsidR="00871824" w:rsidRDefault="00672BD5">
            <w:pPr>
              <w:jc w:val="right"/>
            </w:pPr>
            <w:r>
              <w:rPr>
                <w:rFonts w:eastAsiaTheme="minorEastAsia"/>
                <w:color w:val="000000"/>
                <w:szCs w:val="21"/>
              </w:rPr>
              <w:t>-</w:t>
            </w:r>
          </w:p>
        </w:tc>
        <w:tc>
          <w:tcPr>
            <w:tcW w:w="1080" w:type="dxa"/>
            <w:vAlign w:val="center"/>
          </w:tcPr>
          <w:p w:rsidR="00871824" w:rsidRDefault="00672BD5">
            <w:pPr>
              <w:jc w:val="left"/>
            </w:pPr>
            <w:r>
              <w:rPr>
                <w:rFonts w:eastAsiaTheme="minorEastAsia"/>
                <w:color w:val="000000"/>
                <w:szCs w:val="21"/>
              </w:rPr>
              <w:t>-</w:t>
            </w:r>
          </w:p>
        </w:tc>
      </w:tr>
      <w:tr w:rsidR="00871824">
        <w:tc>
          <w:tcPr>
            <w:tcW w:w="1560" w:type="dxa"/>
            <w:vAlign w:val="center"/>
          </w:tcPr>
          <w:p w:rsidR="00871824" w:rsidRDefault="00672BD5">
            <w:pPr>
              <w:jc w:val="center"/>
            </w:pPr>
            <w:r>
              <w:rPr>
                <w:rFonts w:eastAsiaTheme="minorEastAsia"/>
                <w:color w:val="000000"/>
                <w:szCs w:val="21"/>
              </w:rPr>
              <w:t>CITIC Futures Co., Ltd</w:t>
            </w:r>
          </w:p>
        </w:tc>
        <w:tc>
          <w:tcPr>
            <w:tcW w:w="780" w:type="dxa"/>
            <w:vAlign w:val="center"/>
          </w:tcPr>
          <w:p w:rsidR="00871824" w:rsidRDefault="00672BD5">
            <w:pPr>
              <w:jc w:val="right"/>
            </w:pPr>
            <w:r>
              <w:rPr>
                <w:rFonts w:eastAsiaTheme="minorEastAsia"/>
                <w:color w:val="000000"/>
                <w:szCs w:val="21"/>
              </w:rPr>
              <w:t>1</w:t>
            </w:r>
          </w:p>
        </w:tc>
        <w:tc>
          <w:tcPr>
            <w:tcW w:w="1800" w:type="dxa"/>
            <w:vAlign w:val="center"/>
          </w:tcPr>
          <w:p w:rsidR="00871824" w:rsidRDefault="00672BD5">
            <w:pPr>
              <w:jc w:val="right"/>
            </w:pPr>
            <w:r>
              <w:rPr>
                <w:rFonts w:eastAsiaTheme="minorEastAsia"/>
                <w:color w:val="000000"/>
                <w:szCs w:val="21"/>
              </w:rPr>
              <w:t>-</w:t>
            </w:r>
          </w:p>
        </w:tc>
        <w:tc>
          <w:tcPr>
            <w:tcW w:w="1080" w:type="dxa"/>
            <w:vAlign w:val="center"/>
          </w:tcPr>
          <w:p w:rsidR="00871824" w:rsidRDefault="00672BD5">
            <w:pPr>
              <w:jc w:val="right"/>
            </w:pPr>
            <w:r>
              <w:rPr>
                <w:rFonts w:eastAsiaTheme="minorEastAsia"/>
                <w:color w:val="000000"/>
                <w:szCs w:val="21"/>
              </w:rPr>
              <w:t>-</w:t>
            </w:r>
          </w:p>
        </w:tc>
        <w:tc>
          <w:tcPr>
            <w:tcW w:w="1620" w:type="dxa"/>
            <w:vAlign w:val="center"/>
          </w:tcPr>
          <w:p w:rsidR="00871824" w:rsidRDefault="00672BD5">
            <w:pPr>
              <w:jc w:val="right"/>
            </w:pPr>
            <w:r>
              <w:rPr>
                <w:rFonts w:eastAsiaTheme="minorEastAsia"/>
                <w:color w:val="000000"/>
                <w:szCs w:val="21"/>
              </w:rPr>
              <w:t>-</w:t>
            </w:r>
          </w:p>
        </w:tc>
        <w:tc>
          <w:tcPr>
            <w:tcW w:w="1080" w:type="dxa"/>
            <w:vAlign w:val="center"/>
          </w:tcPr>
          <w:p w:rsidR="00871824" w:rsidRDefault="00672BD5">
            <w:pPr>
              <w:jc w:val="right"/>
            </w:pPr>
            <w:r>
              <w:rPr>
                <w:rFonts w:eastAsiaTheme="minorEastAsia"/>
                <w:color w:val="000000"/>
                <w:szCs w:val="21"/>
              </w:rPr>
              <w:t>-</w:t>
            </w:r>
          </w:p>
        </w:tc>
        <w:tc>
          <w:tcPr>
            <w:tcW w:w="1080" w:type="dxa"/>
            <w:vAlign w:val="center"/>
          </w:tcPr>
          <w:p w:rsidR="00871824" w:rsidRDefault="00672BD5">
            <w:pPr>
              <w:jc w:val="left"/>
            </w:pPr>
            <w:r>
              <w:rPr>
                <w:rFonts w:eastAsiaTheme="minorEastAsia"/>
                <w:color w:val="000000"/>
                <w:szCs w:val="21"/>
              </w:rPr>
              <w:t>-</w:t>
            </w:r>
          </w:p>
        </w:tc>
      </w:tr>
    </w:tbl>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注：</w:t>
      </w:r>
      <w:r>
        <w:rPr>
          <w:rFonts w:eastAsiaTheme="minorEastAsia"/>
          <w:kern w:val="0"/>
          <w:szCs w:val="21"/>
        </w:rPr>
        <w:t>a</w:t>
      </w:r>
      <w:r>
        <w:rPr>
          <w:rFonts w:eastAsiaTheme="minorEastAsia"/>
          <w:kern w:val="0"/>
          <w:szCs w:val="21"/>
        </w:rPr>
        <w:t>）本报告期内本基金无减少交易账户，无新增交易账户。</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b</w:t>
      </w:r>
      <w:r>
        <w:rPr>
          <w:rFonts w:eastAsiaTheme="minorEastAsia"/>
          <w:kern w:val="0"/>
          <w:szCs w:val="21"/>
        </w:rPr>
        <w:t>）本基金管理人负责选择证券经营机构，并在该机构开立交易账户。基金交易账户的开立标准如下：</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1</w:t>
      </w:r>
      <w:r>
        <w:rPr>
          <w:rFonts w:eastAsiaTheme="minorEastAsia"/>
          <w:kern w:val="0"/>
          <w:szCs w:val="21"/>
        </w:rPr>
        <w:t>）交易执行能力。主要指证券经营机构能否对投资指令进行有效地执行，以及能否取得较高质量的成交结果；</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2</w:t>
      </w:r>
      <w:r>
        <w:rPr>
          <w:rFonts w:eastAsiaTheme="minorEastAsia"/>
          <w:kern w:val="0"/>
          <w:szCs w:val="21"/>
        </w:rPr>
        <w:t>）研究报告质量。主要指证券经营机构能否提供高质量的宏观经济研究、行业研究及市场走向、个股分析报告和专题研究报告等；</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3</w:t>
      </w:r>
      <w:r>
        <w:rPr>
          <w:rFonts w:eastAsiaTheme="minorEastAsia"/>
          <w:kern w:val="0"/>
          <w:szCs w:val="21"/>
        </w:rPr>
        <w:t>）提供研究服务的质量。主要包括协助安排上市公司调研、研究资料共享、路演服务、日常沟通交流、接受委托研究的服务质量等方面；</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4</w:t>
      </w:r>
      <w:r>
        <w:rPr>
          <w:rFonts w:eastAsiaTheme="minorEastAsia"/>
          <w:kern w:val="0"/>
          <w:szCs w:val="21"/>
        </w:rPr>
        <w:t>）法规监管资讯服务。主要包括境外投资法律规定、交易监管规则、信息披露、个人利益冲突、税收等资讯的提供与培训；</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5</w:t>
      </w:r>
      <w:r>
        <w:rPr>
          <w:rFonts w:eastAsiaTheme="minorEastAsia"/>
          <w:kern w:val="0"/>
          <w:szCs w:val="21"/>
        </w:rPr>
        <w:t>）价值贡献。主要是指证券经营机构对公司研究团队、投资团队在业务能力提升上所做的培训服务、对公司投资提升所作出的贡献；</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6</w:t>
      </w:r>
      <w:r>
        <w:rPr>
          <w:rFonts w:eastAsiaTheme="minorEastAsia"/>
          <w:kern w:val="0"/>
          <w:szCs w:val="21"/>
        </w:rPr>
        <w:t>）其他因素。主要是证券经营机构的财务状况、经营行为规范、风险管理机制、近年内有无重大违规行为等。</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c</w:t>
      </w:r>
      <w:r>
        <w:rPr>
          <w:rFonts w:eastAsiaTheme="minorEastAsia"/>
          <w:kern w:val="0"/>
          <w:szCs w:val="21"/>
        </w:rPr>
        <w:t>）基金交易账户的选择程序如下：</w:t>
      </w:r>
    </w:p>
    <w:p w:rsidR="00871824" w:rsidRDefault="00672BD5">
      <w:pPr>
        <w:tabs>
          <w:tab w:val="left" w:pos="426"/>
        </w:tabs>
        <w:spacing w:line="360" w:lineRule="auto"/>
        <w:ind w:firstLineChars="200" w:firstLine="420"/>
        <w:rPr>
          <w:rFonts w:eastAsiaTheme="minorEastAsia"/>
          <w:kern w:val="0"/>
          <w:szCs w:val="21"/>
        </w:rPr>
      </w:pPr>
      <w:r>
        <w:rPr>
          <w:rFonts w:eastAsiaTheme="minorEastAsia"/>
          <w:kern w:val="0"/>
          <w:szCs w:val="21"/>
        </w:rPr>
        <w:t>1</w:t>
      </w:r>
      <w:r>
        <w:rPr>
          <w:rFonts w:eastAsiaTheme="minorEastAsia"/>
          <w:kern w:val="0"/>
          <w:szCs w:val="21"/>
        </w:rPr>
        <w:t>）本基金管理人根据上述标准考察后确定选用交易账户的证券经营机构。</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2</w:t>
      </w:r>
      <w:r w:rsidRPr="00C24ACA">
        <w:rPr>
          <w:rFonts w:eastAsiaTheme="minorEastAsia"/>
          <w:kern w:val="0"/>
          <w:szCs w:val="21"/>
        </w:rPr>
        <w:t>）基金管理人与所选定的证券经营机构办理开立交易账户事宜。</w:t>
      </w:r>
    </w:p>
    <w:p w:rsidR="008A5A5D" w:rsidRPr="00C24ACA" w:rsidRDefault="000D1F25" w:rsidP="006C64F3">
      <w:pPr>
        <w:spacing w:beforeLines="100" w:before="312" w:line="360" w:lineRule="auto"/>
        <w:rPr>
          <w:rFonts w:eastAsiaTheme="minorEastAsia"/>
          <w:b/>
          <w:szCs w:val="21"/>
        </w:rPr>
      </w:pPr>
      <w:r w:rsidRPr="00576CAF">
        <w:rPr>
          <w:rFonts w:eastAsiaTheme="minorEastAsia"/>
          <w:b/>
          <w:kern w:val="0"/>
          <w:szCs w:val="21"/>
        </w:rPr>
        <w:t>10</w:t>
      </w:r>
      <w:r>
        <w:rPr>
          <w:rFonts w:eastAsiaTheme="minorEastAsia"/>
          <w:b/>
          <w:szCs w:val="21"/>
        </w:rPr>
        <w:t>.</w:t>
      </w:r>
      <w:r>
        <w:rPr>
          <w:rFonts w:eastAsiaTheme="minorEastAsia" w:hint="eastAsia"/>
          <w:b/>
          <w:szCs w:val="21"/>
        </w:rPr>
        <w:t>7</w:t>
      </w:r>
      <w:r>
        <w:rPr>
          <w:rFonts w:eastAsiaTheme="minorEastAsia"/>
          <w:b/>
          <w:szCs w:val="21"/>
        </w:rPr>
        <w:t>.</w:t>
      </w:r>
      <w:r>
        <w:rPr>
          <w:rFonts w:eastAsiaTheme="minorEastAsia" w:hint="eastAsia"/>
          <w:b/>
          <w:szCs w:val="21"/>
        </w:rPr>
        <w:t>2</w:t>
      </w:r>
      <w:r w:rsidR="008A5A5D" w:rsidRPr="00C24ACA">
        <w:rPr>
          <w:rFonts w:eastAsiaTheme="minorEastAsia"/>
          <w:b/>
          <w:szCs w:val="21"/>
        </w:rPr>
        <w:t>基金租用证券公司交易单元进行其他证券投资的情况</w:t>
      </w:r>
      <w:bookmarkEnd w:id="358"/>
    </w:p>
    <w:p w:rsidR="008A5A5D" w:rsidRPr="00C24ACA" w:rsidRDefault="008A5A5D" w:rsidP="002116B9">
      <w:pPr>
        <w:wordWrap w:val="0"/>
        <w:ind w:firstLine="420"/>
        <w:jc w:val="right"/>
        <w:rPr>
          <w:rFonts w:eastAsiaTheme="minorEastAsia"/>
          <w:color w:val="000000"/>
          <w:szCs w:val="21"/>
        </w:rPr>
      </w:pPr>
      <w:r w:rsidRPr="00C24ACA">
        <w:rPr>
          <w:rFonts w:eastAsiaTheme="minorEastAsia"/>
          <w:szCs w:val="21"/>
        </w:rPr>
        <w:t>金额单位：人民币元</w:t>
      </w:r>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709"/>
        <w:gridCol w:w="1276"/>
        <w:gridCol w:w="763"/>
        <w:gridCol w:w="1260"/>
        <w:gridCol w:w="724"/>
        <w:gridCol w:w="1440"/>
        <w:gridCol w:w="781"/>
        <w:gridCol w:w="1181"/>
      </w:tblGrid>
      <w:tr w:rsidR="00762C75" w:rsidRPr="00C24ACA" w:rsidTr="00762C75">
        <w:tc>
          <w:tcPr>
            <w:tcW w:w="709" w:type="dxa"/>
            <w:vMerge w:val="restart"/>
            <w:vAlign w:val="center"/>
          </w:tcPr>
          <w:p w:rsidR="00762C75" w:rsidRPr="00C24ACA" w:rsidRDefault="00762C75" w:rsidP="004A4847">
            <w:pPr>
              <w:jc w:val="center"/>
              <w:rPr>
                <w:rFonts w:eastAsiaTheme="minorEastAsia"/>
                <w:color w:val="000000"/>
                <w:kern w:val="0"/>
                <w:szCs w:val="21"/>
              </w:rPr>
            </w:pPr>
            <w:r w:rsidRPr="00C24ACA">
              <w:rPr>
                <w:rFonts w:eastAsiaTheme="minorEastAsia"/>
                <w:color w:val="000000"/>
                <w:szCs w:val="21"/>
              </w:rPr>
              <w:t>券商名称</w:t>
            </w:r>
          </w:p>
        </w:tc>
        <w:tc>
          <w:tcPr>
            <w:tcW w:w="1985" w:type="dxa"/>
            <w:gridSpan w:val="2"/>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债券交易</w:t>
            </w:r>
          </w:p>
        </w:tc>
        <w:tc>
          <w:tcPr>
            <w:tcW w:w="2023" w:type="dxa"/>
            <w:gridSpan w:val="2"/>
            <w:vAlign w:val="center"/>
          </w:tcPr>
          <w:p w:rsidR="00762C75" w:rsidRPr="00C24ACA" w:rsidRDefault="007D058F" w:rsidP="004A4847">
            <w:pPr>
              <w:jc w:val="center"/>
              <w:rPr>
                <w:rFonts w:eastAsiaTheme="minorEastAsia"/>
                <w:color w:val="000000"/>
                <w:szCs w:val="21"/>
              </w:rPr>
            </w:pPr>
            <w:r>
              <w:rPr>
                <w:rFonts w:eastAsiaTheme="minorEastAsia" w:hint="eastAsia"/>
                <w:color w:val="000000"/>
                <w:szCs w:val="21"/>
              </w:rPr>
              <w:t>债券</w:t>
            </w:r>
            <w:r w:rsidR="00762C75" w:rsidRPr="00C24ACA">
              <w:rPr>
                <w:rFonts w:eastAsiaTheme="minorEastAsia"/>
                <w:color w:val="000000"/>
                <w:szCs w:val="21"/>
              </w:rPr>
              <w:t>回购交易</w:t>
            </w:r>
          </w:p>
        </w:tc>
        <w:tc>
          <w:tcPr>
            <w:tcW w:w="2164" w:type="dxa"/>
            <w:gridSpan w:val="2"/>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权证交易</w:t>
            </w:r>
          </w:p>
        </w:tc>
        <w:tc>
          <w:tcPr>
            <w:tcW w:w="1962" w:type="dxa"/>
            <w:gridSpan w:val="2"/>
          </w:tcPr>
          <w:p w:rsidR="00762C75" w:rsidRPr="00C24ACA" w:rsidRDefault="00AF0AFC" w:rsidP="004A4847">
            <w:pPr>
              <w:jc w:val="center"/>
              <w:rPr>
                <w:rFonts w:eastAsiaTheme="minorEastAsia"/>
                <w:color w:val="000000"/>
                <w:szCs w:val="21"/>
              </w:rPr>
            </w:pPr>
            <w:r w:rsidRPr="00C24ACA">
              <w:rPr>
                <w:rFonts w:eastAsiaTheme="minorEastAsia"/>
                <w:color w:val="000000"/>
                <w:szCs w:val="21"/>
              </w:rPr>
              <w:t>基金交易</w:t>
            </w:r>
          </w:p>
        </w:tc>
      </w:tr>
      <w:tr w:rsidR="00762C75" w:rsidRPr="00C24ACA" w:rsidTr="00762C75">
        <w:tc>
          <w:tcPr>
            <w:tcW w:w="709" w:type="dxa"/>
            <w:vMerge/>
            <w:vAlign w:val="center"/>
          </w:tcPr>
          <w:p w:rsidR="00762C75" w:rsidRPr="00C24ACA" w:rsidRDefault="00762C75" w:rsidP="004A4847">
            <w:pPr>
              <w:widowControl/>
              <w:jc w:val="left"/>
              <w:rPr>
                <w:rFonts w:eastAsiaTheme="minorEastAsia"/>
                <w:color w:val="000000"/>
                <w:kern w:val="0"/>
                <w:szCs w:val="21"/>
              </w:rPr>
            </w:pPr>
          </w:p>
        </w:tc>
        <w:tc>
          <w:tcPr>
            <w:tcW w:w="709"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成交金额</w:t>
            </w:r>
          </w:p>
        </w:tc>
        <w:tc>
          <w:tcPr>
            <w:tcW w:w="1276"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占当期债券成交总额的比例</w:t>
            </w:r>
          </w:p>
        </w:tc>
        <w:tc>
          <w:tcPr>
            <w:tcW w:w="763"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成交金额</w:t>
            </w:r>
          </w:p>
        </w:tc>
        <w:tc>
          <w:tcPr>
            <w:tcW w:w="1260"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占当期</w:t>
            </w:r>
            <w:r w:rsidR="007D058F">
              <w:rPr>
                <w:rFonts w:eastAsiaTheme="minorEastAsia" w:hint="eastAsia"/>
                <w:color w:val="000000"/>
                <w:szCs w:val="21"/>
              </w:rPr>
              <w:t>债券</w:t>
            </w:r>
            <w:r w:rsidRPr="00C24ACA">
              <w:rPr>
                <w:rFonts w:eastAsiaTheme="minorEastAsia"/>
                <w:color w:val="000000"/>
                <w:szCs w:val="21"/>
              </w:rPr>
              <w:t>回购成交总额的比例</w:t>
            </w:r>
          </w:p>
        </w:tc>
        <w:tc>
          <w:tcPr>
            <w:tcW w:w="724"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成交金额</w:t>
            </w:r>
          </w:p>
        </w:tc>
        <w:tc>
          <w:tcPr>
            <w:tcW w:w="1440"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占当期权证成交总额的比例</w:t>
            </w:r>
          </w:p>
        </w:tc>
        <w:tc>
          <w:tcPr>
            <w:tcW w:w="781" w:type="dxa"/>
            <w:vAlign w:val="center"/>
          </w:tcPr>
          <w:p w:rsidR="00762C75" w:rsidRPr="00C24ACA" w:rsidRDefault="00762C75" w:rsidP="00B03EF5">
            <w:pPr>
              <w:jc w:val="center"/>
              <w:rPr>
                <w:rFonts w:eastAsiaTheme="minorEastAsia"/>
                <w:color w:val="000000"/>
                <w:szCs w:val="21"/>
              </w:rPr>
            </w:pPr>
            <w:r w:rsidRPr="00C24ACA">
              <w:rPr>
                <w:rFonts w:eastAsiaTheme="minorEastAsia"/>
                <w:color w:val="000000"/>
                <w:szCs w:val="21"/>
              </w:rPr>
              <w:t>成交金额</w:t>
            </w:r>
          </w:p>
        </w:tc>
        <w:tc>
          <w:tcPr>
            <w:tcW w:w="1181" w:type="dxa"/>
            <w:vAlign w:val="center"/>
          </w:tcPr>
          <w:p w:rsidR="00762C75" w:rsidRPr="00C24ACA" w:rsidRDefault="00762C75" w:rsidP="00511FD1">
            <w:pPr>
              <w:jc w:val="center"/>
              <w:rPr>
                <w:rFonts w:eastAsiaTheme="minorEastAsia"/>
                <w:color w:val="000000"/>
                <w:szCs w:val="21"/>
              </w:rPr>
            </w:pPr>
            <w:r w:rsidRPr="00C24ACA">
              <w:rPr>
                <w:rFonts w:eastAsiaTheme="minorEastAsia"/>
                <w:color w:val="000000"/>
                <w:szCs w:val="21"/>
              </w:rPr>
              <w:t>占当期</w:t>
            </w:r>
            <w:r w:rsidR="00511FD1" w:rsidRPr="00C24ACA">
              <w:rPr>
                <w:rFonts w:eastAsiaTheme="minorEastAsia"/>
                <w:color w:val="000000"/>
                <w:szCs w:val="21"/>
              </w:rPr>
              <w:t>基金</w:t>
            </w:r>
            <w:r w:rsidRPr="00C24ACA">
              <w:rPr>
                <w:rFonts w:eastAsiaTheme="minorEastAsia"/>
                <w:color w:val="000000"/>
                <w:szCs w:val="21"/>
              </w:rPr>
              <w:t>成交总额的比例</w:t>
            </w:r>
          </w:p>
        </w:tc>
      </w:tr>
      <w:tr w:rsidR="00871824">
        <w:tc>
          <w:tcPr>
            <w:tcW w:w="709" w:type="dxa"/>
            <w:vAlign w:val="center"/>
          </w:tcPr>
          <w:p w:rsidR="00871824" w:rsidRDefault="00672BD5">
            <w:pPr>
              <w:jc w:val="left"/>
            </w:pPr>
            <w:r>
              <w:rPr>
                <w:rFonts w:eastAsiaTheme="minorEastAsia"/>
                <w:color w:val="000000"/>
                <w:szCs w:val="21"/>
              </w:rPr>
              <w:t>广发证券</w:t>
            </w:r>
          </w:p>
        </w:tc>
        <w:tc>
          <w:tcPr>
            <w:tcW w:w="709" w:type="dxa"/>
            <w:vAlign w:val="center"/>
          </w:tcPr>
          <w:p w:rsidR="00871824" w:rsidRDefault="00672BD5">
            <w:pPr>
              <w:jc w:val="right"/>
            </w:pPr>
            <w:r>
              <w:rPr>
                <w:rFonts w:eastAsiaTheme="minorEastAsia"/>
                <w:color w:val="000000"/>
                <w:szCs w:val="21"/>
              </w:rPr>
              <w:t>-</w:t>
            </w:r>
          </w:p>
        </w:tc>
        <w:tc>
          <w:tcPr>
            <w:tcW w:w="1276" w:type="dxa"/>
            <w:vAlign w:val="center"/>
          </w:tcPr>
          <w:p w:rsidR="00871824" w:rsidRDefault="00672BD5">
            <w:pPr>
              <w:jc w:val="right"/>
            </w:pPr>
            <w:r>
              <w:rPr>
                <w:rFonts w:eastAsiaTheme="minorEastAsia"/>
                <w:color w:val="000000"/>
                <w:szCs w:val="21"/>
              </w:rPr>
              <w:t>-</w:t>
            </w:r>
          </w:p>
        </w:tc>
        <w:tc>
          <w:tcPr>
            <w:tcW w:w="763" w:type="dxa"/>
            <w:vAlign w:val="center"/>
          </w:tcPr>
          <w:p w:rsidR="00871824" w:rsidRDefault="00672BD5">
            <w:pPr>
              <w:jc w:val="right"/>
            </w:pPr>
            <w:r>
              <w:rPr>
                <w:rFonts w:eastAsiaTheme="minorEastAsia"/>
                <w:color w:val="000000"/>
                <w:szCs w:val="21"/>
              </w:rPr>
              <w:t>-</w:t>
            </w:r>
          </w:p>
        </w:tc>
        <w:tc>
          <w:tcPr>
            <w:tcW w:w="1260" w:type="dxa"/>
            <w:vAlign w:val="center"/>
          </w:tcPr>
          <w:p w:rsidR="00871824" w:rsidRDefault="00672BD5">
            <w:pPr>
              <w:jc w:val="right"/>
            </w:pPr>
            <w:r>
              <w:rPr>
                <w:rFonts w:eastAsiaTheme="minorEastAsia"/>
                <w:color w:val="000000"/>
                <w:szCs w:val="21"/>
              </w:rPr>
              <w:t>-</w:t>
            </w:r>
          </w:p>
        </w:tc>
        <w:tc>
          <w:tcPr>
            <w:tcW w:w="724" w:type="dxa"/>
            <w:vAlign w:val="center"/>
          </w:tcPr>
          <w:p w:rsidR="00871824" w:rsidRDefault="00672BD5">
            <w:pPr>
              <w:jc w:val="right"/>
            </w:pPr>
            <w:r>
              <w:rPr>
                <w:rFonts w:eastAsiaTheme="minorEastAsia"/>
                <w:color w:val="000000"/>
                <w:szCs w:val="21"/>
              </w:rPr>
              <w:t>-</w:t>
            </w:r>
          </w:p>
        </w:tc>
        <w:tc>
          <w:tcPr>
            <w:tcW w:w="1440" w:type="dxa"/>
            <w:vAlign w:val="center"/>
          </w:tcPr>
          <w:p w:rsidR="00871824" w:rsidRDefault="00672BD5">
            <w:pPr>
              <w:jc w:val="right"/>
            </w:pPr>
            <w:r>
              <w:rPr>
                <w:rFonts w:eastAsiaTheme="minorEastAsia"/>
                <w:color w:val="000000"/>
                <w:szCs w:val="21"/>
              </w:rPr>
              <w:t>-</w:t>
            </w:r>
          </w:p>
        </w:tc>
        <w:tc>
          <w:tcPr>
            <w:tcW w:w="781" w:type="dxa"/>
            <w:vAlign w:val="center"/>
          </w:tcPr>
          <w:p w:rsidR="00871824" w:rsidRDefault="00672BD5">
            <w:pPr>
              <w:jc w:val="right"/>
            </w:pPr>
            <w:r>
              <w:rPr>
                <w:rFonts w:eastAsiaTheme="minorEastAsia"/>
                <w:color w:val="000000"/>
                <w:szCs w:val="21"/>
              </w:rPr>
              <w:t>934,398,968.67</w:t>
            </w:r>
          </w:p>
        </w:tc>
        <w:tc>
          <w:tcPr>
            <w:tcW w:w="1181" w:type="dxa"/>
            <w:vAlign w:val="center"/>
          </w:tcPr>
          <w:p w:rsidR="00871824" w:rsidRDefault="00672BD5">
            <w:pPr>
              <w:jc w:val="right"/>
            </w:pPr>
            <w:r>
              <w:rPr>
                <w:rFonts w:eastAsiaTheme="minorEastAsia"/>
                <w:color w:val="000000"/>
                <w:szCs w:val="21"/>
              </w:rPr>
              <w:t>100.00%</w:t>
            </w:r>
          </w:p>
        </w:tc>
      </w:tr>
      <w:tr w:rsidR="00871824">
        <w:tc>
          <w:tcPr>
            <w:tcW w:w="709" w:type="dxa"/>
            <w:vAlign w:val="center"/>
          </w:tcPr>
          <w:p w:rsidR="00871824" w:rsidRDefault="00672BD5">
            <w:pPr>
              <w:jc w:val="left"/>
            </w:pPr>
            <w:r>
              <w:rPr>
                <w:rFonts w:eastAsiaTheme="minorEastAsia"/>
                <w:color w:val="000000"/>
                <w:szCs w:val="21"/>
              </w:rPr>
              <w:t>GF Futures (Hong Kong) Co. Ltd.</w:t>
            </w:r>
          </w:p>
        </w:tc>
        <w:tc>
          <w:tcPr>
            <w:tcW w:w="709" w:type="dxa"/>
            <w:vAlign w:val="center"/>
          </w:tcPr>
          <w:p w:rsidR="00871824" w:rsidRDefault="00672BD5">
            <w:pPr>
              <w:jc w:val="right"/>
            </w:pPr>
            <w:r>
              <w:rPr>
                <w:rFonts w:eastAsiaTheme="minorEastAsia"/>
                <w:color w:val="000000"/>
                <w:szCs w:val="21"/>
              </w:rPr>
              <w:t>-</w:t>
            </w:r>
          </w:p>
        </w:tc>
        <w:tc>
          <w:tcPr>
            <w:tcW w:w="1276" w:type="dxa"/>
            <w:vAlign w:val="center"/>
          </w:tcPr>
          <w:p w:rsidR="00871824" w:rsidRDefault="00672BD5">
            <w:pPr>
              <w:jc w:val="right"/>
            </w:pPr>
            <w:r>
              <w:rPr>
                <w:rFonts w:eastAsiaTheme="minorEastAsia"/>
                <w:color w:val="000000"/>
                <w:szCs w:val="21"/>
              </w:rPr>
              <w:t>-</w:t>
            </w:r>
          </w:p>
        </w:tc>
        <w:tc>
          <w:tcPr>
            <w:tcW w:w="763" w:type="dxa"/>
            <w:vAlign w:val="center"/>
          </w:tcPr>
          <w:p w:rsidR="00871824" w:rsidRDefault="00672BD5">
            <w:pPr>
              <w:jc w:val="right"/>
            </w:pPr>
            <w:r>
              <w:rPr>
                <w:rFonts w:eastAsiaTheme="minorEastAsia"/>
                <w:color w:val="000000"/>
                <w:szCs w:val="21"/>
              </w:rPr>
              <w:t>-</w:t>
            </w:r>
          </w:p>
        </w:tc>
        <w:tc>
          <w:tcPr>
            <w:tcW w:w="1260" w:type="dxa"/>
            <w:vAlign w:val="center"/>
          </w:tcPr>
          <w:p w:rsidR="00871824" w:rsidRDefault="00672BD5">
            <w:pPr>
              <w:jc w:val="right"/>
            </w:pPr>
            <w:r>
              <w:rPr>
                <w:rFonts w:eastAsiaTheme="minorEastAsia"/>
                <w:color w:val="000000"/>
                <w:szCs w:val="21"/>
              </w:rPr>
              <w:t>-</w:t>
            </w:r>
          </w:p>
        </w:tc>
        <w:tc>
          <w:tcPr>
            <w:tcW w:w="724" w:type="dxa"/>
            <w:vAlign w:val="center"/>
          </w:tcPr>
          <w:p w:rsidR="00871824" w:rsidRDefault="00672BD5">
            <w:pPr>
              <w:jc w:val="right"/>
            </w:pPr>
            <w:r>
              <w:rPr>
                <w:rFonts w:eastAsiaTheme="minorEastAsia"/>
                <w:color w:val="000000"/>
                <w:szCs w:val="21"/>
              </w:rPr>
              <w:t>-</w:t>
            </w:r>
          </w:p>
        </w:tc>
        <w:tc>
          <w:tcPr>
            <w:tcW w:w="1440" w:type="dxa"/>
            <w:vAlign w:val="center"/>
          </w:tcPr>
          <w:p w:rsidR="00871824" w:rsidRDefault="00672BD5">
            <w:pPr>
              <w:jc w:val="right"/>
            </w:pPr>
            <w:r>
              <w:rPr>
                <w:rFonts w:eastAsiaTheme="minorEastAsia"/>
                <w:color w:val="000000"/>
                <w:szCs w:val="21"/>
              </w:rPr>
              <w:t>-</w:t>
            </w:r>
          </w:p>
        </w:tc>
        <w:tc>
          <w:tcPr>
            <w:tcW w:w="781" w:type="dxa"/>
            <w:vAlign w:val="center"/>
          </w:tcPr>
          <w:p w:rsidR="00871824" w:rsidRDefault="00672BD5">
            <w:pPr>
              <w:jc w:val="right"/>
            </w:pPr>
            <w:r>
              <w:rPr>
                <w:rFonts w:eastAsiaTheme="minorEastAsia"/>
                <w:color w:val="000000"/>
                <w:szCs w:val="21"/>
              </w:rPr>
              <w:t>-</w:t>
            </w:r>
          </w:p>
        </w:tc>
        <w:tc>
          <w:tcPr>
            <w:tcW w:w="1181" w:type="dxa"/>
            <w:vAlign w:val="center"/>
          </w:tcPr>
          <w:p w:rsidR="00871824" w:rsidRDefault="00672BD5">
            <w:pPr>
              <w:jc w:val="right"/>
            </w:pPr>
            <w:r>
              <w:rPr>
                <w:rFonts w:eastAsiaTheme="minorEastAsia"/>
                <w:color w:val="000000"/>
                <w:szCs w:val="21"/>
              </w:rPr>
              <w:t>-</w:t>
            </w:r>
          </w:p>
        </w:tc>
      </w:tr>
      <w:tr w:rsidR="00871824">
        <w:tc>
          <w:tcPr>
            <w:tcW w:w="709" w:type="dxa"/>
            <w:vAlign w:val="center"/>
          </w:tcPr>
          <w:p w:rsidR="00871824" w:rsidRDefault="00672BD5">
            <w:pPr>
              <w:jc w:val="left"/>
            </w:pPr>
            <w:r>
              <w:rPr>
                <w:rFonts w:eastAsiaTheme="minorEastAsia"/>
                <w:color w:val="000000"/>
                <w:szCs w:val="21"/>
              </w:rPr>
              <w:t>CITIC Futures Co., Ltd</w:t>
            </w:r>
          </w:p>
        </w:tc>
        <w:tc>
          <w:tcPr>
            <w:tcW w:w="709" w:type="dxa"/>
            <w:vAlign w:val="center"/>
          </w:tcPr>
          <w:p w:rsidR="00871824" w:rsidRDefault="00672BD5">
            <w:pPr>
              <w:jc w:val="right"/>
            </w:pPr>
            <w:r>
              <w:rPr>
                <w:rFonts w:eastAsiaTheme="minorEastAsia"/>
                <w:color w:val="000000"/>
                <w:szCs w:val="21"/>
              </w:rPr>
              <w:t>-</w:t>
            </w:r>
          </w:p>
        </w:tc>
        <w:tc>
          <w:tcPr>
            <w:tcW w:w="1276" w:type="dxa"/>
            <w:vAlign w:val="center"/>
          </w:tcPr>
          <w:p w:rsidR="00871824" w:rsidRDefault="00672BD5">
            <w:pPr>
              <w:jc w:val="right"/>
            </w:pPr>
            <w:r>
              <w:rPr>
                <w:rFonts w:eastAsiaTheme="minorEastAsia"/>
                <w:color w:val="000000"/>
                <w:szCs w:val="21"/>
              </w:rPr>
              <w:t>-</w:t>
            </w:r>
          </w:p>
        </w:tc>
        <w:tc>
          <w:tcPr>
            <w:tcW w:w="763" w:type="dxa"/>
            <w:vAlign w:val="center"/>
          </w:tcPr>
          <w:p w:rsidR="00871824" w:rsidRDefault="00672BD5">
            <w:pPr>
              <w:jc w:val="right"/>
            </w:pPr>
            <w:r>
              <w:rPr>
                <w:rFonts w:eastAsiaTheme="minorEastAsia"/>
                <w:color w:val="000000"/>
                <w:szCs w:val="21"/>
              </w:rPr>
              <w:t>-</w:t>
            </w:r>
          </w:p>
        </w:tc>
        <w:tc>
          <w:tcPr>
            <w:tcW w:w="1260" w:type="dxa"/>
            <w:vAlign w:val="center"/>
          </w:tcPr>
          <w:p w:rsidR="00871824" w:rsidRDefault="00672BD5">
            <w:pPr>
              <w:jc w:val="right"/>
            </w:pPr>
            <w:r>
              <w:rPr>
                <w:rFonts w:eastAsiaTheme="minorEastAsia"/>
                <w:color w:val="000000"/>
                <w:szCs w:val="21"/>
              </w:rPr>
              <w:t>-</w:t>
            </w:r>
          </w:p>
        </w:tc>
        <w:tc>
          <w:tcPr>
            <w:tcW w:w="724" w:type="dxa"/>
            <w:vAlign w:val="center"/>
          </w:tcPr>
          <w:p w:rsidR="00871824" w:rsidRDefault="00672BD5">
            <w:pPr>
              <w:jc w:val="right"/>
            </w:pPr>
            <w:r>
              <w:rPr>
                <w:rFonts w:eastAsiaTheme="minorEastAsia"/>
                <w:color w:val="000000"/>
                <w:szCs w:val="21"/>
              </w:rPr>
              <w:t>-</w:t>
            </w:r>
          </w:p>
        </w:tc>
        <w:tc>
          <w:tcPr>
            <w:tcW w:w="1440" w:type="dxa"/>
            <w:vAlign w:val="center"/>
          </w:tcPr>
          <w:p w:rsidR="00871824" w:rsidRDefault="00672BD5">
            <w:pPr>
              <w:jc w:val="right"/>
            </w:pPr>
            <w:r>
              <w:rPr>
                <w:rFonts w:eastAsiaTheme="minorEastAsia"/>
                <w:color w:val="000000"/>
                <w:szCs w:val="21"/>
              </w:rPr>
              <w:t>-</w:t>
            </w:r>
          </w:p>
        </w:tc>
        <w:tc>
          <w:tcPr>
            <w:tcW w:w="781" w:type="dxa"/>
            <w:vAlign w:val="center"/>
          </w:tcPr>
          <w:p w:rsidR="00871824" w:rsidRDefault="00672BD5">
            <w:pPr>
              <w:jc w:val="right"/>
            </w:pPr>
            <w:r>
              <w:rPr>
                <w:rFonts w:eastAsiaTheme="minorEastAsia"/>
                <w:color w:val="000000"/>
                <w:szCs w:val="21"/>
              </w:rPr>
              <w:t>-</w:t>
            </w:r>
          </w:p>
        </w:tc>
        <w:tc>
          <w:tcPr>
            <w:tcW w:w="1181" w:type="dxa"/>
            <w:vAlign w:val="center"/>
          </w:tcPr>
          <w:p w:rsidR="00871824" w:rsidRDefault="00672BD5">
            <w:pPr>
              <w:jc w:val="right"/>
            </w:pPr>
            <w:r>
              <w:rPr>
                <w:rFonts w:eastAsiaTheme="minorEastAsia"/>
                <w:color w:val="000000"/>
                <w:szCs w:val="21"/>
              </w:rPr>
              <w:t>-</w:t>
            </w:r>
          </w:p>
        </w:tc>
      </w:tr>
    </w:tbl>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359" w:name="_Toc352256018"/>
      <w:bookmarkStart w:id="360" w:name="_Toc352256086"/>
      <w:bookmarkStart w:id="361" w:name="_Toc352331264"/>
      <w:bookmarkStart w:id="362" w:name="_Toc390164848"/>
      <w:bookmarkStart w:id="363" w:name="_Toc48662521"/>
      <w:r w:rsidRPr="0087359D">
        <w:rPr>
          <w:rFonts w:ascii="宋体" w:hAnsi="宋体"/>
          <w:kern w:val="0"/>
          <w:sz w:val="21"/>
          <w:szCs w:val="21"/>
        </w:rPr>
        <w:t>10.8</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其他重大事件</w:t>
      </w:r>
      <w:bookmarkEnd w:id="359"/>
      <w:bookmarkEnd w:id="360"/>
      <w:bookmarkEnd w:id="361"/>
      <w:bookmarkEnd w:id="362"/>
      <w:bookmarkEnd w:id="36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8A5A5D" w:rsidRPr="00C24ACA" w:rsidTr="004A4847">
        <w:tc>
          <w:tcPr>
            <w:tcW w:w="72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序号</w:t>
            </w:r>
          </w:p>
        </w:tc>
        <w:tc>
          <w:tcPr>
            <w:tcW w:w="432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公告事项</w:t>
            </w:r>
          </w:p>
        </w:tc>
        <w:tc>
          <w:tcPr>
            <w:tcW w:w="252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法定披露方式</w:t>
            </w:r>
          </w:p>
        </w:tc>
        <w:tc>
          <w:tcPr>
            <w:tcW w:w="144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法定披露日期</w:t>
            </w:r>
          </w:p>
        </w:tc>
      </w:tr>
      <w:tr w:rsidR="00871824">
        <w:tc>
          <w:tcPr>
            <w:tcW w:w="720" w:type="dxa"/>
            <w:vAlign w:val="center"/>
          </w:tcPr>
          <w:p w:rsidR="00871824" w:rsidRDefault="00672BD5">
            <w:pPr>
              <w:jc w:val="center"/>
            </w:pPr>
            <w:r>
              <w:rPr>
                <w:rFonts w:eastAsiaTheme="minorEastAsia"/>
                <w:color w:val="000000"/>
                <w:szCs w:val="21"/>
              </w:rPr>
              <w:t>1</w:t>
            </w:r>
          </w:p>
        </w:tc>
        <w:tc>
          <w:tcPr>
            <w:tcW w:w="4320" w:type="dxa"/>
            <w:vAlign w:val="center"/>
          </w:tcPr>
          <w:p w:rsidR="00871824" w:rsidRDefault="00672BD5">
            <w:pPr>
              <w:jc w:val="left"/>
            </w:pPr>
            <w:r>
              <w:rPr>
                <w:rFonts w:eastAsiaTheme="minorEastAsia"/>
                <w:color w:val="000000"/>
                <w:szCs w:val="21"/>
              </w:rPr>
              <w:t>易方达基金管理有限公司旗下部分开放式基金参加中国农业银行费率优惠活动的公告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2020-01-06</w:t>
            </w:r>
          </w:p>
        </w:tc>
      </w:tr>
      <w:tr w:rsidR="00871824">
        <w:tc>
          <w:tcPr>
            <w:tcW w:w="720" w:type="dxa"/>
            <w:vAlign w:val="center"/>
          </w:tcPr>
          <w:p w:rsidR="00871824" w:rsidRDefault="00672BD5">
            <w:pPr>
              <w:jc w:val="center"/>
            </w:pPr>
            <w:r>
              <w:rPr>
                <w:rFonts w:eastAsiaTheme="minorEastAsia"/>
                <w:color w:val="000000"/>
                <w:szCs w:val="21"/>
              </w:rPr>
              <w:t>2</w:t>
            </w:r>
          </w:p>
        </w:tc>
        <w:tc>
          <w:tcPr>
            <w:tcW w:w="4320" w:type="dxa"/>
            <w:vAlign w:val="center"/>
          </w:tcPr>
          <w:p w:rsidR="00871824" w:rsidRDefault="00672BD5">
            <w:pPr>
              <w:jc w:val="left"/>
            </w:pPr>
            <w:r>
              <w:rPr>
                <w:rFonts w:eastAsiaTheme="minorEastAsia"/>
                <w:color w:val="000000"/>
                <w:szCs w:val="21"/>
              </w:rPr>
              <w:t>易方达基金管理有限公司旗下部分开放式基金增加安信证券为销售机构的公告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2020-01-14</w:t>
            </w:r>
          </w:p>
        </w:tc>
      </w:tr>
      <w:tr w:rsidR="00871824">
        <w:tc>
          <w:tcPr>
            <w:tcW w:w="720" w:type="dxa"/>
            <w:vAlign w:val="center"/>
          </w:tcPr>
          <w:p w:rsidR="00871824" w:rsidRDefault="00672BD5">
            <w:pPr>
              <w:jc w:val="center"/>
            </w:pPr>
            <w:r>
              <w:rPr>
                <w:rFonts w:eastAsiaTheme="minorEastAsia"/>
                <w:color w:val="000000"/>
                <w:szCs w:val="21"/>
              </w:rPr>
              <w:t>3</w:t>
            </w:r>
          </w:p>
        </w:tc>
        <w:tc>
          <w:tcPr>
            <w:tcW w:w="4320" w:type="dxa"/>
            <w:vAlign w:val="center"/>
          </w:tcPr>
          <w:p w:rsidR="00871824" w:rsidRDefault="00672BD5">
            <w:pPr>
              <w:jc w:val="left"/>
            </w:pPr>
            <w:r>
              <w:rPr>
                <w:rFonts w:eastAsiaTheme="minorEastAsia"/>
                <w:color w:val="000000"/>
                <w:szCs w:val="21"/>
              </w:rPr>
              <w:t>易方达基金管理有限公司旗下基金</w:t>
            </w:r>
            <w:r>
              <w:rPr>
                <w:rFonts w:eastAsiaTheme="minorEastAsia"/>
                <w:color w:val="000000"/>
                <w:szCs w:val="21"/>
              </w:rPr>
              <w:t>2019</w:t>
            </w:r>
            <w:r>
              <w:rPr>
                <w:rFonts w:eastAsiaTheme="minorEastAsia"/>
                <w:color w:val="000000"/>
                <w:szCs w:val="21"/>
              </w:rPr>
              <w:t>年第</w:t>
            </w:r>
            <w:r>
              <w:rPr>
                <w:rFonts w:eastAsiaTheme="minorEastAsia"/>
                <w:color w:val="000000"/>
                <w:szCs w:val="21"/>
              </w:rPr>
              <w:t>4</w:t>
            </w:r>
            <w:r>
              <w:rPr>
                <w:rFonts w:eastAsiaTheme="minorEastAsia"/>
                <w:color w:val="000000"/>
                <w:szCs w:val="21"/>
              </w:rPr>
              <w:t>季度报告提示性公告</w:t>
            </w:r>
          </w:p>
        </w:tc>
        <w:tc>
          <w:tcPr>
            <w:tcW w:w="2520" w:type="dxa"/>
            <w:vAlign w:val="center"/>
          </w:tcPr>
          <w:p w:rsidR="00871824" w:rsidRDefault="00672BD5">
            <w:pPr>
              <w:jc w:val="left"/>
            </w:pPr>
            <w:r>
              <w:rPr>
                <w:rFonts w:eastAsiaTheme="minorEastAsia"/>
                <w:color w:val="000000"/>
                <w:szCs w:val="21"/>
              </w:rPr>
              <w:t>证券时报</w:t>
            </w:r>
          </w:p>
        </w:tc>
        <w:tc>
          <w:tcPr>
            <w:tcW w:w="1440" w:type="dxa"/>
            <w:vAlign w:val="center"/>
          </w:tcPr>
          <w:p w:rsidR="00871824" w:rsidRDefault="00672BD5">
            <w:pPr>
              <w:jc w:val="center"/>
            </w:pPr>
            <w:r>
              <w:rPr>
                <w:rFonts w:eastAsiaTheme="minorEastAsia"/>
                <w:color w:val="000000"/>
                <w:szCs w:val="21"/>
              </w:rPr>
              <w:t>2020-01-18</w:t>
            </w:r>
          </w:p>
        </w:tc>
      </w:tr>
      <w:tr w:rsidR="00871824">
        <w:tc>
          <w:tcPr>
            <w:tcW w:w="720" w:type="dxa"/>
            <w:vAlign w:val="center"/>
          </w:tcPr>
          <w:p w:rsidR="00871824" w:rsidRDefault="00672BD5">
            <w:pPr>
              <w:jc w:val="center"/>
            </w:pPr>
            <w:r>
              <w:rPr>
                <w:rFonts w:eastAsiaTheme="minorEastAsia"/>
                <w:color w:val="000000"/>
                <w:szCs w:val="21"/>
              </w:rPr>
              <w:t>4</w:t>
            </w:r>
          </w:p>
        </w:tc>
        <w:tc>
          <w:tcPr>
            <w:tcW w:w="4320" w:type="dxa"/>
            <w:vAlign w:val="center"/>
          </w:tcPr>
          <w:p w:rsidR="00871824" w:rsidRDefault="00672BD5">
            <w:pPr>
              <w:jc w:val="left"/>
            </w:pPr>
            <w:r>
              <w:rPr>
                <w:rFonts w:eastAsiaTheme="minorEastAsia"/>
                <w:color w:val="000000"/>
                <w:szCs w:val="21"/>
              </w:rPr>
              <w:t>易方达恒生中国企业交易型开放式指数证券投资基金联接基金</w:t>
            </w:r>
            <w:r>
              <w:rPr>
                <w:rFonts w:eastAsiaTheme="minorEastAsia"/>
                <w:color w:val="000000"/>
                <w:szCs w:val="21"/>
              </w:rPr>
              <w:t>C</w:t>
            </w:r>
            <w:r>
              <w:rPr>
                <w:rFonts w:eastAsiaTheme="minorEastAsia"/>
                <w:color w:val="000000"/>
                <w:szCs w:val="21"/>
              </w:rPr>
              <w:t>类人民币基金份额增加广发证券为销售机构的公告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2020-01-22</w:t>
            </w:r>
          </w:p>
        </w:tc>
      </w:tr>
      <w:tr w:rsidR="00871824">
        <w:tc>
          <w:tcPr>
            <w:tcW w:w="720" w:type="dxa"/>
            <w:vAlign w:val="center"/>
          </w:tcPr>
          <w:p w:rsidR="00871824" w:rsidRDefault="00672BD5">
            <w:pPr>
              <w:jc w:val="center"/>
            </w:pPr>
            <w:r>
              <w:rPr>
                <w:rFonts w:eastAsiaTheme="minorEastAsia"/>
                <w:color w:val="000000"/>
                <w:szCs w:val="21"/>
              </w:rPr>
              <w:t>5</w:t>
            </w:r>
          </w:p>
        </w:tc>
        <w:tc>
          <w:tcPr>
            <w:tcW w:w="4320" w:type="dxa"/>
            <w:vAlign w:val="center"/>
          </w:tcPr>
          <w:p w:rsidR="00871824" w:rsidRDefault="00672BD5">
            <w:pPr>
              <w:jc w:val="left"/>
            </w:pPr>
            <w:r>
              <w:rPr>
                <w:rFonts w:eastAsiaTheme="minorEastAsia"/>
                <w:color w:val="000000"/>
                <w:szCs w:val="21"/>
              </w:rPr>
              <w:t>易方达基金管理有限公司旗下部分开放式基金参加泉州银行费率优惠活动的公告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2020-01-23</w:t>
            </w:r>
          </w:p>
        </w:tc>
      </w:tr>
      <w:tr w:rsidR="00871824">
        <w:tc>
          <w:tcPr>
            <w:tcW w:w="720" w:type="dxa"/>
            <w:vAlign w:val="center"/>
          </w:tcPr>
          <w:p w:rsidR="00871824" w:rsidRDefault="00672BD5">
            <w:pPr>
              <w:jc w:val="center"/>
            </w:pPr>
            <w:r>
              <w:rPr>
                <w:rFonts w:eastAsiaTheme="minorEastAsia"/>
                <w:color w:val="000000"/>
                <w:szCs w:val="21"/>
              </w:rPr>
              <w:t>6</w:t>
            </w:r>
          </w:p>
        </w:tc>
        <w:tc>
          <w:tcPr>
            <w:tcW w:w="4320" w:type="dxa"/>
            <w:vAlign w:val="center"/>
          </w:tcPr>
          <w:p w:rsidR="00871824" w:rsidRDefault="00672BD5">
            <w:pPr>
              <w:jc w:val="left"/>
            </w:pPr>
            <w:r>
              <w:rPr>
                <w:rFonts w:eastAsiaTheme="minorEastAsia"/>
                <w:color w:val="000000"/>
                <w:szCs w:val="21"/>
              </w:rPr>
              <w:t>易方达基金管理有限公司关于旗下基金</w:t>
            </w:r>
            <w:r>
              <w:rPr>
                <w:rFonts w:eastAsiaTheme="minorEastAsia"/>
                <w:color w:val="000000"/>
                <w:szCs w:val="21"/>
              </w:rPr>
              <w:t>2020</w:t>
            </w:r>
            <w:r>
              <w:rPr>
                <w:rFonts w:eastAsiaTheme="minorEastAsia"/>
                <w:color w:val="000000"/>
                <w:szCs w:val="21"/>
              </w:rPr>
              <w:t>年</w:t>
            </w:r>
            <w:r>
              <w:rPr>
                <w:rFonts w:eastAsiaTheme="minorEastAsia"/>
                <w:color w:val="000000"/>
                <w:szCs w:val="21"/>
              </w:rPr>
              <w:t>1</w:t>
            </w:r>
            <w:r>
              <w:rPr>
                <w:rFonts w:eastAsiaTheme="minorEastAsia"/>
                <w:color w:val="000000"/>
                <w:szCs w:val="21"/>
              </w:rPr>
              <w:t>月</w:t>
            </w:r>
            <w:r>
              <w:rPr>
                <w:rFonts w:eastAsiaTheme="minorEastAsia"/>
                <w:color w:val="000000"/>
                <w:szCs w:val="21"/>
              </w:rPr>
              <w:t>31</w:t>
            </w:r>
            <w:r>
              <w:rPr>
                <w:rFonts w:eastAsiaTheme="minorEastAsia"/>
                <w:color w:val="000000"/>
                <w:szCs w:val="21"/>
              </w:rPr>
              <w:t>日不开放申购、赎回、转换、定期定额投资等业务的提示性公告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2020-01-30</w:t>
            </w:r>
          </w:p>
        </w:tc>
      </w:tr>
      <w:tr w:rsidR="00871824">
        <w:tc>
          <w:tcPr>
            <w:tcW w:w="720" w:type="dxa"/>
            <w:vAlign w:val="center"/>
          </w:tcPr>
          <w:p w:rsidR="00871824" w:rsidRDefault="00672BD5">
            <w:pPr>
              <w:jc w:val="center"/>
            </w:pPr>
            <w:r>
              <w:rPr>
                <w:rFonts w:eastAsiaTheme="minorEastAsia"/>
                <w:color w:val="000000"/>
                <w:szCs w:val="21"/>
              </w:rPr>
              <w:t>7</w:t>
            </w:r>
          </w:p>
        </w:tc>
        <w:tc>
          <w:tcPr>
            <w:tcW w:w="4320" w:type="dxa"/>
            <w:vAlign w:val="center"/>
          </w:tcPr>
          <w:p w:rsidR="00871824" w:rsidRDefault="00672BD5">
            <w:pPr>
              <w:jc w:val="left"/>
            </w:pPr>
            <w:r>
              <w:rPr>
                <w:rFonts w:eastAsiaTheme="minorEastAsia"/>
                <w:color w:val="000000"/>
                <w:szCs w:val="21"/>
              </w:rPr>
              <w:t>易方达基金管理有限公司及全资子公司投资旗下基金相关事宜的公告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2020-02-04</w:t>
            </w:r>
          </w:p>
        </w:tc>
      </w:tr>
      <w:tr w:rsidR="00871824">
        <w:tc>
          <w:tcPr>
            <w:tcW w:w="720" w:type="dxa"/>
            <w:vAlign w:val="center"/>
          </w:tcPr>
          <w:p w:rsidR="00871824" w:rsidRDefault="00672BD5">
            <w:pPr>
              <w:jc w:val="center"/>
            </w:pPr>
            <w:r>
              <w:rPr>
                <w:rFonts w:eastAsiaTheme="minorEastAsia"/>
                <w:color w:val="000000"/>
                <w:szCs w:val="21"/>
              </w:rPr>
              <w:t>8</w:t>
            </w:r>
          </w:p>
        </w:tc>
        <w:tc>
          <w:tcPr>
            <w:tcW w:w="4320" w:type="dxa"/>
            <w:vAlign w:val="center"/>
          </w:tcPr>
          <w:p w:rsidR="00871824" w:rsidRDefault="00672BD5">
            <w:pPr>
              <w:jc w:val="left"/>
            </w:pPr>
            <w:r>
              <w:rPr>
                <w:rFonts w:eastAsiaTheme="minorEastAsia"/>
                <w:color w:val="000000"/>
                <w:szCs w:val="21"/>
              </w:rPr>
              <w:t>易方达基金管理有限公司旗下部分开放式基金增加德邦证券为销售机构、参加德邦证券费率优惠活动的公告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2020-02-27</w:t>
            </w:r>
          </w:p>
        </w:tc>
      </w:tr>
      <w:tr w:rsidR="00871824">
        <w:tc>
          <w:tcPr>
            <w:tcW w:w="720" w:type="dxa"/>
            <w:vAlign w:val="center"/>
          </w:tcPr>
          <w:p w:rsidR="00871824" w:rsidRDefault="00672BD5">
            <w:pPr>
              <w:jc w:val="center"/>
            </w:pPr>
            <w:r>
              <w:rPr>
                <w:rFonts w:eastAsiaTheme="minorEastAsia"/>
                <w:color w:val="000000"/>
                <w:szCs w:val="21"/>
              </w:rPr>
              <w:t>9</w:t>
            </w:r>
          </w:p>
        </w:tc>
        <w:tc>
          <w:tcPr>
            <w:tcW w:w="4320" w:type="dxa"/>
            <w:vAlign w:val="center"/>
          </w:tcPr>
          <w:p w:rsidR="00871824" w:rsidRDefault="00672BD5">
            <w:pPr>
              <w:jc w:val="left"/>
            </w:pPr>
            <w:r>
              <w:rPr>
                <w:rFonts w:eastAsiaTheme="minorEastAsia"/>
                <w:color w:val="000000"/>
                <w:szCs w:val="21"/>
              </w:rPr>
              <w:t>易方达基金管理有限公司旗下部分开放式基金参加中金公司费率优惠活动的公告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2020-03-05</w:t>
            </w:r>
          </w:p>
        </w:tc>
      </w:tr>
      <w:tr w:rsidR="00871824">
        <w:tc>
          <w:tcPr>
            <w:tcW w:w="720" w:type="dxa"/>
            <w:vAlign w:val="center"/>
          </w:tcPr>
          <w:p w:rsidR="00871824" w:rsidRDefault="00672BD5">
            <w:pPr>
              <w:jc w:val="center"/>
            </w:pPr>
            <w:r>
              <w:rPr>
                <w:rFonts w:eastAsiaTheme="minorEastAsia"/>
                <w:color w:val="000000"/>
                <w:szCs w:val="21"/>
              </w:rPr>
              <w:t>10</w:t>
            </w:r>
          </w:p>
        </w:tc>
        <w:tc>
          <w:tcPr>
            <w:tcW w:w="4320" w:type="dxa"/>
            <w:vAlign w:val="center"/>
          </w:tcPr>
          <w:p w:rsidR="00871824" w:rsidRDefault="00672BD5">
            <w:pPr>
              <w:jc w:val="left"/>
            </w:pPr>
            <w:r>
              <w:rPr>
                <w:rFonts w:eastAsiaTheme="minorEastAsia"/>
                <w:color w:val="000000"/>
                <w:szCs w:val="21"/>
              </w:rPr>
              <w:t>易方达基金管理有限公司旗下部分开放式基金参加百度百盈费率优惠活动的公告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2020-03-10</w:t>
            </w:r>
          </w:p>
        </w:tc>
      </w:tr>
      <w:tr w:rsidR="00871824">
        <w:tc>
          <w:tcPr>
            <w:tcW w:w="720" w:type="dxa"/>
            <w:vAlign w:val="center"/>
          </w:tcPr>
          <w:p w:rsidR="00871824" w:rsidRDefault="00672BD5">
            <w:pPr>
              <w:jc w:val="center"/>
            </w:pPr>
            <w:r>
              <w:rPr>
                <w:rFonts w:eastAsiaTheme="minorEastAsia"/>
                <w:color w:val="000000"/>
                <w:szCs w:val="21"/>
              </w:rPr>
              <w:t>11</w:t>
            </w:r>
          </w:p>
        </w:tc>
        <w:tc>
          <w:tcPr>
            <w:tcW w:w="4320" w:type="dxa"/>
            <w:vAlign w:val="center"/>
          </w:tcPr>
          <w:p w:rsidR="00871824" w:rsidRDefault="00672BD5">
            <w:pPr>
              <w:jc w:val="left"/>
            </w:pPr>
            <w:r>
              <w:rPr>
                <w:rFonts w:eastAsiaTheme="minorEastAsia"/>
                <w:color w:val="000000"/>
                <w:szCs w:val="21"/>
              </w:rPr>
              <w:t>易方达基金管理有限公司关于旗下部分开放式基金参加腾安基金费率优惠活动的公告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2020-03-17</w:t>
            </w:r>
          </w:p>
        </w:tc>
      </w:tr>
      <w:tr w:rsidR="00871824">
        <w:tc>
          <w:tcPr>
            <w:tcW w:w="720" w:type="dxa"/>
            <w:vAlign w:val="center"/>
          </w:tcPr>
          <w:p w:rsidR="00871824" w:rsidRDefault="00672BD5">
            <w:pPr>
              <w:jc w:val="center"/>
            </w:pPr>
            <w:r>
              <w:rPr>
                <w:rFonts w:eastAsiaTheme="minorEastAsia"/>
                <w:color w:val="000000"/>
                <w:szCs w:val="21"/>
              </w:rPr>
              <w:t>12</w:t>
            </w:r>
          </w:p>
        </w:tc>
        <w:tc>
          <w:tcPr>
            <w:tcW w:w="4320" w:type="dxa"/>
            <w:vAlign w:val="center"/>
          </w:tcPr>
          <w:p w:rsidR="00871824" w:rsidRDefault="00672BD5">
            <w:pPr>
              <w:jc w:val="left"/>
            </w:pPr>
            <w:r>
              <w:rPr>
                <w:rFonts w:eastAsiaTheme="minorEastAsia"/>
                <w:color w:val="000000"/>
                <w:szCs w:val="21"/>
              </w:rPr>
              <w:t>易方达恒生中国企业交易型开放式指数证券投资基金联接基金基金经理变更公告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2020-03-18</w:t>
            </w:r>
          </w:p>
        </w:tc>
      </w:tr>
      <w:tr w:rsidR="00871824">
        <w:tc>
          <w:tcPr>
            <w:tcW w:w="720" w:type="dxa"/>
            <w:vAlign w:val="center"/>
          </w:tcPr>
          <w:p w:rsidR="00871824" w:rsidRDefault="00672BD5">
            <w:pPr>
              <w:jc w:val="center"/>
            </w:pPr>
            <w:r>
              <w:rPr>
                <w:rFonts w:eastAsiaTheme="minorEastAsia"/>
                <w:color w:val="000000"/>
                <w:szCs w:val="21"/>
              </w:rPr>
              <w:t>13</w:t>
            </w:r>
          </w:p>
        </w:tc>
        <w:tc>
          <w:tcPr>
            <w:tcW w:w="4320" w:type="dxa"/>
            <w:vAlign w:val="center"/>
          </w:tcPr>
          <w:p w:rsidR="00871824" w:rsidRDefault="00672BD5">
            <w:pPr>
              <w:jc w:val="left"/>
            </w:pPr>
            <w:r>
              <w:rPr>
                <w:rFonts w:eastAsiaTheme="minorEastAsia"/>
                <w:color w:val="000000"/>
                <w:szCs w:val="21"/>
              </w:rPr>
              <w:t>易方达基金管理有限公司旗下部分开放式基金增加华瑞保险销售为销售机构、参加华瑞保险销售费率优惠活动的公告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2020-03-23</w:t>
            </w:r>
          </w:p>
        </w:tc>
      </w:tr>
      <w:tr w:rsidR="00871824">
        <w:tc>
          <w:tcPr>
            <w:tcW w:w="720" w:type="dxa"/>
            <w:vAlign w:val="center"/>
          </w:tcPr>
          <w:p w:rsidR="00871824" w:rsidRDefault="00672BD5">
            <w:pPr>
              <w:jc w:val="center"/>
            </w:pPr>
            <w:r>
              <w:rPr>
                <w:rFonts w:eastAsiaTheme="minorEastAsia"/>
                <w:color w:val="000000"/>
                <w:szCs w:val="21"/>
              </w:rPr>
              <w:t>14</w:t>
            </w:r>
          </w:p>
        </w:tc>
        <w:tc>
          <w:tcPr>
            <w:tcW w:w="4320" w:type="dxa"/>
            <w:vAlign w:val="center"/>
          </w:tcPr>
          <w:p w:rsidR="00871824" w:rsidRDefault="00672BD5">
            <w:pPr>
              <w:jc w:val="left"/>
            </w:pPr>
            <w:r>
              <w:rPr>
                <w:rFonts w:eastAsiaTheme="minorEastAsia"/>
                <w:color w:val="000000"/>
                <w:szCs w:val="21"/>
              </w:rPr>
              <w:t>易方达基金管理有限公司旗下基金</w:t>
            </w:r>
            <w:r>
              <w:rPr>
                <w:rFonts w:eastAsiaTheme="minorEastAsia"/>
                <w:color w:val="000000"/>
                <w:szCs w:val="21"/>
              </w:rPr>
              <w:t>2019</w:t>
            </w:r>
            <w:r>
              <w:rPr>
                <w:rFonts w:eastAsiaTheme="minorEastAsia"/>
                <w:color w:val="000000"/>
                <w:szCs w:val="21"/>
              </w:rPr>
              <w:t>年年度报告提示性公告</w:t>
            </w:r>
          </w:p>
        </w:tc>
        <w:tc>
          <w:tcPr>
            <w:tcW w:w="2520" w:type="dxa"/>
            <w:vAlign w:val="center"/>
          </w:tcPr>
          <w:p w:rsidR="00871824" w:rsidRDefault="00672BD5">
            <w:pPr>
              <w:jc w:val="left"/>
            </w:pPr>
            <w:r>
              <w:rPr>
                <w:rFonts w:eastAsiaTheme="minorEastAsia"/>
                <w:color w:val="000000"/>
                <w:szCs w:val="21"/>
              </w:rPr>
              <w:t>证券时报</w:t>
            </w:r>
          </w:p>
        </w:tc>
        <w:tc>
          <w:tcPr>
            <w:tcW w:w="1440" w:type="dxa"/>
            <w:vAlign w:val="center"/>
          </w:tcPr>
          <w:p w:rsidR="00871824" w:rsidRDefault="00672BD5">
            <w:pPr>
              <w:jc w:val="center"/>
            </w:pPr>
            <w:r>
              <w:rPr>
                <w:rFonts w:eastAsiaTheme="minorEastAsia"/>
                <w:color w:val="000000"/>
                <w:szCs w:val="21"/>
              </w:rPr>
              <w:t>2020-03-31</w:t>
            </w:r>
          </w:p>
        </w:tc>
      </w:tr>
      <w:tr w:rsidR="00871824">
        <w:tc>
          <w:tcPr>
            <w:tcW w:w="720" w:type="dxa"/>
            <w:vAlign w:val="center"/>
          </w:tcPr>
          <w:p w:rsidR="00871824" w:rsidRDefault="00672BD5">
            <w:pPr>
              <w:jc w:val="center"/>
            </w:pPr>
            <w:r>
              <w:rPr>
                <w:rFonts w:eastAsiaTheme="minorEastAsia"/>
                <w:color w:val="000000"/>
                <w:szCs w:val="21"/>
              </w:rPr>
              <w:t>15</w:t>
            </w:r>
          </w:p>
        </w:tc>
        <w:tc>
          <w:tcPr>
            <w:tcW w:w="4320" w:type="dxa"/>
            <w:vAlign w:val="center"/>
          </w:tcPr>
          <w:p w:rsidR="00871824" w:rsidRDefault="00672BD5">
            <w:pPr>
              <w:jc w:val="left"/>
            </w:pPr>
            <w:r>
              <w:rPr>
                <w:rFonts w:eastAsiaTheme="minorEastAsia"/>
                <w:color w:val="000000"/>
                <w:szCs w:val="21"/>
              </w:rPr>
              <w:t>易方达恒生中国企业交易型开放式指数证券投资基金联接基金</w:t>
            </w:r>
            <w:r>
              <w:rPr>
                <w:rFonts w:eastAsiaTheme="minorEastAsia"/>
                <w:color w:val="000000"/>
                <w:szCs w:val="21"/>
              </w:rPr>
              <w:t>2020</w:t>
            </w:r>
            <w:r>
              <w:rPr>
                <w:rFonts w:eastAsiaTheme="minorEastAsia"/>
                <w:color w:val="000000"/>
                <w:szCs w:val="21"/>
              </w:rPr>
              <w:t>年</w:t>
            </w:r>
            <w:r>
              <w:rPr>
                <w:rFonts w:eastAsiaTheme="minorEastAsia"/>
                <w:color w:val="000000"/>
                <w:szCs w:val="21"/>
              </w:rPr>
              <w:t>4</w:t>
            </w:r>
            <w:r>
              <w:rPr>
                <w:rFonts w:eastAsiaTheme="minorEastAsia"/>
                <w:color w:val="000000"/>
                <w:szCs w:val="21"/>
              </w:rPr>
              <w:t>月</w:t>
            </w:r>
            <w:r>
              <w:rPr>
                <w:rFonts w:eastAsiaTheme="minorEastAsia"/>
                <w:color w:val="000000"/>
                <w:szCs w:val="21"/>
              </w:rPr>
              <w:t>10</w:t>
            </w:r>
            <w:r>
              <w:rPr>
                <w:rFonts w:eastAsiaTheme="minorEastAsia"/>
                <w:color w:val="000000"/>
                <w:szCs w:val="21"/>
              </w:rPr>
              <w:t>日、</w:t>
            </w:r>
            <w:r>
              <w:rPr>
                <w:rFonts w:eastAsiaTheme="minorEastAsia"/>
                <w:color w:val="000000"/>
                <w:szCs w:val="21"/>
              </w:rPr>
              <w:t>4</w:t>
            </w:r>
            <w:r>
              <w:rPr>
                <w:rFonts w:eastAsiaTheme="minorEastAsia"/>
                <w:color w:val="000000"/>
                <w:szCs w:val="21"/>
              </w:rPr>
              <w:t>月</w:t>
            </w:r>
            <w:r>
              <w:rPr>
                <w:rFonts w:eastAsiaTheme="minorEastAsia"/>
                <w:color w:val="000000"/>
                <w:szCs w:val="21"/>
              </w:rPr>
              <w:t>13</w:t>
            </w:r>
            <w:r>
              <w:rPr>
                <w:rFonts w:eastAsiaTheme="minorEastAsia"/>
                <w:color w:val="000000"/>
                <w:szCs w:val="21"/>
              </w:rPr>
              <w:t>日暂停申购、赎回、定期定额投资业务的公告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2020-04-07</w:t>
            </w:r>
          </w:p>
        </w:tc>
      </w:tr>
      <w:tr w:rsidR="00871824">
        <w:tc>
          <w:tcPr>
            <w:tcW w:w="720" w:type="dxa"/>
            <w:vAlign w:val="center"/>
          </w:tcPr>
          <w:p w:rsidR="00871824" w:rsidRDefault="00672BD5">
            <w:pPr>
              <w:jc w:val="center"/>
            </w:pPr>
            <w:r>
              <w:rPr>
                <w:rFonts w:eastAsiaTheme="minorEastAsia"/>
                <w:color w:val="000000"/>
                <w:szCs w:val="21"/>
              </w:rPr>
              <w:t>16</w:t>
            </w:r>
          </w:p>
        </w:tc>
        <w:tc>
          <w:tcPr>
            <w:tcW w:w="4320" w:type="dxa"/>
            <w:vAlign w:val="center"/>
          </w:tcPr>
          <w:p w:rsidR="00871824" w:rsidRDefault="00672BD5">
            <w:pPr>
              <w:jc w:val="left"/>
            </w:pPr>
            <w:r>
              <w:rPr>
                <w:rFonts w:eastAsiaTheme="minorEastAsia"/>
                <w:color w:val="000000"/>
                <w:szCs w:val="21"/>
              </w:rPr>
              <w:t>易方达基金管理有限公司关于提醒投资者及时提供或更新身份信息资料的公告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2020-04-10</w:t>
            </w:r>
          </w:p>
        </w:tc>
      </w:tr>
      <w:tr w:rsidR="00871824">
        <w:tc>
          <w:tcPr>
            <w:tcW w:w="720" w:type="dxa"/>
            <w:vAlign w:val="center"/>
          </w:tcPr>
          <w:p w:rsidR="00871824" w:rsidRDefault="00672BD5">
            <w:pPr>
              <w:jc w:val="center"/>
            </w:pPr>
            <w:r>
              <w:rPr>
                <w:rFonts w:eastAsiaTheme="minorEastAsia"/>
                <w:color w:val="000000"/>
                <w:szCs w:val="21"/>
              </w:rPr>
              <w:t>17</w:t>
            </w:r>
          </w:p>
        </w:tc>
        <w:tc>
          <w:tcPr>
            <w:tcW w:w="4320" w:type="dxa"/>
            <w:vAlign w:val="center"/>
          </w:tcPr>
          <w:p w:rsidR="00871824" w:rsidRDefault="00672BD5">
            <w:pPr>
              <w:jc w:val="left"/>
            </w:pPr>
            <w:r>
              <w:rPr>
                <w:rFonts w:eastAsiaTheme="minorEastAsia"/>
                <w:color w:val="000000"/>
                <w:szCs w:val="21"/>
              </w:rPr>
              <w:t>易方达基金管理有限公司旗下部分开放式基金参加诺亚正行费率优惠活动的公告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2020-04-17</w:t>
            </w:r>
          </w:p>
        </w:tc>
      </w:tr>
      <w:tr w:rsidR="00871824">
        <w:tc>
          <w:tcPr>
            <w:tcW w:w="720" w:type="dxa"/>
            <w:vAlign w:val="center"/>
          </w:tcPr>
          <w:p w:rsidR="00871824" w:rsidRDefault="00672BD5">
            <w:pPr>
              <w:jc w:val="center"/>
            </w:pPr>
            <w:r>
              <w:rPr>
                <w:rFonts w:eastAsiaTheme="minorEastAsia"/>
                <w:color w:val="000000"/>
                <w:szCs w:val="21"/>
              </w:rPr>
              <w:t>18</w:t>
            </w:r>
          </w:p>
        </w:tc>
        <w:tc>
          <w:tcPr>
            <w:tcW w:w="4320" w:type="dxa"/>
            <w:vAlign w:val="center"/>
          </w:tcPr>
          <w:p w:rsidR="00871824" w:rsidRDefault="00672BD5">
            <w:pPr>
              <w:jc w:val="left"/>
            </w:pPr>
            <w:r>
              <w:rPr>
                <w:rFonts w:eastAsiaTheme="minorEastAsia"/>
                <w:color w:val="000000"/>
                <w:szCs w:val="21"/>
              </w:rPr>
              <w:t>易方达基金管理有限公司旗下部分开放式基金参加中国国际期货费率优惠活动的公告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2020-04-17</w:t>
            </w:r>
          </w:p>
        </w:tc>
      </w:tr>
      <w:tr w:rsidR="00871824">
        <w:tc>
          <w:tcPr>
            <w:tcW w:w="720" w:type="dxa"/>
            <w:vAlign w:val="center"/>
          </w:tcPr>
          <w:p w:rsidR="00871824" w:rsidRDefault="00672BD5">
            <w:pPr>
              <w:jc w:val="center"/>
            </w:pPr>
            <w:r>
              <w:rPr>
                <w:rFonts w:eastAsiaTheme="minorEastAsia"/>
                <w:color w:val="000000"/>
                <w:szCs w:val="21"/>
              </w:rPr>
              <w:t>19</w:t>
            </w:r>
          </w:p>
        </w:tc>
        <w:tc>
          <w:tcPr>
            <w:tcW w:w="4320" w:type="dxa"/>
            <w:vAlign w:val="center"/>
          </w:tcPr>
          <w:p w:rsidR="00871824" w:rsidRDefault="00672BD5">
            <w:pPr>
              <w:jc w:val="left"/>
            </w:pPr>
            <w:r>
              <w:rPr>
                <w:rFonts w:eastAsiaTheme="minorEastAsia"/>
                <w:color w:val="000000"/>
                <w:szCs w:val="21"/>
              </w:rPr>
              <w:t>易方达基金管理有限公司旗下基金</w:t>
            </w:r>
            <w:r>
              <w:rPr>
                <w:rFonts w:eastAsiaTheme="minorEastAsia"/>
                <w:color w:val="000000"/>
                <w:szCs w:val="21"/>
              </w:rPr>
              <w:t>2020</w:t>
            </w:r>
            <w:r>
              <w:rPr>
                <w:rFonts w:eastAsiaTheme="minorEastAsia"/>
                <w:color w:val="000000"/>
                <w:szCs w:val="21"/>
              </w:rPr>
              <w:t>年第</w:t>
            </w:r>
            <w:r>
              <w:rPr>
                <w:rFonts w:eastAsiaTheme="minorEastAsia"/>
                <w:color w:val="000000"/>
                <w:szCs w:val="21"/>
              </w:rPr>
              <w:t>1</w:t>
            </w:r>
            <w:r>
              <w:rPr>
                <w:rFonts w:eastAsiaTheme="minorEastAsia"/>
                <w:color w:val="000000"/>
                <w:szCs w:val="21"/>
              </w:rPr>
              <w:t>季度报告提示性公告</w:t>
            </w:r>
          </w:p>
        </w:tc>
        <w:tc>
          <w:tcPr>
            <w:tcW w:w="2520" w:type="dxa"/>
            <w:vAlign w:val="center"/>
          </w:tcPr>
          <w:p w:rsidR="00871824" w:rsidRDefault="00672BD5">
            <w:pPr>
              <w:jc w:val="left"/>
            </w:pPr>
            <w:r>
              <w:rPr>
                <w:rFonts w:eastAsiaTheme="minorEastAsia"/>
                <w:color w:val="000000"/>
                <w:szCs w:val="21"/>
              </w:rPr>
              <w:t>证券时报</w:t>
            </w:r>
          </w:p>
        </w:tc>
        <w:tc>
          <w:tcPr>
            <w:tcW w:w="1440" w:type="dxa"/>
            <w:vAlign w:val="center"/>
          </w:tcPr>
          <w:p w:rsidR="00871824" w:rsidRDefault="00672BD5">
            <w:pPr>
              <w:jc w:val="center"/>
            </w:pPr>
            <w:r>
              <w:rPr>
                <w:rFonts w:eastAsiaTheme="minorEastAsia"/>
                <w:color w:val="000000"/>
                <w:szCs w:val="21"/>
              </w:rPr>
              <w:t>2020-04-21</w:t>
            </w:r>
          </w:p>
        </w:tc>
      </w:tr>
      <w:tr w:rsidR="00871824">
        <w:tc>
          <w:tcPr>
            <w:tcW w:w="720" w:type="dxa"/>
            <w:vAlign w:val="center"/>
          </w:tcPr>
          <w:p w:rsidR="00871824" w:rsidRDefault="00672BD5">
            <w:pPr>
              <w:jc w:val="center"/>
            </w:pPr>
            <w:r>
              <w:rPr>
                <w:rFonts w:eastAsiaTheme="minorEastAsia"/>
                <w:color w:val="000000"/>
                <w:szCs w:val="21"/>
              </w:rPr>
              <w:t>20</w:t>
            </w:r>
          </w:p>
        </w:tc>
        <w:tc>
          <w:tcPr>
            <w:tcW w:w="4320" w:type="dxa"/>
            <w:vAlign w:val="center"/>
          </w:tcPr>
          <w:p w:rsidR="00871824" w:rsidRDefault="00672BD5">
            <w:pPr>
              <w:jc w:val="left"/>
            </w:pPr>
            <w:r>
              <w:rPr>
                <w:rFonts w:eastAsiaTheme="minorEastAsia"/>
                <w:color w:val="000000"/>
                <w:szCs w:val="21"/>
              </w:rPr>
              <w:t>易方达基金管理有限公司旗下部分开放式基金参加国联证券费率优惠活动的公告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2020-04-22</w:t>
            </w:r>
          </w:p>
        </w:tc>
      </w:tr>
      <w:tr w:rsidR="00871824">
        <w:tc>
          <w:tcPr>
            <w:tcW w:w="720" w:type="dxa"/>
            <w:vAlign w:val="center"/>
          </w:tcPr>
          <w:p w:rsidR="00871824" w:rsidRDefault="00672BD5">
            <w:pPr>
              <w:jc w:val="center"/>
            </w:pPr>
            <w:r>
              <w:rPr>
                <w:rFonts w:eastAsiaTheme="minorEastAsia"/>
                <w:color w:val="000000"/>
                <w:szCs w:val="21"/>
              </w:rPr>
              <w:t>21</w:t>
            </w:r>
          </w:p>
        </w:tc>
        <w:tc>
          <w:tcPr>
            <w:tcW w:w="4320" w:type="dxa"/>
            <w:vAlign w:val="center"/>
          </w:tcPr>
          <w:p w:rsidR="00871824" w:rsidRDefault="00672BD5">
            <w:pPr>
              <w:jc w:val="left"/>
            </w:pPr>
            <w:r>
              <w:rPr>
                <w:rFonts w:eastAsiaTheme="minorEastAsia"/>
                <w:color w:val="000000"/>
                <w:szCs w:val="21"/>
              </w:rPr>
              <w:t>易方达恒生中国企业交易型开放式指数证券投资基金联接基金</w:t>
            </w:r>
            <w:r>
              <w:rPr>
                <w:rFonts w:eastAsiaTheme="minorEastAsia"/>
                <w:color w:val="000000"/>
                <w:szCs w:val="21"/>
              </w:rPr>
              <w:t>2020</w:t>
            </w:r>
            <w:r>
              <w:rPr>
                <w:rFonts w:eastAsiaTheme="minorEastAsia"/>
                <w:color w:val="000000"/>
                <w:szCs w:val="21"/>
              </w:rPr>
              <w:t>年</w:t>
            </w:r>
            <w:r>
              <w:rPr>
                <w:rFonts w:eastAsiaTheme="minorEastAsia"/>
                <w:color w:val="000000"/>
                <w:szCs w:val="21"/>
              </w:rPr>
              <w:t>4</w:t>
            </w:r>
            <w:r>
              <w:rPr>
                <w:rFonts w:eastAsiaTheme="minorEastAsia"/>
                <w:color w:val="000000"/>
                <w:szCs w:val="21"/>
              </w:rPr>
              <w:t>月</w:t>
            </w:r>
            <w:r>
              <w:rPr>
                <w:rFonts w:eastAsiaTheme="minorEastAsia"/>
                <w:color w:val="000000"/>
                <w:szCs w:val="21"/>
              </w:rPr>
              <w:t>30</w:t>
            </w:r>
            <w:r>
              <w:rPr>
                <w:rFonts w:eastAsiaTheme="minorEastAsia"/>
                <w:color w:val="000000"/>
                <w:szCs w:val="21"/>
              </w:rPr>
              <w:t>日暂停申购、赎回、定期定额投资业务的公告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2020-04-27</w:t>
            </w:r>
          </w:p>
        </w:tc>
      </w:tr>
      <w:tr w:rsidR="00871824">
        <w:tc>
          <w:tcPr>
            <w:tcW w:w="720" w:type="dxa"/>
            <w:vAlign w:val="center"/>
          </w:tcPr>
          <w:p w:rsidR="00871824" w:rsidRDefault="00672BD5">
            <w:pPr>
              <w:jc w:val="center"/>
            </w:pPr>
            <w:r>
              <w:rPr>
                <w:rFonts w:eastAsiaTheme="minorEastAsia"/>
                <w:color w:val="000000"/>
                <w:szCs w:val="21"/>
              </w:rPr>
              <w:t>22</w:t>
            </w:r>
          </w:p>
        </w:tc>
        <w:tc>
          <w:tcPr>
            <w:tcW w:w="4320" w:type="dxa"/>
            <w:vAlign w:val="center"/>
          </w:tcPr>
          <w:p w:rsidR="00871824" w:rsidRDefault="00672BD5">
            <w:pPr>
              <w:jc w:val="left"/>
            </w:pPr>
            <w:r>
              <w:rPr>
                <w:rFonts w:eastAsiaTheme="minorEastAsia"/>
                <w:color w:val="000000"/>
                <w:szCs w:val="21"/>
              </w:rPr>
              <w:t>易方达基金管理有限公司旗下部分开放式基金增加中信证券华南为销售机构的公告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2020-04-30</w:t>
            </w:r>
          </w:p>
        </w:tc>
      </w:tr>
      <w:tr w:rsidR="00871824">
        <w:tc>
          <w:tcPr>
            <w:tcW w:w="720" w:type="dxa"/>
            <w:vAlign w:val="center"/>
          </w:tcPr>
          <w:p w:rsidR="00871824" w:rsidRDefault="00672BD5">
            <w:pPr>
              <w:jc w:val="center"/>
            </w:pPr>
            <w:r>
              <w:rPr>
                <w:rFonts w:eastAsiaTheme="minorEastAsia"/>
                <w:color w:val="000000"/>
                <w:szCs w:val="21"/>
              </w:rPr>
              <w:t>23</w:t>
            </w:r>
          </w:p>
        </w:tc>
        <w:tc>
          <w:tcPr>
            <w:tcW w:w="4320" w:type="dxa"/>
            <w:vAlign w:val="center"/>
          </w:tcPr>
          <w:p w:rsidR="00871824" w:rsidRDefault="00672BD5">
            <w:pPr>
              <w:jc w:val="left"/>
            </w:pPr>
            <w:r>
              <w:rPr>
                <w:rFonts w:eastAsiaTheme="minorEastAsia"/>
                <w:color w:val="000000"/>
                <w:szCs w:val="21"/>
              </w:rPr>
              <w:t>易方达基金管理有限公司旗下部分开放式基金参加中金公司申购费率优惠活动的公告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2020-05-14</w:t>
            </w:r>
          </w:p>
        </w:tc>
      </w:tr>
      <w:tr w:rsidR="00871824">
        <w:tc>
          <w:tcPr>
            <w:tcW w:w="720" w:type="dxa"/>
            <w:vAlign w:val="center"/>
          </w:tcPr>
          <w:p w:rsidR="00871824" w:rsidRDefault="00672BD5">
            <w:pPr>
              <w:jc w:val="center"/>
            </w:pPr>
            <w:r>
              <w:rPr>
                <w:rFonts w:eastAsiaTheme="minorEastAsia"/>
                <w:color w:val="000000"/>
                <w:szCs w:val="21"/>
              </w:rPr>
              <w:t>24</w:t>
            </w:r>
          </w:p>
        </w:tc>
        <w:tc>
          <w:tcPr>
            <w:tcW w:w="4320" w:type="dxa"/>
            <w:vAlign w:val="center"/>
          </w:tcPr>
          <w:p w:rsidR="00871824" w:rsidRDefault="00672BD5">
            <w:pPr>
              <w:jc w:val="left"/>
            </w:pPr>
            <w:r>
              <w:rPr>
                <w:rFonts w:eastAsiaTheme="minorEastAsia"/>
                <w:color w:val="000000"/>
                <w:szCs w:val="21"/>
              </w:rPr>
              <w:t>易方达基金管理有限公司旗下部分开放式基金参加万联证券费率优惠活动的公告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2020-05-18</w:t>
            </w:r>
          </w:p>
        </w:tc>
      </w:tr>
      <w:tr w:rsidR="00871824">
        <w:tc>
          <w:tcPr>
            <w:tcW w:w="720" w:type="dxa"/>
            <w:vAlign w:val="center"/>
          </w:tcPr>
          <w:p w:rsidR="00871824" w:rsidRDefault="00672BD5">
            <w:pPr>
              <w:jc w:val="center"/>
            </w:pPr>
            <w:r>
              <w:rPr>
                <w:rFonts w:eastAsiaTheme="minorEastAsia"/>
                <w:color w:val="000000"/>
                <w:szCs w:val="21"/>
              </w:rPr>
              <w:t>25</w:t>
            </w:r>
          </w:p>
        </w:tc>
        <w:tc>
          <w:tcPr>
            <w:tcW w:w="4320" w:type="dxa"/>
            <w:vAlign w:val="center"/>
          </w:tcPr>
          <w:p w:rsidR="00871824" w:rsidRDefault="00672BD5">
            <w:pPr>
              <w:jc w:val="left"/>
            </w:pPr>
            <w:r>
              <w:rPr>
                <w:rFonts w:eastAsiaTheme="minorEastAsia"/>
                <w:color w:val="000000"/>
                <w:szCs w:val="21"/>
              </w:rPr>
              <w:t>易方达基金管理有限公司旗下部分开放式基金参加华夏财富费率优惠活动的公告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2020-05-23</w:t>
            </w:r>
          </w:p>
        </w:tc>
      </w:tr>
      <w:tr w:rsidR="00871824">
        <w:tc>
          <w:tcPr>
            <w:tcW w:w="720" w:type="dxa"/>
            <w:vAlign w:val="center"/>
          </w:tcPr>
          <w:p w:rsidR="00871824" w:rsidRDefault="00672BD5">
            <w:pPr>
              <w:jc w:val="center"/>
            </w:pPr>
            <w:r>
              <w:rPr>
                <w:rFonts w:eastAsiaTheme="minorEastAsia"/>
                <w:color w:val="000000"/>
                <w:szCs w:val="21"/>
              </w:rPr>
              <w:t>26</w:t>
            </w:r>
          </w:p>
        </w:tc>
        <w:tc>
          <w:tcPr>
            <w:tcW w:w="4320" w:type="dxa"/>
            <w:vAlign w:val="center"/>
          </w:tcPr>
          <w:p w:rsidR="00871824" w:rsidRDefault="00672BD5">
            <w:pPr>
              <w:jc w:val="left"/>
            </w:pPr>
            <w:r>
              <w:rPr>
                <w:rFonts w:eastAsiaTheme="minorEastAsia"/>
                <w:color w:val="000000"/>
                <w:szCs w:val="21"/>
              </w:rPr>
              <w:t>易方达基金管理有限公司关于旗下基金在包商银行股份有限公司相关业务安排的提示性公告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2020-05-29</w:t>
            </w:r>
          </w:p>
        </w:tc>
      </w:tr>
      <w:tr w:rsidR="00871824">
        <w:tc>
          <w:tcPr>
            <w:tcW w:w="720" w:type="dxa"/>
            <w:vAlign w:val="center"/>
          </w:tcPr>
          <w:p w:rsidR="00871824" w:rsidRDefault="00672BD5">
            <w:pPr>
              <w:jc w:val="center"/>
            </w:pPr>
            <w:r>
              <w:rPr>
                <w:rFonts w:eastAsiaTheme="minorEastAsia"/>
                <w:color w:val="000000"/>
                <w:szCs w:val="21"/>
              </w:rPr>
              <w:t>27</w:t>
            </w:r>
          </w:p>
        </w:tc>
        <w:tc>
          <w:tcPr>
            <w:tcW w:w="4320" w:type="dxa"/>
            <w:vAlign w:val="center"/>
          </w:tcPr>
          <w:p w:rsidR="00871824" w:rsidRDefault="00672BD5">
            <w:pPr>
              <w:jc w:val="left"/>
            </w:pPr>
            <w:r>
              <w:rPr>
                <w:rFonts w:eastAsiaTheme="minorEastAsia"/>
                <w:color w:val="000000"/>
                <w:szCs w:val="21"/>
              </w:rPr>
              <w:t>易方达恒生中国企业交易型开放式指数证券投资基金联接基金</w:t>
            </w:r>
            <w:r>
              <w:rPr>
                <w:rFonts w:eastAsiaTheme="minorEastAsia"/>
                <w:color w:val="000000"/>
                <w:szCs w:val="21"/>
              </w:rPr>
              <w:t>C</w:t>
            </w:r>
            <w:r>
              <w:rPr>
                <w:rFonts w:eastAsiaTheme="minorEastAsia"/>
                <w:color w:val="000000"/>
                <w:szCs w:val="21"/>
              </w:rPr>
              <w:t>类人民币基金份额增加中金公司为销售机构的公告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2020-06-01</w:t>
            </w:r>
          </w:p>
        </w:tc>
      </w:tr>
      <w:tr w:rsidR="00871824">
        <w:tc>
          <w:tcPr>
            <w:tcW w:w="720" w:type="dxa"/>
            <w:vAlign w:val="center"/>
          </w:tcPr>
          <w:p w:rsidR="00871824" w:rsidRDefault="00672BD5">
            <w:pPr>
              <w:jc w:val="center"/>
            </w:pPr>
            <w:r>
              <w:rPr>
                <w:rFonts w:eastAsiaTheme="minorEastAsia"/>
                <w:color w:val="000000"/>
                <w:szCs w:val="21"/>
              </w:rPr>
              <w:t>28</w:t>
            </w:r>
          </w:p>
        </w:tc>
        <w:tc>
          <w:tcPr>
            <w:tcW w:w="4320" w:type="dxa"/>
            <w:vAlign w:val="center"/>
          </w:tcPr>
          <w:p w:rsidR="00871824" w:rsidRDefault="00672BD5">
            <w:pPr>
              <w:jc w:val="left"/>
            </w:pPr>
            <w:r>
              <w:rPr>
                <w:rFonts w:eastAsiaTheme="minorEastAsia"/>
                <w:color w:val="000000"/>
                <w:szCs w:val="21"/>
              </w:rPr>
              <w:t>易方达基金管理有限公司关于暂停上海朝阳永续基金销售有限公司办理旗下基金相关销售业务的公告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2020-06-03</w:t>
            </w:r>
          </w:p>
        </w:tc>
      </w:tr>
      <w:tr w:rsidR="00871824">
        <w:tc>
          <w:tcPr>
            <w:tcW w:w="720" w:type="dxa"/>
            <w:vAlign w:val="center"/>
          </w:tcPr>
          <w:p w:rsidR="00871824" w:rsidRDefault="00672BD5">
            <w:pPr>
              <w:jc w:val="center"/>
            </w:pPr>
            <w:r>
              <w:rPr>
                <w:rFonts w:eastAsiaTheme="minorEastAsia"/>
                <w:color w:val="000000"/>
                <w:szCs w:val="21"/>
              </w:rPr>
              <w:t>29</w:t>
            </w:r>
          </w:p>
        </w:tc>
        <w:tc>
          <w:tcPr>
            <w:tcW w:w="4320" w:type="dxa"/>
            <w:vAlign w:val="center"/>
          </w:tcPr>
          <w:p w:rsidR="00871824" w:rsidRDefault="00672BD5">
            <w:pPr>
              <w:jc w:val="left"/>
            </w:pPr>
            <w:r>
              <w:rPr>
                <w:rFonts w:eastAsiaTheme="minorEastAsia"/>
                <w:color w:val="000000"/>
                <w:szCs w:val="21"/>
              </w:rPr>
              <w:t>易方达基金管理有限公司关于调整旗下部分开放式基金在招商银行最低定期定额投资金额限制的公告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2020-06-04</w:t>
            </w:r>
          </w:p>
        </w:tc>
      </w:tr>
      <w:tr w:rsidR="00871824">
        <w:tc>
          <w:tcPr>
            <w:tcW w:w="720" w:type="dxa"/>
            <w:vAlign w:val="center"/>
          </w:tcPr>
          <w:p w:rsidR="00871824" w:rsidRDefault="00672BD5">
            <w:pPr>
              <w:jc w:val="center"/>
            </w:pPr>
            <w:r>
              <w:rPr>
                <w:rFonts w:eastAsiaTheme="minorEastAsia"/>
                <w:color w:val="000000"/>
                <w:szCs w:val="21"/>
              </w:rPr>
              <w:t>30</w:t>
            </w:r>
          </w:p>
        </w:tc>
        <w:tc>
          <w:tcPr>
            <w:tcW w:w="4320" w:type="dxa"/>
            <w:vAlign w:val="center"/>
          </w:tcPr>
          <w:p w:rsidR="00871824" w:rsidRDefault="00672BD5">
            <w:pPr>
              <w:jc w:val="left"/>
            </w:pPr>
            <w:r>
              <w:rPr>
                <w:rFonts w:eastAsiaTheme="minorEastAsia"/>
                <w:color w:val="000000"/>
                <w:szCs w:val="21"/>
              </w:rPr>
              <w:t>易方达基金管理有限公司高级管理人员变更公告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2020-06-22</w:t>
            </w:r>
          </w:p>
        </w:tc>
      </w:tr>
      <w:tr w:rsidR="00871824">
        <w:tc>
          <w:tcPr>
            <w:tcW w:w="720" w:type="dxa"/>
            <w:vAlign w:val="center"/>
          </w:tcPr>
          <w:p w:rsidR="00871824" w:rsidRDefault="00672BD5">
            <w:pPr>
              <w:jc w:val="center"/>
            </w:pPr>
            <w:r>
              <w:rPr>
                <w:rFonts w:eastAsiaTheme="minorEastAsia"/>
                <w:color w:val="000000"/>
                <w:szCs w:val="21"/>
              </w:rPr>
              <w:t>31</w:t>
            </w:r>
          </w:p>
        </w:tc>
        <w:tc>
          <w:tcPr>
            <w:tcW w:w="4320" w:type="dxa"/>
            <w:vAlign w:val="center"/>
          </w:tcPr>
          <w:p w:rsidR="00871824" w:rsidRDefault="00672BD5">
            <w:pPr>
              <w:jc w:val="left"/>
            </w:pPr>
            <w:r>
              <w:rPr>
                <w:rFonts w:eastAsiaTheme="minorEastAsia"/>
                <w:color w:val="000000"/>
                <w:szCs w:val="21"/>
              </w:rPr>
              <w:t>易方达恒生中国企业交易型开放式指数证券投资基金联接基金</w:t>
            </w:r>
            <w:r>
              <w:rPr>
                <w:rFonts w:eastAsiaTheme="minorEastAsia"/>
                <w:color w:val="000000"/>
                <w:szCs w:val="21"/>
              </w:rPr>
              <w:t>2020</w:t>
            </w:r>
            <w:r>
              <w:rPr>
                <w:rFonts w:eastAsiaTheme="minorEastAsia"/>
                <w:color w:val="000000"/>
                <w:szCs w:val="21"/>
              </w:rPr>
              <w:t>年</w:t>
            </w:r>
            <w:r>
              <w:rPr>
                <w:rFonts w:eastAsiaTheme="minorEastAsia"/>
                <w:color w:val="000000"/>
                <w:szCs w:val="21"/>
              </w:rPr>
              <w:t>7</w:t>
            </w:r>
            <w:r>
              <w:rPr>
                <w:rFonts w:eastAsiaTheme="minorEastAsia"/>
                <w:color w:val="000000"/>
                <w:szCs w:val="21"/>
              </w:rPr>
              <w:t>月</w:t>
            </w:r>
            <w:r>
              <w:rPr>
                <w:rFonts w:eastAsiaTheme="minorEastAsia"/>
                <w:color w:val="000000"/>
                <w:szCs w:val="21"/>
              </w:rPr>
              <w:t>1</w:t>
            </w:r>
            <w:r>
              <w:rPr>
                <w:rFonts w:eastAsiaTheme="minorEastAsia"/>
                <w:color w:val="000000"/>
                <w:szCs w:val="21"/>
              </w:rPr>
              <w:t>日暂停申购、赎回、定期定额投资业务的公告</w:t>
            </w:r>
          </w:p>
        </w:tc>
        <w:tc>
          <w:tcPr>
            <w:tcW w:w="2520" w:type="dxa"/>
            <w:vAlign w:val="center"/>
          </w:tcPr>
          <w:p w:rsidR="00871824" w:rsidRDefault="00672BD5">
            <w:pPr>
              <w:jc w:val="left"/>
            </w:pPr>
            <w:r>
              <w:rPr>
                <w:rFonts w:eastAsiaTheme="minorEastAsia"/>
                <w:color w:val="000000"/>
                <w:szCs w:val="21"/>
              </w:rPr>
              <w:t>证券时报、基金管理人网站及中国证监会基金电子披露网站</w:t>
            </w:r>
          </w:p>
        </w:tc>
        <w:tc>
          <w:tcPr>
            <w:tcW w:w="1440" w:type="dxa"/>
            <w:vAlign w:val="center"/>
          </w:tcPr>
          <w:p w:rsidR="00871824" w:rsidRDefault="00672BD5">
            <w:pPr>
              <w:jc w:val="center"/>
            </w:pPr>
            <w:r>
              <w:rPr>
                <w:rFonts w:eastAsiaTheme="minorEastAsia"/>
                <w:color w:val="000000"/>
                <w:szCs w:val="21"/>
              </w:rPr>
              <w:t>2020-06-24</w:t>
            </w:r>
          </w:p>
        </w:tc>
      </w:tr>
    </w:tbl>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364" w:name="_Toc352256019"/>
      <w:bookmarkStart w:id="365" w:name="_Toc352256087"/>
      <w:bookmarkStart w:id="366" w:name="_Toc352331265"/>
      <w:bookmarkStart w:id="367" w:name="_Toc390164849"/>
      <w:bookmarkStart w:id="368" w:name="_Toc48662522"/>
      <w:r w:rsidRPr="000C6CCD">
        <w:rPr>
          <w:rFonts w:ascii="宋体" w:hAnsi="宋体"/>
          <w:bCs w:val="0"/>
          <w:color w:val="000000"/>
          <w:sz w:val="21"/>
          <w:szCs w:val="21"/>
        </w:rPr>
        <w:t>11</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影响投资者决策的其他重要信息</w:t>
      </w:r>
      <w:bookmarkEnd w:id="364"/>
      <w:bookmarkEnd w:id="365"/>
      <w:bookmarkEnd w:id="366"/>
      <w:bookmarkEnd w:id="367"/>
      <w:bookmarkEnd w:id="368"/>
    </w:p>
    <w:p w:rsidR="003E0918" w:rsidRPr="00A317EA" w:rsidRDefault="003E0918" w:rsidP="006C64F3">
      <w:pPr>
        <w:pStyle w:val="20"/>
        <w:spacing w:beforeLines="100" w:before="312" w:after="0"/>
        <w:rPr>
          <w:rFonts w:ascii="Times New Roman" w:eastAsiaTheme="minorEastAsia" w:hAnsi="Times New Roman"/>
          <w:kern w:val="0"/>
          <w:sz w:val="21"/>
          <w:szCs w:val="21"/>
        </w:rPr>
      </w:pPr>
      <w:bookmarkStart w:id="369" w:name="_Toc48662523"/>
      <w:r w:rsidRPr="0087359D">
        <w:rPr>
          <w:rFonts w:ascii="宋体" w:hAnsi="宋体"/>
          <w:kern w:val="0"/>
          <w:sz w:val="21"/>
          <w:szCs w:val="21"/>
        </w:rPr>
        <w:t>11.1</w:t>
      </w:r>
      <w:r w:rsidR="00982AAE"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报告期内单一投资者持有基金份额比例达到或超过</w:t>
      </w:r>
      <w:r w:rsidRPr="00A317EA">
        <w:rPr>
          <w:rFonts w:ascii="Times New Roman" w:eastAsiaTheme="minorEastAsia" w:hAnsi="Times New Roman"/>
          <w:kern w:val="0"/>
          <w:sz w:val="21"/>
          <w:szCs w:val="21"/>
        </w:rPr>
        <w:t>20%</w:t>
      </w:r>
      <w:r w:rsidRPr="00A317EA">
        <w:rPr>
          <w:rFonts w:ascii="Times New Roman" w:eastAsiaTheme="minorEastAsia" w:hAnsi="Times New Roman"/>
          <w:kern w:val="0"/>
          <w:sz w:val="21"/>
          <w:szCs w:val="21"/>
        </w:rPr>
        <w:t>的情况</w:t>
      </w:r>
      <w:bookmarkEnd w:id="369"/>
    </w:p>
    <w:tbl>
      <w:tblPr>
        <w:tblStyle w:val="af7"/>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3E0918" w:rsidRPr="00130C74" w:rsidTr="00742218">
        <w:trPr>
          <w:jc w:val="center"/>
        </w:trPr>
        <w:tc>
          <w:tcPr>
            <w:tcW w:w="709" w:type="dxa"/>
            <w:vMerge w:val="restart"/>
            <w:vAlign w:val="center"/>
          </w:tcPr>
          <w:p w:rsidR="003E0918" w:rsidRPr="00130C74" w:rsidRDefault="003E0918" w:rsidP="00742218">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6663" w:type="dxa"/>
            <w:gridSpan w:val="5"/>
            <w:vAlign w:val="center"/>
          </w:tcPr>
          <w:p w:rsidR="003E0918" w:rsidRPr="00130C74" w:rsidRDefault="003E0918" w:rsidP="00742218">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2268" w:type="dxa"/>
            <w:gridSpan w:val="2"/>
            <w:vAlign w:val="center"/>
          </w:tcPr>
          <w:p w:rsidR="003E0918" w:rsidRPr="00130C74" w:rsidRDefault="003E0918" w:rsidP="00742218">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3E0918" w:rsidRPr="00130C74" w:rsidTr="00742218">
        <w:trPr>
          <w:jc w:val="center"/>
        </w:trPr>
        <w:tc>
          <w:tcPr>
            <w:tcW w:w="709" w:type="dxa"/>
            <w:vMerge/>
            <w:vAlign w:val="center"/>
          </w:tcPr>
          <w:p w:rsidR="003E0918" w:rsidRPr="00130C74" w:rsidRDefault="003E0918" w:rsidP="00742218">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3E0918" w:rsidRPr="00130C74" w:rsidRDefault="003E0918" w:rsidP="00742218">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2126" w:type="dxa"/>
            <w:vAlign w:val="center"/>
          </w:tcPr>
          <w:p w:rsidR="003E0918" w:rsidRPr="00130C74" w:rsidRDefault="003E0918" w:rsidP="00742218">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1276" w:type="dxa"/>
            <w:vAlign w:val="center"/>
          </w:tcPr>
          <w:p w:rsidR="003E0918" w:rsidRPr="00130C74" w:rsidRDefault="003E0918" w:rsidP="00742218">
            <w:pPr>
              <w:widowControl/>
              <w:rPr>
                <w:rFonts w:eastAsiaTheme="minorEastAsia"/>
                <w:b/>
                <w:bCs/>
                <w:color w:val="000000" w:themeColor="text1"/>
                <w:szCs w:val="21"/>
              </w:rPr>
            </w:pPr>
            <w:r w:rsidRPr="00130C74">
              <w:rPr>
                <w:color w:val="000000"/>
                <w:szCs w:val="21"/>
              </w:rPr>
              <w:t>期初份额</w:t>
            </w:r>
          </w:p>
        </w:tc>
        <w:tc>
          <w:tcPr>
            <w:tcW w:w="1276" w:type="dxa"/>
            <w:vAlign w:val="center"/>
          </w:tcPr>
          <w:p w:rsidR="003E0918" w:rsidRPr="00130C74" w:rsidRDefault="003E0918" w:rsidP="00742218">
            <w:pPr>
              <w:widowControl/>
              <w:rPr>
                <w:rFonts w:eastAsiaTheme="minorEastAsia"/>
                <w:b/>
                <w:bCs/>
                <w:color w:val="000000" w:themeColor="text1"/>
                <w:szCs w:val="21"/>
              </w:rPr>
            </w:pPr>
            <w:r w:rsidRPr="00130C74">
              <w:rPr>
                <w:color w:val="000000"/>
                <w:szCs w:val="21"/>
              </w:rPr>
              <w:t>申购份额</w:t>
            </w:r>
          </w:p>
        </w:tc>
        <w:tc>
          <w:tcPr>
            <w:tcW w:w="1276" w:type="dxa"/>
            <w:vAlign w:val="center"/>
          </w:tcPr>
          <w:p w:rsidR="003E0918" w:rsidRPr="00130C74" w:rsidRDefault="003E0918" w:rsidP="00742218">
            <w:pPr>
              <w:widowControl/>
              <w:rPr>
                <w:rFonts w:eastAsiaTheme="minorEastAsia"/>
                <w:b/>
                <w:bCs/>
                <w:color w:val="000000" w:themeColor="text1"/>
                <w:szCs w:val="21"/>
              </w:rPr>
            </w:pPr>
            <w:r w:rsidRPr="00130C74">
              <w:rPr>
                <w:color w:val="000000"/>
                <w:szCs w:val="21"/>
              </w:rPr>
              <w:t>赎回份额</w:t>
            </w:r>
          </w:p>
        </w:tc>
        <w:tc>
          <w:tcPr>
            <w:tcW w:w="1417" w:type="dxa"/>
            <w:vAlign w:val="center"/>
          </w:tcPr>
          <w:p w:rsidR="003E0918" w:rsidRPr="00130C74" w:rsidRDefault="003E0918" w:rsidP="00742218">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3E0918" w:rsidRPr="00130C74" w:rsidRDefault="003E0918" w:rsidP="00742218">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871824">
        <w:trPr>
          <w:jc w:val="center"/>
        </w:trPr>
        <w:tc>
          <w:tcPr>
            <w:tcW w:w="709" w:type="dxa"/>
            <w:vMerge w:val="restart"/>
            <w:vAlign w:val="center"/>
          </w:tcPr>
          <w:p w:rsidR="00871824" w:rsidRDefault="00672BD5">
            <w:r>
              <w:rPr>
                <w:rFonts w:eastAsiaTheme="minorEastAsia"/>
                <w:bCs/>
                <w:color w:val="000000" w:themeColor="text1"/>
                <w:szCs w:val="21"/>
              </w:rPr>
              <w:t>机构</w:t>
            </w:r>
          </w:p>
        </w:tc>
        <w:tc>
          <w:tcPr>
            <w:tcW w:w="709" w:type="dxa"/>
            <w:vAlign w:val="center"/>
          </w:tcPr>
          <w:p w:rsidR="00871824" w:rsidRDefault="00672BD5">
            <w:pPr>
              <w:jc w:val="center"/>
            </w:pPr>
            <w:r>
              <w:t>1</w:t>
            </w:r>
          </w:p>
        </w:tc>
        <w:tc>
          <w:tcPr>
            <w:tcW w:w="2126" w:type="dxa"/>
            <w:vAlign w:val="center"/>
          </w:tcPr>
          <w:p w:rsidR="00871824" w:rsidRDefault="00672BD5">
            <w:pPr>
              <w:jc w:val="center"/>
            </w:pPr>
            <w:r>
              <w:t>2020</w:t>
            </w:r>
            <w:r>
              <w:t>年</w:t>
            </w:r>
            <w:r>
              <w:t>01</w:t>
            </w:r>
            <w:r>
              <w:t>月</w:t>
            </w:r>
            <w:r>
              <w:t>01</w:t>
            </w:r>
            <w:r>
              <w:t>日</w:t>
            </w:r>
            <w:r>
              <w:t>~2020</w:t>
            </w:r>
            <w:r>
              <w:t>年</w:t>
            </w:r>
            <w:r>
              <w:t>01</w:t>
            </w:r>
            <w:r>
              <w:t>月</w:t>
            </w:r>
            <w:r>
              <w:t>06</w:t>
            </w:r>
            <w:r>
              <w:t>日</w:t>
            </w:r>
          </w:p>
        </w:tc>
        <w:tc>
          <w:tcPr>
            <w:tcW w:w="1276" w:type="dxa"/>
            <w:vAlign w:val="center"/>
          </w:tcPr>
          <w:p w:rsidR="00871824" w:rsidRDefault="00672BD5">
            <w:pPr>
              <w:jc w:val="center"/>
            </w:pPr>
            <w:r>
              <w:t>338,579,893.85</w:t>
            </w:r>
          </w:p>
        </w:tc>
        <w:tc>
          <w:tcPr>
            <w:tcW w:w="1276" w:type="dxa"/>
            <w:vAlign w:val="center"/>
          </w:tcPr>
          <w:p w:rsidR="00871824" w:rsidRDefault="00672BD5">
            <w:pPr>
              <w:jc w:val="center"/>
            </w:pPr>
            <w:r>
              <w:t>-</w:t>
            </w:r>
          </w:p>
        </w:tc>
        <w:tc>
          <w:tcPr>
            <w:tcW w:w="1276" w:type="dxa"/>
            <w:vAlign w:val="center"/>
          </w:tcPr>
          <w:p w:rsidR="00871824" w:rsidRDefault="00672BD5">
            <w:pPr>
              <w:jc w:val="center"/>
            </w:pPr>
            <w:r>
              <w:t>338,579,893.85</w:t>
            </w:r>
          </w:p>
        </w:tc>
        <w:tc>
          <w:tcPr>
            <w:tcW w:w="1417" w:type="dxa"/>
            <w:vAlign w:val="center"/>
          </w:tcPr>
          <w:p w:rsidR="00871824" w:rsidRDefault="00672BD5">
            <w:pPr>
              <w:jc w:val="center"/>
            </w:pPr>
            <w:r>
              <w:t>-</w:t>
            </w:r>
          </w:p>
        </w:tc>
        <w:tc>
          <w:tcPr>
            <w:tcW w:w="851" w:type="dxa"/>
            <w:vAlign w:val="center"/>
          </w:tcPr>
          <w:p w:rsidR="00871824" w:rsidRDefault="00672BD5">
            <w:pPr>
              <w:jc w:val="center"/>
            </w:pPr>
            <w:r>
              <w:t>-</w:t>
            </w:r>
          </w:p>
        </w:tc>
      </w:tr>
      <w:tr w:rsidR="003E0918" w:rsidRPr="00130C74" w:rsidTr="00742218">
        <w:trPr>
          <w:jc w:val="center"/>
        </w:trPr>
        <w:tc>
          <w:tcPr>
            <w:tcW w:w="9637" w:type="dxa"/>
            <w:gridSpan w:val="8"/>
            <w:vAlign w:val="center"/>
          </w:tcPr>
          <w:p w:rsidR="003E0918" w:rsidRPr="00130C74" w:rsidRDefault="003E0918" w:rsidP="00F1722F">
            <w:pPr>
              <w:autoSpaceDE w:val="0"/>
              <w:autoSpaceDN w:val="0"/>
              <w:adjustRightInd w:val="0"/>
              <w:jc w:val="center"/>
              <w:rPr>
                <w:szCs w:val="21"/>
              </w:rPr>
            </w:pPr>
            <w:r w:rsidRPr="00130C74">
              <w:rPr>
                <w:color w:val="000000"/>
                <w:szCs w:val="21"/>
              </w:rPr>
              <w:t>产品特有风险</w:t>
            </w:r>
          </w:p>
        </w:tc>
      </w:tr>
      <w:tr w:rsidR="003E0918" w:rsidRPr="00130C74" w:rsidTr="00742218">
        <w:trPr>
          <w:jc w:val="center"/>
        </w:trPr>
        <w:tc>
          <w:tcPr>
            <w:tcW w:w="9637" w:type="dxa"/>
            <w:gridSpan w:val="8"/>
            <w:vAlign w:val="center"/>
          </w:tcPr>
          <w:p w:rsidR="003E0918" w:rsidRPr="001333A8" w:rsidRDefault="003E0918" w:rsidP="00742218">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370" w:name="_Toc225500055"/>
      <w:bookmarkStart w:id="371" w:name="_Toc352256020"/>
      <w:bookmarkStart w:id="372" w:name="_Toc352256088"/>
      <w:bookmarkStart w:id="373" w:name="_Toc352331266"/>
      <w:bookmarkStart w:id="374" w:name="_Toc390164850"/>
      <w:bookmarkStart w:id="375" w:name="_Toc48662524"/>
      <w:r w:rsidRPr="000C6CCD">
        <w:rPr>
          <w:rFonts w:ascii="宋体" w:hAnsi="宋体"/>
          <w:bCs w:val="0"/>
          <w:color w:val="000000"/>
          <w:sz w:val="21"/>
          <w:szCs w:val="21"/>
        </w:rPr>
        <w:t>12</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备查文件目录</w:t>
      </w:r>
      <w:bookmarkEnd w:id="370"/>
      <w:bookmarkEnd w:id="371"/>
      <w:bookmarkEnd w:id="372"/>
      <w:bookmarkEnd w:id="373"/>
      <w:bookmarkEnd w:id="374"/>
      <w:bookmarkEnd w:id="375"/>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376" w:name="_Toc352256021"/>
      <w:bookmarkStart w:id="377" w:name="_Toc352256089"/>
      <w:bookmarkStart w:id="378" w:name="_Toc352331267"/>
      <w:bookmarkStart w:id="379" w:name="_Toc390164851"/>
      <w:bookmarkStart w:id="380" w:name="_Toc48662525"/>
      <w:r w:rsidRPr="0087359D">
        <w:rPr>
          <w:rFonts w:ascii="宋体" w:hAnsi="宋体"/>
          <w:kern w:val="0"/>
          <w:sz w:val="21"/>
          <w:szCs w:val="21"/>
        </w:rPr>
        <w:t>12.1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备查文件目录</w:t>
      </w:r>
      <w:bookmarkEnd w:id="376"/>
      <w:bookmarkEnd w:id="377"/>
      <w:bookmarkEnd w:id="378"/>
      <w:bookmarkEnd w:id="379"/>
      <w:bookmarkEnd w:id="380"/>
    </w:p>
    <w:p w:rsidR="00871824" w:rsidRDefault="00672BD5">
      <w:pPr>
        <w:widowControl/>
        <w:spacing w:line="360" w:lineRule="auto"/>
        <w:ind w:firstLineChars="200" w:firstLine="420"/>
        <w:rPr>
          <w:rFonts w:eastAsiaTheme="minorEastAsia"/>
          <w:kern w:val="0"/>
          <w:szCs w:val="21"/>
        </w:rPr>
      </w:pPr>
      <w:r>
        <w:rPr>
          <w:rFonts w:eastAsiaTheme="minorEastAsia"/>
          <w:kern w:val="0"/>
          <w:szCs w:val="21"/>
        </w:rPr>
        <w:t>1.</w:t>
      </w:r>
      <w:r>
        <w:rPr>
          <w:rFonts w:eastAsiaTheme="minorEastAsia"/>
          <w:kern w:val="0"/>
          <w:szCs w:val="21"/>
        </w:rPr>
        <w:t>中国证监会核准易方达恒生中国企业交易型开放式指数证券投资基金联接基金募集的文件；</w:t>
      </w:r>
    </w:p>
    <w:p w:rsidR="00871824" w:rsidRDefault="00672BD5">
      <w:pPr>
        <w:widowControl/>
        <w:spacing w:line="360" w:lineRule="auto"/>
        <w:ind w:firstLineChars="200" w:firstLine="420"/>
        <w:rPr>
          <w:rFonts w:eastAsiaTheme="minorEastAsia"/>
          <w:kern w:val="0"/>
          <w:szCs w:val="21"/>
        </w:rPr>
      </w:pPr>
      <w:r>
        <w:rPr>
          <w:rFonts w:eastAsiaTheme="minorEastAsia"/>
          <w:kern w:val="0"/>
          <w:szCs w:val="21"/>
        </w:rPr>
        <w:t>2.</w:t>
      </w:r>
      <w:r>
        <w:rPr>
          <w:rFonts w:eastAsiaTheme="minorEastAsia"/>
          <w:kern w:val="0"/>
          <w:szCs w:val="21"/>
        </w:rPr>
        <w:t>《易方达恒生中国企业交易型开放式指数证券投资基金联接基金基金合同》；</w:t>
      </w:r>
      <w:r>
        <w:rPr>
          <w:rFonts w:eastAsiaTheme="minorEastAsia"/>
          <w:kern w:val="0"/>
          <w:szCs w:val="21"/>
        </w:rPr>
        <w:t xml:space="preserve"> </w:t>
      </w:r>
    </w:p>
    <w:p w:rsidR="00871824" w:rsidRDefault="00672BD5">
      <w:pPr>
        <w:widowControl/>
        <w:spacing w:line="360" w:lineRule="auto"/>
        <w:ind w:firstLineChars="200" w:firstLine="420"/>
        <w:rPr>
          <w:rFonts w:eastAsiaTheme="minorEastAsia"/>
          <w:kern w:val="0"/>
          <w:szCs w:val="21"/>
        </w:rPr>
      </w:pPr>
      <w:r>
        <w:rPr>
          <w:rFonts w:eastAsiaTheme="minorEastAsia"/>
          <w:kern w:val="0"/>
          <w:szCs w:val="21"/>
        </w:rPr>
        <w:t>3.</w:t>
      </w:r>
      <w:r>
        <w:rPr>
          <w:rFonts w:eastAsiaTheme="minorEastAsia"/>
          <w:kern w:val="0"/>
          <w:szCs w:val="21"/>
        </w:rPr>
        <w:t>《易方达恒生中国企业交易型开放式指数证券投资基金联接基金托管协议》；</w:t>
      </w:r>
    </w:p>
    <w:p w:rsidR="00871824" w:rsidRDefault="00672BD5">
      <w:pPr>
        <w:widowControl/>
        <w:spacing w:line="360" w:lineRule="auto"/>
        <w:ind w:firstLineChars="200" w:firstLine="420"/>
        <w:rPr>
          <w:rFonts w:eastAsiaTheme="minorEastAsia"/>
          <w:kern w:val="0"/>
          <w:szCs w:val="21"/>
        </w:rPr>
      </w:pPr>
      <w:r>
        <w:rPr>
          <w:rFonts w:eastAsiaTheme="minorEastAsia"/>
          <w:kern w:val="0"/>
          <w:szCs w:val="21"/>
        </w:rPr>
        <w:t>4.</w:t>
      </w:r>
      <w:r>
        <w:rPr>
          <w:rFonts w:eastAsiaTheme="minorEastAsia"/>
          <w:kern w:val="0"/>
          <w:szCs w:val="21"/>
        </w:rPr>
        <w:t>《易方达基金管理有限公司开放式基金业务规则》；</w:t>
      </w:r>
    </w:p>
    <w:p w:rsidR="008A5A5D" w:rsidRPr="00C24ACA" w:rsidRDefault="008A5A5D" w:rsidP="008134C7">
      <w:pPr>
        <w:widowControl/>
        <w:spacing w:line="360" w:lineRule="auto"/>
        <w:ind w:firstLineChars="200" w:firstLine="420"/>
        <w:rPr>
          <w:rFonts w:eastAsiaTheme="minorEastAsia"/>
          <w:kern w:val="0"/>
          <w:szCs w:val="21"/>
        </w:rPr>
      </w:pPr>
      <w:r w:rsidRPr="00C24ACA">
        <w:rPr>
          <w:rFonts w:eastAsiaTheme="minorEastAsia"/>
          <w:kern w:val="0"/>
          <w:szCs w:val="21"/>
        </w:rPr>
        <w:t>5.</w:t>
      </w:r>
      <w:r w:rsidRPr="00C24ACA">
        <w:rPr>
          <w:rFonts w:eastAsiaTheme="minorEastAsia"/>
          <w:kern w:val="0"/>
          <w:szCs w:val="21"/>
        </w:rPr>
        <w:t>基金管理人业务资格批件和营业执照。</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381" w:name="_Toc352256022"/>
      <w:bookmarkStart w:id="382" w:name="_Toc352256090"/>
      <w:bookmarkStart w:id="383" w:name="_Toc352331268"/>
      <w:bookmarkStart w:id="384" w:name="_Toc390164852"/>
      <w:bookmarkStart w:id="385" w:name="_Toc48662526"/>
      <w:r w:rsidRPr="0087359D">
        <w:rPr>
          <w:rFonts w:ascii="宋体" w:hAnsi="宋体"/>
          <w:kern w:val="0"/>
          <w:sz w:val="21"/>
          <w:szCs w:val="21"/>
        </w:rPr>
        <w:t>12.2</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存放地点</w:t>
      </w:r>
      <w:bookmarkEnd w:id="381"/>
      <w:bookmarkEnd w:id="382"/>
      <w:bookmarkEnd w:id="383"/>
      <w:bookmarkEnd w:id="384"/>
      <w:bookmarkEnd w:id="385"/>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广州市天河区珠江新城珠江东路</w:t>
      </w:r>
      <w:r w:rsidRPr="00C24ACA">
        <w:rPr>
          <w:rFonts w:eastAsiaTheme="minorEastAsia"/>
          <w:kern w:val="0"/>
          <w:szCs w:val="21"/>
        </w:rPr>
        <w:t>30</w:t>
      </w:r>
      <w:r w:rsidRPr="00C24ACA">
        <w:rPr>
          <w:rFonts w:eastAsiaTheme="minorEastAsia"/>
          <w:kern w:val="0"/>
          <w:szCs w:val="21"/>
        </w:rPr>
        <w:t>号广州银行大厦</w:t>
      </w:r>
      <w:r w:rsidRPr="00C24ACA">
        <w:rPr>
          <w:rFonts w:eastAsiaTheme="minorEastAsia"/>
          <w:kern w:val="0"/>
          <w:szCs w:val="21"/>
        </w:rPr>
        <w:t>40-43</w:t>
      </w:r>
      <w:r w:rsidRPr="00C24ACA">
        <w:rPr>
          <w:rFonts w:eastAsiaTheme="minorEastAsia"/>
          <w:kern w:val="0"/>
          <w:szCs w:val="21"/>
        </w:rPr>
        <w:t>楼。</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386" w:name="_Toc352256023"/>
      <w:bookmarkStart w:id="387" w:name="_Toc352256091"/>
      <w:bookmarkStart w:id="388" w:name="_Toc352331269"/>
      <w:bookmarkStart w:id="389" w:name="_Toc390164853"/>
      <w:bookmarkStart w:id="390" w:name="_Toc48662527"/>
      <w:r w:rsidRPr="0087359D">
        <w:rPr>
          <w:rFonts w:ascii="宋体" w:hAnsi="宋体"/>
          <w:kern w:val="0"/>
          <w:sz w:val="21"/>
          <w:szCs w:val="21"/>
        </w:rPr>
        <w:t>12.3</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查阅方式</w:t>
      </w:r>
      <w:bookmarkEnd w:id="386"/>
      <w:bookmarkEnd w:id="387"/>
      <w:bookmarkEnd w:id="388"/>
      <w:bookmarkEnd w:id="389"/>
      <w:bookmarkEnd w:id="390"/>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投资者可在营业时间免费查阅，也可按工本费购买复印件。</w:t>
      </w: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2116B9">
      <w:pPr>
        <w:spacing w:line="360" w:lineRule="auto"/>
        <w:ind w:left="840"/>
        <w:jc w:val="right"/>
        <w:rPr>
          <w:rFonts w:eastAsiaTheme="minorEastAsia"/>
          <w:b/>
          <w:bCs/>
          <w:szCs w:val="21"/>
        </w:rPr>
      </w:pPr>
      <w:r w:rsidRPr="00C24ACA">
        <w:rPr>
          <w:rFonts w:eastAsiaTheme="minorEastAsia"/>
          <w:b/>
          <w:bCs/>
          <w:szCs w:val="21"/>
        </w:rPr>
        <w:t>易方达基金管理有限公司</w:t>
      </w:r>
    </w:p>
    <w:p w:rsidR="008A5A5D" w:rsidRPr="00C24ACA" w:rsidRDefault="00025106" w:rsidP="002116B9">
      <w:pPr>
        <w:spacing w:line="360" w:lineRule="auto"/>
        <w:ind w:left="840"/>
        <w:jc w:val="right"/>
        <w:rPr>
          <w:rFonts w:eastAsiaTheme="minorEastAsia"/>
          <w:b/>
          <w:bCs/>
          <w:szCs w:val="21"/>
        </w:rPr>
      </w:pPr>
      <w:r w:rsidRPr="00C24ACA">
        <w:rPr>
          <w:rFonts w:eastAsiaTheme="minorEastAsia"/>
          <w:b/>
          <w:bCs/>
          <w:szCs w:val="21"/>
        </w:rPr>
        <w:t>二〇二〇年八月二十八日</w:t>
      </w:r>
      <w:bookmarkEnd w:id="0"/>
    </w:p>
    <w:sectPr w:rsidR="008A5A5D" w:rsidRPr="00C24ACA" w:rsidSect="00937AC9">
      <w:footerReference w:type="even"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2D70" w:rsidRDefault="00992D70">
      <w:r>
        <w:separator/>
      </w:r>
    </w:p>
  </w:endnote>
  <w:endnote w:type="continuationSeparator" w:id="0">
    <w:p w:rsidR="00992D70" w:rsidRDefault="00992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F67" w:rsidRPr="00FF5BA7" w:rsidRDefault="00DC4F67" w:rsidP="008134C7">
    <w:pPr>
      <w:pStyle w:val="a7"/>
      <w:ind w:right="360"/>
      <w:jc w:val="center"/>
      <w:rPr>
        <w:sz w:val="21"/>
        <w:szCs w:val="21"/>
      </w:rPr>
    </w:pPr>
    <w:r w:rsidRPr="00FF5BA7">
      <w:rPr>
        <w:rFonts w:hint="eastAsia"/>
        <w:kern w:val="0"/>
        <w:sz w:val="21"/>
        <w:szCs w:val="21"/>
      </w:rPr>
      <w:t>第</w:t>
    </w:r>
    <w:r w:rsidRPr="00FF5BA7">
      <w:rPr>
        <w:kern w:val="0"/>
        <w:sz w:val="21"/>
        <w:szCs w:val="21"/>
      </w:rPr>
      <w:fldChar w:fldCharType="begin"/>
    </w:r>
    <w:r w:rsidRPr="00FF5BA7">
      <w:rPr>
        <w:kern w:val="0"/>
        <w:sz w:val="21"/>
        <w:szCs w:val="21"/>
      </w:rPr>
      <w:instrText xml:space="preserve"> PAGE </w:instrText>
    </w:r>
    <w:r w:rsidRPr="00FF5BA7">
      <w:rPr>
        <w:kern w:val="0"/>
        <w:sz w:val="21"/>
        <w:szCs w:val="21"/>
      </w:rPr>
      <w:fldChar w:fldCharType="separate"/>
    </w:r>
    <w:r w:rsidR="0077340B">
      <w:rPr>
        <w:noProof/>
        <w:kern w:val="0"/>
        <w:sz w:val="21"/>
        <w:szCs w:val="21"/>
      </w:rPr>
      <w:t>56</w:t>
    </w:r>
    <w:r w:rsidRPr="00FF5BA7">
      <w:rPr>
        <w:kern w:val="0"/>
        <w:sz w:val="21"/>
        <w:szCs w:val="21"/>
      </w:rPr>
      <w:fldChar w:fldCharType="end"/>
    </w:r>
    <w:r w:rsidRPr="00FF5BA7">
      <w:rPr>
        <w:rFonts w:hint="eastAsia"/>
        <w:kern w:val="0"/>
        <w:sz w:val="21"/>
        <w:szCs w:val="21"/>
      </w:rPr>
      <w:t>页，共</w:t>
    </w:r>
    <w:r w:rsidRPr="00FF5BA7">
      <w:rPr>
        <w:kern w:val="0"/>
        <w:sz w:val="21"/>
        <w:szCs w:val="21"/>
      </w:rPr>
      <w:fldChar w:fldCharType="begin"/>
    </w:r>
    <w:r w:rsidRPr="00FF5BA7">
      <w:rPr>
        <w:kern w:val="0"/>
        <w:sz w:val="21"/>
        <w:szCs w:val="21"/>
      </w:rPr>
      <w:instrText xml:space="preserve"> NUMPAGES </w:instrText>
    </w:r>
    <w:r w:rsidRPr="00FF5BA7">
      <w:rPr>
        <w:kern w:val="0"/>
        <w:sz w:val="21"/>
        <w:szCs w:val="21"/>
      </w:rPr>
      <w:fldChar w:fldCharType="separate"/>
    </w:r>
    <w:r w:rsidR="0077340B">
      <w:rPr>
        <w:noProof/>
        <w:kern w:val="0"/>
        <w:sz w:val="21"/>
        <w:szCs w:val="21"/>
      </w:rPr>
      <w:t>56</w:t>
    </w:r>
    <w:r w:rsidRPr="00FF5BA7">
      <w:rPr>
        <w:kern w:val="0"/>
        <w:sz w:val="21"/>
        <w:szCs w:val="21"/>
      </w:rPr>
      <w:fldChar w:fldCharType="end"/>
    </w:r>
    <w:r w:rsidRPr="00FF5BA7">
      <w:rPr>
        <w:rFonts w:hint="eastAsia"/>
        <w:kern w:val="0"/>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F67" w:rsidRDefault="00DC4F67" w:rsidP="00C03B3A">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DC4F67" w:rsidRDefault="00DC4F67" w:rsidP="00C03B3A">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2D70" w:rsidRDefault="00992D70">
      <w:r>
        <w:separator/>
      </w:r>
    </w:p>
  </w:footnote>
  <w:footnote w:type="continuationSeparator" w:id="0">
    <w:p w:rsidR="00992D70" w:rsidRDefault="00992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F67" w:rsidRPr="007018D6" w:rsidRDefault="00DC4F67" w:rsidP="009D66C1">
    <w:pPr>
      <w:pStyle w:val="aa"/>
      <w:pBdr>
        <w:bottom w:val="single" w:sz="6" w:space="0" w:color="auto"/>
      </w:pBdr>
      <w:jc w:val="right"/>
    </w:pPr>
    <w:r w:rsidRPr="007018D6">
      <w:t>易方达恒生中国企业交易型开放式指数证券投资基金联接基金</w:t>
    </w:r>
    <w:r w:rsidRPr="007018D6">
      <w:t>2020</w:t>
    </w:r>
    <w:r w:rsidRPr="007018D6">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3"/>
    <w:rsid w:val="00001B39"/>
    <w:rsid w:val="00002644"/>
    <w:rsid w:val="00002FDA"/>
    <w:rsid w:val="0000309F"/>
    <w:rsid w:val="00003577"/>
    <w:rsid w:val="0000403B"/>
    <w:rsid w:val="00004337"/>
    <w:rsid w:val="00005172"/>
    <w:rsid w:val="0000551D"/>
    <w:rsid w:val="00005911"/>
    <w:rsid w:val="00005C09"/>
    <w:rsid w:val="00005D29"/>
    <w:rsid w:val="000061CF"/>
    <w:rsid w:val="00006CF4"/>
    <w:rsid w:val="000102A7"/>
    <w:rsid w:val="00010918"/>
    <w:rsid w:val="00010A83"/>
    <w:rsid w:val="00010A8E"/>
    <w:rsid w:val="00010AC3"/>
    <w:rsid w:val="00010C1F"/>
    <w:rsid w:val="00010F11"/>
    <w:rsid w:val="00011081"/>
    <w:rsid w:val="00011EB5"/>
    <w:rsid w:val="0001280C"/>
    <w:rsid w:val="00013749"/>
    <w:rsid w:val="00013CAE"/>
    <w:rsid w:val="00015C4F"/>
    <w:rsid w:val="00015E54"/>
    <w:rsid w:val="000162AF"/>
    <w:rsid w:val="00016604"/>
    <w:rsid w:val="00016CEB"/>
    <w:rsid w:val="00016F07"/>
    <w:rsid w:val="00017581"/>
    <w:rsid w:val="0001767C"/>
    <w:rsid w:val="00020583"/>
    <w:rsid w:val="00021813"/>
    <w:rsid w:val="00021DD4"/>
    <w:rsid w:val="000221FE"/>
    <w:rsid w:val="00022F8F"/>
    <w:rsid w:val="00023BE7"/>
    <w:rsid w:val="00024491"/>
    <w:rsid w:val="0002453B"/>
    <w:rsid w:val="000246E6"/>
    <w:rsid w:val="00024C15"/>
    <w:rsid w:val="00024C62"/>
    <w:rsid w:val="00024CA0"/>
    <w:rsid w:val="00025106"/>
    <w:rsid w:val="00025805"/>
    <w:rsid w:val="000274FE"/>
    <w:rsid w:val="00027526"/>
    <w:rsid w:val="000276C9"/>
    <w:rsid w:val="00027CFC"/>
    <w:rsid w:val="00027F5F"/>
    <w:rsid w:val="0003228A"/>
    <w:rsid w:val="000322D5"/>
    <w:rsid w:val="0003271C"/>
    <w:rsid w:val="000327EA"/>
    <w:rsid w:val="00032ADD"/>
    <w:rsid w:val="00032FE1"/>
    <w:rsid w:val="000331EA"/>
    <w:rsid w:val="00033E6C"/>
    <w:rsid w:val="00033EC1"/>
    <w:rsid w:val="00034BA5"/>
    <w:rsid w:val="000358FE"/>
    <w:rsid w:val="00036C37"/>
    <w:rsid w:val="00036CFB"/>
    <w:rsid w:val="00037267"/>
    <w:rsid w:val="000378BC"/>
    <w:rsid w:val="00037CF2"/>
    <w:rsid w:val="00037FCF"/>
    <w:rsid w:val="000400FF"/>
    <w:rsid w:val="0004087B"/>
    <w:rsid w:val="00040DAC"/>
    <w:rsid w:val="000415E6"/>
    <w:rsid w:val="00041BC8"/>
    <w:rsid w:val="000421B8"/>
    <w:rsid w:val="000429DF"/>
    <w:rsid w:val="00042AAD"/>
    <w:rsid w:val="000430CA"/>
    <w:rsid w:val="0004381B"/>
    <w:rsid w:val="00043ABF"/>
    <w:rsid w:val="00044158"/>
    <w:rsid w:val="000445E4"/>
    <w:rsid w:val="000471B4"/>
    <w:rsid w:val="00047DFF"/>
    <w:rsid w:val="00050260"/>
    <w:rsid w:val="0005049D"/>
    <w:rsid w:val="000510AB"/>
    <w:rsid w:val="000514E0"/>
    <w:rsid w:val="00052E9B"/>
    <w:rsid w:val="00053091"/>
    <w:rsid w:val="0005346A"/>
    <w:rsid w:val="000534CD"/>
    <w:rsid w:val="00053EED"/>
    <w:rsid w:val="00053F17"/>
    <w:rsid w:val="0005448A"/>
    <w:rsid w:val="00055AF1"/>
    <w:rsid w:val="00056F23"/>
    <w:rsid w:val="000573B5"/>
    <w:rsid w:val="00060423"/>
    <w:rsid w:val="00060597"/>
    <w:rsid w:val="00060A2C"/>
    <w:rsid w:val="00060CB4"/>
    <w:rsid w:val="00061167"/>
    <w:rsid w:val="00062997"/>
    <w:rsid w:val="00062D12"/>
    <w:rsid w:val="00063D34"/>
    <w:rsid w:val="00063FEA"/>
    <w:rsid w:val="000642EA"/>
    <w:rsid w:val="000643C3"/>
    <w:rsid w:val="0006475F"/>
    <w:rsid w:val="00064AE3"/>
    <w:rsid w:val="00064FC8"/>
    <w:rsid w:val="00066524"/>
    <w:rsid w:val="000671A3"/>
    <w:rsid w:val="00067CC5"/>
    <w:rsid w:val="00070CD1"/>
    <w:rsid w:val="00071022"/>
    <w:rsid w:val="000710CD"/>
    <w:rsid w:val="0007171B"/>
    <w:rsid w:val="000717A1"/>
    <w:rsid w:val="000726C0"/>
    <w:rsid w:val="00072DE0"/>
    <w:rsid w:val="00073DB1"/>
    <w:rsid w:val="00073F87"/>
    <w:rsid w:val="00076397"/>
    <w:rsid w:val="000764CB"/>
    <w:rsid w:val="00076CC5"/>
    <w:rsid w:val="000801F4"/>
    <w:rsid w:val="00080423"/>
    <w:rsid w:val="0008141B"/>
    <w:rsid w:val="00081A3D"/>
    <w:rsid w:val="00081D05"/>
    <w:rsid w:val="00082038"/>
    <w:rsid w:val="0008226A"/>
    <w:rsid w:val="00083770"/>
    <w:rsid w:val="00083BAF"/>
    <w:rsid w:val="00083C9A"/>
    <w:rsid w:val="00084ADE"/>
    <w:rsid w:val="0008506D"/>
    <w:rsid w:val="00085E0F"/>
    <w:rsid w:val="00085F3E"/>
    <w:rsid w:val="000861D6"/>
    <w:rsid w:val="0008624A"/>
    <w:rsid w:val="000863CA"/>
    <w:rsid w:val="00086622"/>
    <w:rsid w:val="000866EC"/>
    <w:rsid w:val="000869C6"/>
    <w:rsid w:val="00087011"/>
    <w:rsid w:val="000874BC"/>
    <w:rsid w:val="00087CF7"/>
    <w:rsid w:val="00087D8D"/>
    <w:rsid w:val="0009000C"/>
    <w:rsid w:val="000908ED"/>
    <w:rsid w:val="0009091B"/>
    <w:rsid w:val="00090D5E"/>
    <w:rsid w:val="000917D5"/>
    <w:rsid w:val="000919B7"/>
    <w:rsid w:val="00093E08"/>
    <w:rsid w:val="00094876"/>
    <w:rsid w:val="000951F7"/>
    <w:rsid w:val="00095912"/>
    <w:rsid w:val="00095CE0"/>
    <w:rsid w:val="00096933"/>
    <w:rsid w:val="00096995"/>
    <w:rsid w:val="00096B18"/>
    <w:rsid w:val="00097013"/>
    <w:rsid w:val="00097230"/>
    <w:rsid w:val="000A010B"/>
    <w:rsid w:val="000A1448"/>
    <w:rsid w:val="000A1449"/>
    <w:rsid w:val="000A1BFB"/>
    <w:rsid w:val="000A2779"/>
    <w:rsid w:val="000A3022"/>
    <w:rsid w:val="000A38DE"/>
    <w:rsid w:val="000A457E"/>
    <w:rsid w:val="000A4672"/>
    <w:rsid w:val="000A4FEF"/>
    <w:rsid w:val="000A53FD"/>
    <w:rsid w:val="000A549A"/>
    <w:rsid w:val="000A578A"/>
    <w:rsid w:val="000A6557"/>
    <w:rsid w:val="000A673F"/>
    <w:rsid w:val="000A72F2"/>
    <w:rsid w:val="000A7FCC"/>
    <w:rsid w:val="000B0C56"/>
    <w:rsid w:val="000B2714"/>
    <w:rsid w:val="000B2B57"/>
    <w:rsid w:val="000B2C8D"/>
    <w:rsid w:val="000B36CC"/>
    <w:rsid w:val="000B3E43"/>
    <w:rsid w:val="000B417C"/>
    <w:rsid w:val="000B4365"/>
    <w:rsid w:val="000B5CC0"/>
    <w:rsid w:val="000B6328"/>
    <w:rsid w:val="000B682A"/>
    <w:rsid w:val="000B6D23"/>
    <w:rsid w:val="000C01F9"/>
    <w:rsid w:val="000C05AB"/>
    <w:rsid w:val="000C0871"/>
    <w:rsid w:val="000C0CA5"/>
    <w:rsid w:val="000C0F55"/>
    <w:rsid w:val="000C127D"/>
    <w:rsid w:val="000C15BE"/>
    <w:rsid w:val="000C1723"/>
    <w:rsid w:val="000C1B20"/>
    <w:rsid w:val="000C224F"/>
    <w:rsid w:val="000C2BDC"/>
    <w:rsid w:val="000C3FD9"/>
    <w:rsid w:val="000C4107"/>
    <w:rsid w:val="000C45E7"/>
    <w:rsid w:val="000C45F5"/>
    <w:rsid w:val="000C4A39"/>
    <w:rsid w:val="000C5E98"/>
    <w:rsid w:val="000C5F67"/>
    <w:rsid w:val="000C698D"/>
    <w:rsid w:val="000C6CCD"/>
    <w:rsid w:val="000C705C"/>
    <w:rsid w:val="000C7AE4"/>
    <w:rsid w:val="000D01F4"/>
    <w:rsid w:val="000D0B89"/>
    <w:rsid w:val="000D1497"/>
    <w:rsid w:val="000D1519"/>
    <w:rsid w:val="000D1F25"/>
    <w:rsid w:val="000D3145"/>
    <w:rsid w:val="000D36D1"/>
    <w:rsid w:val="000D4AAD"/>
    <w:rsid w:val="000D52DC"/>
    <w:rsid w:val="000D6054"/>
    <w:rsid w:val="000D619B"/>
    <w:rsid w:val="000D788B"/>
    <w:rsid w:val="000E1057"/>
    <w:rsid w:val="000E148A"/>
    <w:rsid w:val="000E28C9"/>
    <w:rsid w:val="000E34ED"/>
    <w:rsid w:val="000E4456"/>
    <w:rsid w:val="000E458D"/>
    <w:rsid w:val="000E56C3"/>
    <w:rsid w:val="000E6184"/>
    <w:rsid w:val="000E67FE"/>
    <w:rsid w:val="000E6DA9"/>
    <w:rsid w:val="000E7C24"/>
    <w:rsid w:val="000F0C0A"/>
    <w:rsid w:val="000F175F"/>
    <w:rsid w:val="000F17D1"/>
    <w:rsid w:val="000F1913"/>
    <w:rsid w:val="000F1B87"/>
    <w:rsid w:val="000F1EE4"/>
    <w:rsid w:val="000F2C75"/>
    <w:rsid w:val="000F3506"/>
    <w:rsid w:val="000F350C"/>
    <w:rsid w:val="000F3D90"/>
    <w:rsid w:val="000F4232"/>
    <w:rsid w:val="000F593E"/>
    <w:rsid w:val="000F60F3"/>
    <w:rsid w:val="000F60FF"/>
    <w:rsid w:val="000F6198"/>
    <w:rsid w:val="000F635F"/>
    <w:rsid w:val="000F6C61"/>
    <w:rsid w:val="00100C12"/>
    <w:rsid w:val="001013A8"/>
    <w:rsid w:val="00102CC8"/>
    <w:rsid w:val="001030B5"/>
    <w:rsid w:val="0010352B"/>
    <w:rsid w:val="001049B6"/>
    <w:rsid w:val="00104A39"/>
    <w:rsid w:val="00104DE3"/>
    <w:rsid w:val="001051C6"/>
    <w:rsid w:val="00105211"/>
    <w:rsid w:val="0010577B"/>
    <w:rsid w:val="00105C9C"/>
    <w:rsid w:val="001069ED"/>
    <w:rsid w:val="00106C1F"/>
    <w:rsid w:val="00107BA0"/>
    <w:rsid w:val="00107C33"/>
    <w:rsid w:val="001116BA"/>
    <w:rsid w:val="0011177A"/>
    <w:rsid w:val="0011179E"/>
    <w:rsid w:val="00111C71"/>
    <w:rsid w:val="00113B73"/>
    <w:rsid w:val="001141C0"/>
    <w:rsid w:val="001150A3"/>
    <w:rsid w:val="00115AD8"/>
    <w:rsid w:val="00116B10"/>
    <w:rsid w:val="00116E31"/>
    <w:rsid w:val="00120169"/>
    <w:rsid w:val="00120E31"/>
    <w:rsid w:val="00120EED"/>
    <w:rsid w:val="001212B4"/>
    <w:rsid w:val="00121A03"/>
    <w:rsid w:val="0012304E"/>
    <w:rsid w:val="0012380F"/>
    <w:rsid w:val="001239C8"/>
    <w:rsid w:val="00123A56"/>
    <w:rsid w:val="00124099"/>
    <w:rsid w:val="0012415D"/>
    <w:rsid w:val="001248EF"/>
    <w:rsid w:val="001257C7"/>
    <w:rsid w:val="0012593C"/>
    <w:rsid w:val="00126502"/>
    <w:rsid w:val="00126AF2"/>
    <w:rsid w:val="00126DDF"/>
    <w:rsid w:val="001270BF"/>
    <w:rsid w:val="00127BAC"/>
    <w:rsid w:val="00127FF5"/>
    <w:rsid w:val="00130386"/>
    <w:rsid w:val="00130590"/>
    <w:rsid w:val="00130C28"/>
    <w:rsid w:val="00131EC2"/>
    <w:rsid w:val="0013226C"/>
    <w:rsid w:val="00132E82"/>
    <w:rsid w:val="0013374F"/>
    <w:rsid w:val="00135467"/>
    <w:rsid w:val="00136211"/>
    <w:rsid w:val="001364D3"/>
    <w:rsid w:val="001366C4"/>
    <w:rsid w:val="0013686A"/>
    <w:rsid w:val="00136BE0"/>
    <w:rsid w:val="0013718B"/>
    <w:rsid w:val="00137BB5"/>
    <w:rsid w:val="00137BB9"/>
    <w:rsid w:val="00137D50"/>
    <w:rsid w:val="00140038"/>
    <w:rsid w:val="00142280"/>
    <w:rsid w:val="0014241E"/>
    <w:rsid w:val="001424C6"/>
    <w:rsid w:val="00142A56"/>
    <w:rsid w:val="001432A7"/>
    <w:rsid w:val="00143BE5"/>
    <w:rsid w:val="00144280"/>
    <w:rsid w:val="00144AAD"/>
    <w:rsid w:val="00144DF5"/>
    <w:rsid w:val="001455C7"/>
    <w:rsid w:val="00145A97"/>
    <w:rsid w:val="00145B50"/>
    <w:rsid w:val="00145CAE"/>
    <w:rsid w:val="00146485"/>
    <w:rsid w:val="00146835"/>
    <w:rsid w:val="00146A28"/>
    <w:rsid w:val="00146FBA"/>
    <w:rsid w:val="00147492"/>
    <w:rsid w:val="0015080E"/>
    <w:rsid w:val="00150AD6"/>
    <w:rsid w:val="0015173F"/>
    <w:rsid w:val="00151B23"/>
    <w:rsid w:val="001529AD"/>
    <w:rsid w:val="00152AB0"/>
    <w:rsid w:val="00152B88"/>
    <w:rsid w:val="0015328C"/>
    <w:rsid w:val="001535AE"/>
    <w:rsid w:val="00153B40"/>
    <w:rsid w:val="00153B9D"/>
    <w:rsid w:val="00153BCF"/>
    <w:rsid w:val="00154ADA"/>
    <w:rsid w:val="00154B08"/>
    <w:rsid w:val="00154C44"/>
    <w:rsid w:val="0015531A"/>
    <w:rsid w:val="00155875"/>
    <w:rsid w:val="001558FD"/>
    <w:rsid w:val="00155A35"/>
    <w:rsid w:val="00157418"/>
    <w:rsid w:val="00157B5A"/>
    <w:rsid w:val="0016050B"/>
    <w:rsid w:val="00161476"/>
    <w:rsid w:val="001626F8"/>
    <w:rsid w:val="0016380C"/>
    <w:rsid w:val="00163816"/>
    <w:rsid w:val="00163B27"/>
    <w:rsid w:val="0016425E"/>
    <w:rsid w:val="0016435A"/>
    <w:rsid w:val="00164BF7"/>
    <w:rsid w:val="00165317"/>
    <w:rsid w:val="001657AB"/>
    <w:rsid w:val="0016725E"/>
    <w:rsid w:val="0017073D"/>
    <w:rsid w:val="001707EF"/>
    <w:rsid w:val="00170D38"/>
    <w:rsid w:val="00171484"/>
    <w:rsid w:val="0017173B"/>
    <w:rsid w:val="00171BAD"/>
    <w:rsid w:val="00171F2C"/>
    <w:rsid w:val="001731C7"/>
    <w:rsid w:val="00173AF1"/>
    <w:rsid w:val="001744B4"/>
    <w:rsid w:val="001751EF"/>
    <w:rsid w:val="001756A1"/>
    <w:rsid w:val="001761EE"/>
    <w:rsid w:val="00176D47"/>
    <w:rsid w:val="00176EAA"/>
    <w:rsid w:val="00177030"/>
    <w:rsid w:val="0017725A"/>
    <w:rsid w:val="0017747A"/>
    <w:rsid w:val="00177C4B"/>
    <w:rsid w:val="00177F6A"/>
    <w:rsid w:val="00182708"/>
    <w:rsid w:val="00182A38"/>
    <w:rsid w:val="00182BB8"/>
    <w:rsid w:val="0018325A"/>
    <w:rsid w:val="00183BA8"/>
    <w:rsid w:val="00183D7A"/>
    <w:rsid w:val="00183F2D"/>
    <w:rsid w:val="00184CAE"/>
    <w:rsid w:val="00186199"/>
    <w:rsid w:val="00186F7A"/>
    <w:rsid w:val="00187CB2"/>
    <w:rsid w:val="00190AE2"/>
    <w:rsid w:val="00190E27"/>
    <w:rsid w:val="001928F7"/>
    <w:rsid w:val="00192AD3"/>
    <w:rsid w:val="00193182"/>
    <w:rsid w:val="00193575"/>
    <w:rsid w:val="0019389D"/>
    <w:rsid w:val="00193B62"/>
    <w:rsid w:val="00194537"/>
    <w:rsid w:val="00194F79"/>
    <w:rsid w:val="0019563C"/>
    <w:rsid w:val="001956CA"/>
    <w:rsid w:val="00195B79"/>
    <w:rsid w:val="00196BCF"/>
    <w:rsid w:val="00197CE2"/>
    <w:rsid w:val="001A02F4"/>
    <w:rsid w:val="001A088E"/>
    <w:rsid w:val="001A0AD5"/>
    <w:rsid w:val="001A0F4A"/>
    <w:rsid w:val="001A1B13"/>
    <w:rsid w:val="001A1D38"/>
    <w:rsid w:val="001A21A9"/>
    <w:rsid w:val="001A2A97"/>
    <w:rsid w:val="001A364F"/>
    <w:rsid w:val="001A39B7"/>
    <w:rsid w:val="001A42FA"/>
    <w:rsid w:val="001A4AEC"/>
    <w:rsid w:val="001A5051"/>
    <w:rsid w:val="001A58FE"/>
    <w:rsid w:val="001A59D8"/>
    <w:rsid w:val="001A5FA6"/>
    <w:rsid w:val="001A644F"/>
    <w:rsid w:val="001A668F"/>
    <w:rsid w:val="001A71CC"/>
    <w:rsid w:val="001A7F30"/>
    <w:rsid w:val="001B017D"/>
    <w:rsid w:val="001B2F0C"/>
    <w:rsid w:val="001B30CA"/>
    <w:rsid w:val="001B3513"/>
    <w:rsid w:val="001B353A"/>
    <w:rsid w:val="001B3D3E"/>
    <w:rsid w:val="001B3F69"/>
    <w:rsid w:val="001B4CEC"/>
    <w:rsid w:val="001B50CD"/>
    <w:rsid w:val="001B52FE"/>
    <w:rsid w:val="001B7890"/>
    <w:rsid w:val="001C005A"/>
    <w:rsid w:val="001C00CF"/>
    <w:rsid w:val="001C0806"/>
    <w:rsid w:val="001C1110"/>
    <w:rsid w:val="001C156D"/>
    <w:rsid w:val="001C1C77"/>
    <w:rsid w:val="001C2F9C"/>
    <w:rsid w:val="001C3399"/>
    <w:rsid w:val="001C37F6"/>
    <w:rsid w:val="001C4928"/>
    <w:rsid w:val="001C4D9F"/>
    <w:rsid w:val="001C4EB6"/>
    <w:rsid w:val="001C5289"/>
    <w:rsid w:val="001C6288"/>
    <w:rsid w:val="001C67A1"/>
    <w:rsid w:val="001C7C6D"/>
    <w:rsid w:val="001D0538"/>
    <w:rsid w:val="001D0634"/>
    <w:rsid w:val="001D0D6A"/>
    <w:rsid w:val="001D0F6A"/>
    <w:rsid w:val="001D21BC"/>
    <w:rsid w:val="001D2230"/>
    <w:rsid w:val="001D2D34"/>
    <w:rsid w:val="001D2E47"/>
    <w:rsid w:val="001D2FA5"/>
    <w:rsid w:val="001D35E0"/>
    <w:rsid w:val="001D5016"/>
    <w:rsid w:val="001D5045"/>
    <w:rsid w:val="001D5281"/>
    <w:rsid w:val="001D5494"/>
    <w:rsid w:val="001D5A44"/>
    <w:rsid w:val="001D6213"/>
    <w:rsid w:val="001D6BEF"/>
    <w:rsid w:val="001D724B"/>
    <w:rsid w:val="001D730C"/>
    <w:rsid w:val="001E03BE"/>
    <w:rsid w:val="001E07AE"/>
    <w:rsid w:val="001E09F9"/>
    <w:rsid w:val="001E0AAA"/>
    <w:rsid w:val="001E0F28"/>
    <w:rsid w:val="001E0F82"/>
    <w:rsid w:val="001E11D3"/>
    <w:rsid w:val="001E15F1"/>
    <w:rsid w:val="001E1C4F"/>
    <w:rsid w:val="001E1C7C"/>
    <w:rsid w:val="001E2332"/>
    <w:rsid w:val="001E27F6"/>
    <w:rsid w:val="001E287E"/>
    <w:rsid w:val="001E2A6A"/>
    <w:rsid w:val="001E3BB1"/>
    <w:rsid w:val="001E3DC2"/>
    <w:rsid w:val="001E49F3"/>
    <w:rsid w:val="001E56FF"/>
    <w:rsid w:val="001E5C6B"/>
    <w:rsid w:val="001E6862"/>
    <w:rsid w:val="001E6EBF"/>
    <w:rsid w:val="001F0307"/>
    <w:rsid w:val="001F03E1"/>
    <w:rsid w:val="001F0DE9"/>
    <w:rsid w:val="001F147B"/>
    <w:rsid w:val="001F221F"/>
    <w:rsid w:val="001F2246"/>
    <w:rsid w:val="001F3CC6"/>
    <w:rsid w:val="001F3F50"/>
    <w:rsid w:val="001F4530"/>
    <w:rsid w:val="001F489E"/>
    <w:rsid w:val="001F5CE2"/>
    <w:rsid w:val="001F5DBA"/>
    <w:rsid w:val="001F5DE3"/>
    <w:rsid w:val="001F5F74"/>
    <w:rsid w:val="001F6058"/>
    <w:rsid w:val="001F69B2"/>
    <w:rsid w:val="002000DE"/>
    <w:rsid w:val="002010DE"/>
    <w:rsid w:val="00201962"/>
    <w:rsid w:val="00201B58"/>
    <w:rsid w:val="00201DDA"/>
    <w:rsid w:val="00202968"/>
    <w:rsid w:val="00202C32"/>
    <w:rsid w:val="00203940"/>
    <w:rsid w:val="00203973"/>
    <w:rsid w:val="00203AEF"/>
    <w:rsid w:val="00206018"/>
    <w:rsid w:val="00206D74"/>
    <w:rsid w:val="002075E2"/>
    <w:rsid w:val="002077F4"/>
    <w:rsid w:val="00207E26"/>
    <w:rsid w:val="002116B9"/>
    <w:rsid w:val="00211A26"/>
    <w:rsid w:val="00212249"/>
    <w:rsid w:val="002125F7"/>
    <w:rsid w:val="00212901"/>
    <w:rsid w:val="00213709"/>
    <w:rsid w:val="0021397C"/>
    <w:rsid w:val="00214463"/>
    <w:rsid w:val="00214756"/>
    <w:rsid w:val="00215CF2"/>
    <w:rsid w:val="00215D9F"/>
    <w:rsid w:val="00216310"/>
    <w:rsid w:val="00216BCE"/>
    <w:rsid w:val="00216D8F"/>
    <w:rsid w:val="00217867"/>
    <w:rsid w:val="00220542"/>
    <w:rsid w:val="00220D7F"/>
    <w:rsid w:val="002210EB"/>
    <w:rsid w:val="00221174"/>
    <w:rsid w:val="00222DE3"/>
    <w:rsid w:val="002233F0"/>
    <w:rsid w:val="0022498A"/>
    <w:rsid w:val="00225756"/>
    <w:rsid w:val="00225ADC"/>
    <w:rsid w:val="00225CEB"/>
    <w:rsid w:val="0022692D"/>
    <w:rsid w:val="00227ABF"/>
    <w:rsid w:val="002318F3"/>
    <w:rsid w:val="00232443"/>
    <w:rsid w:val="0023323F"/>
    <w:rsid w:val="00233A86"/>
    <w:rsid w:val="00234202"/>
    <w:rsid w:val="00235842"/>
    <w:rsid w:val="002359EB"/>
    <w:rsid w:val="002363AB"/>
    <w:rsid w:val="00236412"/>
    <w:rsid w:val="00236933"/>
    <w:rsid w:val="0023727B"/>
    <w:rsid w:val="00237579"/>
    <w:rsid w:val="00237675"/>
    <w:rsid w:val="00237C6D"/>
    <w:rsid w:val="0024096B"/>
    <w:rsid w:val="00241582"/>
    <w:rsid w:val="00241B45"/>
    <w:rsid w:val="00241D0E"/>
    <w:rsid w:val="002424D7"/>
    <w:rsid w:val="0024260D"/>
    <w:rsid w:val="00242657"/>
    <w:rsid w:val="002428F6"/>
    <w:rsid w:val="00242FA2"/>
    <w:rsid w:val="00243C23"/>
    <w:rsid w:val="0024402C"/>
    <w:rsid w:val="00244D4F"/>
    <w:rsid w:val="00245012"/>
    <w:rsid w:val="0024504E"/>
    <w:rsid w:val="00245761"/>
    <w:rsid w:val="0024651F"/>
    <w:rsid w:val="00247729"/>
    <w:rsid w:val="0025158D"/>
    <w:rsid w:val="00251C7E"/>
    <w:rsid w:val="00251D61"/>
    <w:rsid w:val="00252697"/>
    <w:rsid w:val="0025281A"/>
    <w:rsid w:val="00253103"/>
    <w:rsid w:val="00253D3C"/>
    <w:rsid w:val="00254022"/>
    <w:rsid w:val="002544D7"/>
    <w:rsid w:val="00254C82"/>
    <w:rsid w:val="00255292"/>
    <w:rsid w:val="002561CC"/>
    <w:rsid w:val="002571F0"/>
    <w:rsid w:val="00257578"/>
    <w:rsid w:val="00260200"/>
    <w:rsid w:val="00260B06"/>
    <w:rsid w:val="00260BFB"/>
    <w:rsid w:val="00260DA3"/>
    <w:rsid w:val="00261D93"/>
    <w:rsid w:val="00261E92"/>
    <w:rsid w:val="00262029"/>
    <w:rsid w:val="00262553"/>
    <w:rsid w:val="002631B5"/>
    <w:rsid w:val="00263BBD"/>
    <w:rsid w:val="002648D8"/>
    <w:rsid w:val="00265AFB"/>
    <w:rsid w:val="00267EE3"/>
    <w:rsid w:val="00267F59"/>
    <w:rsid w:val="002700E9"/>
    <w:rsid w:val="00270CE9"/>
    <w:rsid w:val="002716BD"/>
    <w:rsid w:val="0027235A"/>
    <w:rsid w:val="00273CDB"/>
    <w:rsid w:val="00273F86"/>
    <w:rsid w:val="002741BE"/>
    <w:rsid w:val="002752EA"/>
    <w:rsid w:val="00275D42"/>
    <w:rsid w:val="00275D56"/>
    <w:rsid w:val="00275EAD"/>
    <w:rsid w:val="00276B03"/>
    <w:rsid w:val="00276C3A"/>
    <w:rsid w:val="002773FB"/>
    <w:rsid w:val="002774F0"/>
    <w:rsid w:val="00277583"/>
    <w:rsid w:val="00277722"/>
    <w:rsid w:val="00280A4F"/>
    <w:rsid w:val="00281226"/>
    <w:rsid w:val="002813C5"/>
    <w:rsid w:val="0028284A"/>
    <w:rsid w:val="00282C23"/>
    <w:rsid w:val="0028315D"/>
    <w:rsid w:val="00283885"/>
    <w:rsid w:val="002839A4"/>
    <w:rsid w:val="0028459B"/>
    <w:rsid w:val="00284C5F"/>
    <w:rsid w:val="0028507E"/>
    <w:rsid w:val="00286183"/>
    <w:rsid w:val="0028658C"/>
    <w:rsid w:val="002873F0"/>
    <w:rsid w:val="00287762"/>
    <w:rsid w:val="00287B8D"/>
    <w:rsid w:val="00290793"/>
    <w:rsid w:val="002915FE"/>
    <w:rsid w:val="002916E3"/>
    <w:rsid w:val="002916F1"/>
    <w:rsid w:val="00291A70"/>
    <w:rsid w:val="00291A85"/>
    <w:rsid w:val="00291F6F"/>
    <w:rsid w:val="0029379A"/>
    <w:rsid w:val="00293C97"/>
    <w:rsid w:val="002942CB"/>
    <w:rsid w:val="00294C7F"/>
    <w:rsid w:val="00294D8F"/>
    <w:rsid w:val="00295D5A"/>
    <w:rsid w:val="002964F9"/>
    <w:rsid w:val="0029690F"/>
    <w:rsid w:val="002969CC"/>
    <w:rsid w:val="00297D85"/>
    <w:rsid w:val="002A07F4"/>
    <w:rsid w:val="002A090A"/>
    <w:rsid w:val="002A0B47"/>
    <w:rsid w:val="002A1381"/>
    <w:rsid w:val="002A1F14"/>
    <w:rsid w:val="002A2678"/>
    <w:rsid w:val="002A2E01"/>
    <w:rsid w:val="002A32E5"/>
    <w:rsid w:val="002A34B9"/>
    <w:rsid w:val="002A398F"/>
    <w:rsid w:val="002A3DFD"/>
    <w:rsid w:val="002A46A7"/>
    <w:rsid w:val="002A4F2C"/>
    <w:rsid w:val="002A525F"/>
    <w:rsid w:val="002A5C6B"/>
    <w:rsid w:val="002A5D31"/>
    <w:rsid w:val="002A5E63"/>
    <w:rsid w:val="002A5FBD"/>
    <w:rsid w:val="002A714F"/>
    <w:rsid w:val="002A75D7"/>
    <w:rsid w:val="002B09C0"/>
    <w:rsid w:val="002B1851"/>
    <w:rsid w:val="002B1EC9"/>
    <w:rsid w:val="002B27FF"/>
    <w:rsid w:val="002B2B42"/>
    <w:rsid w:val="002B2F4E"/>
    <w:rsid w:val="002B5C8E"/>
    <w:rsid w:val="002B6688"/>
    <w:rsid w:val="002B6793"/>
    <w:rsid w:val="002B7562"/>
    <w:rsid w:val="002B780B"/>
    <w:rsid w:val="002B7D25"/>
    <w:rsid w:val="002C03E0"/>
    <w:rsid w:val="002C1260"/>
    <w:rsid w:val="002C1726"/>
    <w:rsid w:val="002C21A6"/>
    <w:rsid w:val="002C26D5"/>
    <w:rsid w:val="002C5777"/>
    <w:rsid w:val="002C5889"/>
    <w:rsid w:val="002C5909"/>
    <w:rsid w:val="002C5B7A"/>
    <w:rsid w:val="002C65FA"/>
    <w:rsid w:val="002C661D"/>
    <w:rsid w:val="002C7C89"/>
    <w:rsid w:val="002D1A0F"/>
    <w:rsid w:val="002D22BF"/>
    <w:rsid w:val="002D237C"/>
    <w:rsid w:val="002D32E3"/>
    <w:rsid w:val="002D33F1"/>
    <w:rsid w:val="002D353D"/>
    <w:rsid w:val="002D44BC"/>
    <w:rsid w:val="002D4733"/>
    <w:rsid w:val="002D528B"/>
    <w:rsid w:val="002D52AD"/>
    <w:rsid w:val="002D58D8"/>
    <w:rsid w:val="002D5EB1"/>
    <w:rsid w:val="002D7777"/>
    <w:rsid w:val="002D77FF"/>
    <w:rsid w:val="002D7BFF"/>
    <w:rsid w:val="002E0394"/>
    <w:rsid w:val="002E0644"/>
    <w:rsid w:val="002E0FEB"/>
    <w:rsid w:val="002E14AD"/>
    <w:rsid w:val="002E171B"/>
    <w:rsid w:val="002E1BCA"/>
    <w:rsid w:val="002E204F"/>
    <w:rsid w:val="002E2625"/>
    <w:rsid w:val="002E319D"/>
    <w:rsid w:val="002E372D"/>
    <w:rsid w:val="002E3CD4"/>
    <w:rsid w:val="002E4AD5"/>
    <w:rsid w:val="002E4C2D"/>
    <w:rsid w:val="002E72C5"/>
    <w:rsid w:val="002F0F79"/>
    <w:rsid w:val="002F100F"/>
    <w:rsid w:val="002F19F9"/>
    <w:rsid w:val="002F1C9E"/>
    <w:rsid w:val="002F1EB2"/>
    <w:rsid w:val="002F2450"/>
    <w:rsid w:val="002F280E"/>
    <w:rsid w:val="002F2CBB"/>
    <w:rsid w:val="002F324A"/>
    <w:rsid w:val="002F3470"/>
    <w:rsid w:val="002F3709"/>
    <w:rsid w:val="002F3A6C"/>
    <w:rsid w:val="002F4296"/>
    <w:rsid w:val="002F5777"/>
    <w:rsid w:val="002F60EA"/>
    <w:rsid w:val="002F62F1"/>
    <w:rsid w:val="002F680E"/>
    <w:rsid w:val="002F7330"/>
    <w:rsid w:val="00300727"/>
    <w:rsid w:val="00300951"/>
    <w:rsid w:val="00300E8A"/>
    <w:rsid w:val="0030216B"/>
    <w:rsid w:val="003023C9"/>
    <w:rsid w:val="003029E6"/>
    <w:rsid w:val="00302CA8"/>
    <w:rsid w:val="00302DE9"/>
    <w:rsid w:val="00303EA9"/>
    <w:rsid w:val="00304860"/>
    <w:rsid w:val="00304E23"/>
    <w:rsid w:val="00305084"/>
    <w:rsid w:val="00305871"/>
    <w:rsid w:val="00305BCF"/>
    <w:rsid w:val="00306026"/>
    <w:rsid w:val="00306408"/>
    <w:rsid w:val="0030682A"/>
    <w:rsid w:val="00306B13"/>
    <w:rsid w:val="00307249"/>
    <w:rsid w:val="00307E35"/>
    <w:rsid w:val="00311D61"/>
    <w:rsid w:val="00312C47"/>
    <w:rsid w:val="00312DAE"/>
    <w:rsid w:val="003132DB"/>
    <w:rsid w:val="00313336"/>
    <w:rsid w:val="003137CA"/>
    <w:rsid w:val="00313918"/>
    <w:rsid w:val="003153CB"/>
    <w:rsid w:val="00316012"/>
    <w:rsid w:val="003166DE"/>
    <w:rsid w:val="00316B8C"/>
    <w:rsid w:val="00316BA5"/>
    <w:rsid w:val="003171A3"/>
    <w:rsid w:val="00317226"/>
    <w:rsid w:val="00317528"/>
    <w:rsid w:val="003201F9"/>
    <w:rsid w:val="003204E9"/>
    <w:rsid w:val="0032050A"/>
    <w:rsid w:val="00320AF3"/>
    <w:rsid w:val="00320B7B"/>
    <w:rsid w:val="00320DAB"/>
    <w:rsid w:val="0032160D"/>
    <w:rsid w:val="00321618"/>
    <w:rsid w:val="00321E8C"/>
    <w:rsid w:val="00321FDA"/>
    <w:rsid w:val="00322318"/>
    <w:rsid w:val="00322A86"/>
    <w:rsid w:val="00323041"/>
    <w:rsid w:val="00323AE8"/>
    <w:rsid w:val="00323B32"/>
    <w:rsid w:val="00324548"/>
    <w:rsid w:val="0032494A"/>
    <w:rsid w:val="003251F4"/>
    <w:rsid w:val="00325408"/>
    <w:rsid w:val="0032555D"/>
    <w:rsid w:val="00326927"/>
    <w:rsid w:val="003273A3"/>
    <w:rsid w:val="003277CD"/>
    <w:rsid w:val="003303E3"/>
    <w:rsid w:val="00330651"/>
    <w:rsid w:val="00331A88"/>
    <w:rsid w:val="003329EA"/>
    <w:rsid w:val="00332C6E"/>
    <w:rsid w:val="00332D73"/>
    <w:rsid w:val="0033368C"/>
    <w:rsid w:val="003338BE"/>
    <w:rsid w:val="00336AA2"/>
    <w:rsid w:val="00337271"/>
    <w:rsid w:val="00337B1B"/>
    <w:rsid w:val="00337ED3"/>
    <w:rsid w:val="003405DA"/>
    <w:rsid w:val="003407A5"/>
    <w:rsid w:val="00340CBC"/>
    <w:rsid w:val="003410A1"/>
    <w:rsid w:val="00341188"/>
    <w:rsid w:val="0034147B"/>
    <w:rsid w:val="003424CB"/>
    <w:rsid w:val="003439DB"/>
    <w:rsid w:val="00344FBE"/>
    <w:rsid w:val="00346759"/>
    <w:rsid w:val="00350238"/>
    <w:rsid w:val="00350315"/>
    <w:rsid w:val="0035109C"/>
    <w:rsid w:val="00351752"/>
    <w:rsid w:val="00351F0A"/>
    <w:rsid w:val="00352648"/>
    <w:rsid w:val="003532D4"/>
    <w:rsid w:val="00353AC6"/>
    <w:rsid w:val="00353E6B"/>
    <w:rsid w:val="003542B7"/>
    <w:rsid w:val="0035432B"/>
    <w:rsid w:val="00354765"/>
    <w:rsid w:val="00354E10"/>
    <w:rsid w:val="003574C8"/>
    <w:rsid w:val="0035753E"/>
    <w:rsid w:val="00357B15"/>
    <w:rsid w:val="00357BB3"/>
    <w:rsid w:val="003602EA"/>
    <w:rsid w:val="00360F81"/>
    <w:rsid w:val="00361E7E"/>
    <w:rsid w:val="00363564"/>
    <w:rsid w:val="003648F2"/>
    <w:rsid w:val="00364FA1"/>
    <w:rsid w:val="00366B02"/>
    <w:rsid w:val="003671F5"/>
    <w:rsid w:val="003700E2"/>
    <w:rsid w:val="00370348"/>
    <w:rsid w:val="00370AA4"/>
    <w:rsid w:val="003711F2"/>
    <w:rsid w:val="003717FC"/>
    <w:rsid w:val="00371FF4"/>
    <w:rsid w:val="003723C2"/>
    <w:rsid w:val="0037275D"/>
    <w:rsid w:val="00372797"/>
    <w:rsid w:val="003736DD"/>
    <w:rsid w:val="003745EC"/>
    <w:rsid w:val="003746F1"/>
    <w:rsid w:val="0037470E"/>
    <w:rsid w:val="00374A5E"/>
    <w:rsid w:val="00374D1B"/>
    <w:rsid w:val="00375CC4"/>
    <w:rsid w:val="00376103"/>
    <w:rsid w:val="003767B3"/>
    <w:rsid w:val="00376B49"/>
    <w:rsid w:val="00376FC5"/>
    <w:rsid w:val="003771E2"/>
    <w:rsid w:val="00377520"/>
    <w:rsid w:val="00380273"/>
    <w:rsid w:val="00380404"/>
    <w:rsid w:val="0038047C"/>
    <w:rsid w:val="00380D36"/>
    <w:rsid w:val="00380F49"/>
    <w:rsid w:val="003819F9"/>
    <w:rsid w:val="00381AE2"/>
    <w:rsid w:val="003822D3"/>
    <w:rsid w:val="0038480C"/>
    <w:rsid w:val="00384DC9"/>
    <w:rsid w:val="0038566E"/>
    <w:rsid w:val="00385C66"/>
    <w:rsid w:val="00385EDA"/>
    <w:rsid w:val="00386630"/>
    <w:rsid w:val="00386A6C"/>
    <w:rsid w:val="00390379"/>
    <w:rsid w:val="00390741"/>
    <w:rsid w:val="003909FB"/>
    <w:rsid w:val="00390B25"/>
    <w:rsid w:val="00390DD9"/>
    <w:rsid w:val="00390DDD"/>
    <w:rsid w:val="003921B9"/>
    <w:rsid w:val="00392A2D"/>
    <w:rsid w:val="00392AE5"/>
    <w:rsid w:val="003933F1"/>
    <w:rsid w:val="003936AD"/>
    <w:rsid w:val="003937F7"/>
    <w:rsid w:val="00393A83"/>
    <w:rsid w:val="003955D3"/>
    <w:rsid w:val="00395809"/>
    <w:rsid w:val="00395CAA"/>
    <w:rsid w:val="00395F75"/>
    <w:rsid w:val="00395F76"/>
    <w:rsid w:val="00396588"/>
    <w:rsid w:val="00396863"/>
    <w:rsid w:val="00396F0A"/>
    <w:rsid w:val="00397156"/>
    <w:rsid w:val="00397960"/>
    <w:rsid w:val="00397D91"/>
    <w:rsid w:val="003A0663"/>
    <w:rsid w:val="003A10D5"/>
    <w:rsid w:val="003A1660"/>
    <w:rsid w:val="003A1FE0"/>
    <w:rsid w:val="003A2C23"/>
    <w:rsid w:val="003A3BC4"/>
    <w:rsid w:val="003A458A"/>
    <w:rsid w:val="003A551D"/>
    <w:rsid w:val="003A647F"/>
    <w:rsid w:val="003A6B26"/>
    <w:rsid w:val="003A7E6F"/>
    <w:rsid w:val="003B05F2"/>
    <w:rsid w:val="003B0F3D"/>
    <w:rsid w:val="003B2040"/>
    <w:rsid w:val="003B23CB"/>
    <w:rsid w:val="003B2F13"/>
    <w:rsid w:val="003B3353"/>
    <w:rsid w:val="003B405E"/>
    <w:rsid w:val="003B446F"/>
    <w:rsid w:val="003B4712"/>
    <w:rsid w:val="003B47EB"/>
    <w:rsid w:val="003B48BA"/>
    <w:rsid w:val="003B4F62"/>
    <w:rsid w:val="003B57D3"/>
    <w:rsid w:val="003B59CA"/>
    <w:rsid w:val="003B6067"/>
    <w:rsid w:val="003B632D"/>
    <w:rsid w:val="003C0135"/>
    <w:rsid w:val="003C018A"/>
    <w:rsid w:val="003C08E3"/>
    <w:rsid w:val="003C09B5"/>
    <w:rsid w:val="003C0B69"/>
    <w:rsid w:val="003C0F62"/>
    <w:rsid w:val="003C1176"/>
    <w:rsid w:val="003C1D9A"/>
    <w:rsid w:val="003C1F58"/>
    <w:rsid w:val="003C3232"/>
    <w:rsid w:val="003C48B1"/>
    <w:rsid w:val="003C57A7"/>
    <w:rsid w:val="003C5C2B"/>
    <w:rsid w:val="003C6943"/>
    <w:rsid w:val="003C6BD2"/>
    <w:rsid w:val="003C7294"/>
    <w:rsid w:val="003C792F"/>
    <w:rsid w:val="003C7ABD"/>
    <w:rsid w:val="003C7B20"/>
    <w:rsid w:val="003C7C3D"/>
    <w:rsid w:val="003D08F8"/>
    <w:rsid w:val="003D124B"/>
    <w:rsid w:val="003D18F3"/>
    <w:rsid w:val="003D21FB"/>
    <w:rsid w:val="003D2CC1"/>
    <w:rsid w:val="003D33F2"/>
    <w:rsid w:val="003D3725"/>
    <w:rsid w:val="003D4FFC"/>
    <w:rsid w:val="003D51ED"/>
    <w:rsid w:val="003D535A"/>
    <w:rsid w:val="003D569B"/>
    <w:rsid w:val="003D73EF"/>
    <w:rsid w:val="003D78B5"/>
    <w:rsid w:val="003E0204"/>
    <w:rsid w:val="003E0918"/>
    <w:rsid w:val="003E099F"/>
    <w:rsid w:val="003E244F"/>
    <w:rsid w:val="003E37AE"/>
    <w:rsid w:val="003E5165"/>
    <w:rsid w:val="003E62A6"/>
    <w:rsid w:val="003E648D"/>
    <w:rsid w:val="003E6731"/>
    <w:rsid w:val="003E695F"/>
    <w:rsid w:val="003E69CF"/>
    <w:rsid w:val="003E6C9B"/>
    <w:rsid w:val="003E6D39"/>
    <w:rsid w:val="003E709C"/>
    <w:rsid w:val="003E712E"/>
    <w:rsid w:val="003E726D"/>
    <w:rsid w:val="003E7B89"/>
    <w:rsid w:val="003F0AEC"/>
    <w:rsid w:val="003F0B30"/>
    <w:rsid w:val="003F0FA3"/>
    <w:rsid w:val="003F276B"/>
    <w:rsid w:val="003F2EA5"/>
    <w:rsid w:val="003F3E26"/>
    <w:rsid w:val="003F4241"/>
    <w:rsid w:val="003F4B8A"/>
    <w:rsid w:val="003F62BB"/>
    <w:rsid w:val="003F6FEC"/>
    <w:rsid w:val="003F7C45"/>
    <w:rsid w:val="00400241"/>
    <w:rsid w:val="0040132C"/>
    <w:rsid w:val="0040145D"/>
    <w:rsid w:val="004016C4"/>
    <w:rsid w:val="00401D95"/>
    <w:rsid w:val="0040231A"/>
    <w:rsid w:val="00403562"/>
    <w:rsid w:val="004049BD"/>
    <w:rsid w:val="00404EB5"/>
    <w:rsid w:val="00405085"/>
    <w:rsid w:val="00405D28"/>
    <w:rsid w:val="0040629D"/>
    <w:rsid w:val="004066FC"/>
    <w:rsid w:val="00407481"/>
    <w:rsid w:val="00407753"/>
    <w:rsid w:val="00407C10"/>
    <w:rsid w:val="00407E90"/>
    <w:rsid w:val="004113B4"/>
    <w:rsid w:val="00413323"/>
    <w:rsid w:val="00413B17"/>
    <w:rsid w:val="004141C0"/>
    <w:rsid w:val="00414503"/>
    <w:rsid w:val="00414827"/>
    <w:rsid w:val="004153B3"/>
    <w:rsid w:val="00415772"/>
    <w:rsid w:val="004161F8"/>
    <w:rsid w:val="004163FD"/>
    <w:rsid w:val="0041683D"/>
    <w:rsid w:val="00416C10"/>
    <w:rsid w:val="00417976"/>
    <w:rsid w:val="00417A0E"/>
    <w:rsid w:val="0042053A"/>
    <w:rsid w:val="004213D6"/>
    <w:rsid w:val="00421425"/>
    <w:rsid w:val="004222D0"/>
    <w:rsid w:val="00422440"/>
    <w:rsid w:val="00422916"/>
    <w:rsid w:val="00423BA3"/>
    <w:rsid w:val="0042415D"/>
    <w:rsid w:val="00424213"/>
    <w:rsid w:val="00424EF3"/>
    <w:rsid w:val="0042551C"/>
    <w:rsid w:val="004267DB"/>
    <w:rsid w:val="004268BB"/>
    <w:rsid w:val="00426A4B"/>
    <w:rsid w:val="00427130"/>
    <w:rsid w:val="00427AA3"/>
    <w:rsid w:val="00427BFF"/>
    <w:rsid w:val="00430724"/>
    <w:rsid w:val="0043097C"/>
    <w:rsid w:val="00431047"/>
    <w:rsid w:val="00431B86"/>
    <w:rsid w:val="00432E06"/>
    <w:rsid w:val="00433065"/>
    <w:rsid w:val="004332B5"/>
    <w:rsid w:val="00433EED"/>
    <w:rsid w:val="00436196"/>
    <w:rsid w:val="004375A2"/>
    <w:rsid w:val="00437C96"/>
    <w:rsid w:val="004408EC"/>
    <w:rsid w:val="004416A4"/>
    <w:rsid w:val="00441ABA"/>
    <w:rsid w:val="00441E6A"/>
    <w:rsid w:val="00442AEE"/>
    <w:rsid w:val="00443C8F"/>
    <w:rsid w:val="00444C60"/>
    <w:rsid w:val="00444E35"/>
    <w:rsid w:val="0044502D"/>
    <w:rsid w:val="00445F6B"/>
    <w:rsid w:val="0044755D"/>
    <w:rsid w:val="00447CEF"/>
    <w:rsid w:val="00447E28"/>
    <w:rsid w:val="00450BA9"/>
    <w:rsid w:val="00450F23"/>
    <w:rsid w:val="004515EB"/>
    <w:rsid w:val="0045169A"/>
    <w:rsid w:val="00452481"/>
    <w:rsid w:val="004528FA"/>
    <w:rsid w:val="00453DC8"/>
    <w:rsid w:val="00455165"/>
    <w:rsid w:val="004576F7"/>
    <w:rsid w:val="00457804"/>
    <w:rsid w:val="00460AEF"/>
    <w:rsid w:val="00460C52"/>
    <w:rsid w:val="0046209A"/>
    <w:rsid w:val="00462279"/>
    <w:rsid w:val="004626CD"/>
    <w:rsid w:val="00463182"/>
    <w:rsid w:val="004635F5"/>
    <w:rsid w:val="00463F8B"/>
    <w:rsid w:val="004646BF"/>
    <w:rsid w:val="00464744"/>
    <w:rsid w:val="0046535F"/>
    <w:rsid w:val="004665A8"/>
    <w:rsid w:val="004665E3"/>
    <w:rsid w:val="0046760F"/>
    <w:rsid w:val="0047237D"/>
    <w:rsid w:val="00472561"/>
    <w:rsid w:val="004731F1"/>
    <w:rsid w:val="00473AE0"/>
    <w:rsid w:val="00473EB5"/>
    <w:rsid w:val="00474021"/>
    <w:rsid w:val="0047456B"/>
    <w:rsid w:val="00475251"/>
    <w:rsid w:val="00475D19"/>
    <w:rsid w:val="00477400"/>
    <w:rsid w:val="0048088E"/>
    <w:rsid w:val="00480BC8"/>
    <w:rsid w:val="00481265"/>
    <w:rsid w:val="004814BF"/>
    <w:rsid w:val="00482649"/>
    <w:rsid w:val="00483630"/>
    <w:rsid w:val="004836EA"/>
    <w:rsid w:val="00483A13"/>
    <w:rsid w:val="00483F72"/>
    <w:rsid w:val="00485215"/>
    <w:rsid w:val="00485340"/>
    <w:rsid w:val="0048587E"/>
    <w:rsid w:val="00485B57"/>
    <w:rsid w:val="00486200"/>
    <w:rsid w:val="004868C8"/>
    <w:rsid w:val="00486C9C"/>
    <w:rsid w:val="00486D6A"/>
    <w:rsid w:val="00487815"/>
    <w:rsid w:val="00487830"/>
    <w:rsid w:val="00487C2B"/>
    <w:rsid w:val="004900FF"/>
    <w:rsid w:val="00490561"/>
    <w:rsid w:val="0049125B"/>
    <w:rsid w:val="004914B6"/>
    <w:rsid w:val="00491C58"/>
    <w:rsid w:val="00491FAB"/>
    <w:rsid w:val="00492081"/>
    <w:rsid w:val="0049227D"/>
    <w:rsid w:val="0049297D"/>
    <w:rsid w:val="004929F2"/>
    <w:rsid w:val="00492F1A"/>
    <w:rsid w:val="00492F5E"/>
    <w:rsid w:val="00493E9D"/>
    <w:rsid w:val="00495A03"/>
    <w:rsid w:val="00495E28"/>
    <w:rsid w:val="00497079"/>
    <w:rsid w:val="00497450"/>
    <w:rsid w:val="00497F49"/>
    <w:rsid w:val="004A1135"/>
    <w:rsid w:val="004A1BBA"/>
    <w:rsid w:val="004A23C2"/>
    <w:rsid w:val="004A2F25"/>
    <w:rsid w:val="004A3336"/>
    <w:rsid w:val="004A3E3C"/>
    <w:rsid w:val="004A4069"/>
    <w:rsid w:val="004A42E5"/>
    <w:rsid w:val="004A455B"/>
    <w:rsid w:val="004A4847"/>
    <w:rsid w:val="004A484E"/>
    <w:rsid w:val="004A5C65"/>
    <w:rsid w:val="004A6513"/>
    <w:rsid w:val="004A7CCE"/>
    <w:rsid w:val="004B0440"/>
    <w:rsid w:val="004B0E6D"/>
    <w:rsid w:val="004B16E8"/>
    <w:rsid w:val="004B19EA"/>
    <w:rsid w:val="004B202D"/>
    <w:rsid w:val="004B2CA5"/>
    <w:rsid w:val="004B412E"/>
    <w:rsid w:val="004B5B92"/>
    <w:rsid w:val="004B5DB7"/>
    <w:rsid w:val="004B6250"/>
    <w:rsid w:val="004B66F3"/>
    <w:rsid w:val="004B68EC"/>
    <w:rsid w:val="004B759C"/>
    <w:rsid w:val="004B76B1"/>
    <w:rsid w:val="004C0057"/>
    <w:rsid w:val="004C02E0"/>
    <w:rsid w:val="004C030A"/>
    <w:rsid w:val="004C0541"/>
    <w:rsid w:val="004C07EB"/>
    <w:rsid w:val="004C0BBF"/>
    <w:rsid w:val="004C1D08"/>
    <w:rsid w:val="004C1D55"/>
    <w:rsid w:val="004C2836"/>
    <w:rsid w:val="004C2C46"/>
    <w:rsid w:val="004C405B"/>
    <w:rsid w:val="004C47DF"/>
    <w:rsid w:val="004C54CA"/>
    <w:rsid w:val="004C686E"/>
    <w:rsid w:val="004C6CE2"/>
    <w:rsid w:val="004C7214"/>
    <w:rsid w:val="004C7235"/>
    <w:rsid w:val="004C753B"/>
    <w:rsid w:val="004C7955"/>
    <w:rsid w:val="004D0213"/>
    <w:rsid w:val="004D047F"/>
    <w:rsid w:val="004D0B63"/>
    <w:rsid w:val="004D0FA5"/>
    <w:rsid w:val="004D1529"/>
    <w:rsid w:val="004D29F1"/>
    <w:rsid w:val="004D29F3"/>
    <w:rsid w:val="004D2E04"/>
    <w:rsid w:val="004D2F51"/>
    <w:rsid w:val="004D3D96"/>
    <w:rsid w:val="004D40BB"/>
    <w:rsid w:val="004D4854"/>
    <w:rsid w:val="004D4EA1"/>
    <w:rsid w:val="004D5316"/>
    <w:rsid w:val="004D575C"/>
    <w:rsid w:val="004D650F"/>
    <w:rsid w:val="004D679F"/>
    <w:rsid w:val="004D7269"/>
    <w:rsid w:val="004D74EE"/>
    <w:rsid w:val="004D7F01"/>
    <w:rsid w:val="004E0140"/>
    <w:rsid w:val="004E08FC"/>
    <w:rsid w:val="004E0B6E"/>
    <w:rsid w:val="004E2133"/>
    <w:rsid w:val="004E2BD2"/>
    <w:rsid w:val="004E34BB"/>
    <w:rsid w:val="004E37C3"/>
    <w:rsid w:val="004E395B"/>
    <w:rsid w:val="004E3A3B"/>
    <w:rsid w:val="004E3C7D"/>
    <w:rsid w:val="004E4CD7"/>
    <w:rsid w:val="004E5EDB"/>
    <w:rsid w:val="004E60FB"/>
    <w:rsid w:val="004E73A5"/>
    <w:rsid w:val="004E758A"/>
    <w:rsid w:val="004F09DD"/>
    <w:rsid w:val="004F1C42"/>
    <w:rsid w:val="004F23CE"/>
    <w:rsid w:val="004F2C5A"/>
    <w:rsid w:val="004F3E01"/>
    <w:rsid w:val="004F3E31"/>
    <w:rsid w:val="004F409E"/>
    <w:rsid w:val="004F4541"/>
    <w:rsid w:val="004F4601"/>
    <w:rsid w:val="004F779C"/>
    <w:rsid w:val="004F7846"/>
    <w:rsid w:val="005000A6"/>
    <w:rsid w:val="005000D4"/>
    <w:rsid w:val="005004EE"/>
    <w:rsid w:val="005007AB"/>
    <w:rsid w:val="0050087E"/>
    <w:rsid w:val="00500B1E"/>
    <w:rsid w:val="00500B24"/>
    <w:rsid w:val="00500C17"/>
    <w:rsid w:val="005027F4"/>
    <w:rsid w:val="005036C2"/>
    <w:rsid w:val="0050492E"/>
    <w:rsid w:val="005051C9"/>
    <w:rsid w:val="00506389"/>
    <w:rsid w:val="005067F4"/>
    <w:rsid w:val="00506FF7"/>
    <w:rsid w:val="0051084C"/>
    <w:rsid w:val="00510A69"/>
    <w:rsid w:val="00510CAF"/>
    <w:rsid w:val="0051114C"/>
    <w:rsid w:val="00511597"/>
    <w:rsid w:val="0051164A"/>
    <w:rsid w:val="00511915"/>
    <w:rsid w:val="005119A4"/>
    <w:rsid w:val="00511AC6"/>
    <w:rsid w:val="00511FD1"/>
    <w:rsid w:val="00512235"/>
    <w:rsid w:val="005128C5"/>
    <w:rsid w:val="00512905"/>
    <w:rsid w:val="00512D8B"/>
    <w:rsid w:val="00512E85"/>
    <w:rsid w:val="005136C7"/>
    <w:rsid w:val="0051478B"/>
    <w:rsid w:val="00514C1C"/>
    <w:rsid w:val="0051524F"/>
    <w:rsid w:val="0051566A"/>
    <w:rsid w:val="00515D7B"/>
    <w:rsid w:val="00515DD8"/>
    <w:rsid w:val="005166E9"/>
    <w:rsid w:val="00516C92"/>
    <w:rsid w:val="00517917"/>
    <w:rsid w:val="0052009E"/>
    <w:rsid w:val="005200F7"/>
    <w:rsid w:val="00520AB5"/>
    <w:rsid w:val="00520D7F"/>
    <w:rsid w:val="00521596"/>
    <w:rsid w:val="00522066"/>
    <w:rsid w:val="005222FA"/>
    <w:rsid w:val="005247B4"/>
    <w:rsid w:val="00525059"/>
    <w:rsid w:val="00525740"/>
    <w:rsid w:val="00525E59"/>
    <w:rsid w:val="005278EE"/>
    <w:rsid w:val="00530A21"/>
    <w:rsid w:val="005310DD"/>
    <w:rsid w:val="00531851"/>
    <w:rsid w:val="005318CC"/>
    <w:rsid w:val="0053199E"/>
    <w:rsid w:val="00531D65"/>
    <w:rsid w:val="005321E1"/>
    <w:rsid w:val="00532255"/>
    <w:rsid w:val="00532B00"/>
    <w:rsid w:val="00532FAE"/>
    <w:rsid w:val="005334E4"/>
    <w:rsid w:val="005349B1"/>
    <w:rsid w:val="00535AA4"/>
    <w:rsid w:val="00535DA3"/>
    <w:rsid w:val="005364A6"/>
    <w:rsid w:val="005364AE"/>
    <w:rsid w:val="0053652C"/>
    <w:rsid w:val="0053659B"/>
    <w:rsid w:val="005368A0"/>
    <w:rsid w:val="005374BC"/>
    <w:rsid w:val="0054069B"/>
    <w:rsid w:val="00540EC2"/>
    <w:rsid w:val="0054101E"/>
    <w:rsid w:val="005427DC"/>
    <w:rsid w:val="00543177"/>
    <w:rsid w:val="00543188"/>
    <w:rsid w:val="005432F0"/>
    <w:rsid w:val="00543367"/>
    <w:rsid w:val="00543741"/>
    <w:rsid w:val="0054384E"/>
    <w:rsid w:val="00543BFA"/>
    <w:rsid w:val="0054655E"/>
    <w:rsid w:val="00546601"/>
    <w:rsid w:val="00546A60"/>
    <w:rsid w:val="00547D9C"/>
    <w:rsid w:val="00547DA1"/>
    <w:rsid w:val="005501BC"/>
    <w:rsid w:val="0055068D"/>
    <w:rsid w:val="00551276"/>
    <w:rsid w:val="00551AB1"/>
    <w:rsid w:val="00551BAB"/>
    <w:rsid w:val="00551C53"/>
    <w:rsid w:val="0055221B"/>
    <w:rsid w:val="005526DC"/>
    <w:rsid w:val="005535B7"/>
    <w:rsid w:val="00554BFC"/>
    <w:rsid w:val="00554CAC"/>
    <w:rsid w:val="0055513C"/>
    <w:rsid w:val="005553C4"/>
    <w:rsid w:val="005558FA"/>
    <w:rsid w:val="0055637C"/>
    <w:rsid w:val="00556B00"/>
    <w:rsid w:val="0055753F"/>
    <w:rsid w:val="00557618"/>
    <w:rsid w:val="00557782"/>
    <w:rsid w:val="00560866"/>
    <w:rsid w:val="00560C90"/>
    <w:rsid w:val="00560C94"/>
    <w:rsid w:val="00560FD5"/>
    <w:rsid w:val="0056101E"/>
    <w:rsid w:val="00561BD7"/>
    <w:rsid w:val="00561C0A"/>
    <w:rsid w:val="00562765"/>
    <w:rsid w:val="0056283B"/>
    <w:rsid w:val="0056291C"/>
    <w:rsid w:val="00563E82"/>
    <w:rsid w:val="00564289"/>
    <w:rsid w:val="005643FD"/>
    <w:rsid w:val="005646BB"/>
    <w:rsid w:val="005647F9"/>
    <w:rsid w:val="00564B19"/>
    <w:rsid w:val="00564C4B"/>
    <w:rsid w:val="0056586F"/>
    <w:rsid w:val="00565A63"/>
    <w:rsid w:val="00566588"/>
    <w:rsid w:val="0056662E"/>
    <w:rsid w:val="00566A26"/>
    <w:rsid w:val="00566F23"/>
    <w:rsid w:val="00566F6B"/>
    <w:rsid w:val="00567012"/>
    <w:rsid w:val="00567BA7"/>
    <w:rsid w:val="00567EA5"/>
    <w:rsid w:val="00570514"/>
    <w:rsid w:val="005705B3"/>
    <w:rsid w:val="00571111"/>
    <w:rsid w:val="00571A41"/>
    <w:rsid w:val="0057216B"/>
    <w:rsid w:val="005721D0"/>
    <w:rsid w:val="0057275D"/>
    <w:rsid w:val="00572919"/>
    <w:rsid w:val="00572C41"/>
    <w:rsid w:val="0057329C"/>
    <w:rsid w:val="00573AD5"/>
    <w:rsid w:val="00573D1A"/>
    <w:rsid w:val="00574103"/>
    <w:rsid w:val="00574DA2"/>
    <w:rsid w:val="00575B68"/>
    <w:rsid w:val="00575DA6"/>
    <w:rsid w:val="00577104"/>
    <w:rsid w:val="0057737F"/>
    <w:rsid w:val="005800A9"/>
    <w:rsid w:val="00580488"/>
    <w:rsid w:val="0058074D"/>
    <w:rsid w:val="00580FD1"/>
    <w:rsid w:val="00581A62"/>
    <w:rsid w:val="00582FAD"/>
    <w:rsid w:val="00583489"/>
    <w:rsid w:val="0058391F"/>
    <w:rsid w:val="00583A80"/>
    <w:rsid w:val="00584188"/>
    <w:rsid w:val="00584E33"/>
    <w:rsid w:val="00585432"/>
    <w:rsid w:val="00585AD4"/>
    <w:rsid w:val="00586819"/>
    <w:rsid w:val="00586E9A"/>
    <w:rsid w:val="00587419"/>
    <w:rsid w:val="00587AF5"/>
    <w:rsid w:val="00590D38"/>
    <w:rsid w:val="00590FE4"/>
    <w:rsid w:val="00591D9C"/>
    <w:rsid w:val="0059282D"/>
    <w:rsid w:val="005932C1"/>
    <w:rsid w:val="00593440"/>
    <w:rsid w:val="005936BF"/>
    <w:rsid w:val="00593DE5"/>
    <w:rsid w:val="0059592B"/>
    <w:rsid w:val="00596617"/>
    <w:rsid w:val="00596CC4"/>
    <w:rsid w:val="00597057"/>
    <w:rsid w:val="005973A6"/>
    <w:rsid w:val="005975DC"/>
    <w:rsid w:val="00597AAB"/>
    <w:rsid w:val="00597D8B"/>
    <w:rsid w:val="005A0742"/>
    <w:rsid w:val="005A152F"/>
    <w:rsid w:val="005A19CD"/>
    <w:rsid w:val="005A1C30"/>
    <w:rsid w:val="005A1CC6"/>
    <w:rsid w:val="005A31C9"/>
    <w:rsid w:val="005A3295"/>
    <w:rsid w:val="005A46FF"/>
    <w:rsid w:val="005A4AFF"/>
    <w:rsid w:val="005A65F0"/>
    <w:rsid w:val="005A7758"/>
    <w:rsid w:val="005A7DB8"/>
    <w:rsid w:val="005B011E"/>
    <w:rsid w:val="005B028B"/>
    <w:rsid w:val="005B0764"/>
    <w:rsid w:val="005B2E84"/>
    <w:rsid w:val="005B352F"/>
    <w:rsid w:val="005B36DA"/>
    <w:rsid w:val="005B3E66"/>
    <w:rsid w:val="005B3FE8"/>
    <w:rsid w:val="005B436C"/>
    <w:rsid w:val="005B477E"/>
    <w:rsid w:val="005B4F97"/>
    <w:rsid w:val="005B50B0"/>
    <w:rsid w:val="005B52A4"/>
    <w:rsid w:val="005B5CA4"/>
    <w:rsid w:val="005B6E01"/>
    <w:rsid w:val="005B7476"/>
    <w:rsid w:val="005B7688"/>
    <w:rsid w:val="005B7849"/>
    <w:rsid w:val="005B7B0E"/>
    <w:rsid w:val="005C0DFA"/>
    <w:rsid w:val="005C0FF0"/>
    <w:rsid w:val="005C113A"/>
    <w:rsid w:val="005C219B"/>
    <w:rsid w:val="005C3575"/>
    <w:rsid w:val="005C462C"/>
    <w:rsid w:val="005C492F"/>
    <w:rsid w:val="005C4B4C"/>
    <w:rsid w:val="005C5409"/>
    <w:rsid w:val="005C55EF"/>
    <w:rsid w:val="005C55F1"/>
    <w:rsid w:val="005C5D9A"/>
    <w:rsid w:val="005C628C"/>
    <w:rsid w:val="005C6765"/>
    <w:rsid w:val="005C69AC"/>
    <w:rsid w:val="005C722E"/>
    <w:rsid w:val="005C7576"/>
    <w:rsid w:val="005C7759"/>
    <w:rsid w:val="005C7AD4"/>
    <w:rsid w:val="005D01A4"/>
    <w:rsid w:val="005D0376"/>
    <w:rsid w:val="005D0B13"/>
    <w:rsid w:val="005D0B95"/>
    <w:rsid w:val="005D15AE"/>
    <w:rsid w:val="005D1A7B"/>
    <w:rsid w:val="005D1EDD"/>
    <w:rsid w:val="005D2965"/>
    <w:rsid w:val="005D456F"/>
    <w:rsid w:val="005D45B3"/>
    <w:rsid w:val="005D4AB3"/>
    <w:rsid w:val="005D4CEB"/>
    <w:rsid w:val="005D5344"/>
    <w:rsid w:val="005D5DA8"/>
    <w:rsid w:val="005D61EB"/>
    <w:rsid w:val="005E0AE0"/>
    <w:rsid w:val="005E1BF3"/>
    <w:rsid w:val="005E518C"/>
    <w:rsid w:val="005E5F9A"/>
    <w:rsid w:val="005E6628"/>
    <w:rsid w:val="005E77F2"/>
    <w:rsid w:val="005F02B8"/>
    <w:rsid w:val="005F043C"/>
    <w:rsid w:val="005F0444"/>
    <w:rsid w:val="005F04E6"/>
    <w:rsid w:val="005F1138"/>
    <w:rsid w:val="005F13C8"/>
    <w:rsid w:val="005F17EC"/>
    <w:rsid w:val="005F1C2F"/>
    <w:rsid w:val="005F2F3F"/>
    <w:rsid w:val="005F39D5"/>
    <w:rsid w:val="005F3AB5"/>
    <w:rsid w:val="005F3E05"/>
    <w:rsid w:val="005F3E08"/>
    <w:rsid w:val="005F43B9"/>
    <w:rsid w:val="005F4BBF"/>
    <w:rsid w:val="005F55D6"/>
    <w:rsid w:val="005F599A"/>
    <w:rsid w:val="005F5CA9"/>
    <w:rsid w:val="005F68CB"/>
    <w:rsid w:val="005F6BDE"/>
    <w:rsid w:val="005F7F90"/>
    <w:rsid w:val="00600242"/>
    <w:rsid w:val="00601974"/>
    <w:rsid w:val="00602652"/>
    <w:rsid w:val="00602B51"/>
    <w:rsid w:val="006033E3"/>
    <w:rsid w:val="00605FC7"/>
    <w:rsid w:val="00606218"/>
    <w:rsid w:val="00606CA3"/>
    <w:rsid w:val="00606E91"/>
    <w:rsid w:val="00607018"/>
    <w:rsid w:val="006077ED"/>
    <w:rsid w:val="00607C5F"/>
    <w:rsid w:val="00610954"/>
    <w:rsid w:val="00610CBE"/>
    <w:rsid w:val="00610E1F"/>
    <w:rsid w:val="0061321C"/>
    <w:rsid w:val="00614C5C"/>
    <w:rsid w:val="00614CA1"/>
    <w:rsid w:val="00615C2C"/>
    <w:rsid w:val="00616D42"/>
    <w:rsid w:val="00617297"/>
    <w:rsid w:val="0062038A"/>
    <w:rsid w:val="006203A8"/>
    <w:rsid w:val="00620E59"/>
    <w:rsid w:val="00621132"/>
    <w:rsid w:val="00622656"/>
    <w:rsid w:val="00622A77"/>
    <w:rsid w:val="00622C05"/>
    <w:rsid w:val="00623305"/>
    <w:rsid w:val="0062386E"/>
    <w:rsid w:val="00623D9A"/>
    <w:rsid w:val="00623F01"/>
    <w:rsid w:val="006242FB"/>
    <w:rsid w:val="00624738"/>
    <w:rsid w:val="0062670B"/>
    <w:rsid w:val="00626E2D"/>
    <w:rsid w:val="006272DE"/>
    <w:rsid w:val="00627A55"/>
    <w:rsid w:val="00627D94"/>
    <w:rsid w:val="00630490"/>
    <w:rsid w:val="006304D3"/>
    <w:rsid w:val="00630A33"/>
    <w:rsid w:val="00630AB9"/>
    <w:rsid w:val="00630B42"/>
    <w:rsid w:val="00630C14"/>
    <w:rsid w:val="006310FC"/>
    <w:rsid w:val="006313B1"/>
    <w:rsid w:val="00631688"/>
    <w:rsid w:val="006320D8"/>
    <w:rsid w:val="00632540"/>
    <w:rsid w:val="00632E88"/>
    <w:rsid w:val="0063454C"/>
    <w:rsid w:val="00634DBB"/>
    <w:rsid w:val="00635744"/>
    <w:rsid w:val="00635EA5"/>
    <w:rsid w:val="00637C26"/>
    <w:rsid w:val="00640732"/>
    <w:rsid w:val="006413B3"/>
    <w:rsid w:val="0064185E"/>
    <w:rsid w:val="00642072"/>
    <w:rsid w:val="00642088"/>
    <w:rsid w:val="00643DBD"/>
    <w:rsid w:val="006440ED"/>
    <w:rsid w:val="0064467C"/>
    <w:rsid w:val="00644F1E"/>
    <w:rsid w:val="00645213"/>
    <w:rsid w:val="00645293"/>
    <w:rsid w:val="006468CB"/>
    <w:rsid w:val="006469D9"/>
    <w:rsid w:val="00646CF8"/>
    <w:rsid w:val="00650A2D"/>
    <w:rsid w:val="00651B78"/>
    <w:rsid w:val="00652263"/>
    <w:rsid w:val="0065238F"/>
    <w:rsid w:val="00652881"/>
    <w:rsid w:val="00652985"/>
    <w:rsid w:val="006533AE"/>
    <w:rsid w:val="00653C38"/>
    <w:rsid w:val="006551AE"/>
    <w:rsid w:val="00656FC4"/>
    <w:rsid w:val="00661974"/>
    <w:rsid w:val="006623E2"/>
    <w:rsid w:val="006624E3"/>
    <w:rsid w:val="00663E63"/>
    <w:rsid w:val="006640F9"/>
    <w:rsid w:val="00664551"/>
    <w:rsid w:val="00664685"/>
    <w:rsid w:val="00664B95"/>
    <w:rsid w:val="00665D5F"/>
    <w:rsid w:val="00665FB2"/>
    <w:rsid w:val="006676A0"/>
    <w:rsid w:val="006700C4"/>
    <w:rsid w:val="006703A4"/>
    <w:rsid w:val="006704F3"/>
    <w:rsid w:val="00670857"/>
    <w:rsid w:val="00670E4B"/>
    <w:rsid w:val="00671124"/>
    <w:rsid w:val="006727B0"/>
    <w:rsid w:val="00672BD5"/>
    <w:rsid w:val="00672C9E"/>
    <w:rsid w:val="0067307E"/>
    <w:rsid w:val="0067333F"/>
    <w:rsid w:val="006739C0"/>
    <w:rsid w:val="00673F6D"/>
    <w:rsid w:val="00674850"/>
    <w:rsid w:val="00675116"/>
    <w:rsid w:val="00675D03"/>
    <w:rsid w:val="00676016"/>
    <w:rsid w:val="00676462"/>
    <w:rsid w:val="00676EA7"/>
    <w:rsid w:val="006805DF"/>
    <w:rsid w:val="00681B97"/>
    <w:rsid w:val="00682EC2"/>
    <w:rsid w:val="00683F61"/>
    <w:rsid w:val="00686A36"/>
    <w:rsid w:val="00687AD5"/>
    <w:rsid w:val="00687FBD"/>
    <w:rsid w:val="0069211A"/>
    <w:rsid w:val="00692775"/>
    <w:rsid w:val="00692B81"/>
    <w:rsid w:val="00692C4F"/>
    <w:rsid w:val="00693B90"/>
    <w:rsid w:val="006949D2"/>
    <w:rsid w:val="00694C5F"/>
    <w:rsid w:val="00695204"/>
    <w:rsid w:val="00695251"/>
    <w:rsid w:val="006953EF"/>
    <w:rsid w:val="00695689"/>
    <w:rsid w:val="00695ADE"/>
    <w:rsid w:val="00695C0D"/>
    <w:rsid w:val="00695CAE"/>
    <w:rsid w:val="00696356"/>
    <w:rsid w:val="006968EA"/>
    <w:rsid w:val="00696CA0"/>
    <w:rsid w:val="0069787A"/>
    <w:rsid w:val="00697C5C"/>
    <w:rsid w:val="006A015D"/>
    <w:rsid w:val="006A0D5F"/>
    <w:rsid w:val="006A28BF"/>
    <w:rsid w:val="006A2EA3"/>
    <w:rsid w:val="006A303F"/>
    <w:rsid w:val="006A3CC1"/>
    <w:rsid w:val="006A3F9D"/>
    <w:rsid w:val="006A4899"/>
    <w:rsid w:val="006A62E1"/>
    <w:rsid w:val="006A6566"/>
    <w:rsid w:val="006A72C6"/>
    <w:rsid w:val="006A7310"/>
    <w:rsid w:val="006B02D0"/>
    <w:rsid w:val="006B02DA"/>
    <w:rsid w:val="006B08FB"/>
    <w:rsid w:val="006B0A5A"/>
    <w:rsid w:val="006B14BF"/>
    <w:rsid w:val="006B2065"/>
    <w:rsid w:val="006B275B"/>
    <w:rsid w:val="006B2D79"/>
    <w:rsid w:val="006B2F8B"/>
    <w:rsid w:val="006B2FA1"/>
    <w:rsid w:val="006B30BF"/>
    <w:rsid w:val="006B38C6"/>
    <w:rsid w:val="006B3940"/>
    <w:rsid w:val="006B45A6"/>
    <w:rsid w:val="006B47D3"/>
    <w:rsid w:val="006B62F0"/>
    <w:rsid w:val="006B6C6B"/>
    <w:rsid w:val="006C09B6"/>
    <w:rsid w:val="006C0DBC"/>
    <w:rsid w:val="006C111B"/>
    <w:rsid w:val="006C168D"/>
    <w:rsid w:val="006C2BF5"/>
    <w:rsid w:val="006C4A40"/>
    <w:rsid w:val="006C4C9E"/>
    <w:rsid w:val="006C4E56"/>
    <w:rsid w:val="006C5CE0"/>
    <w:rsid w:val="006C5E49"/>
    <w:rsid w:val="006C5EDB"/>
    <w:rsid w:val="006C61CD"/>
    <w:rsid w:val="006C642C"/>
    <w:rsid w:val="006C64F3"/>
    <w:rsid w:val="006C6FC6"/>
    <w:rsid w:val="006C7462"/>
    <w:rsid w:val="006C78D5"/>
    <w:rsid w:val="006C7BB9"/>
    <w:rsid w:val="006C7D50"/>
    <w:rsid w:val="006D02D9"/>
    <w:rsid w:val="006D141C"/>
    <w:rsid w:val="006D1994"/>
    <w:rsid w:val="006D2425"/>
    <w:rsid w:val="006D2CF3"/>
    <w:rsid w:val="006D2D08"/>
    <w:rsid w:val="006D2F35"/>
    <w:rsid w:val="006D3228"/>
    <w:rsid w:val="006D349E"/>
    <w:rsid w:val="006D3B4D"/>
    <w:rsid w:val="006D41EF"/>
    <w:rsid w:val="006D53AA"/>
    <w:rsid w:val="006D6993"/>
    <w:rsid w:val="006D70F0"/>
    <w:rsid w:val="006D78AA"/>
    <w:rsid w:val="006E0D09"/>
    <w:rsid w:val="006E0D87"/>
    <w:rsid w:val="006E1F1D"/>
    <w:rsid w:val="006E241F"/>
    <w:rsid w:val="006E24EE"/>
    <w:rsid w:val="006E25BD"/>
    <w:rsid w:val="006E3379"/>
    <w:rsid w:val="006E34B7"/>
    <w:rsid w:val="006E36B8"/>
    <w:rsid w:val="006E3874"/>
    <w:rsid w:val="006E5585"/>
    <w:rsid w:val="006E5842"/>
    <w:rsid w:val="006E59EA"/>
    <w:rsid w:val="006E5BAC"/>
    <w:rsid w:val="006E5E32"/>
    <w:rsid w:val="006E62D5"/>
    <w:rsid w:val="006E633A"/>
    <w:rsid w:val="006E6A14"/>
    <w:rsid w:val="006E6B16"/>
    <w:rsid w:val="006E6DE8"/>
    <w:rsid w:val="006E780C"/>
    <w:rsid w:val="006F0823"/>
    <w:rsid w:val="006F0BA7"/>
    <w:rsid w:val="006F0EB9"/>
    <w:rsid w:val="006F0F01"/>
    <w:rsid w:val="006F174D"/>
    <w:rsid w:val="006F1F41"/>
    <w:rsid w:val="006F3222"/>
    <w:rsid w:val="006F32EF"/>
    <w:rsid w:val="006F3615"/>
    <w:rsid w:val="006F3788"/>
    <w:rsid w:val="006F3C54"/>
    <w:rsid w:val="006F4CD8"/>
    <w:rsid w:val="006F53D9"/>
    <w:rsid w:val="006F5812"/>
    <w:rsid w:val="006F609A"/>
    <w:rsid w:val="006F7FDA"/>
    <w:rsid w:val="007004DC"/>
    <w:rsid w:val="00701093"/>
    <w:rsid w:val="007018D6"/>
    <w:rsid w:val="007022C4"/>
    <w:rsid w:val="007026E9"/>
    <w:rsid w:val="00703C8B"/>
    <w:rsid w:val="00703E8A"/>
    <w:rsid w:val="00704372"/>
    <w:rsid w:val="00704F60"/>
    <w:rsid w:val="00706045"/>
    <w:rsid w:val="00706EA3"/>
    <w:rsid w:val="007078BE"/>
    <w:rsid w:val="00710BF6"/>
    <w:rsid w:val="00711522"/>
    <w:rsid w:val="007118A6"/>
    <w:rsid w:val="007124FE"/>
    <w:rsid w:val="00712533"/>
    <w:rsid w:val="00713186"/>
    <w:rsid w:val="00713757"/>
    <w:rsid w:val="00713758"/>
    <w:rsid w:val="007137D8"/>
    <w:rsid w:val="00714064"/>
    <w:rsid w:val="00715517"/>
    <w:rsid w:val="00716A38"/>
    <w:rsid w:val="00717772"/>
    <w:rsid w:val="00717BDC"/>
    <w:rsid w:val="007200E5"/>
    <w:rsid w:val="00720622"/>
    <w:rsid w:val="00720C17"/>
    <w:rsid w:val="00721AF1"/>
    <w:rsid w:val="0072280F"/>
    <w:rsid w:val="00722B5E"/>
    <w:rsid w:val="007230F1"/>
    <w:rsid w:val="007235F5"/>
    <w:rsid w:val="00723B2C"/>
    <w:rsid w:val="007253CC"/>
    <w:rsid w:val="00725668"/>
    <w:rsid w:val="00725F0E"/>
    <w:rsid w:val="00726F5A"/>
    <w:rsid w:val="0072708F"/>
    <w:rsid w:val="00730172"/>
    <w:rsid w:val="00730E81"/>
    <w:rsid w:val="00731000"/>
    <w:rsid w:val="00731204"/>
    <w:rsid w:val="007319BC"/>
    <w:rsid w:val="0073222B"/>
    <w:rsid w:val="00732582"/>
    <w:rsid w:val="00732D1D"/>
    <w:rsid w:val="007332C4"/>
    <w:rsid w:val="00733C68"/>
    <w:rsid w:val="00734381"/>
    <w:rsid w:val="00735EAA"/>
    <w:rsid w:val="00736034"/>
    <w:rsid w:val="0073681C"/>
    <w:rsid w:val="0073725B"/>
    <w:rsid w:val="00737E96"/>
    <w:rsid w:val="00740189"/>
    <w:rsid w:val="0074033C"/>
    <w:rsid w:val="0074050E"/>
    <w:rsid w:val="00740B66"/>
    <w:rsid w:val="00741AF8"/>
    <w:rsid w:val="00741EBE"/>
    <w:rsid w:val="00742112"/>
    <w:rsid w:val="00742181"/>
    <w:rsid w:val="00742218"/>
    <w:rsid w:val="007424EC"/>
    <w:rsid w:val="00742728"/>
    <w:rsid w:val="00742AB8"/>
    <w:rsid w:val="00742EDA"/>
    <w:rsid w:val="007440FA"/>
    <w:rsid w:val="00744201"/>
    <w:rsid w:val="00745FCE"/>
    <w:rsid w:val="00746130"/>
    <w:rsid w:val="00746A40"/>
    <w:rsid w:val="00746E6A"/>
    <w:rsid w:val="00747598"/>
    <w:rsid w:val="00750358"/>
    <w:rsid w:val="007520A3"/>
    <w:rsid w:val="00752529"/>
    <w:rsid w:val="007526F5"/>
    <w:rsid w:val="00754717"/>
    <w:rsid w:val="00754836"/>
    <w:rsid w:val="00754FB9"/>
    <w:rsid w:val="00755CDF"/>
    <w:rsid w:val="00756868"/>
    <w:rsid w:val="00757042"/>
    <w:rsid w:val="007573AF"/>
    <w:rsid w:val="00757588"/>
    <w:rsid w:val="00757635"/>
    <w:rsid w:val="007578C3"/>
    <w:rsid w:val="00757A4C"/>
    <w:rsid w:val="00760895"/>
    <w:rsid w:val="00762144"/>
    <w:rsid w:val="0076230F"/>
    <w:rsid w:val="00762ABF"/>
    <w:rsid w:val="00762C75"/>
    <w:rsid w:val="00762F29"/>
    <w:rsid w:val="00764A94"/>
    <w:rsid w:val="00764B26"/>
    <w:rsid w:val="00764EA6"/>
    <w:rsid w:val="0076511D"/>
    <w:rsid w:val="007651A9"/>
    <w:rsid w:val="007651E5"/>
    <w:rsid w:val="0076524F"/>
    <w:rsid w:val="00765584"/>
    <w:rsid w:val="007665B2"/>
    <w:rsid w:val="00766B12"/>
    <w:rsid w:val="007670DC"/>
    <w:rsid w:val="00767356"/>
    <w:rsid w:val="00770F2A"/>
    <w:rsid w:val="0077111A"/>
    <w:rsid w:val="00771F95"/>
    <w:rsid w:val="0077213A"/>
    <w:rsid w:val="007721E2"/>
    <w:rsid w:val="00772272"/>
    <w:rsid w:val="0077340B"/>
    <w:rsid w:val="0077369F"/>
    <w:rsid w:val="0077463A"/>
    <w:rsid w:val="00774AB3"/>
    <w:rsid w:val="00774D0F"/>
    <w:rsid w:val="00774D7B"/>
    <w:rsid w:val="007756ED"/>
    <w:rsid w:val="0077589D"/>
    <w:rsid w:val="0077617F"/>
    <w:rsid w:val="00776A3D"/>
    <w:rsid w:val="0077707A"/>
    <w:rsid w:val="007776BF"/>
    <w:rsid w:val="00780B65"/>
    <w:rsid w:val="007819A1"/>
    <w:rsid w:val="00782B2A"/>
    <w:rsid w:val="00783BA5"/>
    <w:rsid w:val="00784F9E"/>
    <w:rsid w:val="0078533C"/>
    <w:rsid w:val="007857FB"/>
    <w:rsid w:val="007863A3"/>
    <w:rsid w:val="007870FC"/>
    <w:rsid w:val="00787CD0"/>
    <w:rsid w:val="00787FF8"/>
    <w:rsid w:val="007905A2"/>
    <w:rsid w:val="00791053"/>
    <w:rsid w:val="00791261"/>
    <w:rsid w:val="007918FE"/>
    <w:rsid w:val="00791A3A"/>
    <w:rsid w:val="007922B8"/>
    <w:rsid w:val="0079262D"/>
    <w:rsid w:val="00792A53"/>
    <w:rsid w:val="00793233"/>
    <w:rsid w:val="00793DAA"/>
    <w:rsid w:val="00794196"/>
    <w:rsid w:val="00794C47"/>
    <w:rsid w:val="00794FFF"/>
    <w:rsid w:val="007957C3"/>
    <w:rsid w:val="00795F07"/>
    <w:rsid w:val="007965E4"/>
    <w:rsid w:val="007969C0"/>
    <w:rsid w:val="00796D4D"/>
    <w:rsid w:val="007971B8"/>
    <w:rsid w:val="00797637"/>
    <w:rsid w:val="007979F5"/>
    <w:rsid w:val="007A0018"/>
    <w:rsid w:val="007A0ADE"/>
    <w:rsid w:val="007A1B35"/>
    <w:rsid w:val="007A2F14"/>
    <w:rsid w:val="007A3680"/>
    <w:rsid w:val="007A3BCD"/>
    <w:rsid w:val="007A5214"/>
    <w:rsid w:val="007A5357"/>
    <w:rsid w:val="007A59B8"/>
    <w:rsid w:val="007A65AF"/>
    <w:rsid w:val="007A7682"/>
    <w:rsid w:val="007A7F38"/>
    <w:rsid w:val="007A7F42"/>
    <w:rsid w:val="007B07E4"/>
    <w:rsid w:val="007B0E14"/>
    <w:rsid w:val="007B2862"/>
    <w:rsid w:val="007B2FD8"/>
    <w:rsid w:val="007B3968"/>
    <w:rsid w:val="007B3B0A"/>
    <w:rsid w:val="007B45AF"/>
    <w:rsid w:val="007B4DD0"/>
    <w:rsid w:val="007B611E"/>
    <w:rsid w:val="007B662A"/>
    <w:rsid w:val="007B684F"/>
    <w:rsid w:val="007B71DC"/>
    <w:rsid w:val="007B758B"/>
    <w:rsid w:val="007B7743"/>
    <w:rsid w:val="007C04F4"/>
    <w:rsid w:val="007C0762"/>
    <w:rsid w:val="007C0CFB"/>
    <w:rsid w:val="007C16D6"/>
    <w:rsid w:val="007C2139"/>
    <w:rsid w:val="007C27DE"/>
    <w:rsid w:val="007C299E"/>
    <w:rsid w:val="007C2DFD"/>
    <w:rsid w:val="007C3C64"/>
    <w:rsid w:val="007C3F97"/>
    <w:rsid w:val="007C525F"/>
    <w:rsid w:val="007C5321"/>
    <w:rsid w:val="007C5E8A"/>
    <w:rsid w:val="007C5F4B"/>
    <w:rsid w:val="007C6AAB"/>
    <w:rsid w:val="007C6EA8"/>
    <w:rsid w:val="007C7B84"/>
    <w:rsid w:val="007C7E09"/>
    <w:rsid w:val="007D058F"/>
    <w:rsid w:val="007D1FE9"/>
    <w:rsid w:val="007D28C9"/>
    <w:rsid w:val="007D3009"/>
    <w:rsid w:val="007D326B"/>
    <w:rsid w:val="007D38F0"/>
    <w:rsid w:val="007D3CC8"/>
    <w:rsid w:val="007D3D45"/>
    <w:rsid w:val="007D430A"/>
    <w:rsid w:val="007D47FB"/>
    <w:rsid w:val="007D4DD3"/>
    <w:rsid w:val="007D4F6E"/>
    <w:rsid w:val="007D576A"/>
    <w:rsid w:val="007D62F9"/>
    <w:rsid w:val="007D63A4"/>
    <w:rsid w:val="007D6542"/>
    <w:rsid w:val="007D7313"/>
    <w:rsid w:val="007E1AA2"/>
    <w:rsid w:val="007E1EE3"/>
    <w:rsid w:val="007E1F2C"/>
    <w:rsid w:val="007E2429"/>
    <w:rsid w:val="007E2793"/>
    <w:rsid w:val="007E279D"/>
    <w:rsid w:val="007E2D69"/>
    <w:rsid w:val="007E3B9A"/>
    <w:rsid w:val="007E46E8"/>
    <w:rsid w:val="007E470F"/>
    <w:rsid w:val="007E4C1F"/>
    <w:rsid w:val="007E500F"/>
    <w:rsid w:val="007E55C0"/>
    <w:rsid w:val="007F01DE"/>
    <w:rsid w:val="007F0759"/>
    <w:rsid w:val="007F0BCC"/>
    <w:rsid w:val="007F0D5B"/>
    <w:rsid w:val="007F124D"/>
    <w:rsid w:val="007F156E"/>
    <w:rsid w:val="007F1C97"/>
    <w:rsid w:val="007F1CF3"/>
    <w:rsid w:val="007F25C0"/>
    <w:rsid w:val="007F30BB"/>
    <w:rsid w:val="007F3368"/>
    <w:rsid w:val="007F3D6A"/>
    <w:rsid w:val="007F4C96"/>
    <w:rsid w:val="007F5D9C"/>
    <w:rsid w:val="007F5F52"/>
    <w:rsid w:val="007F672A"/>
    <w:rsid w:val="007F6A1D"/>
    <w:rsid w:val="007F77C6"/>
    <w:rsid w:val="007F79D4"/>
    <w:rsid w:val="008003A1"/>
    <w:rsid w:val="008006B7"/>
    <w:rsid w:val="00800FDB"/>
    <w:rsid w:val="00802081"/>
    <w:rsid w:val="008020F6"/>
    <w:rsid w:val="0080298E"/>
    <w:rsid w:val="00802F04"/>
    <w:rsid w:val="00803833"/>
    <w:rsid w:val="00804316"/>
    <w:rsid w:val="008044F8"/>
    <w:rsid w:val="00804B55"/>
    <w:rsid w:val="008050BC"/>
    <w:rsid w:val="00805D3E"/>
    <w:rsid w:val="00806461"/>
    <w:rsid w:val="008064C1"/>
    <w:rsid w:val="0081096D"/>
    <w:rsid w:val="00810EAD"/>
    <w:rsid w:val="00811833"/>
    <w:rsid w:val="008134C7"/>
    <w:rsid w:val="00814BDE"/>
    <w:rsid w:val="00814DBC"/>
    <w:rsid w:val="008159A9"/>
    <w:rsid w:val="008174D4"/>
    <w:rsid w:val="0082002E"/>
    <w:rsid w:val="0082083C"/>
    <w:rsid w:val="00820BF6"/>
    <w:rsid w:val="00820C54"/>
    <w:rsid w:val="00820F37"/>
    <w:rsid w:val="00820FE6"/>
    <w:rsid w:val="00821A66"/>
    <w:rsid w:val="00822476"/>
    <w:rsid w:val="008227FB"/>
    <w:rsid w:val="00822882"/>
    <w:rsid w:val="00822A1E"/>
    <w:rsid w:val="00822A2A"/>
    <w:rsid w:val="008238C7"/>
    <w:rsid w:val="008247D0"/>
    <w:rsid w:val="00825268"/>
    <w:rsid w:val="0082529F"/>
    <w:rsid w:val="0082571C"/>
    <w:rsid w:val="00825B94"/>
    <w:rsid w:val="00825BB4"/>
    <w:rsid w:val="00825F68"/>
    <w:rsid w:val="008273D2"/>
    <w:rsid w:val="00830544"/>
    <w:rsid w:val="00830E92"/>
    <w:rsid w:val="00831151"/>
    <w:rsid w:val="008320ED"/>
    <w:rsid w:val="00832A0F"/>
    <w:rsid w:val="008353D5"/>
    <w:rsid w:val="00835408"/>
    <w:rsid w:val="008358A2"/>
    <w:rsid w:val="008359DA"/>
    <w:rsid w:val="00837CEF"/>
    <w:rsid w:val="00837E2F"/>
    <w:rsid w:val="00840035"/>
    <w:rsid w:val="00842661"/>
    <w:rsid w:val="008428A9"/>
    <w:rsid w:val="00842D1E"/>
    <w:rsid w:val="00844112"/>
    <w:rsid w:val="008444D6"/>
    <w:rsid w:val="008456C9"/>
    <w:rsid w:val="0084611D"/>
    <w:rsid w:val="00846177"/>
    <w:rsid w:val="008462E0"/>
    <w:rsid w:val="0084654D"/>
    <w:rsid w:val="00846C9F"/>
    <w:rsid w:val="00847BD6"/>
    <w:rsid w:val="00850137"/>
    <w:rsid w:val="00850C62"/>
    <w:rsid w:val="00852B48"/>
    <w:rsid w:val="0085435B"/>
    <w:rsid w:val="0085474D"/>
    <w:rsid w:val="00855B21"/>
    <w:rsid w:val="00856481"/>
    <w:rsid w:val="00856484"/>
    <w:rsid w:val="008567A2"/>
    <w:rsid w:val="00856E6C"/>
    <w:rsid w:val="00857DE1"/>
    <w:rsid w:val="00860793"/>
    <w:rsid w:val="00862636"/>
    <w:rsid w:val="00863011"/>
    <w:rsid w:val="00863C5B"/>
    <w:rsid w:val="00863D2E"/>
    <w:rsid w:val="00864E32"/>
    <w:rsid w:val="00865075"/>
    <w:rsid w:val="00865B2B"/>
    <w:rsid w:val="00865E2D"/>
    <w:rsid w:val="0086615F"/>
    <w:rsid w:val="0086748F"/>
    <w:rsid w:val="008707EB"/>
    <w:rsid w:val="00870FBB"/>
    <w:rsid w:val="00871824"/>
    <w:rsid w:val="00871A0D"/>
    <w:rsid w:val="00871B95"/>
    <w:rsid w:val="008720A7"/>
    <w:rsid w:val="00872757"/>
    <w:rsid w:val="00872CE4"/>
    <w:rsid w:val="0087359D"/>
    <w:rsid w:val="0087391D"/>
    <w:rsid w:val="00873AA4"/>
    <w:rsid w:val="00873CA8"/>
    <w:rsid w:val="00873F3E"/>
    <w:rsid w:val="00873F5D"/>
    <w:rsid w:val="0087507A"/>
    <w:rsid w:val="0087570C"/>
    <w:rsid w:val="00875DF5"/>
    <w:rsid w:val="008773BA"/>
    <w:rsid w:val="00877B62"/>
    <w:rsid w:val="00881015"/>
    <w:rsid w:val="008810B0"/>
    <w:rsid w:val="00881665"/>
    <w:rsid w:val="008819B6"/>
    <w:rsid w:val="00881AAC"/>
    <w:rsid w:val="00882C04"/>
    <w:rsid w:val="008836B7"/>
    <w:rsid w:val="00883F7C"/>
    <w:rsid w:val="008841D3"/>
    <w:rsid w:val="008843CB"/>
    <w:rsid w:val="00884987"/>
    <w:rsid w:val="00884BE0"/>
    <w:rsid w:val="0088684C"/>
    <w:rsid w:val="00887BF9"/>
    <w:rsid w:val="00887DE6"/>
    <w:rsid w:val="00890FFF"/>
    <w:rsid w:val="0089214A"/>
    <w:rsid w:val="00892226"/>
    <w:rsid w:val="008922FA"/>
    <w:rsid w:val="00892D3E"/>
    <w:rsid w:val="008936DC"/>
    <w:rsid w:val="00893784"/>
    <w:rsid w:val="00893E53"/>
    <w:rsid w:val="008945EB"/>
    <w:rsid w:val="00894C2A"/>
    <w:rsid w:val="008964A8"/>
    <w:rsid w:val="0089690B"/>
    <w:rsid w:val="00896A5F"/>
    <w:rsid w:val="0089728F"/>
    <w:rsid w:val="008976C0"/>
    <w:rsid w:val="00897708"/>
    <w:rsid w:val="00897C25"/>
    <w:rsid w:val="00897D88"/>
    <w:rsid w:val="008A17AF"/>
    <w:rsid w:val="008A1F98"/>
    <w:rsid w:val="008A2C65"/>
    <w:rsid w:val="008A2F16"/>
    <w:rsid w:val="008A36AE"/>
    <w:rsid w:val="008A3B1C"/>
    <w:rsid w:val="008A48C3"/>
    <w:rsid w:val="008A4E18"/>
    <w:rsid w:val="008A520C"/>
    <w:rsid w:val="008A5493"/>
    <w:rsid w:val="008A596C"/>
    <w:rsid w:val="008A5A5D"/>
    <w:rsid w:val="008A64C4"/>
    <w:rsid w:val="008A6789"/>
    <w:rsid w:val="008A6BF7"/>
    <w:rsid w:val="008A6CC1"/>
    <w:rsid w:val="008A7011"/>
    <w:rsid w:val="008A72FB"/>
    <w:rsid w:val="008A7F03"/>
    <w:rsid w:val="008B009C"/>
    <w:rsid w:val="008B1823"/>
    <w:rsid w:val="008B1B4E"/>
    <w:rsid w:val="008B24DC"/>
    <w:rsid w:val="008B2BDF"/>
    <w:rsid w:val="008B4198"/>
    <w:rsid w:val="008B586A"/>
    <w:rsid w:val="008B6651"/>
    <w:rsid w:val="008B6E16"/>
    <w:rsid w:val="008B7110"/>
    <w:rsid w:val="008B7A20"/>
    <w:rsid w:val="008C0DF9"/>
    <w:rsid w:val="008C2029"/>
    <w:rsid w:val="008C267C"/>
    <w:rsid w:val="008C2E44"/>
    <w:rsid w:val="008C3427"/>
    <w:rsid w:val="008C381D"/>
    <w:rsid w:val="008C3BC2"/>
    <w:rsid w:val="008C4413"/>
    <w:rsid w:val="008C4F76"/>
    <w:rsid w:val="008C55AD"/>
    <w:rsid w:val="008C6127"/>
    <w:rsid w:val="008C61D6"/>
    <w:rsid w:val="008C649D"/>
    <w:rsid w:val="008C64F1"/>
    <w:rsid w:val="008C69DE"/>
    <w:rsid w:val="008C7C1A"/>
    <w:rsid w:val="008D0DC1"/>
    <w:rsid w:val="008D1326"/>
    <w:rsid w:val="008D1BB0"/>
    <w:rsid w:val="008D20FF"/>
    <w:rsid w:val="008D2B9A"/>
    <w:rsid w:val="008D3DE6"/>
    <w:rsid w:val="008D4223"/>
    <w:rsid w:val="008D44CC"/>
    <w:rsid w:val="008D46E3"/>
    <w:rsid w:val="008D4CED"/>
    <w:rsid w:val="008D50F9"/>
    <w:rsid w:val="008D5CAF"/>
    <w:rsid w:val="008D6709"/>
    <w:rsid w:val="008E083A"/>
    <w:rsid w:val="008E12AD"/>
    <w:rsid w:val="008E21BC"/>
    <w:rsid w:val="008E22FF"/>
    <w:rsid w:val="008E2450"/>
    <w:rsid w:val="008E32E5"/>
    <w:rsid w:val="008E3453"/>
    <w:rsid w:val="008E3F27"/>
    <w:rsid w:val="008E47EF"/>
    <w:rsid w:val="008E4E6E"/>
    <w:rsid w:val="008E5DB7"/>
    <w:rsid w:val="008E61EB"/>
    <w:rsid w:val="008E7896"/>
    <w:rsid w:val="008E79C7"/>
    <w:rsid w:val="008E7B6F"/>
    <w:rsid w:val="008E7C05"/>
    <w:rsid w:val="008E7C9D"/>
    <w:rsid w:val="008E7D8A"/>
    <w:rsid w:val="008F14C7"/>
    <w:rsid w:val="008F1707"/>
    <w:rsid w:val="008F1E9E"/>
    <w:rsid w:val="008F2165"/>
    <w:rsid w:val="008F2477"/>
    <w:rsid w:val="008F3879"/>
    <w:rsid w:val="008F3B3C"/>
    <w:rsid w:val="008F4668"/>
    <w:rsid w:val="008F48E1"/>
    <w:rsid w:val="008F4C10"/>
    <w:rsid w:val="008F5442"/>
    <w:rsid w:val="008F653E"/>
    <w:rsid w:val="008F7769"/>
    <w:rsid w:val="008F7ACC"/>
    <w:rsid w:val="009004FE"/>
    <w:rsid w:val="00900924"/>
    <w:rsid w:val="009010F0"/>
    <w:rsid w:val="00901162"/>
    <w:rsid w:val="00901B53"/>
    <w:rsid w:val="0090223A"/>
    <w:rsid w:val="009028E2"/>
    <w:rsid w:val="00902AAB"/>
    <w:rsid w:val="00902EDD"/>
    <w:rsid w:val="009039FE"/>
    <w:rsid w:val="00903E9A"/>
    <w:rsid w:val="00905404"/>
    <w:rsid w:val="00906478"/>
    <w:rsid w:val="00906753"/>
    <w:rsid w:val="00907264"/>
    <w:rsid w:val="00907488"/>
    <w:rsid w:val="0090765F"/>
    <w:rsid w:val="00907DE6"/>
    <w:rsid w:val="00910642"/>
    <w:rsid w:val="00911305"/>
    <w:rsid w:val="00912590"/>
    <w:rsid w:val="009125B5"/>
    <w:rsid w:val="00913200"/>
    <w:rsid w:val="00914EAB"/>
    <w:rsid w:val="009152D8"/>
    <w:rsid w:val="009154FD"/>
    <w:rsid w:val="00915A1D"/>
    <w:rsid w:val="0092042F"/>
    <w:rsid w:val="009208DC"/>
    <w:rsid w:val="009221F1"/>
    <w:rsid w:val="00922567"/>
    <w:rsid w:val="009228DB"/>
    <w:rsid w:val="00922B68"/>
    <w:rsid w:val="00922D49"/>
    <w:rsid w:val="009236B9"/>
    <w:rsid w:val="00925E37"/>
    <w:rsid w:val="00925EDD"/>
    <w:rsid w:val="00925F20"/>
    <w:rsid w:val="00926C1A"/>
    <w:rsid w:val="00927899"/>
    <w:rsid w:val="00927D0E"/>
    <w:rsid w:val="00927D1F"/>
    <w:rsid w:val="009309DA"/>
    <w:rsid w:val="00930E47"/>
    <w:rsid w:val="00931040"/>
    <w:rsid w:val="00931663"/>
    <w:rsid w:val="00931D22"/>
    <w:rsid w:val="00932CC7"/>
    <w:rsid w:val="00935306"/>
    <w:rsid w:val="00935CDE"/>
    <w:rsid w:val="0093605E"/>
    <w:rsid w:val="00936688"/>
    <w:rsid w:val="00936F09"/>
    <w:rsid w:val="00937683"/>
    <w:rsid w:val="00937AC9"/>
    <w:rsid w:val="00937CFA"/>
    <w:rsid w:val="00937FC6"/>
    <w:rsid w:val="00940291"/>
    <w:rsid w:val="009406B3"/>
    <w:rsid w:val="00942286"/>
    <w:rsid w:val="00942EFD"/>
    <w:rsid w:val="00942F30"/>
    <w:rsid w:val="00943748"/>
    <w:rsid w:val="00943AB7"/>
    <w:rsid w:val="00943CEE"/>
    <w:rsid w:val="009444F4"/>
    <w:rsid w:val="00944674"/>
    <w:rsid w:val="00945727"/>
    <w:rsid w:val="00945CC4"/>
    <w:rsid w:val="00945CF5"/>
    <w:rsid w:val="0094691C"/>
    <w:rsid w:val="00947C95"/>
    <w:rsid w:val="00947EED"/>
    <w:rsid w:val="009500A1"/>
    <w:rsid w:val="009502B0"/>
    <w:rsid w:val="0095037E"/>
    <w:rsid w:val="00951D97"/>
    <w:rsid w:val="00952230"/>
    <w:rsid w:val="00952AAD"/>
    <w:rsid w:val="00953B2B"/>
    <w:rsid w:val="00954567"/>
    <w:rsid w:val="009547B3"/>
    <w:rsid w:val="00954A89"/>
    <w:rsid w:val="00956671"/>
    <w:rsid w:val="009568D4"/>
    <w:rsid w:val="00956EEA"/>
    <w:rsid w:val="00957466"/>
    <w:rsid w:val="009576F7"/>
    <w:rsid w:val="00960722"/>
    <w:rsid w:val="00961356"/>
    <w:rsid w:val="00962401"/>
    <w:rsid w:val="00962510"/>
    <w:rsid w:val="0096260B"/>
    <w:rsid w:val="0096275C"/>
    <w:rsid w:val="009627FF"/>
    <w:rsid w:val="0096290F"/>
    <w:rsid w:val="00962A27"/>
    <w:rsid w:val="00962B9D"/>
    <w:rsid w:val="00962EDC"/>
    <w:rsid w:val="00964E3D"/>
    <w:rsid w:val="009664D5"/>
    <w:rsid w:val="009668A9"/>
    <w:rsid w:val="00966E6A"/>
    <w:rsid w:val="009670C1"/>
    <w:rsid w:val="00970C69"/>
    <w:rsid w:val="00971262"/>
    <w:rsid w:val="00971F1C"/>
    <w:rsid w:val="009720F0"/>
    <w:rsid w:val="0097211D"/>
    <w:rsid w:val="009724F9"/>
    <w:rsid w:val="0097263C"/>
    <w:rsid w:val="00972DF9"/>
    <w:rsid w:val="00972E10"/>
    <w:rsid w:val="009738AD"/>
    <w:rsid w:val="00974694"/>
    <w:rsid w:val="009746CA"/>
    <w:rsid w:val="00974E7C"/>
    <w:rsid w:val="00976F71"/>
    <w:rsid w:val="00977134"/>
    <w:rsid w:val="00980013"/>
    <w:rsid w:val="0098010E"/>
    <w:rsid w:val="009801B9"/>
    <w:rsid w:val="0098028A"/>
    <w:rsid w:val="0098030F"/>
    <w:rsid w:val="00980E65"/>
    <w:rsid w:val="0098122D"/>
    <w:rsid w:val="00981963"/>
    <w:rsid w:val="00982AAE"/>
    <w:rsid w:val="009831B9"/>
    <w:rsid w:val="00983A16"/>
    <w:rsid w:val="00983C82"/>
    <w:rsid w:val="009844D6"/>
    <w:rsid w:val="00984520"/>
    <w:rsid w:val="00985337"/>
    <w:rsid w:val="0098545C"/>
    <w:rsid w:val="00985F36"/>
    <w:rsid w:val="009862F1"/>
    <w:rsid w:val="00986F70"/>
    <w:rsid w:val="009871EA"/>
    <w:rsid w:val="00987CEA"/>
    <w:rsid w:val="00991675"/>
    <w:rsid w:val="00992BA2"/>
    <w:rsid w:val="00992D70"/>
    <w:rsid w:val="00992F83"/>
    <w:rsid w:val="00993316"/>
    <w:rsid w:val="0099344F"/>
    <w:rsid w:val="00993577"/>
    <w:rsid w:val="00993A3C"/>
    <w:rsid w:val="00994633"/>
    <w:rsid w:val="0099508A"/>
    <w:rsid w:val="009967D7"/>
    <w:rsid w:val="009974EB"/>
    <w:rsid w:val="00997A12"/>
    <w:rsid w:val="009A0C49"/>
    <w:rsid w:val="009A1126"/>
    <w:rsid w:val="009A16C1"/>
    <w:rsid w:val="009A1CB4"/>
    <w:rsid w:val="009A2157"/>
    <w:rsid w:val="009A439E"/>
    <w:rsid w:val="009A5564"/>
    <w:rsid w:val="009A7469"/>
    <w:rsid w:val="009B07EE"/>
    <w:rsid w:val="009B1584"/>
    <w:rsid w:val="009B1B32"/>
    <w:rsid w:val="009B21CA"/>
    <w:rsid w:val="009B2648"/>
    <w:rsid w:val="009B424E"/>
    <w:rsid w:val="009B4317"/>
    <w:rsid w:val="009B4EBB"/>
    <w:rsid w:val="009B529C"/>
    <w:rsid w:val="009B5FA5"/>
    <w:rsid w:val="009B61B2"/>
    <w:rsid w:val="009B679E"/>
    <w:rsid w:val="009B7332"/>
    <w:rsid w:val="009B7420"/>
    <w:rsid w:val="009B7B46"/>
    <w:rsid w:val="009C0294"/>
    <w:rsid w:val="009C03E5"/>
    <w:rsid w:val="009C08B6"/>
    <w:rsid w:val="009C0920"/>
    <w:rsid w:val="009C12C3"/>
    <w:rsid w:val="009C196C"/>
    <w:rsid w:val="009C1B5C"/>
    <w:rsid w:val="009C1FD2"/>
    <w:rsid w:val="009C3047"/>
    <w:rsid w:val="009C36E6"/>
    <w:rsid w:val="009C3730"/>
    <w:rsid w:val="009C37BD"/>
    <w:rsid w:val="009C3888"/>
    <w:rsid w:val="009C3AAC"/>
    <w:rsid w:val="009C4D19"/>
    <w:rsid w:val="009C5F6C"/>
    <w:rsid w:val="009C5FDB"/>
    <w:rsid w:val="009C693E"/>
    <w:rsid w:val="009C6B2C"/>
    <w:rsid w:val="009C6ED6"/>
    <w:rsid w:val="009C70CB"/>
    <w:rsid w:val="009C7623"/>
    <w:rsid w:val="009C7D89"/>
    <w:rsid w:val="009C7E41"/>
    <w:rsid w:val="009D07C7"/>
    <w:rsid w:val="009D14EB"/>
    <w:rsid w:val="009D1B18"/>
    <w:rsid w:val="009D1E70"/>
    <w:rsid w:val="009D1EA4"/>
    <w:rsid w:val="009D27AA"/>
    <w:rsid w:val="009D2843"/>
    <w:rsid w:val="009D2BFD"/>
    <w:rsid w:val="009D2D5A"/>
    <w:rsid w:val="009D2FF8"/>
    <w:rsid w:val="009D3F20"/>
    <w:rsid w:val="009D428F"/>
    <w:rsid w:val="009D4991"/>
    <w:rsid w:val="009D597B"/>
    <w:rsid w:val="009D5A89"/>
    <w:rsid w:val="009D5BB5"/>
    <w:rsid w:val="009D6657"/>
    <w:rsid w:val="009D66C1"/>
    <w:rsid w:val="009D696D"/>
    <w:rsid w:val="009D6993"/>
    <w:rsid w:val="009D6ED2"/>
    <w:rsid w:val="009D78A3"/>
    <w:rsid w:val="009D7DB4"/>
    <w:rsid w:val="009E0603"/>
    <w:rsid w:val="009E08B3"/>
    <w:rsid w:val="009E0F1A"/>
    <w:rsid w:val="009E140D"/>
    <w:rsid w:val="009E43DD"/>
    <w:rsid w:val="009E4465"/>
    <w:rsid w:val="009E5318"/>
    <w:rsid w:val="009E6401"/>
    <w:rsid w:val="009E6C54"/>
    <w:rsid w:val="009E72E8"/>
    <w:rsid w:val="009F04C8"/>
    <w:rsid w:val="009F0812"/>
    <w:rsid w:val="009F0E02"/>
    <w:rsid w:val="009F1B6A"/>
    <w:rsid w:val="009F2408"/>
    <w:rsid w:val="009F248B"/>
    <w:rsid w:val="009F2A25"/>
    <w:rsid w:val="009F3A1A"/>
    <w:rsid w:val="009F4C7D"/>
    <w:rsid w:val="009F5235"/>
    <w:rsid w:val="009F531A"/>
    <w:rsid w:val="009F5EB9"/>
    <w:rsid w:val="009F6344"/>
    <w:rsid w:val="009F6550"/>
    <w:rsid w:val="009F6B65"/>
    <w:rsid w:val="009F786E"/>
    <w:rsid w:val="009F7B30"/>
    <w:rsid w:val="00A00817"/>
    <w:rsid w:val="00A00902"/>
    <w:rsid w:val="00A0098B"/>
    <w:rsid w:val="00A01A28"/>
    <w:rsid w:val="00A0294E"/>
    <w:rsid w:val="00A0327A"/>
    <w:rsid w:val="00A039FF"/>
    <w:rsid w:val="00A04524"/>
    <w:rsid w:val="00A046F6"/>
    <w:rsid w:val="00A05758"/>
    <w:rsid w:val="00A05ACE"/>
    <w:rsid w:val="00A06DBC"/>
    <w:rsid w:val="00A10C6C"/>
    <w:rsid w:val="00A114B9"/>
    <w:rsid w:val="00A11895"/>
    <w:rsid w:val="00A1211A"/>
    <w:rsid w:val="00A139BF"/>
    <w:rsid w:val="00A13A2E"/>
    <w:rsid w:val="00A13A65"/>
    <w:rsid w:val="00A13A67"/>
    <w:rsid w:val="00A14589"/>
    <w:rsid w:val="00A14AE3"/>
    <w:rsid w:val="00A151A0"/>
    <w:rsid w:val="00A16675"/>
    <w:rsid w:val="00A21955"/>
    <w:rsid w:val="00A22BB6"/>
    <w:rsid w:val="00A22CD6"/>
    <w:rsid w:val="00A234EC"/>
    <w:rsid w:val="00A24128"/>
    <w:rsid w:val="00A2417A"/>
    <w:rsid w:val="00A25642"/>
    <w:rsid w:val="00A26668"/>
    <w:rsid w:val="00A2681F"/>
    <w:rsid w:val="00A27804"/>
    <w:rsid w:val="00A317EA"/>
    <w:rsid w:val="00A320F6"/>
    <w:rsid w:val="00A3276D"/>
    <w:rsid w:val="00A330B0"/>
    <w:rsid w:val="00A334D1"/>
    <w:rsid w:val="00A34029"/>
    <w:rsid w:val="00A34257"/>
    <w:rsid w:val="00A346FC"/>
    <w:rsid w:val="00A34F44"/>
    <w:rsid w:val="00A34F72"/>
    <w:rsid w:val="00A3655D"/>
    <w:rsid w:val="00A36822"/>
    <w:rsid w:val="00A36AB5"/>
    <w:rsid w:val="00A374FD"/>
    <w:rsid w:val="00A3754B"/>
    <w:rsid w:val="00A402DD"/>
    <w:rsid w:val="00A4069E"/>
    <w:rsid w:val="00A40BBF"/>
    <w:rsid w:val="00A411D1"/>
    <w:rsid w:val="00A432E9"/>
    <w:rsid w:val="00A43389"/>
    <w:rsid w:val="00A434A7"/>
    <w:rsid w:val="00A43687"/>
    <w:rsid w:val="00A43E71"/>
    <w:rsid w:val="00A4526F"/>
    <w:rsid w:val="00A454C0"/>
    <w:rsid w:val="00A45753"/>
    <w:rsid w:val="00A457B8"/>
    <w:rsid w:val="00A46E47"/>
    <w:rsid w:val="00A479DC"/>
    <w:rsid w:val="00A47B15"/>
    <w:rsid w:val="00A5094A"/>
    <w:rsid w:val="00A50D5A"/>
    <w:rsid w:val="00A51708"/>
    <w:rsid w:val="00A52F84"/>
    <w:rsid w:val="00A533CC"/>
    <w:rsid w:val="00A54284"/>
    <w:rsid w:val="00A5465A"/>
    <w:rsid w:val="00A54FB5"/>
    <w:rsid w:val="00A552C0"/>
    <w:rsid w:val="00A55BFA"/>
    <w:rsid w:val="00A56B05"/>
    <w:rsid w:val="00A56C06"/>
    <w:rsid w:val="00A56E50"/>
    <w:rsid w:val="00A57678"/>
    <w:rsid w:val="00A57972"/>
    <w:rsid w:val="00A579F5"/>
    <w:rsid w:val="00A57F07"/>
    <w:rsid w:val="00A57F83"/>
    <w:rsid w:val="00A60E2F"/>
    <w:rsid w:val="00A6199F"/>
    <w:rsid w:val="00A627AD"/>
    <w:rsid w:val="00A63246"/>
    <w:rsid w:val="00A63284"/>
    <w:rsid w:val="00A63458"/>
    <w:rsid w:val="00A634AE"/>
    <w:rsid w:val="00A6372D"/>
    <w:rsid w:val="00A64CB8"/>
    <w:rsid w:val="00A64E3E"/>
    <w:rsid w:val="00A66065"/>
    <w:rsid w:val="00A66D10"/>
    <w:rsid w:val="00A67018"/>
    <w:rsid w:val="00A671D2"/>
    <w:rsid w:val="00A67289"/>
    <w:rsid w:val="00A672F3"/>
    <w:rsid w:val="00A673DC"/>
    <w:rsid w:val="00A7076E"/>
    <w:rsid w:val="00A709BE"/>
    <w:rsid w:val="00A70D85"/>
    <w:rsid w:val="00A7162E"/>
    <w:rsid w:val="00A72D71"/>
    <w:rsid w:val="00A73112"/>
    <w:rsid w:val="00A73617"/>
    <w:rsid w:val="00A747D2"/>
    <w:rsid w:val="00A7511E"/>
    <w:rsid w:val="00A75123"/>
    <w:rsid w:val="00A753C0"/>
    <w:rsid w:val="00A75705"/>
    <w:rsid w:val="00A75F35"/>
    <w:rsid w:val="00A765A9"/>
    <w:rsid w:val="00A77BF3"/>
    <w:rsid w:val="00A77C69"/>
    <w:rsid w:val="00A812B1"/>
    <w:rsid w:val="00A82C61"/>
    <w:rsid w:val="00A8301B"/>
    <w:rsid w:val="00A83049"/>
    <w:rsid w:val="00A83945"/>
    <w:rsid w:val="00A83953"/>
    <w:rsid w:val="00A83CD7"/>
    <w:rsid w:val="00A8400B"/>
    <w:rsid w:val="00A8416A"/>
    <w:rsid w:val="00A846DA"/>
    <w:rsid w:val="00A853D8"/>
    <w:rsid w:val="00A85FA3"/>
    <w:rsid w:val="00A8661E"/>
    <w:rsid w:val="00A8695A"/>
    <w:rsid w:val="00A86ACF"/>
    <w:rsid w:val="00A8708E"/>
    <w:rsid w:val="00A903B6"/>
    <w:rsid w:val="00A90F4F"/>
    <w:rsid w:val="00A919AD"/>
    <w:rsid w:val="00A91F90"/>
    <w:rsid w:val="00A92507"/>
    <w:rsid w:val="00A92579"/>
    <w:rsid w:val="00A92EF7"/>
    <w:rsid w:val="00A936F9"/>
    <w:rsid w:val="00A947AA"/>
    <w:rsid w:val="00A94888"/>
    <w:rsid w:val="00A94990"/>
    <w:rsid w:val="00A9681C"/>
    <w:rsid w:val="00A96867"/>
    <w:rsid w:val="00A96B3D"/>
    <w:rsid w:val="00A97141"/>
    <w:rsid w:val="00A97820"/>
    <w:rsid w:val="00A97A4E"/>
    <w:rsid w:val="00AA1B53"/>
    <w:rsid w:val="00AA1DEA"/>
    <w:rsid w:val="00AA256D"/>
    <w:rsid w:val="00AA311D"/>
    <w:rsid w:val="00AA3556"/>
    <w:rsid w:val="00AA35FD"/>
    <w:rsid w:val="00AA364F"/>
    <w:rsid w:val="00AA3DB7"/>
    <w:rsid w:val="00AA41D3"/>
    <w:rsid w:val="00AA46A1"/>
    <w:rsid w:val="00AA554C"/>
    <w:rsid w:val="00AA694F"/>
    <w:rsid w:val="00AA712F"/>
    <w:rsid w:val="00AB0039"/>
    <w:rsid w:val="00AB0D96"/>
    <w:rsid w:val="00AB15A3"/>
    <w:rsid w:val="00AB177A"/>
    <w:rsid w:val="00AB216D"/>
    <w:rsid w:val="00AB2F94"/>
    <w:rsid w:val="00AB3012"/>
    <w:rsid w:val="00AB321C"/>
    <w:rsid w:val="00AB3CED"/>
    <w:rsid w:val="00AB473F"/>
    <w:rsid w:val="00AB4C91"/>
    <w:rsid w:val="00AB4E3B"/>
    <w:rsid w:val="00AB5381"/>
    <w:rsid w:val="00AB5CBB"/>
    <w:rsid w:val="00AB688F"/>
    <w:rsid w:val="00AB75EA"/>
    <w:rsid w:val="00AB7AA2"/>
    <w:rsid w:val="00AB7D15"/>
    <w:rsid w:val="00AC03D8"/>
    <w:rsid w:val="00AC0A22"/>
    <w:rsid w:val="00AC1028"/>
    <w:rsid w:val="00AC1515"/>
    <w:rsid w:val="00AC1F41"/>
    <w:rsid w:val="00AC2234"/>
    <w:rsid w:val="00AC3FF3"/>
    <w:rsid w:val="00AC4938"/>
    <w:rsid w:val="00AC4A34"/>
    <w:rsid w:val="00AC4BC1"/>
    <w:rsid w:val="00AC5715"/>
    <w:rsid w:val="00AC7D8D"/>
    <w:rsid w:val="00AD04BD"/>
    <w:rsid w:val="00AD0765"/>
    <w:rsid w:val="00AD0F00"/>
    <w:rsid w:val="00AD14B8"/>
    <w:rsid w:val="00AD296B"/>
    <w:rsid w:val="00AD299E"/>
    <w:rsid w:val="00AD312A"/>
    <w:rsid w:val="00AD5374"/>
    <w:rsid w:val="00AD55A8"/>
    <w:rsid w:val="00AD56B4"/>
    <w:rsid w:val="00AD5A2E"/>
    <w:rsid w:val="00AD5CA4"/>
    <w:rsid w:val="00AD6076"/>
    <w:rsid w:val="00AD634F"/>
    <w:rsid w:val="00AD6591"/>
    <w:rsid w:val="00AD6A91"/>
    <w:rsid w:val="00AD7214"/>
    <w:rsid w:val="00AE04DB"/>
    <w:rsid w:val="00AE0C58"/>
    <w:rsid w:val="00AE0E09"/>
    <w:rsid w:val="00AE103C"/>
    <w:rsid w:val="00AE1066"/>
    <w:rsid w:val="00AE14DD"/>
    <w:rsid w:val="00AE1A2D"/>
    <w:rsid w:val="00AE2CB7"/>
    <w:rsid w:val="00AE2FA5"/>
    <w:rsid w:val="00AE3215"/>
    <w:rsid w:val="00AE3A4F"/>
    <w:rsid w:val="00AE4518"/>
    <w:rsid w:val="00AE49D9"/>
    <w:rsid w:val="00AE4C42"/>
    <w:rsid w:val="00AE5D7F"/>
    <w:rsid w:val="00AE7140"/>
    <w:rsid w:val="00AE79F0"/>
    <w:rsid w:val="00AF07B0"/>
    <w:rsid w:val="00AF0AFC"/>
    <w:rsid w:val="00AF109C"/>
    <w:rsid w:val="00AF1752"/>
    <w:rsid w:val="00AF2896"/>
    <w:rsid w:val="00AF3F1D"/>
    <w:rsid w:val="00AF42FC"/>
    <w:rsid w:val="00AF4AC5"/>
    <w:rsid w:val="00AF4C2C"/>
    <w:rsid w:val="00AF597D"/>
    <w:rsid w:val="00AF6EC1"/>
    <w:rsid w:val="00AF7416"/>
    <w:rsid w:val="00AF784D"/>
    <w:rsid w:val="00AF7CE9"/>
    <w:rsid w:val="00B00331"/>
    <w:rsid w:val="00B00E46"/>
    <w:rsid w:val="00B01102"/>
    <w:rsid w:val="00B01293"/>
    <w:rsid w:val="00B014A1"/>
    <w:rsid w:val="00B01A80"/>
    <w:rsid w:val="00B034DF"/>
    <w:rsid w:val="00B03EF5"/>
    <w:rsid w:val="00B046AF"/>
    <w:rsid w:val="00B06036"/>
    <w:rsid w:val="00B061F5"/>
    <w:rsid w:val="00B07C27"/>
    <w:rsid w:val="00B07DDE"/>
    <w:rsid w:val="00B07FB2"/>
    <w:rsid w:val="00B10017"/>
    <w:rsid w:val="00B1004A"/>
    <w:rsid w:val="00B101CE"/>
    <w:rsid w:val="00B10DE1"/>
    <w:rsid w:val="00B10FF8"/>
    <w:rsid w:val="00B11E02"/>
    <w:rsid w:val="00B12F0D"/>
    <w:rsid w:val="00B13A85"/>
    <w:rsid w:val="00B13BC7"/>
    <w:rsid w:val="00B13CD4"/>
    <w:rsid w:val="00B153D8"/>
    <w:rsid w:val="00B154DE"/>
    <w:rsid w:val="00B155FF"/>
    <w:rsid w:val="00B15814"/>
    <w:rsid w:val="00B16B91"/>
    <w:rsid w:val="00B17B14"/>
    <w:rsid w:val="00B20203"/>
    <w:rsid w:val="00B203C4"/>
    <w:rsid w:val="00B20863"/>
    <w:rsid w:val="00B20CDD"/>
    <w:rsid w:val="00B20E37"/>
    <w:rsid w:val="00B21584"/>
    <w:rsid w:val="00B21F27"/>
    <w:rsid w:val="00B224DF"/>
    <w:rsid w:val="00B22683"/>
    <w:rsid w:val="00B22BC9"/>
    <w:rsid w:val="00B22E81"/>
    <w:rsid w:val="00B232FE"/>
    <w:rsid w:val="00B23996"/>
    <w:rsid w:val="00B23A8A"/>
    <w:rsid w:val="00B23BBE"/>
    <w:rsid w:val="00B23CB2"/>
    <w:rsid w:val="00B240CC"/>
    <w:rsid w:val="00B24E14"/>
    <w:rsid w:val="00B2561A"/>
    <w:rsid w:val="00B256C1"/>
    <w:rsid w:val="00B25A64"/>
    <w:rsid w:val="00B25A79"/>
    <w:rsid w:val="00B25B94"/>
    <w:rsid w:val="00B26E97"/>
    <w:rsid w:val="00B26EB9"/>
    <w:rsid w:val="00B271F2"/>
    <w:rsid w:val="00B277C4"/>
    <w:rsid w:val="00B31884"/>
    <w:rsid w:val="00B31D19"/>
    <w:rsid w:val="00B32155"/>
    <w:rsid w:val="00B32396"/>
    <w:rsid w:val="00B32AB3"/>
    <w:rsid w:val="00B32DAE"/>
    <w:rsid w:val="00B33825"/>
    <w:rsid w:val="00B3456F"/>
    <w:rsid w:val="00B34BB2"/>
    <w:rsid w:val="00B34E7C"/>
    <w:rsid w:val="00B35AF6"/>
    <w:rsid w:val="00B36228"/>
    <w:rsid w:val="00B366A3"/>
    <w:rsid w:val="00B368EA"/>
    <w:rsid w:val="00B3741E"/>
    <w:rsid w:val="00B37EEF"/>
    <w:rsid w:val="00B41344"/>
    <w:rsid w:val="00B418AD"/>
    <w:rsid w:val="00B41DAD"/>
    <w:rsid w:val="00B4229C"/>
    <w:rsid w:val="00B42F1A"/>
    <w:rsid w:val="00B43790"/>
    <w:rsid w:val="00B4430B"/>
    <w:rsid w:val="00B443D9"/>
    <w:rsid w:val="00B44531"/>
    <w:rsid w:val="00B445EA"/>
    <w:rsid w:val="00B46587"/>
    <w:rsid w:val="00B47AD2"/>
    <w:rsid w:val="00B47CF7"/>
    <w:rsid w:val="00B50686"/>
    <w:rsid w:val="00B50C50"/>
    <w:rsid w:val="00B50ED1"/>
    <w:rsid w:val="00B513C0"/>
    <w:rsid w:val="00B52CF8"/>
    <w:rsid w:val="00B53708"/>
    <w:rsid w:val="00B53DCB"/>
    <w:rsid w:val="00B5428F"/>
    <w:rsid w:val="00B54370"/>
    <w:rsid w:val="00B54DEA"/>
    <w:rsid w:val="00B54FDF"/>
    <w:rsid w:val="00B55185"/>
    <w:rsid w:val="00B55C03"/>
    <w:rsid w:val="00B55F0B"/>
    <w:rsid w:val="00B5695D"/>
    <w:rsid w:val="00B56A70"/>
    <w:rsid w:val="00B602D5"/>
    <w:rsid w:val="00B60638"/>
    <w:rsid w:val="00B606F8"/>
    <w:rsid w:val="00B60A44"/>
    <w:rsid w:val="00B616D5"/>
    <w:rsid w:val="00B61872"/>
    <w:rsid w:val="00B61923"/>
    <w:rsid w:val="00B621D6"/>
    <w:rsid w:val="00B6375F"/>
    <w:rsid w:val="00B63AF2"/>
    <w:rsid w:val="00B64278"/>
    <w:rsid w:val="00B65747"/>
    <w:rsid w:val="00B65D6F"/>
    <w:rsid w:val="00B65FAD"/>
    <w:rsid w:val="00B66174"/>
    <w:rsid w:val="00B661B5"/>
    <w:rsid w:val="00B67B37"/>
    <w:rsid w:val="00B67C23"/>
    <w:rsid w:val="00B7079B"/>
    <w:rsid w:val="00B70BE5"/>
    <w:rsid w:val="00B70DC7"/>
    <w:rsid w:val="00B721A4"/>
    <w:rsid w:val="00B72B5B"/>
    <w:rsid w:val="00B72EFF"/>
    <w:rsid w:val="00B73C25"/>
    <w:rsid w:val="00B73DCE"/>
    <w:rsid w:val="00B746E4"/>
    <w:rsid w:val="00B74A6F"/>
    <w:rsid w:val="00B74D64"/>
    <w:rsid w:val="00B750C2"/>
    <w:rsid w:val="00B75411"/>
    <w:rsid w:val="00B7546A"/>
    <w:rsid w:val="00B756CB"/>
    <w:rsid w:val="00B75735"/>
    <w:rsid w:val="00B77142"/>
    <w:rsid w:val="00B8010E"/>
    <w:rsid w:val="00B80879"/>
    <w:rsid w:val="00B80A2C"/>
    <w:rsid w:val="00B80D3B"/>
    <w:rsid w:val="00B8135C"/>
    <w:rsid w:val="00B814BB"/>
    <w:rsid w:val="00B81730"/>
    <w:rsid w:val="00B81F60"/>
    <w:rsid w:val="00B82123"/>
    <w:rsid w:val="00B823D4"/>
    <w:rsid w:val="00B82BEC"/>
    <w:rsid w:val="00B8314A"/>
    <w:rsid w:val="00B841AC"/>
    <w:rsid w:val="00B844A6"/>
    <w:rsid w:val="00B85873"/>
    <w:rsid w:val="00B85E95"/>
    <w:rsid w:val="00B865B0"/>
    <w:rsid w:val="00B865DC"/>
    <w:rsid w:val="00B86E3A"/>
    <w:rsid w:val="00B870E8"/>
    <w:rsid w:val="00B874E9"/>
    <w:rsid w:val="00B875E3"/>
    <w:rsid w:val="00B87ACB"/>
    <w:rsid w:val="00B87C29"/>
    <w:rsid w:val="00B90780"/>
    <w:rsid w:val="00B90968"/>
    <w:rsid w:val="00B918BB"/>
    <w:rsid w:val="00B91A15"/>
    <w:rsid w:val="00B91BC2"/>
    <w:rsid w:val="00B9240D"/>
    <w:rsid w:val="00B93E0B"/>
    <w:rsid w:val="00B94960"/>
    <w:rsid w:val="00B9543E"/>
    <w:rsid w:val="00B96748"/>
    <w:rsid w:val="00B96F6E"/>
    <w:rsid w:val="00B9702A"/>
    <w:rsid w:val="00B979D4"/>
    <w:rsid w:val="00BA0703"/>
    <w:rsid w:val="00BA22A8"/>
    <w:rsid w:val="00BA309F"/>
    <w:rsid w:val="00BA3B8F"/>
    <w:rsid w:val="00BA3E48"/>
    <w:rsid w:val="00BA4905"/>
    <w:rsid w:val="00BA4BD3"/>
    <w:rsid w:val="00BA5B51"/>
    <w:rsid w:val="00BA6E49"/>
    <w:rsid w:val="00BB0187"/>
    <w:rsid w:val="00BB0C2D"/>
    <w:rsid w:val="00BB0E56"/>
    <w:rsid w:val="00BB1473"/>
    <w:rsid w:val="00BB1EB3"/>
    <w:rsid w:val="00BB2678"/>
    <w:rsid w:val="00BB2C68"/>
    <w:rsid w:val="00BB3077"/>
    <w:rsid w:val="00BB31D5"/>
    <w:rsid w:val="00BB33A8"/>
    <w:rsid w:val="00BB3927"/>
    <w:rsid w:val="00BB3D8C"/>
    <w:rsid w:val="00BB4B39"/>
    <w:rsid w:val="00BB4CFF"/>
    <w:rsid w:val="00BB4E17"/>
    <w:rsid w:val="00BB53AF"/>
    <w:rsid w:val="00BB5BDF"/>
    <w:rsid w:val="00BB5C26"/>
    <w:rsid w:val="00BB64B7"/>
    <w:rsid w:val="00BB6591"/>
    <w:rsid w:val="00BB6A40"/>
    <w:rsid w:val="00BC013A"/>
    <w:rsid w:val="00BC12F7"/>
    <w:rsid w:val="00BC162A"/>
    <w:rsid w:val="00BC2343"/>
    <w:rsid w:val="00BC2A29"/>
    <w:rsid w:val="00BC2BE7"/>
    <w:rsid w:val="00BC2E1B"/>
    <w:rsid w:val="00BC3F52"/>
    <w:rsid w:val="00BC43D7"/>
    <w:rsid w:val="00BC4ED3"/>
    <w:rsid w:val="00BC5824"/>
    <w:rsid w:val="00BC6B20"/>
    <w:rsid w:val="00BC702F"/>
    <w:rsid w:val="00BC7377"/>
    <w:rsid w:val="00BD0707"/>
    <w:rsid w:val="00BD0ECF"/>
    <w:rsid w:val="00BD1266"/>
    <w:rsid w:val="00BD13C1"/>
    <w:rsid w:val="00BD30C8"/>
    <w:rsid w:val="00BD38F4"/>
    <w:rsid w:val="00BD3EB4"/>
    <w:rsid w:val="00BD4C5B"/>
    <w:rsid w:val="00BD4F01"/>
    <w:rsid w:val="00BD5359"/>
    <w:rsid w:val="00BD556E"/>
    <w:rsid w:val="00BD5C65"/>
    <w:rsid w:val="00BD7BCC"/>
    <w:rsid w:val="00BE16E9"/>
    <w:rsid w:val="00BE1E11"/>
    <w:rsid w:val="00BE2730"/>
    <w:rsid w:val="00BE2A17"/>
    <w:rsid w:val="00BE2D83"/>
    <w:rsid w:val="00BE31BE"/>
    <w:rsid w:val="00BE3A1D"/>
    <w:rsid w:val="00BE3ABB"/>
    <w:rsid w:val="00BE3B92"/>
    <w:rsid w:val="00BE487E"/>
    <w:rsid w:val="00BE528E"/>
    <w:rsid w:val="00BE6018"/>
    <w:rsid w:val="00BE7086"/>
    <w:rsid w:val="00BE7278"/>
    <w:rsid w:val="00BF1F57"/>
    <w:rsid w:val="00BF20FD"/>
    <w:rsid w:val="00BF2239"/>
    <w:rsid w:val="00BF22C6"/>
    <w:rsid w:val="00BF27DD"/>
    <w:rsid w:val="00BF34C2"/>
    <w:rsid w:val="00BF3804"/>
    <w:rsid w:val="00BF3B4E"/>
    <w:rsid w:val="00BF3B89"/>
    <w:rsid w:val="00BF4086"/>
    <w:rsid w:val="00BF426C"/>
    <w:rsid w:val="00BF4594"/>
    <w:rsid w:val="00BF58D0"/>
    <w:rsid w:val="00BF6027"/>
    <w:rsid w:val="00BF6702"/>
    <w:rsid w:val="00BF7561"/>
    <w:rsid w:val="00BF7952"/>
    <w:rsid w:val="00BF7D6A"/>
    <w:rsid w:val="00C0021D"/>
    <w:rsid w:val="00C00300"/>
    <w:rsid w:val="00C0068D"/>
    <w:rsid w:val="00C00A6C"/>
    <w:rsid w:val="00C00B8B"/>
    <w:rsid w:val="00C013E1"/>
    <w:rsid w:val="00C01611"/>
    <w:rsid w:val="00C02BDB"/>
    <w:rsid w:val="00C02D59"/>
    <w:rsid w:val="00C02FE3"/>
    <w:rsid w:val="00C030B6"/>
    <w:rsid w:val="00C03284"/>
    <w:rsid w:val="00C03591"/>
    <w:rsid w:val="00C03B3A"/>
    <w:rsid w:val="00C03CD4"/>
    <w:rsid w:val="00C04694"/>
    <w:rsid w:val="00C04C52"/>
    <w:rsid w:val="00C050C4"/>
    <w:rsid w:val="00C050D7"/>
    <w:rsid w:val="00C056B6"/>
    <w:rsid w:val="00C05B5F"/>
    <w:rsid w:val="00C10086"/>
    <w:rsid w:val="00C104CC"/>
    <w:rsid w:val="00C11153"/>
    <w:rsid w:val="00C11521"/>
    <w:rsid w:val="00C142AD"/>
    <w:rsid w:val="00C142C1"/>
    <w:rsid w:val="00C14A30"/>
    <w:rsid w:val="00C152FE"/>
    <w:rsid w:val="00C15D1B"/>
    <w:rsid w:val="00C16739"/>
    <w:rsid w:val="00C168DD"/>
    <w:rsid w:val="00C176CC"/>
    <w:rsid w:val="00C20E37"/>
    <w:rsid w:val="00C21031"/>
    <w:rsid w:val="00C221B9"/>
    <w:rsid w:val="00C225EA"/>
    <w:rsid w:val="00C226E6"/>
    <w:rsid w:val="00C22CCE"/>
    <w:rsid w:val="00C232BC"/>
    <w:rsid w:val="00C23BA2"/>
    <w:rsid w:val="00C2485F"/>
    <w:rsid w:val="00C248B1"/>
    <w:rsid w:val="00C24ACA"/>
    <w:rsid w:val="00C24B63"/>
    <w:rsid w:val="00C256C3"/>
    <w:rsid w:val="00C262A0"/>
    <w:rsid w:val="00C26A4E"/>
    <w:rsid w:val="00C31195"/>
    <w:rsid w:val="00C31774"/>
    <w:rsid w:val="00C3180E"/>
    <w:rsid w:val="00C32AF2"/>
    <w:rsid w:val="00C33051"/>
    <w:rsid w:val="00C33204"/>
    <w:rsid w:val="00C338EB"/>
    <w:rsid w:val="00C34389"/>
    <w:rsid w:val="00C3465D"/>
    <w:rsid w:val="00C347D5"/>
    <w:rsid w:val="00C35C57"/>
    <w:rsid w:val="00C379E9"/>
    <w:rsid w:val="00C37C29"/>
    <w:rsid w:val="00C37EDC"/>
    <w:rsid w:val="00C403CD"/>
    <w:rsid w:val="00C4082B"/>
    <w:rsid w:val="00C40ECA"/>
    <w:rsid w:val="00C411AC"/>
    <w:rsid w:val="00C4173D"/>
    <w:rsid w:val="00C41B04"/>
    <w:rsid w:val="00C42041"/>
    <w:rsid w:val="00C42949"/>
    <w:rsid w:val="00C42BD9"/>
    <w:rsid w:val="00C43934"/>
    <w:rsid w:val="00C43935"/>
    <w:rsid w:val="00C439FB"/>
    <w:rsid w:val="00C43AA8"/>
    <w:rsid w:val="00C43F23"/>
    <w:rsid w:val="00C441A4"/>
    <w:rsid w:val="00C452E1"/>
    <w:rsid w:val="00C45C1B"/>
    <w:rsid w:val="00C463C9"/>
    <w:rsid w:val="00C46FA8"/>
    <w:rsid w:val="00C47648"/>
    <w:rsid w:val="00C47852"/>
    <w:rsid w:val="00C50011"/>
    <w:rsid w:val="00C51827"/>
    <w:rsid w:val="00C5254B"/>
    <w:rsid w:val="00C53973"/>
    <w:rsid w:val="00C5569A"/>
    <w:rsid w:val="00C55D39"/>
    <w:rsid w:val="00C55FBF"/>
    <w:rsid w:val="00C57E68"/>
    <w:rsid w:val="00C601C9"/>
    <w:rsid w:val="00C6038C"/>
    <w:rsid w:val="00C616D0"/>
    <w:rsid w:val="00C623C6"/>
    <w:rsid w:val="00C631D3"/>
    <w:rsid w:val="00C645E6"/>
    <w:rsid w:val="00C64813"/>
    <w:rsid w:val="00C64D82"/>
    <w:rsid w:val="00C64FBC"/>
    <w:rsid w:val="00C65A83"/>
    <w:rsid w:val="00C66A00"/>
    <w:rsid w:val="00C66CBE"/>
    <w:rsid w:val="00C67118"/>
    <w:rsid w:val="00C67276"/>
    <w:rsid w:val="00C67DDD"/>
    <w:rsid w:val="00C70139"/>
    <w:rsid w:val="00C7072A"/>
    <w:rsid w:val="00C7191D"/>
    <w:rsid w:val="00C72603"/>
    <w:rsid w:val="00C728C2"/>
    <w:rsid w:val="00C72C6F"/>
    <w:rsid w:val="00C73BE3"/>
    <w:rsid w:val="00C74453"/>
    <w:rsid w:val="00C7473A"/>
    <w:rsid w:val="00C75AB0"/>
    <w:rsid w:val="00C75EDE"/>
    <w:rsid w:val="00C76166"/>
    <w:rsid w:val="00C76B7B"/>
    <w:rsid w:val="00C76BBD"/>
    <w:rsid w:val="00C76DE2"/>
    <w:rsid w:val="00C772BA"/>
    <w:rsid w:val="00C77555"/>
    <w:rsid w:val="00C7770C"/>
    <w:rsid w:val="00C802D1"/>
    <w:rsid w:val="00C8036C"/>
    <w:rsid w:val="00C80CD8"/>
    <w:rsid w:val="00C80F23"/>
    <w:rsid w:val="00C81151"/>
    <w:rsid w:val="00C82AC2"/>
    <w:rsid w:val="00C82CC6"/>
    <w:rsid w:val="00C839CB"/>
    <w:rsid w:val="00C841CE"/>
    <w:rsid w:val="00C84593"/>
    <w:rsid w:val="00C850A3"/>
    <w:rsid w:val="00C85C32"/>
    <w:rsid w:val="00C85D4F"/>
    <w:rsid w:val="00C85F45"/>
    <w:rsid w:val="00C86C8C"/>
    <w:rsid w:val="00C87473"/>
    <w:rsid w:val="00C87568"/>
    <w:rsid w:val="00C87FD0"/>
    <w:rsid w:val="00C902C8"/>
    <w:rsid w:val="00C903E7"/>
    <w:rsid w:val="00C90DB6"/>
    <w:rsid w:val="00C92603"/>
    <w:rsid w:val="00C93649"/>
    <w:rsid w:val="00C9394F"/>
    <w:rsid w:val="00C93B1A"/>
    <w:rsid w:val="00C95E97"/>
    <w:rsid w:val="00C96D24"/>
    <w:rsid w:val="00C96F5F"/>
    <w:rsid w:val="00C97055"/>
    <w:rsid w:val="00C97D41"/>
    <w:rsid w:val="00CA1E82"/>
    <w:rsid w:val="00CA2B4F"/>
    <w:rsid w:val="00CA30C3"/>
    <w:rsid w:val="00CA3549"/>
    <w:rsid w:val="00CA5927"/>
    <w:rsid w:val="00CA5D23"/>
    <w:rsid w:val="00CA635E"/>
    <w:rsid w:val="00CA6BB0"/>
    <w:rsid w:val="00CA70CE"/>
    <w:rsid w:val="00CA79EC"/>
    <w:rsid w:val="00CB002C"/>
    <w:rsid w:val="00CB1E4B"/>
    <w:rsid w:val="00CB259F"/>
    <w:rsid w:val="00CB389B"/>
    <w:rsid w:val="00CB39C2"/>
    <w:rsid w:val="00CB45FC"/>
    <w:rsid w:val="00CB4C8C"/>
    <w:rsid w:val="00CB4E90"/>
    <w:rsid w:val="00CB5850"/>
    <w:rsid w:val="00CB5C99"/>
    <w:rsid w:val="00CB633B"/>
    <w:rsid w:val="00CB6782"/>
    <w:rsid w:val="00CB6E3E"/>
    <w:rsid w:val="00CB6FD3"/>
    <w:rsid w:val="00CB72CD"/>
    <w:rsid w:val="00CC080A"/>
    <w:rsid w:val="00CC09EB"/>
    <w:rsid w:val="00CC0D0F"/>
    <w:rsid w:val="00CC1275"/>
    <w:rsid w:val="00CC12EE"/>
    <w:rsid w:val="00CC5767"/>
    <w:rsid w:val="00CC5D2F"/>
    <w:rsid w:val="00CC667C"/>
    <w:rsid w:val="00CC68CC"/>
    <w:rsid w:val="00CC6CB9"/>
    <w:rsid w:val="00CC701E"/>
    <w:rsid w:val="00CC7735"/>
    <w:rsid w:val="00CD0310"/>
    <w:rsid w:val="00CD0D09"/>
    <w:rsid w:val="00CD268B"/>
    <w:rsid w:val="00CD2E48"/>
    <w:rsid w:val="00CD4826"/>
    <w:rsid w:val="00CD4E19"/>
    <w:rsid w:val="00CD6219"/>
    <w:rsid w:val="00CD700F"/>
    <w:rsid w:val="00CD70EB"/>
    <w:rsid w:val="00CD7319"/>
    <w:rsid w:val="00CD7BA2"/>
    <w:rsid w:val="00CD7DF8"/>
    <w:rsid w:val="00CE04BC"/>
    <w:rsid w:val="00CE0A6E"/>
    <w:rsid w:val="00CE148E"/>
    <w:rsid w:val="00CE208D"/>
    <w:rsid w:val="00CE242D"/>
    <w:rsid w:val="00CE2453"/>
    <w:rsid w:val="00CE356D"/>
    <w:rsid w:val="00CE3FA4"/>
    <w:rsid w:val="00CE44F8"/>
    <w:rsid w:val="00CE485F"/>
    <w:rsid w:val="00CE5277"/>
    <w:rsid w:val="00CE58F6"/>
    <w:rsid w:val="00CE5B4D"/>
    <w:rsid w:val="00CE6358"/>
    <w:rsid w:val="00CE6686"/>
    <w:rsid w:val="00CE6E97"/>
    <w:rsid w:val="00CE7868"/>
    <w:rsid w:val="00CE789A"/>
    <w:rsid w:val="00CE7968"/>
    <w:rsid w:val="00CE796C"/>
    <w:rsid w:val="00CF0DB0"/>
    <w:rsid w:val="00CF1B70"/>
    <w:rsid w:val="00CF1DD1"/>
    <w:rsid w:val="00CF2161"/>
    <w:rsid w:val="00CF2307"/>
    <w:rsid w:val="00CF26AE"/>
    <w:rsid w:val="00CF2D54"/>
    <w:rsid w:val="00CF311F"/>
    <w:rsid w:val="00CF5047"/>
    <w:rsid w:val="00D01344"/>
    <w:rsid w:val="00D01B90"/>
    <w:rsid w:val="00D024CD"/>
    <w:rsid w:val="00D0262B"/>
    <w:rsid w:val="00D02C7C"/>
    <w:rsid w:val="00D034DA"/>
    <w:rsid w:val="00D03538"/>
    <w:rsid w:val="00D0421D"/>
    <w:rsid w:val="00D046FD"/>
    <w:rsid w:val="00D047F7"/>
    <w:rsid w:val="00D049B8"/>
    <w:rsid w:val="00D04C8A"/>
    <w:rsid w:val="00D04EB2"/>
    <w:rsid w:val="00D0516C"/>
    <w:rsid w:val="00D0593F"/>
    <w:rsid w:val="00D05B56"/>
    <w:rsid w:val="00D05BBE"/>
    <w:rsid w:val="00D05C2F"/>
    <w:rsid w:val="00D05EE7"/>
    <w:rsid w:val="00D068D0"/>
    <w:rsid w:val="00D06FE0"/>
    <w:rsid w:val="00D07307"/>
    <w:rsid w:val="00D076A9"/>
    <w:rsid w:val="00D07754"/>
    <w:rsid w:val="00D078D1"/>
    <w:rsid w:val="00D07B2E"/>
    <w:rsid w:val="00D10824"/>
    <w:rsid w:val="00D1188B"/>
    <w:rsid w:val="00D1293B"/>
    <w:rsid w:val="00D129A8"/>
    <w:rsid w:val="00D12FB9"/>
    <w:rsid w:val="00D13431"/>
    <w:rsid w:val="00D135F2"/>
    <w:rsid w:val="00D13D00"/>
    <w:rsid w:val="00D147C0"/>
    <w:rsid w:val="00D15696"/>
    <w:rsid w:val="00D15C51"/>
    <w:rsid w:val="00D16C68"/>
    <w:rsid w:val="00D17FDD"/>
    <w:rsid w:val="00D200BD"/>
    <w:rsid w:val="00D200CC"/>
    <w:rsid w:val="00D201AA"/>
    <w:rsid w:val="00D204A7"/>
    <w:rsid w:val="00D20AA5"/>
    <w:rsid w:val="00D20DC4"/>
    <w:rsid w:val="00D21059"/>
    <w:rsid w:val="00D22399"/>
    <w:rsid w:val="00D26223"/>
    <w:rsid w:val="00D2662C"/>
    <w:rsid w:val="00D27FA3"/>
    <w:rsid w:val="00D30711"/>
    <w:rsid w:val="00D314FB"/>
    <w:rsid w:val="00D316D2"/>
    <w:rsid w:val="00D3176C"/>
    <w:rsid w:val="00D31B3F"/>
    <w:rsid w:val="00D31DE7"/>
    <w:rsid w:val="00D321AF"/>
    <w:rsid w:val="00D3249F"/>
    <w:rsid w:val="00D33751"/>
    <w:rsid w:val="00D34AB9"/>
    <w:rsid w:val="00D35D4A"/>
    <w:rsid w:val="00D36F6E"/>
    <w:rsid w:val="00D372B0"/>
    <w:rsid w:val="00D37343"/>
    <w:rsid w:val="00D376AD"/>
    <w:rsid w:val="00D41E6A"/>
    <w:rsid w:val="00D42034"/>
    <w:rsid w:val="00D4205E"/>
    <w:rsid w:val="00D44EB8"/>
    <w:rsid w:val="00D464AE"/>
    <w:rsid w:val="00D47399"/>
    <w:rsid w:val="00D47BB2"/>
    <w:rsid w:val="00D47D04"/>
    <w:rsid w:val="00D5056A"/>
    <w:rsid w:val="00D510A0"/>
    <w:rsid w:val="00D51F73"/>
    <w:rsid w:val="00D527EE"/>
    <w:rsid w:val="00D5286F"/>
    <w:rsid w:val="00D529C4"/>
    <w:rsid w:val="00D53929"/>
    <w:rsid w:val="00D539B5"/>
    <w:rsid w:val="00D539D0"/>
    <w:rsid w:val="00D53F2B"/>
    <w:rsid w:val="00D540DC"/>
    <w:rsid w:val="00D54CA4"/>
    <w:rsid w:val="00D55616"/>
    <w:rsid w:val="00D5574C"/>
    <w:rsid w:val="00D55DAC"/>
    <w:rsid w:val="00D561C5"/>
    <w:rsid w:val="00D5636F"/>
    <w:rsid w:val="00D57FDF"/>
    <w:rsid w:val="00D6153F"/>
    <w:rsid w:val="00D61982"/>
    <w:rsid w:val="00D61A2D"/>
    <w:rsid w:val="00D61EA9"/>
    <w:rsid w:val="00D61EFF"/>
    <w:rsid w:val="00D62655"/>
    <w:rsid w:val="00D6267A"/>
    <w:rsid w:val="00D62998"/>
    <w:rsid w:val="00D636B6"/>
    <w:rsid w:val="00D6468E"/>
    <w:rsid w:val="00D647DE"/>
    <w:rsid w:val="00D6501F"/>
    <w:rsid w:val="00D65347"/>
    <w:rsid w:val="00D6575E"/>
    <w:rsid w:val="00D67D12"/>
    <w:rsid w:val="00D700D9"/>
    <w:rsid w:val="00D70309"/>
    <w:rsid w:val="00D705FF"/>
    <w:rsid w:val="00D70B0C"/>
    <w:rsid w:val="00D70DE6"/>
    <w:rsid w:val="00D7145C"/>
    <w:rsid w:val="00D71CE0"/>
    <w:rsid w:val="00D7332F"/>
    <w:rsid w:val="00D744BC"/>
    <w:rsid w:val="00D7585A"/>
    <w:rsid w:val="00D7604B"/>
    <w:rsid w:val="00D77C53"/>
    <w:rsid w:val="00D77E96"/>
    <w:rsid w:val="00D80618"/>
    <w:rsid w:val="00D8068C"/>
    <w:rsid w:val="00D807DF"/>
    <w:rsid w:val="00D81006"/>
    <w:rsid w:val="00D82339"/>
    <w:rsid w:val="00D82494"/>
    <w:rsid w:val="00D82696"/>
    <w:rsid w:val="00D82FF2"/>
    <w:rsid w:val="00D830B9"/>
    <w:rsid w:val="00D83774"/>
    <w:rsid w:val="00D83C1D"/>
    <w:rsid w:val="00D84A4B"/>
    <w:rsid w:val="00D84E83"/>
    <w:rsid w:val="00D8555A"/>
    <w:rsid w:val="00D85631"/>
    <w:rsid w:val="00D85D98"/>
    <w:rsid w:val="00D879CB"/>
    <w:rsid w:val="00D87C11"/>
    <w:rsid w:val="00D90A81"/>
    <w:rsid w:val="00D90B7D"/>
    <w:rsid w:val="00D90B81"/>
    <w:rsid w:val="00D90CC7"/>
    <w:rsid w:val="00D90DCE"/>
    <w:rsid w:val="00D92168"/>
    <w:rsid w:val="00D9231C"/>
    <w:rsid w:val="00D92356"/>
    <w:rsid w:val="00D92A5E"/>
    <w:rsid w:val="00D935BD"/>
    <w:rsid w:val="00D93EEC"/>
    <w:rsid w:val="00D940B5"/>
    <w:rsid w:val="00D953F2"/>
    <w:rsid w:val="00D9582D"/>
    <w:rsid w:val="00D95CB0"/>
    <w:rsid w:val="00D9654F"/>
    <w:rsid w:val="00D966FE"/>
    <w:rsid w:val="00D977C0"/>
    <w:rsid w:val="00D97E14"/>
    <w:rsid w:val="00DA00A3"/>
    <w:rsid w:val="00DA13F3"/>
    <w:rsid w:val="00DA2DE3"/>
    <w:rsid w:val="00DA35D9"/>
    <w:rsid w:val="00DA3633"/>
    <w:rsid w:val="00DA400B"/>
    <w:rsid w:val="00DA4130"/>
    <w:rsid w:val="00DA4909"/>
    <w:rsid w:val="00DA5999"/>
    <w:rsid w:val="00DA6443"/>
    <w:rsid w:val="00DA6B5E"/>
    <w:rsid w:val="00DA7146"/>
    <w:rsid w:val="00DA716A"/>
    <w:rsid w:val="00DA7B82"/>
    <w:rsid w:val="00DB02EE"/>
    <w:rsid w:val="00DB0843"/>
    <w:rsid w:val="00DB1F4F"/>
    <w:rsid w:val="00DB292F"/>
    <w:rsid w:val="00DB2CD0"/>
    <w:rsid w:val="00DB344D"/>
    <w:rsid w:val="00DB37EE"/>
    <w:rsid w:val="00DB401F"/>
    <w:rsid w:val="00DB40F5"/>
    <w:rsid w:val="00DB4450"/>
    <w:rsid w:val="00DB4EE7"/>
    <w:rsid w:val="00DB5051"/>
    <w:rsid w:val="00DB5102"/>
    <w:rsid w:val="00DB521D"/>
    <w:rsid w:val="00DB5971"/>
    <w:rsid w:val="00DB5D51"/>
    <w:rsid w:val="00DB5F53"/>
    <w:rsid w:val="00DB6E27"/>
    <w:rsid w:val="00DB7B69"/>
    <w:rsid w:val="00DC0A2F"/>
    <w:rsid w:val="00DC0DBE"/>
    <w:rsid w:val="00DC1C8F"/>
    <w:rsid w:val="00DC1F57"/>
    <w:rsid w:val="00DC234A"/>
    <w:rsid w:val="00DC35DD"/>
    <w:rsid w:val="00DC41E4"/>
    <w:rsid w:val="00DC496E"/>
    <w:rsid w:val="00DC4F67"/>
    <w:rsid w:val="00DC5116"/>
    <w:rsid w:val="00DC59DF"/>
    <w:rsid w:val="00DC7C77"/>
    <w:rsid w:val="00DC7FD5"/>
    <w:rsid w:val="00DD02FF"/>
    <w:rsid w:val="00DD0925"/>
    <w:rsid w:val="00DD24F9"/>
    <w:rsid w:val="00DD26EC"/>
    <w:rsid w:val="00DD2C06"/>
    <w:rsid w:val="00DD2DFB"/>
    <w:rsid w:val="00DD3604"/>
    <w:rsid w:val="00DD3F4D"/>
    <w:rsid w:val="00DD6F2E"/>
    <w:rsid w:val="00DD72E1"/>
    <w:rsid w:val="00DD7848"/>
    <w:rsid w:val="00DD796C"/>
    <w:rsid w:val="00DD7EA2"/>
    <w:rsid w:val="00DE00F2"/>
    <w:rsid w:val="00DE1120"/>
    <w:rsid w:val="00DE117F"/>
    <w:rsid w:val="00DE22D3"/>
    <w:rsid w:val="00DE2D17"/>
    <w:rsid w:val="00DE353C"/>
    <w:rsid w:val="00DE401C"/>
    <w:rsid w:val="00DE549C"/>
    <w:rsid w:val="00DE5510"/>
    <w:rsid w:val="00DE5954"/>
    <w:rsid w:val="00DE5EC7"/>
    <w:rsid w:val="00DE6E2F"/>
    <w:rsid w:val="00DE6F47"/>
    <w:rsid w:val="00DE6FC0"/>
    <w:rsid w:val="00DE7D13"/>
    <w:rsid w:val="00DE7DD2"/>
    <w:rsid w:val="00DF1EAE"/>
    <w:rsid w:val="00DF2AF6"/>
    <w:rsid w:val="00DF2B22"/>
    <w:rsid w:val="00DF3816"/>
    <w:rsid w:val="00DF3818"/>
    <w:rsid w:val="00DF38A2"/>
    <w:rsid w:val="00DF3F94"/>
    <w:rsid w:val="00DF4369"/>
    <w:rsid w:val="00DF4B8D"/>
    <w:rsid w:val="00DF55FC"/>
    <w:rsid w:val="00DF5970"/>
    <w:rsid w:val="00DF5B14"/>
    <w:rsid w:val="00DF63FA"/>
    <w:rsid w:val="00DF66E2"/>
    <w:rsid w:val="00E001FD"/>
    <w:rsid w:val="00E00A1C"/>
    <w:rsid w:val="00E00D60"/>
    <w:rsid w:val="00E01250"/>
    <w:rsid w:val="00E012CC"/>
    <w:rsid w:val="00E0147A"/>
    <w:rsid w:val="00E01EC7"/>
    <w:rsid w:val="00E01ECC"/>
    <w:rsid w:val="00E0220A"/>
    <w:rsid w:val="00E0220E"/>
    <w:rsid w:val="00E02961"/>
    <w:rsid w:val="00E02A1E"/>
    <w:rsid w:val="00E02B71"/>
    <w:rsid w:val="00E02DEB"/>
    <w:rsid w:val="00E03999"/>
    <w:rsid w:val="00E0399E"/>
    <w:rsid w:val="00E039F9"/>
    <w:rsid w:val="00E042A1"/>
    <w:rsid w:val="00E05E82"/>
    <w:rsid w:val="00E069E3"/>
    <w:rsid w:val="00E07425"/>
    <w:rsid w:val="00E1043E"/>
    <w:rsid w:val="00E104FA"/>
    <w:rsid w:val="00E1082A"/>
    <w:rsid w:val="00E10956"/>
    <w:rsid w:val="00E10B68"/>
    <w:rsid w:val="00E110B5"/>
    <w:rsid w:val="00E11166"/>
    <w:rsid w:val="00E12818"/>
    <w:rsid w:val="00E12887"/>
    <w:rsid w:val="00E12D39"/>
    <w:rsid w:val="00E13182"/>
    <w:rsid w:val="00E13426"/>
    <w:rsid w:val="00E141AF"/>
    <w:rsid w:val="00E14523"/>
    <w:rsid w:val="00E14972"/>
    <w:rsid w:val="00E14A89"/>
    <w:rsid w:val="00E14CB9"/>
    <w:rsid w:val="00E151F2"/>
    <w:rsid w:val="00E15383"/>
    <w:rsid w:val="00E15C82"/>
    <w:rsid w:val="00E1738C"/>
    <w:rsid w:val="00E17797"/>
    <w:rsid w:val="00E17C9D"/>
    <w:rsid w:val="00E201C0"/>
    <w:rsid w:val="00E21ABD"/>
    <w:rsid w:val="00E22775"/>
    <w:rsid w:val="00E22D28"/>
    <w:rsid w:val="00E22F81"/>
    <w:rsid w:val="00E22F87"/>
    <w:rsid w:val="00E230E3"/>
    <w:rsid w:val="00E23C97"/>
    <w:rsid w:val="00E244B0"/>
    <w:rsid w:val="00E24727"/>
    <w:rsid w:val="00E24D5F"/>
    <w:rsid w:val="00E250DB"/>
    <w:rsid w:val="00E265A7"/>
    <w:rsid w:val="00E26FC5"/>
    <w:rsid w:val="00E27B80"/>
    <w:rsid w:val="00E30EDF"/>
    <w:rsid w:val="00E31B43"/>
    <w:rsid w:val="00E31FBA"/>
    <w:rsid w:val="00E326D0"/>
    <w:rsid w:val="00E33513"/>
    <w:rsid w:val="00E33A4F"/>
    <w:rsid w:val="00E33F3E"/>
    <w:rsid w:val="00E341E5"/>
    <w:rsid w:val="00E34315"/>
    <w:rsid w:val="00E35FBC"/>
    <w:rsid w:val="00E36AAE"/>
    <w:rsid w:val="00E37198"/>
    <w:rsid w:val="00E3774C"/>
    <w:rsid w:val="00E41013"/>
    <w:rsid w:val="00E41313"/>
    <w:rsid w:val="00E41773"/>
    <w:rsid w:val="00E41ACD"/>
    <w:rsid w:val="00E42FE6"/>
    <w:rsid w:val="00E43B4A"/>
    <w:rsid w:val="00E44D25"/>
    <w:rsid w:val="00E44E78"/>
    <w:rsid w:val="00E45C40"/>
    <w:rsid w:val="00E460B6"/>
    <w:rsid w:val="00E46BD2"/>
    <w:rsid w:val="00E46CF3"/>
    <w:rsid w:val="00E473D4"/>
    <w:rsid w:val="00E474CF"/>
    <w:rsid w:val="00E513F6"/>
    <w:rsid w:val="00E51A4C"/>
    <w:rsid w:val="00E51EC6"/>
    <w:rsid w:val="00E5203E"/>
    <w:rsid w:val="00E52F3B"/>
    <w:rsid w:val="00E52F80"/>
    <w:rsid w:val="00E53BEE"/>
    <w:rsid w:val="00E53D94"/>
    <w:rsid w:val="00E53DEA"/>
    <w:rsid w:val="00E5424B"/>
    <w:rsid w:val="00E544BA"/>
    <w:rsid w:val="00E55B64"/>
    <w:rsid w:val="00E573EF"/>
    <w:rsid w:val="00E616DB"/>
    <w:rsid w:val="00E62442"/>
    <w:rsid w:val="00E627A4"/>
    <w:rsid w:val="00E62A5E"/>
    <w:rsid w:val="00E630ED"/>
    <w:rsid w:val="00E6395F"/>
    <w:rsid w:val="00E6437C"/>
    <w:rsid w:val="00E65237"/>
    <w:rsid w:val="00E66367"/>
    <w:rsid w:val="00E67862"/>
    <w:rsid w:val="00E67ADD"/>
    <w:rsid w:val="00E70ACF"/>
    <w:rsid w:val="00E70D46"/>
    <w:rsid w:val="00E712A9"/>
    <w:rsid w:val="00E713BC"/>
    <w:rsid w:val="00E72444"/>
    <w:rsid w:val="00E726A8"/>
    <w:rsid w:val="00E72D3D"/>
    <w:rsid w:val="00E72E07"/>
    <w:rsid w:val="00E72EAD"/>
    <w:rsid w:val="00E7410F"/>
    <w:rsid w:val="00E74EC5"/>
    <w:rsid w:val="00E75161"/>
    <w:rsid w:val="00E76B86"/>
    <w:rsid w:val="00E773F4"/>
    <w:rsid w:val="00E8000D"/>
    <w:rsid w:val="00E809F3"/>
    <w:rsid w:val="00E80C21"/>
    <w:rsid w:val="00E820BD"/>
    <w:rsid w:val="00E8227B"/>
    <w:rsid w:val="00E8342F"/>
    <w:rsid w:val="00E84210"/>
    <w:rsid w:val="00E844CD"/>
    <w:rsid w:val="00E847A7"/>
    <w:rsid w:val="00E84FE5"/>
    <w:rsid w:val="00E860D6"/>
    <w:rsid w:val="00E86682"/>
    <w:rsid w:val="00E86E79"/>
    <w:rsid w:val="00E87EC9"/>
    <w:rsid w:val="00E9048D"/>
    <w:rsid w:val="00E906B4"/>
    <w:rsid w:val="00E9095B"/>
    <w:rsid w:val="00E9145E"/>
    <w:rsid w:val="00E91B24"/>
    <w:rsid w:val="00E91B2B"/>
    <w:rsid w:val="00E91D76"/>
    <w:rsid w:val="00E926B8"/>
    <w:rsid w:val="00E927BF"/>
    <w:rsid w:val="00E92920"/>
    <w:rsid w:val="00E92B70"/>
    <w:rsid w:val="00E92EEF"/>
    <w:rsid w:val="00E936DA"/>
    <w:rsid w:val="00E9399B"/>
    <w:rsid w:val="00E939A7"/>
    <w:rsid w:val="00E93A27"/>
    <w:rsid w:val="00E94008"/>
    <w:rsid w:val="00E94762"/>
    <w:rsid w:val="00E94884"/>
    <w:rsid w:val="00E94BDB"/>
    <w:rsid w:val="00E95208"/>
    <w:rsid w:val="00E956BA"/>
    <w:rsid w:val="00E96B52"/>
    <w:rsid w:val="00EA0018"/>
    <w:rsid w:val="00EA08BE"/>
    <w:rsid w:val="00EA0A85"/>
    <w:rsid w:val="00EA14B0"/>
    <w:rsid w:val="00EA2244"/>
    <w:rsid w:val="00EA4DDC"/>
    <w:rsid w:val="00EA6FA7"/>
    <w:rsid w:val="00EB067F"/>
    <w:rsid w:val="00EB150C"/>
    <w:rsid w:val="00EB17BE"/>
    <w:rsid w:val="00EB1A1B"/>
    <w:rsid w:val="00EB1F02"/>
    <w:rsid w:val="00EB2A00"/>
    <w:rsid w:val="00EB2E64"/>
    <w:rsid w:val="00EB2FEF"/>
    <w:rsid w:val="00EB3290"/>
    <w:rsid w:val="00EB3F7A"/>
    <w:rsid w:val="00EB46B9"/>
    <w:rsid w:val="00EB57EA"/>
    <w:rsid w:val="00EB5BC5"/>
    <w:rsid w:val="00EB6212"/>
    <w:rsid w:val="00EB6BB5"/>
    <w:rsid w:val="00EB6E30"/>
    <w:rsid w:val="00EB6FD5"/>
    <w:rsid w:val="00EB73BC"/>
    <w:rsid w:val="00EB7618"/>
    <w:rsid w:val="00EB7A2E"/>
    <w:rsid w:val="00EB7B51"/>
    <w:rsid w:val="00EB7F93"/>
    <w:rsid w:val="00EC086C"/>
    <w:rsid w:val="00EC1720"/>
    <w:rsid w:val="00EC2DB7"/>
    <w:rsid w:val="00EC337D"/>
    <w:rsid w:val="00EC42D0"/>
    <w:rsid w:val="00EC4AF6"/>
    <w:rsid w:val="00EC5256"/>
    <w:rsid w:val="00EC549A"/>
    <w:rsid w:val="00EC57B0"/>
    <w:rsid w:val="00EC5D33"/>
    <w:rsid w:val="00EC638F"/>
    <w:rsid w:val="00EC68BF"/>
    <w:rsid w:val="00EC7927"/>
    <w:rsid w:val="00ED095E"/>
    <w:rsid w:val="00ED1A0B"/>
    <w:rsid w:val="00ED27DD"/>
    <w:rsid w:val="00ED312F"/>
    <w:rsid w:val="00ED31E5"/>
    <w:rsid w:val="00ED4CA3"/>
    <w:rsid w:val="00ED4E9C"/>
    <w:rsid w:val="00ED5162"/>
    <w:rsid w:val="00ED697C"/>
    <w:rsid w:val="00EE06CA"/>
    <w:rsid w:val="00EE1E0C"/>
    <w:rsid w:val="00EE43AD"/>
    <w:rsid w:val="00EE4874"/>
    <w:rsid w:val="00EE48D6"/>
    <w:rsid w:val="00EE4A6E"/>
    <w:rsid w:val="00EE4AB9"/>
    <w:rsid w:val="00EE4BAB"/>
    <w:rsid w:val="00EE4D3B"/>
    <w:rsid w:val="00EE511D"/>
    <w:rsid w:val="00EE6FC6"/>
    <w:rsid w:val="00EE7922"/>
    <w:rsid w:val="00EE79A6"/>
    <w:rsid w:val="00EF11DF"/>
    <w:rsid w:val="00EF130D"/>
    <w:rsid w:val="00EF2E26"/>
    <w:rsid w:val="00EF30E0"/>
    <w:rsid w:val="00EF3A81"/>
    <w:rsid w:val="00EF3D05"/>
    <w:rsid w:val="00EF42CF"/>
    <w:rsid w:val="00EF45D8"/>
    <w:rsid w:val="00EF5403"/>
    <w:rsid w:val="00EF567D"/>
    <w:rsid w:val="00EF5B08"/>
    <w:rsid w:val="00EF5F11"/>
    <w:rsid w:val="00EF5FA8"/>
    <w:rsid w:val="00EF6111"/>
    <w:rsid w:val="00EF6CFA"/>
    <w:rsid w:val="00F005A0"/>
    <w:rsid w:val="00F01835"/>
    <w:rsid w:val="00F01891"/>
    <w:rsid w:val="00F01DE9"/>
    <w:rsid w:val="00F0229D"/>
    <w:rsid w:val="00F02B1B"/>
    <w:rsid w:val="00F0322F"/>
    <w:rsid w:val="00F032BB"/>
    <w:rsid w:val="00F032C8"/>
    <w:rsid w:val="00F03522"/>
    <w:rsid w:val="00F03567"/>
    <w:rsid w:val="00F03DD3"/>
    <w:rsid w:val="00F04BBE"/>
    <w:rsid w:val="00F0580C"/>
    <w:rsid w:val="00F06616"/>
    <w:rsid w:val="00F07485"/>
    <w:rsid w:val="00F07EDE"/>
    <w:rsid w:val="00F10BC6"/>
    <w:rsid w:val="00F11352"/>
    <w:rsid w:val="00F11AD0"/>
    <w:rsid w:val="00F12313"/>
    <w:rsid w:val="00F13D34"/>
    <w:rsid w:val="00F14308"/>
    <w:rsid w:val="00F14602"/>
    <w:rsid w:val="00F1498D"/>
    <w:rsid w:val="00F14DDF"/>
    <w:rsid w:val="00F152AD"/>
    <w:rsid w:val="00F15BA3"/>
    <w:rsid w:val="00F15D52"/>
    <w:rsid w:val="00F165B7"/>
    <w:rsid w:val="00F1722F"/>
    <w:rsid w:val="00F20C9C"/>
    <w:rsid w:val="00F21827"/>
    <w:rsid w:val="00F21A00"/>
    <w:rsid w:val="00F2285F"/>
    <w:rsid w:val="00F23155"/>
    <w:rsid w:val="00F23EE4"/>
    <w:rsid w:val="00F24236"/>
    <w:rsid w:val="00F24E0E"/>
    <w:rsid w:val="00F2525F"/>
    <w:rsid w:val="00F25504"/>
    <w:rsid w:val="00F25707"/>
    <w:rsid w:val="00F26693"/>
    <w:rsid w:val="00F26A13"/>
    <w:rsid w:val="00F26CEB"/>
    <w:rsid w:val="00F27D3B"/>
    <w:rsid w:val="00F30F7A"/>
    <w:rsid w:val="00F3106C"/>
    <w:rsid w:val="00F31261"/>
    <w:rsid w:val="00F31334"/>
    <w:rsid w:val="00F31BB3"/>
    <w:rsid w:val="00F31C67"/>
    <w:rsid w:val="00F323C3"/>
    <w:rsid w:val="00F32A15"/>
    <w:rsid w:val="00F32C93"/>
    <w:rsid w:val="00F32EE6"/>
    <w:rsid w:val="00F32F3C"/>
    <w:rsid w:val="00F339EC"/>
    <w:rsid w:val="00F33D3D"/>
    <w:rsid w:val="00F3414F"/>
    <w:rsid w:val="00F3443B"/>
    <w:rsid w:val="00F34FDD"/>
    <w:rsid w:val="00F35279"/>
    <w:rsid w:val="00F35CC2"/>
    <w:rsid w:val="00F35F1A"/>
    <w:rsid w:val="00F36130"/>
    <w:rsid w:val="00F36278"/>
    <w:rsid w:val="00F3644F"/>
    <w:rsid w:val="00F36B71"/>
    <w:rsid w:val="00F373AE"/>
    <w:rsid w:val="00F37D22"/>
    <w:rsid w:val="00F4032F"/>
    <w:rsid w:val="00F40360"/>
    <w:rsid w:val="00F40444"/>
    <w:rsid w:val="00F40CE6"/>
    <w:rsid w:val="00F40EC2"/>
    <w:rsid w:val="00F41B59"/>
    <w:rsid w:val="00F42099"/>
    <w:rsid w:val="00F423BD"/>
    <w:rsid w:val="00F42AFB"/>
    <w:rsid w:val="00F42ED8"/>
    <w:rsid w:val="00F431C5"/>
    <w:rsid w:val="00F432FF"/>
    <w:rsid w:val="00F433C2"/>
    <w:rsid w:val="00F4457F"/>
    <w:rsid w:val="00F44B9C"/>
    <w:rsid w:val="00F456D2"/>
    <w:rsid w:val="00F45B08"/>
    <w:rsid w:val="00F46431"/>
    <w:rsid w:val="00F46523"/>
    <w:rsid w:val="00F469AD"/>
    <w:rsid w:val="00F46B4B"/>
    <w:rsid w:val="00F4715C"/>
    <w:rsid w:val="00F47C9F"/>
    <w:rsid w:val="00F5070F"/>
    <w:rsid w:val="00F50CE8"/>
    <w:rsid w:val="00F51361"/>
    <w:rsid w:val="00F52330"/>
    <w:rsid w:val="00F525CE"/>
    <w:rsid w:val="00F54603"/>
    <w:rsid w:val="00F54772"/>
    <w:rsid w:val="00F54869"/>
    <w:rsid w:val="00F556B2"/>
    <w:rsid w:val="00F56024"/>
    <w:rsid w:val="00F565E8"/>
    <w:rsid w:val="00F56CB4"/>
    <w:rsid w:val="00F5754B"/>
    <w:rsid w:val="00F576DE"/>
    <w:rsid w:val="00F57747"/>
    <w:rsid w:val="00F578BC"/>
    <w:rsid w:val="00F633F1"/>
    <w:rsid w:val="00F63BF7"/>
    <w:rsid w:val="00F6453E"/>
    <w:rsid w:val="00F65215"/>
    <w:rsid w:val="00F655C6"/>
    <w:rsid w:val="00F65617"/>
    <w:rsid w:val="00F65A88"/>
    <w:rsid w:val="00F66494"/>
    <w:rsid w:val="00F66E76"/>
    <w:rsid w:val="00F700B9"/>
    <w:rsid w:val="00F7011F"/>
    <w:rsid w:val="00F710BE"/>
    <w:rsid w:val="00F71BF5"/>
    <w:rsid w:val="00F72016"/>
    <w:rsid w:val="00F72C08"/>
    <w:rsid w:val="00F72DAD"/>
    <w:rsid w:val="00F736D2"/>
    <w:rsid w:val="00F74CEE"/>
    <w:rsid w:val="00F7564C"/>
    <w:rsid w:val="00F759AD"/>
    <w:rsid w:val="00F76220"/>
    <w:rsid w:val="00F769BE"/>
    <w:rsid w:val="00F7735C"/>
    <w:rsid w:val="00F77BD5"/>
    <w:rsid w:val="00F8108B"/>
    <w:rsid w:val="00F82D85"/>
    <w:rsid w:val="00F82E6B"/>
    <w:rsid w:val="00F83662"/>
    <w:rsid w:val="00F838C0"/>
    <w:rsid w:val="00F85F83"/>
    <w:rsid w:val="00F86374"/>
    <w:rsid w:val="00F86739"/>
    <w:rsid w:val="00F87E7F"/>
    <w:rsid w:val="00F90D75"/>
    <w:rsid w:val="00F91049"/>
    <w:rsid w:val="00F912FD"/>
    <w:rsid w:val="00F91D43"/>
    <w:rsid w:val="00F92B65"/>
    <w:rsid w:val="00F9367F"/>
    <w:rsid w:val="00F9512B"/>
    <w:rsid w:val="00F95411"/>
    <w:rsid w:val="00F9619C"/>
    <w:rsid w:val="00F96339"/>
    <w:rsid w:val="00F9759C"/>
    <w:rsid w:val="00F97859"/>
    <w:rsid w:val="00F97973"/>
    <w:rsid w:val="00F97B71"/>
    <w:rsid w:val="00FA06A3"/>
    <w:rsid w:val="00FA0E23"/>
    <w:rsid w:val="00FA1506"/>
    <w:rsid w:val="00FA230F"/>
    <w:rsid w:val="00FA2CFC"/>
    <w:rsid w:val="00FA2DDA"/>
    <w:rsid w:val="00FA34CA"/>
    <w:rsid w:val="00FA3E3E"/>
    <w:rsid w:val="00FA4A55"/>
    <w:rsid w:val="00FA4D4F"/>
    <w:rsid w:val="00FA54E8"/>
    <w:rsid w:val="00FA595E"/>
    <w:rsid w:val="00FA5FE8"/>
    <w:rsid w:val="00FA668B"/>
    <w:rsid w:val="00FA67CF"/>
    <w:rsid w:val="00FA6F6C"/>
    <w:rsid w:val="00FA7659"/>
    <w:rsid w:val="00FA7F6F"/>
    <w:rsid w:val="00FB10EC"/>
    <w:rsid w:val="00FB2D17"/>
    <w:rsid w:val="00FB2F69"/>
    <w:rsid w:val="00FB368B"/>
    <w:rsid w:val="00FB3A3A"/>
    <w:rsid w:val="00FB4217"/>
    <w:rsid w:val="00FB4379"/>
    <w:rsid w:val="00FB45FF"/>
    <w:rsid w:val="00FB542A"/>
    <w:rsid w:val="00FB55D8"/>
    <w:rsid w:val="00FB5D97"/>
    <w:rsid w:val="00FB61EA"/>
    <w:rsid w:val="00FB6C7A"/>
    <w:rsid w:val="00FB732E"/>
    <w:rsid w:val="00FB79F7"/>
    <w:rsid w:val="00FC09E7"/>
    <w:rsid w:val="00FC1CA5"/>
    <w:rsid w:val="00FC1D8E"/>
    <w:rsid w:val="00FC24EB"/>
    <w:rsid w:val="00FC2733"/>
    <w:rsid w:val="00FC2979"/>
    <w:rsid w:val="00FC5041"/>
    <w:rsid w:val="00FC5407"/>
    <w:rsid w:val="00FC5615"/>
    <w:rsid w:val="00FC6D6C"/>
    <w:rsid w:val="00FC6E91"/>
    <w:rsid w:val="00FC71A8"/>
    <w:rsid w:val="00FD1BEF"/>
    <w:rsid w:val="00FD1C3C"/>
    <w:rsid w:val="00FD24F6"/>
    <w:rsid w:val="00FD2DB1"/>
    <w:rsid w:val="00FD38A8"/>
    <w:rsid w:val="00FD3A23"/>
    <w:rsid w:val="00FD5348"/>
    <w:rsid w:val="00FD6AC8"/>
    <w:rsid w:val="00FD6ADD"/>
    <w:rsid w:val="00FE06DF"/>
    <w:rsid w:val="00FE0A6C"/>
    <w:rsid w:val="00FE1727"/>
    <w:rsid w:val="00FE1738"/>
    <w:rsid w:val="00FE225B"/>
    <w:rsid w:val="00FE326E"/>
    <w:rsid w:val="00FE3638"/>
    <w:rsid w:val="00FE3D09"/>
    <w:rsid w:val="00FE3EA1"/>
    <w:rsid w:val="00FE4818"/>
    <w:rsid w:val="00FE4CA4"/>
    <w:rsid w:val="00FE5AE4"/>
    <w:rsid w:val="00FE5D80"/>
    <w:rsid w:val="00FE637F"/>
    <w:rsid w:val="00FE64EE"/>
    <w:rsid w:val="00FE73F7"/>
    <w:rsid w:val="00FE745E"/>
    <w:rsid w:val="00FE7865"/>
    <w:rsid w:val="00FF05DE"/>
    <w:rsid w:val="00FF06C4"/>
    <w:rsid w:val="00FF0BB0"/>
    <w:rsid w:val="00FF1342"/>
    <w:rsid w:val="00FF1513"/>
    <w:rsid w:val="00FF1577"/>
    <w:rsid w:val="00FF17DD"/>
    <w:rsid w:val="00FF2145"/>
    <w:rsid w:val="00FF314D"/>
    <w:rsid w:val="00FF3334"/>
    <w:rsid w:val="00FF4946"/>
    <w:rsid w:val="00FF50AB"/>
    <w:rsid w:val="00FF54A3"/>
    <w:rsid w:val="00FF5733"/>
    <w:rsid w:val="00FF59BE"/>
    <w:rsid w:val="00FF5BA7"/>
    <w:rsid w:val="00FF6267"/>
    <w:rsid w:val="00FF64CC"/>
    <w:rsid w:val="00FF6ADB"/>
    <w:rsid w:val="00FF6C36"/>
    <w:rsid w:val="00FF6F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ECB3844A-0A3C-4DC1-A45C-2212F7979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paragraph" w:styleId="40">
    <w:name w:val="heading 4"/>
    <w:basedOn w:val="a"/>
    <w:next w:val="a"/>
    <w:link w:val="4Char"/>
    <w:unhideWhenUsed/>
    <w:qFormat/>
    <w:locked/>
    <w:rsid w:val="0091064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4">
    <w:name w:val="Balloon Text"/>
    <w:basedOn w:val="a"/>
    <w:link w:val="Char"/>
    <w:uiPriority w:val="99"/>
    <w:semiHidden/>
    <w:rsid w:val="00FB732E"/>
    <w:rPr>
      <w:sz w:val="18"/>
      <w:szCs w:val="18"/>
    </w:rPr>
  </w:style>
  <w:style w:type="character" w:customStyle="1" w:styleId="Char">
    <w:name w:val="批注框文本 Char"/>
    <w:link w:val="a4"/>
    <w:uiPriority w:val="99"/>
    <w:semiHidden/>
    <w:locked/>
    <w:rsid w:val="006D141C"/>
    <w:rPr>
      <w:rFonts w:cs="Times New Roman"/>
      <w:kern w:val="2"/>
      <w:sz w:val="18"/>
      <w:szCs w:val="18"/>
    </w:rPr>
  </w:style>
  <w:style w:type="paragraph" w:styleId="a0">
    <w:name w:val="Normal Indent"/>
    <w:basedOn w:val="a"/>
    <w:uiPriority w:val="99"/>
    <w:rsid w:val="00FB732E"/>
    <w:pPr>
      <w:ind w:firstLineChars="200" w:firstLine="420"/>
    </w:pPr>
  </w:style>
  <w:style w:type="paragraph" w:styleId="a5">
    <w:name w:val="Body Text Indent"/>
    <w:basedOn w:val="a"/>
    <w:link w:val="Char0"/>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0">
    <w:name w:val="正文文本缩进 Char"/>
    <w:link w:val="a5"/>
    <w:uiPriority w:val="99"/>
    <w:locked/>
    <w:rsid w:val="006D141C"/>
    <w:rPr>
      <w:rFonts w:ascii="Arial Unicode MS" w:eastAsia="Times New Roman" w:hAnsi="Arial Unicode MS" w:cs="Arial Unicode MS"/>
      <w:sz w:val="24"/>
      <w:szCs w:val="24"/>
    </w:rPr>
  </w:style>
  <w:style w:type="paragraph" w:styleId="a6">
    <w:name w:val="Plain Text"/>
    <w:basedOn w:val="a"/>
    <w:link w:val="Char1"/>
    <w:uiPriority w:val="99"/>
    <w:rsid w:val="00FB732E"/>
    <w:rPr>
      <w:rFonts w:ascii="宋体" w:hAnsi="Courier New"/>
      <w:szCs w:val="21"/>
    </w:rPr>
  </w:style>
  <w:style w:type="character" w:customStyle="1" w:styleId="Char1">
    <w:name w:val="纯文本 Char"/>
    <w:link w:val="a6"/>
    <w:uiPriority w:val="99"/>
    <w:locked/>
    <w:rsid w:val="00586E9A"/>
    <w:rPr>
      <w:rFonts w:ascii="宋体" w:hAnsi="Courier New"/>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uiPriority w:val="99"/>
    <w:locked/>
    <w:rsid w:val="006D141C"/>
    <w:rPr>
      <w:rFonts w:ascii="宋体" w:eastAsia="宋体" w:cs="Times New Roman"/>
      <w:color w:val="FF0000"/>
      <w:kern w:val="2"/>
      <w:sz w:val="24"/>
      <w:szCs w:val="24"/>
    </w:rPr>
  </w:style>
  <w:style w:type="paragraph" w:styleId="a7">
    <w:name w:val="footer"/>
    <w:basedOn w:val="a"/>
    <w:link w:val="Char2"/>
    <w:uiPriority w:val="99"/>
    <w:rsid w:val="00FB732E"/>
    <w:pPr>
      <w:tabs>
        <w:tab w:val="center" w:pos="4153"/>
        <w:tab w:val="right" w:pos="8306"/>
      </w:tabs>
      <w:snapToGrid w:val="0"/>
      <w:jc w:val="left"/>
    </w:pPr>
    <w:rPr>
      <w:sz w:val="18"/>
      <w:szCs w:val="18"/>
    </w:rPr>
  </w:style>
  <w:style w:type="character" w:customStyle="1" w:styleId="Char2">
    <w:name w:val="页脚 Char"/>
    <w:link w:val="a7"/>
    <w:uiPriority w:val="99"/>
    <w:locked/>
    <w:rsid w:val="006D141C"/>
    <w:rPr>
      <w:rFonts w:cs="Times New Roman"/>
      <w:kern w:val="2"/>
      <w:sz w:val="18"/>
      <w:szCs w:val="18"/>
    </w:rPr>
  </w:style>
  <w:style w:type="character" w:styleId="a8">
    <w:name w:val="page number"/>
    <w:uiPriority w:val="99"/>
    <w:rsid w:val="00FB732E"/>
    <w:rPr>
      <w:rFonts w:cs="Times New Roman"/>
    </w:rPr>
  </w:style>
  <w:style w:type="character" w:styleId="a9">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a">
    <w:name w:val="header"/>
    <w:basedOn w:val="a"/>
    <w:link w:val="Char3"/>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3">
    <w:name w:val="页眉 Char"/>
    <w:link w:val="aa"/>
    <w:uiPriority w:val="99"/>
    <w:locked/>
    <w:rsid w:val="006D141C"/>
    <w:rPr>
      <w:rFonts w:cs="Times New Roman"/>
      <w:kern w:val="2"/>
      <w:sz w:val="18"/>
      <w:szCs w:val="18"/>
    </w:rPr>
  </w:style>
  <w:style w:type="character" w:styleId="ab">
    <w:name w:val="FollowedHyperlink"/>
    <w:uiPriority w:val="99"/>
    <w:rsid w:val="00FB732E"/>
    <w:rPr>
      <w:rFonts w:cs="Times New Roman"/>
      <w:color w:val="800080"/>
      <w:u w:val="single"/>
    </w:rPr>
  </w:style>
  <w:style w:type="paragraph" w:styleId="ac">
    <w:name w:val="List"/>
    <w:basedOn w:val="ad"/>
    <w:uiPriority w:val="99"/>
    <w:rsid w:val="00FB732E"/>
    <w:pPr>
      <w:spacing w:after="220" w:line="220" w:lineRule="atLeast"/>
      <w:ind w:left="1440" w:hanging="360"/>
    </w:pPr>
    <w:rPr>
      <w:szCs w:val="20"/>
    </w:rPr>
  </w:style>
  <w:style w:type="paragraph" w:styleId="ad">
    <w:name w:val="Body Text"/>
    <w:basedOn w:val="a"/>
    <w:link w:val="Char4"/>
    <w:uiPriority w:val="99"/>
    <w:rsid w:val="00FB732E"/>
    <w:pPr>
      <w:spacing w:after="120"/>
    </w:pPr>
  </w:style>
  <w:style w:type="character" w:customStyle="1" w:styleId="Char4">
    <w:name w:val="正文文本 Char"/>
    <w:link w:val="ad"/>
    <w:uiPriority w:val="99"/>
    <w:locked/>
    <w:rsid w:val="006D141C"/>
    <w:rPr>
      <w:rFonts w:cs="Times New Roman"/>
      <w:kern w:val="2"/>
      <w:sz w:val="24"/>
      <w:szCs w:val="24"/>
    </w:rPr>
  </w:style>
  <w:style w:type="paragraph" w:styleId="ae">
    <w:name w:val="Date"/>
    <w:basedOn w:val="a"/>
    <w:next w:val="a"/>
    <w:link w:val="Char5"/>
    <w:uiPriority w:val="99"/>
    <w:rsid w:val="00FB732E"/>
    <w:rPr>
      <w:sz w:val="24"/>
      <w:szCs w:val="20"/>
    </w:rPr>
  </w:style>
  <w:style w:type="character" w:customStyle="1" w:styleId="Char5">
    <w:name w:val="日期 Char"/>
    <w:link w:val="ae"/>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semiHidden/>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link w:val="2Char1"/>
    <w:autoRedefine/>
    <w:uiPriority w:val="39"/>
    <w:qFormat/>
    <w:rsid w:val="003D3725"/>
    <w:pPr>
      <w:tabs>
        <w:tab w:val="left" w:pos="1260"/>
        <w:tab w:val="right" w:leader="dot" w:pos="9072"/>
      </w:tabs>
      <w:ind w:leftChars="200" w:left="20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937FC6"/>
    <w:pPr>
      <w:tabs>
        <w:tab w:val="left" w:pos="420"/>
        <w:tab w:val="right" w:leader="dot" w:pos="9072"/>
      </w:tabs>
    </w:pPr>
  </w:style>
  <w:style w:type="paragraph" w:styleId="32">
    <w:name w:val="toc 3"/>
    <w:basedOn w:val="a"/>
    <w:next w:val="a"/>
    <w:autoRedefine/>
    <w:uiPriority w:val="99"/>
    <w:semiHidden/>
    <w:qFormat/>
    <w:rsid w:val="003D3725"/>
    <w:pPr>
      <w:ind w:leftChars="400" w:left="40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styleId="TOC">
    <w:name w:val="TOC Heading"/>
    <w:basedOn w:val="1"/>
    <w:next w:val="a"/>
    <w:uiPriority w:val="99"/>
    <w:qFormat/>
    <w:rsid w:val="00B60A44"/>
    <w:pPr>
      <w:keepNext/>
      <w:keepLines/>
      <w:spacing w:before="480" w:line="276" w:lineRule="auto"/>
      <w:outlineLvl w:val="9"/>
    </w:pPr>
    <w:rPr>
      <w:rFonts w:ascii="Cambria" w:hAnsi="Cambria"/>
      <w:b/>
      <w:bCs/>
      <w:color w:val="365F91"/>
      <w:sz w:val="28"/>
      <w:szCs w:val="28"/>
      <w:lang w:val="en-US"/>
    </w:rPr>
  </w:style>
  <w:style w:type="numbering" w:customStyle="1" w:styleId="5">
    <w:name w:val="样式5"/>
    <w:rsid w:val="00CB660F"/>
    <w:pPr>
      <w:numPr>
        <w:numId w:val="8"/>
      </w:numPr>
    </w:pPr>
  </w:style>
  <w:style w:type="numbering" w:customStyle="1" w:styleId="3">
    <w:name w:val="样式3"/>
    <w:rsid w:val="00CB660F"/>
    <w:pPr>
      <w:numPr>
        <w:numId w:val="7"/>
      </w:numPr>
    </w:pPr>
  </w:style>
  <w:style w:type="numbering" w:customStyle="1" w:styleId="4">
    <w:name w:val="样式4"/>
    <w:rsid w:val="00CB660F"/>
    <w:pPr>
      <w:numPr>
        <w:numId w:val="9"/>
      </w:numPr>
    </w:pPr>
  </w:style>
  <w:style w:type="numbering" w:customStyle="1" w:styleId="2">
    <w:name w:val="样式2"/>
    <w:rsid w:val="00CB660F"/>
    <w:pPr>
      <w:numPr>
        <w:numId w:val="16"/>
      </w:numPr>
    </w:pPr>
  </w:style>
  <w:style w:type="character" w:styleId="af8">
    <w:name w:val="Strong"/>
    <w:basedOn w:val="a1"/>
    <w:uiPriority w:val="22"/>
    <w:qFormat/>
    <w:locked/>
    <w:rsid w:val="00490561"/>
    <w:rPr>
      <w:b/>
      <w:bCs/>
    </w:rPr>
  </w:style>
  <w:style w:type="paragraph" w:customStyle="1" w:styleId="af9">
    <w:name w:val="目录模式"/>
    <w:basedOn w:val="22"/>
    <w:link w:val="Charb"/>
    <w:qFormat/>
    <w:rsid w:val="00F655C6"/>
    <w:rPr>
      <w:rFonts w:ascii="宋体" w:hAnsi="宋体"/>
      <w:noProof/>
      <w:szCs w:val="24"/>
    </w:rPr>
  </w:style>
  <w:style w:type="paragraph" w:customStyle="1" w:styleId="12">
    <w:name w:val="样式1"/>
    <w:basedOn w:val="22"/>
    <w:link w:val="1Char0"/>
    <w:autoRedefine/>
    <w:qFormat/>
    <w:rsid w:val="00F655C6"/>
    <w:rPr>
      <w:rFonts w:ascii="宋体" w:hAnsi="宋体"/>
      <w:noProof/>
      <w:szCs w:val="24"/>
    </w:rPr>
  </w:style>
  <w:style w:type="character" w:customStyle="1" w:styleId="2Char1">
    <w:name w:val="目录 2 Char"/>
    <w:basedOn w:val="a1"/>
    <w:link w:val="22"/>
    <w:uiPriority w:val="99"/>
    <w:rsid w:val="003D3725"/>
    <w:rPr>
      <w:sz w:val="21"/>
      <w:szCs w:val="21"/>
    </w:rPr>
  </w:style>
  <w:style w:type="character" w:customStyle="1" w:styleId="Charb">
    <w:name w:val="目录模式 Char"/>
    <w:basedOn w:val="2Char1"/>
    <w:link w:val="af9"/>
    <w:rsid w:val="00F655C6"/>
    <w:rPr>
      <w:rFonts w:ascii="宋体" w:hAnsi="宋体"/>
      <w:noProof/>
      <w:sz w:val="24"/>
      <w:szCs w:val="24"/>
    </w:rPr>
  </w:style>
  <w:style w:type="character" w:customStyle="1" w:styleId="1Char0">
    <w:name w:val="样式1 Char"/>
    <w:basedOn w:val="2Char1"/>
    <w:link w:val="12"/>
    <w:rsid w:val="00F655C6"/>
    <w:rPr>
      <w:rFonts w:ascii="宋体" w:hAnsi="宋体"/>
      <w:noProof/>
      <w:sz w:val="24"/>
      <w:szCs w:val="24"/>
    </w:rPr>
  </w:style>
  <w:style w:type="character" w:customStyle="1" w:styleId="4Char">
    <w:name w:val="标题 4 Char"/>
    <w:basedOn w:val="a1"/>
    <w:link w:val="40"/>
    <w:rsid w:val="00910642"/>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123387">
      <w:marLeft w:val="0"/>
      <w:marRight w:val="0"/>
      <w:marTop w:val="0"/>
      <w:marBottom w:val="0"/>
      <w:divBdr>
        <w:top w:val="none" w:sz="0" w:space="0" w:color="auto"/>
        <w:left w:val="none" w:sz="0" w:space="0" w:color="auto"/>
        <w:bottom w:val="none" w:sz="0" w:space="0" w:color="auto"/>
        <w:right w:val="none" w:sz="0" w:space="0" w:color="auto"/>
      </w:divBdr>
    </w:div>
    <w:div w:id="213123388">
      <w:marLeft w:val="0"/>
      <w:marRight w:val="0"/>
      <w:marTop w:val="0"/>
      <w:marBottom w:val="0"/>
      <w:divBdr>
        <w:top w:val="none" w:sz="0" w:space="0" w:color="auto"/>
        <w:left w:val="none" w:sz="0" w:space="0" w:color="auto"/>
        <w:bottom w:val="none" w:sz="0" w:space="0" w:color="auto"/>
        <w:right w:val="none" w:sz="0" w:space="0" w:color="auto"/>
      </w:divBdr>
    </w:div>
    <w:div w:id="213123389">
      <w:marLeft w:val="0"/>
      <w:marRight w:val="0"/>
      <w:marTop w:val="0"/>
      <w:marBottom w:val="0"/>
      <w:divBdr>
        <w:top w:val="none" w:sz="0" w:space="0" w:color="auto"/>
        <w:left w:val="none" w:sz="0" w:space="0" w:color="auto"/>
        <w:bottom w:val="none" w:sz="0" w:space="0" w:color="auto"/>
        <w:right w:val="none" w:sz="0" w:space="0" w:color="auto"/>
      </w:divBdr>
    </w:div>
    <w:div w:id="213123390">
      <w:marLeft w:val="0"/>
      <w:marRight w:val="0"/>
      <w:marTop w:val="0"/>
      <w:marBottom w:val="0"/>
      <w:divBdr>
        <w:top w:val="none" w:sz="0" w:space="0" w:color="auto"/>
        <w:left w:val="none" w:sz="0" w:space="0" w:color="auto"/>
        <w:bottom w:val="none" w:sz="0" w:space="0" w:color="auto"/>
        <w:right w:val="none" w:sz="0" w:space="0" w:color="auto"/>
      </w:divBdr>
    </w:div>
    <w:div w:id="213123391">
      <w:marLeft w:val="0"/>
      <w:marRight w:val="0"/>
      <w:marTop w:val="0"/>
      <w:marBottom w:val="0"/>
      <w:divBdr>
        <w:top w:val="none" w:sz="0" w:space="0" w:color="auto"/>
        <w:left w:val="none" w:sz="0" w:space="0" w:color="auto"/>
        <w:bottom w:val="none" w:sz="0" w:space="0" w:color="auto"/>
        <w:right w:val="none" w:sz="0" w:space="0" w:color="auto"/>
      </w:divBdr>
    </w:div>
    <w:div w:id="213123392">
      <w:marLeft w:val="0"/>
      <w:marRight w:val="0"/>
      <w:marTop w:val="0"/>
      <w:marBottom w:val="0"/>
      <w:divBdr>
        <w:top w:val="none" w:sz="0" w:space="0" w:color="auto"/>
        <w:left w:val="none" w:sz="0" w:space="0" w:color="auto"/>
        <w:bottom w:val="none" w:sz="0" w:space="0" w:color="auto"/>
        <w:right w:val="none" w:sz="0" w:space="0" w:color="auto"/>
      </w:divBdr>
    </w:div>
    <w:div w:id="213123393">
      <w:marLeft w:val="0"/>
      <w:marRight w:val="0"/>
      <w:marTop w:val="0"/>
      <w:marBottom w:val="0"/>
      <w:divBdr>
        <w:top w:val="none" w:sz="0" w:space="0" w:color="auto"/>
        <w:left w:val="none" w:sz="0" w:space="0" w:color="auto"/>
        <w:bottom w:val="none" w:sz="0" w:space="0" w:color="auto"/>
        <w:right w:val="none" w:sz="0" w:space="0" w:color="auto"/>
      </w:divBdr>
    </w:div>
    <w:div w:id="213123394">
      <w:marLeft w:val="0"/>
      <w:marRight w:val="0"/>
      <w:marTop w:val="0"/>
      <w:marBottom w:val="0"/>
      <w:divBdr>
        <w:top w:val="none" w:sz="0" w:space="0" w:color="auto"/>
        <w:left w:val="none" w:sz="0" w:space="0" w:color="auto"/>
        <w:bottom w:val="none" w:sz="0" w:space="0" w:color="auto"/>
        <w:right w:val="none" w:sz="0" w:space="0" w:color="auto"/>
      </w:divBdr>
    </w:div>
    <w:div w:id="213123395">
      <w:marLeft w:val="0"/>
      <w:marRight w:val="0"/>
      <w:marTop w:val="0"/>
      <w:marBottom w:val="0"/>
      <w:divBdr>
        <w:top w:val="none" w:sz="0" w:space="0" w:color="auto"/>
        <w:left w:val="none" w:sz="0" w:space="0" w:color="auto"/>
        <w:bottom w:val="none" w:sz="0" w:space="0" w:color="auto"/>
        <w:right w:val="none" w:sz="0" w:space="0" w:color="auto"/>
      </w:divBdr>
    </w:div>
    <w:div w:id="213123396">
      <w:marLeft w:val="0"/>
      <w:marRight w:val="0"/>
      <w:marTop w:val="0"/>
      <w:marBottom w:val="0"/>
      <w:divBdr>
        <w:top w:val="none" w:sz="0" w:space="0" w:color="auto"/>
        <w:left w:val="none" w:sz="0" w:space="0" w:color="auto"/>
        <w:bottom w:val="none" w:sz="0" w:space="0" w:color="auto"/>
        <w:right w:val="none" w:sz="0" w:space="0" w:color="auto"/>
      </w:divBdr>
    </w:div>
    <w:div w:id="213123397">
      <w:marLeft w:val="0"/>
      <w:marRight w:val="0"/>
      <w:marTop w:val="0"/>
      <w:marBottom w:val="0"/>
      <w:divBdr>
        <w:top w:val="none" w:sz="0" w:space="0" w:color="auto"/>
        <w:left w:val="none" w:sz="0" w:space="0" w:color="auto"/>
        <w:bottom w:val="none" w:sz="0" w:space="0" w:color="auto"/>
        <w:right w:val="none" w:sz="0" w:space="0" w:color="auto"/>
      </w:divBdr>
    </w:div>
    <w:div w:id="213123398">
      <w:marLeft w:val="0"/>
      <w:marRight w:val="0"/>
      <w:marTop w:val="0"/>
      <w:marBottom w:val="0"/>
      <w:divBdr>
        <w:top w:val="none" w:sz="0" w:space="0" w:color="auto"/>
        <w:left w:val="none" w:sz="0" w:space="0" w:color="auto"/>
        <w:bottom w:val="none" w:sz="0" w:space="0" w:color="auto"/>
        <w:right w:val="none" w:sz="0" w:space="0" w:color="auto"/>
      </w:divBdr>
    </w:div>
    <w:div w:id="213123399">
      <w:marLeft w:val="0"/>
      <w:marRight w:val="0"/>
      <w:marTop w:val="0"/>
      <w:marBottom w:val="0"/>
      <w:divBdr>
        <w:top w:val="none" w:sz="0" w:space="0" w:color="auto"/>
        <w:left w:val="none" w:sz="0" w:space="0" w:color="auto"/>
        <w:bottom w:val="none" w:sz="0" w:space="0" w:color="auto"/>
        <w:right w:val="none" w:sz="0" w:space="0" w:color="auto"/>
      </w:divBdr>
    </w:div>
    <w:div w:id="213123400">
      <w:marLeft w:val="0"/>
      <w:marRight w:val="0"/>
      <w:marTop w:val="0"/>
      <w:marBottom w:val="0"/>
      <w:divBdr>
        <w:top w:val="none" w:sz="0" w:space="0" w:color="auto"/>
        <w:left w:val="none" w:sz="0" w:space="0" w:color="auto"/>
        <w:bottom w:val="none" w:sz="0" w:space="0" w:color="auto"/>
        <w:right w:val="none" w:sz="0" w:space="0" w:color="auto"/>
      </w:divBdr>
    </w:div>
    <w:div w:id="213123401">
      <w:marLeft w:val="0"/>
      <w:marRight w:val="0"/>
      <w:marTop w:val="0"/>
      <w:marBottom w:val="0"/>
      <w:divBdr>
        <w:top w:val="none" w:sz="0" w:space="0" w:color="auto"/>
        <w:left w:val="none" w:sz="0" w:space="0" w:color="auto"/>
        <w:bottom w:val="none" w:sz="0" w:space="0" w:color="auto"/>
        <w:right w:val="none" w:sz="0" w:space="0" w:color="auto"/>
      </w:divBdr>
    </w:div>
    <w:div w:id="213123402">
      <w:marLeft w:val="0"/>
      <w:marRight w:val="0"/>
      <w:marTop w:val="0"/>
      <w:marBottom w:val="0"/>
      <w:divBdr>
        <w:top w:val="none" w:sz="0" w:space="0" w:color="auto"/>
        <w:left w:val="none" w:sz="0" w:space="0" w:color="auto"/>
        <w:bottom w:val="none" w:sz="0" w:space="0" w:color="auto"/>
        <w:right w:val="none" w:sz="0" w:space="0" w:color="auto"/>
      </w:divBdr>
    </w:div>
    <w:div w:id="213123403">
      <w:marLeft w:val="0"/>
      <w:marRight w:val="0"/>
      <w:marTop w:val="0"/>
      <w:marBottom w:val="0"/>
      <w:divBdr>
        <w:top w:val="none" w:sz="0" w:space="0" w:color="auto"/>
        <w:left w:val="none" w:sz="0" w:space="0" w:color="auto"/>
        <w:bottom w:val="none" w:sz="0" w:space="0" w:color="auto"/>
        <w:right w:val="none" w:sz="0" w:space="0" w:color="auto"/>
      </w:divBdr>
    </w:div>
    <w:div w:id="213123404">
      <w:marLeft w:val="0"/>
      <w:marRight w:val="0"/>
      <w:marTop w:val="0"/>
      <w:marBottom w:val="0"/>
      <w:divBdr>
        <w:top w:val="none" w:sz="0" w:space="0" w:color="auto"/>
        <w:left w:val="none" w:sz="0" w:space="0" w:color="auto"/>
        <w:bottom w:val="none" w:sz="0" w:space="0" w:color="auto"/>
        <w:right w:val="none" w:sz="0" w:space="0" w:color="auto"/>
      </w:divBdr>
    </w:div>
    <w:div w:id="213123405">
      <w:marLeft w:val="0"/>
      <w:marRight w:val="0"/>
      <w:marTop w:val="0"/>
      <w:marBottom w:val="0"/>
      <w:divBdr>
        <w:top w:val="none" w:sz="0" w:space="0" w:color="auto"/>
        <w:left w:val="none" w:sz="0" w:space="0" w:color="auto"/>
        <w:bottom w:val="none" w:sz="0" w:space="0" w:color="auto"/>
        <w:right w:val="none" w:sz="0" w:space="0" w:color="auto"/>
      </w:divBdr>
    </w:div>
    <w:div w:id="213123406">
      <w:marLeft w:val="0"/>
      <w:marRight w:val="0"/>
      <w:marTop w:val="0"/>
      <w:marBottom w:val="0"/>
      <w:divBdr>
        <w:top w:val="none" w:sz="0" w:space="0" w:color="auto"/>
        <w:left w:val="none" w:sz="0" w:space="0" w:color="auto"/>
        <w:bottom w:val="none" w:sz="0" w:space="0" w:color="auto"/>
        <w:right w:val="none" w:sz="0" w:space="0" w:color="auto"/>
      </w:divBdr>
    </w:div>
    <w:div w:id="213123407">
      <w:marLeft w:val="0"/>
      <w:marRight w:val="0"/>
      <w:marTop w:val="0"/>
      <w:marBottom w:val="0"/>
      <w:divBdr>
        <w:top w:val="none" w:sz="0" w:space="0" w:color="auto"/>
        <w:left w:val="none" w:sz="0" w:space="0" w:color="auto"/>
        <w:bottom w:val="none" w:sz="0" w:space="0" w:color="auto"/>
        <w:right w:val="none" w:sz="0" w:space="0" w:color="auto"/>
      </w:divBdr>
    </w:div>
    <w:div w:id="213123408">
      <w:marLeft w:val="0"/>
      <w:marRight w:val="0"/>
      <w:marTop w:val="0"/>
      <w:marBottom w:val="0"/>
      <w:divBdr>
        <w:top w:val="none" w:sz="0" w:space="0" w:color="auto"/>
        <w:left w:val="none" w:sz="0" w:space="0" w:color="auto"/>
        <w:bottom w:val="none" w:sz="0" w:space="0" w:color="auto"/>
        <w:right w:val="none" w:sz="0" w:space="0" w:color="auto"/>
      </w:divBdr>
    </w:div>
    <w:div w:id="213123409">
      <w:marLeft w:val="0"/>
      <w:marRight w:val="0"/>
      <w:marTop w:val="0"/>
      <w:marBottom w:val="0"/>
      <w:divBdr>
        <w:top w:val="none" w:sz="0" w:space="0" w:color="auto"/>
        <w:left w:val="none" w:sz="0" w:space="0" w:color="auto"/>
        <w:bottom w:val="none" w:sz="0" w:space="0" w:color="auto"/>
        <w:right w:val="none" w:sz="0" w:space="0" w:color="auto"/>
      </w:divBdr>
    </w:div>
    <w:div w:id="213123410">
      <w:marLeft w:val="0"/>
      <w:marRight w:val="0"/>
      <w:marTop w:val="0"/>
      <w:marBottom w:val="0"/>
      <w:divBdr>
        <w:top w:val="none" w:sz="0" w:space="0" w:color="auto"/>
        <w:left w:val="none" w:sz="0" w:space="0" w:color="auto"/>
        <w:bottom w:val="none" w:sz="0" w:space="0" w:color="auto"/>
        <w:right w:val="none" w:sz="0" w:space="0" w:color="auto"/>
      </w:divBdr>
    </w:div>
    <w:div w:id="213123411">
      <w:marLeft w:val="0"/>
      <w:marRight w:val="0"/>
      <w:marTop w:val="0"/>
      <w:marBottom w:val="0"/>
      <w:divBdr>
        <w:top w:val="none" w:sz="0" w:space="0" w:color="auto"/>
        <w:left w:val="none" w:sz="0" w:space="0" w:color="auto"/>
        <w:bottom w:val="none" w:sz="0" w:space="0" w:color="auto"/>
        <w:right w:val="none" w:sz="0" w:space="0" w:color="auto"/>
      </w:divBdr>
    </w:div>
    <w:div w:id="213123412">
      <w:marLeft w:val="0"/>
      <w:marRight w:val="0"/>
      <w:marTop w:val="0"/>
      <w:marBottom w:val="0"/>
      <w:divBdr>
        <w:top w:val="none" w:sz="0" w:space="0" w:color="auto"/>
        <w:left w:val="none" w:sz="0" w:space="0" w:color="auto"/>
        <w:bottom w:val="none" w:sz="0" w:space="0" w:color="auto"/>
        <w:right w:val="none" w:sz="0" w:space="0" w:color="auto"/>
      </w:divBdr>
      <w:divsChild>
        <w:div w:id="213123536">
          <w:marLeft w:val="0"/>
          <w:marRight w:val="0"/>
          <w:marTop w:val="0"/>
          <w:marBottom w:val="0"/>
          <w:divBdr>
            <w:top w:val="none" w:sz="0" w:space="0" w:color="auto"/>
            <w:left w:val="none" w:sz="0" w:space="0" w:color="auto"/>
            <w:bottom w:val="none" w:sz="0" w:space="0" w:color="auto"/>
            <w:right w:val="none" w:sz="0" w:space="0" w:color="auto"/>
          </w:divBdr>
        </w:div>
      </w:divsChild>
    </w:div>
    <w:div w:id="213123413">
      <w:marLeft w:val="0"/>
      <w:marRight w:val="0"/>
      <w:marTop w:val="0"/>
      <w:marBottom w:val="0"/>
      <w:divBdr>
        <w:top w:val="none" w:sz="0" w:space="0" w:color="auto"/>
        <w:left w:val="none" w:sz="0" w:space="0" w:color="auto"/>
        <w:bottom w:val="none" w:sz="0" w:space="0" w:color="auto"/>
        <w:right w:val="none" w:sz="0" w:space="0" w:color="auto"/>
      </w:divBdr>
    </w:div>
    <w:div w:id="213123414">
      <w:marLeft w:val="0"/>
      <w:marRight w:val="0"/>
      <w:marTop w:val="0"/>
      <w:marBottom w:val="0"/>
      <w:divBdr>
        <w:top w:val="none" w:sz="0" w:space="0" w:color="auto"/>
        <w:left w:val="none" w:sz="0" w:space="0" w:color="auto"/>
        <w:bottom w:val="none" w:sz="0" w:space="0" w:color="auto"/>
        <w:right w:val="none" w:sz="0" w:space="0" w:color="auto"/>
      </w:divBdr>
    </w:div>
    <w:div w:id="213123415">
      <w:marLeft w:val="0"/>
      <w:marRight w:val="0"/>
      <w:marTop w:val="0"/>
      <w:marBottom w:val="0"/>
      <w:divBdr>
        <w:top w:val="none" w:sz="0" w:space="0" w:color="auto"/>
        <w:left w:val="none" w:sz="0" w:space="0" w:color="auto"/>
        <w:bottom w:val="none" w:sz="0" w:space="0" w:color="auto"/>
        <w:right w:val="none" w:sz="0" w:space="0" w:color="auto"/>
      </w:divBdr>
    </w:div>
    <w:div w:id="213123416">
      <w:marLeft w:val="0"/>
      <w:marRight w:val="0"/>
      <w:marTop w:val="0"/>
      <w:marBottom w:val="0"/>
      <w:divBdr>
        <w:top w:val="none" w:sz="0" w:space="0" w:color="auto"/>
        <w:left w:val="none" w:sz="0" w:space="0" w:color="auto"/>
        <w:bottom w:val="none" w:sz="0" w:space="0" w:color="auto"/>
        <w:right w:val="none" w:sz="0" w:space="0" w:color="auto"/>
      </w:divBdr>
    </w:div>
    <w:div w:id="213123417">
      <w:marLeft w:val="0"/>
      <w:marRight w:val="0"/>
      <w:marTop w:val="0"/>
      <w:marBottom w:val="0"/>
      <w:divBdr>
        <w:top w:val="none" w:sz="0" w:space="0" w:color="auto"/>
        <w:left w:val="none" w:sz="0" w:space="0" w:color="auto"/>
        <w:bottom w:val="none" w:sz="0" w:space="0" w:color="auto"/>
        <w:right w:val="none" w:sz="0" w:space="0" w:color="auto"/>
      </w:divBdr>
    </w:div>
    <w:div w:id="213123418">
      <w:marLeft w:val="0"/>
      <w:marRight w:val="0"/>
      <w:marTop w:val="0"/>
      <w:marBottom w:val="0"/>
      <w:divBdr>
        <w:top w:val="none" w:sz="0" w:space="0" w:color="auto"/>
        <w:left w:val="none" w:sz="0" w:space="0" w:color="auto"/>
        <w:bottom w:val="none" w:sz="0" w:space="0" w:color="auto"/>
        <w:right w:val="none" w:sz="0" w:space="0" w:color="auto"/>
      </w:divBdr>
    </w:div>
    <w:div w:id="213123419">
      <w:marLeft w:val="0"/>
      <w:marRight w:val="0"/>
      <w:marTop w:val="0"/>
      <w:marBottom w:val="0"/>
      <w:divBdr>
        <w:top w:val="none" w:sz="0" w:space="0" w:color="auto"/>
        <w:left w:val="none" w:sz="0" w:space="0" w:color="auto"/>
        <w:bottom w:val="none" w:sz="0" w:space="0" w:color="auto"/>
        <w:right w:val="none" w:sz="0" w:space="0" w:color="auto"/>
      </w:divBdr>
    </w:div>
    <w:div w:id="213123420">
      <w:marLeft w:val="0"/>
      <w:marRight w:val="0"/>
      <w:marTop w:val="0"/>
      <w:marBottom w:val="0"/>
      <w:divBdr>
        <w:top w:val="none" w:sz="0" w:space="0" w:color="auto"/>
        <w:left w:val="none" w:sz="0" w:space="0" w:color="auto"/>
        <w:bottom w:val="none" w:sz="0" w:space="0" w:color="auto"/>
        <w:right w:val="none" w:sz="0" w:space="0" w:color="auto"/>
      </w:divBdr>
    </w:div>
    <w:div w:id="213123421">
      <w:marLeft w:val="0"/>
      <w:marRight w:val="0"/>
      <w:marTop w:val="0"/>
      <w:marBottom w:val="0"/>
      <w:divBdr>
        <w:top w:val="none" w:sz="0" w:space="0" w:color="auto"/>
        <w:left w:val="none" w:sz="0" w:space="0" w:color="auto"/>
        <w:bottom w:val="none" w:sz="0" w:space="0" w:color="auto"/>
        <w:right w:val="none" w:sz="0" w:space="0" w:color="auto"/>
      </w:divBdr>
    </w:div>
    <w:div w:id="213123422">
      <w:marLeft w:val="0"/>
      <w:marRight w:val="0"/>
      <w:marTop w:val="0"/>
      <w:marBottom w:val="0"/>
      <w:divBdr>
        <w:top w:val="none" w:sz="0" w:space="0" w:color="auto"/>
        <w:left w:val="none" w:sz="0" w:space="0" w:color="auto"/>
        <w:bottom w:val="none" w:sz="0" w:space="0" w:color="auto"/>
        <w:right w:val="none" w:sz="0" w:space="0" w:color="auto"/>
      </w:divBdr>
    </w:div>
    <w:div w:id="213123423">
      <w:marLeft w:val="0"/>
      <w:marRight w:val="0"/>
      <w:marTop w:val="0"/>
      <w:marBottom w:val="0"/>
      <w:divBdr>
        <w:top w:val="none" w:sz="0" w:space="0" w:color="auto"/>
        <w:left w:val="none" w:sz="0" w:space="0" w:color="auto"/>
        <w:bottom w:val="none" w:sz="0" w:space="0" w:color="auto"/>
        <w:right w:val="none" w:sz="0" w:space="0" w:color="auto"/>
      </w:divBdr>
    </w:div>
    <w:div w:id="213123424">
      <w:marLeft w:val="0"/>
      <w:marRight w:val="0"/>
      <w:marTop w:val="0"/>
      <w:marBottom w:val="0"/>
      <w:divBdr>
        <w:top w:val="none" w:sz="0" w:space="0" w:color="auto"/>
        <w:left w:val="none" w:sz="0" w:space="0" w:color="auto"/>
        <w:bottom w:val="none" w:sz="0" w:space="0" w:color="auto"/>
        <w:right w:val="none" w:sz="0" w:space="0" w:color="auto"/>
      </w:divBdr>
    </w:div>
    <w:div w:id="213123425">
      <w:marLeft w:val="0"/>
      <w:marRight w:val="0"/>
      <w:marTop w:val="0"/>
      <w:marBottom w:val="0"/>
      <w:divBdr>
        <w:top w:val="none" w:sz="0" w:space="0" w:color="auto"/>
        <w:left w:val="none" w:sz="0" w:space="0" w:color="auto"/>
        <w:bottom w:val="none" w:sz="0" w:space="0" w:color="auto"/>
        <w:right w:val="none" w:sz="0" w:space="0" w:color="auto"/>
      </w:divBdr>
    </w:div>
    <w:div w:id="213123426">
      <w:marLeft w:val="0"/>
      <w:marRight w:val="0"/>
      <w:marTop w:val="0"/>
      <w:marBottom w:val="0"/>
      <w:divBdr>
        <w:top w:val="none" w:sz="0" w:space="0" w:color="auto"/>
        <w:left w:val="none" w:sz="0" w:space="0" w:color="auto"/>
        <w:bottom w:val="none" w:sz="0" w:space="0" w:color="auto"/>
        <w:right w:val="none" w:sz="0" w:space="0" w:color="auto"/>
      </w:divBdr>
    </w:div>
    <w:div w:id="213123427">
      <w:marLeft w:val="0"/>
      <w:marRight w:val="0"/>
      <w:marTop w:val="0"/>
      <w:marBottom w:val="0"/>
      <w:divBdr>
        <w:top w:val="none" w:sz="0" w:space="0" w:color="auto"/>
        <w:left w:val="none" w:sz="0" w:space="0" w:color="auto"/>
        <w:bottom w:val="none" w:sz="0" w:space="0" w:color="auto"/>
        <w:right w:val="none" w:sz="0" w:space="0" w:color="auto"/>
      </w:divBdr>
    </w:div>
    <w:div w:id="213123428">
      <w:marLeft w:val="0"/>
      <w:marRight w:val="0"/>
      <w:marTop w:val="0"/>
      <w:marBottom w:val="0"/>
      <w:divBdr>
        <w:top w:val="none" w:sz="0" w:space="0" w:color="auto"/>
        <w:left w:val="none" w:sz="0" w:space="0" w:color="auto"/>
        <w:bottom w:val="none" w:sz="0" w:space="0" w:color="auto"/>
        <w:right w:val="none" w:sz="0" w:space="0" w:color="auto"/>
      </w:divBdr>
    </w:div>
    <w:div w:id="213123429">
      <w:marLeft w:val="0"/>
      <w:marRight w:val="0"/>
      <w:marTop w:val="0"/>
      <w:marBottom w:val="0"/>
      <w:divBdr>
        <w:top w:val="none" w:sz="0" w:space="0" w:color="auto"/>
        <w:left w:val="none" w:sz="0" w:space="0" w:color="auto"/>
        <w:bottom w:val="none" w:sz="0" w:space="0" w:color="auto"/>
        <w:right w:val="none" w:sz="0" w:space="0" w:color="auto"/>
      </w:divBdr>
    </w:div>
    <w:div w:id="213123430">
      <w:marLeft w:val="0"/>
      <w:marRight w:val="0"/>
      <w:marTop w:val="0"/>
      <w:marBottom w:val="0"/>
      <w:divBdr>
        <w:top w:val="none" w:sz="0" w:space="0" w:color="auto"/>
        <w:left w:val="none" w:sz="0" w:space="0" w:color="auto"/>
        <w:bottom w:val="none" w:sz="0" w:space="0" w:color="auto"/>
        <w:right w:val="none" w:sz="0" w:space="0" w:color="auto"/>
      </w:divBdr>
    </w:div>
    <w:div w:id="213123431">
      <w:marLeft w:val="0"/>
      <w:marRight w:val="0"/>
      <w:marTop w:val="0"/>
      <w:marBottom w:val="0"/>
      <w:divBdr>
        <w:top w:val="none" w:sz="0" w:space="0" w:color="auto"/>
        <w:left w:val="none" w:sz="0" w:space="0" w:color="auto"/>
        <w:bottom w:val="none" w:sz="0" w:space="0" w:color="auto"/>
        <w:right w:val="none" w:sz="0" w:space="0" w:color="auto"/>
      </w:divBdr>
    </w:div>
    <w:div w:id="213123432">
      <w:marLeft w:val="0"/>
      <w:marRight w:val="0"/>
      <w:marTop w:val="0"/>
      <w:marBottom w:val="0"/>
      <w:divBdr>
        <w:top w:val="none" w:sz="0" w:space="0" w:color="auto"/>
        <w:left w:val="none" w:sz="0" w:space="0" w:color="auto"/>
        <w:bottom w:val="none" w:sz="0" w:space="0" w:color="auto"/>
        <w:right w:val="none" w:sz="0" w:space="0" w:color="auto"/>
      </w:divBdr>
    </w:div>
    <w:div w:id="213123433">
      <w:marLeft w:val="0"/>
      <w:marRight w:val="0"/>
      <w:marTop w:val="0"/>
      <w:marBottom w:val="0"/>
      <w:divBdr>
        <w:top w:val="none" w:sz="0" w:space="0" w:color="auto"/>
        <w:left w:val="none" w:sz="0" w:space="0" w:color="auto"/>
        <w:bottom w:val="none" w:sz="0" w:space="0" w:color="auto"/>
        <w:right w:val="none" w:sz="0" w:space="0" w:color="auto"/>
      </w:divBdr>
    </w:div>
    <w:div w:id="213123434">
      <w:marLeft w:val="0"/>
      <w:marRight w:val="0"/>
      <w:marTop w:val="0"/>
      <w:marBottom w:val="0"/>
      <w:divBdr>
        <w:top w:val="none" w:sz="0" w:space="0" w:color="auto"/>
        <w:left w:val="none" w:sz="0" w:space="0" w:color="auto"/>
        <w:bottom w:val="none" w:sz="0" w:space="0" w:color="auto"/>
        <w:right w:val="none" w:sz="0" w:space="0" w:color="auto"/>
      </w:divBdr>
    </w:div>
    <w:div w:id="213123435">
      <w:marLeft w:val="0"/>
      <w:marRight w:val="0"/>
      <w:marTop w:val="0"/>
      <w:marBottom w:val="0"/>
      <w:divBdr>
        <w:top w:val="none" w:sz="0" w:space="0" w:color="auto"/>
        <w:left w:val="none" w:sz="0" w:space="0" w:color="auto"/>
        <w:bottom w:val="none" w:sz="0" w:space="0" w:color="auto"/>
        <w:right w:val="none" w:sz="0" w:space="0" w:color="auto"/>
      </w:divBdr>
    </w:div>
    <w:div w:id="213123436">
      <w:marLeft w:val="0"/>
      <w:marRight w:val="0"/>
      <w:marTop w:val="0"/>
      <w:marBottom w:val="0"/>
      <w:divBdr>
        <w:top w:val="none" w:sz="0" w:space="0" w:color="auto"/>
        <w:left w:val="none" w:sz="0" w:space="0" w:color="auto"/>
        <w:bottom w:val="none" w:sz="0" w:space="0" w:color="auto"/>
        <w:right w:val="none" w:sz="0" w:space="0" w:color="auto"/>
      </w:divBdr>
    </w:div>
    <w:div w:id="213123437">
      <w:marLeft w:val="0"/>
      <w:marRight w:val="0"/>
      <w:marTop w:val="0"/>
      <w:marBottom w:val="0"/>
      <w:divBdr>
        <w:top w:val="none" w:sz="0" w:space="0" w:color="auto"/>
        <w:left w:val="none" w:sz="0" w:space="0" w:color="auto"/>
        <w:bottom w:val="none" w:sz="0" w:space="0" w:color="auto"/>
        <w:right w:val="none" w:sz="0" w:space="0" w:color="auto"/>
      </w:divBdr>
    </w:div>
    <w:div w:id="213123438">
      <w:marLeft w:val="0"/>
      <w:marRight w:val="0"/>
      <w:marTop w:val="0"/>
      <w:marBottom w:val="0"/>
      <w:divBdr>
        <w:top w:val="none" w:sz="0" w:space="0" w:color="auto"/>
        <w:left w:val="none" w:sz="0" w:space="0" w:color="auto"/>
        <w:bottom w:val="none" w:sz="0" w:space="0" w:color="auto"/>
        <w:right w:val="none" w:sz="0" w:space="0" w:color="auto"/>
      </w:divBdr>
    </w:div>
    <w:div w:id="213123439">
      <w:marLeft w:val="0"/>
      <w:marRight w:val="0"/>
      <w:marTop w:val="0"/>
      <w:marBottom w:val="0"/>
      <w:divBdr>
        <w:top w:val="none" w:sz="0" w:space="0" w:color="auto"/>
        <w:left w:val="none" w:sz="0" w:space="0" w:color="auto"/>
        <w:bottom w:val="none" w:sz="0" w:space="0" w:color="auto"/>
        <w:right w:val="none" w:sz="0" w:space="0" w:color="auto"/>
      </w:divBdr>
    </w:div>
    <w:div w:id="213123440">
      <w:marLeft w:val="0"/>
      <w:marRight w:val="0"/>
      <w:marTop w:val="0"/>
      <w:marBottom w:val="0"/>
      <w:divBdr>
        <w:top w:val="none" w:sz="0" w:space="0" w:color="auto"/>
        <w:left w:val="none" w:sz="0" w:space="0" w:color="auto"/>
        <w:bottom w:val="none" w:sz="0" w:space="0" w:color="auto"/>
        <w:right w:val="none" w:sz="0" w:space="0" w:color="auto"/>
      </w:divBdr>
    </w:div>
    <w:div w:id="213123441">
      <w:marLeft w:val="0"/>
      <w:marRight w:val="0"/>
      <w:marTop w:val="0"/>
      <w:marBottom w:val="0"/>
      <w:divBdr>
        <w:top w:val="none" w:sz="0" w:space="0" w:color="auto"/>
        <w:left w:val="none" w:sz="0" w:space="0" w:color="auto"/>
        <w:bottom w:val="none" w:sz="0" w:space="0" w:color="auto"/>
        <w:right w:val="none" w:sz="0" w:space="0" w:color="auto"/>
      </w:divBdr>
    </w:div>
    <w:div w:id="213123442">
      <w:marLeft w:val="0"/>
      <w:marRight w:val="0"/>
      <w:marTop w:val="0"/>
      <w:marBottom w:val="0"/>
      <w:divBdr>
        <w:top w:val="none" w:sz="0" w:space="0" w:color="auto"/>
        <w:left w:val="none" w:sz="0" w:space="0" w:color="auto"/>
        <w:bottom w:val="none" w:sz="0" w:space="0" w:color="auto"/>
        <w:right w:val="none" w:sz="0" w:space="0" w:color="auto"/>
      </w:divBdr>
    </w:div>
    <w:div w:id="213123443">
      <w:marLeft w:val="0"/>
      <w:marRight w:val="0"/>
      <w:marTop w:val="0"/>
      <w:marBottom w:val="0"/>
      <w:divBdr>
        <w:top w:val="none" w:sz="0" w:space="0" w:color="auto"/>
        <w:left w:val="none" w:sz="0" w:space="0" w:color="auto"/>
        <w:bottom w:val="none" w:sz="0" w:space="0" w:color="auto"/>
        <w:right w:val="none" w:sz="0" w:space="0" w:color="auto"/>
      </w:divBdr>
    </w:div>
    <w:div w:id="213123444">
      <w:marLeft w:val="0"/>
      <w:marRight w:val="0"/>
      <w:marTop w:val="0"/>
      <w:marBottom w:val="0"/>
      <w:divBdr>
        <w:top w:val="none" w:sz="0" w:space="0" w:color="auto"/>
        <w:left w:val="none" w:sz="0" w:space="0" w:color="auto"/>
        <w:bottom w:val="none" w:sz="0" w:space="0" w:color="auto"/>
        <w:right w:val="none" w:sz="0" w:space="0" w:color="auto"/>
      </w:divBdr>
    </w:div>
    <w:div w:id="213123445">
      <w:marLeft w:val="0"/>
      <w:marRight w:val="0"/>
      <w:marTop w:val="0"/>
      <w:marBottom w:val="0"/>
      <w:divBdr>
        <w:top w:val="none" w:sz="0" w:space="0" w:color="auto"/>
        <w:left w:val="none" w:sz="0" w:space="0" w:color="auto"/>
        <w:bottom w:val="none" w:sz="0" w:space="0" w:color="auto"/>
        <w:right w:val="none" w:sz="0" w:space="0" w:color="auto"/>
      </w:divBdr>
    </w:div>
    <w:div w:id="213123446">
      <w:marLeft w:val="0"/>
      <w:marRight w:val="0"/>
      <w:marTop w:val="0"/>
      <w:marBottom w:val="0"/>
      <w:divBdr>
        <w:top w:val="none" w:sz="0" w:space="0" w:color="auto"/>
        <w:left w:val="none" w:sz="0" w:space="0" w:color="auto"/>
        <w:bottom w:val="none" w:sz="0" w:space="0" w:color="auto"/>
        <w:right w:val="none" w:sz="0" w:space="0" w:color="auto"/>
      </w:divBdr>
    </w:div>
    <w:div w:id="213123447">
      <w:marLeft w:val="0"/>
      <w:marRight w:val="0"/>
      <w:marTop w:val="0"/>
      <w:marBottom w:val="0"/>
      <w:divBdr>
        <w:top w:val="none" w:sz="0" w:space="0" w:color="auto"/>
        <w:left w:val="none" w:sz="0" w:space="0" w:color="auto"/>
        <w:bottom w:val="none" w:sz="0" w:space="0" w:color="auto"/>
        <w:right w:val="none" w:sz="0" w:space="0" w:color="auto"/>
      </w:divBdr>
    </w:div>
    <w:div w:id="213123448">
      <w:marLeft w:val="0"/>
      <w:marRight w:val="0"/>
      <w:marTop w:val="0"/>
      <w:marBottom w:val="0"/>
      <w:divBdr>
        <w:top w:val="none" w:sz="0" w:space="0" w:color="auto"/>
        <w:left w:val="none" w:sz="0" w:space="0" w:color="auto"/>
        <w:bottom w:val="none" w:sz="0" w:space="0" w:color="auto"/>
        <w:right w:val="none" w:sz="0" w:space="0" w:color="auto"/>
      </w:divBdr>
    </w:div>
    <w:div w:id="213123449">
      <w:marLeft w:val="0"/>
      <w:marRight w:val="0"/>
      <w:marTop w:val="0"/>
      <w:marBottom w:val="0"/>
      <w:divBdr>
        <w:top w:val="none" w:sz="0" w:space="0" w:color="auto"/>
        <w:left w:val="none" w:sz="0" w:space="0" w:color="auto"/>
        <w:bottom w:val="none" w:sz="0" w:space="0" w:color="auto"/>
        <w:right w:val="none" w:sz="0" w:space="0" w:color="auto"/>
      </w:divBdr>
    </w:div>
    <w:div w:id="213123450">
      <w:marLeft w:val="0"/>
      <w:marRight w:val="0"/>
      <w:marTop w:val="0"/>
      <w:marBottom w:val="0"/>
      <w:divBdr>
        <w:top w:val="none" w:sz="0" w:space="0" w:color="auto"/>
        <w:left w:val="none" w:sz="0" w:space="0" w:color="auto"/>
        <w:bottom w:val="none" w:sz="0" w:space="0" w:color="auto"/>
        <w:right w:val="none" w:sz="0" w:space="0" w:color="auto"/>
      </w:divBdr>
    </w:div>
    <w:div w:id="213123451">
      <w:marLeft w:val="0"/>
      <w:marRight w:val="0"/>
      <w:marTop w:val="0"/>
      <w:marBottom w:val="0"/>
      <w:divBdr>
        <w:top w:val="none" w:sz="0" w:space="0" w:color="auto"/>
        <w:left w:val="none" w:sz="0" w:space="0" w:color="auto"/>
        <w:bottom w:val="none" w:sz="0" w:space="0" w:color="auto"/>
        <w:right w:val="none" w:sz="0" w:space="0" w:color="auto"/>
      </w:divBdr>
    </w:div>
    <w:div w:id="213123452">
      <w:marLeft w:val="0"/>
      <w:marRight w:val="0"/>
      <w:marTop w:val="0"/>
      <w:marBottom w:val="0"/>
      <w:divBdr>
        <w:top w:val="none" w:sz="0" w:space="0" w:color="auto"/>
        <w:left w:val="none" w:sz="0" w:space="0" w:color="auto"/>
        <w:bottom w:val="none" w:sz="0" w:space="0" w:color="auto"/>
        <w:right w:val="none" w:sz="0" w:space="0" w:color="auto"/>
      </w:divBdr>
    </w:div>
    <w:div w:id="213123453">
      <w:marLeft w:val="0"/>
      <w:marRight w:val="0"/>
      <w:marTop w:val="0"/>
      <w:marBottom w:val="0"/>
      <w:divBdr>
        <w:top w:val="none" w:sz="0" w:space="0" w:color="auto"/>
        <w:left w:val="none" w:sz="0" w:space="0" w:color="auto"/>
        <w:bottom w:val="none" w:sz="0" w:space="0" w:color="auto"/>
        <w:right w:val="none" w:sz="0" w:space="0" w:color="auto"/>
      </w:divBdr>
    </w:div>
    <w:div w:id="213123454">
      <w:marLeft w:val="0"/>
      <w:marRight w:val="0"/>
      <w:marTop w:val="0"/>
      <w:marBottom w:val="0"/>
      <w:divBdr>
        <w:top w:val="none" w:sz="0" w:space="0" w:color="auto"/>
        <w:left w:val="none" w:sz="0" w:space="0" w:color="auto"/>
        <w:bottom w:val="none" w:sz="0" w:space="0" w:color="auto"/>
        <w:right w:val="none" w:sz="0" w:space="0" w:color="auto"/>
      </w:divBdr>
    </w:div>
    <w:div w:id="213123455">
      <w:marLeft w:val="0"/>
      <w:marRight w:val="0"/>
      <w:marTop w:val="0"/>
      <w:marBottom w:val="0"/>
      <w:divBdr>
        <w:top w:val="none" w:sz="0" w:space="0" w:color="auto"/>
        <w:left w:val="none" w:sz="0" w:space="0" w:color="auto"/>
        <w:bottom w:val="none" w:sz="0" w:space="0" w:color="auto"/>
        <w:right w:val="none" w:sz="0" w:space="0" w:color="auto"/>
      </w:divBdr>
    </w:div>
    <w:div w:id="213123456">
      <w:marLeft w:val="0"/>
      <w:marRight w:val="0"/>
      <w:marTop w:val="0"/>
      <w:marBottom w:val="0"/>
      <w:divBdr>
        <w:top w:val="none" w:sz="0" w:space="0" w:color="auto"/>
        <w:left w:val="none" w:sz="0" w:space="0" w:color="auto"/>
        <w:bottom w:val="none" w:sz="0" w:space="0" w:color="auto"/>
        <w:right w:val="none" w:sz="0" w:space="0" w:color="auto"/>
      </w:divBdr>
    </w:div>
    <w:div w:id="213123457">
      <w:marLeft w:val="0"/>
      <w:marRight w:val="0"/>
      <w:marTop w:val="0"/>
      <w:marBottom w:val="0"/>
      <w:divBdr>
        <w:top w:val="none" w:sz="0" w:space="0" w:color="auto"/>
        <w:left w:val="none" w:sz="0" w:space="0" w:color="auto"/>
        <w:bottom w:val="none" w:sz="0" w:space="0" w:color="auto"/>
        <w:right w:val="none" w:sz="0" w:space="0" w:color="auto"/>
      </w:divBdr>
    </w:div>
    <w:div w:id="213123458">
      <w:marLeft w:val="0"/>
      <w:marRight w:val="0"/>
      <w:marTop w:val="0"/>
      <w:marBottom w:val="0"/>
      <w:divBdr>
        <w:top w:val="none" w:sz="0" w:space="0" w:color="auto"/>
        <w:left w:val="none" w:sz="0" w:space="0" w:color="auto"/>
        <w:bottom w:val="none" w:sz="0" w:space="0" w:color="auto"/>
        <w:right w:val="none" w:sz="0" w:space="0" w:color="auto"/>
      </w:divBdr>
    </w:div>
    <w:div w:id="213123459">
      <w:marLeft w:val="0"/>
      <w:marRight w:val="0"/>
      <w:marTop w:val="0"/>
      <w:marBottom w:val="0"/>
      <w:divBdr>
        <w:top w:val="none" w:sz="0" w:space="0" w:color="auto"/>
        <w:left w:val="none" w:sz="0" w:space="0" w:color="auto"/>
        <w:bottom w:val="none" w:sz="0" w:space="0" w:color="auto"/>
        <w:right w:val="none" w:sz="0" w:space="0" w:color="auto"/>
      </w:divBdr>
    </w:div>
    <w:div w:id="213123460">
      <w:marLeft w:val="0"/>
      <w:marRight w:val="0"/>
      <w:marTop w:val="0"/>
      <w:marBottom w:val="0"/>
      <w:divBdr>
        <w:top w:val="none" w:sz="0" w:space="0" w:color="auto"/>
        <w:left w:val="none" w:sz="0" w:space="0" w:color="auto"/>
        <w:bottom w:val="none" w:sz="0" w:space="0" w:color="auto"/>
        <w:right w:val="none" w:sz="0" w:space="0" w:color="auto"/>
      </w:divBdr>
    </w:div>
    <w:div w:id="213123461">
      <w:marLeft w:val="0"/>
      <w:marRight w:val="0"/>
      <w:marTop w:val="0"/>
      <w:marBottom w:val="0"/>
      <w:divBdr>
        <w:top w:val="none" w:sz="0" w:space="0" w:color="auto"/>
        <w:left w:val="none" w:sz="0" w:space="0" w:color="auto"/>
        <w:bottom w:val="none" w:sz="0" w:space="0" w:color="auto"/>
        <w:right w:val="none" w:sz="0" w:space="0" w:color="auto"/>
      </w:divBdr>
    </w:div>
    <w:div w:id="213123462">
      <w:marLeft w:val="0"/>
      <w:marRight w:val="0"/>
      <w:marTop w:val="0"/>
      <w:marBottom w:val="0"/>
      <w:divBdr>
        <w:top w:val="none" w:sz="0" w:space="0" w:color="auto"/>
        <w:left w:val="none" w:sz="0" w:space="0" w:color="auto"/>
        <w:bottom w:val="none" w:sz="0" w:space="0" w:color="auto"/>
        <w:right w:val="none" w:sz="0" w:space="0" w:color="auto"/>
      </w:divBdr>
    </w:div>
    <w:div w:id="213123463">
      <w:marLeft w:val="0"/>
      <w:marRight w:val="0"/>
      <w:marTop w:val="0"/>
      <w:marBottom w:val="0"/>
      <w:divBdr>
        <w:top w:val="none" w:sz="0" w:space="0" w:color="auto"/>
        <w:left w:val="none" w:sz="0" w:space="0" w:color="auto"/>
        <w:bottom w:val="none" w:sz="0" w:space="0" w:color="auto"/>
        <w:right w:val="none" w:sz="0" w:space="0" w:color="auto"/>
      </w:divBdr>
    </w:div>
    <w:div w:id="213123464">
      <w:marLeft w:val="0"/>
      <w:marRight w:val="0"/>
      <w:marTop w:val="0"/>
      <w:marBottom w:val="0"/>
      <w:divBdr>
        <w:top w:val="none" w:sz="0" w:space="0" w:color="auto"/>
        <w:left w:val="none" w:sz="0" w:space="0" w:color="auto"/>
        <w:bottom w:val="none" w:sz="0" w:space="0" w:color="auto"/>
        <w:right w:val="none" w:sz="0" w:space="0" w:color="auto"/>
      </w:divBdr>
    </w:div>
    <w:div w:id="213123465">
      <w:marLeft w:val="0"/>
      <w:marRight w:val="0"/>
      <w:marTop w:val="0"/>
      <w:marBottom w:val="0"/>
      <w:divBdr>
        <w:top w:val="none" w:sz="0" w:space="0" w:color="auto"/>
        <w:left w:val="none" w:sz="0" w:space="0" w:color="auto"/>
        <w:bottom w:val="none" w:sz="0" w:space="0" w:color="auto"/>
        <w:right w:val="none" w:sz="0" w:space="0" w:color="auto"/>
      </w:divBdr>
    </w:div>
    <w:div w:id="213123466">
      <w:marLeft w:val="0"/>
      <w:marRight w:val="0"/>
      <w:marTop w:val="0"/>
      <w:marBottom w:val="0"/>
      <w:divBdr>
        <w:top w:val="none" w:sz="0" w:space="0" w:color="auto"/>
        <w:left w:val="none" w:sz="0" w:space="0" w:color="auto"/>
        <w:bottom w:val="none" w:sz="0" w:space="0" w:color="auto"/>
        <w:right w:val="none" w:sz="0" w:space="0" w:color="auto"/>
      </w:divBdr>
    </w:div>
    <w:div w:id="213123467">
      <w:marLeft w:val="0"/>
      <w:marRight w:val="0"/>
      <w:marTop w:val="0"/>
      <w:marBottom w:val="0"/>
      <w:divBdr>
        <w:top w:val="none" w:sz="0" w:space="0" w:color="auto"/>
        <w:left w:val="none" w:sz="0" w:space="0" w:color="auto"/>
        <w:bottom w:val="none" w:sz="0" w:space="0" w:color="auto"/>
        <w:right w:val="none" w:sz="0" w:space="0" w:color="auto"/>
      </w:divBdr>
    </w:div>
    <w:div w:id="213123468">
      <w:marLeft w:val="0"/>
      <w:marRight w:val="0"/>
      <w:marTop w:val="0"/>
      <w:marBottom w:val="0"/>
      <w:divBdr>
        <w:top w:val="none" w:sz="0" w:space="0" w:color="auto"/>
        <w:left w:val="none" w:sz="0" w:space="0" w:color="auto"/>
        <w:bottom w:val="none" w:sz="0" w:space="0" w:color="auto"/>
        <w:right w:val="none" w:sz="0" w:space="0" w:color="auto"/>
      </w:divBdr>
    </w:div>
    <w:div w:id="213123469">
      <w:marLeft w:val="0"/>
      <w:marRight w:val="0"/>
      <w:marTop w:val="0"/>
      <w:marBottom w:val="0"/>
      <w:divBdr>
        <w:top w:val="none" w:sz="0" w:space="0" w:color="auto"/>
        <w:left w:val="none" w:sz="0" w:space="0" w:color="auto"/>
        <w:bottom w:val="none" w:sz="0" w:space="0" w:color="auto"/>
        <w:right w:val="none" w:sz="0" w:space="0" w:color="auto"/>
      </w:divBdr>
    </w:div>
    <w:div w:id="213123470">
      <w:marLeft w:val="0"/>
      <w:marRight w:val="0"/>
      <w:marTop w:val="0"/>
      <w:marBottom w:val="0"/>
      <w:divBdr>
        <w:top w:val="none" w:sz="0" w:space="0" w:color="auto"/>
        <w:left w:val="none" w:sz="0" w:space="0" w:color="auto"/>
        <w:bottom w:val="none" w:sz="0" w:space="0" w:color="auto"/>
        <w:right w:val="none" w:sz="0" w:space="0" w:color="auto"/>
      </w:divBdr>
    </w:div>
    <w:div w:id="213123471">
      <w:marLeft w:val="0"/>
      <w:marRight w:val="0"/>
      <w:marTop w:val="0"/>
      <w:marBottom w:val="0"/>
      <w:divBdr>
        <w:top w:val="none" w:sz="0" w:space="0" w:color="auto"/>
        <w:left w:val="none" w:sz="0" w:space="0" w:color="auto"/>
        <w:bottom w:val="none" w:sz="0" w:space="0" w:color="auto"/>
        <w:right w:val="none" w:sz="0" w:space="0" w:color="auto"/>
      </w:divBdr>
    </w:div>
    <w:div w:id="213123472">
      <w:marLeft w:val="0"/>
      <w:marRight w:val="0"/>
      <w:marTop w:val="0"/>
      <w:marBottom w:val="0"/>
      <w:divBdr>
        <w:top w:val="none" w:sz="0" w:space="0" w:color="auto"/>
        <w:left w:val="none" w:sz="0" w:space="0" w:color="auto"/>
        <w:bottom w:val="none" w:sz="0" w:space="0" w:color="auto"/>
        <w:right w:val="none" w:sz="0" w:space="0" w:color="auto"/>
      </w:divBdr>
    </w:div>
    <w:div w:id="213123473">
      <w:marLeft w:val="0"/>
      <w:marRight w:val="0"/>
      <w:marTop w:val="0"/>
      <w:marBottom w:val="0"/>
      <w:divBdr>
        <w:top w:val="none" w:sz="0" w:space="0" w:color="auto"/>
        <w:left w:val="none" w:sz="0" w:space="0" w:color="auto"/>
        <w:bottom w:val="none" w:sz="0" w:space="0" w:color="auto"/>
        <w:right w:val="none" w:sz="0" w:space="0" w:color="auto"/>
      </w:divBdr>
    </w:div>
    <w:div w:id="213123474">
      <w:marLeft w:val="0"/>
      <w:marRight w:val="0"/>
      <w:marTop w:val="0"/>
      <w:marBottom w:val="0"/>
      <w:divBdr>
        <w:top w:val="none" w:sz="0" w:space="0" w:color="auto"/>
        <w:left w:val="none" w:sz="0" w:space="0" w:color="auto"/>
        <w:bottom w:val="none" w:sz="0" w:space="0" w:color="auto"/>
        <w:right w:val="none" w:sz="0" w:space="0" w:color="auto"/>
      </w:divBdr>
    </w:div>
    <w:div w:id="213123475">
      <w:marLeft w:val="0"/>
      <w:marRight w:val="0"/>
      <w:marTop w:val="0"/>
      <w:marBottom w:val="0"/>
      <w:divBdr>
        <w:top w:val="none" w:sz="0" w:space="0" w:color="auto"/>
        <w:left w:val="none" w:sz="0" w:space="0" w:color="auto"/>
        <w:bottom w:val="none" w:sz="0" w:space="0" w:color="auto"/>
        <w:right w:val="none" w:sz="0" w:space="0" w:color="auto"/>
      </w:divBdr>
    </w:div>
    <w:div w:id="213123476">
      <w:marLeft w:val="0"/>
      <w:marRight w:val="0"/>
      <w:marTop w:val="0"/>
      <w:marBottom w:val="0"/>
      <w:divBdr>
        <w:top w:val="none" w:sz="0" w:space="0" w:color="auto"/>
        <w:left w:val="none" w:sz="0" w:space="0" w:color="auto"/>
        <w:bottom w:val="none" w:sz="0" w:space="0" w:color="auto"/>
        <w:right w:val="none" w:sz="0" w:space="0" w:color="auto"/>
      </w:divBdr>
    </w:div>
    <w:div w:id="213123477">
      <w:marLeft w:val="0"/>
      <w:marRight w:val="0"/>
      <w:marTop w:val="0"/>
      <w:marBottom w:val="0"/>
      <w:divBdr>
        <w:top w:val="none" w:sz="0" w:space="0" w:color="auto"/>
        <w:left w:val="none" w:sz="0" w:space="0" w:color="auto"/>
        <w:bottom w:val="none" w:sz="0" w:space="0" w:color="auto"/>
        <w:right w:val="none" w:sz="0" w:space="0" w:color="auto"/>
      </w:divBdr>
    </w:div>
    <w:div w:id="213123478">
      <w:marLeft w:val="0"/>
      <w:marRight w:val="0"/>
      <w:marTop w:val="0"/>
      <w:marBottom w:val="0"/>
      <w:divBdr>
        <w:top w:val="none" w:sz="0" w:space="0" w:color="auto"/>
        <w:left w:val="none" w:sz="0" w:space="0" w:color="auto"/>
        <w:bottom w:val="none" w:sz="0" w:space="0" w:color="auto"/>
        <w:right w:val="none" w:sz="0" w:space="0" w:color="auto"/>
      </w:divBdr>
    </w:div>
    <w:div w:id="213123479">
      <w:marLeft w:val="0"/>
      <w:marRight w:val="0"/>
      <w:marTop w:val="0"/>
      <w:marBottom w:val="0"/>
      <w:divBdr>
        <w:top w:val="none" w:sz="0" w:space="0" w:color="auto"/>
        <w:left w:val="none" w:sz="0" w:space="0" w:color="auto"/>
        <w:bottom w:val="none" w:sz="0" w:space="0" w:color="auto"/>
        <w:right w:val="none" w:sz="0" w:space="0" w:color="auto"/>
      </w:divBdr>
    </w:div>
    <w:div w:id="213123480">
      <w:marLeft w:val="0"/>
      <w:marRight w:val="0"/>
      <w:marTop w:val="0"/>
      <w:marBottom w:val="0"/>
      <w:divBdr>
        <w:top w:val="none" w:sz="0" w:space="0" w:color="auto"/>
        <w:left w:val="none" w:sz="0" w:space="0" w:color="auto"/>
        <w:bottom w:val="none" w:sz="0" w:space="0" w:color="auto"/>
        <w:right w:val="none" w:sz="0" w:space="0" w:color="auto"/>
      </w:divBdr>
    </w:div>
    <w:div w:id="213123481">
      <w:marLeft w:val="0"/>
      <w:marRight w:val="0"/>
      <w:marTop w:val="0"/>
      <w:marBottom w:val="0"/>
      <w:divBdr>
        <w:top w:val="none" w:sz="0" w:space="0" w:color="auto"/>
        <w:left w:val="none" w:sz="0" w:space="0" w:color="auto"/>
        <w:bottom w:val="none" w:sz="0" w:space="0" w:color="auto"/>
        <w:right w:val="none" w:sz="0" w:space="0" w:color="auto"/>
      </w:divBdr>
    </w:div>
    <w:div w:id="213123482">
      <w:marLeft w:val="0"/>
      <w:marRight w:val="0"/>
      <w:marTop w:val="0"/>
      <w:marBottom w:val="0"/>
      <w:divBdr>
        <w:top w:val="none" w:sz="0" w:space="0" w:color="auto"/>
        <w:left w:val="none" w:sz="0" w:space="0" w:color="auto"/>
        <w:bottom w:val="none" w:sz="0" w:space="0" w:color="auto"/>
        <w:right w:val="none" w:sz="0" w:space="0" w:color="auto"/>
      </w:divBdr>
    </w:div>
    <w:div w:id="213123483">
      <w:marLeft w:val="0"/>
      <w:marRight w:val="0"/>
      <w:marTop w:val="0"/>
      <w:marBottom w:val="0"/>
      <w:divBdr>
        <w:top w:val="none" w:sz="0" w:space="0" w:color="auto"/>
        <w:left w:val="none" w:sz="0" w:space="0" w:color="auto"/>
        <w:bottom w:val="none" w:sz="0" w:space="0" w:color="auto"/>
        <w:right w:val="none" w:sz="0" w:space="0" w:color="auto"/>
      </w:divBdr>
    </w:div>
    <w:div w:id="213123484">
      <w:marLeft w:val="0"/>
      <w:marRight w:val="0"/>
      <w:marTop w:val="0"/>
      <w:marBottom w:val="0"/>
      <w:divBdr>
        <w:top w:val="none" w:sz="0" w:space="0" w:color="auto"/>
        <w:left w:val="none" w:sz="0" w:space="0" w:color="auto"/>
        <w:bottom w:val="none" w:sz="0" w:space="0" w:color="auto"/>
        <w:right w:val="none" w:sz="0" w:space="0" w:color="auto"/>
      </w:divBdr>
    </w:div>
    <w:div w:id="213123485">
      <w:marLeft w:val="0"/>
      <w:marRight w:val="0"/>
      <w:marTop w:val="0"/>
      <w:marBottom w:val="0"/>
      <w:divBdr>
        <w:top w:val="none" w:sz="0" w:space="0" w:color="auto"/>
        <w:left w:val="none" w:sz="0" w:space="0" w:color="auto"/>
        <w:bottom w:val="none" w:sz="0" w:space="0" w:color="auto"/>
        <w:right w:val="none" w:sz="0" w:space="0" w:color="auto"/>
      </w:divBdr>
    </w:div>
    <w:div w:id="213123486">
      <w:marLeft w:val="0"/>
      <w:marRight w:val="0"/>
      <w:marTop w:val="0"/>
      <w:marBottom w:val="0"/>
      <w:divBdr>
        <w:top w:val="none" w:sz="0" w:space="0" w:color="auto"/>
        <w:left w:val="none" w:sz="0" w:space="0" w:color="auto"/>
        <w:bottom w:val="none" w:sz="0" w:space="0" w:color="auto"/>
        <w:right w:val="none" w:sz="0" w:space="0" w:color="auto"/>
      </w:divBdr>
    </w:div>
    <w:div w:id="213123487">
      <w:marLeft w:val="0"/>
      <w:marRight w:val="0"/>
      <w:marTop w:val="0"/>
      <w:marBottom w:val="0"/>
      <w:divBdr>
        <w:top w:val="none" w:sz="0" w:space="0" w:color="auto"/>
        <w:left w:val="none" w:sz="0" w:space="0" w:color="auto"/>
        <w:bottom w:val="none" w:sz="0" w:space="0" w:color="auto"/>
        <w:right w:val="none" w:sz="0" w:space="0" w:color="auto"/>
      </w:divBdr>
    </w:div>
    <w:div w:id="213123488">
      <w:marLeft w:val="0"/>
      <w:marRight w:val="0"/>
      <w:marTop w:val="0"/>
      <w:marBottom w:val="0"/>
      <w:divBdr>
        <w:top w:val="none" w:sz="0" w:space="0" w:color="auto"/>
        <w:left w:val="none" w:sz="0" w:space="0" w:color="auto"/>
        <w:bottom w:val="none" w:sz="0" w:space="0" w:color="auto"/>
        <w:right w:val="none" w:sz="0" w:space="0" w:color="auto"/>
      </w:divBdr>
    </w:div>
    <w:div w:id="213123489">
      <w:marLeft w:val="0"/>
      <w:marRight w:val="0"/>
      <w:marTop w:val="0"/>
      <w:marBottom w:val="0"/>
      <w:divBdr>
        <w:top w:val="none" w:sz="0" w:space="0" w:color="auto"/>
        <w:left w:val="none" w:sz="0" w:space="0" w:color="auto"/>
        <w:bottom w:val="none" w:sz="0" w:space="0" w:color="auto"/>
        <w:right w:val="none" w:sz="0" w:space="0" w:color="auto"/>
      </w:divBdr>
    </w:div>
    <w:div w:id="213123490">
      <w:marLeft w:val="0"/>
      <w:marRight w:val="0"/>
      <w:marTop w:val="0"/>
      <w:marBottom w:val="0"/>
      <w:divBdr>
        <w:top w:val="none" w:sz="0" w:space="0" w:color="auto"/>
        <w:left w:val="none" w:sz="0" w:space="0" w:color="auto"/>
        <w:bottom w:val="none" w:sz="0" w:space="0" w:color="auto"/>
        <w:right w:val="none" w:sz="0" w:space="0" w:color="auto"/>
      </w:divBdr>
    </w:div>
    <w:div w:id="213123491">
      <w:marLeft w:val="0"/>
      <w:marRight w:val="0"/>
      <w:marTop w:val="0"/>
      <w:marBottom w:val="0"/>
      <w:divBdr>
        <w:top w:val="none" w:sz="0" w:space="0" w:color="auto"/>
        <w:left w:val="none" w:sz="0" w:space="0" w:color="auto"/>
        <w:bottom w:val="none" w:sz="0" w:space="0" w:color="auto"/>
        <w:right w:val="none" w:sz="0" w:space="0" w:color="auto"/>
      </w:divBdr>
    </w:div>
    <w:div w:id="213123492">
      <w:marLeft w:val="0"/>
      <w:marRight w:val="0"/>
      <w:marTop w:val="0"/>
      <w:marBottom w:val="0"/>
      <w:divBdr>
        <w:top w:val="none" w:sz="0" w:space="0" w:color="auto"/>
        <w:left w:val="none" w:sz="0" w:space="0" w:color="auto"/>
        <w:bottom w:val="none" w:sz="0" w:space="0" w:color="auto"/>
        <w:right w:val="none" w:sz="0" w:space="0" w:color="auto"/>
      </w:divBdr>
    </w:div>
    <w:div w:id="213123493">
      <w:marLeft w:val="0"/>
      <w:marRight w:val="0"/>
      <w:marTop w:val="0"/>
      <w:marBottom w:val="0"/>
      <w:divBdr>
        <w:top w:val="none" w:sz="0" w:space="0" w:color="auto"/>
        <w:left w:val="none" w:sz="0" w:space="0" w:color="auto"/>
        <w:bottom w:val="none" w:sz="0" w:space="0" w:color="auto"/>
        <w:right w:val="none" w:sz="0" w:space="0" w:color="auto"/>
      </w:divBdr>
    </w:div>
    <w:div w:id="213123494">
      <w:marLeft w:val="0"/>
      <w:marRight w:val="0"/>
      <w:marTop w:val="0"/>
      <w:marBottom w:val="0"/>
      <w:divBdr>
        <w:top w:val="none" w:sz="0" w:space="0" w:color="auto"/>
        <w:left w:val="none" w:sz="0" w:space="0" w:color="auto"/>
        <w:bottom w:val="none" w:sz="0" w:space="0" w:color="auto"/>
        <w:right w:val="none" w:sz="0" w:space="0" w:color="auto"/>
      </w:divBdr>
    </w:div>
    <w:div w:id="213123495">
      <w:marLeft w:val="0"/>
      <w:marRight w:val="0"/>
      <w:marTop w:val="0"/>
      <w:marBottom w:val="0"/>
      <w:divBdr>
        <w:top w:val="none" w:sz="0" w:space="0" w:color="auto"/>
        <w:left w:val="none" w:sz="0" w:space="0" w:color="auto"/>
        <w:bottom w:val="none" w:sz="0" w:space="0" w:color="auto"/>
        <w:right w:val="none" w:sz="0" w:space="0" w:color="auto"/>
      </w:divBdr>
    </w:div>
    <w:div w:id="213123496">
      <w:marLeft w:val="0"/>
      <w:marRight w:val="0"/>
      <w:marTop w:val="0"/>
      <w:marBottom w:val="0"/>
      <w:divBdr>
        <w:top w:val="none" w:sz="0" w:space="0" w:color="auto"/>
        <w:left w:val="none" w:sz="0" w:space="0" w:color="auto"/>
        <w:bottom w:val="none" w:sz="0" w:space="0" w:color="auto"/>
        <w:right w:val="none" w:sz="0" w:space="0" w:color="auto"/>
      </w:divBdr>
    </w:div>
    <w:div w:id="213123497">
      <w:marLeft w:val="0"/>
      <w:marRight w:val="0"/>
      <w:marTop w:val="0"/>
      <w:marBottom w:val="0"/>
      <w:divBdr>
        <w:top w:val="none" w:sz="0" w:space="0" w:color="auto"/>
        <w:left w:val="none" w:sz="0" w:space="0" w:color="auto"/>
        <w:bottom w:val="none" w:sz="0" w:space="0" w:color="auto"/>
        <w:right w:val="none" w:sz="0" w:space="0" w:color="auto"/>
      </w:divBdr>
    </w:div>
    <w:div w:id="213123498">
      <w:marLeft w:val="0"/>
      <w:marRight w:val="0"/>
      <w:marTop w:val="0"/>
      <w:marBottom w:val="0"/>
      <w:divBdr>
        <w:top w:val="none" w:sz="0" w:space="0" w:color="auto"/>
        <w:left w:val="none" w:sz="0" w:space="0" w:color="auto"/>
        <w:bottom w:val="none" w:sz="0" w:space="0" w:color="auto"/>
        <w:right w:val="none" w:sz="0" w:space="0" w:color="auto"/>
      </w:divBdr>
    </w:div>
    <w:div w:id="213123499">
      <w:marLeft w:val="0"/>
      <w:marRight w:val="0"/>
      <w:marTop w:val="0"/>
      <w:marBottom w:val="0"/>
      <w:divBdr>
        <w:top w:val="none" w:sz="0" w:space="0" w:color="auto"/>
        <w:left w:val="none" w:sz="0" w:space="0" w:color="auto"/>
        <w:bottom w:val="none" w:sz="0" w:space="0" w:color="auto"/>
        <w:right w:val="none" w:sz="0" w:space="0" w:color="auto"/>
      </w:divBdr>
    </w:div>
    <w:div w:id="213123500">
      <w:marLeft w:val="0"/>
      <w:marRight w:val="0"/>
      <w:marTop w:val="0"/>
      <w:marBottom w:val="0"/>
      <w:divBdr>
        <w:top w:val="none" w:sz="0" w:space="0" w:color="auto"/>
        <w:left w:val="none" w:sz="0" w:space="0" w:color="auto"/>
        <w:bottom w:val="none" w:sz="0" w:space="0" w:color="auto"/>
        <w:right w:val="none" w:sz="0" w:space="0" w:color="auto"/>
      </w:divBdr>
    </w:div>
    <w:div w:id="213123501">
      <w:marLeft w:val="0"/>
      <w:marRight w:val="0"/>
      <w:marTop w:val="0"/>
      <w:marBottom w:val="0"/>
      <w:divBdr>
        <w:top w:val="none" w:sz="0" w:space="0" w:color="auto"/>
        <w:left w:val="none" w:sz="0" w:space="0" w:color="auto"/>
        <w:bottom w:val="none" w:sz="0" w:space="0" w:color="auto"/>
        <w:right w:val="none" w:sz="0" w:space="0" w:color="auto"/>
      </w:divBdr>
    </w:div>
    <w:div w:id="213123502">
      <w:marLeft w:val="0"/>
      <w:marRight w:val="0"/>
      <w:marTop w:val="0"/>
      <w:marBottom w:val="0"/>
      <w:divBdr>
        <w:top w:val="none" w:sz="0" w:space="0" w:color="auto"/>
        <w:left w:val="none" w:sz="0" w:space="0" w:color="auto"/>
        <w:bottom w:val="none" w:sz="0" w:space="0" w:color="auto"/>
        <w:right w:val="none" w:sz="0" w:space="0" w:color="auto"/>
      </w:divBdr>
    </w:div>
    <w:div w:id="213123503">
      <w:marLeft w:val="0"/>
      <w:marRight w:val="0"/>
      <w:marTop w:val="0"/>
      <w:marBottom w:val="0"/>
      <w:divBdr>
        <w:top w:val="none" w:sz="0" w:space="0" w:color="auto"/>
        <w:left w:val="none" w:sz="0" w:space="0" w:color="auto"/>
        <w:bottom w:val="none" w:sz="0" w:space="0" w:color="auto"/>
        <w:right w:val="none" w:sz="0" w:space="0" w:color="auto"/>
      </w:divBdr>
    </w:div>
    <w:div w:id="213123504">
      <w:marLeft w:val="0"/>
      <w:marRight w:val="0"/>
      <w:marTop w:val="0"/>
      <w:marBottom w:val="0"/>
      <w:divBdr>
        <w:top w:val="none" w:sz="0" w:space="0" w:color="auto"/>
        <w:left w:val="none" w:sz="0" w:space="0" w:color="auto"/>
        <w:bottom w:val="none" w:sz="0" w:space="0" w:color="auto"/>
        <w:right w:val="none" w:sz="0" w:space="0" w:color="auto"/>
      </w:divBdr>
    </w:div>
    <w:div w:id="213123505">
      <w:marLeft w:val="0"/>
      <w:marRight w:val="0"/>
      <w:marTop w:val="0"/>
      <w:marBottom w:val="0"/>
      <w:divBdr>
        <w:top w:val="none" w:sz="0" w:space="0" w:color="auto"/>
        <w:left w:val="none" w:sz="0" w:space="0" w:color="auto"/>
        <w:bottom w:val="none" w:sz="0" w:space="0" w:color="auto"/>
        <w:right w:val="none" w:sz="0" w:space="0" w:color="auto"/>
      </w:divBdr>
    </w:div>
    <w:div w:id="213123506">
      <w:marLeft w:val="0"/>
      <w:marRight w:val="0"/>
      <w:marTop w:val="0"/>
      <w:marBottom w:val="0"/>
      <w:divBdr>
        <w:top w:val="none" w:sz="0" w:space="0" w:color="auto"/>
        <w:left w:val="none" w:sz="0" w:space="0" w:color="auto"/>
        <w:bottom w:val="none" w:sz="0" w:space="0" w:color="auto"/>
        <w:right w:val="none" w:sz="0" w:space="0" w:color="auto"/>
      </w:divBdr>
    </w:div>
    <w:div w:id="213123507">
      <w:marLeft w:val="0"/>
      <w:marRight w:val="0"/>
      <w:marTop w:val="0"/>
      <w:marBottom w:val="0"/>
      <w:divBdr>
        <w:top w:val="none" w:sz="0" w:space="0" w:color="auto"/>
        <w:left w:val="none" w:sz="0" w:space="0" w:color="auto"/>
        <w:bottom w:val="none" w:sz="0" w:space="0" w:color="auto"/>
        <w:right w:val="none" w:sz="0" w:space="0" w:color="auto"/>
      </w:divBdr>
    </w:div>
    <w:div w:id="213123508">
      <w:marLeft w:val="0"/>
      <w:marRight w:val="0"/>
      <w:marTop w:val="0"/>
      <w:marBottom w:val="0"/>
      <w:divBdr>
        <w:top w:val="none" w:sz="0" w:space="0" w:color="auto"/>
        <w:left w:val="none" w:sz="0" w:space="0" w:color="auto"/>
        <w:bottom w:val="none" w:sz="0" w:space="0" w:color="auto"/>
        <w:right w:val="none" w:sz="0" w:space="0" w:color="auto"/>
      </w:divBdr>
    </w:div>
    <w:div w:id="213123509">
      <w:marLeft w:val="0"/>
      <w:marRight w:val="0"/>
      <w:marTop w:val="0"/>
      <w:marBottom w:val="0"/>
      <w:divBdr>
        <w:top w:val="none" w:sz="0" w:space="0" w:color="auto"/>
        <w:left w:val="none" w:sz="0" w:space="0" w:color="auto"/>
        <w:bottom w:val="none" w:sz="0" w:space="0" w:color="auto"/>
        <w:right w:val="none" w:sz="0" w:space="0" w:color="auto"/>
      </w:divBdr>
    </w:div>
    <w:div w:id="213123510">
      <w:marLeft w:val="0"/>
      <w:marRight w:val="0"/>
      <w:marTop w:val="0"/>
      <w:marBottom w:val="0"/>
      <w:divBdr>
        <w:top w:val="none" w:sz="0" w:space="0" w:color="auto"/>
        <w:left w:val="none" w:sz="0" w:space="0" w:color="auto"/>
        <w:bottom w:val="none" w:sz="0" w:space="0" w:color="auto"/>
        <w:right w:val="none" w:sz="0" w:space="0" w:color="auto"/>
      </w:divBdr>
    </w:div>
    <w:div w:id="213123511">
      <w:marLeft w:val="0"/>
      <w:marRight w:val="0"/>
      <w:marTop w:val="0"/>
      <w:marBottom w:val="0"/>
      <w:divBdr>
        <w:top w:val="none" w:sz="0" w:space="0" w:color="auto"/>
        <w:left w:val="none" w:sz="0" w:space="0" w:color="auto"/>
        <w:bottom w:val="none" w:sz="0" w:space="0" w:color="auto"/>
        <w:right w:val="none" w:sz="0" w:space="0" w:color="auto"/>
      </w:divBdr>
    </w:div>
    <w:div w:id="213123512">
      <w:marLeft w:val="0"/>
      <w:marRight w:val="0"/>
      <w:marTop w:val="0"/>
      <w:marBottom w:val="0"/>
      <w:divBdr>
        <w:top w:val="none" w:sz="0" w:space="0" w:color="auto"/>
        <w:left w:val="none" w:sz="0" w:space="0" w:color="auto"/>
        <w:bottom w:val="none" w:sz="0" w:space="0" w:color="auto"/>
        <w:right w:val="none" w:sz="0" w:space="0" w:color="auto"/>
      </w:divBdr>
    </w:div>
    <w:div w:id="213123513">
      <w:marLeft w:val="0"/>
      <w:marRight w:val="0"/>
      <w:marTop w:val="0"/>
      <w:marBottom w:val="0"/>
      <w:divBdr>
        <w:top w:val="none" w:sz="0" w:space="0" w:color="auto"/>
        <w:left w:val="none" w:sz="0" w:space="0" w:color="auto"/>
        <w:bottom w:val="none" w:sz="0" w:space="0" w:color="auto"/>
        <w:right w:val="none" w:sz="0" w:space="0" w:color="auto"/>
      </w:divBdr>
    </w:div>
    <w:div w:id="213123514">
      <w:marLeft w:val="0"/>
      <w:marRight w:val="0"/>
      <w:marTop w:val="0"/>
      <w:marBottom w:val="0"/>
      <w:divBdr>
        <w:top w:val="none" w:sz="0" w:space="0" w:color="auto"/>
        <w:left w:val="none" w:sz="0" w:space="0" w:color="auto"/>
        <w:bottom w:val="none" w:sz="0" w:space="0" w:color="auto"/>
        <w:right w:val="none" w:sz="0" w:space="0" w:color="auto"/>
      </w:divBdr>
    </w:div>
    <w:div w:id="213123515">
      <w:marLeft w:val="0"/>
      <w:marRight w:val="0"/>
      <w:marTop w:val="0"/>
      <w:marBottom w:val="0"/>
      <w:divBdr>
        <w:top w:val="none" w:sz="0" w:space="0" w:color="auto"/>
        <w:left w:val="none" w:sz="0" w:space="0" w:color="auto"/>
        <w:bottom w:val="none" w:sz="0" w:space="0" w:color="auto"/>
        <w:right w:val="none" w:sz="0" w:space="0" w:color="auto"/>
      </w:divBdr>
    </w:div>
    <w:div w:id="213123516">
      <w:marLeft w:val="0"/>
      <w:marRight w:val="0"/>
      <w:marTop w:val="0"/>
      <w:marBottom w:val="0"/>
      <w:divBdr>
        <w:top w:val="none" w:sz="0" w:space="0" w:color="auto"/>
        <w:left w:val="none" w:sz="0" w:space="0" w:color="auto"/>
        <w:bottom w:val="none" w:sz="0" w:space="0" w:color="auto"/>
        <w:right w:val="none" w:sz="0" w:space="0" w:color="auto"/>
      </w:divBdr>
    </w:div>
    <w:div w:id="213123517">
      <w:marLeft w:val="0"/>
      <w:marRight w:val="0"/>
      <w:marTop w:val="0"/>
      <w:marBottom w:val="0"/>
      <w:divBdr>
        <w:top w:val="none" w:sz="0" w:space="0" w:color="auto"/>
        <w:left w:val="none" w:sz="0" w:space="0" w:color="auto"/>
        <w:bottom w:val="none" w:sz="0" w:space="0" w:color="auto"/>
        <w:right w:val="none" w:sz="0" w:space="0" w:color="auto"/>
      </w:divBdr>
    </w:div>
    <w:div w:id="213123518">
      <w:marLeft w:val="0"/>
      <w:marRight w:val="0"/>
      <w:marTop w:val="0"/>
      <w:marBottom w:val="0"/>
      <w:divBdr>
        <w:top w:val="none" w:sz="0" w:space="0" w:color="auto"/>
        <w:left w:val="none" w:sz="0" w:space="0" w:color="auto"/>
        <w:bottom w:val="none" w:sz="0" w:space="0" w:color="auto"/>
        <w:right w:val="none" w:sz="0" w:space="0" w:color="auto"/>
      </w:divBdr>
    </w:div>
    <w:div w:id="213123519">
      <w:marLeft w:val="0"/>
      <w:marRight w:val="0"/>
      <w:marTop w:val="0"/>
      <w:marBottom w:val="0"/>
      <w:divBdr>
        <w:top w:val="none" w:sz="0" w:space="0" w:color="auto"/>
        <w:left w:val="none" w:sz="0" w:space="0" w:color="auto"/>
        <w:bottom w:val="none" w:sz="0" w:space="0" w:color="auto"/>
        <w:right w:val="none" w:sz="0" w:space="0" w:color="auto"/>
      </w:divBdr>
    </w:div>
    <w:div w:id="213123520">
      <w:marLeft w:val="0"/>
      <w:marRight w:val="0"/>
      <w:marTop w:val="0"/>
      <w:marBottom w:val="0"/>
      <w:divBdr>
        <w:top w:val="none" w:sz="0" w:space="0" w:color="auto"/>
        <w:left w:val="none" w:sz="0" w:space="0" w:color="auto"/>
        <w:bottom w:val="none" w:sz="0" w:space="0" w:color="auto"/>
        <w:right w:val="none" w:sz="0" w:space="0" w:color="auto"/>
      </w:divBdr>
    </w:div>
    <w:div w:id="213123521">
      <w:marLeft w:val="0"/>
      <w:marRight w:val="0"/>
      <w:marTop w:val="0"/>
      <w:marBottom w:val="0"/>
      <w:divBdr>
        <w:top w:val="none" w:sz="0" w:space="0" w:color="auto"/>
        <w:left w:val="none" w:sz="0" w:space="0" w:color="auto"/>
        <w:bottom w:val="none" w:sz="0" w:space="0" w:color="auto"/>
        <w:right w:val="none" w:sz="0" w:space="0" w:color="auto"/>
      </w:divBdr>
    </w:div>
    <w:div w:id="213123522">
      <w:marLeft w:val="0"/>
      <w:marRight w:val="0"/>
      <w:marTop w:val="0"/>
      <w:marBottom w:val="0"/>
      <w:divBdr>
        <w:top w:val="none" w:sz="0" w:space="0" w:color="auto"/>
        <w:left w:val="none" w:sz="0" w:space="0" w:color="auto"/>
        <w:bottom w:val="none" w:sz="0" w:space="0" w:color="auto"/>
        <w:right w:val="none" w:sz="0" w:space="0" w:color="auto"/>
      </w:divBdr>
    </w:div>
    <w:div w:id="213123523">
      <w:marLeft w:val="0"/>
      <w:marRight w:val="0"/>
      <w:marTop w:val="0"/>
      <w:marBottom w:val="0"/>
      <w:divBdr>
        <w:top w:val="none" w:sz="0" w:space="0" w:color="auto"/>
        <w:left w:val="none" w:sz="0" w:space="0" w:color="auto"/>
        <w:bottom w:val="none" w:sz="0" w:space="0" w:color="auto"/>
        <w:right w:val="none" w:sz="0" w:space="0" w:color="auto"/>
      </w:divBdr>
    </w:div>
    <w:div w:id="213123525">
      <w:marLeft w:val="0"/>
      <w:marRight w:val="0"/>
      <w:marTop w:val="0"/>
      <w:marBottom w:val="0"/>
      <w:divBdr>
        <w:top w:val="none" w:sz="0" w:space="0" w:color="auto"/>
        <w:left w:val="none" w:sz="0" w:space="0" w:color="auto"/>
        <w:bottom w:val="none" w:sz="0" w:space="0" w:color="auto"/>
        <w:right w:val="none" w:sz="0" w:space="0" w:color="auto"/>
      </w:divBdr>
    </w:div>
    <w:div w:id="213123526">
      <w:marLeft w:val="0"/>
      <w:marRight w:val="0"/>
      <w:marTop w:val="0"/>
      <w:marBottom w:val="0"/>
      <w:divBdr>
        <w:top w:val="none" w:sz="0" w:space="0" w:color="auto"/>
        <w:left w:val="none" w:sz="0" w:space="0" w:color="auto"/>
        <w:bottom w:val="none" w:sz="0" w:space="0" w:color="auto"/>
        <w:right w:val="none" w:sz="0" w:space="0" w:color="auto"/>
      </w:divBdr>
    </w:div>
    <w:div w:id="213123527">
      <w:marLeft w:val="0"/>
      <w:marRight w:val="0"/>
      <w:marTop w:val="0"/>
      <w:marBottom w:val="0"/>
      <w:divBdr>
        <w:top w:val="none" w:sz="0" w:space="0" w:color="auto"/>
        <w:left w:val="none" w:sz="0" w:space="0" w:color="auto"/>
        <w:bottom w:val="none" w:sz="0" w:space="0" w:color="auto"/>
        <w:right w:val="none" w:sz="0" w:space="0" w:color="auto"/>
      </w:divBdr>
    </w:div>
    <w:div w:id="213123528">
      <w:marLeft w:val="0"/>
      <w:marRight w:val="0"/>
      <w:marTop w:val="0"/>
      <w:marBottom w:val="0"/>
      <w:divBdr>
        <w:top w:val="none" w:sz="0" w:space="0" w:color="auto"/>
        <w:left w:val="none" w:sz="0" w:space="0" w:color="auto"/>
        <w:bottom w:val="none" w:sz="0" w:space="0" w:color="auto"/>
        <w:right w:val="none" w:sz="0" w:space="0" w:color="auto"/>
      </w:divBdr>
    </w:div>
    <w:div w:id="213123529">
      <w:marLeft w:val="0"/>
      <w:marRight w:val="0"/>
      <w:marTop w:val="0"/>
      <w:marBottom w:val="0"/>
      <w:divBdr>
        <w:top w:val="none" w:sz="0" w:space="0" w:color="auto"/>
        <w:left w:val="none" w:sz="0" w:space="0" w:color="auto"/>
        <w:bottom w:val="none" w:sz="0" w:space="0" w:color="auto"/>
        <w:right w:val="none" w:sz="0" w:space="0" w:color="auto"/>
      </w:divBdr>
    </w:div>
    <w:div w:id="213123530">
      <w:marLeft w:val="0"/>
      <w:marRight w:val="0"/>
      <w:marTop w:val="0"/>
      <w:marBottom w:val="0"/>
      <w:divBdr>
        <w:top w:val="none" w:sz="0" w:space="0" w:color="auto"/>
        <w:left w:val="none" w:sz="0" w:space="0" w:color="auto"/>
        <w:bottom w:val="none" w:sz="0" w:space="0" w:color="auto"/>
        <w:right w:val="none" w:sz="0" w:space="0" w:color="auto"/>
      </w:divBdr>
    </w:div>
    <w:div w:id="213123531">
      <w:marLeft w:val="0"/>
      <w:marRight w:val="0"/>
      <w:marTop w:val="0"/>
      <w:marBottom w:val="0"/>
      <w:divBdr>
        <w:top w:val="none" w:sz="0" w:space="0" w:color="auto"/>
        <w:left w:val="none" w:sz="0" w:space="0" w:color="auto"/>
        <w:bottom w:val="none" w:sz="0" w:space="0" w:color="auto"/>
        <w:right w:val="none" w:sz="0" w:space="0" w:color="auto"/>
      </w:divBdr>
    </w:div>
    <w:div w:id="213123532">
      <w:marLeft w:val="0"/>
      <w:marRight w:val="0"/>
      <w:marTop w:val="0"/>
      <w:marBottom w:val="0"/>
      <w:divBdr>
        <w:top w:val="none" w:sz="0" w:space="0" w:color="auto"/>
        <w:left w:val="none" w:sz="0" w:space="0" w:color="auto"/>
        <w:bottom w:val="none" w:sz="0" w:space="0" w:color="auto"/>
        <w:right w:val="none" w:sz="0" w:space="0" w:color="auto"/>
      </w:divBdr>
    </w:div>
    <w:div w:id="213123533">
      <w:marLeft w:val="0"/>
      <w:marRight w:val="0"/>
      <w:marTop w:val="0"/>
      <w:marBottom w:val="0"/>
      <w:divBdr>
        <w:top w:val="none" w:sz="0" w:space="0" w:color="auto"/>
        <w:left w:val="none" w:sz="0" w:space="0" w:color="auto"/>
        <w:bottom w:val="none" w:sz="0" w:space="0" w:color="auto"/>
        <w:right w:val="none" w:sz="0" w:space="0" w:color="auto"/>
      </w:divBdr>
    </w:div>
    <w:div w:id="213123534">
      <w:marLeft w:val="0"/>
      <w:marRight w:val="0"/>
      <w:marTop w:val="0"/>
      <w:marBottom w:val="0"/>
      <w:divBdr>
        <w:top w:val="none" w:sz="0" w:space="0" w:color="auto"/>
        <w:left w:val="none" w:sz="0" w:space="0" w:color="auto"/>
        <w:bottom w:val="none" w:sz="0" w:space="0" w:color="auto"/>
        <w:right w:val="none" w:sz="0" w:space="0" w:color="auto"/>
      </w:divBdr>
    </w:div>
    <w:div w:id="213123535">
      <w:marLeft w:val="0"/>
      <w:marRight w:val="0"/>
      <w:marTop w:val="0"/>
      <w:marBottom w:val="0"/>
      <w:divBdr>
        <w:top w:val="none" w:sz="0" w:space="0" w:color="auto"/>
        <w:left w:val="none" w:sz="0" w:space="0" w:color="auto"/>
        <w:bottom w:val="none" w:sz="0" w:space="0" w:color="auto"/>
        <w:right w:val="none" w:sz="0" w:space="0" w:color="auto"/>
      </w:divBdr>
    </w:div>
    <w:div w:id="213123537">
      <w:marLeft w:val="0"/>
      <w:marRight w:val="0"/>
      <w:marTop w:val="0"/>
      <w:marBottom w:val="0"/>
      <w:divBdr>
        <w:top w:val="none" w:sz="0" w:space="0" w:color="auto"/>
        <w:left w:val="none" w:sz="0" w:space="0" w:color="auto"/>
        <w:bottom w:val="none" w:sz="0" w:space="0" w:color="auto"/>
        <w:right w:val="none" w:sz="0" w:space="0" w:color="auto"/>
      </w:divBdr>
    </w:div>
    <w:div w:id="213123538">
      <w:marLeft w:val="0"/>
      <w:marRight w:val="0"/>
      <w:marTop w:val="0"/>
      <w:marBottom w:val="0"/>
      <w:divBdr>
        <w:top w:val="none" w:sz="0" w:space="0" w:color="auto"/>
        <w:left w:val="none" w:sz="0" w:space="0" w:color="auto"/>
        <w:bottom w:val="none" w:sz="0" w:space="0" w:color="auto"/>
        <w:right w:val="none" w:sz="0" w:space="0" w:color="auto"/>
      </w:divBdr>
    </w:div>
    <w:div w:id="213123539">
      <w:marLeft w:val="0"/>
      <w:marRight w:val="0"/>
      <w:marTop w:val="0"/>
      <w:marBottom w:val="0"/>
      <w:divBdr>
        <w:top w:val="none" w:sz="0" w:space="0" w:color="auto"/>
        <w:left w:val="none" w:sz="0" w:space="0" w:color="auto"/>
        <w:bottom w:val="none" w:sz="0" w:space="0" w:color="auto"/>
        <w:right w:val="none" w:sz="0" w:space="0" w:color="auto"/>
      </w:divBdr>
    </w:div>
    <w:div w:id="213123540">
      <w:marLeft w:val="0"/>
      <w:marRight w:val="0"/>
      <w:marTop w:val="0"/>
      <w:marBottom w:val="0"/>
      <w:divBdr>
        <w:top w:val="none" w:sz="0" w:space="0" w:color="auto"/>
        <w:left w:val="none" w:sz="0" w:space="0" w:color="auto"/>
        <w:bottom w:val="none" w:sz="0" w:space="0" w:color="auto"/>
        <w:right w:val="none" w:sz="0" w:space="0" w:color="auto"/>
      </w:divBdr>
    </w:div>
    <w:div w:id="213123541">
      <w:marLeft w:val="0"/>
      <w:marRight w:val="0"/>
      <w:marTop w:val="0"/>
      <w:marBottom w:val="0"/>
      <w:divBdr>
        <w:top w:val="none" w:sz="0" w:space="0" w:color="auto"/>
        <w:left w:val="none" w:sz="0" w:space="0" w:color="auto"/>
        <w:bottom w:val="none" w:sz="0" w:space="0" w:color="auto"/>
        <w:right w:val="none" w:sz="0" w:space="0" w:color="auto"/>
      </w:divBdr>
    </w:div>
    <w:div w:id="213123542">
      <w:marLeft w:val="0"/>
      <w:marRight w:val="0"/>
      <w:marTop w:val="0"/>
      <w:marBottom w:val="0"/>
      <w:divBdr>
        <w:top w:val="none" w:sz="0" w:space="0" w:color="auto"/>
        <w:left w:val="none" w:sz="0" w:space="0" w:color="auto"/>
        <w:bottom w:val="none" w:sz="0" w:space="0" w:color="auto"/>
        <w:right w:val="none" w:sz="0" w:space="0" w:color="auto"/>
      </w:divBdr>
    </w:div>
    <w:div w:id="213123543">
      <w:marLeft w:val="0"/>
      <w:marRight w:val="0"/>
      <w:marTop w:val="0"/>
      <w:marBottom w:val="0"/>
      <w:divBdr>
        <w:top w:val="none" w:sz="0" w:space="0" w:color="auto"/>
        <w:left w:val="none" w:sz="0" w:space="0" w:color="auto"/>
        <w:bottom w:val="none" w:sz="0" w:space="0" w:color="auto"/>
        <w:right w:val="none" w:sz="0" w:space="0" w:color="auto"/>
      </w:divBdr>
    </w:div>
    <w:div w:id="213123544">
      <w:marLeft w:val="0"/>
      <w:marRight w:val="0"/>
      <w:marTop w:val="0"/>
      <w:marBottom w:val="0"/>
      <w:divBdr>
        <w:top w:val="none" w:sz="0" w:space="0" w:color="auto"/>
        <w:left w:val="none" w:sz="0" w:space="0" w:color="auto"/>
        <w:bottom w:val="none" w:sz="0" w:space="0" w:color="auto"/>
        <w:right w:val="none" w:sz="0" w:space="0" w:color="auto"/>
      </w:divBdr>
    </w:div>
    <w:div w:id="213123545">
      <w:marLeft w:val="0"/>
      <w:marRight w:val="0"/>
      <w:marTop w:val="0"/>
      <w:marBottom w:val="0"/>
      <w:divBdr>
        <w:top w:val="none" w:sz="0" w:space="0" w:color="auto"/>
        <w:left w:val="none" w:sz="0" w:space="0" w:color="auto"/>
        <w:bottom w:val="none" w:sz="0" w:space="0" w:color="auto"/>
        <w:right w:val="none" w:sz="0" w:space="0" w:color="auto"/>
      </w:divBdr>
    </w:div>
    <w:div w:id="213123546">
      <w:marLeft w:val="0"/>
      <w:marRight w:val="0"/>
      <w:marTop w:val="0"/>
      <w:marBottom w:val="0"/>
      <w:divBdr>
        <w:top w:val="none" w:sz="0" w:space="0" w:color="auto"/>
        <w:left w:val="none" w:sz="0" w:space="0" w:color="auto"/>
        <w:bottom w:val="none" w:sz="0" w:space="0" w:color="auto"/>
        <w:right w:val="none" w:sz="0" w:space="0" w:color="auto"/>
      </w:divBdr>
    </w:div>
    <w:div w:id="213123547">
      <w:marLeft w:val="0"/>
      <w:marRight w:val="0"/>
      <w:marTop w:val="0"/>
      <w:marBottom w:val="0"/>
      <w:divBdr>
        <w:top w:val="none" w:sz="0" w:space="0" w:color="auto"/>
        <w:left w:val="none" w:sz="0" w:space="0" w:color="auto"/>
        <w:bottom w:val="none" w:sz="0" w:space="0" w:color="auto"/>
        <w:right w:val="none" w:sz="0" w:space="0" w:color="auto"/>
      </w:divBdr>
    </w:div>
    <w:div w:id="213123548">
      <w:marLeft w:val="0"/>
      <w:marRight w:val="0"/>
      <w:marTop w:val="0"/>
      <w:marBottom w:val="0"/>
      <w:divBdr>
        <w:top w:val="none" w:sz="0" w:space="0" w:color="auto"/>
        <w:left w:val="none" w:sz="0" w:space="0" w:color="auto"/>
        <w:bottom w:val="none" w:sz="0" w:space="0" w:color="auto"/>
        <w:right w:val="none" w:sz="0" w:space="0" w:color="auto"/>
      </w:divBdr>
    </w:div>
    <w:div w:id="213123549">
      <w:marLeft w:val="0"/>
      <w:marRight w:val="0"/>
      <w:marTop w:val="0"/>
      <w:marBottom w:val="0"/>
      <w:divBdr>
        <w:top w:val="none" w:sz="0" w:space="0" w:color="auto"/>
        <w:left w:val="none" w:sz="0" w:space="0" w:color="auto"/>
        <w:bottom w:val="none" w:sz="0" w:space="0" w:color="auto"/>
        <w:right w:val="none" w:sz="0" w:space="0" w:color="auto"/>
      </w:divBdr>
    </w:div>
    <w:div w:id="213123550">
      <w:marLeft w:val="0"/>
      <w:marRight w:val="0"/>
      <w:marTop w:val="0"/>
      <w:marBottom w:val="0"/>
      <w:divBdr>
        <w:top w:val="none" w:sz="0" w:space="0" w:color="auto"/>
        <w:left w:val="none" w:sz="0" w:space="0" w:color="auto"/>
        <w:bottom w:val="none" w:sz="0" w:space="0" w:color="auto"/>
        <w:right w:val="none" w:sz="0" w:space="0" w:color="auto"/>
      </w:divBdr>
    </w:div>
    <w:div w:id="213123551">
      <w:marLeft w:val="0"/>
      <w:marRight w:val="0"/>
      <w:marTop w:val="0"/>
      <w:marBottom w:val="0"/>
      <w:divBdr>
        <w:top w:val="none" w:sz="0" w:space="0" w:color="auto"/>
        <w:left w:val="none" w:sz="0" w:space="0" w:color="auto"/>
        <w:bottom w:val="none" w:sz="0" w:space="0" w:color="auto"/>
        <w:right w:val="none" w:sz="0" w:space="0" w:color="auto"/>
      </w:divBdr>
    </w:div>
    <w:div w:id="213123552">
      <w:marLeft w:val="0"/>
      <w:marRight w:val="0"/>
      <w:marTop w:val="0"/>
      <w:marBottom w:val="0"/>
      <w:divBdr>
        <w:top w:val="none" w:sz="0" w:space="0" w:color="auto"/>
        <w:left w:val="none" w:sz="0" w:space="0" w:color="auto"/>
        <w:bottom w:val="none" w:sz="0" w:space="0" w:color="auto"/>
        <w:right w:val="none" w:sz="0" w:space="0" w:color="auto"/>
      </w:divBdr>
    </w:div>
    <w:div w:id="213123553">
      <w:marLeft w:val="0"/>
      <w:marRight w:val="0"/>
      <w:marTop w:val="0"/>
      <w:marBottom w:val="0"/>
      <w:divBdr>
        <w:top w:val="none" w:sz="0" w:space="0" w:color="auto"/>
        <w:left w:val="none" w:sz="0" w:space="0" w:color="auto"/>
        <w:bottom w:val="none" w:sz="0" w:space="0" w:color="auto"/>
        <w:right w:val="none" w:sz="0" w:space="0" w:color="auto"/>
      </w:divBdr>
    </w:div>
    <w:div w:id="213123554">
      <w:marLeft w:val="0"/>
      <w:marRight w:val="0"/>
      <w:marTop w:val="0"/>
      <w:marBottom w:val="0"/>
      <w:divBdr>
        <w:top w:val="none" w:sz="0" w:space="0" w:color="auto"/>
        <w:left w:val="none" w:sz="0" w:space="0" w:color="auto"/>
        <w:bottom w:val="none" w:sz="0" w:space="0" w:color="auto"/>
        <w:right w:val="none" w:sz="0" w:space="0" w:color="auto"/>
      </w:divBdr>
    </w:div>
    <w:div w:id="213123555">
      <w:marLeft w:val="0"/>
      <w:marRight w:val="0"/>
      <w:marTop w:val="0"/>
      <w:marBottom w:val="0"/>
      <w:divBdr>
        <w:top w:val="none" w:sz="0" w:space="0" w:color="auto"/>
        <w:left w:val="none" w:sz="0" w:space="0" w:color="auto"/>
        <w:bottom w:val="none" w:sz="0" w:space="0" w:color="auto"/>
        <w:right w:val="none" w:sz="0" w:space="0" w:color="auto"/>
      </w:divBdr>
    </w:div>
    <w:div w:id="213123556">
      <w:marLeft w:val="0"/>
      <w:marRight w:val="0"/>
      <w:marTop w:val="0"/>
      <w:marBottom w:val="0"/>
      <w:divBdr>
        <w:top w:val="none" w:sz="0" w:space="0" w:color="auto"/>
        <w:left w:val="none" w:sz="0" w:space="0" w:color="auto"/>
        <w:bottom w:val="none" w:sz="0" w:space="0" w:color="auto"/>
        <w:right w:val="none" w:sz="0" w:space="0" w:color="auto"/>
      </w:divBdr>
    </w:div>
    <w:div w:id="213123557">
      <w:marLeft w:val="0"/>
      <w:marRight w:val="0"/>
      <w:marTop w:val="0"/>
      <w:marBottom w:val="0"/>
      <w:divBdr>
        <w:top w:val="none" w:sz="0" w:space="0" w:color="auto"/>
        <w:left w:val="none" w:sz="0" w:space="0" w:color="auto"/>
        <w:bottom w:val="none" w:sz="0" w:space="0" w:color="auto"/>
        <w:right w:val="none" w:sz="0" w:space="0" w:color="auto"/>
      </w:divBdr>
    </w:div>
    <w:div w:id="213123558">
      <w:marLeft w:val="0"/>
      <w:marRight w:val="0"/>
      <w:marTop w:val="0"/>
      <w:marBottom w:val="0"/>
      <w:divBdr>
        <w:top w:val="none" w:sz="0" w:space="0" w:color="auto"/>
        <w:left w:val="none" w:sz="0" w:space="0" w:color="auto"/>
        <w:bottom w:val="none" w:sz="0" w:space="0" w:color="auto"/>
        <w:right w:val="none" w:sz="0" w:space="0" w:color="auto"/>
      </w:divBdr>
    </w:div>
    <w:div w:id="213123559">
      <w:marLeft w:val="0"/>
      <w:marRight w:val="0"/>
      <w:marTop w:val="0"/>
      <w:marBottom w:val="0"/>
      <w:divBdr>
        <w:top w:val="none" w:sz="0" w:space="0" w:color="auto"/>
        <w:left w:val="none" w:sz="0" w:space="0" w:color="auto"/>
        <w:bottom w:val="none" w:sz="0" w:space="0" w:color="auto"/>
        <w:right w:val="none" w:sz="0" w:space="0" w:color="auto"/>
      </w:divBdr>
    </w:div>
    <w:div w:id="213123560">
      <w:marLeft w:val="0"/>
      <w:marRight w:val="0"/>
      <w:marTop w:val="0"/>
      <w:marBottom w:val="0"/>
      <w:divBdr>
        <w:top w:val="none" w:sz="0" w:space="0" w:color="auto"/>
        <w:left w:val="none" w:sz="0" w:space="0" w:color="auto"/>
        <w:bottom w:val="none" w:sz="0" w:space="0" w:color="auto"/>
        <w:right w:val="none" w:sz="0" w:space="0" w:color="auto"/>
      </w:divBdr>
    </w:div>
    <w:div w:id="213123561">
      <w:marLeft w:val="0"/>
      <w:marRight w:val="0"/>
      <w:marTop w:val="0"/>
      <w:marBottom w:val="0"/>
      <w:divBdr>
        <w:top w:val="none" w:sz="0" w:space="0" w:color="auto"/>
        <w:left w:val="none" w:sz="0" w:space="0" w:color="auto"/>
        <w:bottom w:val="none" w:sz="0" w:space="0" w:color="auto"/>
        <w:right w:val="none" w:sz="0" w:space="0" w:color="auto"/>
      </w:divBdr>
    </w:div>
    <w:div w:id="213123562">
      <w:marLeft w:val="0"/>
      <w:marRight w:val="0"/>
      <w:marTop w:val="0"/>
      <w:marBottom w:val="0"/>
      <w:divBdr>
        <w:top w:val="none" w:sz="0" w:space="0" w:color="auto"/>
        <w:left w:val="none" w:sz="0" w:space="0" w:color="auto"/>
        <w:bottom w:val="none" w:sz="0" w:space="0" w:color="auto"/>
        <w:right w:val="none" w:sz="0" w:space="0" w:color="auto"/>
      </w:divBdr>
    </w:div>
    <w:div w:id="213123563">
      <w:marLeft w:val="0"/>
      <w:marRight w:val="0"/>
      <w:marTop w:val="0"/>
      <w:marBottom w:val="0"/>
      <w:divBdr>
        <w:top w:val="none" w:sz="0" w:space="0" w:color="auto"/>
        <w:left w:val="none" w:sz="0" w:space="0" w:color="auto"/>
        <w:bottom w:val="none" w:sz="0" w:space="0" w:color="auto"/>
        <w:right w:val="none" w:sz="0" w:space="0" w:color="auto"/>
      </w:divBdr>
    </w:div>
    <w:div w:id="213123564">
      <w:marLeft w:val="0"/>
      <w:marRight w:val="0"/>
      <w:marTop w:val="0"/>
      <w:marBottom w:val="0"/>
      <w:divBdr>
        <w:top w:val="none" w:sz="0" w:space="0" w:color="auto"/>
        <w:left w:val="none" w:sz="0" w:space="0" w:color="auto"/>
        <w:bottom w:val="none" w:sz="0" w:space="0" w:color="auto"/>
        <w:right w:val="none" w:sz="0" w:space="0" w:color="auto"/>
      </w:divBdr>
    </w:div>
    <w:div w:id="213123565">
      <w:marLeft w:val="0"/>
      <w:marRight w:val="0"/>
      <w:marTop w:val="0"/>
      <w:marBottom w:val="0"/>
      <w:divBdr>
        <w:top w:val="none" w:sz="0" w:space="0" w:color="auto"/>
        <w:left w:val="none" w:sz="0" w:space="0" w:color="auto"/>
        <w:bottom w:val="none" w:sz="0" w:space="0" w:color="auto"/>
        <w:right w:val="none" w:sz="0" w:space="0" w:color="auto"/>
      </w:divBdr>
    </w:div>
    <w:div w:id="213123566">
      <w:marLeft w:val="0"/>
      <w:marRight w:val="0"/>
      <w:marTop w:val="0"/>
      <w:marBottom w:val="0"/>
      <w:divBdr>
        <w:top w:val="none" w:sz="0" w:space="0" w:color="auto"/>
        <w:left w:val="none" w:sz="0" w:space="0" w:color="auto"/>
        <w:bottom w:val="none" w:sz="0" w:space="0" w:color="auto"/>
        <w:right w:val="none" w:sz="0" w:space="0" w:color="auto"/>
      </w:divBdr>
    </w:div>
    <w:div w:id="213123567">
      <w:marLeft w:val="0"/>
      <w:marRight w:val="0"/>
      <w:marTop w:val="0"/>
      <w:marBottom w:val="0"/>
      <w:divBdr>
        <w:top w:val="none" w:sz="0" w:space="0" w:color="auto"/>
        <w:left w:val="none" w:sz="0" w:space="0" w:color="auto"/>
        <w:bottom w:val="none" w:sz="0" w:space="0" w:color="auto"/>
        <w:right w:val="none" w:sz="0" w:space="0" w:color="auto"/>
      </w:divBdr>
    </w:div>
    <w:div w:id="213123568">
      <w:marLeft w:val="0"/>
      <w:marRight w:val="0"/>
      <w:marTop w:val="0"/>
      <w:marBottom w:val="0"/>
      <w:divBdr>
        <w:top w:val="none" w:sz="0" w:space="0" w:color="auto"/>
        <w:left w:val="none" w:sz="0" w:space="0" w:color="auto"/>
        <w:bottom w:val="none" w:sz="0" w:space="0" w:color="auto"/>
        <w:right w:val="none" w:sz="0" w:space="0" w:color="auto"/>
      </w:divBdr>
    </w:div>
    <w:div w:id="213123569">
      <w:marLeft w:val="0"/>
      <w:marRight w:val="0"/>
      <w:marTop w:val="0"/>
      <w:marBottom w:val="0"/>
      <w:divBdr>
        <w:top w:val="none" w:sz="0" w:space="0" w:color="auto"/>
        <w:left w:val="none" w:sz="0" w:space="0" w:color="auto"/>
        <w:bottom w:val="none" w:sz="0" w:space="0" w:color="auto"/>
        <w:right w:val="none" w:sz="0" w:space="0" w:color="auto"/>
      </w:divBdr>
    </w:div>
    <w:div w:id="213123570">
      <w:marLeft w:val="0"/>
      <w:marRight w:val="0"/>
      <w:marTop w:val="0"/>
      <w:marBottom w:val="0"/>
      <w:divBdr>
        <w:top w:val="none" w:sz="0" w:space="0" w:color="auto"/>
        <w:left w:val="none" w:sz="0" w:space="0" w:color="auto"/>
        <w:bottom w:val="none" w:sz="0" w:space="0" w:color="auto"/>
        <w:right w:val="none" w:sz="0" w:space="0" w:color="auto"/>
      </w:divBdr>
    </w:div>
    <w:div w:id="213123571">
      <w:marLeft w:val="0"/>
      <w:marRight w:val="0"/>
      <w:marTop w:val="0"/>
      <w:marBottom w:val="0"/>
      <w:divBdr>
        <w:top w:val="none" w:sz="0" w:space="0" w:color="auto"/>
        <w:left w:val="none" w:sz="0" w:space="0" w:color="auto"/>
        <w:bottom w:val="none" w:sz="0" w:space="0" w:color="auto"/>
        <w:right w:val="none" w:sz="0" w:space="0" w:color="auto"/>
      </w:divBdr>
    </w:div>
    <w:div w:id="213123572">
      <w:marLeft w:val="0"/>
      <w:marRight w:val="0"/>
      <w:marTop w:val="0"/>
      <w:marBottom w:val="0"/>
      <w:divBdr>
        <w:top w:val="none" w:sz="0" w:space="0" w:color="auto"/>
        <w:left w:val="none" w:sz="0" w:space="0" w:color="auto"/>
        <w:bottom w:val="none" w:sz="0" w:space="0" w:color="auto"/>
        <w:right w:val="none" w:sz="0" w:space="0" w:color="auto"/>
      </w:divBdr>
    </w:div>
    <w:div w:id="213123573">
      <w:marLeft w:val="0"/>
      <w:marRight w:val="0"/>
      <w:marTop w:val="0"/>
      <w:marBottom w:val="0"/>
      <w:divBdr>
        <w:top w:val="none" w:sz="0" w:space="0" w:color="auto"/>
        <w:left w:val="none" w:sz="0" w:space="0" w:color="auto"/>
        <w:bottom w:val="none" w:sz="0" w:space="0" w:color="auto"/>
        <w:right w:val="none" w:sz="0" w:space="0" w:color="auto"/>
      </w:divBdr>
    </w:div>
    <w:div w:id="213123574">
      <w:marLeft w:val="0"/>
      <w:marRight w:val="0"/>
      <w:marTop w:val="0"/>
      <w:marBottom w:val="0"/>
      <w:divBdr>
        <w:top w:val="none" w:sz="0" w:space="0" w:color="auto"/>
        <w:left w:val="none" w:sz="0" w:space="0" w:color="auto"/>
        <w:bottom w:val="none" w:sz="0" w:space="0" w:color="auto"/>
        <w:right w:val="none" w:sz="0" w:space="0" w:color="auto"/>
      </w:divBdr>
    </w:div>
    <w:div w:id="213123575">
      <w:marLeft w:val="0"/>
      <w:marRight w:val="0"/>
      <w:marTop w:val="0"/>
      <w:marBottom w:val="0"/>
      <w:divBdr>
        <w:top w:val="none" w:sz="0" w:space="0" w:color="auto"/>
        <w:left w:val="none" w:sz="0" w:space="0" w:color="auto"/>
        <w:bottom w:val="none" w:sz="0" w:space="0" w:color="auto"/>
        <w:right w:val="none" w:sz="0" w:space="0" w:color="auto"/>
      </w:divBdr>
    </w:div>
    <w:div w:id="213123576">
      <w:marLeft w:val="0"/>
      <w:marRight w:val="0"/>
      <w:marTop w:val="0"/>
      <w:marBottom w:val="0"/>
      <w:divBdr>
        <w:top w:val="none" w:sz="0" w:space="0" w:color="auto"/>
        <w:left w:val="none" w:sz="0" w:space="0" w:color="auto"/>
        <w:bottom w:val="none" w:sz="0" w:space="0" w:color="auto"/>
        <w:right w:val="none" w:sz="0" w:space="0" w:color="auto"/>
      </w:divBdr>
    </w:div>
    <w:div w:id="213123577">
      <w:marLeft w:val="0"/>
      <w:marRight w:val="0"/>
      <w:marTop w:val="0"/>
      <w:marBottom w:val="0"/>
      <w:divBdr>
        <w:top w:val="none" w:sz="0" w:space="0" w:color="auto"/>
        <w:left w:val="none" w:sz="0" w:space="0" w:color="auto"/>
        <w:bottom w:val="none" w:sz="0" w:space="0" w:color="auto"/>
        <w:right w:val="none" w:sz="0" w:space="0" w:color="auto"/>
      </w:divBdr>
    </w:div>
    <w:div w:id="213123578">
      <w:marLeft w:val="0"/>
      <w:marRight w:val="0"/>
      <w:marTop w:val="0"/>
      <w:marBottom w:val="0"/>
      <w:divBdr>
        <w:top w:val="none" w:sz="0" w:space="0" w:color="auto"/>
        <w:left w:val="none" w:sz="0" w:space="0" w:color="auto"/>
        <w:bottom w:val="none" w:sz="0" w:space="0" w:color="auto"/>
        <w:right w:val="none" w:sz="0" w:space="0" w:color="auto"/>
      </w:divBdr>
    </w:div>
    <w:div w:id="213123579">
      <w:marLeft w:val="0"/>
      <w:marRight w:val="0"/>
      <w:marTop w:val="0"/>
      <w:marBottom w:val="0"/>
      <w:divBdr>
        <w:top w:val="none" w:sz="0" w:space="0" w:color="auto"/>
        <w:left w:val="none" w:sz="0" w:space="0" w:color="auto"/>
        <w:bottom w:val="none" w:sz="0" w:space="0" w:color="auto"/>
        <w:right w:val="none" w:sz="0" w:space="0" w:color="auto"/>
      </w:divBdr>
    </w:div>
    <w:div w:id="213123580">
      <w:marLeft w:val="0"/>
      <w:marRight w:val="0"/>
      <w:marTop w:val="0"/>
      <w:marBottom w:val="0"/>
      <w:divBdr>
        <w:top w:val="none" w:sz="0" w:space="0" w:color="auto"/>
        <w:left w:val="none" w:sz="0" w:space="0" w:color="auto"/>
        <w:bottom w:val="none" w:sz="0" w:space="0" w:color="auto"/>
        <w:right w:val="none" w:sz="0" w:space="0" w:color="auto"/>
      </w:divBdr>
    </w:div>
    <w:div w:id="213123581">
      <w:marLeft w:val="0"/>
      <w:marRight w:val="0"/>
      <w:marTop w:val="0"/>
      <w:marBottom w:val="0"/>
      <w:divBdr>
        <w:top w:val="none" w:sz="0" w:space="0" w:color="auto"/>
        <w:left w:val="none" w:sz="0" w:space="0" w:color="auto"/>
        <w:bottom w:val="none" w:sz="0" w:space="0" w:color="auto"/>
        <w:right w:val="none" w:sz="0" w:space="0" w:color="auto"/>
      </w:divBdr>
    </w:div>
    <w:div w:id="213123582">
      <w:marLeft w:val="0"/>
      <w:marRight w:val="0"/>
      <w:marTop w:val="0"/>
      <w:marBottom w:val="0"/>
      <w:divBdr>
        <w:top w:val="none" w:sz="0" w:space="0" w:color="auto"/>
        <w:left w:val="none" w:sz="0" w:space="0" w:color="auto"/>
        <w:bottom w:val="none" w:sz="0" w:space="0" w:color="auto"/>
        <w:right w:val="none" w:sz="0" w:space="0" w:color="auto"/>
      </w:divBdr>
    </w:div>
    <w:div w:id="213123583">
      <w:marLeft w:val="0"/>
      <w:marRight w:val="0"/>
      <w:marTop w:val="0"/>
      <w:marBottom w:val="0"/>
      <w:divBdr>
        <w:top w:val="none" w:sz="0" w:space="0" w:color="auto"/>
        <w:left w:val="none" w:sz="0" w:space="0" w:color="auto"/>
        <w:bottom w:val="none" w:sz="0" w:space="0" w:color="auto"/>
        <w:right w:val="none" w:sz="0" w:space="0" w:color="auto"/>
      </w:divBdr>
    </w:div>
    <w:div w:id="213123584">
      <w:marLeft w:val="0"/>
      <w:marRight w:val="0"/>
      <w:marTop w:val="0"/>
      <w:marBottom w:val="0"/>
      <w:divBdr>
        <w:top w:val="none" w:sz="0" w:space="0" w:color="auto"/>
        <w:left w:val="none" w:sz="0" w:space="0" w:color="auto"/>
        <w:bottom w:val="none" w:sz="0" w:space="0" w:color="auto"/>
        <w:right w:val="none" w:sz="0" w:space="0" w:color="auto"/>
      </w:divBdr>
    </w:div>
    <w:div w:id="213123585">
      <w:marLeft w:val="0"/>
      <w:marRight w:val="0"/>
      <w:marTop w:val="0"/>
      <w:marBottom w:val="0"/>
      <w:divBdr>
        <w:top w:val="none" w:sz="0" w:space="0" w:color="auto"/>
        <w:left w:val="none" w:sz="0" w:space="0" w:color="auto"/>
        <w:bottom w:val="none" w:sz="0" w:space="0" w:color="auto"/>
        <w:right w:val="none" w:sz="0" w:space="0" w:color="auto"/>
      </w:divBdr>
    </w:div>
    <w:div w:id="213123586">
      <w:marLeft w:val="0"/>
      <w:marRight w:val="0"/>
      <w:marTop w:val="0"/>
      <w:marBottom w:val="0"/>
      <w:divBdr>
        <w:top w:val="none" w:sz="0" w:space="0" w:color="auto"/>
        <w:left w:val="none" w:sz="0" w:space="0" w:color="auto"/>
        <w:bottom w:val="none" w:sz="0" w:space="0" w:color="auto"/>
        <w:right w:val="none" w:sz="0" w:space="0" w:color="auto"/>
      </w:divBdr>
    </w:div>
    <w:div w:id="213123587">
      <w:marLeft w:val="0"/>
      <w:marRight w:val="0"/>
      <w:marTop w:val="0"/>
      <w:marBottom w:val="0"/>
      <w:divBdr>
        <w:top w:val="none" w:sz="0" w:space="0" w:color="auto"/>
        <w:left w:val="none" w:sz="0" w:space="0" w:color="auto"/>
        <w:bottom w:val="none" w:sz="0" w:space="0" w:color="auto"/>
        <w:right w:val="none" w:sz="0" w:space="0" w:color="auto"/>
      </w:divBdr>
      <w:divsChild>
        <w:div w:id="213123524">
          <w:marLeft w:val="0"/>
          <w:marRight w:val="0"/>
          <w:marTop w:val="0"/>
          <w:marBottom w:val="0"/>
          <w:divBdr>
            <w:top w:val="none" w:sz="0" w:space="0" w:color="auto"/>
            <w:left w:val="none" w:sz="0" w:space="0" w:color="auto"/>
            <w:bottom w:val="none" w:sz="0" w:space="0" w:color="auto"/>
            <w:right w:val="none" w:sz="0" w:space="0" w:color="auto"/>
          </w:divBdr>
        </w:div>
      </w:divsChild>
    </w:div>
    <w:div w:id="213123588">
      <w:marLeft w:val="0"/>
      <w:marRight w:val="0"/>
      <w:marTop w:val="0"/>
      <w:marBottom w:val="0"/>
      <w:divBdr>
        <w:top w:val="none" w:sz="0" w:space="0" w:color="auto"/>
        <w:left w:val="none" w:sz="0" w:space="0" w:color="auto"/>
        <w:bottom w:val="none" w:sz="0" w:space="0" w:color="auto"/>
        <w:right w:val="none" w:sz="0" w:space="0" w:color="auto"/>
      </w:divBdr>
    </w:div>
    <w:div w:id="213123589">
      <w:marLeft w:val="0"/>
      <w:marRight w:val="0"/>
      <w:marTop w:val="0"/>
      <w:marBottom w:val="0"/>
      <w:divBdr>
        <w:top w:val="none" w:sz="0" w:space="0" w:color="auto"/>
        <w:left w:val="none" w:sz="0" w:space="0" w:color="auto"/>
        <w:bottom w:val="none" w:sz="0" w:space="0" w:color="auto"/>
        <w:right w:val="none" w:sz="0" w:space="0" w:color="auto"/>
      </w:divBdr>
    </w:div>
    <w:div w:id="213123590">
      <w:marLeft w:val="0"/>
      <w:marRight w:val="0"/>
      <w:marTop w:val="0"/>
      <w:marBottom w:val="0"/>
      <w:divBdr>
        <w:top w:val="none" w:sz="0" w:space="0" w:color="auto"/>
        <w:left w:val="none" w:sz="0" w:space="0" w:color="auto"/>
        <w:bottom w:val="none" w:sz="0" w:space="0" w:color="auto"/>
        <w:right w:val="none" w:sz="0" w:space="0" w:color="auto"/>
      </w:divBdr>
    </w:div>
    <w:div w:id="213123591">
      <w:marLeft w:val="0"/>
      <w:marRight w:val="0"/>
      <w:marTop w:val="0"/>
      <w:marBottom w:val="0"/>
      <w:divBdr>
        <w:top w:val="none" w:sz="0" w:space="0" w:color="auto"/>
        <w:left w:val="none" w:sz="0" w:space="0" w:color="auto"/>
        <w:bottom w:val="none" w:sz="0" w:space="0" w:color="auto"/>
        <w:right w:val="none" w:sz="0" w:space="0" w:color="auto"/>
      </w:divBdr>
    </w:div>
    <w:div w:id="213123592">
      <w:marLeft w:val="0"/>
      <w:marRight w:val="0"/>
      <w:marTop w:val="0"/>
      <w:marBottom w:val="0"/>
      <w:divBdr>
        <w:top w:val="none" w:sz="0" w:space="0" w:color="auto"/>
        <w:left w:val="none" w:sz="0" w:space="0" w:color="auto"/>
        <w:bottom w:val="none" w:sz="0" w:space="0" w:color="auto"/>
        <w:right w:val="none" w:sz="0" w:space="0" w:color="auto"/>
      </w:divBdr>
    </w:div>
    <w:div w:id="213123593">
      <w:marLeft w:val="0"/>
      <w:marRight w:val="0"/>
      <w:marTop w:val="0"/>
      <w:marBottom w:val="0"/>
      <w:divBdr>
        <w:top w:val="none" w:sz="0" w:space="0" w:color="auto"/>
        <w:left w:val="none" w:sz="0" w:space="0" w:color="auto"/>
        <w:bottom w:val="none" w:sz="0" w:space="0" w:color="auto"/>
        <w:right w:val="none" w:sz="0" w:space="0" w:color="auto"/>
      </w:divBdr>
    </w:div>
    <w:div w:id="213123594">
      <w:marLeft w:val="0"/>
      <w:marRight w:val="0"/>
      <w:marTop w:val="0"/>
      <w:marBottom w:val="0"/>
      <w:divBdr>
        <w:top w:val="none" w:sz="0" w:space="0" w:color="auto"/>
        <w:left w:val="none" w:sz="0" w:space="0" w:color="auto"/>
        <w:bottom w:val="none" w:sz="0" w:space="0" w:color="auto"/>
        <w:right w:val="none" w:sz="0" w:space="0" w:color="auto"/>
      </w:divBdr>
    </w:div>
    <w:div w:id="213123595">
      <w:marLeft w:val="0"/>
      <w:marRight w:val="0"/>
      <w:marTop w:val="0"/>
      <w:marBottom w:val="0"/>
      <w:divBdr>
        <w:top w:val="none" w:sz="0" w:space="0" w:color="auto"/>
        <w:left w:val="none" w:sz="0" w:space="0" w:color="auto"/>
        <w:bottom w:val="none" w:sz="0" w:space="0" w:color="auto"/>
        <w:right w:val="none" w:sz="0" w:space="0" w:color="auto"/>
      </w:divBdr>
    </w:div>
    <w:div w:id="213123596">
      <w:marLeft w:val="0"/>
      <w:marRight w:val="0"/>
      <w:marTop w:val="0"/>
      <w:marBottom w:val="0"/>
      <w:divBdr>
        <w:top w:val="none" w:sz="0" w:space="0" w:color="auto"/>
        <w:left w:val="none" w:sz="0" w:space="0" w:color="auto"/>
        <w:bottom w:val="none" w:sz="0" w:space="0" w:color="auto"/>
        <w:right w:val="none" w:sz="0" w:space="0" w:color="auto"/>
      </w:divBdr>
    </w:div>
    <w:div w:id="213123597">
      <w:marLeft w:val="0"/>
      <w:marRight w:val="0"/>
      <w:marTop w:val="0"/>
      <w:marBottom w:val="0"/>
      <w:divBdr>
        <w:top w:val="none" w:sz="0" w:space="0" w:color="auto"/>
        <w:left w:val="none" w:sz="0" w:space="0" w:color="auto"/>
        <w:bottom w:val="none" w:sz="0" w:space="0" w:color="auto"/>
        <w:right w:val="none" w:sz="0" w:space="0" w:color="auto"/>
      </w:divBdr>
    </w:div>
    <w:div w:id="213123598">
      <w:marLeft w:val="0"/>
      <w:marRight w:val="0"/>
      <w:marTop w:val="0"/>
      <w:marBottom w:val="0"/>
      <w:divBdr>
        <w:top w:val="none" w:sz="0" w:space="0" w:color="auto"/>
        <w:left w:val="none" w:sz="0" w:space="0" w:color="auto"/>
        <w:bottom w:val="none" w:sz="0" w:space="0" w:color="auto"/>
        <w:right w:val="none" w:sz="0" w:space="0" w:color="auto"/>
      </w:divBdr>
    </w:div>
    <w:div w:id="213123599">
      <w:marLeft w:val="0"/>
      <w:marRight w:val="0"/>
      <w:marTop w:val="0"/>
      <w:marBottom w:val="0"/>
      <w:divBdr>
        <w:top w:val="none" w:sz="0" w:space="0" w:color="auto"/>
        <w:left w:val="none" w:sz="0" w:space="0" w:color="auto"/>
        <w:bottom w:val="none" w:sz="0" w:space="0" w:color="auto"/>
        <w:right w:val="none" w:sz="0" w:space="0" w:color="auto"/>
      </w:divBdr>
    </w:div>
    <w:div w:id="213123600">
      <w:marLeft w:val="0"/>
      <w:marRight w:val="0"/>
      <w:marTop w:val="0"/>
      <w:marBottom w:val="0"/>
      <w:divBdr>
        <w:top w:val="none" w:sz="0" w:space="0" w:color="auto"/>
        <w:left w:val="none" w:sz="0" w:space="0" w:color="auto"/>
        <w:bottom w:val="none" w:sz="0" w:space="0" w:color="auto"/>
        <w:right w:val="none" w:sz="0" w:space="0" w:color="auto"/>
      </w:divBdr>
    </w:div>
    <w:div w:id="213123601">
      <w:marLeft w:val="0"/>
      <w:marRight w:val="0"/>
      <w:marTop w:val="0"/>
      <w:marBottom w:val="0"/>
      <w:divBdr>
        <w:top w:val="none" w:sz="0" w:space="0" w:color="auto"/>
        <w:left w:val="none" w:sz="0" w:space="0" w:color="auto"/>
        <w:bottom w:val="none" w:sz="0" w:space="0" w:color="auto"/>
        <w:right w:val="none" w:sz="0" w:space="0" w:color="auto"/>
      </w:divBdr>
    </w:div>
    <w:div w:id="213123602">
      <w:marLeft w:val="0"/>
      <w:marRight w:val="0"/>
      <w:marTop w:val="0"/>
      <w:marBottom w:val="0"/>
      <w:divBdr>
        <w:top w:val="none" w:sz="0" w:space="0" w:color="auto"/>
        <w:left w:val="none" w:sz="0" w:space="0" w:color="auto"/>
        <w:bottom w:val="none" w:sz="0" w:space="0" w:color="auto"/>
        <w:right w:val="none" w:sz="0" w:space="0" w:color="auto"/>
      </w:divBdr>
    </w:div>
    <w:div w:id="213123603">
      <w:marLeft w:val="0"/>
      <w:marRight w:val="0"/>
      <w:marTop w:val="0"/>
      <w:marBottom w:val="0"/>
      <w:divBdr>
        <w:top w:val="none" w:sz="0" w:space="0" w:color="auto"/>
        <w:left w:val="none" w:sz="0" w:space="0" w:color="auto"/>
        <w:bottom w:val="none" w:sz="0" w:space="0" w:color="auto"/>
        <w:right w:val="none" w:sz="0" w:space="0" w:color="auto"/>
      </w:divBdr>
    </w:div>
    <w:div w:id="213123604">
      <w:marLeft w:val="0"/>
      <w:marRight w:val="0"/>
      <w:marTop w:val="0"/>
      <w:marBottom w:val="0"/>
      <w:divBdr>
        <w:top w:val="none" w:sz="0" w:space="0" w:color="auto"/>
        <w:left w:val="none" w:sz="0" w:space="0" w:color="auto"/>
        <w:bottom w:val="none" w:sz="0" w:space="0" w:color="auto"/>
        <w:right w:val="none" w:sz="0" w:space="0" w:color="auto"/>
      </w:divBdr>
    </w:div>
    <w:div w:id="213123605">
      <w:marLeft w:val="0"/>
      <w:marRight w:val="0"/>
      <w:marTop w:val="0"/>
      <w:marBottom w:val="0"/>
      <w:divBdr>
        <w:top w:val="none" w:sz="0" w:space="0" w:color="auto"/>
        <w:left w:val="none" w:sz="0" w:space="0" w:color="auto"/>
        <w:bottom w:val="none" w:sz="0" w:space="0" w:color="auto"/>
        <w:right w:val="none" w:sz="0" w:space="0" w:color="auto"/>
      </w:divBdr>
    </w:div>
    <w:div w:id="213123606">
      <w:marLeft w:val="0"/>
      <w:marRight w:val="0"/>
      <w:marTop w:val="0"/>
      <w:marBottom w:val="0"/>
      <w:divBdr>
        <w:top w:val="none" w:sz="0" w:space="0" w:color="auto"/>
        <w:left w:val="none" w:sz="0" w:space="0" w:color="auto"/>
        <w:bottom w:val="none" w:sz="0" w:space="0" w:color="auto"/>
        <w:right w:val="none" w:sz="0" w:space="0" w:color="auto"/>
      </w:divBdr>
    </w:div>
    <w:div w:id="213123607">
      <w:marLeft w:val="0"/>
      <w:marRight w:val="0"/>
      <w:marTop w:val="0"/>
      <w:marBottom w:val="0"/>
      <w:divBdr>
        <w:top w:val="none" w:sz="0" w:space="0" w:color="auto"/>
        <w:left w:val="none" w:sz="0" w:space="0" w:color="auto"/>
        <w:bottom w:val="none" w:sz="0" w:space="0" w:color="auto"/>
        <w:right w:val="none" w:sz="0" w:space="0" w:color="auto"/>
      </w:divBdr>
    </w:div>
    <w:div w:id="213123608">
      <w:marLeft w:val="0"/>
      <w:marRight w:val="0"/>
      <w:marTop w:val="0"/>
      <w:marBottom w:val="0"/>
      <w:divBdr>
        <w:top w:val="none" w:sz="0" w:space="0" w:color="auto"/>
        <w:left w:val="none" w:sz="0" w:space="0" w:color="auto"/>
        <w:bottom w:val="none" w:sz="0" w:space="0" w:color="auto"/>
        <w:right w:val="none" w:sz="0" w:space="0" w:color="auto"/>
      </w:divBdr>
    </w:div>
    <w:div w:id="213123609">
      <w:marLeft w:val="0"/>
      <w:marRight w:val="0"/>
      <w:marTop w:val="0"/>
      <w:marBottom w:val="0"/>
      <w:divBdr>
        <w:top w:val="none" w:sz="0" w:space="0" w:color="auto"/>
        <w:left w:val="none" w:sz="0" w:space="0" w:color="auto"/>
        <w:bottom w:val="none" w:sz="0" w:space="0" w:color="auto"/>
        <w:right w:val="none" w:sz="0" w:space="0" w:color="auto"/>
      </w:divBdr>
    </w:div>
    <w:div w:id="213123610">
      <w:marLeft w:val="0"/>
      <w:marRight w:val="0"/>
      <w:marTop w:val="0"/>
      <w:marBottom w:val="0"/>
      <w:divBdr>
        <w:top w:val="none" w:sz="0" w:space="0" w:color="auto"/>
        <w:left w:val="none" w:sz="0" w:space="0" w:color="auto"/>
        <w:bottom w:val="none" w:sz="0" w:space="0" w:color="auto"/>
        <w:right w:val="none" w:sz="0" w:space="0" w:color="auto"/>
      </w:divBdr>
    </w:div>
    <w:div w:id="213123611">
      <w:marLeft w:val="0"/>
      <w:marRight w:val="0"/>
      <w:marTop w:val="0"/>
      <w:marBottom w:val="0"/>
      <w:divBdr>
        <w:top w:val="none" w:sz="0" w:space="0" w:color="auto"/>
        <w:left w:val="none" w:sz="0" w:space="0" w:color="auto"/>
        <w:bottom w:val="none" w:sz="0" w:space="0" w:color="auto"/>
        <w:right w:val="none" w:sz="0" w:space="0" w:color="auto"/>
      </w:divBdr>
    </w:div>
    <w:div w:id="213123612">
      <w:marLeft w:val="0"/>
      <w:marRight w:val="0"/>
      <w:marTop w:val="0"/>
      <w:marBottom w:val="0"/>
      <w:divBdr>
        <w:top w:val="none" w:sz="0" w:space="0" w:color="auto"/>
        <w:left w:val="none" w:sz="0" w:space="0" w:color="auto"/>
        <w:bottom w:val="none" w:sz="0" w:space="0" w:color="auto"/>
        <w:right w:val="none" w:sz="0" w:space="0" w:color="auto"/>
      </w:divBdr>
    </w:div>
    <w:div w:id="213123613">
      <w:marLeft w:val="0"/>
      <w:marRight w:val="0"/>
      <w:marTop w:val="0"/>
      <w:marBottom w:val="0"/>
      <w:divBdr>
        <w:top w:val="none" w:sz="0" w:space="0" w:color="auto"/>
        <w:left w:val="none" w:sz="0" w:space="0" w:color="auto"/>
        <w:bottom w:val="none" w:sz="0" w:space="0" w:color="auto"/>
        <w:right w:val="none" w:sz="0" w:space="0" w:color="auto"/>
      </w:divBdr>
    </w:div>
    <w:div w:id="213123614">
      <w:marLeft w:val="0"/>
      <w:marRight w:val="0"/>
      <w:marTop w:val="0"/>
      <w:marBottom w:val="0"/>
      <w:divBdr>
        <w:top w:val="none" w:sz="0" w:space="0" w:color="auto"/>
        <w:left w:val="none" w:sz="0" w:space="0" w:color="auto"/>
        <w:bottom w:val="none" w:sz="0" w:space="0" w:color="auto"/>
        <w:right w:val="none" w:sz="0" w:space="0" w:color="auto"/>
      </w:divBdr>
    </w:div>
    <w:div w:id="213123615">
      <w:marLeft w:val="0"/>
      <w:marRight w:val="0"/>
      <w:marTop w:val="0"/>
      <w:marBottom w:val="0"/>
      <w:divBdr>
        <w:top w:val="none" w:sz="0" w:space="0" w:color="auto"/>
        <w:left w:val="none" w:sz="0" w:space="0" w:color="auto"/>
        <w:bottom w:val="none" w:sz="0" w:space="0" w:color="auto"/>
        <w:right w:val="none" w:sz="0" w:space="0" w:color="auto"/>
      </w:divBdr>
    </w:div>
    <w:div w:id="213123616">
      <w:marLeft w:val="0"/>
      <w:marRight w:val="0"/>
      <w:marTop w:val="0"/>
      <w:marBottom w:val="0"/>
      <w:divBdr>
        <w:top w:val="none" w:sz="0" w:space="0" w:color="auto"/>
        <w:left w:val="none" w:sz="0" w:space="0" w:color="auto"/>
        <w:bottom w:val="none" w:sz="0" w:space="0" w:color="auto"/>
        <w:right w:val="none" w:sz="0" w:space="0" w:color="auto"/>
      </w:divBdr>
    </w:div>
    <w:div w:id="213123617">
      <w:marLeft w:val="0"/>
      <w:marRight w:val="0"/>
      <w:marTop w:val="0"/>
      <w:marBottom w:val="0"/>
      <w:divBdr>
        <w:top w:val="none" w:sz="0" w:space="0" w:color="auto"/>
        <w:left w:val="none" w:sz="0" w:space="0" w:color="auto"/>
        <w:bottom w:val="none" w:sz="0" w:space="0" w:color="auto"/>
        <w:right w:val="none" w:sz="0" w:space="0" w:color="auto"/>
      </w:divBdr>
    </w:div>
    <w:div w:id="213123618">
      <w:marLeft w:val="0"/>
      <w:marRight w:val="0"/>
      <w:marTop w:val="0"/>
      <w:marBottom w:val="0"/>
      <w:divBdr>
        <w:top w:val="none" w:sz="0" w:space="0" w:color="auto"/>
        <w:left w:val="none" w:sz="0" w:space="0" w:color="auto"/>
        <w:bottom w:val="none" w:sz="0" w:space="0" w:color="auto"/>
        <w:right w:val="none" w:sz="0" w:space="0" w:color="auto"/>
      </w:divBdr>
    </w:div>
    <w:div w:id="213123619">
      <w:marLeft w:val="0"/>
      <w:marRight w:val="0"/>
      <w:marTop w:val="0"/>
      <w:marBottom w:val="0"/>
      <w:divBdr>
        <w:top w:val="none" w:sz="0" w:space="0" w:color="auto"/>
        <w:left w:val="none" w:sz="0" w:space="0" w:color="auto"/>
        <w:bottom w:val="none" w:sz="0" w:space="0" w:color="auto"/>
        <w:right w:val="none" w:sz="0" w:space="0" w:color="auto"/>
      </w:divBdr>
    </w:div>
    <w:div w:id="213123620">
      <w:marLeft w:val="0"/>
      <w:marRight w:val="0"/>
      <w:marTop w:val="0"/>
      <w:marBottom w:val="0"/>
      <w:divBdr>
        <w:top w:val="none" w:sz="0" w:space="0" w:color="auto"/>
        <w:left w:val="none" w:sz="0" w:space="0" w:color="auto"/>
        <w:bottom w:val="none" w:sz="0" w:space="0" w:color="auto"/>
        <w:right w:val="none" w:sz="0" w:space="0" w:color="auto"/>
      </w:divBdr>
    </w:div>
    <w:div w:id="213123621">
      <w:marLeft w:val="0"/>
      <w:marRight w:val="0"/>
      <w:marTop w:val="0"/>
      <w:marBottom w:val="0"/>
      <w:divBdr>
        <w:top w:val="none" w:sz="0" w:space="0" w:color="auto"/>
        <w:left w:val="none" w:sz="0" w:space="0" w:color="auto"/>
        <w:bottom w:val="none" w:sz="0" w:space="0" w:color="auto"/>
        <w:right w:val="none" w:sz="0" w:space="0" w:color="auto"/>
      </w:divBdr>
    </w:div>
    <w:div w:id="213123622">
      <w:marLeft w:val="0"/>
      <w:marRight w:val="0"/>
      <w:marTop w:val="0"/>
      <w:marBottom w:val="0"/>
      <w:divBdr>
        <w:top w:val="none" w:sz="0" w:space="0" w:color="auto"/>
        <w:left w:val="none" w:sz="0" w:space="0" w:color="auto"/>
        <w:bottom w:val="none" w:sz="0" w:space="0" w:color="auto"/>
        <w:right w:val="none" w:sz="0" w:space="0" w:color="auto"/>
      </w:divBdr>
    </w:div>
    <w:div w:id="213123623">
      <w:marLeft w:val="0"/>
      <w:marRight w:val="0"/>
      <w:marTop w:val="0"/>
      <w:marBottom w:val="0"/>
      <w:divBdr>
        <w:top w:val="none" w:sz="0" w:space="0" w:color="auto"/>
        <w:left w:val="none" w:sz="0" w:space="0" w:color="auto"/>
        <w:bottom w:val="none" w:sz="0" w:space="0" w:color="auto"/>
        <w:right w:val="none" w:sz="0" w:space="0" w:color="auto"/>
      </w:divBdr>
    </w:div>
    <w:div w:id="213123624">
      <w:marLeft w:val="0"/>
      <w:marRight w:val="0"/>
      <w:marTop w:val="0"/>
      <w:marBottom w:val="0"/>
      <w:divBdr>
        <w:top w:val="none" w:sz="0" w:space="0" w:color="auto"/>
        <w:left w:val="none" w:sz="0" w:space="0" w:color="auto"/>
        <w:bottom w:val="none" w:sz="0" w:space="0" w:color="auto"/>
        <w:right w:val="none" w:sz="0" w:space="0" w:color="auto"/>
      </w:divBdr>
    </w:div>
    <w:div w:id="213123625">
      <w:marLeft w:val="0"/>
      <w:marRight w:val="0"/>
      <w:marTop w:val="0"/>
      <w:marBottom w:val="0"/>
      <w:divBdr>
        <w:top w:val="none" w:sz="0" w:space="0" w:color="auto"/>
        <w:left w:val="none" w:sz="0" w:space="0" w:color="auto"/>
        <w:bottom w:val="none" w:sz="0" w:space="0" w:color="auto"/>
        <w:right w:val="none" w:sz="0" w:space="0" w:color="auto"/>
      </w:divBdr>
    </w:div>
    <w:div w:id="213123626">
      <w:marLeft w:val="0"/>
      <w:marRight w:val="0"/>
      <w:marTop w:val="0"/>
      <w:marBottom w:val="0"/>
      <w:divBdr>
        <w:top w:val="none" w:sz="0" w:space="0" w:color="auto"/>
        <w:left w:val="none" w:sz="0" w:space="0" w:color="auto"/>
        <w:bottom w:val="none" w:sz="0" w:space="0" w:color="auto"/>
        <w:right w:val="none" w:sz="0" w:space="0" w:color="auto"/>
      </w:divBdr>
    </w:div>
    <w:div w:id="213123627">
      <w:marLeft w:val="0"/>
      <w:marRight w:val="0"/>
      <w:marTop w:val="0"/>
      <w:marBottom w:val="0"/>
      <w:divBdr>
        <w:top w:val="none" w:sz="0" w:space="0" w:color="auto"/>
        <w:left w:val="none" w:sz="0" w:space="0" w:color="auto"/>
        <w:bottom w:val="none" w:sz="0" w:space="0" w:color="auto"/>
        <w:right w:val="none" w:sz="0" w:space="0" w:color="auto"/>
      </w:divBdr>
    </w:div>
    <w:div w:id="213123628">
      <w:marLeft w:val="0"/>
      <w:marRight w:val="0"/>
      <w:marTop w:val="0"/>
      <w:marBottom w:val="0"/>
      <w:divBdr>
        <w:top w:val="none" w:sz="0" w:space="0" w:color="auto"/>
        <w:left w:val="none" w:sz="0" w:space="0" w:color="auto"/>
        <w:bottom w:val="none" w:sz="0" w:space="0" w:color="auto"/>
        <w:right w:val="none" w:sz="0" w:space="0" w:color="auto"/>
      </w:divBdr>
    </w:div>
    <w:div w:id="213123629">
      <w:marLeft w:val="0"/>
      <w:marRight w:val="0"/>
      <w:marTop w:val="0"/>
      <w:marBottom w:val="0"/>
      <w:divBdr>
        <w:top w:val="none" w:sz="0" w:space="0" w:color="auto"/>
        <w:left w:val="none" w:sz="0" w:space="0" w:color="auto"/>
        <w:bottom w:val="none" w:sz="0" w:space="0" w:color="auto"/>
        <w:right w:val="none" w:sz="0" w:space="0" w:color="auto"/>
      </w:divBdr>
    </w:div>
    <w:div w:id="213123630">
      <w:marLeft w:val="0"/>
      <w:marRight w:val="0"/>
      <w:marTop w:val="0"/>
      <w:marBottom w:val="0"/>
      <w:divBdr>
        <w:top w:val="none" w:sz="0" w:space="0" w:color="auto"/>
        <w:left w:val="none" w:sz="0" w:space="0" w:color="auto"/>
        <w:bottom w:val="none" w:sz="0" w:space="0" w:color="auto"/>
        <w:right w:val="none" w:sz="0" w:space="0" w:color="auto"/>
      </w:divBdr>
    </w:div>
    <w:div w:id="213123631">
      <w:marLeft w:val="0"/>
      <w:marRight w:val="0"/>
      <w:marTop w:val="0"/>
      <w:marBottom w:val="0"/>
      <w:divBdr>
        <w:top w:val="none" w:sz="0" w:space="0" w:color="auto"/>
        <w:left w:val="none" w:sz="0" w:space="0" w:color="auto"/>
        <w:bottom w:val="none" w:sz="0" w:space="0" w:color="auto"/>
        <w:right w:val="none" w:sz="0" w:space="0" w:color="auto"/>
      </w:divBdr>
    </w:div>
    <w:div w:id="213123632">
      <w:marLeft w:val="0"/>
      <w:marRight w:val="0"/>
      <w:marTop w:val="0"/>
      <w:marBottom w:val="0"/>
      <w:divBdr>
        <w:top w:val="none" w:sz="0" w:space="0" w:color="auto"/>
        <w:left w:val="none" w:sz="0" w:space="0" w:color="auto"/>
        <w:bottom w:val="none" w:sz="0" w:space="0" w:color="auto"/>
        <w:right w:val="none" w:sz="0" w:space="0" w:color="auto"/>
      </w:divBdr>
    </w:div>
    <w:div w:id="213123633">
      <w:marLeft w:val="0"/>
      <w:marRight w:val="0"/>
      <w:marTop w:val="0"/>
      <w:marBottom w:val="0"/>
      <w:divBdr>
        <w:top w:val="none" w:sz="0" w:space="0" w:color="auto"/>
        <w:left w:val="none" w:sz="0" w:space="0" w:color="auto"/>
        <w:bottom w:val="none" w:sz="0" w:space="0" w:color="auto"/>
        <w:right w:val="none" w:sz="0" w:space="0" w:color="auto"/>
      </w:divBdr>
    </w:div>
    <w:div w:id="213123634">
      <w:marLeft w:val="0"/>
      <w:marRight w:val="0"/>
      <w:marTop w:val="0"/>
      <w:marBottom w:val="0"/>
      <w:divBdr>
        <w:top w:val="none" w:sz="0" w:space="0" w:color="auto"/>
        <w:left w:val="none" w:sz="0" w:space="0" w:color="auto"/>
        <w:bottom w:val="none" w:sz="0" w:space="0" w:color="auto"/>
        <w:right w:val="none" w:sz="0" w:space="0" w:color="auto"/>
      </w:divBdr>
    </w:div>
    <w:div w:id="213123635">
      <w:marLeft w:val="0"/>
      <w:marRight w:val="0"/>
      <w:marTop w:val="0"/>
      <w:marBottom w:val="0"/>
      <w:divBdr>
        <w:top w:val="none" w:sz="0" w:space="0" w:color="auto"/>
        <w:left w:val="none" w:sz="0" w:space="0" w:color="auto"/>
        <w:bottom w:val="none" w:sz="0" w:space="0" w:color="auto"/>
        <w:right w:val="none" w:sz="0" w:space="0" w:color="auto"/>
      </w:divBdr>
    </w:div>
    <w:div w:id="213123636">
      <w:marLeft w:val="0"/>
      <w:marRight w:val="0"/>
      <w:marTop w:val="0"/>
      <w:marBottom w:val="0"/>
      <w:divBdr>
        <w:top w:val="none" w:sz="0" w:space="0" w:color="auto"/>
        <w:left w:val="none" w:sz="0" w:space="0" w:color="auto"/>
        <w:bottom w:val="none" w:sz="0" w:space="0" w:color="auto"/>
        <w:right w:val="none" w:sz="0" w:space="0" w:color="auto"/>
      </w:divBdr>
    </w:div>
    <w:div w:id="213123637">
      <w:marLeft w:val="0"/>
      <w:marRight w:val="0"/>
      <w:marTop w:val="0"/>
      <w:marBottom w:val="0"/>
      <w:divBdr>
        <w:top w:val="none" w:sz="0" w:space="0" w:color="auto"/>
        <w:left w:val="none" w:sz="0" w:space="0" w:color="auto"/>
        <w:bottom w:val="none" w:sz="0" w:space="0" w:color="auto"/>
        <w:right w:val="none" w:sz="0" w:space="0" w:color="auto"/>
      </w:divBdr>
    </w:div>
    <w:div w:id="213123638">
      <w:marLeft w:val="0"/>
      <w:marRight w:val="0"/>
      <w:marTop w:val="0"/>
      <w:marBottom w:val="0"/>
      <w:divBdr>
        <w:top w:val="none" w:sz="0" w:space="0" w:color="auto"/>
        <w:left w:val="none" w:sz="0" w:space="0" w:color="auto"/>
        <w:bottom w:val="none" w:sz="0" w:space="0" w:color="auto"/>
        <w:right w:val="none" w:sz="0" w:space="0" w:color="auto"/>
      </w:divBdr>
    </w:div>
    <w:div w:id="322703213">
      <w:bodyDiv w:val="1"/>
      <w:marLeft w:val="0"/>
      <w:marRight w:val="0"/>
      <w:marTop w:val="0"/>
      <w:marBottom w:val="0"/>
      <w:divBdr>
        <w:top w:val="none" w:sz="0" w:space="0" w:color="auto"/>
        <w:left w:val="none" w:sz="0" w:space="0" w:color="auto"/>
        <w:bottom w:val="none" w:sz="0" w:space="0" w:color="auto"/>
        <w:right w:val="none" w:sz="0" w:space="0" w:color="auto"/>
      </w:divBdr>
    </w:div>
    <w:div w:id="562915101">
      <w:bodyDiv w:val="1"/>
      <w:marLeft w:val="0"/>
      <w:marRight w:val="0"/>
      <w:marTop w:val="0"/>
      <w:marBottom w:val="0"/>
      <w:divBdr>
        <w:top w:val="none" w:sz="0" w:space="0" w:color="auto"/>
        <w:left w:val="none" w:sz="0" w:space="0" w:color="auto"/>
        <w:bottom w:val="none" w:sz="0" w:space="0" w:color="auto"/>
        <w:right w:val="none" w:sz="0" w:space="0" w:color="auto"/>
      </w:divBdr>
    </w:div>
    <w:div w:id="698895605">
      <w:bodyDiv w:val="1"/>
      <w:marLeft w:val="0"/>
      <w:marRight w:val="0"/>
      <w:marTop w:val="0"/>
      <w:marBottom w:val="0"/>
      <w:divBdr>
        <w:top w:val="none" w:sz="0" w:space="0" w:color="auto"/>
        <w:left w:val="none" w:sz="0" w:space="0" w:color="auto"/>
        <w:bottom w:val="none" w:sz="0" w:space="0" w:color="auto"/>
        <w:right w:val="none" w:sz="0" w:space="0" w:color="auto"/>
      </w:divBdr>
    </w:div>
    <w:div w:id="720399437">
      <w:bodyDiv w:val="1"/>
      <w:marLeft w:val="0"/>
      <w:marRight w:val="0"/>
      <w:marTop w:val="0"/>
      <w:marBottom w:val="0"/>
      <w:divBdr>
        <w:top w:val="none" w:sz="0" w:space="0" w:color="auto"/>
        <w:left w:val="none" w:sz="0" w:space="0" w:color="auto"/>
        <w:bottom w:val="none" w:sz="0" w:space="0" w:color="auto"/>
        <w:right w:val="none" w:sz="0" w:space="0" w:color="auto"/>
      </w:divBdr>
    </w:div>
    <w:div w:id="956254617">
      <w:bodyDiv w:val="1"/>
      <w:marLeft w:val="0"/>
      <w:marRight w:val="0"/>
      <w:marTop w:val="0"/>
      <w:marBottom w:val="0"/>
      <w:divBdr>
        <w:top w:val="none" w:sz="0" w:space="0" w:color="auto"/>
        <w:left w:val="none" w:sz="0" w:space="0" w:color="auto"/>
        <w:bottom w:val="none" w:sz="0" w:space="0" w:color="auto"/>
        <w:right w:val="none" w:sz="0" w:space="0" w:color="auto"/>
      </w:divBdr>
    </w:div>
    <w:div w:id="967516304">
      <w:bodyDiv w:val="1"/>
      <w:marLeft w:val="0"/>
      <w:marRight w:val="0"/>
      <w:marTop w:val="0"/>
      <w:marBottom w:val="0"/>
      <w:divBdr>
        <w:top w:val="none" w:sz="0" w:space="0" w:color="auto"/>
        <w:left w:val="none" w:sz="0" w:space="0" w:color="auto"/>
        <w:bottom w:val="none" w:sz="0" w:space="0" w:color="auto"/>
        <w:right w:val="none" w:sz="0" w:space="0" w:color="auto"/>
      </w:divBdr>
    </w:div>
    <w:div w:id="1005747553">
      <w:bodyDiv w:val="1"/>
      <w:marLeft w:val="0"/>
      <w:marRight w:val="0"/>
      <w:marTop w:val="0"/>
      <w:marBottom w:val="0"/>
      <w:divBdr>
        <w:top w:val="none" w:sz="0" w:space="0" w:color="auto"/>
        <w:left w:val="none" w:sz="0" w:space="0" w:color="auto"/>
        <w:bottom w:val="none" w:sz="0" w:space="0" w:color="auto"/>
        <w:right w:val="none" w:sz="0" w:space="0" w:color="auto"/>
      </w:divBdr>
    </w:div>
    <w:div w:id="1114250943">
      <w:bodyDiv w:val="1"/>
      <w:marLeft w:val="0"/>
      <w:marRight w:val="0"/>
      <w:marTop w:val="0"/>
      <w:marBottom w:val="0"/>
      <w:divBdr>
        <w:top w:val="none" w:sz="0" w:space="0" w:color="auto"/>
        <w:left w:val="none" w:sz="0" w:space="0" w:color="auto"/>
        <w:bottom w:val="none" w:sz="0" w:space="0" w:color="auto"/>
        <w:right w:val="none" w:sz="0" w:space="0" w:color="auto"/>
      </w:divBdr>
    </w:div>
    <w:div w:id="1227111839">
      <w:bodyDiv w:val="1"/>
      <w:marLeft w:val="0"/>
      <w:marRight w:val="0"/>
      <w:marTop w:val="0"/>
      <w:marBottom w:val="0"/>
      <w:divBdr>
        <w:top w:val="none" w:sz="0" w:space="0" w:color="auto"/>
        <w:left w:val="none" w:sz="0" w:space="0" w:color="auto"/>
        <w:bottom w:val="none" w:sz="0" w:space="0" w:color="auto"/>
        <w:right w:val="none" w:sz="0" w:space="0" w:color="auto"/>
      </w:divBdr>
    </w:div>
    <w:div w:id="1288048704">
      <w:bodyDiv w:val="1"/>
      <w:marLeft w:val="0"/>
      <w:marRight w:val="0"/>
      <w:marTop w:val="0"/>
      <w:marBottom w:val="0"/>
      <w:divBdr>
        <w:top w:val="none" w:sz="0" w:space="0" w:color="auto"/>
        <w:left w:val="none" w:sz="0" w:space="0" w:color="auto"/>
        <w:bottom w:val="none" w:sz="0" w:space="0" w:color="auto"/>
        <w:right w:val="none" w:sz="0" w:space="0" w:color="auto"/>
      </w:divBdr>
    </w:div>
    <w:div w:id="1293101599">
      <w:bodyDiv w:val="1"/>
      <w:marLeft w:val="0"/>
      <w:marRight w:val="0"/>
      <w:marTop w:val="0"/>
      <w:marBottom w:val="0"/>
      <w:divBdr>
        <w:top w:val="none" w:sz="0" w:space="0" w:color="auto"/>
        <w:left w:val="none" w:sz="0" w:space="0" w:color="auto"/>
        <w:bottom w:val="none" w:sz="0" w:space="0" w:color="auto"/>
        <w:right w:val="none" w:sz="0" w:space="0" w:color="auto"/>
      </w:divBdr>
    </w:div>
    <w:div w:id="1514418409">
      <w:bodyDiv w:val="1"/>
      <w:marLeft w:val="0"/>
      <w:marRight w:val="0"/>
      <w:marTop w:val="0"/>
      <w:marBottom w:val="0"/>
      <w:divBdr>
        <w:top w:val="none" w:sz="0" w:space="0" w:color="auto"/>
        <w:left w:val="none" w:sz="0" w:space="0" w:color="auto"/>
        <w:bottom w:val="none" w:sz="0" w:space="0" w:color="auto"/>
        <w:right w:val="none" w:sz="0" w:space="0" w:color="auto"/>
      </w:divBdr>
    </w:div>
    <w:div w:id="1530484841">
      <w:bodyDiv w:val="1"/>
      <w:marLeft w:val="0"/>
      <w:marRight w:val="0"/>
      <w:marTop w:val="0"/>
      <w:marBottom w:val="0"/>
      <w:divBdr>
        <w:top w:val="none" w:sz="0" w:space="0" w:color="auto"/>
        <w:left w:val="none" w:sz="0" w:space="0" w:color="auto"/>
        <w:bottom w:val="none" w:sz="0" w:space="0" w:color="auto"/>
        <w:right w:val="none" w:sz="0" w:space="0" w:color="auto"/>
      </w:divBdr>
    </w:div>
    <w:div w:id="1594321813">
      <w:bodyDiv w:val="1"/>
      <w:marLeft w:val="0"/>
      <w:marRight w:val="0"/>
      <w:marTop w:val="0"/>
      <w:marBottom w:val="0"/>
      <w:divBdr>
        <w:top w:val="none" w:sz="0" w:space="0" w:color="auto"/>
        <w:left w:val="none" w:sz="0" w:space="0" w:color="auto"/>
        <w:bottom w:val="none" w:sz="0" w:space="0" w:color="auto"/>
        <w:right w:val="none" w:sz="0" w:space="0" w:color="auto"/>
      </w:divBdr>
    </w:div>
    <w:div w:id="1669871307">
      <w:bodyDiv w:val="1"/>
      <w:marLeft w:val="0"/>
      <w:marRight w:val="0"/>
      <w:marTop w:val="0"/>
      <w:marBottom w:val="0"/>
      <w:divBdr>
        <w:top w:val="none" w:sz="0" w:space="0" w:color="auto"/>
        <w:left w:val="none" w:sz="0" w:space="0" w:color="auto"/>
        <w:bottom w:val="none" w:sz="0" w:space="0" w:color="auto"/>
        <w:right w:val="none" w:sz="0" w:space="0" w:color="auto"/>
      </w:divBdr>
    </w:div>
    <w:div w:id="1723404359">
      <w:bodyDiv w:val="1"/>
      <w:marLeft w:val="0"/>
      <w:marRight w:val="0"/>
      <w:marTop w:val="0"/>
      <w:marBottom w:val="0"/>
      <w:divBdr>
        <w:top w:val="none" w:sz="0" w:space="0" w:color="auto"/>
        <w:left w:val="none" w:sz="0" w:space="0" w:color="auto"/>
        <w:bottom w:val="none" w:sz="0" w:space="0" w:color="auto"/>
        <w:right w:val="none" w:sz="0" w:space="0" w:color="auto"/>
      </w:divBdr>
    </w:div>
    <w:div w:id="1782407786">
      <w:bodyDiv w:val="1"/>
      <w:marLeft w:val="180"/>
      <w:marRight w:val="180"/>
      <w:marTop w:val="180"/>
      <w:marBottom w:val="180"/>
      <w:divBdr>
        <w:top w:val="none" w:sz="0" w:space="0" w:color="auto"/>
        <w:left w:val="none" w:sz="0" w:space="0" w:color="auto"/>
        <w:bottom w:val="none" w:sz="0" w:space="0" w:color="auto"/>
        <w:right w:val="none" w:sz="0" w:space="0" w:color="auto"/>
      </w:divBdr>
      <w:divsChild>
        <w:div w:id="776758508">
          <w:marLeft w:val="0"/>
          <w:marRight w:val="0"/>
          <w:marTop w:val="0"/>
          <w:marBottom w:val="0"/>
          <w:divBdr>
            <w:top w:val="none" w:sz="0" w:space="0" w:color="auto"/>
            <w:left w:val="none" w:sz="0" w:space="0" w:color="auto"/>
            <w:bottom w:val="none" w:sz="0" w:space="0" w:color="auto"/>
            <w:right w:val="none" w:sz="0" w:space="0" w:color="auto"/>
          </w:divBdr>
        </w:div>
      </w:divsChild>
    </w:div>
    <w:div w:id="1805808638">
      <w:bodyDiv w:val="1"/>
      <w:marLeft w:val="0"/>
      <w:marRight w:val="0"/>
      <w:marTop w:val="0"/>
      <w:marBottom w:val="0"/>
      <w:divBdr>
        <w:top w:val="none" w:sz="0" w:space="0" w:color="auto"/>
        <w:left w:val="none" w:sz="0" w:space="0" w:color="auto"/>
        <w:bottom w:val="none" w:sz="0" w:space="0" w:color="auto"/>
        <w:right w:val="none" w:sz="0" w:space="0" w:color="auto"/>
      </w:divBdr>
    </w:div>
    <w:div w:id="1872569358">
      <w:bodyDiv w:val="1"/>
      <w:marLeft w:val="0"/>
      <w:marRight w:val="0"/>
      <w:marTop w:val="0"/>
      <w:marBottom w:val="0"/>
      <w:divBdr>
        <w:top w:val="none" w:sz="0" w:space="0" w:color="auto"/>
        <w:left w:val="none" w:sz="0" w:space="0" w:color="auto"/>
        <w:bottom w:val="none" w:sz="0" w:space="0" w:color="auto"/>
        <w:right w:val="none" w:sz="0" w:space="0" w:color="auto"/>
      </w:divBdr>
    </w:div>
    <w:div w:id="2042583160">
      <w:bodyDiv w:val="1"/>
      <w:marLeft w:val="0"/>
      <w:marRight w:val="0"/>
      <w:marTop w:val="0"/>
      <w:marBottom w:val="0"/>
      <w:divBdr>
        <w:top w:val="none" w:sz="0" w:space="0" w:color="auto"/>
        <w:left w:val="none" w:sz="0" w:space="0" w:color="auto"/>
        <w:bottom w:val="none" w:sz="0" w:space="0" w:color="auto"/>
        <w:right w:val="none" w:sz="0" w:space="0" w:color="auto"/>
      </w:divBdr>
    </w:div>
    <w:div w:id="2145148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EF972-9476-489A-B498-D89D05707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6760</Words>
  <Characters>38534</Characters>
  <Application>Microsoft Office Word</Application>
  <DocSecurity>0</DocSecurity>
  <Lines>321</Lines>
  <Paragraphs>90</Paragraphs>
  <ScaleCrop>false</ScaleCrop>
  <Company/>
  <LinksUpToDate>false</LinksUpToDate>
  <CharactersWithSpaces>45204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2020-08-17T12:17:00Z</dcterms:created>
  <dcterms:modified xsi:type="dcterms:W3CDTF">2020-08-18T06:50:00Z</dcterms:modified>
</cp:coreProperties>
</file>