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A5D" w:rsidRPr="00862636" w:rsidRDefault="008A5A5D" w:rsidP="006D141C">
      <w:pPr>
        <w:autoSpaceDE w:val="0"/>
        <w:autoSpaceDN w:val="0"/>
        <w:adjustRightInd w:val="0"/>
        <w:spacing w:line="360" w:lineRule="auto"/>
        <w:jc w:val="left"/>
        <w:rPr>
          <w:rFonts w:eastAsiaTheme="minorEastAsia"/>
          <w:color w:val="000000"/>
          <w:kern w:val="0"/>
          <w:szCs w:val="21"/>
        </w:rPr>
      </w:pPr>
      <w:bookmarkStart w:id="0" w:name="_GoBack"/>
    </w:p>
    <w:p w:rsidR="008A5A5D" w:rsidRPr="00862636" w:rsidRDefault="008A5A5D" w:rsidP="006D141C">
      <w:pPr>
        <w:autoSpaceDE w:val="0"/>
        <w:autoSpaceDN w:val="0"/>
        <w:adjustRightInd w:val="0"/>
        <w:spacing w:line="360" w:lineRule="auto"/>
        <w:jc w:val="left"/>
        <w:rPr>
          <w:rFonts w:eastAsiaTheme="minorEastAsia"/>
          <w:color w:val="000000"/>
          <w:kern w:val="0"/>
          <w:szCs w:val="21"/>
        </w:rPr>
      </w:pPr>
    </w:p>
    <w:p w:rsidR="006A28BF" w:rsidRPr="00862636" w:rsidRDefault="006A28BF" w:rsidP="006D141C">
      <w:pPr>
        <w:autoSpaceDE w:val="0"/>
        <w:autoSpaceDN w:val="0"/>
        <w:adjustRightInd w:val="0"/>
        <w:spacing w:line="360" w:lineRule="auto"/>
        <w:jc w:val="left"/>
        <w:rPr>
          <w:rFonts w:eastAsiaTheme="minorEastAsia"/>
          <w:color w:val="000000"/>
          <w:kern w:val="0"/>
          <w:szCs w:val="21"/>
        </w:rPr>
      </w:pPr>
    </w:p>
    <w:p w:rsidR="008A5A5D" w:rsidRPr="00862636" w:rsidRDefault="008A5A5D" w:rsidP="006D141C">
      <w:pPr>
        <w:autoSpaceDE w:val="0"/>
        <w:autoSpaceDN w:val="0"/>
        <w:adjustRightInd w:val="0"/>
        <w:spacing w:line="360" w:lineRule="auto"/>
        <w:jc w:val="left"/>
        <w:rPr>
          <w:rStyle w:val="af8"/>
          <w:rFonts w:eastAsiaTheme="minorEastAsia"/>
          <w:szCs w:val="21"/>
        </w:rPr>
      </w:pPr>
    </w:p>
    <w:p w:rsidR="008A5A5D" w:rsidRPr="00307E35" w:rsidRDefault="008A5A5D" w:rsidP="00F07EDE">
      <w:pPr>
        <w:spacing w:line="360" w:lineRule="auto"/>
        <w:jc w:val="center"/>
        <w:rPr>
          <w:b/>
          <w:sz w:val="44"/>
          <w:szCs w:val="44"/>
        </w:rPr>
      </w:pPr>
      <w:bookmarkStart w:id="1" w:name="_Toc352254876"/>
      <w:bookmarkStart w:id="2" w:name="_Toc352255956"/>
      <w:bookmarkStart w:id="3" w:name="_Toc352256024"/>
      <w:bookmarkStart w:id="4" w:name="_Toc352256201"/>
      <w:bookmarkStart w:id="5" w:name="_Toc352331202"/>
      <w:r w:rsidRPr="00307E35">
        <w:rPr>
          <w:b/>
          <w:sz w:val="44"/>
          <w:szCs w:val="44"/>
        </w:rPr>
        <w:t>易方达中证浙江新动能交易型开放式指数证券投资基金联接基金</w:t>
      </w:r>
      <w:bookmarkEnd w:id="1"/>
      <w:bookmarkEnd w:id="2"/>
      <w:bookmarkEnd w:id="3"/>
      <w:bookmarkEnd w:id="4"/>
      <w:bookmarkEnd w:id="5"/>
    </w:p>
    <w:p w:rsidR="008A5A5D" w:rsidRPr="00307E35" w:rsidRDefault="008A5A5D" w:rsidP="00F07EDE">
      <w:pPr>
        <w:spacing w:line="360" w:lineRule="auto"/>
        <w:jc w:val="center"/>
        <w:rPr>
          <w:b/>
          <w:sz w:val="44"/>
          <w:szCs w:val="44"/>
        </w:rPr>
      </w:pPr>
      <w:bookmarkStart w:id="6" w:name="_Toc352254877"/>
      <w:bookmarkStart w:id="7" w:name="_Toc352255957"/>
      <w:bookmarkStart w:id="8" w:name="_Toc352256025"/>
      <w:bookmarkStart w:id="9" w:name="_Toc352256202"/>
      <w:bookmarkStart w:id="10" w:name="_Toc352331203"/>
      <w:r w:rsidRPr="00307E35">
        <w:rPr>
          <w:b/>
          <w:sz w:val="44"/>
          <w:szCs w:val="44"/>
        </w:rPr>
        <w:t>2020</w:t>
      </w:r>
      <w:r w:rsidRPr="00307E35">
        <w:rPr>
          <w:b/>
          <w:sz w:val="44"/>
          <w:szCs w:val="44"/>
        </w:rPr>
        <w:t>年中期报告</w:t>
      </w:r>
      <w:bookmarkEnd w:id="6"/>
      <w:bookmarkEnd w:id="7"/>
      <w:bookmarkEnd w:id="8"/>
      <w:bookmarkEnd w:id="9"/>
      <w:bookmarkEnd w:id="10"/>
    </w:p>
    <w:p w:rsidR="008A5A5D" w:rsidRPr="00307E35" w:rsidRDefault="00146FBA" w:rsidP="00F07EDE">
      <w:pPr>
        <w:spacing w:line="360" w:lineRule="auto"/>
        <w:jc w:val="center"/>
        <w:rPr>
          <w:b/>
          <w:sz w:val="44"/>
          <w:szCs w:val="44"/>
        </w:rPr>
      </w:pPr>
      <w:r w:rsidRPr="00307E35">
        <w:rPr>
          <w:b/>
          <w:sz w:val="44"/>
          <w:szCs w:val="44"/>
        </w:rPr>
        <w:t>2020</w:t>
      </w:r>
      <w:r w:rsidRPr="00307E35">
        <w:rPr>
          <w:b/>
          <w:sz w:val="44"/>
          <w:szCs w:val="44"/>
        </w:rPr>
        <w:t>年</w:t>
      </w:r>
      <w:r w:rsidRPr="00307E35">
        <w:rPr>
          <w:b/>
          <w:sz w:val="44"/>
          <w:szCs w:val="44"/>
        </w:rPr>
        <w:t>6</w:t>
      </w:r>
      <w:r w:rsidRPr="00307E35">
        <w:rPr>
          <w:b/>
          <w:sz w:val="44"/>
          <w:szCs w:val="44"/>
        </w:rPr>
        <w:t>月</w:t>
      </w:r>
      <w:r w:rsidRPr="00307E35">
        <w:rPr>
          <w:b/>
          <w:sz w:val="44"/>
          <w:szCs w:val="44"/>
        </w:rPr>
        <w:t>30</w:t>
      </w:r>
      <w:r w:rsidRPr="00307E35">
        <w:rPr>
          <w:b/>
          <w:sz w:val="44"/>
          <w:szCs w:val="44"/>
        </w:rPr>
        <w:t>日</w:t>
      </w:r>
    </w:p>
    <w:p w:rsidR="008A5A5D" w:rsidRPr="008134C7" w:rsidRDefault="008A5A5D" w:rsidP="006D141C">
      <w:pPr>
        <w:spacing w:line="360" w:lineRule="auto"/>
        <w:jc w:val="center"/>
        <w:rPr>
          <w:rStyle w:val="af8"/>
          <w:rFonts w:eastAsiaTheme="minorEastAsia"/>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jc w:val="center"/>
        <w:rPr>
          <w:rFonts w:eastAsiaTheme="minorEastAsia"/>
          <w:b/>
          <w:color w:val="000000"/>
          <w:sz w:val="24"/>
        </w:rPr>
      </w:pPr>
    </w:p>
    <w:p w:rsidR="008A5A5D" w:rsidRPr="008134C7" w:rsidRDefault="008A5A5D" w:rsidP="006D141C">
      <w:pPr>
        <w:spacing w:line="360" w:lineRule="auto"/>
        <w:rPr>
          <w:rFonts w:eastAsiaTheme="minorEastAsia"/>
          <w:b/>
          <w:color w:val="000000"/>
          <w:sz w:val="24"/>
        </w:rPr>
      </w:pP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基金管理人：易方达基金管理有限公司</w:t>
      </w:r>
    </w:p>
    <w:p w:rsidR="008A5A5D" w:rsidRPr="008134C7"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基金托管人：中国工商银行股份有限公司</w:t>
      </w:r>
    </w:p>
    <w:p w:rsidR="008A5A5D" w:rsidRPr="00862636" w:rsidRDefault="008A5A5D" w:rsidP="00FA230F">
      <w:pPr>
        <w:spacing w:line="360" w:lineRule="auto"/>
        <w:ind w:firstLineChars="900" w:firstLine="2160"/>
        <w:rPr>
          <w:rFonts w:eastAsiaTheme="minorEastAsia"/>
          <w:color w:val="000000"/>
          <w:sz w:val="24"/>
        </w:rPr>
      </w:pPr>
      <w:r w:rsidRPr="008134C7">
        <w:rPr>
          <w:rFonts w:eastAsiaTheme="minorEastAsia"/>
          <w:color w:val="000000"/>
          <w:sz w:val="24"/>
        </w:rPr>
        <w:t>送出日期：二〇二〇年八月二十八日</w:t>
      </w:r>
    </w:p>
    <w:p w:rsidR="008A5A5D" w:rsidRPr="00862636" w:rsidRDefault="008A5A5D" w:rsidP="00F07EDE">
      <w:pPr>
        <w:spacing w:line="288" w:lineRule="auto"/>
        <w:ind w:firstLineChars="900" w:firstLine="1897"/>
        <w:rPr>
          <w:rFonts w:eastAsiaTheme="minorEastAsia"/>
          <w:b/>
          <w:color w:val="000000"/>
          <w:szCs w:val="21"/>
        </w:rPr>
        <w:sectPr w:rsidR="008A5A5D" w:rsidRPr="00862636">
          <w:headerReference w:type="default" r:id="rId8"/>
          <w:footerReference w:type="default" r:id="rId9"/>
          <w:pgSz w:w="11926" w:h="15840"/>
          <w:pgMar w:top="1418" w:right="1418" w:bottom="851" w:left="1418" w:header="851" w:footer="992" w:gutter="0"/>
          <w:cols w:space="720"/>
        </w:sectPr>
      </w:pPr>
    </w:p>
    <w:p w:rsidR="00937FC6" w:rsidRPr="00A432E9" w:rsidRDefault="00937FC6"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1" w:name="_Toc225498243"/>
      <w:bookmarkStart w:id="12" w:name="_Toc352255958"/>
      <w:bookmarkStart w:id="13" w:name="_Toc352256026"/>
      <w:bookmarkStart w:id="14" w:name="_Toc352331204"/>
      <w:bookmarkStart w:id="15" w:name="_Toc48660269"/>
      <w:r w:rsidRPr="000C6CCD">
        <w:rPr>
          <w:rFonts w:ascii="宋体" w:hAnsi="宋体"/>
          <w:bCs w:val="0"/>
          <w:color w:val="000000"/>
          <w:sz w:val="21"/>
          <w:szCs w:val="21"/>
        </w:rPr>
        <w:lastRenderedPageBreak/>
        <w:t>1</w:t>
      </w:r>
      <w:r w:rsidR="000C6CCD">
        <w:rPr>
          <w:rFonts w:ascii="Times New Roman" w:hAnsi="Times New Roman"/>
          <w:bCs w:val="0"/>
          <w:color w:val="000000"/>
          <w:sz w:val="21"/>
          <w:szCs w:val="21"/>
        </w:rPr>
        <w:t xml:space="preserve">    </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重要提示及目录</w:t>
      </w:r>
      <w:bookmarkEnd w:id="11"/>
      <w:bookmarkEnd w:id="12"/>
      <w:bookmarkEnd w:id="13"/>
      <w:bookmarkEnd w:id="14"/>
      <w:bookmarkEnd w:id="15"/>
    </w:p>
    <w:p w:rsidR="00C24ACA" w:rsidRPr="00A432E9" w:rsidRDefault="00C24ACA" w:rsidP="006C64F3">
      <w:pPr>
        <w:pStyle w:val="20"/>
        <w:spacing w:beforeLines="100" w:before="312" w:after="0"/>
        <w:rPr>
          <w:rFonts w:ascii="Times New Roman" w:eastAsiaTheme="minorEastAsia" w:hAnsi="Times New Roman"/>
          <w:kern w:val="0"/>
          <w:sz w:val="21"/>
          <w:szCs w:val="21"/>
        </w:rPr>
      </w:pPr>
      <w:bookmarkStart w:id="16" w:name="_Toc352255959"/>
      <w:bookmarkStart w:id="17" w:name="_Toc352256027"/>
      <w:bookmarkStart w:id="18" w:name="_Toc352331205"/>
      <w:bookmarkStart w:id="19" w:name="_Toc48660270"/>
      <w:r w:rsidRPr="0087359D">
        <w:rPr>
          <w:rFonts w:ascii="宋体" w:hAnsi="宋体"/>
          <w:kern w:val="0"/>
          <w:sz w:val="21"/>
          <w:szCs w:val="21"/>
        </w:rPr>
        <w:t>1.1</w:t>
      </w:r>
      <w:r w:rsidR="009A2157" w:rsidRPr="009A2157">
        <w:rPr>
          <w:rFonts w:ascii="Times New Roman" w:eastAsiaTheme="minorEastAsia" w:hAnsi="Times New Roman"/>
          <w:kern w:val="0"/>
          <w:sz w:val="21"/>
          <w:szCs w:val="21"/>
        </w:rPr>
        <w:t xml:space="preserve">   </w:t>
      </w:r>
      <w:r w:rsidRPr="00A432E9">
        <w:rPr>
          <w:rFonts w:ascii="Times New Roman" w:eastAsiaTheme="minorEastAsia" w:hAnsi="Times New Roman" w:hint="eastAsia"/>
          <w:kern w:val="0"/>
          <w:sz w:val="21"/>
          <w:szCs w:val="21"/>
        </w:rPr>
        <w:t>重要提示</w:t>
      </w:r>
      <w:bookmarkEnd w:id="16"/>
      <w:bookmarkEnd w:id="17"/>
      <w:bookmarkEnd w:id="18"/>
      <w:bookmarkEnd w:id="19"/>
    </w:p>
    <w:p w:rsidR="000265E6" w:rsidRDefault="004D56B3">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0265E6" w:rsidRDefault="004D56B3">
      <w:pPr>
        <w:spacing w:line="360" w:lineRule="auto"/>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0265E6" w:rsidRDefault="004D56B3">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0265E6" w:rsidRDefault="004D56B3">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0265E6" w:rsidRDefault="004D56B3">
      <w:pPr>
        <w:spacing w:line="360" w:lineRule="auto"/>
        <w:ind w:firstLineChars="200" w:firstLine="420"/>
        <w:rPr>
          <w:szCs w:val="21"/>
        </w:rPr>
      </w:pPr>
      <w:r>
        <w:rPr>
          <w:color w:val="000000"/>
          <w:szCs w:val="21"/>
        </w:rPr>
        <w:t>本报告中财务资料未经审计。</w:t>
      </w:r>
      <w:r>
        <w:rPr>
          <w:color w:val="000000"/>
          <w:szCs w:val="21"/>
        </w:rPr>
        <w:t xml:space="preserve"> </w:t>
      </w:r>
    </w:p>
    <w:p w:rsidR="00C24ACA" w:rsidRPr="00C24ACA" w:rsidRDefault="00C24ACA" w:rsidP="008707EB">
      <w:pPr>
        <w:spacing w:line="360" w:lineRule="auto"/>
        <w:ind w:firstLineChars="200" w:firstLine="420"/>
        <w:rPr>
          <w:szCs w:val="21"/>
        </w:rPr>
      </w:pPr>
      <w:r w:rsidRPr="00C24ACA">
        <w:rPr>
          <w:color w:val="000000"/>
          <w:szCs w:val="21"/>
        </w:rPr>
        <w:t>本报告期自</w:t>
      </w:r>
      <w:r w:rsidRPr="00C24ACA">
        <w:rPr>
          <w:color w:val="000000"/>
          <w:szCs w:val="21"/>
        </w:rPr>
        <w:t>2020</w:t>
      </w:r>
      <w:r w:rsidRPr="00C24ACA">
        <w:rPr>
          <w:color w:val="000000"/>
          <w:szCs w:val="21"/>
        </w:rPr>
        <w:t>年</w:t>
      </w:r>
      <w:r w:rsidRPr="00C24ACA">
        <w:rPr>
          <w:color w:val="000000"/>
          <w:szCs w:val="21"/>
        </w:rPr>
        <w:t>4</w:t>
      </w:r>
      <w:r w:rsidRPr="00C24ACA">
        <w:rPr>
          <w:color w:val="000000"/>
          <w:szCs w:val="21"/>
        </w:rPr>
        <w:t>月</w:t>
      </w:r>
      <w:r w:rsidRPr="00C24ACA">
        <w:rPr>
          <w:color w:val="000000"/>
          <w:szCs w:val="21"/>
        </w:rPr>
        <w:t>24</w:t>
      </w:r>
      <w:r w:rsidRPr="00C24ACA">
        <w:rPr>
          <w:color w:val="000000"/>
          <w:szCs w:val="21"/>
        </w:rPr>
        <w:t>日起至</w:t>
      </w:r>
      <w:r w:rsidRPr="00C24ACA">
        <w:rPr>
          <w:color w:val="000000"/>
          <w:szCs w:val="21"/>
        </w:rPr>
        <w:t>6</w:t>
      </w:r>
      <w:r w:rsidRPr="00C24ACA">
        <w:rPr>
          <w:color w:val="000000"/>
          <w:szCs w:val="21"/>
        </w:rPr>
        <w:t>月</w:t>
      </w:r>
      <w:r w:rsidRPr="00C24ACA">
        <w:rPr>
          <w:color w:val="000000"/>
          <w:szCs w:val="21"/>
        </w:rPr>
        <w:t>30</w:t>
      </w:r>
      <w:r w:rsidRPr="00C24ACA">
        <w:rPr>
          <w:color w:val="000000"/>
          <w:szCs w:val="21"/>
        </w:rPr>
        <w:t>日止。</w:t>
      </w:r>
    </w:p>
    <w:p w:rsidR="00937FC6" w:rsidRPr="00C24ACA" w:rsidRDefault="00871A0D" w:rsidP="006C64F3">
      <w:pPr>
        <w:pStyle w:val="20"/>
        <w:spacing w:beforeLines="100" w:before="312" w:after="0"/>
        <w:rPr>
          <w:rFonts w:eastAsiaTheme="minorEastAsia"/>
          <w:b w:val="0"/>
          <w:szCs w:val="21"/>
        </w:rPr>
      </w:pPr>
      <w:r w:rsidRPr="00C24ACA">
        <w:rPr>
          <w:rFonts w:eastAsiaTheme="minorEastAsia"/>
          <w:szCs w:val="21"/>
        </w:rPr>
        <w:br w:type="page"/>
      </w:r>
      <w:bookmarkStart w:id="20" w:name="_Toc48660271"/>
      <w:r w:rsidR="00937FC6" w:rsidRPr="00E141AF">
        <w:rPr>
          <w:rFonts w:ascii="宋体" w:hAnsi="宋体"/>
          <w:kern w:val="0"/>
          <w:sz w:val="21"/>
          <w:szCs w:val="21"/>
        </w:rPr>
        <w:lastRenderedPageBreak/>
        <w:t>1.2</w:t>
      </w:r>
      <w:r w:rsidR="00EC4AF6" w:rsidRPr="00EC4AF6">
        <w:rPr>
          <w:rFonts w:ascii="宋体" w:hAnsi="宋体"/>
          <w:kern w:val="0"/>
          <w:sz w:val="21"/>
          <w:szCs w:val="21"/>
        </w:rPr>
        <w:t xml:space="preserve">   </w:t>
      </w:r>
      <w:r w:rsidR="00937FC6" w:rsidRPr="00E141AF">
        <w:rPr>
          <w:rFonts w:ascii="宋体" w:hAnsi="宋体"/>
          <w:kern w:val="0"/>
          <w:sz w:val="21"/>
          <w:szCs w:val="21"/>
        </w:rPr>
        <w:t>目录</w:t>
      </w:r>
      <w:bookmarkEnd w:id="20"/>
    </w:p>
    <w:p w:rsidR="009F1FEB" w:rsidRDefault="00EF5FA8">
      <w:pPr>
        <w:pStyle w:val="22"/>
        <w:ind w:left="420"/>
        <w:rPr>
          <w:rFonts w:asciiTheme="minorHAnsi" w:eastAsiaTheme="minorEastAsia" w:hAnsiTheme="minorHAnsi" w:cstheme="minorBidi"/>
          <w:noProof/>
          <w:kern w:val="2"/>
          <w:szCs w:val="22"/>
        </w:rPr>
      </w:pPr>
      <w:r w:rsidRPr="006F3222">
        <w:rPr>
          <w:rFonts w:eastAsiaTheme="minorEastAsia"/>
        </w:rPr>
        <w:fldChar w:fldCharType="begin"/>
      </w:r>
      <w:r w:rsidR="00937FC6" w:rsidRPr="006F3222">
        <w:rPr>
          <w:rFonts w:eastAsiaTheme="minorEastAsia"/>
        </w:rPr>
        <w:instrText xml:space="preserve"> TOC \o "1-3" \h \z \u </w:instrText>
      </w:r>
      <w:r w:rsidRPr="006F3222">
        <w:rPr>
          <w:rFonts w:eastAsiaTheme="minorEastAsia"/>
        </w:rPr>
        <w:fldChar w:fldCharType="separate"/>
      </w:r>
      <w:hyperlink w:anchor="_Toc48660269" w:history="1">
        <w:r w:rsidR="009F1FEB" w:rsidRPr="00DA708A">
          <w:rPr>
            <w:rStyle w:val="a9"/>
            <w:rFonts w:ascii="宋体" w:hAnsi="宋体"/>
            <w:noProof/>
          </w:rPr>
          <w:t>1</w:t>
        </w:r>
        <w:r w:rsidR="009F1FEB" w:rsidRPr="00DA708A">
          <w:rPr>
            <w:rStyle w:val="a9"/>
            <w:noProof/>
          </w:rPr>
          <w:t xml:space="preserve">     </w:t>
        </w:r>
        <w:r w:rsidR="009F1FEB" w:rsidRPr="00DA708A">
          <w:rPr>
            <w:rStyle w:val="a9"/>
            <w:rFonts w:hint="eastAsia"/>
            <w:noProof/>
          </w:rPr>
          <w:t>重要提示及目录</w:t>
        </w:r>
        <w:r w:rsidR="009F1FEB">
          <w:rPr>
            <w:noProof/>
            <w:webHidden/>
          </w:rPr>
          <w:tab/>
        </w:r>
        <w:r w:rsidR="009F1FEB">
          <w:rPr>
            <w:noProof/>
            <w:webHidden/>
          </w:rPr>
          <w:fldChar w:fldCharType="begin"/>
        </w:r>
        <w:r w:rsidR="009F1FEB">
          <w:rPr>
            <w:noProof/>
            <w:webHidden/>
          </w:rPr>
          <w:instrText xml:space="preserve"> PAGEREF _Toc48660269 \h </w:instrText>
        </w:r>
        <w:r w:rsidR="009F1FEB">
          <w:rPr>
            <w:noProof/>
            <w:webHidden/>
          </w:rPr>
        </w:r>
        <w:r w:rsidR="009F1FEB">
          <w:rPr>
            <w:noProof/>
            <w:webHidden/>
          </w:rPr>
          <w:fldChar w:fldCharType="separate"/>
        </w:r>
        <w:r w:rsidR="009F1FEB">
          <w:rPr>
            <w:noProof/>
            <w:webHidden/>
          </w:rPr>
          <w:t>2</w:t>
        </w:r>
        <w:r w:rsidR="009F1FEB">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0" w:history="1">
        <w:r w:rsidRPr="00DA708A">
          <w:rPr>
            <w:rStyle w:val="a9"/>
            <w:rFonts w:ascii="宋体" w:hAnsi="宋体"/>
            <w:noProof/>
          </w:rPr>
          <w:t>1.1</w:t>
        </w:r>
        <w:r w:rsidRPr="00DA708A">
          <w:rPr>
            <w:rStyle w:val="a9"/>
            <w:noProof/>
          </w:rPr>
          <w:t xml:space="preserve">   </w:t>
        </w:r>
        <w:r w:rsidRPr="00DA708A">
          <w:rPr>
            <w:rStyle w:val="a9"/>
            <w:rFonts w:hint="eastAsia"/>
            <w:noProof/>
          </w:rPr>
          <w:t>重要提示</w:t>
        </w:r>
        <w:r>
          <w:rPr>
            <w:noProof/>
            <w:webHidden/>
          </w:rPr>
          <w:tab/>
        </w:r>
        <w:r>
          <w:rPr>
            <w:noProof/>
            <w:webHidden/>
          </w:rPr>
          <w:fldChar w:fldCharType="begin"/>
        </w:r>
        <w:r>
          <w:rPr>
            <w:noProof/>
            <w:webHidden/>
          </w:rPr>
          <w:instrText xml:space="preserve"> PAGEREF _Toc48660270 \h </w:instrText>
        </w:r>
        <w:r>
          <w:rPr>
            <w:noProof/>
            <w:webHidden/>
          </w:rPr>
        </w:r>
        <w:r>
          <w:rPr>
            <w:noProof/>
            <w:webHidden/>
          </w:rPr>
          <w:fldChar w:fldCharType="separate"/>
        </w:r>
        <w:r>
          <w:rPr>
            <w:noProof/>
            <w:webHidden/>
          </w:rPr>
          <w:t>2</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1" w:history="1">
        <w:r w:rsidRPr="00DA708A">
          <w:rPr>
            <w:rStyle w:val="a9"/>
            <w:rFonts w:ascii="宋体" w:hAnsi="宋体"/>
            <w:noProof/>
          </w:rPr>
          <w:t xml:space="preserve">1.2   </w:t>
        </w:r>
        <w:r w:rsidRPr="00DA708A">
          <w:rPr>
            <w:rStyle w:val="a9"/>
            <w:rFonts w:ascii="宋体" w:hAnsi="宋体" w:hint="eastAsia"/>
            <w:noProof/>
          </w:rPr>
          <w:t>目录</w:t>
        </w:r>
        <w:r>
          <w:rPr>
            <w:noProof/>
            <w:webHidden/>
          </w:rPr>
          <w:tab/>
        </w:r>
        <w:r>
          <w:rPr>
            <w:noProof/>
            <w:webHidden/>
          </w:rPr>
          <w:fldChar w:fldCharType="begin"/>
        </w:r>
        <w:r>
          <w:rPr>
            <w:noProof/>
            <w:webHidden/>
          </w:rPr>
          <w:instrText xml:space="preserve"> PAGEREF _Toc48660271 \h </w:instrText>
        </w:r>
        <w:r>
          <w:rPr>
            <w:noProof/>
            <w:webHidden/>
          </w:rPr>
        </w:r>
        <w:r>
          <w:rPr>
            <w:noProof/>
            <w:webHidden/>
          </w:rPr>
          <w:fldChar w:fldCharType="separate"/>
        </w:r>
        <w:r>
          <w:rPr>
            <w:noProof/>
            <w:webHidden/>
          </w:rPr>
          <w:t>3</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2" w:history="1">
        <w:r w:rsidRPr="00DA708A">
          <w:rPr>
            <w:rStyle w:val="a9"/>
            <w:rFonts w:ascii="宋体" w:hAnsi="宋体"/>
            <w:noProof/>
          </w:rPr>
          <w:t>2</w:t>
        </w:r>
        <w:r w:rsidRPr="00DA708A">
          <w:rPr>
            <w:rStyle w:val="a9"/>
            <w:noProof/>
          </w:rPr>
          <w:t xml:space="preserve">     </w:t>
        </w:r>
        <w:r w:rsidRPr="00DA708A">
          <w:rPr>
            <w:rStyle w:val="a9"/>
            <w:rFonts w:hint="eastAsia"/>
            <w:noProof/>
          </w:rPr>
          <w:t>基金简介</w:t>
        </w:r>
        <w:r>
          <w:rPr>
            <w:noProof/>
            <w:webHidden/>
          </w:rPr>
          <w:tab/>
        </w:r>
        <w:r>
          <w:rPr>
            <w:noProof/>
            <w:webHidden/>
          </w:rPr>
          <w:fldChar w:fldCharType="begin"/>
        </w:r>
        <w:r>
          <w:rPr>
            <w:noProof/>
            <w:webHidden/>
          </w:rPr>
          <w:instrText xml:space="preserve"> PAGEREF _Toc48660272 \h </w:instrText>
        </w:r>
        <w:r>
          <w:rPr>
            <w:noProof/>
            <w:webHidden/>
          </w:rPr>
        </w:r>
        <w:r>
          <w:rPr>
            <w:noProof/>
            <w:webHidden/>
          </w:rPr>
          <w:fldChar w:fldCharType="separate"/>
        </w:r>
        <w:r>
          <w:rPr>
            <w:noProof/>
            <w:webHidden/>
          </w:rPr>
          <w:t>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3" w:history="1">
        <w:r w:rsidRPr="00DA708A">
          <w:rPr>
            <w:rStyle w:val="a9"/>
            <w:rFonts w:ascii="宋体" w:hAnsi="宋体"/>
            <w:noProof/>
          </w:rPr>
          <w:t>2.1</w:t>
        </w:r>
        <w:r w:rsidRPr="00DA708A">
          <w:rPr>
            <w:rStyle w:val="a9"/>
            <w:noProof/>
          </w:rPr>
          <w:t xml:space="preserve">   </w:t>
        </w:r>
        <w:r w:rsidRPr="00DA708A">
          <w:rPr>
            <w:rStyle w:val="a9"/>
            <w:rFonts w:hint="eastAsia"/>
            <w:noProof/>
          </w:rPr>
          <w:t>基金基本情况</w:t>
        </w:r>
        <w:r>
          <w:rPr>
            <w:noProof/>
            <w:webHidden/>
          </w:rPr>
          <w:tab/>
        </w:r>
        <w:r>
          <w:rPr>
            <w:noProof/>
            <w:webHidden/>
          </w:rPr>
          <w:fldChar w:fldCharType="begin"/>
        </w:r>
        <w:r>
          <w:rPr>
            <w:noProof/>
            <w:webHidden/>
          </w:rPr>
          <w:instrText xml:space="preserve"> PAGEREF _Toc48660273 \h </w:instrText>
        </w:r>
        <w:r>
          <w:rPr>
            <w:noProof/>
            <w:webHidden/>
          </w:rPr>
        </w:r>
        <w:r>
          <w:rPr>
            <w:noProof/>
            <w:webHidden/>
          </w:rPr>
          <w:fldChar w:fldCharType="separate"/>
        </w:r>
        <w:r>
          <w:rPr>
            <w:noProof/>
            <w:webHidden/>
          </w:rPr>
          <w:t>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4" w:history="1">
        <w:r w:rsidRPr="00DA708A">
          <w:rPr>
            <w:rStyle w:val="a9"/>
            <w:rFonts w:ascii="宋体" w:hAnsi="宋体"/>
            <w:noProof/>
          </w:rPr>
          <w:t>2.2</w:t>
        </w:r>
        <w:r w:rsidRPr="00DA708A">
          <w:rPr>
            <w:rStyle w:val="a9"/>
            <w:noProof/>
          </w:rPr>
          <w:t xml:space="preserve">   </w:t>
        </w:r>
        <w:r w:rsidRPr="00DA708A">
          <w:rPr>
            <w:rStyle w:val="a9"/>
            <w:rFonts w:hint="eastAsia"/>
            <w:noProof/>
          </w:rPr>
          <w:t>基金产品说明</w:t>
        </w:r>
        <w:r>
          <w:rPr>
            <w:noProof/>
            <w:webHidden/>
          </w:rPr>
          <w:tab/>
        </w:r>
        <w:r>
          <w:rPr>
            <w:noProof/>
            <w:webHidden/>
          </w:rPr>
          <w:fldChar w:fldCharType="begin"/>
        </w:r>
        <w:r>
          <w:rPr>
            <w:noProof/>
            <w:webHidden/>
          </w:rPr>
          <w:instrText xml:space="preserve"> PAGEREF _Toc48660274 \h </w:instrText>
        </w:r>
        <w:r>
          <w:rPr>
            <w:noProof/>
            <w:webHidden/>
          </w:rPr>
        </w:r>
        <w:r>
          <w:rPr>
            <w:noProof/>
            <w:webHidden/>
          </w:rPr>
          <w:fldChar w:fldCharType="separate"/>
        </w:r>
        <w:r>
          <w:rPr>
            <w:noProof/>
            <w:webHidden/>
          </w:rPr>
          <w:t>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5" w:history="1">
        <w:r w:rsidRPr="00DA708A">
          <w:rPr>
            <w:rStyle w:val="a9"/>
            <w:rFonts w:ascii="宋体" w:hAnsi="宋体"/>
            <w:noProof/>
          </w:rPr>
          <w:t>2.3</w:t>
        </w:r>
        <w:r w:rsidRPr="00DA708A">
          <w:rPr>
            <w:rStyle w:val="a9"/>
            <w:noProof/>
          </w:rPr>
          <w:t xml:space="preserve">   </w:t>
        </w:r>
        <w:r w:rsidRPr="00DA708A">
          <w:rPr>
            <w:rStyle w:val="a9"/>
            <w:rFonts w:hint="eastAsia"/>
            <w:noProof/>
          </w:rPr>
          <w:t>基金管理人和基金托管人</w:t>
        </w:r>
        <w:r>
          <w:rPr>
            <w:noProof/>
            <w:webHidden/>
          </w:rPr>
          <w:tab/>
        </w:r>
        <w:r>
          <w:rPr>
            <w:noProof/>
            <w:webHidden/>
          </w:rPr>
          <w:fldChar w:fldCharType="begin"/>
        </w:r>
        <w:r>
          <w:rPr>
            <w:noProof/>
            <w:webHidden/>
          </w:rPr>
          <w:instrText xml:space="preserve"> PAGEREF _Toc48660275 \h </w:instrText>
        </w:r>
        <w:r>
          <w:rPr>
            <w:noProof/>
            <w:webHidden/>
          </w:rPr>
        </w:r>
        <w:r>
          <w:rPr>
            <w:noProof/>
            <w:webHidden/>
          </w:rPr>
          <w:fldChar w:fldCharType="separate"/>
        </w:r>
        <w:r>
          <w:rPr>
            <w:noProof/>
            <w:webHidden/>
          </w:rPr>
          <w:t>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6" w:history="1">
        <w:r w:rsidRPr="00DA708A">
          <w:rPr>
            <w:rStyle w:val="a9"/>
            <w:rFonts w:ascii="宋体" w:hAnsi="宋体"/>
            <w:noProof/>
          </w:rPr>
          <w:t>2.4</w:t>
        </w:r>
        <w:r w:rsidRPr="00DA708A">
          <w:rPr>
            <w:rStyle w:val="a9"/>
            <w:noProof/>
          </w:rPr>
          <w:t xml:space="preserve">   </w:t>
        </w:r>
        <w:r w:rsidRPr="00DA708A">
          <w:rPr>
            <w:rStyle w:val="a9"/>
            <w:rFonts w:hint="eastAsia"/>
            <w:noProof/>
          </w:rPr>
          <w:t>境外投资顾问和境外资产托管人</w:t>
        </w:r>
        <w:r>
          <w:rPr>
            <w:noProof/>
            <w:webHidden/>
          </w:rPr>
          <w:tab/>
        </w:r>
        <w:r>
          <w:rPr>
            <w:noProof/>
            <w:webHidden/>
          </w:rPr>
          <w:fldChar w:fldCharType="begin"/>
        </w:r>
        <w:r>
          <w:rPr>
            <w:noProof/>
            <w:webHidden/>
          </w:rPr>
          <w:instrText xml:space="preserve"> PAGEREF _Toc48660276 \h </w:instrText>
        </w:r>
        <w:r>
          <w:rPr>
            <w:noProof/>
            <w:webHidden/>
          </w:rPr>
        </w:r>
        <w:r>
          <w:rPr>
            <w:noProof/>
            <w:webHidden/>
          </w:rPr>
          <w:fldChar w:fldCharType="separate"/>
        </w:r>
        <w:r>
          <w:rPr>
            <w:noProof/>
            <w:webHidden/>
          </w:rPr>
          <w:t>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7" w:history="1">
        <w:r w:rsidRPr="00DA708A">
          <w:rPr>
            <w:rStyle w:val="a9"/>
            <w:rFonts w:ascii="宋体" w:hAnsi="宋体"/>
            <w:noProof/>
          </w:rPr>
          <w:t>2.5</w:t>
        </w:r>
        <w:r w:rsidRPr="00DA708A">
          <w:rPr>
            <w:rStyle w:val="a9"/>
            <w:noProof/>
          </w:rPr>
          <w:t xml:space="preserve">   </w:t>
        </w:r>
        <w:r w:rsidRPr="00DA708A">
          <w:rPr>
            <w:rStyle w:val="a9"/>
            <w:rFonts w:hint="eastAsia"/>
            <w:noProof/>
          </w:rPr>
          <w:t>信息披露方式</w:t>
        </w:r>
        <w:r>
          <w:rPr>
            <w:noProof/>
            <w:webHidden/>
          </w:rPr>
          <w:tab/>
        </w:r>
        <w:r>
          <w:rPr>
            <w:noProof/>
            <w:webHidden/>
          </w:rPr>
          <w:fldChar w:fldCharType="begin"/>
        </w:r>
        <w:r>
          <w:rPr>
            <w:noProof/>
            <w:webHidden/>
          </w:rPr>
          <w:instrText xml:space="preserve"> PAGEREF _Toc48660277 \h </w:instrText>
        </w:r>
        <w:r>
          <w:rPr>
            <w:noProof/>
            <w:webHidden/>
          </w:rPr>
        </w:r>
        <w:r>
          <w:rPr>
            <w:noProof/>
            <w:webHidden/>
          </w:rPr>
          <w:fldChar w:fldCharType="separate"/>
        </w:r>
        <w:r>
          <w:rPr>
            <w:noProof/>
            <w:webHidden/>
          </w:rPr>
          <w:t>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8" w:history="1">
        <w:r w:rsidRPr="00DA708A">
          <w:rPr>
            <w:rStyle w:val="a9"/>
            <w:rFonts w:ascii="宋体" w:hAnsi="宋体"/>
            <w:noProof/>
          </w:rPr>
          <w:t>2.6</w:t>
        </w:r>
        <w:r w:rsidRPr="00DA708A">
          <w:rPr>
            <w:rStyle w:val="a9"/>
            <w:noProof/>
          </w:rPr>
          <w:t xml:space="preserve">   </w:t>
        </w:r>
        <w:r w:rsidRPr="00DA708A">
          <w:rPr>
            <w:rStyle w:val="a9"/>
            <w:rFonts w:hint="eastAsia"/>
            <w:noProof/>
          </w:rPr>
          <w:t>其他相关资料</w:t>
        </w:r>
        <w:r>
          <w:rPr>
            <w:noProof/>
            <w:webHidden/>
          </w:rPr>
          <w:tab/>
        </w:r>
        <w:r>
          <w:rPr>
            <w:noProof/>
            <w:webHidden/>
          </w:rPr>
          <w:fldChar w:fldCharType="begin"/>
        </w:r>
        <w:r>
          <w:rPr>
            <w:noProof/>
            <w:webHidden/>
          </w:rPr>
          <w:instrText xml:space="preserve"> PAGEREF _Toc48660278 \h </w:instrText>
        </w:r>
        <w:r>
          <w:rPr>
            <w:noProof/>
            <w:webHidden/>
          </w:rPr>
        </w:r>
        <w:r>
          <w:rPr>
            <w:noProof/>
            <w:webHidden/>
          </w:rPr>
          <w:fldChar w:fldCharType="separate"/>
        </w:r>
        <w:r>
          <w:rPr>
            <w:noProof/>
            <w:webHidden/>
          </w:rPr>
          <w:t>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79" w:history="1">
        <w:r w:rsidRPr="00DA708A">
          <w:rPr>
            <w:rStyle w:val="a9"/>
            <w:rFonts w:ascii="宋体" w:hAnsi="宋体"/>
            <w:noProof/>
          </w:rPr>
          <w:t>3</w:t>
        </w:r>
        <w:r w:rsidRPr="00DA708A">
          <w:rPr>
            <w:rStyle w:val="a9"/>
            <w:noProof/>
          </w:rPr>
          <w:t xml:space="preserve">     </w:t>
        </w:r>
        <w:r w:rsidRPr="00DA708A">
          <w:rPr>
            <w:rStyle w:val="a9"/>
            <w:rFonts w:hint="eastAsia"/>
            <w:noProof/>
          </w:rPr>
          <w:t>主要财务指标和基金净值表现</w:t>
        </w:r>
        <w:r>
          <w:rPr>
            <w:noProof/>
            <w:webHidden/>
          </w:rPr>
          <w:tab/>
        </w:r>
        <w:r>
          <w:rPr>
            <w:noProof/>
            <w:webHidden/>
          </w:rPr>
          <w:fldChar w:fldCharType="begin"/>
        </w:r>
        <w:r>
          <w:rPr>
            <w:noProof/>
            <w:webHidden/>
          </w:rPr>
          <w:instrText xml:space="preserve"> PAGEREF _Toc48660279 \h </w:instrText>
        </w:r>
        <w:r>
          <w:rPr>
            <w:noProof/>
            <w:webHidden/>
          </w:rPr>
        </w:r>
        <w:r>
          <w:rPr>
            <w:noProof/>
            <w:webHidden/>
          </w:rPr>
          <w:fldChar w:fldCharType="separate"/>
        </w:r>
        <w:r>
          <w:rPr>
            <w:noProof/>
            <w:webHidden/>
          </w:rPr>
          <w:t>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0" w:history="1">
        <w:r w:rsidRPr="00DA708A">
          <w:rPr>
            <w:rStyle w:val="a9"/>
            <w:rFonts w:ascii="宋体" w:hAnsi="宋体"/>
            <w:noProof/>
          </w:rPr>
          <w:t>3.1</w:t>
        </w:r>
        <w:r w:rsidRPr="00DA708A">
          <w:rPr>
            <w:rStyle w:val="a9"/>
            <w:noProof/>
          </w:rPr>
          <w:t xml:space="preserve">   </w:t>
        </w:r>
        <w:r w:rsidRPr="00DA708A">
          <w:rPr>
            <w:rStyle w:val="a9"/>
            <w:rFonts w:hint="eastAsia"/>
            <w:noProof/>
          </w:rPr>
          <w:t>主要会计数据和财务指标</w:t>
        </w:r>
        <w:r>
          <w:rPr>
            <w:noProof/>
            <w:webHidden/>
          </w:rPr>
          <w:tab/>
        </w:r>
        <w:r>
          <w:rPr>
            <w:noProof/>
            <w:webHidden/>
          </w:rPr>
          <w:fldChar w:fldCharType="begin"/>
        </w:r>
        <w:r>
          <w:rPr>
            <w:noProof/>
            <w:webHidden/>
          </w:rPr>
          <w:instrText xml:space="preserve"> PAGEREF _Toc48660280 \h </w:instrText>
        </w:r>
        <w:r>
          <w:rPr>
            <w:noProof/>
            <w:webHidden/>
          </w:rPr>
        </w:r>
        <w:r>
          <w:rPr>
            <w:noProof/>
            <w:webHidden/>
          </w:rPr>
          <w:fldChar w:fldCharType="separate"/>
        </w:r>
        <w:r>
          <w:rPr>
            <w:noProof/>
            <w:webHidden/>
          </w:rPr>
          <w:t>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1" w:history="1">
        <w:r w:rsidRPr="00DA708A">
          <w:rPr>
            <w:rStyle w:val="a9"/>
            <w:rFonts w:ascii="宋体" w:hAnsi="宋体"/>
            <w:noProof/>
          </w:rPr>
          <w:t>3.2</w:t>
        </w:r>
        <w:r w:rsidRPr="00DA708A">
          <w:rPr>
            <w:rStyle w:val="a9"/>
            <w:noProof/>
          </w:rPr>
          <w:t xml:space="preserve">   </w:t>
        </w:r>
        <w:r w:rsidRPr="00DA708A">
          <w:rPr>
            <w:rStyle w:val="a9"/>
            <w:rFonts w:hint="eastAsia"/>
            <w:noProof/>
          </w:rPr>
          <w:t>基金净值表现</w:t>
        </w:r>
        <w:r>
          <w:rPr>
            <w:noProof/>
            <w:webHidden/>
          </w:rPr>
          <w:tab/>
        </w:r>
        <w:r>
          <w:rPr>
            <w:noProof/>
            <w:webHidden/>
          </w:rPr>
          <w:fldChar w:fldCharType="begin"/>
        </w:r>
        <w:r>
          <w:rPr>
            <w:noProof/>
            <w:webHidden/>
          </w:rPr>
          <w:instrText xml:space="preserve"> PAGEREF _Toc48660281 \h </w:instrText>
        </w:r>
        <w:r>
          <w:rPr>
            <w:noProof/>
            <w:webHidden/>
          </w:rPr>
        </w:r>
        <w:r>
          <w:rPr>
            <w:noProof/>
            <w:webHidden/>
          </w:rPr>
          <w:fldChar w:fldCharType="separate"/>
        </w:r>
        <w:r>
          <w:rPr>
            <w:noProof/>
            <w:webHidden/>
          </w:rPr>
          <w:t>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2" w:history="1">
        <w:r w:rsidRPr="00DA708A">
          <w:rPr>
            <w:rStyle w:val="a9"/>
            <w:rFonts w:ascii="宋体" w:hAnsi="宋体"/>
            <w:noProof/>
          </w:rPr>
          <w:t>4</w:t>
        </w:r>
        <w:r w:rsidRPr="00DA708A">
          <w:rPr>
            <w:rStyle w:val="a9"/>
            <w:noProof/>
          </w:rPr>
          <w:t xml:space="preserve">     </w:t>
        </w:r>
        <w:r w:rsidRPr="00DA708A">
          <w:rPr>
            <w:rStyle w:val="a9"/>
            <w:rFonts w:hint="eastAsia"/>
            <w:noProof/>
          </w:rPr>
          <w:t>管理人报告</w:t>
        </w:r>
        <w:r>
          <w:rPr>
            <w:noProof/>
            <w:webHidden/>
          </w:rPr>
          <w:tab/>
        </w:r>
        <w:r>
          <w:rPr>
            <w:noProof/>
            <w:webHidden/>
          </w:rPr>
          <w:fldChar w:fldCharType="begin"/>
        </w:r>
        <w:r>
          <w:rPr>
            <w:noProof/>
            <w:webHidden/>
          </w:rPr>
          <w:instrText xml:space="preserve"> PAGEREF _Toc48660282 \h </w:instrText>
        </w:r>
        <w:r>
          <w:rPr>
            <w:noProof/>
            <w:webHidden/>
          </w:rPr>
        </w:r>
        <w:r>
          <w:rPr>
            <w:noProof/>
            <w:webHidden/>
          </w:rPr>
          <w:fldChar w:fldCharType="separate"/>
        </w:r>
        <w:r>
          <w:rPr>
            <w:noProof/>
            <w:webHidden/>
          </w:rPr>
          <w:t>10</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3" w:history="1">
        <w:r w:rsidRPr="00DA708A">
          <w:rPr>
            <w:rStyle w:val="a9"/>
            <w:rFonts w:ascii="宋体" w:hAnsi="宋体"/>
            <w:noProof/>
          </w:rPr>
          <w:t>4.1</w:t>
        </w:r>
        <w:r w:rsidRPr="00DA708A">
          <w:rPr>
            <w:rStyle w:val="a9"/>
            <w:noProof/>
          </w:rPr>
          <w:t xml:space="preserve">   </w:t>
        </w:r>
        <w:r w:rsidRPr="00DA708A">
          <w:rPr>
            <w:rStyle w:val="a9"/>
            <w:rFonts w:hint="eastAsia"/>
            <w:noProof/>
          </w:rPr>
          <w:t>基金管理人及基金经理情况</w:t>
        </w:r>
        <w:r>
          <w:rPr>
            <w:noProof/>
            <w:webHidden/>
          </w:rPr>
          <w:tab/>
        </w:r>
        <w:r>
          <w:rPr>
            <w:noProof/>
            <w:webHidden/>
          </w:rPr>
          <w:fldChar w:fldCharType="begin"/>
        </w:r>
        <w:r>
          <w:rPr>
            <w:noProof/>
            <w:webHidden/>
          </w:rPr>
          <w:instrText xml:space="preserve"> PAGEREF _Toc48660283 \h </w:instrText>
        </w:r>
        <w:r>
          <w:rPr>
            <w:noProof/>
            <w:webHidden/>
          </w:rPr>
        </w:r>
        <w:r>
          <w:rPr>
            <w:noProof/>
            <w:webHidden/>
          </w:rPr>
          <w:fldChar w:fldCharType="separate"/>
        </w:r>
        <w:r>
          <w:rPr>
            <w:noProof/>
            <w:webHidden/>
          </w:rPr>
          <w:t>10</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4" w:history="1">
        <w:r w:rsidRPr="00DA708A">
          <w:rPr>
            <w:rStyle w:val="a9"/>
            <w:rFonts w:ascii="宋体" w:hAnsi="宋体"/>
            <w:noProof/>
          </w:rPr>
          <w:t>4.2</w:t>
        </w:r>
        <w:r w:rsidRPr="00DA708A">
          <w:rPr>
            <w:rStyle w:val="a9"/>
            <w:noProof/>
          </w:rPr>
          <w:t xml:space="preserve">   </w:t>
        </w:r>
        <w:r w:rsidRPr="00DA708A">
          <w:rPr>
            <w:rStyle w:val="a9"/>
            <w:rFonts w:hint="eastAsia"/>
            <w:noProof/>
          </w:rPr>
          <w:t>境外投资顾问为本基金提供投资建议的主要成员简介</w:t>
        </w:r>
        <w:r>
          <w:rPr>
            <w:noProof/>
            <w:webHidden/>
          </w:rPr>
          <w:tab/>
        </w:r>
        <w:r>
          <w:rPr>
            <w:noProof/>
            <w:webHidden/>
          </w:rPr>
          <w:fldChar w:fldCharType="begin"/>
        </w:r>
        <w:r>
          <w:rPr>
            <w:noProof/>
            <w:webHidden/>
          </w:rPr>
          <w:instrText xml:space="preserve"> PAGEREF _Toc48660284 \h </w:instrText>
        </w:r>
        <w:r>
          <w:rPr>
            <w:noProof/>
            <w:webHidden/>
          </w:rPr>
        </w:r>
        <w:r>
          <w:rPr>
            <w:noProof/>
            <w:webHidden/>
          </w:rPr>
          <w:fldChar w:fldCharType="separate"/>
        </w:r>
        <w:r>
          <w:rPr>
            <w:noProof/>
            <w:webHidden/>
          </w:rPr>
          <w:t>14</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5" w:history="1">
        <w:r w:rsidRPr="00DA708A">
          <w:rPr>
            <w:rStyle w:val="a9"/>
            <w:rFonts w:ascii="宋体" w:hAnsi="宋体"/>
            <w:noProof/>
          </w:rPr>
          <w:t>4.3</w:t>
        </w:r>
        <w:r w:rsidRPr="00DA708A">
          <w:rPr>
            <w:rStyle w:val="a9"/>
            <w:noProof/>
          </w:rPr>
          <w:t xml:space="preserve">   </w:t>
        </w:r>
        <w:r w:rsidRPr="00DA708A">
          <w:rPr>
            <w:rStyle w:val="a9"/>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_Toc48660285 \h </w:instrText>
        </w:r>
        <w:r>
          <w:rPr>
            <w:noProof/>
            <w:webHidden/>
          </w:rPr>
        </w:r>
        <w:r>
          <w:rPr>
            <w:noProof/>
            <w:webHidden/>
          </w:rPr>
          <w:fldChar w:fldCharType="separate"/>
        </w:r>
        <w:r>
          <w:rPr>
            <w:noProof/>
            <w:webHidden/>
          </w:rPr>
          <w:t>15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6" w:history="1">
        <w:r w:rsidRPr="00DA708A">
          <w:rPr>
            <w:rStyle w:val="a9"/>
            <w:rFonts w:ascii="宋体" w:hAnsi="宋体"/>
            <w:noProof/>
          </w:rPr>
          <w:t>4.4</w:t>
        </w:r>
        <w:r w:rsidRPr="00DA708A">
          <w:rPr>
            <w:rStyle w:val="a9"/>
            <w:noProof/>
          </w:rPr>
          <w:t xml:space="preserve">   </w:t>
        </w:r>
        <w:r w:rsidRPr="00DA708A">
          <w:rPr>
            <w:rStyle w:val="a9"/>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_Toc48660286 \h </w:instrText>
        </w:r>
        <w:r>
          <w:rPr>
            <w:noProof/>
            <w:webHidden/>
          </w:rPr>
        </w:r>
        <w:r>
          <w:rPr>
            <w:noProof/>
            <w:webHidden/>
          </w:rPr>
          <w:fldChar w:fldCharType="separate"/>
        </w:r>
        <w:r>
          <w:rPr>
            <w:noProof/>
            <w:webHidden/>
          </w:rPr>
          <w:t>15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7" w:history="1">
        <w:r w:rsidRPr="00DA708A">
          <w:rPr>
            <w:rStyle w:val="a9"/>
            <w:rFonts w:ascii="宋体" w:hAnsi="宋体"/>
            <w:noProof/>
          </w:rPr>
          <w:t>4.5</w:t>
        </w:r>
        <w:r w:rsidRPr="00DA708A">
          <w:rPr>
            <w:rStyle w:val="a9"/>
            <w:noProof/>
          </w:rPr>
          <w:t xml:space="preserve">   </w:t>
        </w:r>
        <w:r w:rsidRPr="00DA708A">
          <w:rPr>
            <w:rStyle w:val="a9"/>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_Toc48660287 \h </w:instrText>
        </w:r>
        <w:r>
          <w:rPr>
            <w:noProof/>
            <w:webHidden/>
          </w:rPr>
        </w:r>
        <w:r>
          <w:rPr>
            <w:noProof/>
            <w:webHidden/>
          </w:rPr>
          <w:fldChar w:fldCharType="separate"/>
        </w:r>
        <w:r>
          <w:rPr>
            <w:noProof/>
            <w:webHidden/>
          </w:rPr>
          <w:t>15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8" w:history="1">
        <w:r w:rsidRPr="00DA708A">
          <w:rPr>
            <w:rStyle w:val="a9"/>
            <w:rFonts w:ascii="宋体" w:hAnsi="宋体"/>
            <w:noProof/>
          </w:rPr>
          <w:t>4.6</w:t>
        </w:r>
        <w:r w:rsidRPr="00DA708A">
          <w:rPr>
            <w:rStyle w:val="a9"/>
            <w:noProof/>
          </w:rPr>
          <w:t xml:space="preserve">   </w:t>
        </w:r>
        <w:r w:rsidRPr="00DA708A">
          <w:rPr>
            <w:rStyle w:val="a9"/>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_Toc48660288 \h </w:instrText>
        </w:r>
        <w:r>
          <w:rPr>
            <w:noProof/>
            <w:webHidden/>
          </w:rPr>
        </w:r>
        <w:r>
          <w:rPr>
            <w:noProof/>
            <w:webHidden/>
          </w:rPr>
          <w:fldChar w:fldCharType="separate"/>
        </w:r>
        <w:r>
          <w:rPr>
            <w:noProof/>
            <w:webHidden/>
          </w:rPr>
          <w:t>16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89" w:history="1">
        <w:r w:rsidRPr="00DA708A">
          <w:rPr>
            <w:rStyle w:val="a9"/>
            <w:rFonts w:ascii="宋体" w:hAnsi="宋体"/>
            <w:noProof/>
          </w:rPr>
          <w:t>4.7</w:t>
        </w:r>
        <w:r w:rsidRPr="00DA708A">
          <w:rPr>
            <w:rStyle w:val="a9"/>
            <w:noProof/>
          </w:rPr>
          <w:t xml:space="preserve">   </w:t>
        </w:r>
        <w:r w:rsidRPr="00DA708A">
          <w:rPr>
            <w:rStyle w:val="a9"/>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_Toc48660289 \h </w:instrText>
        </w:r>
        <w:r>
          <w:rPr>
            <w:noProof/>
            <w:webHidden/>
          </w:rPr>
        </w:r>
        <w:r>
          <w:rPr>
            <w:noProof/>
            <w:webHidden/>
          </w:rPr>
          <w:fldChar w:fldCharType="separate"/>
        </w:r>
        <w:r>
          <w:rPr>
            <w:noProof/>
            <w:webHidden/>
          </w:rPr>
          <w:t>16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0" w:history="1">
        <w:r w:rsidRPr="00DA708A">
          <w:rPr>
            <w:rStyle w:val="a9"/>
            <w:rFonts w:ascii="宋体" w:hAnsi="宋体"/>
            <w:noProof/>
          </w:rPr>
          <w:t>4.8</w:t>
        </w:r>
        <w:r w:rsidRPr="00DA708A">
          <w:rPr>
            <w:rStyle w:val="a9"/>
            <w:noProof/>
          </w:rPr>
          <w:t xml:space="preserve">   </w:t>
        </w:r>
        <w:r w:rsidRPr="00DA708A">
          <w:rPr>
            <w:rStyle w:val="a9"/>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_Toc48660290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1" w:history="1">
        <w:r w:rsidRPr="00DA708A">
          <w:rPr>
            <w:rStyle w:val="a9"/>
            <w:rFonts w:ascii="宋体" w:hAnsi="宋体"/>
            <w:noProof/>
          </w:rPr>
          <w:t>4.9</w:t>
        </w:r>
        <w:r w:rsidRPr="00DA708A">
          <w:rPr>
            <w:rStyle w:val="a9"/>
            <w:noProof/>
          </w:rPr>
          <w:t xml:space="preserve">   </w:t>
        </w:r>
        <w:r w:rsidRPr="00DA708A">
          <w:rPr>
            <w:rStyle w:val="a9"/>
            <w:rFonts w:hint="eastAsia"/>
            <w:noProof/>
          </w:rPr>
          <w:t>报告期内管理人对本基金持有人数或基金资产净值预警情形的说明</w:t>
        </w:r>
        <w:r>
          <w:rPr>
            <w:noProof/>
            <w:webHidden/>
          </w:rPr>
          <w:tab/>
        </w:r>
        <w:r>
          <w:rPr>
            <w:noProof/>
            <w:webHidden/>
          </w:rPr>
          <w:fldChar w:fldCharType="begin"/>
        </w:r>
        <w:r>
          <w:rPr>
            <w:noProof/>
            <w:webHidden/>
          </w:rPr>
          <w:instrText xml:space="preserve"> PAGEREF _Toc48660291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2" w:history="1">
        <w:r w:rsidRPr="00DA708A">
          <w:rPr>
            <w:rStyle w:val="a9"/>
            <w:rFonts w:ascii="宋体" w:hAnsi="宋体"/>
            <w:noProof/>
          </w:rPr>
          <w:t>5</w:t>
        </w:r>
        <w:r w:rsidRPr="00DA708A">
          <w:rPr>
            <w:rStyle w:val="a9"/>
            <w:noProof/>
          </w:rPr>
          <w:t xml:space="preserve">     </w:t>
        </w:r>
        <w:r w:rsidRPr="00DA708A">
          <w:rPr>
            <w:rStyle w:val="a9"/>
            <w:rFonts w:hint="eastAsia"/>
            <w:noProof/>
          </w:rPr>
          <w:t>托管人报告</w:t>
        </w:r>
        <w:r>
          <w:rPr>
            <w:noProof/>
            <w:webHidden/>
          </w:rPr>
          <w:tab/>
        </w:r>
        <w:r>
          <w:rPr>
            <w:noProof/>
            <w:webHidden/>
          </w:rPr>
          <w:fldChar w:fldCharType="begin"/>
        </w:r>
        <w:r>
          <w:rPr>
            <w:noProof/>
            <w:webHidden/>
          </w:rPr>
          <w:instrText xml:space="preserve"> PAGEREF _Toc48660292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3" w:history="1">
        <w:r w:rsidRPr="00DA708A">
          <w:rPr>
            <w:rStyle w:val="a9"/>
            <w:rFonts w:ascii="宋体" w:hAnsi="宋体"/>
            <w:noProof/>
          </w:rPr>
          <w:t>5.1</w:t>
        </w:r>
        <w:r w:rsidRPr="00DA708A">
          <w:rPr>
            <w:rStyle w:val="a9"/>
            <w:noProof/>
          </w:rPr>
          <w:t xml:space="preserve">   </w:t>
        </w:r>
        <w:r w:rsidRPr="00DA708A">
          <w:rPr>
            <w:rStyle w:val="a9"/>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_Toc48660293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4" w:history="1">
        <w:r w:rsidRPr="00DA708A">
          <w:rPr>
            <w:rStyle w:val="a9"/>
            <w:rFonts w:ascii="宋体" w:hAnsi="宋体"/>
            <w:noProof/>
          </w:rPr>
          <w:t>5.2</w:t>
        </w:r>
        <w:r w:rsidRPr="00DA708A">
          <w:rPr>
            <w:rStyle w:val="a9"/>
            <w:noProof/>
          </w:rPr>
          <w:t xml:space="preserve">   </w:t>
        </w:r>
        <w:r w:rsidRPr="00DA708A">
          <w:rPr>
            <w:rStyle w:val="a9"/>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_Toc48660294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5" w:history="1">
        <w:r w:rsidRPr="00DA708A">
          <w:rPr>
            <w:rStyle w:val="a9"/>
            <w:rFonts w:ascii="宋体" w:hAnsi="宋体"/>
            <w:noProof/>
          </w:rPr>
          <w:t>5.3</w:t>
        </w:r>
        <w:r w:rsidRPr="00DA708A">
          <w:rPr>
            <w:rStyle w:val="a9"/>
            <w:noProof/>
          </w:rPr>
          <w:t xml:space="preserve">   </w:t>
        </w:r>
        <w:r w:rsidRPr="00DA708A">
          <w:rPr>
            <w:rStyle w:val="a9"/>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_Toc48660295 \h </w:instrText>
        </w:r>
        <w:r>
          <w:rPr>
            <w:noProof/>
            <w:webHidden/>
          </w:rPr>
        </w:r>
        <w:r>
          <w:rPr>
            <w:noProof/>
            <w:webHidden/>
          </w:rPr>
          <w:fldChar w:fldCharType="separate"/>
        </w:r>
        <w:r>
          <w:rPr>
            <w:noProof/>
            <w:webHidden/>
          </w:rPr>
          <w:t>17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6" w:history="1">
        <w:r w:rsidRPr="00DA708A">
          <w:rPr>
            <w:rStyle w:val="a9"/>
            <w:rFonts w:ascii="宋体" w:hAnsi="宋体"/>
            <w:noProof/>
          </w:rPr>
          <w:t>6</w:t>
        </w:r>
        <w:r w:rsidRPr="00DA708A">
          <w:rPr>
            <w:rStyle w:val="a9"/>
            <w:noProof/>
          </w:rPr>
          <w:t xml:space="preserve">     </w:t>
        </w:r>
        <w:r w:rsidRPr="00DA708A">
          <w:rPr>
            <w:rStyle w:val="a9"/>
            <w:rFonts w:hint="eastAsia"/>
            <w:noProof/>
          </w:rPr>
          <w:t>半年度财务会计报告（未经审计）</w:t>
        </w:r>
        <w:r>
          <w:rPr>
            <w:noProof/>
            <w:webHidden/>
          </w:rPr>
          <w:tab/>
        </w:r>
        <w:r>
          <w:rPr>
            <w:noProof/>
            <w:webHidden/>
          </w:rPr>
          <w:fldChar w:fldCharType="begin"/>
        </w:r>
        <w:r>
          <w:rPr>
            <w:noProof/>
            <w:webHidden/>
          </w:rPr>
          <w:instrText xml:space="preserve"> PAGEREF _Toc48660296 \h </w:instrText>
        </w:r>
        <w:r>
          <w:rPr>
            <w:noProof/>
            <w:webHidden/>
          </w:rPr>
        </w:r>
        <w:r>
          <w:rPr>
            <w:noProof/>
            <w:webHidden/>
          </w:rPr>
          <w:fldChar w:fldCharType="separate"/>
        </w:r>
        <w:r>
          <w:rPr>
            <w:noProof/>
            <w:webHidden/>
          </w:rPr>
          <w:t>18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7" w:history="1">
        <w:r w:rsidRPr="00DA708A">
          <w:rPr>
            <w:rStyle w:val="a9"/>
            <w:rFonts w:ascii="宋体" w:hAnsi="宋体"/>
            <w:noProof/>
          </w:rPr>
          <w:t>6.1</w:t>
        </w:r>
        <w:r w:rsidRPr="00DA708A">
          <w:rPr>
            <w:rStyle w:val="a9"/>
            <w:noProof/>
          </w:rPr>
          <w:t xml:space="preserve">   </w:t>
        </w:r>
        <w:r w:rsidRPr="00DA708A">
          <w:rPr>
            <w:rStyle w:val="a9"/>
            <w:rFonts w:hint="eastAsia"/>
            <w:noProof/>
          </w:rPr>
          <w:t>资产负债表</w:t>
        </w:r>
        <w:r>
          <w:rPr>
            <w:noProof/>
            <w:webHidden/>
          </w:rPr>
          <w:tab/>
        </w:r>
        <w:r>
          <w:rPr>
            <w:noProof/>
            <w:webHidden/>
          </w:rPr>
          <w:fldChar w:fldCharType="begin"/>
        </w:r>
        <w:r>
          <w:rPr>
            <w:noProof/>
            <w:webHidden/>
          </w:rPr>
          <w:instrText xml:space="preserve"> PAGEREF _Toc48660297 \h </w:instrText>
        </w:r>
        <w:r>
          <w:rPr>
            <w:noProof/>
            <w:webHidden/>
          </w:rPr>
        </w:r>
        <w:r>
          <w:rPr>
            <w:noProof/>
            <w:webHidden/>
          </w:rPr>
          <w:fldChar w:fldCharType="separate"/>
        </w:r>
        <w:r>
          <w:rPr>
            <w:noProof/>
            <w:webHidden/>
          </w:rPr>
          <w:t>18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8" w:history="1">
        <w:r w:rsidRPr="00DA708A">
          <w:rPr>
            <w:rStyle w:val="a9"/>
            <w:rFonts w:ascii="宋体" w:hAnsi="宋体"/>
            <w:noProof/>
          </w:rPr>
          <w:t>6.2</w:t>
        </w:r>
        <w:r w:rsidRPr="00DA708A">
          <w:rPr>
            <w:rStyle w:val="a9"/>
            <w:noProof/>
          </w:rPr>
          <w:t xml:space="preserve">   </w:t>
        </w:r>
        <w:r w:rsidRPr="00DA708A">
          <w:rPr>
            <w:rStyle w:val="a9"/>
            <w:rFonts w:hint="eastAsia"/>
            <w:noProof/>
          </w:rPr>
          <w:t>利润表</w:t>
        </w:r>
        <w:r>
          <w:rPr>
            <w:noProof/>
            <w:webHidden/>
          </w:rPr>
          <w:tab/>
        </w:r>
        <w:r>
          <w:rPr>
            <w:noProof/>
            <w:webHidden/>
          </w:rPr>
          <w:fldChar w:fldCharType="begin"/>
        </w:r>
        <w:r>
          <w:rPr>
            <w:noProof/>
            <w:webHidden/>
          </w:rPr>
          <w:instrText xml:space="preserve"> PAGEREF _Toc48660298 \h </w:instrText>
        </w:r>
        <w:r>
          <w:rPr>
            <w:noProof/>
            <w:webHidden/>
          </w:rPr>
        </w:r>
        <w:r>
          <w:rPr>
            <w:noProof/>
            <w:webHidden/>
          </w:rPr>
          <w:fldChar w:fldCharType="separate"/>
        </w:r>
        <w:r>
          <w:rPr>
            <w:noProof/>
            <w:webHidden/>
          </w:rPr>
          <w:t>19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299" w:history="1">
        <w:r w:rsidRPr="00DA708A">
          <w:rPr>
            <w:rStyle w:val="a9"/>
            <w:rFonts w:ascii="宋体" w:hAnsi="宋体"/>
            <w:noProof/>
          </w:rPr>
          <w:t>6.3</w:t>
        </w:r>
        <w:r w:rsidRPr="00DA708A">
          <w:rPr>
            <w:rStyle w:val="a9"/>
            <w:noProof/>
          </w:rPr>
          <w:t xml:space="preserve">   </w:t>
        </w:r>
        <w:r w:rsidRPr="00DA708A">
          <w:rPr>
            <w:rStyle w:val="a9"/>
            <w:rFonts w:hint="eastAsia"/>
            <w:noProof/>
          </w:rPr>
          <w:t>所有者权益（基金净值）变动表</w:t>
        </w:r>
        <w:r>
          <w:rPr>
            <w:noProof/>
            <w:webHidden/>
          </w:rPr>
          <w:tab/>
        </w:r>
        <w:r>
          <w:rPr>
            <w:noProof/>
            <w:webHidden/>
          </w:rPr>
          <w:fldChar w:fldCharType="begin"/>
        </w:r>
        <w:r>
          <w:rPr>
            <w:noProof/>
            <w:webHidden/>
          </w:rPr>
          <w:instrText xml:space="preserve"> PAGEREF _Toc48660299 \h </w:instrText>
        </w:r>
        <w:r>
          <w:rPr>
            <w:noProof/>
            <w:webHidden/>
          </w:rPr>
        </w:r>
        <w:r>
          <w:rPr>
            <w:noProof/>
            <w:webHidden/>
          </w:rPr>
          <w:fldChar w:fldCharType="separate"/>
        </w:r>
        <w:r>
          <w:rPr>
            <w:noProof/>
            <w:webHidden/>
          </w:rPr>
          <w:t>20</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0" w:history="1">
        <w:r w:rsidRPr="00DA708A">
          <w:rPr>
            <w:rStyle w:val="a9"/>
            <w:rFonts w:ascii="宋体" w:hAnsi="宋体"/>
            <w:noProof/>
          </w:rPr>
          <w:t>6.4</w:t>
        </w:r>
        <w:r w:rsidRPr="00DA708A">
          <w:rPr>
            <w:rStyle w:val="a9"/>
            <w:noProof/>
          </w:rPr>
          <w:t xml:space="preserve">   </w:t>
        </w:r>
        <w:r w:rsidRPr="00DA708A">
          <w:rPr>
            <w:rStyle w:val="a9"/>
            <w:rFonts w:hint="eastAsia"/>
            <w:noProof/>
          </w:rPr>
          <w:t>报表附注</w:t>
        </w:r>
        <w:r>
          <w:rPr>
            <w:noProof/>
            <w:webHidden/>
          </w:rPr>
          <w:tab/>
        </w:r>
        <w:r>
          <w:rPr>
            <w:noProof/>
            <w:webHidden/>
          </w:rPr>
          <w:fldChar w:fldCharType="begin"/>
        </w:r>
        <w:r>
          <w:rPr>
            <w:noProof/>
            <w:webHidden/>
          </w:rPr>
          <w:instrText xml:space="preserve"> PAGEREF _Toc48660300 \h </w:instrText>
        </w:r>
        <w:r>
          <w:rPr>
            <w:noProof/>
            <w:webHidden/>
          </w:rPr>
        </w:r>
        <w:r>
          <w:rPr>
            <w:noProof/>
            <w:webHidden/>
          </w:rPr>
          <w:fldChar w:fldCharType="separate"/>
        </w:r>
        <w:r>
          <w:rPr>
            <w:noProof/>
            <w:webHidden/>
          </w:rPr>
          <w:t>21</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1" w:history="1">
        <w:r w:rsidRPr="00DA708A">
          <w:rPr>
            <w:rStyle w:val="a9"/>
            <w:rFonts w:ascii="宋体" w:hAnsi="宋体"/>
            <w:noProof/>
          </w:rPr>
          <w:t>7</w:t>
        </w:r>
        <w:r w:rsidRPr="00DA708A">
          <w:rPr>
            <w:rStyle w:val="a9"/>
            <w:noProof/>
          </w:rPr>
          <w:t xml:space="preserve">     </w:t>
        </w:r>
        <w:r w:rsidRPr="00DA708A">
          <w:rPr>
            <w:rStyle w:val="a9"/>
            <w:rFonts w:hint="eastAsia"/>
            <w:noProof/>
          </w:rPr>
          <w:t>投资组合报告</w:t>
        </w:r>
        <w:r>
          <w:rPr>
            <w:noProof/>
            <w:webHidden/>
          </w:rPr>
          <w:tab/>
        </w:r>
        <w:r>
          <w:rPr>
            <w:noProof/>
            <w:webHidden/>
          </w:rPr>
          <w:fldChar w:fldCharType="begin"/>
        </w:r>
        <w:r>
          <w:rPr>
            <w:noProof/>
            <w:webHidden/>
          </w:rPr>
          <w:instrText xml:space="preserve"> PAGEREF _Toc48660301 \h </w:instrText>
        </w:r>
        <w:r>
          <w:rPr>
            <w:noProof/>
            <w:webHidden/>
          </w:rPr>
        </w:r>
        <w:r>
          <w:rPr>
            <w:noProof/>
            <w:webHidden/>
          </w:rPr>
          <w:fldChar w:fldCharType="separate"/>
        </w:r>
        <w:r>
          <w:rPr>
            <w:noProof/>
            <w:webHidden/>
          </w:rPr>
          <w:t>44</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2" w:history="1">
        <w:r w:rsidRPr="00DA708A">
          <w:rPr>
            <w:rStyle w:val="a9"/>
            <w:rFonts w:ascii="宋体" w:hAnsi="宋体"/>
            <w:noProof/>
          </w:rPr>
          <w:t>7.1</w:t>
        </w:r>
        <w:r w:rsidRPr="00DA708A">
          <w:rPr>
            <w:rStyle w:val="a9"/>
            <w:noProof/>
          </w:rPr>
          <w:t xml:space="preserve">   </w:t>
        </w:r>
        <w:r w:rsidRPr="00DA708A">
          <w:rPr>
            <w:rStyle w:val="a9"/>
            <w:rFonts w:hint="eastAsia"/>
            <w:noProof/>
          </w:rPr>
          <w:t>期末基金资产组合情况</w:t>
        </w:r>
        <w:r>
          <w:rPr>
            <w:noProof/>
            <w:webHidden/>
          </w:rPr>
          <w:tab/>
        </w:r>
        <w:r>
          <w:rPr>
            <w:noProof/>
            <w:webHidden/>
          </w:rPr>
          <w:fldChar w:fldCharType="begin"/>
        </w:r>
        <w:r>
          <w:rPr>
            <w:noProof/>
            <w:webHidden/>
          </w:rPr>
          <w:instrText xml:space="preserve"> PAGEREF _Toc48660302 \h </w:instrText>
        </w:r>
        <w:r>
          <w:rPr>
            <w:noProof/>
            <w:webHidden/>
          </w:rPr>
        </w:r>
        <w:r>
          <w:rPr>
            <w:noProof/>
            <w:webHidden/>
          </w:rPr>
          <w:fldChar w:fldCharType="separate"/>
        </w:r>
        <w:r>
          <w:rPr>
            <w:noProof/>
            <w:webHidden/>
          </w:rPr>
          <w:t>44</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3" w:history="1">
        <w:r w:rsidRPr="00DA708A">
          <w:rPr>
            <w:rStyle w:val="a9"/>
            <w:rFonts w:ascii="宋体" w:hAnsi="宋体"/>
            <w:noProof/>
          </w:rPr>
          <w:t>7.2</w:t>
        </w:r>
        <w:r w:rsidRPr="00DA708A">
          <w:rPr>
            <w:rStyle w:val="a9"/>
            <w:noProof/>
          </w:rPr>
          <w:t xml:space="preserve">   </w:t>
        </w:r>
        <w:r w:rsidRPr="00DA708A">
          <w:rPr>
            <w:rStyle w:val="a9"/>
            <w:rFonts w:hint="eastAsia"/>
            <w:noProof/>
          </w:rPr>
          <w:t>期末投资目标基金明细</w:t>
        </w:r>
        <w:r>
          <w:rPr>
            <w:noProof/>
            <w:webHidden/>
          </w:rPr>
          <w:tab/>
        </w:r>
        <w:r>
          <w:rPr>
            <w:noProof/>
            <w:webHidden/>
          </w:rPr>
          <w:fldChar w:fldCharType="begin"/>
        </w:r>
        <w:r>
          <w:rPr>
            <w:noProof/>
            <w:webHidden/>
          </w:rPr>
          <w:instrText xml:space="preserve"> PAGEREF _Toc48660303 \h </w:instrText>
        </w:r>
        <w:r>
          <w:rPr>
            <w:noProof/>
            <w:webHidden/>
          </w:rPr>
        </w:r>
        <w:r>
          <w:rPr>
            <w:noProof/>
            <w:webHidden/>
          </w:rPr>
          <w:fldChar w:fldCharType="separate"/>
        </w:r>
        <w:r>
          <w:rPr>
            <w:noProof/>
            <w:webHidden/>
          </w:rPr>
          <w:t>45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4" w:history="1">
        <w:r w:rsidRPr="00DA708A">
          <w:rPr>
            <w:rStyle w:val="a9"/>
            <w:rFonts w:ascii="宋体" w:hAnsi="宋体"/>
            <w:noProof/>
          </w:rPr>
          <w:t>7.3</w:t>
        </w:r>
        <w:r w:rsidRPr="00DA708A">
          <w:rPr>
            <w:rStyle w:val="a9"/>
            <w:noProof/>
          </w:rPr>
          <w:t xml:space="preserve">   </w:t>
        </w:r>
        <w:r w:rsidRPr="00DA708A">
          <w:rPr>
            <w:rStyle w:val="a9"/>
            <w:rFonts w:hint="eastAsia"/>
            <w:noProof/>
          </w:rPr>
          <w:t>期末在各个国家（地区）证券市场的权益投资分布</w:t>
        </w:r>
        <w:r>
          <w:rPr>
            <w:noProof/>
            <w:webHidden/>
          </w:rPr>
          <w:tab/>
        </w:r>
        <w:r>
          <w:rPr>
            <w:noProof/>
            <w:webHidden/>
          </w:rPr>
          <w:fldChar w:fldCharType="begin"/>
        </w:r>
        <w:r>
          <w:rPr>
            <w:noProof/>
            <w:webHidden/>
          </w:rPr>
          <w:instrText xml:space="preserve"> PAGEREF _Toc48660304 \h </w:instrText>
        </w:r>
        <w:r>
          <w:rPr>
            <w:noProof/>
            <w:webHidden/>
          </w:rPr>
        </w:r>
        <w:r>
          <w:rPr>
            <w:noProof/>
            <w:webHidden/>
          </w:rPr>
          <w:fldChar w:fldCharType="separate"/>
        </w:r>
        <w:r>
          <w:rPr>
            <w:noProof/>
            <w:webHidden/>
          </w:rPr>
          <w:t>45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5" w:history="1">
        <w:r w:rsidRPr="00DA708A">
          <w:rPr>
            <w:rStyle w:val="a9"/>
            <w:rFonts w:ascii="宋体" w:hAnsi="宋体"/>
            <w:noProof/>
          </w:rPr>
          <w:t>7.4</w:t>
        </w:r>
        <w:r w:rsidRPr="00DA708A">
          <w:rPr>
            <w:rStyle w:val="a9"/>
            <w:noProof/>
          </w:rPr>
          <w:t xml:space="preserve">   </w:t>
        </w:r>
        <w:r w:rsidRPr="00DA708A">
          <w:rPr>
            <w:rStyle w:val="a9"/>
            <w:rFonts w:hint="eastAsia"/>
            <w:noProof/>
          </w:rPr>
          <w:t>期末按行业分类的权益投资组合</w:t>
        </w:r>
        <w:r>
          <w:rPr>
            <w:noProof/>
            <w:webHidden/>
          </w:rPr>
          <w:tab/>
        </w:r>
        <w:r>
          <w:rPr>
            <w:noProof/>
            <w:webHidden/>
          </w:rPr>
          <w:fldChar w:fldCharType="begin"/>
        </w:r>
        <w:r>
          <w:rPr>
            <w:noProof/>
            <w:webHidden/>
          </w:rPr>
          <w:instrText xml:space="preserve"> PAGEREF _Toc48660305 \h </w:instrText>
        </w:r>
        <w:r>
          <w:rPr>
            <w:noProof/>
            <w:webHidden/>
          </w:rPr>
        </w:r>
        <w:r>
          <w:rPr>
            <w:noProof/>
            <w:webHidden/>
          </w:rPr>
          <w:fldChar w:fldCharType="separate"/>
        </w:r>
        <w:r>
          <w:rPr>
            <w:noProof/>
            <w:webHidden/>
          </w:rPr>
          <w:t>45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6" w:history="1">
        <w:r w:rsidRPr="00DA708A">
          <w:rPr>
            <w:rStyle w:val="a9"/>
            <w:rFonts w:ascii="宋体" w:hAnsi="宋体"/>
            <w:noProof/>
          </w:rPr>
          <w:t>7.5</w:t>
        </w:r>
        <w:r w:rsidRPr="00DA708A">
          <w:rPr>
            <w:rStyle w:val="a9"/>
            <w:noProof/>
          </w:rPr>
          <w:t xml:space="preserve">   </w:t>
        </w:r>
        <w:r w:rsidRPr="00DA708A">
          <w:rPr>
            <w:rStyle w:val="a9"/>
            <w:rFonts w:hint="eastAsia"/>
            <w:noProof/>
          </w:rPr>
          <w:t>期末按公允价值占基金资产净值比例大小排序的所有权益投资明细</w:t>
        </w:r>
        <w:r>
          <w:rPr>
            <w:noProof/>
            <w:webHidden/>
          </w:rPr>
          <w:tab/>
        </w:r>
        <w:r>
          <w:rPr>
            <w:noProof/>
            <w:webHidden/>
          </w:rPr>
          <w:fldChar w:fldCharType="begin"/>
        </w:r>
        <w:r>
          <w:rPr>
            <w:noProof/>
            <w:webHidden/>
          </w:rPr>
          <w:instrText xml:space="preserve"> PAGEREF _Toc48660306 \h </w:instrText>
        </w:r>
        <w:r>
          <w:rPr>
            <w:noProof/>
            <w:webHidden/>
          </w:rPr>
        </w:r>
        <w:r>
          <w:rPr>
            <w:noProof/>
            <w:webHidden/>
          </w:rPr>
          <w:fldChar w:fldCharType="separate"/>
        </w:r>
        <w:r>
          <w:rPr>
            <w:noProof/>
            <w:webHidden/>
          </w:rPr>
          <w:t>45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7" w:history="1">
        <w:r w:rsidRPr="00DA708A">
          <w:rPr>
            <w:rStyle w:val="a9"/>
            <w:rFonts w:ascii="宋体" w:hAnsi="宋体"/>
            <w:noProof/>
          </w:rPr>
          <w:t>7.6</w:t>
        </w:r>
        <w:r w:rsidRPr="00DA708A">
          <w:rPr>
            <w:rStyle w:val="a9"/>
            <w:noProof/>
          </w:rPr>
          <w:t xml:space="preserve">   </w:t>
        </w:r>
        <w:r w:rsidRPr="00DA708A">
          <w:rPr>
            <w:rStyle w:val="a9"/>
            <w:rFonts w:hint="eastAsia"/>
            <w:noProof/>
          </w:rPr>
          <w:t>报告期内权益投资组合的重大变动</w:t>
        </w:r>
        <w:r>
          <w:rPr>
            <w:noProof/>
            <w:webHidden/>
          </w:rPr>
          <w:tab/>
        </w:r>
        <w:r>
          <w:rPr>
            <w:noProof/>
            <w:webHidden/>
          </w:rPr>
          <w:fldChar w:fldCharType="begin"/>
        </w:r>
        <w:r>
          <w:rPr>
            <w:noProof/>
            <w:webHidden/>
          </w:rPr>
          <w:instrText xml:space="preserve"> PAGEREF _Toc48660307 \h </w:instrText>
        </w:r>
        <w:r>
          <w:rPr>
            <w:noProof/>
            <w:webHidden/>
          </w:rPr>
        </w:r>
        <w:r>
          <w:rPr>
            <w:noProof/>
            <w:webHidden/>
          </w:rPr>
          <w:fldChar w:fldCharType="separate"/>
        </w:r>
        <w:r>
          <w:rPr>
            <w:noProof/>
            <w:webHidden/>
          </w:rPr>
          <w:t>45</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8" w:history="1">
        <w:r w:rsidRPr="00DA708A">
          <w:rPr>
            <w:rStyle w:val="a9"/>
            <w:rFonts w:ascii="宋体" w:hAnsi="宋体"/>
            <w:noProof/>
          </w:rPr>
          <w:t>7.7</w:t>
        </w:r>
        <w:r w:rsidRPr="00DA708A">
          <w:rPr>
            <w:rStyle w:val="a9"/>
            <w:noProof/>
          </w:rPr>
          <w:t xml:space="preserve">   </w:t>
        </w:r>
        <w:r w:rsidRPr="00DA708A">
          <w:rPr>
            <w:rStyle w:val="a9"/>
            <w:rFonts w:hint="eastAsia"/>
            <w:noProof/>
          </w:rPr>
          <w:t>期末按债券信用等级分类的债券投资组合</w:t>
        </w:r>
        <w:r>
          <w:rPr>
            <w:noProof/>
            <w:webHidden/>
          </w:rPr>
          <w:tab/>
        </w:r>
        <w:r>
          <w:rPr>
            <w:noProof/>
            <w:webHidden/>
          </w:rPr>
          <w:fldChar w:fldCharType="begin"/>
        </w:r>
        <w:r>
          <w:rPr>
            <w:noProof/>
            <w:webHidden/>
          </w:rPr>
          <w:instrText xml:space="preserve"> PAGEREF _Toc48660308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09" w:history="1">
        <w:r w:rsidRPr="00DA708A">
          <w:rPr>
            <w:rStyle w:val="a9"/>
            <w:rFonts w:ascii="宋体" w:hAnsi="宋体"/>
            <w:noProof/>
          </w:rPr>
          <w:t>7.8</w:t>
        </w:r>
        <w:r w:rsidRPr="00DA708A">
          <w:rPr>
            <w:rStyle w:val="a9"/>
            <w:noProof/>
          </w:rPr>
          <w:t xml:space="preserve">   </w:t>
        </w:r>
        <w:r w:rsidRPr="00DA708A">
          <w:rPr>
            <w:rStyle w:val="a9"/>
            <w:rFonts w:hint="eastAsia"/>
            <w:noProof/>
          </w:rPr>
          <w:t>期末按公允价值占基金资产净值比例大小排名的前五名债券投资明细</w:t>
        </w:r>
        <w:r>
          <w:rPr>
            <w:noProof/>
            <w:webHidden/>
          </w:rPr>
          <w:tab/>
        </w:r>
        <w:r>
          <w:rPr>
            <w:noProof/>
            <w:webHidden/>
          </w:rPr>
          <w:fldChar w:fldCharType="begin"/>
        </w:r>
        <w:r>
          <w:rPr>
            <w:noProof/>
            <w:webHidden/>
          </w:rPr>
          <w:instrText xml:space="preserve"> PAGEREF _Toc48660309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0" w:history="1">
        <w:r w:rsidRPr="00DA708A">
          <w:rPr>
            <w:rStyle w:val="a9"/>
            <w:rFonts w:ascii="宋体" w:hAnsi="宋体"/>
            <w:noProof/>
          </w:rPr>
          <w:t>7.9</w:t>
        </w:r>
        <w:r w:rsidRPr="00DA708A">
          <w:rPr>
            <w:rStyle w:val="a9"/>
            <w:noProof/>
          </w:rPr>
          <w:t xml:space="preserve">   </w:t>
        </w:r>
        <w:r w:rsidRPr="00DA708A">
          <w:rPr>
            <w:rStyle w:val="a9"/>
            <w:rFonts w:hint="eastAsia"/>
            <w:noProof/>
          </w:rPr>
          <w:t>期末按公允价值占基金资产净值比例大小排名的所有资产支持证券投资明细</w:t>
        </w:r>
        <w:r>
          <w:rPr>
            <w:noProof/>
            <w:webHidden/>
          </w:rPr>
          <w:tab/>
        </w:r>
        <w:r>
          <w:rPr>
            <w:noProof/>
            <w:webHidden/>
          </w:rPr>
          <w:fldChar w:fldCharType="begin"/>
        </w:r>
        <w:r>
          <w:rPr>
            <w:noProof/>
            <w:webHidden/>
          </w:rPr>
          <w:instrText xml:space="preserve"> PAGEREF _Toc48660310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1" w:history="1">
        <w:r w:rsidRPr="00DA708A">
          <w:rPr>
            <w:rStyle w:val="a9"/>
            <w:rFonts w:ascii="宋体" w:hAnsi="宋体"/>
            <w:noProof/>
          </w:rPr>
          <w:t>7.10</w:t>
        </w:r>
        <w:r w:rsidRPr="00DA708A">
          <w:rPr>
            <w:rStyle w:val="a9"/>
            <w:noProof/>
          </w:rPr>
          <w:t xml:space="preserve">   </w:t>
        </w:r>
        <w:r w:rsidRPr="00DA708A">
          <w:rPr>
            <w:rStyle w:val="a9"/>
            <w:rFonts w:hint="eastAsia"/>
            <w:noProof/>
          </w:rPr>
          <w:t>期末按公允价值占基金资产净值比例大小排名的前五名金融衍生品投资明细</w:t>
        </w:r>
        <w:r>
          <w:rPr>
            <w:noProof/>
            <w:webHidden/>
          </w:rPr>
          <w:tab/>
        </w:r>
        <w:r>
          <w:rPr>
            <w:noProof/>
            <w:webHidden/>
          </w:rPr>
          <w:fldChar w:fldCharType="begin"/>
        </w:r>
        <w:r>
          <w:rPr>
            <w:noProof/>
            <w:webHidden/>
          </w:rPr>
          <w:instrText xml:space="preserve"> PAGEREF _Toc48660311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2" w:history="1">
        <w:r w:rsidRPr="00DA708A">
          <w:rPr>
            <w:rStyle w:val="a9"/>
            <w:rFonts w:ascii="宋体" w:hAnsi="宋体"/>
            <w:noProof/>
          </w:rPr>
          <w:t>7.11</w:t>
        </w:r>
        <w:r w:rsidRPr="00DA708A">
          <w:rPr>
            <w:rStyle w:val="a9"/>
            <w:noProof/>
          </w:rPr>
          <w:t xml:space="preserve">   </w:t>
        </w:r>
        <w:r w:rsidRPr="00DA708A">
          <w:rPr>
            <w:rStyle w:val="a9"/>
            <w:rFonts w:hint="eastAsia"/>
            <w:noProof/>
          </w:rPr>
          <w:t>期末按公允价值占基金资产净值比例大小排序的前十名基金投资明细</w:t>
        </w:r>
        <w:r>
          <w:rPr>
            <w:noProof/>
            <w:webHidden/>
          </w:rPr>
          <w:tab/>
        </w:r>
        <w:r>
          <w:rPr>
            <w:noProof/>
            <w:webHidden/>
          </w:rPr>
          <w:fldChar w:fldCharType="begin"/>
        </w:r>
        <w:r>
          <w:rPr>
            <w:noProof/>
            <w:webHidden/>
          </w:rPr>
          <w:instrText xml:space="preserve"> PAGEREF _Toc48660312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3" w:history="1">
        <w:r w:rsidRPr="00DA708A">
          <w:rPr>
            <w:rStyle w:val="a9"/>
            <w:rFonts w:ascii="宋体" w:hAnsi="宋体"/>
            <w:noProof/>
          </w:rPr>
          <w:t>7.12</w:t>
        </w:r>
        <w:r w:rsidRPr="00DA708A">
          <w:rPr>
            <w:rStyle w:val="a9"/>
            <w:noProof/>
          </w:rPr>
          <w:t xml:space="preserve">   </w:t>
        </w:r>
        <w:r w:rsidRPr="00DA708A">
          <w:rPr>
            <w:rStyle w:val="a9"/>
            <w:rFonts w:hint="eastAsia"/>
            <w:noProof/>
          </w:rPr>
          <w:t>投资组合报告附注</w:t>
        </w:r>
        <w:r>
          <w:rPr>
            <w:noProof/>
            <w:webHidden/>
          </w:rPr>
          <w:tab/>
        </w:r>
        <w:r>
          <w:rPr>
            <w:noProof/>
            <w:webHidden/>
          </w:rPr>
          <w:fldChar w:fldCharType="begin"/>
        </w:r>
        <w:r>
          <w:rPr>
            <w:noProof/>
            <w:webHidden/>
          </w:rPr>
          <w:instrText xml:space="preserve"> PAGEREF _Toc48660313 \h </w:instrText>
        </w:r>
        <w:r>
          <w:rPr>
            <w:noProof/>
            <w:webHidden/>
          </w:rPr>
        </w:r>
        <w:r>
          <w:rPr>
            <w:noProof/>
            <w:webHidden/>
          </w:rPr>
          <w:fldChar w:fldCharType="separate"/>
        </w:r>
        <w:r>
          <w:rPr>
            <w:noProof/>
            <w:webHidden/>
          </w:rPr>
          <w:t>46</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4" w:history="1">
        <w:r w:rsidRPr="00DA708A">
          <w:rPr>
            <w:rStyle w:val="a9"/>
            <w:rFonts w:ascii="宋体" w:hAnsi="宋体"/>
            <w:noProof/>
          </w:rPr>
          <w:t>8</w:t>
        </w:r>
        <w:r w:rsidRPr="00DA708A">
          <w:rPr>
            <w:rStyle w:val="a9"/>
            <w:noProof/>
          </w:rPr>
          <w:t xml:space="preserve">     </w:t>
        </w:r>
        <w:r w:rsidRPr="00DA708A">
          <w:rPr>
            <w:rStyle w:val="a9"/>
            <w:rFonts w:hint="eastAsia"/>
            <w:noProof/>
          </w:rPr>
          <w:t>基金份额持有人信息</w:t>
        </w:r>
        <w:r>
          <w:rPr>
            <w:noProof/>
            <w:webHidden/>
          </w:rPr>
          <w:tab/>
        </w:r>
        <w:r>
          <w:rPr>
            <w:noProof/>
            <w:webHidden/>
          </w:rPr>
          <w:fldChar w:fldCharType="begin"/>
        </w:r>
        <w:r>
          <w:rPr>
            <w:noProof/>
            <w:webHidden/>
          </w:rPr>
          <w:instrText xml:space="preserve"> PAGEREF _Toc48660314 \h </w:instrText>
        </w:r>
        <w:r>
          <w:rPr>
            <w:noProof/>
            <w:webHidden/>
          </w:rPr>
        </w:r>
        <w:r>
          <w:rPr>
            <w:noProof/>
            <w:webHidden/>
          </w:rPr>
          <w:fldChar w:fldCharType="separate"/>
        </w:r>
        <w:r>
          <w:rPr>
            <w:noProof/>
            <w:webHidden/>
          </w:rPr>
          <w:t>47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5" w:history="1">
        <w:r w:rsidRPr="00DA708A">
          <w:rPr>
            <w:rStyle w:val="a9"/>
            <w:rFonts w:ascii="宋体" w:hAnsi="宋体"/>
            <w:noProof/>
          </w:rPr>
          <w:t>8.1</w:t>
        </w:r>
        <w:r w:rsidRPr="00DA708A">
          <w:rPr>
            <w:rStyle w:val="a9"/>
            <w:noProof/>
          </w:rPr>
          <w:t xml:space="preserve">   </w:t>
        </w:r>
        <w:r w:rsidRPr="00DA708A">
          <w:rPr>
            <w:rStyle w:val="a9"/>
            <w:rFonts w:hint="eastAsia"/>
            <w:noProof/>
          </w:rPr>
          <w:t>期末基金份额持有人户数及持有人结构</w:t>
        </w:r>
        <w:r>
          <w:rPr>
            <w:noProof/>
            <w:webHidden/>
          </w:rPr>
          <w:tab/>
        </w:r>
        <w:r>
          <w:rPr>
            <w:noProof/>
            <w:webHidden/>
          </w:rPr>
          <w:fldChar w:fldCharType="begin"/>
        </w:r>
        <w:r>
          <w:rPr>
            <w:noProof/>
            <w:webHidden/>
          </w:rPr>
          <w:instrText xml:space="preserve"> PAGEREF _Toc48660315 \h </w:instrText>
        </w:r>
        <w:r>
          <w:rPr>
            <w:noProof/>
            <w:webHidden/>
          </w:rPr>
        </w:r>
        <w:r>
          <w:rPr>
            <w:noProof/>
            <w:webHidden/>
          </w:rPr>
          <w:fldChar w:fldCharType="separate"/>
        </w:r>
        <w:r>
          <w:rPr>
            <w:noProof/>
            <w:webHidden/>
          </w:rPr>
          <w:t>47</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6" w:history="1">
        <w:r w:rsidRPr="00DA708A">
          <w:rPr>
            <w:rStyle w:val="a9"/>
            <w:rFonts w:ascii="宋体" w:hAnsi="宋体"/>
            <w:noProof/>
          </w:rPr>
          <w:t>8.2</w:t>
        </w:r>
        <w:r w:rsidRPr="00DA708A">
          <w:rPr>
            <w:rStyle w:val="a9"/>
            <w:noProof/>
          </w:rPr>
          <w:t xml:space="preserve">   </w:t>
        </w:r>
        <w:r w:rsidRPr="00DA708A">
          <w:rPr>
            <w:rStyle w:val="a9"/>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_Toc48660316 \h </w:instrText>
        </w:r>
        <w:r>
          <w:rPr>
            <w:noProof/>
            <w:webHidden/>
          </w:rPr>
        </w:r>
        <w:r>
          <w:rPr>
            <w:noProof/>
            <w:webHidden/>
          </w:rPr>
          <w:fldChar w:fldCharType="separate"/>
        </w:r>
        <w:r>
          <w:rPr>
            <w:noProof/>
            <w:webHidden/>
          </w:rPr>
          <w:t>48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7" w:history="1">
        <w:r w:rsidRPr="00DA708A">
          <w:rPr>
            <w:rStyle w:val="a9"/>
            <w:rFonts w:ascii="宋体" w:hAnsi="宋体"/>
            <w:noProof/>
          </w:rPr>
          <w:t>8.3</w:t>
        </w:r>
        <w:r w:rsidRPr="00DA708A">
          <w:rPr>
            <w:rStyle w:val="a9"/>
            <w:noProof/>
          </w:rPr>
          <w:t xml:space="preserve">   </w:t>
        </w:r>
        <w:r w:rsidRPr="00DA708A">
          <w:rPr>
            <w:rStyle w:val="a9"/>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_Toc48660317 \h </w:instrText>
        </w:r>
        <w:r>
          <w:rPr>
            <w:noProof/>
            <w:webHidden/>
          </w:rPr>
        </w:r>
        <w:r>
          <w:rPr>
            <w:noProof/>
            <w:webHidden/>
          </w:rPr>
          <w:fldChar w:fldCharType="separate"/>
        </w:r>
        <w:r>
          <w:rPr>
            <w:noProof/>
            <w:webHidden/>
          </w:rPr>
          <w:t>48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8" w:history="1">
        <w:r w:rsidRPr="00DA708A">
          <w:rPr>
            <w:rStyle w:val="a9"/>
            <w:noProof/>
          </w:rPr>
          <w:t xml:space="preserve">9     </w:t>
        </w:r>
        <w:r w:rsidRPr="00DA708A">
          <w:rPr>
            <w:rStyle w:val="a9"/>
            <w:rFonts w:hint="eastAsia"/>
            <w:noProof/>
          </w:rPr>
          <w:t>开放式基金份额变动</w:t>
        </w:r>
        <w:r>
          <w:rPr>
            <w:noProof/>
            <w:webHidden/>
          </w:rPr>
          <w:tab/>
        </w:r>
        <w:r>
          <w:rPr>
            <w:noProof/>
            <w:webHidden/>
          </w:rPr>
          <w:fldChar w:fldCharType="begin"/>
        </w:r>
        <w:r>
          <w:rPr>
            <w:noProof/>
            <w:webHidden/>
          </w:rPr>
          <w:instrText xml:space="preserve"> PAGEREF _Toc48660318 \h </w:instrText>
        </w:r>
        <w:r>
          <w:rPr>
            <w:noProof/>
            <w:webHidden/>
          </w:rPr>
        </w:r>
        <w:r>
          <w:rPr>
            <w:noProof/>
            <w:webHidden/>
          </w:rPr>
          <w:fldChar w:fldCharType="separate"/>
        </w:r>
        <w:r>
          <w:rPr>
            <w:noProof/>
            <w:webHidden/>
          </w:rPr>
          <w:t>48</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19" w:history="1">
        <w:r w:rsidRPr="00DA708A">
          <w:rPr>
            <w:rStyle w:val="a9"/>
            <w:rFonts w:ascii="宋体" w:hAnsi="宋体"/>
            <w:noProof/>
          </w:rPr>
          <w:t>10</w:t>
        </w:r>
        <w:r w:rsidRPr="00DA708A">
          <w:rPr>
            <w:rStyle w:val="a9"/>
            <w:noProof/>
          </w:rPr>
          <w:t xml:space="preserve">     </w:t>
        </w:r>
        <w:r w:rsidRPr="00DA708A">
          <w:rPr>
            <w:rStyle w:val="a9"/>
            <w:rFonts w:hint="eastAsia"/>
            <w:noProof/>
          </w:rPr>
          <w:t>重大事件揭示</w:t>
        </w:r>
        <w:r>
          <w:rPr>
            <w:noProof/>
            <w:webHidden/>
          </w:rPr>
          <w:tab/>
        </w:r>
        <w:r>
          <w:rPr>
            <w:noProof/>
            <w:webHidden/>
          </w:rPr>
          <w:fldChar w:fldCharType="begin"/>
        </w:r>
        <w:r>
          <w:rPr>
            <w:noProof/>
            <w:webHidden/>
          </w:rPr>
          <w:instrText xml:space="preserve"> PAGEREF _Toc48660319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0" w:history="1">
        <w:r w:rsidRPr="00DA708A">
          <w:rPr>
            <w:rStyle w:val="a9"/>
            <w:rFonts w:ascii="宋体" w:hAnsi="宋体"/>
            <w:noProof/>
          </w:rPr>
          <w:t>10.1</w:t>
        </w:r>
        <w:r w:rsidRPr="00DA708A">
          <w:rPr>
            <w:rStyle w:val="a9"/>
            <w:noProof/>
          </w:rPr>
          <w:t xml:space="preserve">   </w:t>
        </w:r>
        <w:r w:rsidRPr="00DA708A">
          <w:rPr>
            <w:rStyle w:val="a9"/>
            <w:rFonts w:hint="eastAsia"/>
            <w:noProof/>
          </w:rPr>
          <w:t>基金份额持有人大会决议</w:t>
        </w:r>
        <w:r>
          <w:rPr>
            <w:noProof/>
            <w:webHidden/>
          </w:rPr>
          <w:tab/>
        </w:r>
        <w:r>
          <w:rPr>
            <w:noProof/>
            <w:webHidden/>
          </w:rPr>
          <w:fldChar w:fldCharType="begin"/>
        </w:r>
        <w:r>
          <w:rPr>
            <w:noProof/>
            <w:webHidden/>
          </w:rPr>
          <w:instrText xml:space="preserve"> PAGEREF _Toc48660320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1" w:history="1">
        <w:r w:rsidRPr="00DA708A">
          <w:rPr>
            <w:rStyle w:val="a9"/>
            <w:rFonts w:ascii="宋体" w:hAnsi="宋体"/>
            <w:noProof/>
          </w:rPr>
          <w:t>10.2</w:t>
        </w:r>
        <w:r w:rsidRPr="00DA708A">
          <w:rPr>
            <w:rStyle w:val="a9"/>
            <w:noProof/>
          </w:rPr>
          <w:t xml:space="preserve">   </w:t>
        </w:r>
        <w:r w:rsidRPr="00DA708A">
          <w:rPr>
            <w:rStyle w:val="a9"/>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_Toc48660321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2" w:history="1">
        <w:r w:rsidRPr="00DA708A">
          <w:rPr>
            <w:rStyle w:val="a9"/>
            <w:rFonts w:ascii="宋体" w:hAnsi="宋体"/>
            <w:noProof/>
          </w:rPr>
          <w:t>10.3</w:t>
        </w:r>
        <w:r w:rsidRPr="00DA708A">
          <w:rPr>
            <w:rStyle w:val="a9"/>
            <w:noProof/>
          </w:rPr>
          <w:t xml:space="preserve">   </w:t>
        </w:r>
        <w:r w:rsidRPr="00DA708A">
          <w:rPr>
            <w:rStyle w:val="a9"/>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_Toc48660322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3" w:history="1">
        <w:r w:rsidRPr="00DA708A">
          <w:rPr>
            <w:rStyle w:val="a9"/>
            <w:rFonts w:ascii="宋体" w:hAnsi="宋体"/>
            <w:noProof/>
          </w:rPr>
          <w:t>10.4</w:t>
        </w:r>
        <w:r w:rsidRPr="00DA708A">
          <w:rPr>
            <w:rStyle w:val="a9"/>
            <w:noProof/>
          </w:rPr>
          <w:t xml:space="preserve">   </w:t>
        </w:r>
        <w:r w:rsidRPr="00DA708A">
          <w:rPr>
            <w:rStyle w:val="a9"/>
            <w:rFonts w:hint="eastAsia"/>
            <w:noProof/>
          </w:rPr>
          <w:t>基金投资策略的改变</w:t>
        </w:r>
        <w:r>
          <w:rPr>
            <w:noProof/>
            <w:webHidden/>
          </w:rPr>
          <w:tab/>
        </w:r>
        <w:r>
          <w:rPr>
            <w:noProof/>
            <w:webHidden/>
          </w:rPr>
          <w:fldChar w:fldCharType="begin"/>
        </w:r>
        <w:r>
          <w:rPr>
            <w:noProof/>
            <w:webHidden/>
          </w:rPr>
          <w:instrText xml:space="preserve"> PAGEREF _Toc48660323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4" w:history="1">
        <w:r w:rsidRPr="00DA708A">
          <w:rPr>
            <w:rStyle w:val="a9"/>
            <w:rFonts w:ascii="宋体" w:hAnsi="宋体"/>
            <w:noProof/>
          </w:rPr>
          <w:t>10.5</w:t>
        </w:r>
        <w:r w:rsidRPr="00DA708A">
          <w:rPr>
            <w:rStyle w:val="a9"/>
            <w:noProof/>
          </w:rPr>
          <w:t xml:space="preserve">  </w:t>
        </w:r>
        <w:r w:rsidRPr="00DA708A">
          <w:rPr>
            <w:rStyle w:val="a9"/>
            <w:rFonts w:ascii="宋体" w:hAnsi="宋体" w:hint="eastAsia"/>
            <w:noProof/>
          </w:rPr>
          <w:t>为基金进行审计的会计师事务所情况</w:t>
        </w:r>
        <w:r>
          <w:rPr>
            <w:noProof/>
            <w:webHidden/>
          </w:rPr>
          <w:tab/>
        </w:r>
        <w:r>
          <w:rPr>
            <w:noProof/>
            <w:webHidden/>
          </w:rPr>
          <w:fldChar w:fldCharType="begin"/>
        </w:r>
        <w:r>
          <w:rPr>
            <w:noProof/>
            <w:webHidden/>
          </w:rPr>
          <w:instrText xml:space="preserve"> PAGEREF _Toc48660324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5" w:history="1">
        <w:r w:rsidRPr="00DA708A">
          <w:rPr>
            <w:rStyle w:val="a9"/>
            <w:rFonts w:ascii="宋体" w:hAnsi="宋体"/>
            <w:noProof/>
          </w:rPr>
          <w:t>10.6</w:t>
        </w:r>
        <w:r w:rsidRPr="00DA708A">
          <w:rPr>
            <w:rStyle w:val="a9"/>
            <w:noProof/>
          </w:rPr>
          <w:t xml:space="preserve">  </w:t>
        </w:r>
        <w:r w:rsidRPr="00DA708A">
          <w:rPr>
            <w:rStyle w:val="a9"/>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_Toc48660325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6" w:history="1">
        <w:r w:rsidRPr="00DA708A">
          <w:rPr>
            <w:rStyle w:val="a9"/>
            <w:rFonts w:ascii="宋体" w:hAnsi="宋体"/>
            <w:noProof/>
          </w:rPr>
          <w:t>10.7</w:t>
        </w:r>
        <w:r w:rsidRPr="00DA708A">
          <w:rPr>
            <w:rStyle w:val="a9"/>
            <w:noProof/>
          </w:rPr>
          <w:t xml:space="preserve">  </w:t>
        </w:r>
        <w:r w:rsidRPr="00DA708A">
          <w:rPr>
            <w:rStyle w:val="a9"/>
            <w:rFonts w:hint="eastAsia"/>
            <w:noProof/>
          </w:rPr>
          <w:t>基金租用证券公司交易单元的有关情况</w:t>
        </w:r>
        <w:r>
          <w:rPr>
            <w:noProof/>
            <w:webHidden/>
          </w:rPr>
          <w:tab/>
        </w:r>
        <w:r>
          <w:rPr>
            <w:noProof/>
            <w:webHidden/>
          </w:rPr>
          <w:fldChar w:fldCharType="begin"/>
        </w:r>
        <w:r>
          <w:rPr>
            <w:noProof/>
            <w:webHidden/>
          </w:rPr>
          <w:instrText xml:space="preserve"> PAGEREF _Toc48660326 \h </w:instrText>
        </w:r>
        <w:r>
          <w:rPr>
            <w:noProof/>
            <w:webHidden/>
          </w:rPr>
        </w:r>
        <w:r>
          <w:rPr>
            <w:noProof/>
            <w:webHidden/>
          </w:rPr>
          <w:fldChar w:fldCharType="separate"/>
        </w:r>
        <w:r>
          <w:rPr>
            <w:noProof/>
            <w:webHidden/>
          </w:rPr>
          <w:t>49</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7" w:history="1">
        <w:r w:rsidRPr="00DA708A">
          <w:rPr>
            <w:rStyle w:val="a9"/>
            <w:rFonts w:ascii="宋体" w:hAnsi="宋体"/>
            <w:noProof/>
          </w:rPr>
          <w:t>10.8</w:t>
        </w:r>
        <w:r w:rsidRPr="00DA708A">
          <w:rPr>
            <w:rStyle w:val="a9"/>
            <w:noProof/>
          </w:rPr>
          <w:t xml:space="preserve">   </w:t>
        </w:r>
        <w:r w:rsidRPr="00DA708A">
          <w:rPr>
            <w:rStyle w:val="a9"/>
            <w:rFonts w:hint="eastAsia"/>
            <w:noProof/>
          </w:rPr>
          <w:t>其他重大事件</w:t>
        </w:r>
        <w:r>
          <w:rPr>
            <w:noProof/>
            <w:webHidden/>
          </w:rPr>
          <w:tab/>
        </w:r>
        <w:r>
          <w:rPr>
            <w:noProof/>
            <w:webHidden/>
          </w:rPr>
          <w:fldChar w:fldCharType="begin"/>
        </w:r>
        <w:r>
          <w:rPr>
            <w:noProof/>
            <w:webHidden/>
          </w:rPr>
          <w:instrText xml:space="preserve"> PAGEREF _Toc48660327 \h </w:instrText>
        </w:r>
        <w:r>
          <w:rPr>
            <w:noProof/>
            <w:webHidden/>
          </w:rPr>
        </w:r>
        <w:r>
          <w:rPr>
            <w:noProof/>
            <w:webHidden/>
          </w:rPr>
          <w:fldChar w:fldCharType="separate"/>
        </w:r>
        <w:r>
          <w:rPr>
            <w:noProof/>
            <w:webHidden/>
          </w:rPr>
          <w:t>51</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8" w:history="1">
        <w:r w:rsidRPr="00DA708A">
          <w:rPr>
            <w:rStyle w:val="a9"/>
            <w:rFonts w:ascii="宋体" w:hAnsi="宋体"/>
            <w:noProof/>
          </w:rPr>
          <w:t>11</w:t>
        </w:r>
        <w:r w:rsidRPr="00DA708A">
          <w:rPr>
            <w:rStyle w:val="a9"/>
            <w:noProof/>
          </w:rPr>
          <w:t xml:space="preserve">     </w:t>
        </w:r>
        <w:r w:rsidRPr="00DA708A">
          <w:rPr>
            <w:rStyle w:val="a9"/>
            <w:rFonts w:hint="eastAsia"/>
            <w:noProof/>
          </w:rPr>
          <w:t>备查文件目录</w:t>
        </w:r>
        <w:r>
          <w:rPr>
            <w:noProof/>
            <w:webHidden/>
          </w:rPr>
          <w:tab/>
        </w:r>
        <w:r>
          <w:rPr>
            <w:noProof/>
            <w:webHidden/>
          </w:rPr>
          <w:fldChar w:fldCharType="begin"/>
        </w:r>
        <w:r>
          <w:rPr>
            <w:noProof/>
            <w:webHidden/>
          </w:rPr>
          <w:instrText xml:space="preserve"> PAGEREF _Toc48660328 \h </w:instrText>
        </w:r>
        <w:r>
          <w:rPr>
            <w:noProof/>
            <w:webHidden/>
          </w:rPr>
        </w:r>
        <w:r>
          <w:rPr>
            <w:noProof/>
            <w:webHidden/>
          </w:rPr>
          <w:fldChar w:fldCharType="separate"/>
        </w:r>
        <w:r>
          <w:rPr>
            <w:noProof/>
            <w:webHidden/>
          </w:rPr>
          <w:t>52</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29" w:history="1">
        <w:r w:rsidRPr="00DA708A">
          <w:rPr>
            <w:rStyle w:val="a9"/>
            <w:rFonts w:ascii="宋体" w:hAnsi="宋体"/>
            <w:noProof/>
          </w:rPr>
          <w:t>11.1</w:t>
        </w:r>
        <w:r w:rsidRPr="00DA708A">
          <w:rPr>
            <w:rStyle w:val="a9"/>
            <w:noProof/>
          </w:rPr>
          <w:t xml:space="preserve">   </w:t>
        </w:r>
        <w:r w:rsidRPr="00DA708A">
          <w:rPr>
            <w:rStyle w:val="a9"/>
            <w:rFonts w:hint="eastAsia"/>
            <w:noProof/>
          </w:rPr>
          <w:t>备查文件目录</w:t>
        </w:r>
        <w:r>
          <w:rPr>
            <w:noProof/>
            <w:webHidden/>
          </w:rPr>
          <w:tab/>
        </w:r>
        <w:r>
          <w:rPr>
            <w:noProof/>
            <w:webHidden/>
          </w:rPr>
          <w:fldChar w:fldCharType="begin"/>
        </w:r>
        <w:r>
          <w:rPr>
            <w:noProof/>
            <w:webHidden/>
          </w:rPr>
          <w:instrText xml:space="preserve"> PAGEREF _Toc48660329 \h </w:instrText>
        </w:r>
        <w:r>
          <w:rPr>
            <w:noProof/>
            <w:webHidden/>
          </w:rPr>
        </w:r>
        <w:r>
          <w:rPr>
            <w:noProof/>
            <w:webHidden/>
          </w:rPr>
          <w:fldChar w:fldCharType="separate"/>
        </w:r>
        <w:r>
          <w:rPr>
            <w:noProof/>
            <w:webHidden/>
          </w:rPr>
          <w:t>52</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30" w:history="1">
        <w:r w:rsidRPr="00DA708A">
          <w:rPr>
            <w:rStyle w:val="a9"/>
            <w:rFonts w:ascii="宋体" w:hAnsi="宋体"/>
            <w:noProof/>
          </w:rPr>
          <w:t>11.2</w:t>
        </w:r>
        <w:r w:rsidRPr="00DA708A">
          <w:rPr>
            <w:rStyle w:val="a9"/>
            <w:noProof/>
          </w:rPr>
          <w:t xml:space="preserve">   </w:t>
        </w:r>
        <w:r w:rsidRPr="00DA708A">
          <w:rPr>
            <w:rStyle w:val="a9"/>
            <w:rFonts w:hint="eastAsia"/>
            <w:noProof/>
          </w:rPr>
          <w:t>存放地点</w:t>
        </w:r>
        <w:r>
          <w:rPr>
            <w:noProof/>
            <w:webHidden/>
          </w:rPr>
          <w:tab/>
        </w:r>
        <w:r>
          <w:rPr>
            <w:noProof/>
            <w:webHidden/>
          </w:rPr>
          <w:fldChar w:fldCharType="begin"/>
        </w:r>
        <w:r>
          <w:rPr>
            <w:noProof/>
            <w:webHidden/>
          </w:rPr>
          <w:instrText xml:space="preserve"> PAGEREF _Toc48660330 \h </w:instrText>
        </w:r>
        <w:r>
          <w:rPr>
            <w:noProof/>
            <w:webHidden/>
          </w:rPr>
        </w:r>
        <w:r>
          <w:rPr>
            <w:noProof/>
            <w:webHidden/>
          </w:rPr>
          <w:fldChar w:fldCharType="separate"/>
        </w:r>
        <w:r>
          <w:rPr>
            <w:noProof/>
            <w:webHidden/>
          </w:rPr>
          <w:t>52</w:t>
        </w:r>
        <w:r>
          <w:rPr>
            <w:noProof/>
            <w:webHidden/>
          </w:rPr>
          <w:fldChar w:fldCharType="end"/>
        </w:r>
      </w:hyperlink>
    </w:p>
    <w:p w:rsidR="009F1FEB" w:rsidRDefault="009F1FEB">
      <w:pPr>
        <w:pStyle w:val="22"/>
        <w:ind w:left="420"/>
        <w:rPr>
          <w:rFonts w:asciiTheme="minorHAnsi" w:eastAsiaTheme="minorEastAsia" w:hAnsiTheme="minorHAnsi" w:cstheme="minorBidi"/>
          <w:noProof/>
          <w:kern w:val="2"/>
          <w:szCs w:val="22"/>
        </w:rPr>
      </w:pPr>
      <w:hyperlink w:anchor="_Toc48660331" w:history="1">
        <w:r w:rsidRPr="00DA708A">
          <w:rPr>
            <w:rStyle w:val="a9"/>
            <w:rFonts w:ascii="宋体" w:hAnsi="宋体"/>
            <w:noProof/>
          </w:rPr>
          <w:t>11.3</w:t>
        </w:r>
        <w:r w:rsidRPr="00DA708A">
          <w:rPr>
            <w:rStyle w:val="a9"/>
            <w:noProof/>
          </w:rPr>
          <w:t xml:space="preserve">   </w:t>
        </w:r>
        <w:r w:rsidRPr="00DA708A">
          <w:rPr>
            <w:rStyle w:val="a9"/>
            <w:rFonts w:hint="eastAsia"/>
            <w:noProof/>
          </w:rPr>
          <w:t>查阅方式</w:t>
        </w:r>
        <w:r>
          <w:rPr>
            <w:noProof/>
            <w:webHidden/>
          </w:rPr>
          <w:tab/>
        </w:r>
        <w:r>
          <w:rPr>
            <w:noProof/>
            <w:webHidden/>
          </w:rPr>
          <w:fldChar w:fldCharType="begin"/>
        </w:r>
        <w:r>
          <w:rPr>
            <w:noProof/>
            <w:webHidden/>
          </w:rPr>
          <w:instrText xml:space="preserve"> PAGEREF _Toc48660331 \h </w:instrText>
        </w:r>
        <w:r>
          <w:rPr>
            <w:noProof/>
            <w:webHidden/>
          </w:rPr>
        </w:r>
        <w:r>
          <w:rPr>
            <w:noProof/>
            <w:webHidden/>
          </w:rPr>
          <w:fldChar w:fldCharType="separate"/>
        </w:r>
        <w:r>
          <w:rPr>
            <w:noProof/>
            <w:webHidden/>
          </w:rPr>
          <w:t>52</w:t>
        </w:r>
        <w:r>
          <w:rPr>
            <w:noProof/>
            <w:webHidden/>
          </w:rPr>
          <w:fldChar w:fldCharType="end"/>
        </w:r>
      </w:hyperlink>
    </w:p>
    <w:p w:rsidR="00871A0D" w:rsidRPr="00C24ACA" w:rsidRDefault="00EF5FA8" w:rsidP="00793233">
      <w:pPr>
        <w:pStyle w:val="22"/>
        <w:tabs>
          <w:tab w:val="clear" w:pos="9072"/>
          <w:tab w:val="right" w:leader="dot" w:pos="8834"/>
        </w:tabs>
        <w:ind w:left="420"/>
        <w:rPr>
          <w:rFonts w:eastAsiaTheme="minorEastAsia"/>
        </w:rPr>
      </w:pPr>
      <w:r w:rsidRPr="006F3222">
        <w:rPr>
          <w:rFonts w:eastAsiaTheme="minorEastAsia"/>
          <w:color w:val="000000"/>
        </w:rPr>
        <w:fldChar w:fldCharType="end"/>
      </w:r>
      <w:r w:rsidR="00871A0D" w:rsidRPr="00C24ACA">
        <w:rPr>
          <w:rFonts w:eastAsiaTheme="minorEastAsia"/>
        </w:rPr>
        <w:br w:type="page"/>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1" w:name="_Toc225498244"/>
      <w:bookmarkStart w:id="22" w:name="_Toc352255960"/>
      <w:bookmarkStart w:id="23" w:name="_Toc352256028"/>
      <w:bookmarkStart w:id="24" w:name="_Toc352331206"/>
      <w:bookmarkStart w:id="25" w:name="_Toc390164792"/>
      <w:bookmarkStart w:id="26" w:name="_Toc48660272"/>
      <w:r w:rsidRPr="000C6CCD">
        <w:rPr>
          <w:rFonts w:ascii="宋体" w:hAnsi="宋体"/>
          <w:bCs w:val="0"/>
          <w:color w:val="000000"/>
          <w:sz w:val="21"/>
          <w:szCs w:val="21"/>
        </w:rPr>
        <w:t>2</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基金简介</w:t>
      </w:r>
      <w:bookmarkEnd w:id="21"/>
      <w:bookmarkEnd w:id="22"/>
      <w:bookmarkEnd w:id="23"/>
      <w:bookmarkEnd w:id="24"/>
      <w:bookmarkEnd w:id="25"/>
      <w:bookmarkEnd w:id="26"/>
    </w:p>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27" w:name="_Toc352255961"/>
      <w:bookmarkStart w:id="28" w:name="_Toc352256029"/>
      <w:bookmarkStart w:id="29" w:name="_Toc352331207"/>
      <w:bookmarkStart w:id="30" w:name="_Toc390164793"/>
      <w:bookmarkStart w:id="31" w:name="_Toc48660273"/>
      <w:r w:rsidRPr="0087359D">
        <w:rPr>
          <w:rFonts w:ascii="宋体" w:hAnsi="宋体"/>
          <w:kern w:val="0"/>
          <w:sz w:val="21"/>
          <w:szCs w:val="21"/>
        </w:rPr>
        <w:t>2.1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基金基本情况</w:t>
      </w:r>
      <w:bookmarkEnd w:id="27"/>
      <w:bookmarkEnd w:id="28"/>
      <w:bookmarkEnd w:id="29"/>
      <w:bookmarkEnd w:id="30"/>
      <w:bookmarkEnd w:id="3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8"/>
        <w:gridCol w:w="2580"/>
        <w:gridCol w:w="2637"/>
      </w:tblGrid>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基金名称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易方达中证浙江新动能交易型开放式指数证券投资基金联接基金</w:t>
            </w:r>
          </w:p>
        </w:tc>
      </w:tr>
      <w:tr w:rsidR="008A5A5D" w:rsidRPr="00C24ACA" w:rsidTr="00862636">
        <w:tc>
          <w:tcPr>
            <w:tcW w:w="3258" w:type="dxa"/>
          </w:tcPr>
          <w:p w:rsidR="008A5A5D" w:rsidRPr="00C24ACA" w:rsidRDefault="008A5A5D" w:rsidP="008F4C10">
            <w:pPr>
              <w:rPr>
                <w:rFonts w:eastAsiaTheme="minorEastAsia"/>
                <w:color w:val="000000"/>
                <w:kern w:val="0"/>
                <w:szCs w:val="21"/>
              </w:rPr>
            </w:pPr>
            <w:r w:rsidRPr="00C24ACA">
              <w:rPr>
                <w:rFonts w:eastAsiaTheme="minorEastAsia"/>
                <w:szCs w:val="21"/>
              </w:rPr>
              <w:t>基金简称</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p>
        </w:tc>
      </w:tr>
      <w:tr w:rsidR="008A5A5D" w:rsidRPr="00C24ACA" w:rsidTr="00862636">
        <w:tc>
          <w:tcPr>
            <w:tcW w:w="3258" w:type="dxa"/>
            <w:vAlign w:val="center"/>
          </w:tcPr>
          <w:p w:rsidR="008A5A5D" w:rsidRPr="00C24ACA" w:rsidRDefault="008A5A5D" w:rsidP="008F4C10">
            <w:pPr>
              <w:rPr>
                <w:rFonts w:eastAsiaTheme="minorEastAsia"/>
                <w:color w:val="000000"/>
                <w:kern w:val="0"/>
                <w:szCs w:val="21"/>
              </w:rPr>
            </w:pPr>
            <w:r w:rsidRPr="00C24ACA">
              <w:rPr>
                <w:rFonts w:eastAsiaTheme="minorEastAsia"/>
                <w:szCs w:val="21"/>
              </w:rPr>
              <w:t>基金主代码</w:t>
            </w:r>
          </w:p>
        </w:tc>
        <w:tc>
          <w:tcPr>
            <w:tcW w:w="5217" w:type="dxa"/>
            <w:gridSpan w:val="2"/>
            <w:vAlign w:val="center"/>
          </w:tcPr>
          <w:p w:rsidR="008A5A5D" w:rsidRPr="00C24ACA" w:rsidRDefault="008A5A5D" w:rsidP="008F4C10">
            <w:pPr>
              <w:jc w:val="right"/>
              <w:rPr>
                <w:rFonts w:eastAsiaTheme="minorEastAsia"/>
                <w:szCs w:val="21"/>
              </w:rPr>
            </w:pPr>
            <w:r w:rsidRPr="00C24ACA">
              <w:rPr>
                <w:rFonts w:eastAsiaTheme="minorEastAsia"/>
                <w:szCs w:val="21"/>
              </w:rPr>
              <w:t>007813</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基金运作方式</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契约型开放式</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基金合同生效日</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基金管理人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易方达基金管理有限公司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基金托管人</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中国工商银行股份有限公司</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报告期末基金份额总额</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16,821,035.52</w:t>
            </w:r>
            <w:r w:rsidRPr="00C24ACA">
              <w:rPr>
                <w:rFonts w:eastAsiaTheme="minorEastAsia"/>
                <w:szCs w:val="21"/>
              </w:rPr>
              <w:t>份</w:t>
            </w:r>
          </w:p>
        </w:tc>
      </w:tr>
      <w:tr w:rsidR="00D05BBE" w:rsidRPr="00C24ACA" w:rsidTr="00862636">
        <w:tc>
          <w:tcPr>
            <w:tcW w:w="3258" w:type="dxa"/>
          </w:tcPr>
          <w:p w:rsidR="00D05BBE" w:rsidRPr="00C24ACA" w:rsidRDefault="00D05BBE" w:rsidP="008F4C10">
            <w:pPr>
              <w:rPr>
                <w:rFonts w:eastAsiaTheme="minorEastAsia"/>
                <w:color w:val="000000"/>
                <w:kern w:val="0"/>
                <w:szCs w:val="21"/>
              </w:rPr>
            </w:pPr>
            <w:r w:rsidRPr="00C24ACA">
              <w:rPr>
                <w:rFonts w:eastAsiaTheme="minorEastAsia"/>
                <w:szCs w:val="21"/>
              </w:rPr>
              <w:t>基金合同存续期</w:t>
            </w:r>
          </w:p>
        </w:tc>
        <w:tc>
          <w:tcPr>
            <w:tcW w:w="5217" w:type="dxa"/>
            <w:gridSpan w:val="2"/>
            <w:vAlign w:val="center"/>
          </w:tcPr>
          <w:p w:rsidR="00D05BBE" w:rsidRPr="00C24ACA" w:rsidRDefault="00D05BBE" w:rsidP="008F4C10">
            <w:pPr>
              <w:jc w:val="right"/>
              <w:rPr>
                <w:rFonts w:eastAsiaTheme="minorEastAsia"/>
                <w:szCs w:val="21"/>
              </w:rPr>
            </w:pPr>
            <w:r w:rsidRPr="00C24ACA">
              <w:rPr>
                <w:rFonts w:eastAsiaTheme="minorEastAsia"/>
                <w:szCs w:val="21"/>
              </w:rPr>
              <w:t>不定期</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下属分级基金的基金简称</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下属分级基金的交易代码</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007813</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007814</w:t>
            </w:r>
          </w:p>
        </w:tc>
      </w:tr>
      <w:tr w:rsidR="008F4C10" w:rsidRPr="00C24ACA" w:rsidTr="00DC4F67">
        <w:tc>
          <w:tcPr>
            <w:tcW w:w="3258" w:type="dxa"/>
            <w:vAlign w:val="center"/>
          </w:tcPr>
          <w:p w:rsidR="008F4C10" w:rsidRPr="00C24ACA" w:rsidRDefault="008F4C10" w:rsidP="008F4C10">
            <w:pPr>
              <w:rPr>
                <w:rFonts w:eastAsiaTheme="minorEastAsia"/>
                <w:szCs w:val="21"/>
              </w:rPr>
            </w:pPr>
            <w:r w:rsidRPr="00C24ACA">
              <w:rPr>
                <w:rFonts w:eastAsiaTheme="minorEastAsia"/>
                <w:szCs w:val="21"/>
              </w:rPr>
              <w:t>报告期末下属分级基金的份额总额</w:t>
            </w:r>
          </w:p>
        </w:tc>
        <w:tc>
          <w:tcPr>
            <w:tcW w:w="2580" w:type="dxa"/>
            <w:vAlign w:val="center"/>
          </w:tcPr>
          <w:p w:rsidR="008F4C10" w:rsidRPr="00C24ACA" w:rsidRDefault="008F4C10" w:rsidP="008F4C10">
            <w:pPr>
              <w:jc w:val="right"/>
              <w:rPr>
                <w:rFonts w:eastAsiaTheme="minorEastAsia"/>
                <w:szCs w:val="21"/>
              </w:rPr>
            </w:pPr>
            <w:r w:rsidRPr="00C24ACA">
              <w:rPr>
                <w:rFonts w:eastAsiaTheme="minorEastAsia"/>
                <w:szCs w:val="21"/>
              </w:rPr>
              <w:t>11,510,310.80</w:t>
            </w:r>
            <w:r w:rsidRPr="00C24ACA">
              <w:rPr>
                <w:rFonts w:eastAsiaTheme="minorEastAsia"/>
                <w:szCs w:val="21"/>
              </w:rPr>
              <w:t>份</w:t>
            </w:r>
          </w:p>
        </w:tc>
        <w:tc>
          <w:tcPr>
            <w:tcW w:w="2637" w:type="dxa"/>
            <w:vAlign w:val="center"/>
          </w:tcPr>
          <w:p w:rsidR="008F4C10" w:rsidRPr="00C24ACA" w:rsidRDefault="008F4C10" w:rsidP="008F4C10">
            <w:pPr>
              <w:jc w:val="right"/>
              <w:rPr>
                <w:rFonts w:eastAsiaTheme="minorEastAsia"/>
                <w:szCs w:val="21"/>
              </w:rPr>
            </w:pPr>
            <w:r w:rsidRPr="00C24ACA">
              <w:rPr>
                <w:rFonts w:eastAsiaTheme="minorEastAsia"/>
                <w:szCs w:val="21"/>
              </w:rPr>
              <w:t>5,310,724.72</w:t>
            </w:r>
            <w:r w:rsidRPr="00C24ACA">
              <w:rPr>
                <w:rFonts w:eastAsiaTheme="minorEastAsia"/>
                <w:szCs w:val="21"/>
              </w:rPr>
              <w:t>份</w:t>
            </w:r>
          </w:p>
        </w:tc>
      </w:tr>
    </w:tbl>
    <w:p w:rsidR="005A152F" w:rsidRPr="00F33D3D" w:rsidRDefault="005A152F" w:rsidP="00820BF6">
      <w:pPr>
        <w:spacing w:line="360" w:lineRule="auto"/>
        <w:rPr>
          <w:rFonts w:ascii="宋体" w:hAnsi="宋体"/>
          <w:b/>
          <w:bCs/>
          <w:color w:val="000000"/>
          <w:kern w:val="0"/>
          <w:szCs w:val="21"/>
        </w:rPr>
      </w:pPr>
      <w:r w:rsidRPr="00740D02">
        <w:rPr>
          <w:rFonts w:ascii="宋体" w:hAnsi="宋体"/>
          <w:b/>
          <w:bCs/>
          <w:color w:val="000000"/>
          <w:kern w:val="0"/>
          <w:szCs w:val="21"/>
        </w:rPr>
        <w:t xml:space="preserve">2.1.1 </w:t>
      </w:r>
      <w:r w:rsidRPr="00740D02">
        <w:rPr>
          <w:rFonts w:ascii="宋体" w:hAnsi="宋体" w:hint="eastAsia"/>
          <w:b/>
          <w:bCs/>
          <w:color w:val="000000"/>
          <w:kern w:val="0"/>
          <w:szCs w:val="21"/>
        </w:rPr>
        <w:t>目标基金基本情况</w:t>
      </w:r>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70"/>
      </w:tblGrid>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基金名称</w:t>
            </w:r>
          </w:p>
        </w:tc>
        <w:tc>
          <w:tcPr>
            <w:tcW w:w="5670" w:type="dxa"/>
            <w:vAlign w:val="center"/>
          </w:tcPr>
          <w:p w:rsidR="005A152F" w:rsidRPr="003B55A6" w:rsidRDefault="005A152F" w:rsidP="005D2965">
            <w:pPr>
              <w:jc w:val="right"/>
              <w:rPr>
                <w:szCs w:val="21"/>
              </w:rPr>
            </w:pPr>
            <w:r w:rsidRPr="003B55A6">
              <w:rPr>
                <w:szCs w:val="21"/>
              </w:rPr>
              <w:t>易方达中证浙江新动能交易型开放式指数证券投资基金</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基金主代码</w:t>
            </w:r>
          </w:p>
        </w:tc>
        <w:tc>
          <w:tcPr>
            <w:tcW w:w="5670" w:type="dxa"/>
            <w:vAlign w:val="center"/>
          </w:tcPr>
          <w:p w:rsidR="005A152F" w:rsidRPr="003B55A6" w:rsidRDefault="005A152F" w:rsidP="005D2965">
            <w:pPr>
              <w:jc w:val="right"/>
              <w:rPr>
                <w:szCs w:val="21"/>
              </w:rPr>
            </w:pPr>
            <w:r w:rsidRPr="003B55A6">
              <w:rPr>
                <w:szCs w:val="21"/>
              </w:rPr>
              <w:t>159803</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基金运作方式</w:t>
            </w:r>
          </w:p>
        </w:tc>
        <w:tc>
          <w:tcPr>
            <w:tcW w:w="5670" w:type="dxa"/>
            <w:vAlign w:val="center"/>
          </w:tcPr>
          <w:p w:rsidR="005A152F" w:rsidRPr="003B55A6" w:rsidRDefault="005A152F" w:rsidP="005D2965">
            <w:pPr>
              <w:jc w:val="right"/>
              <w:rPr>
                <w:szCs w:val="21"/>
              </w:rPr>
            </w:pPr>
            <w:r w:rsidRPr="003B55A6">
              <w:rPr>
                <w:szCs w:val="21"/>
              </w:rPr>
              <w:t>交易型开放式（</w:t>
            </w:r>
            <w:r w:rsidRPr="003B55A6">
              <w:rPr>
                <w:szCs w:val="21"/>
              </w:rPr>
              <w:t>ETF</w:t>
            </w:r>
            <w:r w:rsidRPr="003B55A6">
              <w:rPr>
                <w:szCs w:val="21"/>
              </w:rPr>
              <w:t>）</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基金合同生效日</w:t>
            </w:r>
          </w:p>
        </w:tc>
        <w:tc>
          <w:tcPr>
            <w:tcW w:w="5670" w:type="dxa"/>
            <w:vAlign w:val="center"/>
          </w:tcPr>
          <w:p w:rsidR="005A152F" w:rsidRPr="003B55A6" w:rsidRDefault="005A152F" w:rsidP="005D2965">
            <w:pPr>
              <w:jc w:val="right"/>
              <w:rPr>
                <w:szCs w:val="21"/>
              </w:rPr>
            </w:pPr>
            <w:r w:rsidRPr="003B55A6">
              <w:rPr>
                <w:szCs w:val="21"/>
              </w:rPr>
              <w:t>2020</w:t>
            </w:r>
            <w:r w:rsidRPr="003B55A6">
              <w:rPr>
                <w:szCs w:val="21"/>
              </w:rPr>
              <w:t>年</w:t>
            </w:r>
            <w:r w:rsidRPr="003B55A6">
              <w:rPr>
                <w:szCs w:val="21"/>
              </w:rPr>
              <w:t>4</w:t>
            </w:r>
            <w:r w:rsidRPr="003B55A6">
              <w:rPr>
                <w:szCs w:val="21"/>
              </w:rPr>
              <w:t>月</w:t>
            </w:r>
            <w:r w:rsidRPr="003B55A6">
              <w:rPr>
                <w:szCs w:val="21"/>
              </w:rPr>
              <w:t>27</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基金份额上市的证券交易所</w:t>
            </w:r>
          </w:p>
        </w:tc>
        <w:tc>
          <w:tcPr>
            <w:tcW w:w="5670" w:type="dxa"/>
            <w:vAlign w:val="center"/>
          </w:tcPr>
          <w:p w:rsidR="005A152F" w:rsidRPr="003B55A6" w:rsidRDefault="005A152F" w:rsidP="005D2965">
            <w:pPr>
              <w:jc w:val="right"/>
              <w:rPr>
                <w:szCs w:val="21"/>
              </w:rPr>
            </w:pPr>
            <w:r w:rsidRPr="003B55A6">
              <w:rPr>
                <w:szCs w:val="21"/>
              </w:rPr>
              <w:t>深圳证券交易所</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上市日期</w:t>
            </w:r>
          </w:p>
        </w:tc>
        <w:tc>
          <w:tcPr>
            <w:tcW w:w="5670" w:type="dxa"/>
            <w:vAlign w:val="center"/>
          </w:tcPr>
          <w:p w:rsidR="005A152F" w:rsidRPr="003B55A6" w:rsidRDefault="005A152F" w:rsidP="005D2965">
            <w:pPr>
              <w:jc w:val="right"/>
              <w:rPr>
                <w:szCs w:val="21"/>
              </w:rPr>
            </w:pPr>
            <w:r w:rsidRPr="003B55A6">
              <w:rPr>
                <w:szCs w:val="21"/>
              </w:rPr>
              <w:t>2020</w:t>
            </w:r>
            <w:r w:rsidRPr="003B55A6">
              <w:rPr>
                <w:szCs w:val="21"/>
              </w:rPr>
              <w:t>年</w:t>
            </w:r>
            <w:r w:rsidRPr="003B55A6">
              <w:rPr>
                <w:szCs w:val="21"/>
              </w:rPr>
              <w:t>5</w:t>
            </w:r>
            <w:r w:rsidRPr="003B55A6">
              <w:rPr>
                <w:szCs w:val="21"/>
              </w:rPr>
              <w:t>月</w:t>
            </w:r>
            <w:r w:rsidRPr="003B55A6">
              <w:rPr>
                <w:szCs w:val="21"/>
              </w:rPr>
              <w:t>26</w:t>
            </w:r>
            <w:r w:rsidRPr="003B55A6">
              <w:rPr>
                <w:szCs w:val="21"/>
              </w:rPr>
              <w:t>日</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基金管理人名称</w:t>
            </w:r>
          </w:p>
        </w:tc>
        <w:tc>
          <w:tcPr>
            <w:tcW w:w="5670" w:type="dxa"/>
            <w:vAlign w:val="center"/>
          </w:tcPr>
          <w:p w:rsidR="005A152F" w:rsidRPr="003B55A6" w:rsidRDefault="005A152F" w:rsidP="005D2965">
            <w:pPr>
              <w:jc w:val="right"/>
              <w:rPr>
                <w:szCs w:val="21"/>
              </w:rPr>
            </w:pPr>
            <w:r w:rsidRPr="003B55A6">
              <w:rPr>
                <w:szCs w:val="21"/>
              </w:rPr>
              <w:t>易方达基金管理有限公司</w:t>
            </w:r>
          </w:p>
        </w:tc>
      </w:tr>
      <w:tr w:rsidR="005A152F" w:rsidRPr="000D12C1" w:rsidTr="00DC4F67">
        <w:tc>
          <w:tcPr>
            <w:tcW w:w="2835" w:type="dxa"/>
            <w:vAlign w:val="center"/>
          </w:tcPr>
          <w:p w:rsidR="005A152F" w:rsidRPr="003B55A6" w:rsidRDefault="005A152F" w:rsidP="005D2965">
            <w:pPr>
              <w:rPr>
                <w:szCs w:val="21"/>
              </w:rPr>
            </w:pPr>
            <w:r w:rsidRPr="003B55A6">
              <w:rPr>
                <w:rFonts w:hint="eastAsia"/>
                <w:szCs w:val="21"/>
              </w:rPr>
              <w:t>基金托管人名称</w:t>
            </w:r>
          </w:p>
        </w:tc>
        <w:tc>
          <w:tcPr>
            <w:tcW w:w="5670" w:type="dxa"/>
            <w:vAlign w:val="center"/>
          </w:tcPr>
          <w:p w:rsidR="005A152F" w:rsidRPr="003B55A6" w:rsidRDefault="005A152F" w:rsidP="005D2965">
            <w:pPr>
              <w:jc w:val="right"/>
              <w:rPr>
                <w:szCs w:val="21"/>
              </w:rPr>
            </w:pPr>
            <w:r w:rsidRPr="003B55A6">
              <w:rPr>
                <w:szCs w:val="21"/>
              </w:rPr>
              <w:t>中国工商银行股份有限公司</w:t>
            </w:r>
          </w:p>
        </w:tc>
      </w:tr>
    </w:tbl>
    <w:p w:rsidR="008A5A5D" w:rsidRPr="00A317EA" w:rsidRDefault="008A5A5D" w:rsidP="006C64F3">
      <w:pPr>
        <w:pStyle w:val="20"/>
        <w:spacing w:beforeLines="100" w:before="312" w:after="0"/>
        <w:rPr>
          <w:rFonts w:ascii="Times New Roman" w:eastAsiaTheme="minorEastAsia" w:hAnsi="Times New Roman"/>
          <w:kern w:val="0"/>
          <w:sz w:val="21"/>
          <w:szCs w:val="21"/>
        </w:rPr>
      </w:pPr>
      <w:bookmarkStart w:id="32" w:name="_Toc352255962"/>
      <w:bookmarkStart w:id="33" w:name="_Toc352256030"/>
      <w:bookmarkStart w:id="34" w:name="_Toc352331208"/>
      <w:bookmarkStart w:id="35" w:name="_Toc390164794"/>
      <w:bookmarkStart w:id="36" w:name="_Toc48660274"/>
      <w:r w:rsidRPr="0087359D">
        <w:rPr>
          <w:rFonts w:ascii="宋体" w:hAnsi="宋体"/>
          <w:kern w:val="0"/>
          <w:sz w:val="21"/>
          <w:szCs w:val="21"/>
        </w:rPr>
        <w:t>2.2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基金产品说明</w:t>
      </w:r>
      <w:bookmarkEnd w:id="32"/>
      <w:bookmarkEnd w:id="33"/>
      <w:bookmarkEnd w:id="34"/>
      <w:bookmarkEnd w:id="35"/>
      <w:bookmarkEnd w:id="3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投资目标</w:t>
            </w:r>
          </w:p>
        </w:tc>
        <w:tc>
          <w:tcPr>
            <w:tcW w:w="6873" w:type="dxa"/>
            <w:vAlign w:val="bottom"/>
          </w:tcPr>
          <w:p w:rsidR="008A5A5D" w:rsidRPr="00C24ACA" w:rsidRDefault="008A5A5D">
            <w:pPr>
              <w:rPr>
                <w:rFonts w:eastAsiaTheme="minorEastAsia"/>
                <w:szCs w:val="21"/>
              </w:rPr>
            </w:pPr>
            <w:r w:rsidRPr="00C24ACA">
              <w:rPr>
                <w:rFonts w:eastAsiaTheme="minorEastAsia"/>
                <w:szCs w:val="21"/>
              </w:rPr>
              <w:t>紧密跟踪业绩比较基准，追求跟踪偏离度和跟踪误差的最小化。</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投资策略</w:t>
            </w:r>
          </w:p>
        </w:tc>
        <w:tc>
          <w:tcPr>
            <w:tcW w:w="6873" w:type="dxa"/>
            <w:vAlign w:val="bottom"/>
          </w:tcPr>
          <w:p w:rsidR="008A5A5D" w:rsidRPr="00C24ACA" w:rsidRDefault="008A5A5D">
            <w:pPr>
              <w:rPr>
                <w:rFonts w:eastAsiaTheme="minorEastAsia"/>
                <w:szCs w:val="21"/>
              </w:rPr>
            </w:pPr>
            <w:r w:rsidRPr="00C24ACA">
              <w:rPr>
                <w:rFonts w:eastAsiaTheme="minorEastAsia"/>
                <w:szCs w:val="21"/>
              </w:rPr>
              <w:t>本基金为易方达中证浙江新动能</w:t>
            </w:r>
            <w:r w:rsidRPr="00C24ACA">
              <w:rPr>
                <w:rFonts w:eastAsiaTheme="minorEastAsia"/>
                <w:szCs w:val="21"/>
              </w:rPr>
              <w:t>ETF</w:t>
            </w:r>
            <w:r w:rsidRPr="00C24ACA">
              <w:rPr>
                <w:rFonts w:eastAsiaTheme="minorEastAsia"/>
                <w:szCs w:val="21"/>
              </w:rPr>
              <w:t>的联接基金，主要通过投资于易方达中证浙江新动能</w:t>
            </w:r>
            <w:r w:rsidRPr="00C24ACA">
              <w:rPr>
                <w:rFonts w:eastAsiaTheme="minorEastAsia"/>
                <w:szCs w:val="21"/>
              </w:rPr>
              <w:t>ETF</w:t>
            </w:r>
            <w:r w:rsidRPr="00C24ACA">
              <w:rPr>
                <w:rFonts w:eastAsiaTheme="minorEastAsia"/>
                <w:szCs w:val="21"/>
              </w:rPr>
              <w:t>实现对业绩比较基准的紧密跟踪，本基金力争将年化跟踪误差控制在</w:t>
            </w:r>
            <w:r w:rsidRPr="00C24ACA">
              <w:rPr>
                <w:rFonts w:eastAsiaTheme="minorEastAsia"/>
                <w:szCs w:val="21"/>
              </w:rPr>
              <w:t>4%</w:t>
            </w:r>
            <w:r w:rsidRPr="00C24ACA">
              <w:rPr>
                <w:rFonts w:eastAsiaTheme="minorEastAsia"/>
                <w:szCs w:val="21"/>
              </w:rPr>
              <w:t>以内。本基金将在综合考虑合规、风险、效率、成本等因素的基础上，决定采用申购、赎回的方式或二级市场方式进行易方达中证浙江新动能</w:t>
            </w:r>
            <w:r w:rsidRPr="00C24ACA">
              <w:rPr>
                <w:rFonts w:eastAsiaTheme="minorEastAsia"/>
                <w:szCs w:val="21"/>
              </w:rPr>
              <w:t>ETF</w:t>
            </w:r>
            <w:r w:rsidRPr="00C24ACA">
              <w:rPr>
                <w:rFonts w:eastAsiaTheme="minorEastAsia"/>
                <w:szCs w:val="21"/>
              </w:rPr>
              <w:t>的投资。本基金可投资于标的指数成份股、备选成份股（含美国存托凭证等），以更好的跟踪业绩比较基准。同时，在条件允许的情况下还可通过买入标的指数成份股、备选成份股（含美国存托凭证等）来构建组合以申购目标</w:t>
            </w:r>
            <w:r w:rsidRPr="00C24ACA">
              <w:rPr>
                <w:rFonts w:eastAsiaTheme="minorEastAsia"/>
                <w:szCs w:val="21"/>
              </w:rPr>
              <w:t>ETF</w:t>
            </w:r>
            <w:r w:rsidRPr="00C24ACA">
              <w:rPr>
                <w:rFonts w:eastAsiaTheme="minorEastAsia"/>
                <w:szCs w:val="21"/>
              </w:rPr>
              <w:t>。对可投资于标的指数成份股、备选成份股（含美国存托凭证等）的资金头寸，主要采取复制法，即按照标的指数的成份股（含美国存托凭证等）组成及其权重构建基金投资组合，并根据标的指数组成及其权重的变动而进行相应调整。但在因特殊情况（如流动性不足等）导致无法获得足够数量的个券时，基金管理人将搭配使用其他合理方法进行适当的替代。</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业绩比较基准</w:t>
            </w:r>
          </w:p>
        </w:tc>
        <w:tc>
          <w:tcPr>
            <w:tcW w:w="6873" w:type="dxa"/>
            <w:vAlign w:val="bottom"/>
          </w:tcPr>
          <w:p w:rsidR="008A5A5D" w:rsidRPr="00C24ACA" w:rsidRDefault="008A5A5D">
            <w:pPr>
              <w:rPr>
                <w:rFonts w:eastAsiaTheme="minorEastAsia"/>
                <w:szCs w:val="21"/>
              </w:rPr>
            </w:pPr>
            <w:r w:rsidRPr="00C24ACA">
              <w:rPr>
                <w:rFonts w:eastAsiaTheme="minorEastAsia"/>
                <w:szCs w:val="21"/>
              </w:rPr>
              <w:t>中证浙江新动能指数收益率</w:t>
            </w:r>
            <w:r w:rsidRPr="00C24ACA">
              <w:rPr>
                <w:rFonts w:eastAsiaTheme="minorEastAsia"/>
                <w:szCs w:val="21"/>
              </w:rPr>
              <w:t>×95%+</w:t>
            </w:r>
            <w:r w:rsidRPr="00C24ACA">
              <w:rPr>
                <w:rFonts w:eastAsiaTheme="minorEastAsia"/>
                <w:szCs w:val="21"/>
              </w:rPr>
              <w:t>活期存款利率</w:t>
            </w:r>
            <w:r w:rsidRPr="00C24ACA">
              <w:rPr>
                <w:rFonts w:eastAsiaTheme="minorEastAsia"/>
                <w:szCs w:val="21"/>
              </w:rPr>
              <w:t>(</w:t>
            </w:r>
            <w:r w:rsidRPr="00C24ACA">
              <w:rPr>
                <w:rFonts w:eastAsiaTheme="minorEastAsia"/>
                <w:szCs w:val="21"/>
              </w:rPr>
              <w:t>税后</w:t>
            </w:r>
            <w:r w:rsidRPr="00C24ACA">
              <w:rPr>
                <w:rFonts w:eastAsiaTheme="minorEastAsia"/>
                <w:szCs w:val="21"/>
              </w:rPr>
              <w:t>) ×5%</w:t>
            </w:r>
          </w:p>
        </w:tc>
      </w:tr>
      <w:tr w:rsidR="008A5A5D" w:rsidRPr="00C24ACA" w:rsidTr="006D141C">
        <w:tc>
          <w:tcPr>
            <w:tcW w:w="2127" w:type="dxa"/>
            <w:vAlign w:val="center"/>
          </w:tcPr>
          <w:p w:rsidR="008A5A5D" w:rsidRPr="00C24ACA" w:rsidRDefault="008A5A5D">
            <w:pPr>
              <w:rPr>
                <w:rFonts w:eastAsiaTheme="minorEastAsia"/>
                <w:szCs w:val="21"/>
              </w:rPr>
            </w:pPr>
            <w:r w:rsidRPr="00C24ACA">
              <w:rPr>
                <w:rFonts w:eastAsiaTheme="minorEastAsia"/>
                <w:szCs w:val="21"/>
              </w:rPr>
              <w:t>风险收益特征</w:t>
            </w:r>
          </w:p>
        </w:tc>
        <w:tc>
          <w:tcPr>
            <w:tcW w:w="6873" w:type="dxa"/>
            <w:vAlign w:val="bottom"/>
          </w:tcPr>
          <w:p w:rsidR="000265E6" w:rsidRDefault="004D56B3">
            <w:pPr>
              <w:rPr>
                <w:rFonts w:eastAsiaTheme="minorEastAsia"/>
                <w:szCs w:val="21"/>
              </w:rPr>
            </w:pPr>
            <w:r>
              <w:rPr>
                <w:rFonts w:eastAsiaTheme="minorEastAsia"/>
                <w:szCs w:val="21"/>
              </w:rPr>
              <w:t>本基金为</w:t>
            </w:r>
            <w:r>
              <w:rPr>
                <w:rFonts w:eastAsiaTheme="minorEastAsia"/>
                <w:szCs w:val="21"/>
              </w:rPr>
              <w:t>ETF</w:t>
            </w:r>
            <w:r>
              <w:rPr>
                <w:rFonts w:eastAsiaTheme="minorEastAsia"/>
                <w:szCs w:val="21"/>
              </w:rPr>
              <w:t>联接基金，预期风险与预期收益水平高于混合型基金、债券型基金与货币市场基金。</w:t>
            </w:r>
          </w:p>
          <w:p w:rsidR="008A5A5D" w:rsidRPr="00C24ACA" w:rsidRDefault="008A5A5D">
            <w:pPr>
              <w:rPr>
                <w:rFonts w:eastAsiaTheme="minorEastAsia"/>
                <w:szCs w:val="21"/>
              </w:rPr>
            </w:pPr>
            <w:r w:rsidRPr="00C24ACA">
              <w:rPr>
                <w:rFonts w:eastAsiaTheme="minorEastAsia"/>
                <w:szCs w:val="21"/>
              </w:rPr>
              <w:t>本基金主要通过投资于易方达中证浙江新动能</w:t>
            </w:r>
            <w:r w:rsidRPr="00C24ACA">
              <w:rPr>
                <w:rFonts w:eastAsiaTheme="minorEastAsia"/>
                <w:szCs w:val="21"/>
              </w:rPr>
              <w:t>ETF</w:t>
            </w:r>
            <w:r w:rsidRPr="00C24ACA">
              <w:rPr>
                <w:rFonts w:eastAsiaTheme="minorEastAsia"/>
                <w:szCs w:val="21"/>
              </w:rPr>
              <w:t>实现对业绩比较基准的紧密跟踪。因此，本基金的业绩表现与中证浙江新动能指数的表现密切相关。此外，本基金可投资境外市场，除了需要承担与境内证券投资基金类似的市场波动风险等一般投资风险之外，还面临汇率风险以及境外市场的风险。</w:t>
            </w:r>
          </w:p>
        </w:tc>
      </w:tr>
    </w:tbl>
    <w:p w:rsidR="006C64F3" w:rsidRPr="006C64F3" w:rsidRDefault="006C64F3" w:rsidP="00152AB0">
      <w:pPr>
        <w:spacing w:line="360" w:lineRule="auto"/>
        <w:rPr>
          <w:rFonts w:eastAsiaTheme="minorEastAsia"/>
          <w:b/>
          <w:color w:val="000000"/>
          <w:kern w:val="0"/>
          <w:szCs w:val="21"/>
        </w:rPr>
      </w:pPr>
      <w:r w:rsidRPr="00152AB0">
        <w:rPr>
          <w:rFonts w:ascii="宋体" w:hAnsi="宋体"/>
          <w:b/>
          <w:bCs/>
          <w:color w:val="000000"/>
          <w:kern w:val="0"/>
          <w:szCs w:val="21"/>
        </w:rPr>
        <w:t xml:space="preserve">2.2.1 </w:t>
      </w:r>
      <w:r w:rsidRPr="00152AB0">
        <w:rPr>
          <w:rFonts w:ascii="宋体" w:hAnsi="宋体" w:hint="eastAsia"/>
          <w:b/>
          <w:bCs/>
          <w:color w:val="000000"/>
          <w:kern w:val="0"/>
          <w:szCs w:val="21"/>
        </w:rPr>
        <w:t>目标基金产品说明</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5652"/>
      </w:tblGrid>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投资目标</w:t>
            </w:r>
          </w:p>
        </w:tc>
        <w:tc>
          <w:tcPr>
            <w:tcW w:w="5652" w:type="dxa"/>
            <w:vAlign w:val="center"/>
          </w:tcPr>
          <w:p w:rsidR="006C64F3" w:rsidRPr="0009709F" w:rsidRDefault="006C64F3" w:rsidP="005D2965">
            <w:pPr>
              <w:rPr>
                <w:szCs w:val="21"/>
              </w:rPr>
            </w:pPr>
            <w:r w:rsidRPr="0009709F">
              <w:rPr>
                <w:szCs w:val="21"/>
              </w:rPr>
              <w:t>紧密跟踪标的指数，追求跟踪偏离度和跟踪误差的最小化。</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投资策略</w:t>
            </w:r>
          </w:p>
        </w:tc>
        <w:tc>
          <w:tcPr>
            <w:tcW w:w="5652" w:type="dxa"/>
            <w:vAlign w:val="center"/>
          </w:tcPr>
          <w:p w:rsidR="006C64F3" w:rsidRPr="0009709F" w:rsidRDefault="006C64F3" w:rsidP="005D2965">
            <w:pPr>
              <w:rPr>
                <w:szCs w:val="21"/>
              </w:rPr>
            </w:pPr>
            <w:r w:rsidRPr="0009709F">
              <w:rPr>
                <w:szCs w:val="21"/>
              </w:rPr>
              <w:t>本基金主要采取完全复制法，即完全按照标的指数的成份股（含美国存托凭证等）组成及其权重构建基金投资组合，并根据标的指数组成及其权重的变动进行相应调整。</w:t>
            </w:r>
            <w:r w:rsidRPr="0009709F">
              <w:rPr>
                <w:szCs w:val="21"/>
              </w:rPr>
              <w:t xml:space="preserve"> </w:t>
            </w:r>
            <w:r w:rsidRPr="0009709F">
              <w:rPr>
                <w:szCs w:val="21"/>
              </w:rPr>
              <w:t>但在因特殊情形导致基金无法完全投资于标的指数成份股（含美国存托凭证等）时，基金管理人可采取包括成份股（含美国存托凭证等）替代策略在内的其他指数投资技术适当调整基金投资组合，以达到紧密跟踪标的指数的目的。</w:t>
            </w:r>
            <w:r w:rsidRPr="0009709F">
              <w:rPr>
                <w:szCs w:val="21"/>
              </w:rPr>
              <w:t xml:space="preserve"> </w:t>
            </w:r>
            <w:r w:rsidRPr="0009709F">
              <w:rPr>
                <w:szCs w:val="21"/>
              </w:rPr>
              <w:t>为更好地实现投资目标，本基金可投资股指期货、股票期权和其他经中国证监会允许的金融衍生产品，如与标的指数或标的指数成份股、备选成份股（含美国存托凭证等）等相关的衍生工具。</w:t>
            </w:r>
            <w:r w:rsidRPr="0009709F">
              <w:rPr>
                <w:szCs w:val="21"/>
              </w:rPr>
              <w:t xml:space="preserve"> </w:t>
            </w:r>
            <w:r w:rsidRPr="0009709F">
              <w:rPr>
                <w:szCs w:val="21"/>
              </w:rPr>
              <w:t>为更好地实现投资目标，在加强风险防范并遵守审慎原则的前提下，本基金可根据投资管理的需要参与转融通证券出借业务。在条件许可的情况下，基金管理人可在不改变本基金既有投资目标、策略和风险收益特征并在控制风险的前提下，根据相关法律法规，参与融资业务，以提高投资效率及进行风险管理。此外，本基金可根据届时有效的法律法规和监管机构的有关规定开展融券业务。本基金力争将年化跟踪误差控制在</w:t>
            </w:r>
            <w:r w:rsidRPr="0009709F">
              <w:rPr>
                <w:szCs w:val="21"/>
              </w:rPr>
              <w:t>3%</w:t>
            </w:r>
            <w:r w:rsidRPr="0009709F">
              <w:rPr>
                <w:szCs w:val="21"/>
              </w:rPr>
              <w:t>以内。</w:t>
            </w:r>
            <w:r w:rsidRPr="0009709F">
              <w:rPr>
                <w:szCs w:val="21"/>
              </w:rPr>
              <w:t xml:space="preserve"> </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业绩比较基准</w:t>
            </w:r>
          </w:p>
        </w:tc>
        <w:tc>
          <w:tcPr>
            <w:tcW w:w="5652" w:type="dxa"/>
            <w:vAlign w:val="center"/>
          </w:tcPr>
          <w:p w:rsidR="006C64F3" w:rsidRPr="0009709F" w:rsidRDefault="006C64F3" w:rsidP="005D2965">
            <w:pPr>
              <w:rPr>
                <w:szCs w:val="21"/>
              </w:rPr>
            </w:pPr>
            <w:r w:rsidRPr="0009709F">
              <w:rPr>
                <w:szCs w:val="21"/>
              </w:rPr>
              <w:t>中证浙江新动能指数收益率</w:t>
            </w:r>
          </w:p>
        </w:tc>
      </w:tr>
      <w:tr w:rsidR="006C64F3" w:rsidRPr="00F059CF" w:rsidTr="00DC4F67">
        <w:tc>
          <w:tcPr>
            <w:tcW w:w="2835" w:type="dxa"/>
            <w:vAlign w:val="center"/>
          </w:tcPr>
          <w:p w:rsidR="006C64F3" w:rsidRPr="0009709F" w:rsidRDefault="006C64F3" w:rsidP="005D2965">
            <w:pPr>
              <w:rPr>
                <w:szCs w:val="21"/>
              </w:rPr>
            </w:pPr>
            <w:r w:rsidRPr="0009709F">
              <w:rPr>
                <w:rFonts w:hint="eastAsia"/>
                <w:szCs w:val="21"/>
              </w:rPr>
              <w:t>风险收益特征</w:t>
            </w:r>
          </w:p>
        </w:tc>
        <w:tc>
          <w:tcPr>
            <w:tcW w:w="5652" w:type="dxa"/>
            <w:vAlign w:val="center"/>
          </w:tcPr>
          <w:p w:rsidR="006C64F3" w:rsidRPr="0009709F" w:rsidRDefault="006C64F3" w:rsidP="005D2965">
            <w:pPr>
              <w:rPr>
                <w:szCs w:val="21"/>
              </w:rPr>
            </w:pPr>
            <w:r w:rsidRPr="0009709F">
              <w:rPr>
                <w:szCs w:val="21"/>
              </w:rPr>
              <w:t>本基金为股票型基金，预期风险与预期收益水平高于混合型基金、债券型基金与货币市场基金。本基金为指数型基金，主要采用完全复制法跟踪标的指数的表现，具有与标的指数相似的风险收益特征。此外，本基金可投资境外市场，除了需要承担与境内证券投资基金类似的市场波动风险等一般投资风险之外，还面临汇率风险以及境外市场的风险。</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 w:name="_Toc225498247"/>
      <w:bookmarkStart w:id="38" w:name="_Toc352255963"/>
      <w:bookmarkStart w:id="39" w:name="_Toc352256031"/>
      <w:bookmarkStart w:id="40" w:name="_Toc352331209"/>
      <w:bookmarkStart w:id="41" w:name="_Toc390164795"/>
      <w:bookmarkStart w:id="42" w:name="_Toc48660275"/>
      <w:r w:rsidRPr="0087359D">
        <w:rPr>
          <w:rFonts w:ascii="宋体" w:hAnsi="宋体"/>
          <w:kern w:val="0"/>
          <w:sz w:val="21"/>
          <w:szCs w:val="21"/>
        </w:rPr>
        <w:t>2.3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w:t>
      </w:r>
      <w:r w:rsidRPr="00A317EA">
        <w:rPr>
          <w:rFonts w:ascii="Times New Roman" w:eastAsiaTheme="minorEastAsia" w:hAnsi="Times New Roman"/>
          <w:kern w:val="0"/>
          <w:sz w:val="21"/>
          <w:szCs w:val="21"/>
        </w:rPr>
        <w:t>管理</w:t>
      </w:r>
      <w:r w:rsidRPr="00C24ACA">
        <w:rPr>
          <w:rFonts w:ascii="Times New Roman" w:eastAsiaTheme="minorEastAsia" w:hAnsi="Times New Roman"/>
          <w:kern w:val="0"/>
          <w:sz w:val="21"/>
          <w:szCs w:val="21"/>
        </w:rPr>
        <w:t>人和基金托管人</w:t>
      </w:r>
      <w:bookmarkEnd w:id="37"/>
      <w:bookmarkEnd w:id="38"/>
      <w:bookmarkEnd w:id="39"/>
      <w:bookmarkEnd w:id="40"/>
      <w:bookmarkEnd w:id="41"/>
      <w:bookmarkEnd w:id="4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项目</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基金管理人</w:t>
            </w:r>
          </w:p>
        </w:tc>
        <w:tc>
          <w:tcPr>
            <w:tcW w:w="3060" w:type="dxa"/>
            <w:vAlign w:val="center"/>
          </w:tcPr>
          <w:p w:rsidR="008A5A5D" w:rsidRPr="00C24ACA" w:rsidRDefault="008A5A5D" w:rsidP="00EC549A">
            <w:pPr>
              <w:jc w:val="center"/>
              <w:rPr>
                <w:rFonts w:eastAsiaTheme="minorEastAsia"/>
                <w:color w:val="000000"/>
                <w:szCs w:val="21"/>
              </w:rPr>
            </w:pPr>
            <w:r w:rsidRPr="00C24ACA">
              <w:rPr>
                <w:rFonts w:eastAsiaTheme="minorEastAsia"/>
                <w:color w:val="000000"/>
                <w:szCs w:val="21"/>
              </w:rPr>
              <w:t>基金托管人</w:t>
            </w:r>
          </w:p>
        </w:tc>
      </w:tr>
      <w:tr w:rsidR="008A5A5D" w:rsidRPr="00C24ACA" w:rsidTr="006D141C">
        <w:tc>
          <w:tcPr>
            <w:tcW w:w="2631" w:type="dxa"/>
            <w:gridSpan w:val="2"/>
            <w:vAlign w:val="center"/>
          </w:tcPr>
          <w:p w:rsidR="008A5A5D" w:rsidRPr="00C24ACA" w:rsidRDefault="008A5A5D">
            <w:pPr>
              <w:autoSpaceDE w:val="0"/>
              <w:autoSpaceDN w:val="0"/>
              <w:adjustRightInd w:val="0"/>
              <w:spacing w:before="29" w:line="288" w:lineRule="auto"/>
              <w:ind w:left="15"/>
              <w:rPr>
                <w:rFonts w:eastAsiaTheme="minorEastAsia"/>
                <w:color w:val="000000"/>
                <w:kern w:val="0"/>
                <w:szCs w:val="21"/>
              </w:rPr>
            </w:pPr>
            <w:r w:rsidRPr="00C24ACA">
              <w:rPr>
                <w:rFonts w:eastAsiaTheme="minorEastAsia"/>
                <w:color w:val="000000"/>
                <w:kern w:val="0"/>
                <w:szCs w:val="21"/>
              </w:rPr>
              <w:t>名称</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易方达基金管理有限公司</w:t>
            </w:r>
          </w:p>
        </w:tc>
        <w:tc>
          <w:tcPr>
            <w:tcW w:w="3060" w:type="dxa"/>
            <w:vAlign w:val="center"/>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中国工商银行股份有限公司</w:t>
            </w:r>
          </w:p>
        </w:tc>
      </w:tr>
      <w:tr w:rsidR="008A5A5D" w:rsidRPr="00C24ACA" w:rsidTr="006D141C">
        <w:tc>
          <w:tcPr>
            <w:tcW w:w="1260" w:type="dxa"/>
            <w:vMerge w:val="restart"/>
            <w:vAlign w:val="center"/>
          </w:tcPr>
          <w:p w:rsidR="008A5A5D" w:rsidRPr="00C24ACA" w:rsidRDefault="008A5A5D">
            <w:pPr>
              <w:autoSpaceDE w:val="0"/>
              <w:autoSpaceDN w:val="0"/>
              <w:adjustRightInd w:val="0"/>
              <w:spacing w:before="29" w:line="360" w:lineRule="auto"/>
              <w:ind w:left="15"/>
              <w:rPr>
                <w:rFonts w:eastAsiaTheme="minorEastAsia"/>
                <w:color w:val="000000"/>
                <w:kern w:val="0"/>
                <w:szCs w:val="21"/>
              </w:rPr>
            </w:pPr>
            <w:r w:rsidRPr="00C24ACA">
              <w:rPr>
                <w:rFonts w:eastAsiaTheme="minorEastAsia"/>
                <w:color w:val="000000"/>
                <w:szCs w:val="21"/>
              </w:rPr>
              <w:t>信息披露负责人</w:t>
            </w:r>
          </w:p>
        </w:tc>
        <w:tc>
          <w:tcPr>
            <w:tcW w:w="1371" w:type="dxa"/>
            <w:vAlign w:val="center"/>
          </w:tcPr>
          <w:p w:rsidR="008A5A5D" w:rsidRPr="00C24ACA" w:rsidRDefault="008A5A5D">
            <w:pPr>
              <w:jc w:val="center"/>
              <w:rPr>
                <w:rFonts w:eastAsiaTheme="minorEastAsia"/>
                <w:color w:val="000000"/>
                <w:szCs w:val="21"/>
              </w:rPr>
            </w:pPr>
            <w:r w:rsidRPr="00C24ACA">
              <w:rPr>
                <w:rFonts w:eastAsiaTheme="minorEastAsia"/>
                <w:color w:val="000000"/>
                <w:szCs w:val="21"/>
              </w:rPr>
              <w:t>姓名</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张南</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郭明</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联系电话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020-85102688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010-66105799</w:t>
            </w:r>
          </w:p>
        </w:tc>
      </w:tr>
      <w:tr w:rsidR="008A5A5D" w:rsidRPr="00C24ACA" w:rsidTr="006D141C">
        <w:tc>
          <w:tcPr>
            <w:tcW w:w="2631" w:type="dxa"/>
            <w:vMerge/>
            <w:vAlign w:val="center"/>
          </w:tcPr>
          <w:p w:rsidR="008A5A5D" w:rsidRPr="00C24ACA" w:rsidRDefault="008A5A5D">
            <w:pPr>
              <w:widowControl/>
              <w:jc w:val="left"/>
              <w:rPr>
                <w:rFonts w:eastAsiaTheme="minorEastAsia"/>
                <w:color w:val="000000"/>
                <w:kern w:val="0"/>
                <w:szCs w:val="21"/>
              </w:rPr>
            </w:pPr>
          </w:p>
        </w:tc>
        <w:tc>
          <w:tcPr>
            <w:tcW w:w="1371" w:type="dxa"/>
            <w:vAlign w:val="center"/>
          </w:tcPr>
          <w:p w:rsidR="008A5A5D" w:rsidRPr="00C24ACA" w:rsidRDefault="008A5A5D">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szCs w:val="21"/>
              </w:rPr>
              <w:t>电子邮箱</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service@efunds.com.cn</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custody@icbc.com.cn</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客户服务电话</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400 881 8088</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95588</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传真</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020-85104666</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010-66105798</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注册地址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广东省珠海市横琴新区宝华路</w:t>
            </w:r>
            <w:r w:rsidRPr="00C24ACA">
              <w:rPr>
                <w:rFonts w:eastAsiaTheme="minorEastAsia"/>
                <w:color w:val="000000"/>
                <w:kern w:val="0"/>
                <w:szCs w:val="21"/>
              </w:rPr>
              <w:t>6</w:t>
            </w:r>
            <w:r w:rsidRPr="00C24ACA">
              <w:rPr>
                <w:rFonts w:eastAsiaTheme="minorEastAsia"/>
                <w:color w:val="000000"/>
                <w:kern w:val="0"/>
                <w:szCs w:val="21"/>
              </w:rPr>
              <w:t>号</w:t>
            </w:r>
            <w:r w:rsidRPr="00C24ACA">
              <w:rPr>
                <w:rFonts w:eastAsiaTheme="minorEastAsia"/>
                <w:color w:val="000000"/>
                <w:kern w:val="0"/>
                <w:szCs w:val="21"/>
              </w:rPr>
              <w:t>105</w:t>
            </w:r>
            <w:r w:rsidRPr="00C24ACA">
              <w:rPr>
                <w:rFonts w:eastAsiaTheme="minorEastAsia"/>
                <w:color w:val="000000"/>
                <w:kern w:val="0"/>
                <w:szCs w:val="21"/>
              </w:rPr>
              <w:t>室－</w:t>
            </w:r>
            <w:r w:rsidRPr="00C24ACA">
              <w:rPr>
                <w:rFonts w:eastAsiaTheme="minorEastAsia"/>
                <w:color w:val="000000"/>
                <w:kern w:val="0"/>
                <w:szCs w:val="21"/>
              </w:rPr>
              <w:t>42891</w:t>
            </w:r>
            <w:r w:rsidRPr="00C24ACA">
              <w:rPr>
                <w:rFonts w:eastAsiaTheme="minorEastAsia"/>
                <w:color w:val="000000"/>
                <w:kern w:val="0"/>
                <w:szCs w:val="21"/>
              </w:rPr>
              <w:t>（集中办公区）</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北京市西城区复兴门内大街</w:t>
            </w:r>
            <w:r w:rsidRPr="00C24ACA">
              <w:rPr>
                <w:rFonts w:eastAsiaTheme="minorEastAsia"/>
                <w:color w:val="000000"/>
                <w:kern w:val="0"/>
                <w:szCs w:val="21"/>
              </w:rPr>
              <w:t>55</w:t>
            </w:r>
            <w:r w:rsidRPr="00C24ACA">
              <w:rPr>
                <w:rFonts w:eastAsiaTheme="minorEastAsia"/>
                <w:color w:val="000000"/>
                <w:kern w:val="0"/>
                <w:szCs w:val="21"/>
              </w:rPr>
              <w:t>号</w:t>
            </w:r>
          </w:p>
        </w:tc>
      </w:tr>
      <w:tr w:rsidR="008A5A5D" w:rsidRPr="00C24ACA" w:rsidTr="00976F71">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办公地址</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广州市天河区珠江新城珠江东路</w:t>
            </w:r>
            <w:r w:rsidRPr="00C24ACA">
              <w:rPr>
                <w:rFonts w:eastAsiaTheme="minorEastAsia"/>
                <w:color w:val="000000"/>
                <w:kern w:val="0"/>
                <w:szCs w:val="21"/>
              </w:rPr>
              <w:t>30</w:t>
            </w:r>
            <w:r w:rsidRPr="00C24ACA">
              <w:rPr>
                <w:rFonts w:eastAsiaTheme="minorEastAsia"/>
                <w:color w:val="000000"/>
                <w:kern w:val="0"/>
                <w:szCs w:val="21"/>
              </w:rPr>
              <w:t>号广州银行大厦</w:t>
            </w:r>
            <w:r w:rsidRPr="00C24ACA">
              <w:rPr>
                <w:rFonts w:eastAsiaTheme="minorEastAsia"/>
                <w:color w:val="000000"/>
                <w:kern w:val="0"/>
                <w:szCs w:val="21"/>
              </w:rPr>
              <w:t>40-43</w:t>
            </w:r>
            <w:r w:rsidRPr="00C24ACA">
              <w:rPr>
                <w:rFonts w:eastAsiaTheme="minorEastAsia"/>
                <w:color w:val="000000"/>
                <w:kern w:val="0"/>
                <w:szCs w:val="21"/>
              </w:rPr>
              <w:t>楼</w:t>
            </w:r>
          </w:p>
        </w:tc>
        <w:tc>
          <w:tcPr>
            <w:tcW w:w="3060" w:type="dxa"/>
          </w:tcPr>
          <w:p w:rsidR="008A5A5D" w:rsidRPr="00C24ACA" w:rsidRDefault="008A5A5D" w:rsidP="00976F71">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北京市西城区复兴门内大街</w:t>
            </w:r>
            <w:r w:rsidRPr="00C24ACA">
              <w:rPr>
                <w:rFonts w:eastAsiaTheme="minorEastAsia"/>
                <w:color w:val="000000"/>
                <w:kern w:val="0"/>
                <w:szCs w:val="21"/>
              </w:rPr>
              <w:t>55</w:t>
            </w:r>
            <w:r w:rsidRPr="00C24ACA">
              <w:rPr>
                <w:rFonts w:eastAsiaTheme="minorEastAsia"/>
                <w:color w:val="000000"/>
                <w:kern w:val="0"/>
                <w:szCs w:val="21"/>
              </w:rPr>
              <w:t>号</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邮政编码</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510620</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100140</w:t>
            </w:r>
          </w:p>
        </w:tc>
      </w:tr>
      <w:tr w:rsidR="008A5A5D" w:rsidRPr="00C24ACA" w:rsidTr="006D141C">
        <w:tc>
          <w:tcPr>
            <w:tcW w:w="2631" w:type="dxa"/>
            <w:gridSpan w:val="2"/>
            <w:vAlign w:val="center"/>
          </w:tcPr>
          <w:p w:rsidR="008A5A5D" w:rsidRPr="00C24ACA" w:rsidRDefault="008A5A5D">
            <w:pPr>
              <w:rPr>
                <w:rFonts w:eastAsiaTheme="minorEastAsia"/>
                <w:color w:val="000000"/>
                <w:szCs w:val="21"/>
              </w:rPr>
            </w:pPr>
            <w:r w:rsidRPr="00C24ACA">
              <w:rPr>
                <w:rFonts w:eastAsiaTheme="minorEastAsia"/>
                <w:color w:val="000000"/>
                <w:szCs w:val="21"/>
              </w:rPr>
              <w:t>法定代表人</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刘晓艳</w:t>
            </w:r>
          </w:p>
        </w:tc>
        <w:tc>
          <w:tcPr>
            <w:tcW w:w="3060" w:type="dxa"/>
            <w:vAlign w:val="bottom"/>
          </w:tcPr>
          <w:p w:rsidR="008A5A5D" w:rsidRPr="00C24ACA" w:rsidRDefault="008A5A5D" w:rsidP="00EC549A">
            <w:pPr>
              <w:autoSpaceDE w:val="0"/>
              <w:autoSpaceDN w:val="0"/>
              <w:adjustRightInd w:val="0"/>
              <w:spacing w:before="29" w:line="288" w:lineRule="auto"/>
              <w:ind w:left="15"/>
              <w:jc w:val="center"/>
              <w:rPr>
                <w:rFonts w:eastAsiaTheme="minorEastAsia"/>
                <w:color w:val="000000"/>
                <w:kern w:val="0"/>
                <w:szCs w:val="21"/>
              </w:rPr>
            </w:pPr>
            <w:r w:rsidRPr="00C24ACA">
              <w:rPr>
                <w:rFonts w:eastAsiaTheme="minorEastAsia"/>
                <w:color w:val="000000"/>
                <w:kern w:val="0"/>
                <w:szCs w:val="21"/>
              </w:rPr>
              <w:t>陈四清</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43" w:name="_Toc224618346"/>
      <w:bookmarkStart w:id="44" w:name="_Toc235605676"/>
      <w:bookmarkStart w:id="45" w:name="_Toc286929724"/>
      <w:bookmarkStart w:id="46" w:name="_Toc352255964"/>
      <w:bookmarkStart w:id="47" w:name="_Toc352256032"/>
      <w:bookmarkStart w:id="48" w:name="_Toc352331210"/>
      <w:bookmarkStart w:id="49" w:name="_Toc390164796"/>
      <w:bookmarkStart w:id="50" w:name="_Toc48660276"/>
      <w:r w:rsidRPr="0087359D">
        <w:rPr>
          <w:rFonts w:ascii="宋体" w:hAnsi="宋体"/>
          <w:kern w:val="0"/>
          <w:sz w:val="21"/>
          <w:szCs w:val="21"/>
        </w:rPr>
        <w:t>2.4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境外投资顾问和境外资产托管人</w:t>
      </w:r>
      <w:bookmarkEnd w:id="43"/>
      <w:bookmarkEnd w:id="44"/>
      <w:bookmarkEnd w:id="45"/>
      <w:bookmarkEnd w:id="46"/>
      <w:bookmarkEnd w:id="47"/>
      <w:bookmarkEnd w:id="48"/>
      <w:bookmarkEnd w:id="49"/>
      <w:bookmarkEnd w:id="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项目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境外投资顾问</w:t>
            </w:r>
          </w:p>
        </w:tc>
        <w:tc>
          <w:tcPr>
            <w:tcW w:w="3600" w:type="dxa"/>
            <w:vAlign w:val="center"/>
          </w:tcPr>
          <w:p w:rsidR="008A5A5D" w:rsidRPr="00C24ACA" w:rsidRDefault="008A5A5D" w:rsidP="004B68EC">
            <w:pPr>
              <w:spacing w:line="360" w:lineRule="auto"/>
              <w:jc w:val="center"/>
              <w:rPr>
                <w:rFonts w:eastAsiaTheme="minorEastAsia"/>
                <w:szCs w:val="21"/>
              </w:rPr>
            </w:pPr>
            <w:r w:rsidRPr="00C24ACA">
              <w:rPr>
                <w:rFonts w:eastAsiaTheme="minorEastAsia"/>
                <w:kern w:val="0"/>
                <w:szCs w:val="21"/>
              </w:rPr>
              <w:t>境外资产托管人</w:t>
            </w:r>
          </w:p>
        </w:tc>
      </w:tr>
      <w:tr w:rsidR="008A5A5D" w:rsidRPr="00C24ACA" w:rsidTr="004B68EC">
        <w:trPr>
          <w:trHeight w:val="370"/>
        </w:trPr>
        <w:tc>
          <w:tcPr>
            <w:tcW w:w="900" w:type="dxa"/>
            <w:vMerge w:val="restart"/>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名称</w:t>
            </w: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英文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The Hongkong and Shanghai Banking Corporation Limited</w:t>
            </w:r>
          </w:p>
        </w:tc>
      </w:tr>
      <w:tr w:rsidR="008A5A5D" w:rsidRPr="00C24ACA" w:rsidTr="004B68EC">
        <w:trPr>
          <w:trHeight w:val="335"/>
        </w:trPr>
        <w:tc>
          <w:tcPr>
            <w:tcW w:w="900" w:type="dxa"/>
            <w:vMerge/>
            <w:vAlign w:val="center"/>
          </w:tcPr>
          <w:p w:rsidR="008A5A5D" w:rsidRPr="00C24ACA" w:rsidRDefault="008A5A5D" w:rsidP="004B68EC">
            <w:pPr>
              <w:jc w:val="center"/>
              <w:rPr>
                <w:rFonts w:eastAsiaTheme="minorEastAsia"/>
                <w:color w:val="000000"/>
                <w:szCs w:val="21"/>
              </w:rPr>
            </w:pPr>
          </w:p>
        </w:tc>
        <w:tc>
          <w:tcPr>
            <w:tcW w:w="900" w:type="dxa"/>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中文</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香港上海汇丰银行有限公司</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注册地址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香港皇后大道中一号</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办公地址</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香港九龙深旺道</w:t>
            </w:r>
            <w:r w:rsidRPr="00C24ACA">
              <w:rPr>
                <w:rFonts w:eastAsiaTheme="minorEastAsia"/>
                <w:szCs w:val="21"/>
              </w:rPr>
              <w:t>1</w:t>
            </w:r>
            <w:r w:rsidRPr="00C24ACA">
              <w:rPr>
                <w:rFonts w:eastAsiaTheme="minorEastAsia"/>
                <w:szCs w:val="21"/>
              </w:rPr>
              <w:t>号汇丰中心</w:t>
            </w:r>
            <w:r w:rsidRPr="00C24ACA">
              <w:rPr>
                <w:rFonts w:eastAsiaTheme="minorEastAsia"/>
                <w:szCs w:val="21"/>
              </w:rPr>
              <w:t>1</w:t>
            </w:r>
            <w:r w:rsidRPr="00C24ACA">
              <w:rPr>
                <w:rFonts w:eastAsiaTheme="minorEastAsia"/>
                <w:szCs w:val="21"/>
              </w:rPr>
              <w:t>座</w:t>
            </w:r>
            <w:r w:rsidRPr="00C24ACA">
              <w:rPr>
                <w:rFonts w:eastAsiaTheme="minorEastAsia"/>
                <w:szCs w:val="21"/>
              </w:rPr>
              <w:t>6</w:t>
            </w:r>
            <w:r w:rsidRPr="00C24ACA">
              <w:rPr>
                <w:rFonts w:eastAsiaTheme="minorEastAsia"/>
                <w:szCs w:val="21"/>
              </w:rPr>
              <w:t>楼</w:t>
            </w:r>
          </w:p>
        </w:tc>
      </w:tr>
      <w:tr w:rsidR="008A5A5D" w:rsidRPr="00C24ACA" w:rsidTr="004B68EC">
        <w:tc>
          <w:tcPr>
            <w:tcW w:w="1800" w:type="dxa"/>
            <w:gridSpan w:val="2"/>
            <w:vAlign w:val="center"/>
          </w:tcPr>
          <w:p w:rsidR="008A5A5D" w:rsidRPr="00C24ACA" w:rsidRDefault="008A5A5D" w:rsidP="004B68EC">
            <w:pPr>
              <w:jc w:val="center"/>
              <w:rPr>
                <w:rFonts w:eastAsiaTheme="minorEastAsia"/>
                <w:color w:val="000000"/>
                <w:szCs w:val="21"/>
              </w:rPr>
            </w:pPr>
            <w:r w:rsidRPr="00C24ACA">
              <w:rPr>
                <w:rFonts w:eastAsiaTheme="minorEastAsia"/>
                <w:color w:val="000000"/>
                <w:szCs w:val="21"/>
              </w:rPr>
              <w:t>邮政编码</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c>
          <w:tcPr>
            <w:tcW w:w="3600" w:type="dxa"/>
            <w:vAlign w:val="bottom"/>
          </w:tcPr>
          <w:p w:rsidR="008A5A5D" w:rsidRPr="00C24ACA" w:rsidRDefault="008A5A5D">
            <w:pPr>
              <w:rPr>
                <w:rFonts w:eastAsiaTheme="minorEastAsia"/>
                <w:szCs w:val="21"/>
              </w:rPr>
            </w:pPr>
            <w:r w:rsidRPr="00C24ACA">
              <w:rPr>
                <w:rFonts w:eastAsiaTheme="minorEastAsia"/>
                <w:szCs w:val="21"/>
              </w:rPr>
              <w:t>无</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1" w:name="_Toc225498248"/>
      <w:bookmarkStart w:id="52" w:name="_Toc352255965"/>
      <w:bookmarkStart w:id="53" w:name="_Toc352256033"/>
      <w:bookmarkStart w:id="54" w:name="_Toc352331211"/>
      <w:bookmarkStart w:id="55" w:name="_Toc390164797"/>
      <w:bookmarkStart w:id="56" w:name="_Toc48660277"/>
      <w:r w:rsidRPr="0087359D">
        <w:rPr>
          <w:rFonts w:ascii="宋体" w:hAnsi="宋体"/>
          <w:kern w:val="0"/>
          <w:sz w:val="21"/>
          <w:szCs w:val="21"/>
        </w:rPr>
        <w:t>2.5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信息披露方式</w:t>
      </w:r>
      <w:bookmarkEnd w:id="51"/>
      <w:bookmarkEnd w:id="52"/>
      <w:bookmarkEnd w:id="53"/>
      <w:bookmarkEnd w:id="54"/>
      <w:bookmarkEnd w:id="55"/>
      <w:bookmarkEnd w:id="5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本基金选定的信息披露报纸名称</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中国证券报</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登载基金</w:t>
            </w:r>
            <w:r w:rsidR="00A85FA3">
              <w:rPr>
                <w:rFonts w:eastAsiaTheme="minorEastAsia"/>
                <w:color w:val="000000"/>
                <w:szCs w:val="21"/>
              </w:rPr>
              <w:t>中期</w:t>
            </w:r>
            <w:r w:rsidRPr="00C24ACA">
              <w:rPr>
                <w:rFonts w:eastAsiaTheme="minorEastAsia"/>
                <w:color w:val="000000"/>
                <w:szCs w:val="21"/>
              </w:rPr>
              <w:t>报告正文的管理人互联网网址</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http://www.efunds.com.cn</w:t>
            </w:r>
          </w:p>
        </w:tc>
      </w:tr>
      <w:tr w:rsidR="008A5A5D" w:rsidRPr="00C24ACA" w:rsidTr="00CD0D09">
        <w:tc>
          <w:tcPr>
            <w:tcW w:w="482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基金</w:t>
            </w:r>
            <w:r w:rsidR="00A85FA3">
              <w:rPr>
                <w:rFonts w:eastAsiaTheme="minorEastAsia"/>
                <w:color w:val="000000"/>
                <w:szCs w:val="21"/>
              </w:rPr>
              <w:t>中期</w:t>
            </w:r>
            <w:r w:rsidRPr="00C24ACA">
              <w:rPr>
                <w:rFonts w:eastAsiaTheme="minorEastAsia"/>
                <w:color w:val="000000"/>
                <w:szCs w:val="21"/>
              </w:rPr>
              <w:t>报告备置地点</w:t>
            </w:r>
          </w:p>
        </w:tc>
        <w:tc>
          <w:tcPr>
            <w:tcW w:w="4180" w:type="dxa"/>
            <w:vAlign w:val="center"/>
          </w:tcPr>
          <w:p w:rsidR="008A5A5D" w:rsidRPr="00C24ACA" w:rsidRDefault="008A5A5D" w:rsidP="00CD0D09">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43</w:t>
            </w:r>
            <w:r w:rsidRPr="00C24ACA">
              <w:rPr>
                <w:rFonts w:eastAsiaTheme="minorEastAsia"/>
                <w:color w:val="000000"/>
                <w:szCs w:val="21"/>
              </w:rPr>
              <w:t>楼</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57" w:name="_Toc225498249"/>
      <w:bookmarkStart w:id="58" w:name="_Toc352255966"/>
      <w:bookmarkStart w:id="59" w:name="_Toc352256034"/>
      <w:bookmarkStart w:id="60" w:name="_Toc352331212"/>
      <w:bookmarkStart w:id="61" w:name="_Toc390164798"/>
      <w:bookmarkStart w:id="62" w:name="_Toc48660278"/>
      <w:r w:rsidRPr="0087359D">
        <w:rPr>
          <w:rFonts w:ascii="宋体" w:hAnsi="宋体"/>
          <w:kern w:val="0"/>
          <w:sz w:val="21"/>
          <w:szCs w:val="21"/>
        </w:rPr>
        <w:t>2.6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其他相关资料</w:t>
      </w:r>
      <w:bookmarkEnd w:id="57"/>
      <w:bookmarkEnd w:id="58"/>
      <w:bookmarkEnd w:id="59"/>
      <w:bookmarkEnd w:id="60"/>
      <w:bookmarkEnd w:id="61"/>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8A5A5D" w:rsidRPr="00C24ACA" w:rsidTr="00862636">
        <w:tc>
          <w:tcPr>
            <w:tcW w:w="1951"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项目</w:t>
            </w:r>
          </w:p>
        </w:tc>
        <w:tc>
          <w:tcPr>
            <w:tcW w:w="3260"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名称</w:t>
            </w:r>
          </w:p>
        </w:tc>
        <w:tc>
          <w:tcPr>
            <w:tcW w:w="4075" w:type="dxa"/>
          </w:tcPr>
          <w:p w:rsidR="008A5A5D" w:rsidRPr="00C24ACA" w:rsidRDefault="008A5A5D" w:rsidP="00EC549A">
            <w:pPr>
              <w:tabs>
                <w:tab w:val="left" w:pos="1740"/>
              </w:tabs>
              <w:jc w:val="center"/>
              <w:rPr>
                <w:rFonts w:eastAsiaTheme="minorEastAsia"/>
                <w:color w:val="000000"/>
                <w:szCs w:val="21"/>
              </w:rPr>
            </w:pPr>
            <w:r w:rsidRPr="00C24ACA">
              <w:rPr>
                <w:rFonts w:eastAsiaTheme="minorEastAsia"/>
                <w:color w:val="000000"/>
                <w:szCs w:val="21"/>
              </w:rPr>
              <w:t>办公地址</w:t>
            </w:r>
          </w:p>
        </w:tc>
      </w:tr>
      <w:tr w:rsidR="008A5A5D" w:rsidRPr="00C24ACA" w:rsidTr="00862636">
        <w:tc>
          <w:tcPr>
            <w:tcW w:w="1951" w:type="dxa"/>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注册登记机构</w:t>
            </w:r>
          </w:p>
        </w:tc>
        <w:tc>
          <w:tcPr>
            <w:tcW w:w="3260" w:type="dxa"/>
            <w:vAlign w:val="bottom"/>
          </w:tcPr>
          <w:p w:rsidR="008A5A5D" w:rsidRPr="00C24ACA" w:rsidRDefault="008A5A5D" w:rsidP="00EC549A">
            <w:pPr>
              <w:tabs>
                <w:tab w:val="left" w:pos="1740"/>
              </w:tabs>
              <w:jc w:val="left"/>
              <w:rPr>
                <w:rFonts w:eastAsiaTheme="minorEastAsia"/>
                <w:color w:val="000000"/>
                <w:szCs w:val="21"/>
              </w:rPr>
            </w:pPr>
            <w:r w:rsidRPr="00C24ACA">
              <w:rPr>
                <w:rFonts w:eastAsiaTheme="minorEastAsia"/>
                <w:color w:val="000000"/>
                <w:szCs w:val="21"/>
              </w:rPr>
              <w:t>易方达基金管理有限公司</w:t>
            </w:r>
          </w:p>
        </w:tc>
        <w:tc>
          <w:tcPr>
            <w:tcW w:w="4075" w:type="dxa"/>
            <w:vAlign w:val="bottom"/>
          </w:tcPr>
          <w:p w:rsidR="008A5A5D" w:rsidRPr="00C24ACA" w:rsidRDefault="008A5A5D">
            <w:pPr>
              <w:tabs>
                <w:tab w:val="left" w:pos="1740"/>
              </w:tabs>
              <w:rPr>
                <w:rFonts w:eastAsiaTheme="minorEastAsia"/>
                <w:color w:val="000000"/>
                <w:szCs w:val="21"/>
              </w:rPr>
            </w:pPr>
            <w:r w:rsidRPr="00C24ACA">
              <w:rPr>
                <w:rFonts w:eastAsiaTheme="minorEastAsia"/>
                <w:color w:val="000000"/>
                <w:szCs w:val="21"/>
              </w:rPr>
              <w:t>广州市天河区珠江新城珠江东路</w:t>
            </w:r>
            <w:r w:rsidRPr="00C24ACA">
              <w:rPr>
                <w:rFonts w:eastAsiaTheme="minorEastAsia"/>
                <w:color w:val="000000"/>
                <w:szCs w:val="21"/>
              </w:rPr>
              <w:t>30</w:t>
            </w:r>
            <w:r w:rsidRPr="00C24ACA">
              <w:rPr>
                <w:rFonts w:eastAsiaTheme="minorEastAsia"/>
                <w:color w:val="000000"/>
                <w:szCs w:val="21"/>
              </w:rPr>
              <w:t>号广州银行大厦</w:t>
            </w:r>
            <w:r w:rsidRPr="00C24ACA">
              <w:rPr>
                <w:rFonts w:eastAsiaTheme="minorEastAsia"/>
                <w:color w:val="000000"/>
                <w:szCs w:val="21"/>
              </w:rPr>
              <w:t>40-43</w:t>
            </w:r>
            <w:r w:rsidRPr="00C24ACA">
              <w:rPr>
                <w:rFonts w:eastAsiaTheme="minorEastAsia"/>
                <w:color w:val="000000"/>
                <w:szCs w:val="21"/>
              </w:rPr>
              <w:t>楼</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63" w:name="_Toc352255967"/>
      <w:bookmarkStart w:id="64" w:name="_Toc352256035"/>
      <w:bookmarkStart w:id="65" w:name="_Toc352331213"/>
      <w:bookmarkStart w:id="66" w:name="_Toc390164799"/>
      <w:bookmarkStart w:id="67" w:name="_Toc48660279"/>
      <w:r w:rsidRPr="000C6CCD">
        <w:rPr>
          <w:rFonts w:ascii="宋体" w:hAnsi="宋体"/>
          <w:bCs w:val="0"/>
          <w:color w:val="000000"/>
          <w:sz w:val="21"/>
          <w:szCs w:val="21"/>
        </w:rPr>
        <w:t>3</w:t>
      </w:r>
      <w:r w:rsidR="00643DBD">
        <w:rPr>
          <w:rFonts w:ascii="Times New Roman" w:hAnsi="Times New Roman"/>
          <w:bCs w:val="0"/>
          <w:color w:val="000000"/>
          <w:sz w:val="21"/>
          <w:szCs w:val="21"/>
        </w:rPr>
        <w:t xml:space="preserve">     </w:t>
      </w:r>
      <w:r w:rsidR="004C753B" w:rsidRPr="00A432E9">
        <w:rPr>
          <w:rFonts w:ascii="Times New Roman" w:hAnsi="Times New Roman"/>
          <w:bCs w:val="0"/>
          <w:color w:val="000000"/>
          <w:sz w:val="21"/>
          <w:szCs w:val="21"/>
        </w:rPr>
        <w:t>主要财务指标和</w:t>
      </w:r>
      <w:r w:rsidRPr="00A432E9">
        <w:rPr>
          <w:rFonts w:ascii="Times New Roman" w:hAnsi="Times New Roman"/>
          <w:bCs w:val="0"/>
          <w:color w:val="000000"/>
          <w:sz w:val="21"/>
          <w:szCs w:val="21"/>
        </w:rPr>
        <w:t>基金净值表现</w:t>
      </w:r>
      <w:bookmarkEnd w:id="63"/>
      <w:bookmarkEnd w:id="64"/>
      <w:bookmarkEnd w:id="65"/>
      <w:bookmarkEnd w:id="66"/>
      <w:bookmarkEnd w:id="67"/>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68" w:name="_Toc286996129"/>
      <w:bookmarkStart w:id="69" w:name="_Toc352255968"/>
      <w:bookmarkStart w:id="70" w:name="_Toc352256036"/>
      <w:bookmarkStart w:id="71" w:name="_Toc352331214"/>
      <w:bookmarkStart w:id="72" w:name="_Toc390164800"/>
      <w:bookmarkStart w:id="73" w:name="_Toc48660280"/>
      <w:r w:rsidRPr="0087359D">
        <w:rPr>
          <w:rFonts w:ascii="宋体" w:hAnsi="宋体"/>
          <w:kern w:val="0"/>
          <w:sz w:val="21"/>
          <w:szCs w:val="21"/>
        </w:rPr>
        <w:t>3.1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主要会计数据和财务指标</w:t>
      </w:r>
      <w:bookmarkEnd w:id="68"/>
      <w:bookmarkEnd w:id="69"/>
      <w:bookmarkEnd w:id="70"/>
      <w:bookmarkEnd w:id="71"/>
      <w:bookmarkEnd w:id="72"/>
      <w:bookmarkEnd w:id="73"/>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金额单位：人民币元</w:t>
      </w:r>
    </w:p>
    <w:tbl>
      <w:tblPr>
        <w:tblW w:w="93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D2230" w:rsidRPr="00C24ACA" w:rsidTr="005C3575">
        <w:trPr>
          <w:trHeight w:val="487"/>
        </w:trPr>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3.1.1</w:t>
            </w:r>
            <w:r w:rsidRPr="00C24ACA">
              <w:rPr>
                <w:rFonts w:eastAsiaTheme="minorEastAsia"/>
                <w:b/>
                <w:color w:val="000000"/>
                <w:szCs w:val="21"/>
              </w:rPr>
              <w:t>期间数据和指标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w:t>
            </w:r>
            <w:r w:rsidRPr="00C24ACA">
              <w:rPr>
                <w:rFonts w:eastAsiaTheme="minorEastAsia"/>
                <w:b/>
                <w:szCs w:val="21"/>
              </w:rPr>
              <w:t>2020</w:t>
            </w:r>
            <w:r w:rsidRPr="00C24ACA">
              <w:rPr>
                <w:rFonts w:eastAsiaTheme="minorEastAsia"/>
                <w:b/>
                <w:szCs w:val="21"/>
              </w:rPr>
              <w:t>年</w:t>
            </w:r>
            <w:r w:rsidRPr="00C24ACA">
              <w:rPr>
                <w:rFonts w:eastAsiaTheme="minorEastAsia"/>
                <w:b/>
                <w:szCs w:val="21"/>
              </w:rPr>
              <w:t>4</w:t>
            </w:r>
            <w:r w:rsidRPr="00C24ACA">
              <w:rPr>
                <w:rFonts w:eastAsiaTheme="minorEastAsia"/>
                <w:b/>
                <w:szCs w:val="21"/>
              </w:rPr>
              <w:t>月</w:t>
            </w:r>
            <w:r w:rsidRPr="00C24ACA">
              <w:rPr>
                <w:rFonts w:eastAsiaTheme="minorEastAsia"/>
                <w:b/>
                <w:szCs w:val="21"/>
              </w:rPr>
              <w:t>24</w:t>
            </w:r>
            <w:r w:rsidRPr="00C24ACA">
              <w:rPr>
                <w:rFonts w:eastAsiaTheme="minorEastAsia"/>
                <w:b/>
                <w:szCs w:val="21"/>
              </w:rPr>
              <w:t>日（基金合同生效日）至</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p>
        </w:tc>
      </w:tr>
      <w:tr w:rsidR="001D2230" w:rsidRPr="00C24ACA" w:rsidTr="005C3575">
        <w:trPr>
          <w:trHeight w:val="487"/>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本期已实现收益</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-2,866.79</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11,110.81</w:t>
            </w:r>
          </w:p>
        </w:tc>
      </w:tr>
      <w:tr w:rsidR="001D2230" w:rsidRPr="00C24ACA" w:rsidTr="005C3575">
        <w:trPr>
          <w:trHeight w:val="754"/>
        </w:trPr>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124,445.02</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112,541.54</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加权平均基金份额本期利润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0.0087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0.0011</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本期加权平均净值利润率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0.87%</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0.11%</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本期基金份额净值增长率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0.97%</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3.1.2</w:t>
            </w:r>
            <w:r w:rsidRPr="00C24ACA">
              <w:rPr>
                <w:rFonts w:eastAsiaTheme="minorEastAsia"/>
                <w:b/>
                <w:color w:val="000000"/>
                <w:szCs w:val="21"/>
              </w:rPr>
              <w:t>期末数据和指标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rPr>
          <w:trHeight w:val="373"/>
        </w:trPr>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易方达中证浙江新动能</w:t>
            </w:r>
            <w:r w:rsidRPr="00C24ACA">
              <w:rPr>
                <w:rFonts w:eastAsiaTheme="minorEastAsia"/>
                <w:color w:val="000000"/>
                <w:szCs w:val="21"/>
              </w:rPr>
              <w:t>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c>
          <w:tcPr>
            <w:tcW w:w="2558" w:type="dxa"/>
            <w:vAlign w:val="center"/>
          </w:tcPr>
          <w:p w:rsidR="001D2230" w:rsidRPr="00C24ACA" w:rsidRDefault="001D2230" w:rsidP="001D2230">
            <w:pPr>
              <w:ind w:leftChars="-51" w:left="-107" w:rightChars="-51" w:right="-107"/>
              <w:jc w:val="center"/>
              <w:rPr>
                <w:rFonts w:eastAsiaTheme="minorEastAsia"/>
                <w:color w:val="000000"/>
                <w:szCs w:val="21"/>
              </w:rPr>
            </w:pPr>
            <w:r w:rsidRPr="00C24ACA">
              <w:rPr>
                <w:rFonts w:eastAsiaTheme="minorEastAsia"/>
                <w:color w:val="000000"/>
                <w:szCs w:val="21"/>
              </w:rPr>
              <w:t>易方达中证浙江新动能</w:t>
            </w:r>
            <w:r w:rsidRPr="00C24ACA">
              <w:rPr>
                <w:rFonts w:eastAsiaTheme="minorEastAsia"/>
                <w:color w:val="000000"/>
                <w:szCs w:val="21"/>
              </w:rPr>
              <w:t>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-3,115.53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-2,658.20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期末可供分配基金份额利润</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-0.0003</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-0.0005</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期末基金资产净值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11,625,235.51</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5,362,486.50</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期末基金份额净值</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1.0100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1.0097</w:t>
            </w:r>
          </w:p>
        </w:tc>
      </w:tr>
      <w:tr w:rsidR="001D2230" w:rsidRPr="00C24ACA" w:rsidTr="005C3575">
        <w:tc>
          <w:tcPr>
            <w:tcW w:w="4404" w:type="dxa"/>
            <w:vMerge w:val="restart"/>
            <w:vAlign w:val="center"/>
          </w:tcPr>
          <w:p w:rsidR="001D2230" w:rsidRPr="00C24ACA" w:rsidRDefault="001D2230" w:rsidP="001D2230">
            <w:pPr>
              <w:ind w:leftChars="-51" w:left="-107" w:rightChars="-51" w:right="-107"/>
              <w:rPr>
                <w:rFonts w:eastAsiaTheme="minorEastAsia"/>
                <w:b/>
                <w:color w:val="000000"/>
                <w:szCs w:val="21"/>
              </w:rPr>
            </w:pPr>
            <w:r w:rsidRPr="00C24ACA">
              <w:rPr>
                <w:rFonts w:eastAsiaTheme="minorEastAsia"/>
                <w:b/>
                <w:color w:val="000000"/>
                <w:szCs w:val="21"/>
              </w:rPr>
              <w:t>3.1.3</w:t>
            </w:r>
            <w:r w:rsidRPr="00C24ACA">
              <w:rPr>
                <w:rFonts w:eastAsiaTheme="minorEastAsia"/>
                <w:b/>
                <w:color w:val="000000"/>
                <w:szCs w:val="21"/>
              </w:rPr>
              <w:t>累计期末指标</w:t>
            </w:r>
          </w:p>
        </w:tc>
        <w:tc>
          <w:tcPr>
            <w:tcW w:w="4968" w:type="dxa"/>
            <w:gridSpan w:val="2"/>
            <w:vAlign w:val="center"/>
          </w:tcPr>
          <w:p w:rsidR="001D2230" w:rsidRPr="00C24ACA" w:rsidRDefault="001D2230" w:rsidP="001D2230">
            <w:pPr>
              <w:jc w:val="center"/>
              <w:rPr>
                <w:rFonts w:eastAsiaTheme="minorEastAsia"/>
                <w:b/>
                <w:szCs w:val="21"/>
              </w:rPr>
            </w:pPr>
            <w:r w:rsidRPr="00C24ACA">
              <w:rPr>
                <w:rFonts w:eastAsiaTheme="minorEastAsia"/>
                <w:b/>
                <w:szCs w:val="21"/>
              </w:rPr>
              <w:t>报告期末</w:t>
            </w:r>
            <w:r w:rsidRPr="00C24ACA">
              <w:rPr>
                <w:rFonts w:eastAsiaTheme="minorEastAsia"/>
                <w:b/>
                <w:szCs w:val="21"/>
              </w:rPr>
              <w:t>(2020</w:t>
            </w:r>
            <w:r w:rsidRPr="00C24ACA">
              <w:rPr>
                <w:rFonts w:eastAsiaTheme="minorEastAsia"/>
                <w:b/>
                <w:szCs w:val="21"/>
              </w:rPr>
              <w:t>年</w:t>
            </w:r>
            <w:r w:rsidRPr="00C24ACA">
              <w:rPr>
                <w:rFonts w:eastAsiaTheme="minorEastAsia"/>
                <w:b/>
                <w:szCs w:val="21"/>
              </w:rPr>
              <w:t>6</w:t>
            </w:r>
            <w:r w:rsidRPr="00C24ACA">
              <w:rPr>
                <w:rFonts w:eastAsiaTheme="minorEastAsia"/>
                <w:b/>
                <w:szCs w:val="21"/>
              </w:rPr>
              <w:t>月</w:t>
            </w:r>
            <w:r w:rsidRPr="00C24ACA">
              <w:rPr>
                <w:rFonts w:eastAsiaTheme="minorEastAsia"/>
                <w:b/>
                <w:szCs w:val="21"/>
              </w:rPr>
              <w:t>30</w:t>
            </w:r>
            <w:r w:rsidRPr="00C24ACA">
              <w:rPr>
                <w:rFonts w:eastAsiaTheme="minorEastAsia"/>
                <w:b/>
                <w:szCs w:val="21"/>
              </w:rPr>
              <w:t>日</w:t>
            </w:r>
            <w:r w:rsidRPr="00C24ACA">
              <w:rPr>
                <w:rFonts w:eastAsiaTheme="minorEastAsia"/>
                <w:b/>
                <w:szCs w:val="21"/>
              </w:rPr>
              <w:t>)</w:t>
            </w:r>
          </w:p>
        </w:tc>
      </w:tr>
      <w:tr w:rsidR="001D2230" w:rsidRPr="00C24ACA" w:rsidTr="005C3575">
        <w:tc>
          <w:tcPr>
            <w:tcW w:w="4404" w:type="dxa"/>
            <w:vMerge/>
            <w:vAlign w:val="center"/>
          </w:tcPr>
          <w:p w:rsidR="001D2230" w:rsidRPr="00C24ACA" w:rsidRDefault="001D2230" w:rsidP="001D2230">
            <w:pPr>
              <w:widowControl/>
              <w:jc w:val="left"/>
              <w:rPr>
                <w:rFonts w:eastAsiaTheme="minorEastAsia"/>
                <w:b/>
                <w:color w:val="000000"/>
                <w:szCs w:val="21"/>
              </w:rPr>
            </w:pPr>
          </w:p>
        </w:tc>
        <w:tc>
          <w:tcPr>
            <w:tcW w:w="2410"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558" w:type="dxa"/>
            <w:vAlign w:val="center"/>
          </w:tcPr>
          <w:p w:rsidR="001D2230" w:rsidRPr="00C24ACA" w:rsidRDefault="001D2230" w:rsidP="001D2230">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1D2230" w:rsidRPr="00C24ACA" w:rsidTr="005C3575">
        <w:tc>
          <w:tcPr>
            <w:tcW w:w="4404" w:type="dxa"/>
            <w:vAlign w:val="center"/>
          </w:tcPr>
          <w:p w:rsidR="001D2230" w:rsidRPr="00C24ACA" w:rsidRDefault="001D2230" w:rsidP="001D2230">
            <w:pPr>
              <w:rPr>
                <w:rFonts w:eastAsiaTheme="minorEastAsia"/>
                <w:szCs w:val="21"/>
              </w:rPr>
            </w:pPr>
            <w:r w:rsidRPr="00C24ACA">
              <w:rPr>
                <w:rFonts w:eastAsiaTheme="minorEastAsia"/>
                <w:szCs w:val="21"/>
              </w:rPr>
              <w:t>基金份额累计净值增长率</w:t>
            </w:r>
          </w:p>
        </w:tc>
        <w:tc>
          <w:tcPr>
            <w:tcW w:w="2410" w:type="dxa"/>
            <w:vAlign w:val="center"/>
          </w:tcPr>
          <w:p w:rsidR="001D2230" w:rsidRPr="00C24ACA" w:rsidRDefault="001D2230" w:rsidP="001D2230">
            <w:pPr>
              <w:jc w:val="right"/>
              <w:rPr>
                <w:rFonts w:eastAsiaTheme="minorEastAsia"/>
                <w:szCs w:val="21"/>
              </w:rPr>
            </w:pPr>
            <w:r w:rsidRPr="00C24ACA">
              <w:rPr>
                <w:rFonts w:eastAsiaTheme="minorEastAsia"/>
                <w:szCs w:val="21"/>
              </w:rPr>
              <w:t>1.00%</w:t>
            </w:r>
          </w:p>
        </w:tc>
        <w:tc>
          <w:tcPr>
            <w:tcW w:w="2558" w:type="dxa"/>
            <w:vAlign w:val="center"/>
          </w:tcPr>
          <w:p w:rsidR="001D2230" w:rsidRPr="00C24ACA" w:rsidRDefault="001D2230" w:rsidP="001D2230">
            <w:pPr>
              <w:jc w:val="right"/>
              <w:rPr>
                <w:rFonts w:eastAsiaTheme="minorEastAsia"/>
                <w:szCs w:val="21"/>
              </w:rPr>
            </w:pPr>
            <w:r w:rsidRPr="00C24ACA">
              <w:rPr>
                <w:rFonts w:eastAsiaTheme="minorEastAsia"/>
                <w:szCs w:val="21"/>
              </w:rPr>
              <w:t>0.97%</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所述基金业绩指标不包括持有人认购或交易基金的各项费用，计入费用后实际收益水平要低于所列数字。</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本期已实现收益指基金本期利息收入、投资收益、其他收入（不含公允价值变动收益）扣除相关费用后的余额，本期利润为本期已实现收益加上本期公允价值变动收益。</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期末可供分配利润，为期末资产负债表中未分配利润与未分配利润中已实现部分的孰低数。</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4.</w:t>
      </w:r>
      <w:r w:rsidRPr="00C24ACA">
        <w:rPr>
          <w:rFonts w:eastAsiaTheme="minorEastAsia"/>
          <w:kern w:val="0"/>
          <w:szCs w:val="21"/>
        </w:rPr>
        <w:t>本基金合同于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日生效，合同生效当期的相关数据和指标按实际存续期计算。</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74" w:name="_Toc225498252"/>
      <w:bookmarkStart w:id="75" w:name="_Toc352255969"/>
      <w:bookmarkStart w:id="76" w:name="_Toc352256037"/>
      <w:bookmarkStart w:id="77" w:name="_Toc352331215"/>
      <w:bookmarkStart w:id="78" w:name="_Toc390164801"/>
      <w:bookmarkStart w:id="79" w:name="_Toc48660281"/>
      <w:r w:rsidRPr="0087359D">
        <w:rPr>
          <w:rFonts w:ascii="宋体" w:hAnsi="宋体"/>
          <w:kern w:val="0"/>
          <w:sz w:val="21"/>
          <w:szCs w:val="21"/>
        </w:rPr>
        <w:t>3.2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基金净值表现</w:t>
      </w:r>
      <w:bookmarkEnd w:id="74"/>
      <w:bookmarkEnd w:id="75"/>
      <w:bookmarkEnd w:id="76"/>
      <w:bookmarkEnd w:id="77"/>
      <w:bookmarkEnd w:id="78"/>
      <w:bookmarkEnd w:id="79"/>
    </w:p>
    <w:p w:rsidR="008A5A5D" w:rsidRPr="00C24ACA" w:rsidRDefault="008A5A5D" w:rsidP="00635EA5">
      <w:pPr>
        <w:autoSpaceDE w:val="0"/>
        <w:autoSpaceDN w:val="0"/>
        <w:adjustRightInd w:val="0"/>
        <w:spacing w:line="360" w:lineRule="auto"/>
        <w:jc w:val="left"/>
        <w:rPr>
          <w:rFonts w:eastAsiaTheme="minorEastAsia"/>
          <w:b/>
          <w:color w:val="000000"/>
          <w:kern w:val="0"/>
          <w:szCs w:val="21"/>
        </w:rPr>
      </w:pPr>
      <w:r w:rsidRPr="00C24ACA">
        <w:rPr>
          <w:rFonts w:eastAsiaTheme="minorEastAsia"/>
          <w:b/>
          <w:color w:val="000000"/>
          <w:kern w:val="0"/>
          <w:szCs w:val="21"/>
        </w:rPr>
        <w:t xml:space="preserve">3.2.1 </w:t>
      </w:r>
      <w:r w:rsidRPr="00C24ACA">
        <w:rPr>
          <w:rFonts w:eastAsiaTheme="minorEastAsia"/>
          <w:b/>
          <w:color w:val="000000"/>
          <w:kern w:val="0"/>
          <w:szCs w:val="21"/>
        </w:rPr>
        <w:t>基金份额净值增长率及其与同期业绩比较基准收益率的比较</w:t>
      </w:r>
    </w:p>
    <w:p w:rsidR="00FC6E91" w:rsidRPr="00C24ACA" w:rsidRDefault="00FC6E91" w:rsidP="00FC6E91">
      <w:pPr>
        <w:pStyle w:val="21"/>
        <w:spacing w:line="360"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易方达中证浙江新动能</w:t>
      </w:r>
      <w:r w:rsidRPr="00C24ACA">
        <w:rPr>
          <w:rFonts w:ascii="Times New Roman" w:eastAsiaTheme="minorEastAsia" w:hAnsi="Times New Roman"/>
          <w:color w:val="auto"/>
          <w:sz w:val="21"/>
          <w:szCs w:val="21"/>
        </w:rPr>
        <w:t>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0265E6">
        <w:tc>
          <w:tcPr>
            <w:tcW w:w="1620" w:type="dxa"/>
            <w:vAlign w:val="center"/>
          </w:tcPr>
          <w:p w:rsidR="000265E6" w:rsidRDefault="004D56B3">
            <w:pPr>
              <w:jc w:val="left"/>
            </w:pPr>
            <w:r>
              <w:rPr>
                <w:rFonts w:eastAsiaTheme="minorEastAsia"/>
                <w:color w:val="000000"/>
                <w:szCs w:val="21"/>
              </w:rPr>
              <w:t>过去一个月</w:t>
            </w:r>
          </w:p>
        </w:tc>
        <w:tc>
          <w:tcPr>
            <w:tcW w:w="1350" w:type="dxa"/>
            <w:vAlign w:val="center"/>
          </w:tcPr>
          <w:p w:rsidR="000265E6" w:rsidRDefault="004D56B3">
            <w:pPr>
              <w:jc w:val="center"/>
            </w:pPr>
            <w:r>
              <w:rPr>
                <w:rFonts w:eastAsiaTheme="minorEastAsia"/>
                <w:color w:val="000000"/>
                <w:szCs w:val="21"/>
              </w:rPr>
              <w:t>0.93%</w:t>
            </w:r>
          </w:p>
        </w:tc>
        <w:tc>
          <w:tcPr>
            <w:tcW w:w="1350" w:type="dxa"/>
            <w:vAlign w:val="center"/>
          </w:tcPr>
          <w:p w:rsidR="000265E6" w:rsidRDefault="004D56B3">
            <w:pPr>
              <w:jc w:val="center"/>
            </w:pPr>
            <w:r>
              <w:rPr>
                <w:rFonts w:eastAsiaTheme="minorEastAsia"/>
                <w:color w:val="000000"/>
                <w:szCs w:val="21"/>
              </w:rPr>
              <w:t>0.11%</w:t>
            </w:r>
          </w:p>
        </w:tc>
        <w:tc>
          <w:tcPr>
            <w:tcW w:w="1350" w:type="dxa"/>
            <w:vAlign w:val="center"/>
          </w:tcPr>
          <w:p w:rsidR="000265E6" w:rsidRDefault="004D56B3">
            <w:pPr>
              <w:jc w:val="center"/>
            </w:pPr>
            <w:r>
              <w:rPr>
                <w:rFonts w:eastAsiaTheme="minorEastAsia"/>
                <w:color w:val="000000"/>
                <w:szCs w:val="21"/>
              </w:rPr>
              <w:t>10.34%</w:t>
            </w:r>
          </w:p>
        </w:tc>
        <w:tc>
          <w:tcPr>
            <w:tcW w:w="1350" w:type="dxa"/>
            <w:vAlign w:val="center"/>
          </w:tcPr>
          <w:p w:rsidR="000265E6" w:rsidRDefault="004D56B3">
            <w:pPr>
              <w:jc w:val="center"/>
            </w:pPr>
            <w:r>
              <w:rPr>
                <w:rFonts w:eastAsiaTheme="minorEastAsia"/>
                <w:color w:val="000000"/>
                <w:szCs w:val="21"/>
              </w:rPr>
              <w:t>0.97%</w:t>
            </w:r>
          </w:p>
        </w:tc>
        <w:tc>
          <w:tcPr>
            <w:tcW w:w="1350" w:type="dxa"/>
            <w:vAlign w:val="center"/>
          </w:tcPr>
          <w:p w:rsidR="000265E6" w:rsidRDefault="004D56B3">
            <w:pPr>
              <w:jc w:val="center"/>
            </w:pPr>
            <w:r>
              <w:rPr>
                <w:rFonts w:eastAsiaTheme="minorEastAsia"/>
                <w:color w:val="000000"/>
                <w:szCs w:val="21"/>
              </w:rPr>
              <w:t>-9.41%</w:t>
            </w:r>
          </w:p>
        </w:tc>
        <w:tc>
          <w:tcPr>
            <w:tcW w:w="1350" w:type="dxa"/>
            <w:vAlign w:val="center"/>
          </w:tcPr>
          <w:p w:rsidR="000265E6" w:rsidRDefault="004D56B3">
            <w:pPr>
              <w:jc w:val="center"/>
            </w:pPr>
            <w:r>
              <w:rPr>
                <w:rFonts w:eastAsiaTheme="minorEastAsia"/>
                <w:color w:val="000000"/>
                <w:szCs w:val="21"/>
              </w:rPr>
              <w:t>-0.86%</w:t>
            </w:r>
          </w:p>
        </w:tc>
      </w:tr>
      <w:tr w:rsidR="000265E6">
        <w:tc>
          <w:tcPr>
            <w:tcW w:w="1620" w:type="dxa"/>
            <w:vAlign w:val="center"/>
          </w:tcPr>
          <w:p w:rsidR="000265E6" w:rsidRDefault="004D56B3">
            <w:pPr>
              <w:jc w:val="left"/>
            </w:pPr>
            <w:r>
              <w:rPr>
                <w:rFonts w:eastAsiaTheme="minorEastAsia"/>
                <w:color w:val="000000"/>
                <w:szCs w:val="21"/>
              </w:rPr>
              <w:t>过去三个月</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过去六个月</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过去一年</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过去三年</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自基金合同生效起至今</w:t>
            </w:r>
          </w:p>
        </w:tc>
        <w:tc>
          <w:tcPr>
            <w:tcW w:w="1350" w:type="dxa"/>
            <w:vAlign w:val="center"/>
          </w:tcPr>
          <w:p w:rsidR="000265E6" w:rsidRDefault="004D56B3">
            <w:pPr>
              <w:jc w:val="center"/>
            </w:pPr>
            <w:r>
              <w:rPr>
                <w:rFonts w:eastAsiaTheme="minorEastAsia"/>
                <w:color w:val="000000"/>
                <w:szCs w:val="21"/>
              </w:rPr>
              <w:t>1.00%</w:t>
            </w:r>
          </w:p>
        </w:tc>
        <w:tc>
          <w:tcPr>
            <w:tcW w:w="1350" w:type="dxa"/>
            <w:vAlign w:val="center"/>
          </w:tcPr>
          <w:p w:rsidR="000265E6" w:rsidRDefault="004D56B3">
            <w:pPr>
              <w:jc w:val="center"/>
            </w:pPr>
            <w:r>
              <w:rPr>
                <w:rFonts w:eastAsiaTheme="minorEastAsia"/>
                <w:color w:val="000000"/>
                <w:szCs w:val="21"/>
              </w:rPr>
              <w:t>0.07%</w:t>
            </w:r>
          </w:p>
        </w:tc>
        <w:tc>
          <w:tcPr>
            <w:tcW w:w="1350" w:type="dxa"/>
            <w:vAlign w:val="center"/>
          </w:tcPr>
          <w:p w:rsidR="000265E6" w:rsidRDefault="004D56B3">
            <w:pPr>
              <w:jc w:val="center"/>
            </w:pPr>
            <w:r>
              <w:rPr>
                <w:rFonts w:eastAsiaTheme="minorEastAsia"/>
                <w:color w:val="000000"/>
                <w:szCs w:val="21"/>
              </w:rPr>
              <w:t>12.99%</w:t>
            </w:r>
          </w:p>
        </w:tc>
        <w:tc>
          <w:tcPr>
            <w:tcW w:w="1350" w:type="dxa"/>
            <w:vAlign w:val="center"/>
          </w:tcPr>
          <w:p w:rsidR="000265E6" w:rsidRDefault="004D56B3">
            <w:pPr>
              <w:jc w:val="center"/>
            </w:pPr>
            <w:r>
              <w:rPr>
                <w:rFonts w:eastAsiaTheme="minorEastAsia"/>
                <w:color w:val="000000"/>
                <w:szCs w:val="21"/>
              </w:rPr>
              <w:t>1.01%</w:t>
            </w:r>
          </w:p>
        </w:tc>
        <w:tc>
          <w:tcPr>
            <w:tcW w:w="1350" w:type="dxa"/>
            <w:vAlign w:val="center"/>
          </w:tcPr>
          <w:p w:rsidR="000265E6" w:rsidRDefault="004D56B3">
            <w:pPr>
              <w:jc w:val="center"/>
            </w:pPr>
            <w:r>
              <w:rPr>
                <w:rFonts w:eastAsiaTheme="minorEastAsia"/>
                <w:color w:val="000000"/>
                <w:szCs w:val="21"/>
              </w:rPr>
              <w:t>-11.99%</w:t>
            </w:r>
          </w:p>
        </w:tc>
        <w:tc>
          <w:tcPr>
            <w:tcW w:w="1350" w:type="dxa"/>
            <w:vAlign w:val="center"/>
          </w:tcPr>
          <w:p w:rsidR="000265E6" w:rsidRDefault="004D56B3">
            <w:pPr>
              <w:jc w:val="center"/>
            </w:pPr>
            <w:r>
              <w:rPr>
                <w:rFonts w:eastAsiaTheme="minorEastAsia"/>
                <w:color w:val="000000"/>
                <w:szCs w:val="21"/>
              </w:rPr>
              <w:t>-0.94%</w:t>
            </w:r>
          </w:p>
        </w:tc>
      </w:tr>
    </w:tbl>
    <w:p w:rsidR="00FC6E91" w:rsidRPr="00C24ACA" w:rsidRDefault="00FC6E91" w:rsidP="00FC6E91">
      <w:pPr>
        <w:pStyle w:val="21"/>
        <w:spacing w:line="288" w:lineRule="auto"/>
        <w:ind w:firstLineChars="0" w:firstLine="0"/>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易方达中证浙江新动能</w:t>
      </w:r>
      <w:r w:rsidRPr="00C24ACA">
        <w:rPr>
          <w:rFonts w:ascii="Times New Roman" w:eastAsiaTheme="minorEastAsia" w:hAnsi="Times New Roman"/>
          <w:color w:val="auto"/>
          <w:sz w:val="21"/>
          <w:szCs w:val="21"/>
        </w:rPr>
        <w:t>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p>
    <w:tbl>
      <w:tblPr>
        <w:tblW w:w="97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C6E91" w:rsidRPr="00C24ACA" w:rsidTr="005C3575">
        <w:tc>
          <w:tcPr>
            <w:tcW w:w="162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阶段</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w:t>
            </w:r>
            <w:r w:rsidRPr="00C24ACA">
              <w:rPr>
                <w:rFonts w:ascii="宋体" w:hAnsi="宋体" w:cs="宋体" w:hint="eastAsia"/>
                <w:color w:val="000000"/>
                <w:szCs w:val="21"/>
              </w:rPr>
              <w:t>①</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份额净值增长率标准差</w:t>
            </w:r>
            <w:r w:rsidRPr="00C24ACA">
              <w:rPr>
                <w:rFonts w:ascii="宋体" w:hAnsi="宋体" w:cs="宋体" w:hint="eastAsia"/>
                <w:color w:val="000000"/>
                <w:szCs w:val="21"/>
              </w:rPr>
              <w:t>②</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eastAsiaTheme="minorEastAsia"/>
                <w:color w:val="000000"/>
                <w:szCs w:val="21"/>
              </w:rPr>
              <w:t>业绩比较基准收益率标准差</w:t>
            </w:r>
            <w:r w:rsidRPr="00C24ACA">
              <w:rPr>
                <w:rFonts w:ascii="宋体" w:hAnsi="宋体" w:cs="宋体" w:hint="eastAsia"/>
                <w:color w:val="000000"/>
                <w:szCs w:val="21"/>
              </w:rPr>
              <w:t>④</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①</w:t>
            </w:r>
            <w:r w:rsidRPr="00C24ACA">
              <w:rPr>
                <w:rFonts w:eastAsiaTheme="minorEastAsia"/>
                <w:color w:val="000000"/>
                <w:szCs w:val="21"/>
              </w:rPr>
              <w:t>－</w:t>
            </w:r>
            <w:r w:rsidRPr="00C24ACA">
              <w:rPr>
                <w:rFonts w:ascii="宋体" w:hAnsi="宋体" w:cs="宋体" w:hint="eastAsia"/>
                <w:color w:val="000000"/>
                <w:szCs w:val="21"/>
              </w:rPr>
              <w:t>③</w:t>
            </w:r>
          </w:p>
        </w:tc>
        <w:tc>
          <w:tcPr>
            <w:tcW w:w="1350" w:type="dxa"/>
            <w:vAlign w:val="center"/>
          </w:tcPr>
          <w:p w:rsidR="00FC6E91" w:rsidRPr="00C24ACA" w:rsidRDefault="00FC6E91" w:rsidP="005C3575">
            <w:pPr>
              <w:jc w:val="center"/>
              <w:rPr>
                <w:rFonts w:eastAsiaTheme="minorEastAsia"/>
                <w:color w:val="000000"/>
                <w:szCs w:val="21"/>
              </w:rPr>
            </w:pPr>
            <w:r w:rsidRPr="00C24ACA">
              <w:rPr>
                <w:rFonts w:ascii="宋体" w:hAnsi="宋体" w:cs="宋体" w:hint="eastAsia"/>
                <w:color w:val="000000"/>
                <w:szCs w:val="21"/>
              </w:rPr>
              <w:t>②</w:t>
            </w:r>
            <w:r w:rsidRPr="00C24ACA">
              <w:rPr>
                <w:rFonts w:eastAsiaTheme="minorEastAsia"/>
                <w:color w:val="000000"/>
                <w:szCs w:val="21"/>
              </w:rPr>
              <w:t>－</w:t>
            </w:r>
            <w:r w:rsidRPr="00C24ACA">
              <w:rPr>
                <w:rFonts w:ascii="宋体" w:hAnsi="宋体" w:cs="宋体" w:hint="eastAsia"/>
                <w:color w:val="000000"/>
                <w:szCs w:val="21"/>
              </w:rPr>
              <w:t>④</w:t>
            </w:r>
          </w:p>
        </w:tc>
      </w:tr>
      <w:tr w:rsidR="000265E6">
        <w:tc>
          <w:tcPr>
            <w:tcW w:w="1620" w:type="dxa"/>
            <w:vAlign w:val="center"/>
          </w:tcPr>
          <w:p w:rsidR="000265E6" w:rsidRDefault="004D56B3">
            <w:pPr>
              <w:jc w:val="left"/>
            </w:pPr>
            <w:r>
              <w:rPr>
                <w:rFonts w:eastAsiaTheme="minorEastAsia"/>
                <w:color w:val="000000"/>
                <w:szCs w:val="21"/>
              </w:rPr>
              <w:t>过去一个月</w:t>
            </w:r>
          </w:p>
        </w:tc>
        <w:tc>
          <w:tcPr>
            <w:tcW w:w="1350" w:type="dxa"/>
            <w:vAlign w:val="center"/>
          </w:tcPr>
          <w:p w:rsidR="000265E6" w:rsidRDefault="004D56B3">
            <w:pPr>
              <w:jc w:val="center"/>
            </w:pPr>
            <w:r>
              <w:rPr>
                <w:rFonts w:eastAsiaTheme="minorEastAsia"/>
                <w:color w:val="000000"/>
                <w:szCs w:val="21"/>
              </w:rPr>
              <w:t>0.91%</w:t>
            </w:r>
          </w:p>
        </w:tc>
        <w:tc>
          <w:tcPr>
            <w:tcW w:w="1350" w:type="dxa"/>
            <w:vAlign w:val="center"/>
          </w:tcPr>
          <w:p w:rsidR="000265E6" w:rsidRDefault="004D56B3">
            <w:pPr>
              <w:jc w:val="center"/>
            </w:pPr>
            <w:r>
              <w:rPr>
                <w:rFonts w:eastAsiaTheme="minorEastAsia"/>
                <w:color w:val="000000"/>
                <w:szCs w:val="21"/>
              </w:rPr>
              <w:t>0.11%</w:t>
            </w:r>
          </w:p>
        </w:tc>
        <w:tc>
          <w:tcPr>
            <w:tcW w:w="1350" w:type="dxa"/>
            <w:vAlign w:val="center"/>
          </w:tcPr>
          <w:p w:rsidR="000265E6" w:rsidRDefault="004D56B3">
            <w:pPr>
              <w:jc w:val="center"/>
            </w:pPr>
            <w:r>
              <w:rPr>
                <w:rFonts w:eastAsiaTheme="minorEastAsia"/>
                <w:color w:val="000000"/>
                <w:szCs w:val="21"/>
              </w:rPr>
              <w:t>10.34%</w:t>
            </w:r>
          </w:p>
        </w:tc>
        <w:tc>
          <w:tcPr>
            <w:tcW w:w="1350" w:type="dxa"/>
            <w:vAlign w:val="center"/>
          </w:tcPr>
          <w:p w:rsidR="000265E6" w:rsidRDefault="004D56B3">
            <w:pPr>
              <w:jc w:val="center"/>
            </w:pPr>
            <w:r>
              <w:rPr>
                <w:rFonts w:eastAsiaTheme="minorEastAsia"/>
                <w:color w:val="000000"/>
                <w:szCs w:val="21"/>
              </w:rPr>
              <w:t>0.97%</w:t>
            </w:r>
          </w:p>
        </w:tc>
        <w:tc>
          <w:tcPr>
            <w:tcW w:w="1350" w:type="dxa"/>
            <w:vAlign w:val="center"/>
          </w:tcPr>
          <w:p w:rsidR="000265E6" w:rsidRDefault="004D56B3">
            <w:pPr>
              <w:jc w:val="center"/>
            </w:pPr>
            <w:r>
              <w:rPr>
                <w:rFonts w:eastAsiaTheme="minorEastAsia"/>
                <w:color w:val="000000"/>
                <w:szCs w:val="21"/>
              </w:rPr>
              <w:t>-9.43%</w:t>
            </w:r>
          </w:p>
        </w:tc>
        <w:tc>
          <w:tcPr>
            <w:tcW w:w="1350" w:type="dxa"/>
            <w:vAlign w:val="center"/>
          </w:tcPr>
          <w:p w:rsidR="000265E6" w:rsidRDefault="004D56B3">
            <w:pPr>
              <w:jc w:val="center"/>
            </w:pPr>
            <w:r>
              <w:rPr>
                <w:rFonts w:eastAsiaTheme="minorEastAsia"/>
                <w:color w:val="000000"/>
                <w:szCs w:val="21"/>
              </w:rPr>
              <w:t>-0.86%</w:t>
            </w:r>
          </w:p>
        </w:tc>
      </w:tr>
      <w:tr w:rsidR="000265E6">
        <w:tc>
          <w:tcPr>
            <w:tcW w:w="1620" w:type="dxa"/>
            <w:vAlign w:val="center"/>
          </w:tcPr>
          <w:p w:rsidR="000265E6" w:rsidRDefault="004D56B3">
            <w:pPr>
              <w:jc w:val="left"/>
            </w:pPr>
            <w:r>
              <w:rPr>
                <w:rFonts w:eastAsiaTheme="minorEastAsia"/>
                <w:color w:val="000000"/>
                <w:szCs w:val="21"/>
              </w:rPr>
              <w:t>过去三个月</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过去六个月</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过去一年</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过去三年</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c>
          <w:tcPr>
            <w:tcW w:w="1350" w:type="dxa"/>
            <w:vAlign w:val="center"/>
          </w:tcPr>
          <w:p w:rsidR="000265E6" w:rsidRDefault="004D56B3">
            <w:pPr>
              <w:jc w:val="center"/>
            </w:pPr>
            <w:r>
              <w:rPr>
                <w:rFonts w:eastAsiaTheme="minorEastAsia"/>
                <w:color w:val="000000"/>
                <w:szCs w:val="21"/>
              </w:rPr>
              <w:t>-</w:t>
            </w:r>
          </w:p>
        </w:tc>
      </w:tr>
      <w:tr w:rsidR="000265E6">
        <w:tc>
          <w:tcPr>
            <w:tcW w:w="1620" w:type="dxa"/>
            <w:vAlign w:val="center"/>
          </w:tcPr>
          <w:p w:rsidR="000265E6" w:rsidRDefault="004D56B3">
            <w:pPr>
              <w:jc w:val="left"/>
            </w:pPr>
            <w:r>
              <w:rPr>
                <w:rFonts w:eastAsiaTheme="minorEastAsia"/>
                <w:color w:val="000000"/>
                <w:szCs w:val="21"/>
              </w:rPr>
              <w:t>自基金合同生效起至今</w:t>
            </w:r>
          </w:p>
        </w:tc>
        <w:tc>
          <w:tcPr>
            <w:tcW w:w="1350" w:type="dxa"/>
            <w:vAlign w:val="center"/>
          </w:tcPr>
          <w:p w:rsidR="000265E6" w:rsidRDefault="004D56B3">
            <w:pPr>
              <w:jc w:val="center"/>
            </w:pPr>
            <w:r>
              <w:rPr>
                <w:rFonts w:eastAsiaTheme="minorEastAsia"/>
                <w:color w:val="000000"/>
                <w:szCs w:val="21"/>
              </w:rPr>
              <w:t>0.97%</w:t>
            </w:r>
          </w:p>
        </w:tc>
        <w:tc>
          <w:tcPr>
            <w:tcW w:w="1350" w:type="dxa"/>
            <w:vAlign w:val="center"/>
          </w:tcPr>
          <w:p w:rsidR="000265E6" w:rsidRDefault="004D56B3">
            <w:pPr>
              <w:jc w:val="center"/>
            </w:pPr>
            <w:r>
              <w:rPr>
                <w:rFonts w:eastAsiaTheme="minorEastAsia"/>
                <w:color w:val="000000"/>
                <w:szCs w:val="21"/>
              </w:rPr>
              <w:t>0.08%</w:t>
            </w:r>
          </w:p>
        </w:tc>
        <w:tc>
          <w:tcPr>
            <w:tcW w:w="1350" w:type="dxa"/>
            <w:vAlign w:val="center"/>
          </w:tcPr>
          <w:p w:rsidR="000265E6" w:rsidRDefault="004D56B3">
            <w:pPr>
              <w:jc w:val="center"/>
            </w:pPr>
            <w:r>
              <w:rPr>
                <w:rFonts w:eastAsiaTheme="minorEastAsia"/>
                <w:color w:val="000000"/>
                <w:szCs w:val="21"/>
              </w:rPr>
              <w:t>12.99%</w:t>
            </w:r>
          </w:p>
        </w:tc>
        <w:tc>
          <w:tcPr>
            <w:tcW w:w="1350" w:type="dxa"/>
            <w:vAlign w:val="center"/>
          </w:tcPr>
          <w:p w:rsidR="000265E6" w:rsidRDefault="004D56B3">
            <w:pPr>
              <w:jc w:val="center"/>
            </w:pPr>
            <w:r>
              <w:rPr>
                <w:rFonts w:eastAsiaTheme="minorEastAsia"/>
                <w:color w:val="000000"/>
                <w:szCs w:val="21"/>
              </w:rPr>
              <w:t>1.01%</w:t>
            </w:r>
          </w:p>
        </w:tc>
        <w:tc>
          <w:tcPr>
            <w:tcW w:w="1350" w:type="dxa"/>
            <w:vAlign w:val="center"/>
          </w:tcPr>
          <w:p w:rsidR="000265E6" w:rsidRDefault="004D56B3">
            <w:pPr>
              <w:jc w:val="center"/>
            </w:pPr>
            <w:r>
              <w:rPr>
                <w:rFonts w:eastAsiaTheme="minorEastAsia"/>
                <w:color w:val="000000"/>
                <w:szCs w:val="21"/>
              </w:rPr>
              <w:t>-12.02%</w:t>
            </w:r>
          </w:p>
        </w:tc>
        <w:tc>
          <w:tcPr>
            <w:tcW w:w="1350" w:type="dxa"/>
            <w:vAlign w:val="center"/>
          </w:tcPr>
          <w:p w:rsidR="000265E6" w:rsidRDefault="004D56B3">
            <w:pPr>
              <w:jc w:val="center"/>
            </w:pPr>
            <w:r>
              <w:rPr>
                <w:rFonts w:eastAsiaTheme="minorEastAsia"/>
                <w:color w:val="000000"/>
                <w:szCs w:val="21"/>
              </w:rPr>
              <w:t>-0.93%</w:t>
            </w:r>
          </w:p>
        </w:tc>
      </w:tr>
    </w:tbl>
    <w:p w:rsidR="00FC6E91" w:rsidRPr="00C24ACA" w:rsidRDefault="00FC6E91" w:rsidP="006C64F3">
      <w:pPr>
        <w:spacing w:beforeLines="100" w:before="312" w:line="360" w:lineRule="auto"/>
        <w:rPr>
          <w:rFonts w:eastAsiaTheme="minorEastAsia"/>
          <w:b/>
          <w:kern w:val="0"/>
          <w:szCs w:val="21"/>
        </w:rPr>
      </w:pPr>
      <w:r w:rsidRPr="00C24ACA">
        <w:rPr>
          <w:rFonts w:eastAsiaTheme="minorEastAsia"/>
          <w:b/>
          <w:kern w:val="0"/>
          <w:szCs w:val="21"/>
        </w:rPr>
        <w:t>3.2.2</w:t>
      </w:r>
      <w:r w:rsidR="00587AF5">
        <w:rPr>
          <w:rStyle w:val="af8"/>
          <w:rFonts w:hAnsi="宋体" w:cs="宋体"/>
          <w:color w:val="000000"/>
          <w:shd w:val="clear" w:color="auto" w:fill="FFFFFF"/>
        </w:rPr>
        <w:t>自基金合同生效以来</w:t>
      </w:r>
      <w:r w:rsidRPr="00C24ACA">
        <w:rPr>
          <w:rFonts w:eastAsiaTheme="minorEastAsia"/>
          <w:b/>
          <w:kern w:val="0"/>
          <w:szCs w:val="21"/>
        </w:rPr>
        <w:t>基金份额累计净值增长率变动及其与同期业绩比较基准收益率变动的比较</w:t>
      </w:r>
    </w:p>
    <w:p w:rsidR="00855B21" w:rsidRDefault="00855B21" w:rsidP="00855B21">
      <w:pPr>
        <w:spacing w:line="360" w:lineRule="auto"/>
        <w:ind w:firstLine="420"/>
        <w:jc w:val="center"/>
        <w:rPr>
          <w:rFonts w:eastAsiaTheme="minorEastAsia"/>
          <w:color w:val="000000"/>
          <w:kern w:val="0"/>
          <w:szCs w:val="21"/>
        </w:rPr>
      </w:pPr>
      <w:r w:rsidRPr="00D749D4">
        <w:rPr>
          <w:color w:val="000000"/>
          <w:szCs w:val="21"/>
        </w:rPr>
        <w:t>易方达中证浙江新动能交易型开放式指数证券投资基金联接基金</w:t>
      </w:r>
    </w:p>
    <w:p w:rsidR="009C3047" w:rsidRDefault="00855B21" w:rsidP="009C3047">
      <w:pPr>
        <w:pStyle w:val="a6"/>
        <w:snapToGrid w:val="0"/>
        <w:spacing w:line="360" w:lineRule="auto"/>
        <w:jc w:val="center"/>
        <w:rPr>
          <w:rFonts w:ascii="Times New Roman" w:eastAsiaTheme="minorEastAsia" w:hAnsi="Times New Roman"/>
          <w:color w:val="000000" w:themeColor="text1"/>
          <w:sz w:val="24"/>
          <w:szCs w:val="24"/>
        </w:rPr>
      </w:pPr>
      <w:r w:rsidRPr="00D749D4">
        <w:rPr>
          <w:rFonts w:ascii="Times New Roman" w:hAnsi="Times New Roman" w:hint="eastAsia"/>
          <w:color w:val="000000"/>
        </w:rPr>
        <w:t>份额累计净值增长率与业绩比较基准收益率历史走势对比图</w:t>
      </w:r>
    </w:p>
    <w:p w:rsidR="00B3456F" w:rsidRPr="002A5FBD" w:rsidRDefault="009C3047" w:rsidP="009C3047">
      <w:pPr>
        <w:pStyle w:val="a6"/>
        <w:snapToGrid w:val="0"/>
        <w:spacing w:line="360" w:lineRule="auto"/>
        <w:jc w:val="center"/>
        <w:rPr>
          <w:rFonts w:ascii="Times New Roman" w:eastAsiaTheme="minorEastAsia" w:hAnsi="Times New Roman"/>
          <w:color w:val="000000"/>
        </w:rPr>
      </w:pPr>
      <w:r w:rsidRPr="002A5FBD">
        <w:rPr>
          <w:rFonts w:ascii="Times New Roman" w:hAnsi="Times New Roman"/>
        </w:rPr>
        <w:t>（</w:t>
      </w:r>
      <w:r w:rsidRPr="002A5FBD">
        <w:rPr>
          <w:rFonts w:ascii="Times New Roman" w:hAnsi="Times New Roman"/>
        </w:rPr>
        <w:t>2020</w:t>
      </w:r>
      <w:r w:rsidRPr="002A5FBD">
        <w:rPr>
          <w:rFonts w:ascii="Times New Roman" w:hAnsi="Times New Roman"/>
        </w:rPr>
        <w:t>年</w:t>
      </w:r>
      <w:r w:rsidRPr="002A5FBD">
        <w:rPr>
          <w:rFonts w:ascii="Times New Roman" w:hAnsi="Times New Roman"/>
        </w:rPr>
        <w:t>4</w:t>
      </w:r>
      <w:r w:rsidRPr="002A5FBD">
        <w:rPr>
          <w:rFonts w:ascii="Times New Roman" w:hAnsi="Times New Roman"/>
        </w:rPr>
        <w:t>月</w:t>
      </w:r>
      <w:r w:rsidRPr="002A5FBD">
        <w:rPr>
          <w:rFonts w:ascii="Times New Roman" w:hAnsi="Times New Roman"/>
        </w:rPr>
        <w:t>24</w:t>
      </w:r>
      <w:r w:rsidRPr="002A5FBD">
        <w:rPr>
          <w:rFonts w:ascii="Times New Roman" w:hAnsi="Times New Roman"/>
        </w:rPr>
        <w:t>日至</w:t>
      </w:r>
      <w:r w:rsidRPr="002A5FBD">
        <w:rPr>
          <w:rFonts w:ascii="Times New Roman" w:hAnsi="Times New Roman"/>
        </w:rPr>
        <w:t>2020</w:t>
      </w:r>
      <w:r w:rsidRPr="002A5FBD">
        <w:rPr>
          <w:rFonts w:ascii="Times New Roman" w:hAnsi="Times New Roman"/>
        </w:rPr>
        <w:t>年</w:t>
      </w:r>
      <w:r w:rsidRPr="002A5FBD">
        <w:rPr>
          <w:rFonts w:ascii="Times New Roman" w:hAnsi="Times New Roman"/>
        </w:rPr>
        <w:t>6</w:t>
      </w:r>
      <w:r w:rsidRPr="002A5FBD">
        <w:rPr>
          <w:rFonts w:ascii="Times New Roman" w:hAnsi="Times New Roman"/>
        </w:rPr>
        <w:t>月</w:t>
      </w:r>
      <w:r w:rsidRPr="002A5FBD">
        <w:rPr>
          <w:rFonts w:ascii="Times New Roman" w:hAnsi="Times New Roman"/>
        </w:rPr>
        <w:t>30</w:t>
      </w:r>
      <w:r w:rsidRPr="002A5FBD">
        <w:rPr>
          <w:rFonts w:ascii="Times New Roman" w:hAnsi="Times New Roman"/>
        </w:rPr>
        <w:t>日）</w:t>
      </w:r>
    </w:p>
    <w:p w:rsidR="00D0262B" w:rsidRDefault="0038047C" w:rsidP="00B3456F">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易方达中证浙江新动能</w:t>
      </w:r>
      <w:r w:rsidRPr="00C24ACA">
        <w:rPr>
          <w:rFonts w:ascii="Times New Roman" w:eastAsiaTheme="minorEastAsia" w:hAnsi="Times New Roman"/>
          <w:color w:val="auto"/>
          <w:sz w:val="21"/>
          <w:szCs w:val="21"/>
        </w:rPr>
        <w:t>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A</w:t>
      </w:r>
    </w:p>
    <w:p w:rsidR="00E039F9" w:rsidRPr="00C24ACA" w:rsidRDefault="00DE6FC0" w:rsidP="00E039F9">
      <w:pPr>
        <w:pStyle w:val="a6"/>
        <w:snapToGrid w:val="0"/>
        <w:spacing w:line="360" w:lineRule="auto"/>
        <w:ind w:firstLine="48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DB344D" w:rsidRDefault="00E039F9" w:rsidP="00DB344D">
      <w:pPr>
        <w:pStyle w:val="21"/>
        <w:spacing w:line="288" w:lineRule="auto"/>
        <w:ind w:firstLineChars="0" w:firstLine="0"/>
        <w:jc w:val="left"/>
        <w:rPr>
          <w:rFonts w:ascii="Times New Roman" w:eastAsiaTheme="minorEastAsia" w:hAnsi="Times New Roman"/>
          <w:color w:val="auto"/>
          <w:sz w:val="21"/>
          <w:szCs w:val="21"/>
        </w:rPr>
      </w:pPr>
      <w:r w:rsidRPr="00C24ACA">
        <w:rPr>
          <w:rFonts w:ascii="Times New Roman" w:eastAsiaTheme="minorEastAsia" w:hAnsi="Times New Roman"/>
          <w:color w:val="auto"/>
          <w:sz w:val="21"/>
          <w:szCs w:val="21"/>
        </w:rPr>
        <w:t>易方达中证浙江新动能</w:t>
      </w:r>
      <w:r w:rsidRPr="00C24ACA">
        <w:rPr>
          <w:rFonts w:ascii="Times New Roman" w:eastAsiaTheme="minorEastAsia" w:hAnsi="Times New Roman"/>
          <w:color w:val="auto"/>
          <w:sz w:val="21"/>
          <w:szCs w:val="21"/>
        </w:rPr>
        <w:t>ETF</w:t>
      </w:r>
      <w:r w:rsidRPr="00C24ACA">
        <w:rPr>
          <w:rFonts w:ascii="Times New Roman" w:eastAsiaTheme="minorEastAsia" w:hAnsi="Times New Roman"/>
          <w:color w:val="auto"/>
          <w:sz w:val="21"/>
          <w:szCs w:val="21"/>
        </w:rPr>
        <w:t>联接（</w:t>
      </w:r>
      <w:r w:rsidRPr="00C24ACA">
        <w:rPr>
          <w:rFonts w:ascii="Times New Roman" w:eastAsiaTheme="minorEastAsia" w:hAnsi="Times New Roman"/>
          <w:color w:val="auto"/>
          <w:sz w:val="21"/>
          <w:szCs w:val="21"/>
        </w:rPr>
        <w:t>QDII</w:t>
      </w:r>
      <w:r w:rsidRPr="00C24ACA">
        <w:rPr>
          <w:rFonts w:ascii="Times New Roman" w:eastAsiaTheme="minorEastAsia" w:hAnsi="Times New Roman"/>
          <w:color w:val="auto"/>
          <w:sz w:val="21"/>
          <w:szCs w:val="21"/>
        </w:rPr>
        <w:t>）</w:t>
      </w:r>
      <w:r w:rsidRPr="00C24ACA">
        <w:rPr>
          <w:rFonts w:ascii="Times New Roman" w:eastAsiaTheme="minorEastAsia" w:hAnsi="Times New Roman"/>
          <w:color w:val="auto"/>
          <w:sz w:val="21"/>
          <w:szCs w:val="21"/>
        </w:rPr>
        <w:t>C</w:t>
      </w:r>
      <w:r w:rsidR="00CB6FD3" w:rsidRPr="00CB6FD3">
        <w:rPr>
          <w:rFonts w:eastAsiaTheme="minorEastAsia"/>
          <w:noProof/>
          <w:color w:val="000000"/>
        </w:rPr>
        <w:t xml:space="preserve"> </w:t>
      </w:r>
    </w:p>
    <w:p w:rsidR="00E039F9" w:rsidRPr="00C24ACA" w:rsidRDefault="00CB6FD3" w:rsidP="00DB344D">
      <w:pPr>
        <w:pStyle w:val="21"/>
        <w:spacing w:line="288" w:lineRule="auto"/>
        <w:ind w:firstLineChars="0" w:firstLine="0"/>
        <w:jc w:val="center"/>
        <w:rPr>
          <w:rFonts w:ascii="Times New Roman" w:eastAsiaTheme="minorEastAsia" w:hAnsi="Times New Roman"/>
          <w:color w:val="000000"/>
        </w:rPr>
      </w:pPr>
      <w:r w:rsidRPr="00C24ACA">
        <w:rPr>
          <w:rFonts w:eastAsiaTheme="minorEastAsia"/>
          <w:noProof/>
          <w:color w:val="000000"/>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本基金合同于</w:t>
      </w: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24</w:t>
      </w:r>
      <w:r>
        <w:rPr>
          <w:rFonts w:eastAsiaTheme="minorEastAsia"/>
          <w:kern w:val="0"/>
          <w:szCs w:val="21"/>
        </w:rPr>
        <w:t>日生效，截至报告期末本基金合同生效未满一年。</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按基金合同和招募说明书的约定，自基金合同生效之日起六个月内使基金的投资组合比例符合本基金合同（第十二部分二、投资范围，三、投资策略和四、投资限制）的有关约定。本报告期本基金处于建仓期内。</w:t>
      </w:r>
    </w:p>
    <w:p w:rsidR="00FC6E91" w:rsidRPr="00C24ACA" w:rsidRDefault="00FC6E91"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3.</w:t>
      </w:r>
      <w:r w:rsidRPr="00C24ACA">
        <w:rPr>
          <w:rFonts w:eastAsiaTheme="minorEastAsia"/>
          <w:kern w:val="0"/>
          <w:szCs w:val="21"/>
        </w:rPr>
        <w:t>自基金合同生效至报告期末，</w:t>
      </w:r>
      <w:r w:rsidRPr="00C24ACA">
        <w:rPr>
          <w:rFonts w:eastAsiaTheme="minorEastAsia"/>
          <w:kern w:val="0"/>
          <w:szCs w:val="21"/>
        </w:rPr>
        <w:t>A</w:t>
      </w:r>
      <w:r w:rsidRPr="00C24ACA">
        <w:rPr>
          <w:rFonts w:eastAsiaTheme="minorEastAsia"/>
          <w:kern w:val="0"/>
          <w:szCs w:val="21"/>
        </w:rPr>
        <w:t>类基金份额净值增长率为</w:t>
      </w:r>
      <w:r w:rsidRPr="00C24ACA">
        <w:rPr>
          <w:rFonts w:eastAsiaTheme="minorEastAsia"/>
          <w:kern w:val="0"/>
          <w:szCs w:val="21"/>
        </w:rPr>
        <w:t>1.00%</w:t>
      </w:r>
      <w:r w:rsidRPr="00C24ACA">
        <w:rPr>
          <w:rFonts w:eastAsiaTheme="minorEastAsia"/>
          <w:kern w:val="0"/>
          <w:szCs w:val="21"/>
        </w:rPr>
        <w:t>，</w:t>
      </w:r>
      <w:r w:rsidRPr="00C24ACA">
        <w:rPr>
          <w:rFonts w:eastAsiaTheme="minorEastAsia"/>
          <w:kern w:val="0"/>
          <w:szCs w:val="21"/>
        </w:rPr>
        <w:t>C</w:t>
      </w:r>
      <w:r w:rsidRPr="00C24ACA">
        <w:rPr>
          <w:rFonts w:eastAsiaTheme="minorEastAsia"/>
          <w:kern w:val="0"/>
          <w:szCs w:val="21"/>
        </w:rPr>
        <w:t>类基金份额净值增长率为</w:t>
      </w:r>
      <w:r w:rsidRPr="00C24ACA">
        <w:rPr>
          <w:rFonts w:eastAsiaTheme="minorEastAsia"/>
          <w:kern w:val="0"/>
          <w:szCs w:val="21"/>
        </w:rPr>
        <w:t>0.97%</w:t>
      </w:r>
      <w:r w:rsidRPr="00C24ACA">
        <w:rPr>
          <w:rFonts w:eastAsiaTheme="minorEastAsia"/>
          <w:kern w:val="0"/>
          <w:szCs w:val="21"/>
        </w:rPr>
        <w:t>，同期业绩比较基准收益率为</w:t>
      </w:r>
      <w:r w:rsidRPr="00C24ACA">
        <w:rPr>
          <w:rFonts w:eastAsiaTheme="minorEastAsia"/>
          <w:kern w:val="0"/>
          <w:szCs w:val="21"/>
        </w:rPr>
        <w:t>12.99%</w:t>
      </w:r>
      <w:r w:rsidRPr="00C24ACA">
        <w:rPr>
          <w:rFonts w:eastAsiaTheme="minorEastAsia"/>
          <w:kern w:val="0"/>
          <w:szCs w:val="21"/>
        </w:rPr>
        <w:t>。</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80" w:name="_Toc225498254"/>
      <w:bookmarkStart w:id="81" w:name="_Toc352255971"/>
      <w:bookmarkStart w:id="82" w:name="_Toc352256039"/>
      <w:bookmarkStart w:id="83" w:name="_Toc352331217"/>
      <w:bookmarkStart w:id="84" w:name="_Toc390164802"/>
      <w:bookmarkStart w:id="85" w:name="_Toc48660282"/>
      <w:r w:rsidRPr="000C6CCD">
        <w:rPr>
          <w:rFonts w:ascii="宋体" w:hAnsi="宋体"/>
          <w:bCs w:val="0"/>
          <w:color w:val="000000"/>
          <w:sz w:val="21"/>
          <w:szCs w:val="21"/>
        </w:rPr>
        <w:t>4</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管理人报告</w:t>
      </w:r>
      <w:bookmarkEnd w:id="80"/>
      <w:bookmarkEnd w:id="81"/>
      <w:bookmarkEnd w:id="82"/>
      <w:bookmarkEnd w:id="83"/>
      <w:bookmarkEnd w:id="84"/>
      <w:bookmarkEnd w:id="85"/>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86" w:name="_Toc352255972"/>
      <w:bookmarkStart w:id="87" w:name="_Toc352256040"/>
      <w:bookmarkStart w:id="88" w:name="_Toc352331218"/>
      <w:bookmarkStart w:id="89" w:name="_Toc362423996"/>
      <w:bookmarkStart w:id="90" w:name="_Toc374459258"/>
      <w:bookmarkStart w:id="91" w:name="_Toc48660283"/>
      <w:r w:rsidRPr="0087359D">
        <w:rPr>
          <w:rFonts w:ascii="宋体" w:hAnsi="宋体"/>
          <w:kern w:val="0"/>
          <w:sz w:val="21"/>
          <w:szCs w:val="21"/>
        </w:rPr>
        <w:t>4.1</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基金管理人及基金经理情况</w:t>
      </w:r>
      <w:bookmarkEnd w:id="86"/>
      <w:bookmarkEnd w:id="87"/>
      <w:bookmarkEnd w:id="88"/>
      <w:bookmarkEnd w:id="89"/>
      <w:bookmarkEnd w:id="90"/>
      <w:bookmarkEnd w:id="91"/>
    </w:p>
    <w:p w:rsidR="00FC5407" w:rsidRPr="00C24ACA" w:rsidRDefault="00FC5407" w:rsidP="00FC5407">
      <w:pPr>
        <w:autoSpaceDE w:val="0"/>
        <w:autoSpaceDN w:val="0"/>
        <w:adjustRightInd w:val="0"/>
        <w:spacing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4.1.1 </w:t>
      </w:r>
      <w:r w:rsidRPr="00C24ACA">
        <w:rPr>
          <w:rFonts w:eastAsiaTheme="minorEastAsia"/>
          <w:b/>
          <w:color w:val="000000" w:themeColor="text1"/>
          <w:kern w:val="0"/>
          <w:szCs w:val="21"/>
        </w:rPr>
        <w:t>基金管理人及其管理基金的经验</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经中国证监会证监基金字</w:t>
      </w:r>
      <w:r w:rsidRPr="008707EB">
        <w:rPr>
          <w:rFonts w:eastAsiaTheme="minorEastAsia"/>
          <w:kern w:val="0"/>
          <w:szCs w:val="21"/>
        </w:rPr>
        <w:t>[2001]4</w:t>
      </w:r>
      <w:r w:rsidRPr="008707EB">
        <w:rPr>
          <w:rFonts w:eastAsiaTheme="minorEastAsia"/>
          <w:kern w:val="0"/>
          <w:szCs w:val="21"/>
        </w:rPr>
        <w:t>号文批准，本基金管理人成立于</w:t>
      </w:r>
      <w:r w:rsidRPr="008707EB">
        <w:rPr>
          <w:rFonts w:eastAsiaTheme="minorEastAsia"/>
          <w:kern w:val="0"/>
          <w:szCs w:val="21"/>
        </w:rPr>
        <w:t>2001</w:t>
      </w:r>
      <w:r w:rsidRPr="008707EB">
        <w:rPr>
          <w:rFonts w:eastAsiaTheme="minorEastAsia"/>
          <w:kern w:val="0"/>
          <w:szCs w:val="21"/>
        </w:rPr>
        <w:t>年</w:t>
      </w:r>
      <w:r w:rsidRPr="008707EB">
        <w:rPr>
          <w:rFonts w:eastAsiaTheme="minorEastAsia"/>
          <w:kern w:val="0"/>
          <w:szCs w:val="21"/>
        </w:rPr>
        <w:t>4</w:t>
      </w:r>
      <w:r w:rsidRPr="008707EB">
        <w:rPr>
          <w:rFonts w:eastAsiaTheme="minorEastAsia"/>
          <w:kern w:val="0"/>
          <w:szCs w:val="21"/>
        </w:rPr>
        <w:t>月</w:t>
      </w:r>
      <w:r w:rsidRPr="008707EB">
        <w:rPr>
          <w:rFonts w:eastAsiaTheme="minorEastAsia"/>
          <w:kern w:val="0"/>
          <w:szCs w:val="21"/>
        </w:rPr>
        <w:t>17</w:t>
      </w:r>
      <w:r w:rsidRPr="008707EB">
        <w:rPr>
          <w:rFonts w:eastAsiaTheme="minorEastAsia"/>
          <w:kern w:val="0"/>
          <w:szCs w:val="21"/>
        </w:rPr>
        <w:t>日，总部设在广州，在北京、上海、香港等地设有分公司或子公司。本基金管理人拥有公募、社保、年金、特定客户资产管理、</w:t>
      </w:r>
      <w:r w:rsidRPr="008707EB">
        <w:rPr>
          <w:rFonts w:eastAsiaTheme="minorEastAsia"/>
          <w:kern w:val="0"/>
          <w:szCs w:val="21"/>
        </w:rPr>
        <w:t>QDII</w:t>
      </w:r>
      <w:r w:rsidRPr="008707EB">
        <w:rPr>
          <w:rFonts w:eastAsiaTheme="minorEastAsia"/>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4.1.2 </w:t>
      </w:r>
      <w:r w:rsidRPr="00C24ACA">
        <w:rPr>
          <w:rFonts w:eastAsiaTheme="minorEastAsia"/>
          <w:b/>
          <w:color w:val="000000" w:themeColor="text1"/>
          <w:kern w:val="0"/>
          <w:szCs w:val="21"/>
        </w:rPr>
        <w:t>基金经理（或基金经理小组）及基金经理助理的简介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1568"/>
        <w:gridCol w:w="1292"/>
        <w:gridCol w:w="1294"/>
        <w:gridCol w:w="1200"/>
        <w:gridCol w:w="2625"/>
      </w:tblGrid>
      <w:tr w:rsidR="00FC5407" w:rsidRPr="00C24ACA" w:rsidTr="008F4C10">
        <w:tc>
          <w:tcPr>
            <w:tcW w:w="653"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姓名</w:t>
            </w:r>
          </w:p>
        </w:tc>
        <w:tc>
          <w:tcPr>
            <w:tcW w:w="8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职务</w:t>
            </w:r>
          </w:p>
        </w:tc>
        <w:tc>
          <w:tcPr>
            <w:tcW w:w="1409" w:type="pct"/>
            <w:gridSpan w:val="2"/>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任本基金的基金经理（助理）期限</w:t>
            </w:r>
          </w:p>
        </w:tc>
        <w:tc>
          <w:tcPr>
            <w:tcW w:w="654"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证券从业年限</w:t>
            </w:r>
          </w:p>
        </w:tc>
        <w:tc>
          <w:tcPr>
            <w:tcW w:w="1431" w:type="pct"/>
            <w:vMerge w:val="restar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说明</w:t>
            </w:r>
          </w:p>
        </w:tc>
      </w:tr>
      <w:tr w:rsidR="00FC5407" w:rsidRPr="00C24ACA" w:rsidTr="008F4C10">
        <w:tc>
          <w:tcPr>
            <w:tcW w:w="653"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8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任职日期</w:t>
            </w:r>
          </w:p>
        </w:tc>
        <w:tc>
          <w:tcPr>
            <w:tcW w:w="704" w:type="pct"/>
            <w:vAlign w:val="center"/>
          </w:tcPr>
          <w:p w:rsidR="00FC5407" w:rsidRPr="00C24ACA" w:rsidRDefault="00FC5407" w:rsidP="008F4C10">
            <w:pPr>
              <w:spacing w:line="360" w:lineRule="auto"/>
              <w:jc w:val="center"/>
              <w:rPr>
                <w:rFonts w:eastAsiaTheme="minorEastAsia"/>
                <w:color w:val="000000" w:themeColor="text1"/>
                <w:szCs w:val="21"/>
              </w:rPr>
            </w:pPr>
            <w:r w:rsidRPr="00C24ACA">
              <w:rPr>
                <w:rFonts w:eastAsiaTheme="minorEastAsia"/>
                <w:color w:val="000000" w:themeColor="text1"/>
                <w:szCs w:val="21"/>
              </w:rPr>
              <w:t>离任日期</w:t>
            </w:r>
          </w:p>
        </w:tc>
        <w:tc>
          <w:tcPr>
            <w:tcW w:w="654"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c>
          <w:tcPr>
            <w:tcW w:w="1431" w:type="pct"/>
            <w:vMerge/>
            <w:vAlign w:val="center"/>
          </w:tcPr>
          <w:p w:rsidR="00FC5407" w:rsidRPr="00C24ACA" w:rsidRDefault="00FC5407" w:rsidP="008F4C10">
            <w:pPr>
              <w:widowControl/>
              <w:spacing w:line="360" w:lineRule="auto"/>
              <w:jc w:val="left"/>
              <w:rPr>
                <w:rFonts w:eastAsiaTheme="minorEastAsia"/>
                <w:color w:val="000000" w:themeColor="text1"/>
                <w:szCs w:val="21"/>
              </w:rPr>
            </w:pPr>
          </w:p>
        </w:tc>
      </w:tr>
      <w:tr w:rsidR="000265E6">
        <w:tc>
          <w:tcPr>
            <w:tcW w:w="0" w:type="auto"/>
            <w:vAlign w:val="center"/>
          </w:tcPr>
          <w:p w:rsidR="000265E6" w:rsidRDefault="004D56B3">
            <w:pPr>
              <w:jc w:val="center"/>
            </w:pPr>
            <w:r>
              <w:rPr>
                <w:rFonts w:eastAsiaTheme="minorEastAsia"/>
                <w:color w:val="000000" w:themeColor="text1"/>
                <w:szCs w:val="21"/>
              </w:rPr>
              <w:t>杨俊</w:t>
            </w:r>
          </w:p>
        </w:tc>
        <w:tc>
          <w:tcPr>
            <w:tcW w:w="0" w:type="auto"/>
            <w:vAlign w:val="center"/>
          </w:tcPr>
          <w:p w:rsidR="000265E6" w:rsidRDefault="004D56B3">
            <w:pPr>
              <w:jc w:val="left"/>
            </w:pPr>
            <w:r>
              <w:rPr>
                <w:rFonts w:eastAsiaTheme="minorEastAsia"/>
                <w:color w:val="000000" w:themeColor="text1"/>
                <w:szCs w:val="21"/>
              </w:rPr>
              <w:t>本基金的基金经理、易方达中证</w:t>
            </w:r>
            <w:r>
              <w:rPr>
                <w:rFonts w:eastAsiaTheme="minorEastAsia"/>
                <w:color w:val="000000" w:themeColor="text1"/>
                <w:szCs w:val="21"/>
              </w:rPr>
              <w:t>500</w:t>
            </w:r>
            <w:r>
              <w:rPr>
                <w:rFonts w:eastAsiaTheme="minorEastAsia"/>
                <w:color w:val="000000" w:themeColor="text1"/>
                <w:szCs w:val="21"/>
              </w:rPr>
              <w:t>交易型开放式指数证券投资基金的基金经理（自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06</w:t>
            </w:r>
            <w:r>
              <w:rPr>
                <w:rFonts w:eastAsiaTheme="minorEastAsia"/>
                <w:color w:val="000000" w:themeColor="text1"/>
                <w:szCs w:val="21"/>
              </w:rPr>
              <w:t>月</w:t>
            </w:r>
            <w:r>
              <w:rPr>
                <w:rFonts w:eastAsiaTheme="minorEastAsia"/>
                <w:color w:val="000000" w:themeColor="text1"/>
                <w:szCs w:val="21"/>
              </w:rPr>
              <w:t>23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日）、易方达沪深</w:t>
            </w:r>
            <w:r>
              <w:rPr>
                <w:rFonts w:eastAsiaTheme="minorEastAsia"/>
                <w:color w:val="000000" w:themeColor="text1"/>
                <w:szCs w:val="21"/>
              </w:rPr>
              <w:t>300</w:t>
            </w:r>
            <w:r>
              <w:rPr>
                <w:rFonts w:eastAsiaTheme="minorEastAsia"/>
                <w:color w:val="000000" w:themeColor="text1"/>
                <w:szCs w:val="21"/>
              </w:rPr>
              <w:t>交易型开放式指数发起式证券投资基金联接基金的基金经理（自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06</w:t>
            </w:r>
            <w:r>
              <w:rPr>
                <w:rFonts w:eastAsiaTheme="minorEastAsia"/>
                <w:color w:val="000000" w:themeColor="text1"/>
                <w:szCs w:val="21"/>
              </w:rPr>
              <w:t>月</w:t>
            </w:r>
            <w:r>
              <w:rPr>
                <w:rFonts w:eastAsiaTheme="minorEastAsia"/>
                <w:color w:val="000000" w:themeColor="text1"/>
                <w:szCs w:val="21"/>
              </w:rPr>
              <w:t>23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日）、易方达沪深</w:t>
            </w:r>
            <w:r>
              <w:rPr>
                <w:rFonts w:eastAsiaTheme="minorEastAsia"/>
                <w:color w:val="000000" w:themeColor="text1"/>
                <w:szCs w:val="21"/>
              </w:rPr>
              <w:t>300</w:t>
            </w:r>
            <w:r>
              <w:rPr>
                <w:rFonts w:eastAsiaTheme="minorEastAsia"/>
                <w:color w:val="000000" w:themeColor="text1"/>
                <w:szCs w:val="21"/>
              </w:rPr>
              <w:t>交易型开放式指数发起式证券投资基金的基金经理（自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06</w:t>
            </w:r>
            <w:r>
              <w:rPr>
                <w:rFonts w:eastAsiaTheme="minorEastAsia"/>
                <w:color w:val="000000" w:themeColor="text1"/>
                <w:szCs w:val="21"/>
              </w:rPr>
              <w:t>月</w:t>
            </w:r>
            <w:r>
              <w:rPr>
                <w:rFonts w:eastAsiaTheme="minorEastAsia"/>
                <w:color w:val="000000" w:themeColor="text1"/>
                <w:szCs w:val="21"/>
              </w:rPr>
              <w:t>23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日）、易方达国企改革指数分级证券投资基金的基金经理（自</w:t>
            </w:r>
            <w:r>
              <w:rPr>
                <w:rFonts w:eastAsiaTheme="minorEastAsia"/>
                <w:color w:val="000000" w:themeColor="text1"/>
                <w:szCs w:val="21"/>
              </w:rPr>
              <w:t>2017</w:t>
            </w:r>
            <w:r>
              <w:rPr>
                <w:rFonts w:eastAsiaTheme="minorEastAsia"/>
                <w:color w:val="000000" w:themeColor="text1"/>
                <w:szCs w:val="21"/>
              </w:rPr>
              <w:t>年</w:t>
            </w:r>
            <w:r>
              <w:rPr>
                <w:rFonts w:eastAsiaTheme="minorEastAsia"/>
                <w:color w:val="000000" w:themeColor="text1"/>
                <w:szCs w:val="21"/>
              </w:rPr>
              <w:t>06</w:t>
            </w:r>
            <w:r>
              <w:rPr>
                <w:rFonts w:eastAsiaTheme="minorEastAsia"/>
                <w:color w:val="000000" w:themeColor="text1"/>
                <w:szCs w:val="21"/>
              </w:rPr>
              <w:t>月</w:t>
            </w:r>
            <w:r>
              <w:rPr>
                <w:rFonts w:eastAsiaTheme="minorEastAsia"/>
                <w:color w:val="000000" w:themeColor="text1"/>
                <w:szCs w:val="21"/>
              </w:rPr>
              <w:t>23</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17</w:t>
            </w:r>
            <w:r>
              <w:rPr>
                <w:rFonts w:eastAsiaTheme="minorEastAsia"/>
                <w:color w:val="000000" w:themeColor="text1"/>
                <w:szCs w:val="21"/>
              </w:rPr>
              <w:t>日）、易方达中证</w:t>
            </w:r>
            <w:r>
              <w:rPr>
                <w:rFonts w:eastAsiaTheme="minorEastAsia"/>
                <w:color w:val="000000" w:themeColor="text1"/>
                <w:szCs w:val="21"/>
              </w:rPr>
              <w:t>500</w:t>
            </w:r>
            <w:r>
              <w:rPr>
                <w:rFonts w:eastAsiaTheme="minorEastAsia"/>
                <w:color w:val="000000" w:themeColor="text1"/>
                <w:szCs w:val="21"/>
              </w:rPr>
              <w:t>交易型开放式指数证券投资基金发起式联接基金的基金经理（自</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20</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03</w:t>
            </w:r>
            <w:r>
              <w:rPr>
                <w:rFonts w:eastAsiaTheme="minorEastAsia"/>
                <w:color w:val="000000" w:themeColor="text1"/>
                <w:szCs w:val="21"/>
              </w:rPr>
              <w:t>月</w:t>
            </w:r>
            <w:r>
              <w:rPr>
                <w:rFonts w:eastAsiaTheme="minorEastAsia"/>
                <w:color w:val="000000" w:themeColor="text1"/>
                <w:szCs w:val="21"/>
              </w:rPr>
              <w:t>25</w:t>
            </w:r>
            <w:r>
              <w:rPr>
                <w:rFonts w:eastAsiaTheme="minorEastAsia"/>
                <w:color w:val="000000" w:themeColor="text1"/>
                <w:szCs w:val="21"/>
              </w:rPr>
              <w:t>日）、易方达中证国企一带一路交易型开放式指数证券投资基金的基金经理、易方达中证国企一带一路交易型开放式指数证券投资基金发起式联接基金的基金经理、易方达中证浙江新动能交易型开放式指数证券投资基金的基金经理、指数增强投资部总经理助理</w:t>
            </w:r>
          </w:p>
        </w:tc>
        <w:tc>
          <w:tcPr>
            <w:tcW w:w="0" w:type="auto"/>
            <w:vAlign w:val="center"/>
          </w:tcPr>
          <w:p w:rsidR="000265E6" w:rsidRDefault="004D56B3">
            <w:pPr>
              <w:jc w:val="center"/>
            </w:pPr>
            <w:r>
              <w:rPr>
                <w:rFonts w:eastAsiaTheme="minorEastAsia"/>
                <w:color w:val="000000" w:themeColor="text1"/>
                <w:szCs w:val="21"/>
              </w:rPr>
              <w:t>2020-04-24</w:t>
            </w:r>
          </w:p>
        </w:tc>
        <w:tc>
          <w:tcPr>
            <w:tcW w:w="0" w:type="auto"/>
            <w:vAlign w:val="center"/>
          </w:tcPr>
          <w:p w:rsidR="000265E6" w:rsidRDefault="004D56B3">
            <w:pPr>
              <w:jc w:val="center"/>
            </w:pPr>
            <w:r>
              <w:rPr>
                <w:rFonts w:eastAsiaTheme="minorEastAsia"/>
                <w:color w:val="000000" w:themeColor="text1"/>
                <w:szCs w:val="21"/>
              </w:rPr>
              <w:t>-</w:t>
            </w:r>
          </w:p>
        </w:tc>
        <w:tc>
          <w:tcPr>
            <w:tcW w:w="0" w:type="auto"/>
            <w:vAlign w:val="center"/>
          </w:tcPr>
          <w:p w:rsidR="000265E6" w:rsidRDefault="004D56B3">
            <w:pPr>
              <w:jc w:val="center"/>
            </w:pPr>
            <w:r>
              <w:rPr>
                <w:rFonts w:eastAsiaTheme="minorEastAsia"/>
                <w:color w:val="000000" w:themeColor="text1"/>
                <w:szCs w:val="21"/>
              </w:rPr>
              <w:t>11</w:t>
            </w:r>
            <w:r>
              <w:rPr>
                <w:rFonts w:eastAsiaTheme="minorEastAsia"/>
                <w:color w:val="000000" w:themeColor="text1"/>
                <w:szCs w:val="21"/>
              </w:rPr>
              <w:t>年</w:t>
            </w:r>
          </w:p>
        </w:tc>
        <w:tc>
          <w:tcPr>
            <w:tcW w:w="0" w:type="auto"/>
            <w:vAlign w:val="center"/>
          </w:tcPr>
          <w:p w:rsidR="000265E6" w:rsidRDefault="004D56B3">
            <w:pPr>
              <w:jc w:val="left"/>
            </w:pPr>
            <w:r>
              <w:rPr>
                <w:rFonts w:eastAsiaTheme="minorEastAsia"/>
                <w:color w:val="000000" w:themeColor="text1"/>
                <w:szCs w:val="21"/>
              </w:rPr>
              <w:t>硕士研究生，具有基金从业资格。曾任易方达基金管理有限公司北京分公司渠道经理、指数与量化投资部高级账户经理、解决方案部总经理助理。</w:t>
            </w:r>
          </w:p>
        </w:tc>
      </w:tr>
      <w:tr w:rsidR="000265E6">
        <w:tc>
          <w:tcPr>
            <w:tcW w:w="0" w:type="auto"/>
            <w:vAlign w:val="center"/>
          </w:tcPr>
          <w:p w:rsidR="000265E6" w:rsidRDefault="004D56B3">
            <w:pPr>
              <w:jc w:val="center"/>
            </w:pPr>
            <w:r>
              <w:rPr>
                <w:rFonts w:eastAsiaTheme="minorEastAsia"/>
                <w:color w:val="000000" w:themeColor="text1"/>
                <w:szCs w:val="21"/>
              </w:rPr>
              <w:t>刘树荣</w:t>
            </w:r>
          </w:p>
        </w:tc>
        <w:tc>
          <w:tcPr>
            <w:tcW w:w="0" w:type="auto"/>
            <w:vAlign w:val="center"/>
          </w:tcPr>
          <w:p w:rsidR="000265E6" w:rsidRDefault="004D56B3">
            <w:pPr>
              <w:jc w:val="left"/>
            </w:pPr>
            <w:r>
              <w:rPr>
                <w:rFonts w:eastAsiaTheme="minorEastAsia"/>
                <w:color w:val="000000" w:themeColor="text1"/>
                <w:szCs w:val="21"/>
              </w:rPr>
              <w:t>本基金的基金经理、易方达深证</w:t>
            </w:r>
            <w:r>
              <w:rPr>
                <w:rFonts w:eastAsiaTheme="minorEastAsia"/>
                <w:color w:val="000000" w:themeColor="text1"/>
                <w:szCs w:val="21"/>
              </w:rPr>
              <w:t>100</w:t>
            </w:r>
            <w:r>
              <w:rPr>
                <w:rFonts w:eastAsiaTheme="minorEastAsia"/>
                <w:color w:val="000000" w:themeColor="text1"/>
                <w:szCs w:val="21"/>
              </w:rPr>
              <w:t>交易型开放式指数证券投资基金联接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rFonts w:eastAsiaTheme="minorEastAsia"/>
                <w:color w:val="000000" w:themeColor="text1"/>
                <w:szCs w:val="21"/>
              </w:rPr>
              <w:t>LOF</w:t>
            </w:r>
            <w:r>
              <w:rPr>
                <w:rFonts w:eastAsiaTheme="minorEastAsia"/>
                <w:color w:val="000000" w:themeColor="text1"/>
                <w:szCs w:val="21"/>
              </w:rPr>
              <w:t>）的基金经理、易方达创业板交易型开放式指数证券投资基金的基金经理、易方达深证</w:t>
            </w:r>
            <w:r>
              <w:rPr>
                <w:rFonts w:eastAsiaTheme="minorEastAsia"/>
                <w:color w:val="000000" w:themeColor="text1"/>
                <w:szCs w:val="21"/>
              </w:rPr>
              <w:t>100</w:t>
            </w:r>
            <w:r>
              <w:rPr>
                <w:rFonts w:eastAsiaTheme="minorEastAsia"/>
                <w:color w:val="000000" w:themeColor="text1"/>
                <w:szCs w:val="21"/>
              </w:rPr>
              <w:t>交易型开放式指数基金的基金经理、易方达标普</w:t>
            </w:r>
            <w:r>
              <w:rPr>
                <w:rFonts w:eastAsiaTheme="minorEastAsia"/>
                <w:color w:val="000000" w:themeColor="text1"/>
                <w:szCs w:val="21"/>
              </w:rPr>
              <w:t>500</w:t>
            </w:r>
            <w:r>
              <w:rPr>
                <w:rFonts w:eastAsiaTheme="minorEastAsia"/>
                <w:color w:val="000000" w:themeColor="text1"/>
                <w:szCs w:val="21"/>
              </w:rPr>
              <w:t>指数证券投资基金（</w:t>
            </w:r>
            <w:r>
              <w:rPr>
                <w:rFonts w:eastAsiaTheme="minorEastAsia"/>
                <w:color w:val="000000" w:themeColor="text1"/>
                <w:szCs w:val="21"/>
              </w:rPr>
              <w:t>LOF</w:t>
            </w:r>
            <w:r>
              <w:rPr>
                <w:rFonts w:eastAsiaTheme="minorEastAsia"/>
                <w:color w:val="000000" w:themeColor="text1"/>
                <w:szCs w:val="21"/>
              </w:rPr>
              <w:t>）的基金经理、易方达上证中盘交易型开放式指数证券投资基金的基金经理、易方达上证中盘交易型开放式指数证券投资基金联接基金的基金经理、易方达标普生物科技指数证券投资基金（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日）、易方达标普信息科技指数证券投资基金（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日）、易方达香港恒生综合小型股指数证券投资基金（</w:t>
            </w:r>
            <w:r>
              <w:rPr>
                <w:rFonts w:eastAsiaTheme="minorEastAsia"/>
                <w:color w:val="000000" w:themeColor="text1"/>
                <w:szCs w:val="21"/>
              </w:rPr>
              <w:t>LOF</w:t>
            </w:r>
            <w:r>
              <w:rPr>
                <w:rFonts w:eastAsiaTheme="minorEastAsia"/>
                <w:color w:val="000000" w:themeColor="text1"/>
                <w:szCs w:val="21"/>
              </w:rPr>
              <w:t>）的基金经理、易方达标普医疗保健指数证券投资基金（</w:t>
            </w:r>
            <w:r>
              <w:rPr>
                <w:rFonts w:eastAsiaTheme="minorEastAsia"/>
                <w:color w:val="000000" w:themeColor="text1"/>
                <w:szCs w:val="21"/>
              </w:rPr>
              <w:t>LOF</w:t>
            </w:r>
            <w:r>
              <w:rPr>
                <w:rFonts w:eastAsiaTheme="minorEastAsia"/>
                <w:color w:val="000000" w:themeColor="text1"/>
                <w:szCs w:val="21"/>
              </w:rPr>
              <w:t>）的基金经理（自</w:t>
            </w:r>
            <w:r>
              <w:rPr>
                <w:rFonts w:eastAsiaTheme="minorEastAsia"/>
                <w:color w:val="000000" w:themeColor="text1"/>
                <w:szCs w:val="21"/>
              </w:rPr>
              <w:t>2018</w:t>
            </w:r>
            <w:r>
              <w:rPr>
                <w:rFonts w:eastAsiaTheme="minorEastAsia"/>
                <w:color w:val="000000" w:themeColor="text1"/>
                <w:szCs w:val="21"/>
              </w:rPr>
              <w:t>年</w:t>
            </w:r>
            <w:r>
              <w:rPr>
                <w:rFonts w:eastAsiaTheme="minorEastAsia"/>
                <w:color w:val="000000" w:themeColor="text1"/>
                <w:szCs w:val="21"/>
              </w:rPr>
              <w:t>08</w:t>
            </w:r>
            <w:r>
              <w:rPr>
                <w:rFonts w:eastAsiaTheme="minorEastAsia"/>
                <w:color w:val="000000" w:themeColor="text1"/>
                <w:szCs w:val="21"/>
              </w:rPr>
              <w:t>月</w:t>
            </w:r>
            <w:r>
              <w:rPr>
                <w:rFonts w:eastAsiaTheme="minorEastAsia"/>
                <w:color w:val="000000" w:themeColor="text1"/>
                <w:szCs w:val="21"/>
              </w:rPr>
              <w:t>11</w:t>
            </w:r>
            <w:r>
              <w:rPr>
                <w:rFonts w:eastAsiaTheme="minorEastAsia"/>
                <w:color w:val="000000" w:themeColor="text1"/>
                <w:szCs w:val="21"/>
              </w:rPr>
              <w:t>日至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04</w:t>
            </w:r>
            <w:r>
              <w:rPr>
                <w:rFonts w:eastAsiaTheme="minorEastAsia"/>
                <w:color w:val="000000" w:themeColor="text1"/>
                <w:szCs w:val="21"/>
              </w:rPr>
              <w:t>月</w:t>
            </w:r>
            <w:r>
              <w:rPr>
                <w:rFonts w:eastAsiaTheme="minorEastAsia"/>
                <w:color w:val="000000" w:themeColor="text1"/>
                <w:szCs w:val="21"/>
              </w:rPr>
              <w:t>22</w:t>
            </w:r>
            <w:r>
              <w:rPr>
                <w:rFonts w:eastAsiaTheme="minorEastAsia"/>
                <w:color w:val="000000" w:themeColor="text1"/>
                <w:szCs w:val="21"/>
              </w:rPr>
              <w:t>日）、易方达中证</w:t>
            </w:r>
            <w:r>
              <w:rPr>
                <w:rFonts w:eastAsiaTheme="minorEastAsia"/>
                <w:color w:val="000000" w:themeColor="text1"/>
                <w:szCs w:val="21"/>
              </w:rPr>
              <w:t>800</w:t>
            </w:r>
            <w:r>
              <w:rPr>
                <w:rFonts w:eastAsiaTheme="minorEastAsia"/>
                <w:color w:val="000000" w:themeColor="text1"/>
                <w:szCs w:val="21"/>
              </w:rPr>
              <w:t>交易型开放式指数证券投资基金的基金经理、易方达中证</w:t>
            </w:r>
            <w:r>
              <w:rPr>
                <w:rFonts w:eastAsiaTheme="minorEastAsia"/>
                <w:color w:val="000000" w:themeColor="text1"/>
                <w:szCs w:val="21"/>
              </w:rPr>
              <w:t>800</w:t>
            </w:r>
            <w:r>
              <w:rPr>
                <w:rFonts w:eastAsiaTheme="minorEastAsia"/>
                <w:color w:val="000000" w:themeColor="text1"/>
                <w:szCs w:val="21"/>
              </w:rPr>
              <w:t>交易型开放式指数证券投资基金发起式联接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的基金经理</w:t>
            </w:r>
          </w:p>
        </w:tc>
        <w:tc>
          <w:tcPr>
            <w:tcW w:w="0" w:type="auto"/>
            <w:vAlign w:val="center"/>
          </w:tcPr>
          <w:p w:rsidR="000265E6" w:rsidRDefault="004D56B3">
            <w:pPr>
              <w:jc w:val="center"/>
            </w:pPr>
            <w:r>
              <w:rPr>
                <w:rFonts w:eastAsiaTheme="minorEastAsia"/>
                <w:color w:val="000000" w:themeColor="text1"/>
                <w:szCs w:val="21"/>
              </w:rPr>
              <w:t>2020-04-28</w:t>
            </w:r>
          </w:p>
        </w:tc>
        <w:tc>
          <w:tcPr>
            <w:tcW w:w="0" w:type="auto"/>
            <w:vAlign w:val="center"/>
          </w:tcPr>
          <w:p w:rsidR="000265E6" w:rsidRDefault="004D56B3">
            <w:pPr>
              <w:jc w:val="center"/>
            </w:pPr>
            <w:r>
              <w:rPr>
                <w:rFonts w:eastAsiaTheme="minorEastAsia"/>
                <w:color w:val="000000" w:themeColor="text1"/>
                <w:szCs w:val="21"/>
              </w:rPr>
              <w:t>-</w:t>
            </w:r>
          </w:p>
        </w:tc>
        <w:tc>
          <w:tcPr>
            <w:tcW w:w="0" w:type="auto"/>
            <w:vAlign w:val="center"/>
          </w:tcPr>
          <w:p w:rsidR="000265E6" w:rsidRDefault="004D56B3">
            <w:pPr>
              <w:jc w:val="center"/>
            </w:pPr>
            <w:r>
              <w:rPr>
                <w:rFonts w:eastAsiaTheme="minorEastAsia"/>
                <w:color w:val="000000" w:themeColor="text1"/>
                <w:szCs w:val="21"/>
              </w:rPr>
              <w:t>13</w:t>
            </w:r>
            <w:r>
              <w:rPr>
                <w:rFonts w:eastAsiaTheme="minorEastAsia"/>
                <w:color w:val="000000" w:themeColor="text1"/>
                <w:szCs w:val="21"/>
              </w:rPr>
              <w:t>年</w:t>
            </w:r>
          </w:p>
        </w:tc>
        <w:tc>
          <w:tcPr>
            <w:tcW w:w="0" w:type="auto"/>
            <w:vAlign w:val="center"/>
          </w:tcPr>
          <w:p w:rsidR="000265E6" w:rsidRDefault="004D56B3">
            <w:pPr>
              <w:jc w:val="left"/>
            </w:pPr>
            <w:r>
              <w:rPr>
                <w:rFonts w:eastAsiaTheme="minorEastAsia"/>
                <w:color w:val="000000" w:themeColor="text1"/>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0265E6" w:rsidRDefault="004D56B3">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0A1449" w:rsidRDefault="00FC5407" w:rsidP="000A1449">
      <w:pPr>
        <w:tabs>
          <w:tab w:val="left" w:pos="426"/>
        </w:tabs>
        <w:spacing w:line="360" w:lineRule="auto"/>
        <w:ind w:firstLineChars="200" w:firstLine="420"/>
        <w:rPr>
          <w:kern w:val="0"/>
          <w:szCs w:val="21"/>
        </w:rPr>
      </w:pPr>
      <w:r w:rsidRPr="008707EB">
        <w:rPr>
          <w:rFonts w:eastAsiaTheme="minorEastAsia"/>
          <w:kern w:val="0"/>
          <w:szCs w:val="21"/>
        </w:rPr>
        <w:t>2.</w:t>
      </w:r>
      <w:r w:rsidRPr="008707EB">
        <w:rPr>
          <w:rFonts w:eastAsiaTheme="minorEastAsia"/>
          <w:kern w:val="0"/>
          <w:szCs w:val="21"/>
        </w:rPr>
        <w:t>证券从业的含义遵从《证券业从业人员资格管理办法》的相关规定。</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62423997"/>
      <w:bookmarkStart w:id="99" w:name="_Toc374459259"/>
      <w:bookmarkStart w:id="100" w:name="_Toc48660284"/>
      <w:r w:rsidRPr="0087359D">
        <w:rPr>
          <w:rFonts w:ascii="宋体" w:hAnsi="宋体"/>
          <w:kern w:val="0"/>
          <w:sz w:val="21"/>
          <w:szCs w:val="21"/>
        </w:rPr>
        <w:t>4.2</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境外投资顾问为本基金提供投资建议的主要成员简介</w:t>
      </w:r>
      <w:bookmarkEnd w:id="92"/>
      <w:bookmarkEnd w:id="93"/>
      <w:bookmarkEnd w:id="94"/>
      <w:bookmarkEnd w:id="95"/>
      <w:bookmarkEnd w:id="96"/>
      <w:bookmarkEnd w:id="97"/>
      <w:bookmarkEnd w:id="98"/>
      <w:bookmarkEnd w:id="99"/>
      <w:bookmarkEnd w:id="100"/>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本基金未聘请境外投资顾问。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1" w:name="_Toc225498256"/>
      <w:bookmarkStart w:id="102" w:name="_Toc352255974"/>
      <w:bookmarkStart w:id="103" w:name="_Toc352256042"/>
      <w:bookmarkStart w:id="104" w:name="_Toc352331220"/>
      <w:bookmarkStart w:id="105" w:name="_Toc362423998"/>
      <w:bookmarkStart w:id="106" w:name="_Toc374459260"/>
      <w:bookmarkStart w:id="107" w:name="_Toc48660285"/>
      <w:r w:rsidRPr="0087359D">
        <w:rPr>
          <w:rFonts w:ascii="宋体" w:hAnsi="宋体"/>
          <w:kern w:val="0"/>
          <w:sz w:val="21"/>
          <w:szCs w:val="21"/>
        </w:rPr>
        <w:t>4.3</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管理人对报告期内本基金运作遵规守信情况的说明</w:t>
      </w:r>
      <w:bookmarkEnd w:id="101"/>
      <w:bookmarkEnd w:id="102"/>
      <w:bookmarkEnd w:id="103"/>
      <w:bookmarkEnd w:id="104"/>
      <w:bookmarkEnd w:id="105"/>
      <w:bookmarkEnd w:id="106"/>
      <w:bookmarkEnd w:id="107"/>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08" w:name="_Toc225498257"/>
      <w:bookmarkStart w:id="109" w:name="_Toc352255975"/>
      <w:bookmarkStart w:id="110" w:name="_Toc352256043"/>
      <w:bookmarkStart w:id="111" w:name="_Toc352331221"/>
      <w:bookmarkStart w:id="112" w:name="_Toc362423999"/>
      <w:bookmarkStart w:id="113" w:name="_Toc374459261"/>
      <w:bookmarkStart w:id="114" w:name="_Toc48660286"/>
      <w:r w:rsidRPr="0087359D">
        <w:rPr>
          <w:rFonts w:ascii="宋体" w:hAnsi="宋体"/>
          <w:kern w:val="0"/>
          <w:sz w:val="21"/>
          <w:szCs w:val="21"/>
        </w:rPr>
        <w:t>4.4</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管理人对报告期内公平交易情况的专项说明</w:t>
      </w:r>
      <w:bookmarkEnd w:id="108"/>
      <w:bookmarkEnd w:id="109"/>
      <w:bookmarkEnd w:id="110"/>
      <w:bookmarkEnd w:id="111"/>
      <w:bookmarkEnd w:id="112"/>
      <w:bookmarkEnd w:id="113"/>
      <w:bookmarkEnd w:id="114"/>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4.4.1 </w:t>
      </w:r>
      <w:r w:rsidRPr="00C24ACA">
        <w:rPr>
          <w:rFonts w:eastAsiaTheme="minorEastAsia"/>
          <w:b/>
          <w:color w:val="000000" w:themeColor="text1"/>
          <w:kern w:val="0"/>
          <w:szCs w:val="21"/>
        </w:rPr>
        <w:t>公平交易制度的执行情况</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kern w:val="0"/>
          <w:szCs w:val="21"/>
        </w:rPr>
      </w:pPr>
      <w:r w:rsidRPr="00C24ACA">
        <w:rPr>
          <w:rFonts w:eastAsiaTheme="minorEastAsia"/>
          <w:b/>
          <w:color w:val="000000" w:themeColor="text1"/>
          <w:kern w:val="0"/>
          <w:szCs w:val="21"/>
        </w:rPr>
        <w:t xml:space="preserve">4.4.2 </w:t>
      </w:r>
      <w:r w:rsidRPr="00C24ACA">
        <w:rPr>
          <w:rFonts w:eastAsiaTheme="minorEastAsia"/>
          <w:b/>
          <w:color w:val="000000" w:themeColor="text1"/>
          <w:kern w:val="0"/>
          <w:szCs w:val="21"/>
        </w:rPr>
        <w:t>异常交易行为的专项说明</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本报告期内，公司旗下所有投资组合参与的交易所公开竞价交易中，同日反向交易成交较少的单边交易量超过该证券当日成交量的</w:t>
      </w:r>
      <w:r>
        <w:rPr>
          <w:rFonts w:eastAsiaTheme="minorEastAsia"/>
          <w:kern w:val="0"/>
          <w:szCs w:val="21"/>
        </w:rPr>
        <w:t>5%</w:t>
      </w:r>
      <w:r>
        <w:rPr>
          <w:rFonts w:eastAsiaTheme="minorEastAsia"/>
          <w:kern w:val="0"/>
          <w:szCs w:val="21"/>
        </w:rPr>
        <w:t>的交易共</w:t>
      </w:r>
      <w:r>
        <w:rPr>
          <w:rFonts w:eastAsiaTheme="minorEastAsia"/>
          <w:kern w:val="0"/>
          <w:szCs w:val="21"/>
        </w:rPr>
        <w:t>59</w:t>
      </w:r>
      <w:r>
        <w:rPr>
          <w:rFonts w:eastAsiaTheme="minorEastAsia"/>
          <w:kern w:val="0"/>
          <w:szCs w:val="21"/>
        </w:rPr>
        <w:t>次，均为指数量化投资组合因投资策略需要和其他组合发生的反向交易。</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本报告期内，未发现本基金有可能导致不公平交易和利益输送的异常交易。</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15" w:name="_Toc225498258"/>
      <w:bookmarkStart w:id="116" w:name="_Toc352255976"/>
      <w:bookmarkStart w:id="117" w:name="_Toc352256044"/>
      <w:bookmarkStart w:id="118" w:name="_Toc352331222"/>
      <w:bookmarkStart w:id="119" w:name="_Toc362424000"/>
      <w:bookmarkStart w:id="120" w:name="_Toc374459262"/>
      <w:bookmarkStart w:id="121" w:name="_Toc48660287"/>
      <w:r w:rsidRPr="0087359D">
        <w:rPr>
          <w:rFonts w:ascii="宋体" w:hAnsi="宋体"/>
          <w:kern w:val="0"/>
          <w:sz w:val="21"/>
          <w:szCs w:val="21"/>
        </w:rPr>
        <w:t>4.5</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管理人对报告期内基金的投资策略和业绩表现的说明</w:t>
      </w:r>
      <w:bookmarkEnd w:id="115"/>
      <w:bookmarkEnd w:id="116"/>
      <w:bookmarkEnd w:id="117"/>
      <w:bookmarkEnd w:id="118"/>
      <w:bookmarkEnd w:id="119"/>
      <w:bookmarkEnd w:id="120"/>
      <w:bookmarkEnd w:id="121"/>
    </w:p>
    <w:p w:rsidR="00FC5407" w:rsidRPr="00C24ACA" w:rsidRDefault="00FC5407" w:rsidP="00FC5407">
      <w:pPr>
        <w:spacing w:line="360" w:lineRule="auto"/>
        <w:rPr>
          <w:rFonts w:eastAsiaTheme="minorEastAsia"/>
          <w:b/>
          <w:color w:val="000000" w:themeColor="text1"/>
          <w:szCs w:val="21"/>
        </w:rPr>
      </w:pPr>
      <w:r w:rsidRPr="00C24ACA">
        <w:rPr>
          <w:rFonts w:eastAsiaTheme="minorEastAsia"/>
          <w:b/>
          <w:color w:val="000000" w:themeColor="text1"/>
          <w:szCs w:val="21"/>
        </w:rPr>
        <w:t>4.5.1</w:t>
      </w:r>
      <w:r w:rsidRPr="00C24ACA">
        <w:rPr>
          <w:rFonts w:eastAsiaTheme="minorEastAsia"/>
          <w:b/>
          <w:color w:val="000000" w:themeColor="text1"/>
          <w:szCs w:val="21"/>
        </w:rPr>
        <w:t>报告期内基金投资策略和运作分析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跟踪的标的指数为中证浙江新动能指数。中证浙江新动能指数选取全球主要交易所上市的浙江省企业作为样本股，采用自由流通市值加权，以全面反映浙江省上市企业的表现。目前，浙江新动能指数成份股上市地集中在沪深交易所、香港及美国交易所。</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2020</w:t>
      </w:r>
      <w:r>
        <w:rPr>
          <w:rFonts w:eastAsiaTheme="minorEastAsia"/>
          <w:kern w:val="0"/>
          <w:szCs w:val="21"/>
        </w:rPr>
        <w:t>年上半年，受新冠疫情的影响，全球股票市场大幅波动，尤其是</w:t>
      </w:r>
      <w:r>
        <w:rPr>
          <w:rFonts w:eastAsiaTheme="minorEastAsia"/>
          <w:kern w:val="0"/>
          <w:szCs w:val="21"/>
        </w:rPr>
        <w:t>3</w:t>
      </w:r>
      <w:r>
        <w:rPr>
          <w:rFonts w:eastAsiaTheme="minorEastAsia"/>
          <w:kern w:val="0"/>
          <w:szCs w:val="21"/>
        </w:rPr>
        <w:t>月份新冠疫情在海外蔓延后，美国标普</w:t>
      </w:r>
      <w:r>
        <w:rPr>
          <w:rFonts w:eastAsiaTheme="minorEastAsia"/>
          <w:kern w:val="0"/>
          <w:szCs w:val="21"/>
        </w:rPr>
        <w:t>500</w:t>
      </w:r>
      <w:r>
        <w:rPr>
          <w:rFonts w:eastAsiaTheme="minorEastAsia"/>
          <w:kern w:val="0"/>
          <w:szCs w:val="21"/>
        </w:rPr>
        <w:t>指数多次触发熔断，上证指数一度跌至</w:t>
      </w:r>
      <w:r>
        <w:rPr>
          <w:rFonts w:eastAsiaTheme="minorEastAsia"/>
          <w:kern w:val="0"/>
          <w:szCs w:val="21"/>
        </w:rPr>
        <w:t>2647</w:t>
      </w:r>
      <w:r>
        <w:rPr>
          <w:rFonts w:eastAsiaTheme="minorEastAsia"/>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rFonts w:eastAsiaTheme="minorEastAsia"/>
          <w:kern w:val="0"/>
          <w:szCs w:val="21"/>
        </w:rPr>
        <w:t>A</w:t>
      </w:r>
      <w:r>
        <w:rPr>
          <w:rFonts w:eastAsiaTheme="minorEastAsia"/>
          <w:kern w:val="0"/>
          <w:szCs w:val="21"/>
        </w:rPr>
        <w:t>股市场开始大幅上扬。行业上，医药、</w:t>
      </w:r>
      <w:r>
        <w:rPr>
          <w:rFonts w:eastAsiaTheme="minorEastAsia"/>
          <w:kern w:val="0"/>
          <w:szCs w:val="21"/>
        </w:rPr>
        <w:t>TMT</w:t>
      </w:r>
      <w:r>
        <w:rPr>
          <w:rFonts w:eastAsiaTheme="minorEastAsia"/>
          <w:kern w:val="0"/>
          <w:szCs w:val="21"/>
        </w:rPr>
        <w:t>、消费等行业表现较好，大幅战胜市场；而金融、采掘等周期行业仍然受疫情影响较大，涨幅靠后。港股市场二季度也跟随全球市场反弹。今年以来南下资金持续流入港股市场，总额合计约</w:t>
      </w:r>
      <w:r>
        <w:rPr>
          <w:rFonts w:eastAsiaTheme="minorEastAsia"/>
          <w:kern w:val="0"/>
          <w:szCs w:val="21"/>
        </w:rPr>
        <w:t>2700</w:t>
      </w:r>
      <w:r>
        <w:rPr>
          <w:rFonts w:eastAsiaTheme="minorEastAsia"/>
          <w:kern w:val="0"/>
          <w:szCs w:val="21"/>
        </w:rPr>
        <w:t>亿人民币，反映出市场对港股的认可。上半年，以阿里巴巴为代表的浙江省企业二级市场表现较好，中证浙江新动能指数上涨</w:t>
      </w:r>
      <w:r>
        <w:rPr>
          <w:rFonts w:eastAsiaTheme="minorEastAsia"/>
          <w:kern w:val="0"/>
          <w:szCs w:val="21"/>
        </w:rPr>
        <w:t>7.2%</w:t>
      </w:r>
      <w:r>
        <w:rPr>
          <w:rFonts w:eastAsiaTheme="minorEastAsia"/>
          <w:kern w:val="0"/>
          <w:szCs w:val="21"/>
        </w:rPr>
        <w:t>（人民币计价），沪深</w:t>
      </w:r>
      <w:r>
        <w:rPr>
          <w:rFonts w:eastAsiaTheme="minorEastAsia"/>
          <w:kern w:val="0"/>
          <w:szCs w:val="21"/>
        </w:rPr>
        <w:t>300</w:t>
      </w:r>
      <w:r>
        <w:rPr>
          <w:rFonts w:eastAsiaTheme="minorEastAsia"/>
          <w:kern w:val="0"/>
          <w:szCs w:val="21"/>
        </w:rPr>
        <w:t>指数上涨</w:t>
      </w:r>
      <w:r>
        <w:rPr>
          <w:rFonts w:eastAsiaTheme="minorEastAsia"/>
          <w:kern w:val="0"/>
          <w:szCs w:val="21"/>
        </w:rPr>
        <w:t>1.7%</w:t>
      </w:r>
      <w:r>
        <w:rPr>
          <w:rFonts w:eastAsiaTheme="minorEastAsia"/>
          <w:kern w:val="0"/>
          <w:szCs w:val="21"/>
        </w:rPr>
        <w:t>，浙江新动能指数走势优于沪深</w:t>
      </w:r>
      <w:r>
        <w:rPr>
          <w:rFonts w:eastAsiaTheme="minorEastAsia"/>
          <w:kern w:val="0"/>
          <w:szCs w:val="21"/>
        </w:rPr>
        <w:t>300</w:t>
      </w:r>
      <w:r>
        <w:rPr>
          <w:rFonts w:eastAsiaTheme="minorEastAsia"/>
          <w:kern w:val="0"/>
          <w:szCs w:val="21"/>
        </w:rPr>
        <w:t>指数。</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本基金是易方达中证浙江新动能</w:t>
      </w:r>
      <w:r w:rsidRPr="008707EB">
        <w:rPr>
          <w:rFonts w:eastAsiaTheme="minorEastAsia"/>
          <w:kern w:val="0"/>
          <w:szCs w:val="21"/>
        </w:rPr>
        <w:t>ETF</w:t>
      </w:r>
      <w:r w:rsidRPr="008707EB">
        <w:rPr>
          <w:rFonts w:eastAsiaTheme="minorEastAsia"/>
          <w:kern w:val="0"/>
          <w:szCs w:val="21"/>
        </w:rPr>
        <w:t>的联接基金，主要投资于易方达中证浙江新动能</w:t>
      </w:r>
      <w:r w:rsidRPr="008707EB">
        <w:rPr>
          <w:rFonts w:eastAsiaTheme="minorEastAsia"/>
          <w:kern w:val="0"/>
          <w:szCs w:val="21"/>
        </w:rPr>
        <w:t>ETF</w:t>
      </w:r>
      <w:r w:rsidRPr="008707EB">
        <w:rPr>
          <w:rFonts w:eastAsiaTheme="minorEastAsia"/>
          <w:kern w:val="0"/>
          <w:szCs w:val="21"/>
        </w:rPr>
        <w:t>。基金运作层面，报告期内，本基金严守基金合同认真对待投资者申购、赎回以及成份股调整事项，保障基金的正常运作，本基金仍处于建仓期，基金跟踪误差以及日均偏离度等指标仍在调整之中。</w:t>
      </w:r>
    </w:p>
    <w:p w:rsidR="00FC5407" w:rsidRPr="00C24ACA" w:rsidRDefault="00FC5407" w:rsidP="006C64F3">
      <w:pPr>
        <w:autoSpaceDE w:val="0"/>
        <w:autoSpaceDN w:val="0"/>
        <w:adjustRightInd w:val="0"/>
        <w:spacing w:beforeLines="100" w:before="312" w:line="360" w:lineRule="auto"/>
        <w:jc w:val="left"/>
        <w:rPr>
          <w:rFonts w:eastAsiaTheme="minorEastAsia"/>
          <w:b/>
          <w:color w:val="000000" w:themeColor="text1"/>
          <w:szCs w:val="21"/>
        </w:rPr>
      </w:pPr>
      <w:r w:rsidRPr="00C24ACA">
        <w:rPr>
          <w:rFonts w:eastAsiaTheme="minorEastAsia"/>
          <w:b/>
          <w:color w:val="000000" w:themeColor="text1"/>
          <w:szCs w:val="21"/>
        </w:rPr>
        <w:t xml:space="preserve">4.5.2 </w:t>
      </w:r>
      <w:r w:rsidRPr="00C24ACA">
        <w:rPr>
          <w:rFonts w:eastAsiaTheme="minorEastAsia"/>
          <w:b/>
          <w:color w:val="000000" w:themeColor="text1"/>
          <w:szCs w:val="21"/>
        </w:rPr>
        <w:t>报告期内基金的业绩表现</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截至报告期末，本基金</w:t>
      </w:r>
      <w:r w:rsidRPr="008707EB">
        <w:rPr>
          <w:rFonts w:eastAsiaTheme="minorEastAsia"/>
          <w:kern w:val="0"/>
          <w:szCs w:val="21"/>
        </w:rPr>
        <w:t>A</w:t>
      </w:r>
      <w:r w:rsidRPr="008707EB">
        <w:rPr>
          <w:rFonts w:eastAsiaTheme="minorEastAsia"/>
          <w:kern w:val="0"/>
          <w:szCs w:val="21"/>
        </w:rPr>
        <w:t>类基金份额净值为</w:t>
      </w:r>
      <w:r w:rsidRPr="008707EB">
        <w:rPr>
          <w:rFonts w:eastAsiaTheme="minorEastAsia"/>
          <w:kern w:val="0"/>
          <w:szCs w:val="21"/>
        </w:rPr>
        <w:t>1.0100</w:t>
      </w:r>
      <w:r w:rsidRPr="008707EB">
        <w:rPr>
          <w:rFonts w:eastAsiaTheme="minorEastAsia"/>
          <w:kern w:val="0"/>
          <w:szCs w:val="21"/>
        </w:rPr>
        <w:t>元，本报告期份额净值增长率为</w:t>
      </w:r>
      <w:r w:rsidRPr="008707EB">
        <w:rPr>
          <w:rFonts w:eastAsiaTheme="minorEastAsia"/>
          <w:kern w:val="0"/>
          <w:szCs w:val="21"/>
        </w:rPr>
        <w:t>1.00%</w:t>
      </w:r>
      <w:r w:rsidRPr="008707EB">
        <w:rPr>
          <w:rFonts w:eastAsiaTheme="minorEastAsia"/>
          <w:kern w:val="0"/>
          <w:szCs w:val="21"/>
        </w:rPr>
        <w:t>，同期业绩比较基准收益率为</w:t>
      </w:r>
      <w:r w:rsidRPr="008707EB">
        <w:rPr>
          <w:rFonts w:eastAsiaTheme="minorEastAsia"/>
          <w:kern w:val="0"/>
          <w:szCs w:val="21"/>
        </w:rPr>
        <w:t>12.99%</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类基金份额净值为</w:t>
      </w:r>
      <w:r w:rsidRPr="008707EB">
        <w:rPr>
          <w:rFonts w:eastAsiaTheme="minorEastAsia"/>
          <w:kern w:val="0"/>
          <w:szCs w:val="21"/>
        </w:rPr>
        <w:t>1.0097</w:t>
      </w:r>
      <w:r w:rsidRPr="008707EB">
        <w:rPr>
          <w:rFonts w:eastAsiaTheme="minorEastAsia"/>
          <w:kern w:val="0"/>
          <w:szCs w:val="21"/>
        </w:rPr>
        <w:t>元，本报告期份额净值增长率为</w:t>
      </w:r>
      <w:r w:rsidRPr="008707EB">
        <w:rPr>
          <w:rFonts w:eastAsiaTheme="minorEastAsia"/>
          <w:kern w:val="0"/>
          <w:szCs w:val="21"/>
        </w:rPr>
        <w:t>0.97%</w:t>
      </w:r>
      <w:r w:rsidRPr="008707EB">
        <w:rPr>
          <w:rFonts w:eastAsiaTheme="minorEastAsia"/>
          <w:kern w:val="0"/>
          <w:szCs w:val="21"/>
        </w:rPr>
        <w:t>，同期业绩比较基准收益率为</w:t>
      </w:r>
      <w:r w:rsidRPr="008707EB">
        <w:rPr>
          <w:rFonts w:eastAsiaTheme="minorEastAsia"/>
          <w:kern w:val="0"/>
          <w:szCs w:val="21"/>
        </w:rPr>
        <w:t>12.99%</w:t>
      </w:r>
      <w:r w:rsidRPr="008707EB">
        <w:rPr>
          <w:rFonts w:eastAsiaTheme="minorEastAsia"/>
          <w:kern w:val="0"/>
          <w:szCs w:val="21"/>
        </w:rPr>
        <w:t>。受建仓期影响，年化跟踪误差为</w:t>
      </w:r>
      <w:r w:rsidRPr="008707EB">
        <w:rPr>
          <w:rFonts w:eastAsiaTheme="minorEastAsia"/>
          <w:kern w:val="0"/>
          <w:szCs w:val="21"/>
        </w:rPr>
        <w:t>15.76%</w:t>
      </w:r>
      <w:r w:rsidRPr="008707EB">
        <w:rPr>
          <w:rFonts w:eastAsiaTheme="minorEastAsia"/>
          <w:kern w:val="0"/>
          <w:szCs w:val="21"/>
        </w:rPr>
        <w:t>。</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2" w:name="_Toc225498259"/>
      <w:bookmarkStart w:id="123" w:name="_Toc352255977"/>
      <w:bookmarkStart w:id="124" w:name="_Toc352256045"/>
      <w:bookmarkStart w:id="125" w:name="_Toc352331223"/>
      <w:bookmarkStart w:id="126" w:name="_Toc362424001"/>
      <w:bookmarkStart w:id="127" w:name="_Toc374459263"/>
      <w:bookmarkStart w:id="128" w:name="_Toc48660288"/>
      <w:r w:rsidRPr="0087359D">
        <w:rPr>
          <w:rFonts w:ascii="宋体" w:hAnsi="宋体"/>
          <w:kern w:val="0"/>
          <w:sz w:val="21"/>
          <w:szCs w:val="21"/>
        </w:rPr>
        <w:t>4.6</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管理人对宏观经济、证券市场及行业走势的简要展望</w:t>
      </w:r>
      <w:bookmarkEnd w:id="122"/>
      <w:bookmarkEnd w:id="123"/>
      <w:bookmarkEnd w:id="124"/>
      <w:bookmarkEnd w:id="125"/>
      <w:bookmarkEnd w:id="126"/>
      <w:bookmarkEnd w:id="127"/>
      <w:bookmarkEnd w:id="128"/>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展望下半年，稳增长、保就业仍是国内各项政策出发点，宽财政、松货币等经济刺激政策仍将持续。随着生产生活逐步恢复正常，前期政策逐步落地将支持下半年经济逐渐修复，预计下半年</w:t>
      </w:r>
      <w:r>
        <w:rPr>
          <w:rFonts w:eastAsiaTheme="minorEastAsia"/>
          <w:kern w:val="0"/>
          <w:szCs w:val="21"/>
        </w:rPr>
        <w:t>GDP</w:t>
      </w:r>
      <w:r>
        <w:rPr>
          <w:rFonts w:eastAsiaTheme="minorEastAsia"/>
          <w:kern w:val="0"/>
          <w:szCs w:val="21"/>
        </w:rPr>
        <w:t>增速将回归正常区间。</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下半年证券市场走势难以延续</w:t>
      </w:r>
      <w:r w:rsidRPr="008707EB">
        <w:rPr>
          <w:rFonts w:eastAsiaTheme="minorEastAsia"/>
          <w:kern w:val="0"/>
          <w:szCs w:val="21"/>
        </w:rPr>
        <w:t>7</w:t>
      </w:r>
      <w:r w:rsidRPr="008707EB">
        <w:rPr>
          <w:rFonts w:eastAsiaTheme="minorEastAsia"/>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浙江新动能指数成份股上市地横跨陆、港、美，外部不确定性影响更大。作为被动投资的基金，本基金将坚持既定的指数化投资策略，以严格控制基金相对目标指数的跟踪偏离为投资目标，致力于为投资者提供分享中国经济增长的优质指数产品。</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29" w:name="_Toc247959457"/>
      <w:bookmarkStart w:id="130" w:name="_Toc225570083"/>
      <w:bookmarkStart w:id="131" w:name="_Toc352255979"/>
      <w:bookmarkStart w:id="132" w:name="_Toc352256047"/>
      <w:bookmarkStart w:id="133" w:name="_Toc352331225"/>
      <w:bookmarkStart w:id="134" w:name="_Toc362424003"/>
      <w:bookmarkStart w:id="135" w:name="_Toc374459265"/>
      <w:bookmarkStart w:id="136" w:name="_Toc48660289"/>
      <w:r w:rsidRPr="0087359D">
        <w:rPr>
          <w:rFonts w:ascii="宋体" w:hAnsi="宋体"/>
          <w:kern w:val="0"/>
          <w:sz w:val="21"/>
          <w:szCs w:val="21"/>
        </w:rPr>
        <w:t>4.7</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管理人对报告期内基金估值程序等事项的说明</w:t>
      </w:r>
      <w:bookmarkEnd w:id="129"/>
      <w:bookmarkEnd w:id="130"/>
      <w:bookmarkEnd w:id="131"/>
      <w:bookmarkEnd w:id="132"/>
      <w:bookmarkEnd w:id="133"/>
      <w:bookmarkEnd w:id="134"/>
      <w:bookmarkEnd w:id="135"/>
      <w:bookmarkEnd w:id="136"/>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本报告期内，参与估值流程各方之间不存在任何重大利益冲突。</w:t>
      </w:r>
      <w:r>
        <w:rPr>
          <w:rFonts w:eastAsiaTheme="minorEastAsia"/>
          <w:kern w:val="0"/>
          <w:szCs w:val="21"/>
        </w:rPr>
        <w:t xml:space="preserve"> </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37" w:name="_Toc247959458"/>
      <w:bookmarkStart w:id="138" w:name="_Toc225570084"/>
      <w:bookmarkStart w:id="139" w:name="_Toc352255980"/>
      <w:bookmarkStart w:id="140" w:name="_Toc352256048"/>
      <w:bookmarkStart w:id="141" w:name="_Toc352331226"/>
      <w:bookmarkStart w:id="142" w:name="_Toc362424004"/>
      <w:bookmarkStart w:id="143" w:name="_Toc374459266"/>
      <w:bookmarkStart w:id="144" w:name="_Toc48660290"/>
      <w:r w:rsidRPr="0087359D">
        <w:rPr>
          <w:rFonts w:ascii="宋体" w:hAnsi="宋体"/>
          <w:kern w:val="0"/>
          <w:sz w:val="21"/>
          <w:szCs w:val="21"/>
        </w:rPr>
        <w:t>4.8</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管理人对报告期内基金利润分配情况的说明</w:t>
      </w:r>
      <w:bookmarkEnd w:id="137"/>
      <w:bookmarkEnd w:id="138"/>
      <w:bookmarkEnd w:id="139"/>
      <w:bookmarkEnd w:id="140"/>
      <w:bookmarkEnd w:id="141"/>
      <w:bookmarkEnd w:id="142"/>
      <w:bookmarkEnd w:id="143"/>
      <w:bookmarkEnd w:id="144"/>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易方达中证浙江新动能</w:t>
      </w:r>
      <w:r>
        <w:rPr>
          <w:rFonts w:eastAsiaTheme="minorEastAsia"/>
          <w:kern w:val="0"/>
          <w:szCs w:val="21"/>
        </w:rPr>
        <w:t>ETF</w:t>
      </w:r>
      <w:r>
        <w:rPr>
          <w:rFonts w:eastAsiaTheme="minorEastAsia"/>
          <w:kern w:val="0"/>
          <w:szCs w:val="21"/>
        </w:rPr>
        <w:t>联接（</w:t>
      </w:r>
      <w:r>
        <w:rPr>
          <w:rFonts w:eastAsiaTheme="minorEastAsia"/>
          <w:kern w:val="0"/>
          <w:szCs w:val="21"/>
        </w:rPr>
        <w:t>QDII</w:t>
      </w:r>
      <w:r>
        <w:rPr>
          <w:rFonts w:eastAsiaTheme="minorEastAsia"/>
          <w:kern w:val="0"/>
          <w:szCs w:val="21"/>
        </w:rPr>
        <w:t>）</w:t>
      </w:r>
      <w:r>
        <w:rPr>
          <w:rFonts w:eastAsiaTheme="minorEastAsia"/>
          <w:kern w:val="0"/>
          <w:szCs w:val="21"/>
        </w:rPr>
        <w:t>A:</w:t>
      </w:r>
      <w:r>
        <w:rPr>
          <w:rFonts w:eastAsiaTheme="minorEastAsia"/>
          <w:kern w:val="0"/>
          <w:szCs w:val="21"/>
        </w:rPr>
        <w:t>本报告期内未实施利润分配。</w:t>
      </w:r>
    </w:p>
    <w:p w:rsidR="00FC5407"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易方达中证浙江新动能</w:t>
      </w:r>
      <w:r w:rsidRPr="008707EB">
        <w:rPr>
          <w:rFonts w:eastAsiaTheme="minorEastAsia"/>
          <w:kern w:val="0"/>
          <w:szCs w:val="21"/>
        </w:rPr>
        <w:t>ETF</w:t>
      </w:r>
      <w:r w:rsidRPr="008707EB">
        <w:rPr>
          <w:rFonts w:eastAsiaTheme="minorEastAsia"/>
          <w:kern w:val="0"/>
          <w:szCs w:val="21"/>
        </w:rPr>
        <w:t>联接（</w:t>
      </w:r>
      <w:r w:rsidRPr="008707EB">
        <w:rPr>
          <w:rFonts w:eastAsiaTheme="minorEastAsia"/>
          <w:kern w:val="0"/>
          <w:szCs w:val="21"/>
        </w:rPr>
        <w:t>QDII</w:t>
      </w:r>
      <w:r w:rsidRPr="008707EB">
        <w:rPr>
          <w:rFonts w:eastAsiaTheme="minorEastAsia"/>
          <w:kern w:val="0"/>
          <w:szCs w:val="21"/>
        </w:rPr>
        <w:t>）</w:t>
      </w:r>
      <w:r w:rsidRPr="008707EB">
        <w:rPr>
          <w:rFonts w:eastAsiaTheme="minorEastAsia"/>
          <w:kern w:val="0"/>
          <w:szCs w:val="21"/>
        </w:rPr>
        <w:t>C:</w:t>
      </w:r>
      <w:r w:rsidRPr="008707EB">
        <w:rPr>
          <w:rFonts w:eastAsiaTheme="minorEastAsia"/>
          <w:kern w:val="0"/>
          <w:szCs w:val="21"/>
        </w:rPr>
        <w:t>本报告期内未实施利润分配。</w:t>
      </w:r>
    </w:p>
    <w:p w:rsidR="00FC5407" w:rsidRPr="00A317EA" w:rsidRDefault="00FC5407" w:rsidP="006C64F3">
      <w:pPr>
        <w:pStyle w:val="20"/>
        <w:spacing w:beforeLines="100" w:before="312" w:after="0"/>
        <w:rPr>
          <w:rFonts w:ascii="Times New Roman" w:eastAsiaTheme="minorEastAsia" w:hAnsi="Times New Roman"/>
          <w:kern w:val="0"/>
          <w:sz w:val="21"/>
          <w:szCs w:val="21"/>
        </w:rPr>
      </w:pPr>
      <w:bookmarkStart w:id="145" w:name="_Toc48660291"/>
      <w:r w:rsidRPr="0087359D">
        <w:rPr>
          <w:rFonts w:ascii="宋体" w:hAnsi="宋体"/>
          <w:kern w:val="0"/>
          <w:sz w:val="21"/>
          <w:szCs w:val="21"/>
        </w:rPr>
        <w:t>4.9</w:t>
      </w:r>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报告期内管理人对本基金持有人数或基金资产净值预警情形的说明</w:t>
      </w:r>
      <w:bookmarkEnd w:id="145"/>
    </w:p>
    <w:p w:rsidR="002D7BFF" w:rsidRPr="008707EB" w:rsidRDefault="00FC5407"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自</w:t>
      </w:r>
      <w:r w:rsidRPr="008707EB">
        <w:rPr>
          <w:rFonts w:eastAsiaTheme="minorEastAsia"/>
          <w:kern w:val="0"/>
          <w:szCs w:val="21"/>
        </w:rPr>
        <w:t>2020</w:t>
      </w:r>
      <w:r w:rsidRPr="008707EB">
        <w:rPr>
          <w:rFonts w:eastAsiaTheme="minorEastAsia"/>
          <w:kern w:val="0"/>
          <w:szCs w:val="21"/>
        </w:rPr>
        <w:t>年</w:t>
      </w:r>
      <w:r w:rsidRPr="008707EB">
        <w:rPr>
          <w:rFonts w:eastAsiaTheme="minorEastAsia"/>
          <w:kern w:val="0"/>
          <w:szCs w:val="21"/>
        </w:rPr>
        <w:t>6</w:t>
      </w:r>
      <w:r w:rsidRPr="008707EB">
        <w:rPr>
          <w:rFonts w:eastAsiaTheme="minorEastAsia"/>
          <w:kern w:val="0"/>
          <w:szCs w:val="21"/>
        </w:rPr>
        <w:t>月</w:t>
      </w:r>
      <w:r w:rsidRPr="008707EB">
        <w:rPr>
          <w:rFonts w:eastAsiaTheme="minorEastAsia"/>
          <w:kern w:val="0"/>
          <w:szCs w:val="21"/>
        </w:rPr>
        <w:t>24</w:t>
      </w:r>
      <w:r w:rsidRPr="008707EB">
        <w:rPr>
          <w:rFonts w:eastAsiaTheme="minorEastAsia"/>
          <w:kern w:val="0"/>
          <w:szCs w:val="21"/>
        </w:rPr>
        <w:t>日至本报告期末，本基金均存在连续二十个工作日基金资产净值低于五千万元的情形。</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46" w:name="_Toc225498263"/>
      <w:bookmarkStart w:id="147" w:name="_Toc352255982"/>
      <w:bookmarkStart w:id="148" w:name="_Toc352256050"/>
      <w:bookmarkStart w:id="149" w:name="_Toc352331228"/>
      <w:bookmarkStart w:id="150" w:name="_Toc390164811"/>
      <w:bookmarkStart w:id="151" w:name="_Toc48660292"/>
      <w:r w:rsidRPr="000C6CCD">
        <w:rPr>
          <w:rFonts w:ascii="宋体" w:hAnsi="宋体"/>
          <w:bCs w:val="0"/>
          <w:color w:val="000000"/>
          <w:sz w:val="21"/>
          <w:szCs w:val="21"/>
        </w:rPr>
        <w:t>5</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托管人报告</w:t>
      </w:r>
      <w:bookmarkEnd w:id="146"/>
      <w:bookmarkEnd w:id="147"/>
      <w:bookmarkEnd w:id="148"/>
      <w:bookmarkEnd w:id="149"/>
      <w:bookmarkEnd w:id="150"/>
      <w:bookmarkEnd w:id="151"/>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2" w:name="_Toc225498264"/>
      <w:bookmarkStart w:id="153" w:name="_Toc352255983"/>
      <w:bookmarkStart w:id="154" w:name="_Toc352256051"/>
      <w:bookmarkStart w:id="155" w:name="_Toc352331229"/>
      <w:bookmarkStart w:id="156" w:name="_Toc390164812"/>
      <w:bookmarkStart w:id="157" w:name="_Toc48660293"/>
      <w:r w:rsidRPr="0087359D">
        <w:rPr>
          <w:rFonts w:ascii="宋体" w:hAnsi="宋体"/>
          <w:kern w:val="0"/>
          <w:sz w:val="21"/>
          <w:szCs w:val="21"/>
        </w:rPr>
        <w:t>5.1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报告期内本基金托管人遵规守信情况声明</w:t>
      </w:r>
      <w:bookmarkEnd w:id="152"/>
      <w:bookmarkEnd w:id="153"/>
      <w:bookmarkEnd w:id="154"/>
      <w:bookmarkEnd w:id="155"/>
      <w:bookmarkEnd w:id="156"/>
      <w:bookmarkEnd w:id="157"/>
    </w:p>
    <w:p w:rsidR="002716B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w:t>
      </w:r>
      <w:r w:rsidRPr="00C24ACA">
        <w:rPr>
          <w:rFonts w:eastAsiaTheme="minorEastAsia"/>
          <w:kern w:val="0"/>
          <w:szCs w:val="21"/>
        </w:rPr>
        <w:t>,</w:t>
      </w:r>
      <w:r w:rsidRPr="00C24ACA">
        <w:rPr>
          <w:rFonts w:eastAsiaTheme="minorEastAsia"/>
          <w:kern w:val="0"/>
          <w:szCs w:val="21"/>
        </w:rPr>
        <w:t>本基金托管人在对易方达中证浙江新动能交易型开放式指数证券投资基金联接基金的托管过程中</w:t>
      </w:r>
      <w:r w:rsidRPr="00C24ACA">
        <w:rPr>
          <w:rFonts w:eastAsiaTheme="minorEastAsia"/>
          <w:kern w:val="0"/>
          <w:szCs w:val="21"/>
        </w:rPr>
        <w:t>,</w:t>
      </w:r>
      <w:r w:rsidRPr="00C24ACA">
        <w:rPr>
          <w:rFonts w:eastAsiaTheme="minorEastAsia"/>
          <w:kern w:val="0"/>
          <w:szCs w:val="21"/>
        </w:rPr>
        <w:t>严格遵守《证券投资基金法》及其他法律法规和基金合同的有关规定</w:t>
      </w:r>
      <w:r w:rsidRPr="00C24ACA">
        <w:rPr>
          <w:rFonts w:eastAsiaTheme="minorEastAsia"/>
          <w:kern w:val="0"/>
          <w:szCs w:val="21"/>
        </w:rPr>
        <w:t>,</w:t>
      </w:r>
      <w:r w:rsidRPr="00C24ACA">
        <w:rPr>
          <w:rFonts w:eastAsiaTheme="minorEastAsia"/>
          <w:kern w:val="0"/>
          <w:szCs w:val="21"/>
        </w:rPr>
        <w:t>不存在任何损害基金份额持有人利益的行为</w:t>
      </w:r>
      <w:r w:rsidRPr="00C24ACA">
        <w:rPr>
          <w:rFonts w:eastAsiaTheme="minorEastAsia"/>
          <w:kern w:val="0"/>
          <w:szCs w:val="21"/>
        </w:rPr>
        <w:t>,</w:t>
      </w:r>
      <w:r w:rsidRPr="00C24ACA">
        <w:rPr>
          <w:rFonts w:eastAsiaTheme="minorEastAsia"/>
          <w:kern w:val="0"/>
          <w:szCs w:val="21"/>
        </w:rPr>
        <w:t>完全尽职尽责地履行了基金托管人应尽的义务。</w:t>
      </w:r>
      <w:r w:rsidRPr="00C24ACA">
        <w:rPr>
          <w:rFonts w:eastAsiaTheme="minorEastAsia"/>
          <w:kern w:val="0"/>
          <w:szCs w:val="21"/>
        </w:rPr>
        <w:t xml:space="preserve"> </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58" w:name="_Toc225498265"/>
      <w:bookmarkStart w:id="159" w:name="_Toc352255984"/>
      <w:bookmarkStart w:id="160" w:name="_Toc352256052"/>
      <w:bookmarkStart w:id="161" w:name="_Toc352331230"/>
      <w:bookmarkStart w:id="162" w:name="_Toc390164813"/>
      <w:bookmarkStart w:id="163" w:name="_Toc48660294"/>
      <w:r w:rsidRPr="0087359D">
        <w:rPr>
          <w:rFonts w:ascii="宋体" w:hAnsi="宋体"/>
          <w:kern w:val="0"/>
          <w:sz w:val="21"/>
          <w:szCs w:val="21"/>
        </w:rPr>
        <w:t>5.2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托管人对报告期内本基金投资运作遵规守信、净值计算、利润分配等情况的</w:t>
      </w:r>
      <w:bookmarkEnd w:id="158"/>
      <w:r w:rsidRPr="00C24ACA">
        <w:rPr>
          <w:rFonts w:ascii="Times New Roman" w:eastAsiaTheme="minorEastAsia" w:hAnsi="Times New Roman"/>
          <w:kern w:val="0"/>
          <w:sz w:val="21"/>
          <w:szCs w:val="21"/>
        </w:rPr>
        <w:t>说明</w:t>
      </w:r>
      <w:bookmarkEnd w:id="159"/>
      <w:bookmarkEnd w:id="160"/>
      <w:bookmarkEnd w:id="161"/>
      <w:bookmarkEnd w:id="162"/>
      <w:bookmarkEnd w:id="163"/>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w:t>
      </w:r>
      <w:r w:rsidRPr="00C24ACA">
        <w:rPr>
          <w:rFonts w:eastAsiaTheme="minorEastAsia"/>
          <w:kern w:val="0"/>
          <w:szCs w:val="21"/>
        </w:rPr>
        <w:t>,</w:t>
      </w:r>
      <w:r w:rsidRPr="00C24ACA">
        <w:rPr>
          <w:rFonts w:eastAsiaTheme="minorEastAsia"/>
          <w:kern w:val="0"/>
          <w:szCs w:val="21"/>
        </w:rPr>
        <w:t>易方达中证浙江新动能交易型开放式指数证券投资基金联接基金的管理人</w:t>
      </w:r>
      <w:r w:rsidRPr="00C24ACA">
        <w:rPr>
          <w:rFonts w:eastAsiaTheme="minorEastAsia"/>
          <w:kern w:val="0"/>
          <w:szCs w:val="21"/>
        </w:rPr>
        <w:t>——</w:t>
      </w:r>
      <w:r w:rsidRPr="00C24ACA">
        <w:rPr>
          <w:rFonts w:eastAsiaTheme="minorEastAsia"/>
          <w:kern w:val="0"/>
          <w:szCs w:val="21"/>
        </w:rPr>
        <w:t>易方达基金管理有限公司在易方达中证浙江新动能交易型开放式指数证券投资基金联接基金的投资运作、基金资产净值计算、基金份额申购赎回价格计算、基金费用开支等问题上</w:t>
      </w:r>
      <w:r w:rsidRPr="00C24ACA">
        <w:rPr>
          <w:rFonts w:eastAsiaTheme="minorEastAsia"/>
          <w:kern w:val="0"/>
          <w:szCs w:val="21"/>
        </w:rPr>
        <w:t>,</w:t>
      </w:r>
      <w:r w:rsidRPr="00C24ACA">
        <w:rPr>
          <w:rFonts w:eastAsiaTheme="minorEastAsia"/>
          <w:kern w:val="0"/>
          <w:szCs w:val="21"/>
        </w:rPr>
        <w:t>不存在任何损害基金份额持有人利益的行为</w:t>
      </w:r>
      <w:r w:rsidRPr="00C24ACA">
        <w:rPr>
          <w:rFonts w:eastAsiaTheme="minorEastAsia"/>
          <w:kern w:val="0"/>
          <w:szCs w:val="21"/>
        </w:rPr>
        <w:t>,</w:t>
      </w:r>
      <w:r w:rsidRPr="00C24ACA">
        <w:rPr>
          <w:rFonts w:eastAsiaTheme="minorEastAsia"/>
          <w:kern w:val="0"/>
          <w:szCs w:val="21"/>
        </w:rPr>
        <w:t>在各重要方面的运作严格按照基金合同的规定进行。本报告期内</w:t>
      </w:r>
      <w:r w:rsidRPr="00C24ACA">
        <w:rPr>
          <w:rFonts w:eastAsiaTheme="minorEastAsia"/>
          <w:kern w:val="0"/>
          <w:szCs w:val="21"/>
        </w:rPr>
        <w:t>,</w:t>
      </w:r>
      <w:r w:rsidRPr="00C24ACA">
        <w:rPr>
          <w:rFonts w:eastAsiaTheme="minorEastAsia"/>
          <w:kern w:val="0"/>
          <w:szCs w:val="21"/>
        </w:rPr>
        <w:t>易方达中证浙江新动能交易型开放式指数证券投资基金联接基金未进行利润分配。</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64" w:name="_Toc225498266"/>
      <w:bookmarkStart w:id="165" w:name="_Toc352255985"/>
      <w:bookmarkStart w:id="166" w:name="_Toc352256053"/>
      <w:bookmarkStart w:id="167" w:name="_Toc352331231"/>
      <w:bookmarkStart w:id="168" w:name="_Toc390164814"/>
      <w:bookmarkStart w:id="169" w:name="_Toc48660295"/>
      <w:r w:rsidRPr="0087359D">
        <w:rPr>
          <w:rFonts w:ascii="宋体" w:hAnsi="宋体"/>
          <w:kern w:val="0"/>
          <w:sz w:val="21"/>
          <w:szCs w:val="21"/>
        </w:rPr>
        <w:t>5.3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托管人对本</w:t>
      </w:r>
      <w:r w:rsidR="00A85FA3">
        <w:rPr>
          <w:rFonts w:ascii="Times New Roman" w:eastAsiaTheme="minorEastAsia" w:hAnsi="Times New Roman"/>
          <w:kern w:val="0"/>
          <w:sz w:val="21"/>
          <w:szCs w:val="21"/>
        </w:rPr>
        <w:t>中期</w:t>
      </w:r>
      <w:r w:rsidRPr="00C24ACA">
        <w:rPr>
          <w:rFonts w:ascii="Times New Roman" w:eastAsiaTheme="minorEastAsia" w:hAnsi="Times New Roman"/>
          <w:kern w:val="0"/>
          <w:sz w:val="21"/>
          <w:szCs w:val="21"/>
        </w:rPr>
        <w:t>报告中财务信息等内容的真实、准确和完整发表意见</w:t>
      </w:r>
      <w:bookmarkEnd w:id="164"/>
      <w:bookmarkEnd w:id="165"/>
      <w:bookmarkEnd w:id="166"/>
      <w:bookmarkEnd w:id="167"/>
      <w:bookmarkEnd w:id="168"/>
      <w:bookmarkEnd w:id="169"/>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本托管人依法对易方达基金管理有限公司编制和披露的易方达中证浙江新动能交易型开放式指数证券投资基金联接基金</w:t>
      </w:r>
      <w:r w:rsidRPr="00C24ACA">
        <w:rPr>
          <w:rFonts w:eastAsiaTheme="minorEastAsia"/>
          <w:kern w:val="0"/>
          <w:szCs w:val="21"/>
        </w:rPr>
        <w:t>2020</w:t>
      </w:r>
      <w:r w:rsidRPr="00C24ACA">
        <w:rPr>
          <w:rFonts w:eastAsiaTheme="minorEastAsia"/>
          <w:kern w:val="0"/>
          <w:szCs w:val="21"/>
        </w:rPr>
        <w:t>年中期报告中财务指标、净值表现、利润分配情况、财务会计报告、投资组合报告等内容进行了核查</w:t>
      </w:r>
      <w:r w:rsidRPr="00C24ACA">
        <w:rPr>
          <w:rFonts w:eastAsiaTheme="minorEastAsia"/>
          <w:kern w:val="0"/>
          <w:szCs w:val="21"/>
        </w:rPr>
        <w:t>,</w:t>
      </w:r>
      <w:r w:rsidRPr="00C24ACA">
        <w:rPr>
          <w:rFonts w:eastAsiaTheme="minorEastAsia"/>
          <w:kern w:val="0"/>
          <w:szCs w:val="21"/>
        </w:rPr>
        <w:t>以上内容真实、准确和完整。</w:t>
      </w:r>
      <w:r w:rsidRPr="00C24ACA">
        <w:rPr>
          <w:rFonts w:eastAsiaTheme="minorEastAsia"/>
          <w:kern w:val="0"/>
          <w:szCs w:val="21"/>
        </w:rPr>
        <w:t xml:space="preserve"> </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70" w:name="_Toc331410096"/>
      <w:bookmarkStart w:id="171" w:name="_Toc390164815"/>
      <w:bookmarkStart w:id="172" w:name="_Toc48660296"/>
      <w:r w:rsidRPr="000C6CCD">
        <w:rPr>
          <w:rFonts w:ascii="宋体" w:hAnsi="宋体"/>
          <w:bCs w:val="0"/>
          <w:color w:val="000000"/>
          <w:sz w:val="21"/>
          <w:szCs w:val="21"/>
        </w:rPr>
        <w:t>6</w:t>
      </w:r>
      <w:bookmarkEnd w:id="170"/>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半年度财务会计报告（未经审计）</w:t>
      </w:r>
      <w:bookmarkEnd w:id="171"/>
      <w:bookmarkEnd w:id="172"/>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3" w:name="_Toc225498268"/>
      <w:bookmarkStart w:id="174" w:name="_Toc352255991"/>
      <w:bookmarkStart w:id="175" w:name="_Toc352256059"/>
      <w:bookmarkStart w:id="176" w:name="_Toc352331237"/>
      <w:bookmarkStart w:id="177" w:name="_Toc390164816"/>
      <w:bookmarkStart w:id="178" w:name="_Toc48660297"/>
      <w:r w:rsidRPr="0087359D">
        <w:rPr>
          <w:rFonts w:ascii="宋体" w:hAnsi="宋体"/>
          <w:kern w:val="0"/>
          <w:sz w:val="21"/>
          <w:szCs w:val="21"/>
        </w:rPr>
        <w:t>6.1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资产负债表</w:t>
      </w:r>
      <w:bookmarkEnd w:id="173"/>
      <w:bookmarkEnd w:id="174"/>
      <w:bookmarkEnd w:id="175"/>
      <w:bookmarkEnd w:id="176"/>
      <w:bookmarkEnd w:id="177"/>
      <w:bookmarkEnd w:id="178"/>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会计主体：易方达中证浙江新动能交易型开放式指数证券投资基金联接基金</w:t>
      </w:r>
    </w:p>
    <w:p w:rsidR="008A5A5D" w:rsidRPr="00C24ACA" w:rsidRDefault="008A5A5D" w:rsidP="00316012">
      <w:pPr>
        <w:spacing w:line="360" w:lineRule="auto"/>
        <w:rPr>
          <w:rFonts w:eastAsiaTheme="minorEastAsia"/>
          <w:color w:val="000000"/>
          <w:szCs w:val="21"/>
        </w:rPr>
      </w:pPr>
      <w:r w:rsidRPr="00C24ACA">
        <w:rPr>
          <w:rFonts w:eastAsiaTheme="minorEastAsia"/>
          <w:color w:val="000000"/>
          <w:szCs w:val="21"/>
        </w:rPr>
        <w:t>报告截止日：</w:t>
      </w:r>
      <w:r w:rsidR="00AC4A34" w:rsidRPr="00C24ACA">
        <w:rPr>
          <w:rFonts w:eastAsiaTheme="minorEastAsia"/>
          <w:color w:val="000000"/>
          <w:szCs w:val="21"/>
        </w:rPr>
        <w:t>2020</w:t>
      </w:r>
      <w:r w:rsidR="00AC4A34" w:rsidRPr="00C24ACA">
        <w:rPr>
          <w:rFonts w:eastAsiaTheme="minorEastAsia"/>
          <w:color w:val="000000"/>
          <w:szCs w:val="21"/>
        </w:rPr>
        <w:t>年</w:t>
      </w:r>
      <w:r w:rsidR="00AC4A34" w:rsidRPr="00C24ACA">
        <w:rPr>
          <w:rFonts w:eastAsiaTheme="minorEastAsia"/>
          <w:color w:val="000000"/>
          <w:szCs w:val="21"/>
        </w:rPr>
        <w:t>6</w:t>
      </w:r>
      <w:r w:rsidR="00AC4A34" w:rsidRPr="00C24ACA">
        <w:rPr>
          <w:rFonts w:eastAsiaTheme="minorEastAsia"/>
          <w:color w:val="000000"/>
          <w:szCs w:val="21"/>
        </w:rPr>
        <w:t>月</w:t>
      </w:r>
      <w:r w:rsidR="00AC4A34" w:rsidRPr="00C24ACA">
        <w:rPr>
          <w:rFonts w:eastAsiaTheme="minorEastAsia"/>
          <w:color w:val="000000"/>
          <w:szCs w:val="21"/>
        </w:rPr>
        <w:t>30</w:t>
      </w:r>
      <w:r w:rsidR="00AC4A34" w:rsidRPr="00C24ACA">
        <w:rPr>
          <w:rFonts w:eastAsiaTheme="minorEastAsia"/>
          <w:color w:val="00000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1"/>
        <w:gridCol w:w="5039"/>
      </w:tblGrid>
      <w:tr w:rsidR="008A5A5D" w:rsidRPr="00C24ACA" w:rsidTr="006D141C">
        <w:tc>
          <w:tcPr>
            <w:tcW w:w="288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资产</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5040" w:type="dxa"/>
            <w:hMerge w:val="restart"/>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hMerge/>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资产：</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p>
        </w:tc>
        <w:tc>
          <w:tcPr>
            <w:tcW w:w="504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银行存款</w:t>
            </w:r>
          </w:p>
        </w:tc>
        <w:tc>
          <w:tcPr>
            <w:tcW w:w="1080" w:type="dxa"/>
            <w:vAlign w:val="center"/>
          </w:tcPr>
          <w:p w:rsidR="00AE103C" w:rsidRPr="00C24ACA" w:rsidRDefault="00AE103C" w:rsidP="00A97A4E">
            <w:pPr>
              <w:widowControl/>
              <w:autoSpaceDE w:val="0"/>
              <w:autoSpaceDN w:val="0"/>
              <w:ind w:right="-15"/>
              <w:jc w:val="center"/>
              <w:textAlignment w:val="bottom"/>
              <w:rPr>
                <w:rFonts w:eastAsiaTheme="minorEastAsia"/>
                <w:color w:val="000000"/>
                <w:szCs w:val="21"/>
              </w:rPr>
            </w:pPr>
            <w:r w:rsidRPr="00C24ACA">
              <w:rPr>
                <w:rFonts w:eastAsiaTheme="minorEastAsia"/>
                <w:color w:val="000000"/>
                <w:szCs w:val="21"/>
              </w:rPr>
              <w:t>6.4.7.1</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15,952,515.83</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结算备付金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37,413.68</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存出保证金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821.51</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交易性金融资产</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6,125,184.65</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其中：股票投资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rsidP="008134C7">
            <w:pPr>
              <w:pStyle w:val="af6"/>
              <w:ind w:firstLineChars="300" w:firstLine="630"/>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基金投资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6,125,184.65</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742218">
        <w:tc>
          <w:tcPr>
            <w:tcW w:w="2880" w:type="dxa"/>
            <w:vAlign w:val="center"/>
          </w:tcPr>
          <w:p w:rsidR="0076511D" w:rsidRPr="00390233" w:rsidRDefault="0076511D" w:rsidP="00742218">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6511D" w:rsidRPr="00390233" w:rsidRDefault="0076511D" w:rsidP="00742218">
            <w:pPr>
              <w:pStyle w:val="af6"/>
              <w:spacing w:line="360" w:lineRule="auto"/>
              <w:jc w:val="center"/>
              <w:rPr>
                <w:rFonts w:ascii="Times New Roman" w:eastAsiaTheme="majorEastAsia" w:hAnsi="Times New Roman"/>
                <w:color w:val="000000"/>
                <w:sz w:val="21"/>
                <w:szCs w:val="21"/>
              </w:rPr>
            </w:pPr>
          </w:p>
        </w:tc>
        <w:tc>
          <w:tcPr>
            <w:tcW w:w="5040" w:type="dxa"/>
            <w:hMerge w:val="restart"/>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c>
          <w:tcPr>
            <w:tcW w:w="2520" w:type="dxa"/>
            <w:hMerge/>
            <w:vAlign w:val="center"/>
          </w:tcPr>
          <w:p w:rsidR="0076511D" w:rsidRPr="00390233" w:rsidRDefault="0076511D" w:rsidP="00742218">
            <w:pPr>
              <w:spacing w:line="360" w:lineRule="auto"/>
              <w:jc w:val="right"/>
              <w:rPr>
                <w:rFonts w:eastAsiaTheme="majorEastAsia"/>
                <w:color w:val="000000"/>
                <w:szCs w:val="21"/>
              </w:rPr>
            </w:pPr>
            <w:r w:rsidRPr="00390233">
              <w:rPr>
                <w:rFonts w:eastAsiaTheme="maj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衍生金融资产</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买入返售金融资产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6.4.7.4</w:t>
            </w: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应收证券清算款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应收利息</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6.4.7.5</w:t>
            </w: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1,628.03</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应收股利</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应收申购款</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27,219.19</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递延所得税资产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color w:val="000000"/>
                <w:szCs w:val="21"/>
              </w:rPr>
            </w:pPr>
            <w:r w:rsidRPr="00C24ACA">
              <w:rPr>
                <w:rFonts w:eastAsiaTheme="minorEastAsia"/>
                <w:color w:val="000000"/>
                <w:szCs w:val="21"/>
              </w:rPr>
              <w:t>其他资产</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6.4.7.6</w:t>
            </w:r>
          </w:p>
        </w:tc>
        <w:tc>
          <w:tcPr>
            <w:tcW w:w="504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D141C">
        <w:tc>
          <w:tcPr>
            <w:tcW w:w="2880" w:type="dxa"/>
          </w:tcPr>
          <w:p w:rsidR="0076511D" w:rsidRPr="00C24ACA" w:rsidRDefault="0076511D">
            <w:pPr>
              <w:rPr>
                <w:rFonts w:eastAsiaTheme="minorEastAsia"/>
                <w:b/>
                <w:color w:val="000000"/>
                <w:szCs w:val="21"/>
              </w:rPr>
            </w:pPr>
            <w:r w:rsidRPr="00C24ACA">
              <w:rPr>
                <w:rFonts w:eastAsiaTheme="minorEastAsia"/>
                <w:b/>
                <w:color w:val="000000"/>
                <w:szCs w:val="21"/>
              </w:rPr>
              <w:t>资产总计</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22,144,782.89</w:t>
            </w:r>
          </w:p>
        </w:tc>
        <w:tc>
          <w:tcPr>
            <w:tcW w:w="2520" w:type="dxa"/>
            <w:hMerge/>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w:t>
            </w:r>
          </w:p>
        </w:tc>
      </w:tr>
      <w:tr w:rsidR="008A5A5D" w:rsidRPr="00C24ACA" w:rsidTr="006D141C">
        <w:tc>
          <w:tcPr>
            <w:tcW w:w="28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负债和所有者权益</w:t>
            </w:r>
          </w:p>
        </w:tc>
        <w:tc>
          <w:tcPr>
            <w:tcW w:w="1080" w:type="dxa"/>
            <w:vAlign w:val="center"/>
          </w:tcPr>
          <w:p w:rsidR="008A5A5D" w:rsidRPr="00C24ACA" w:rsidRDefault="008A5A5D">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5040" w:type="dxa"/>
            <w:hMerge w:val="restart"/>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本期末</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kern w:val="2"/>
                <w:sz w:val="21"/>
                <w:szCs w:val="21"/>
              </w:rPr>
              <w:t>2020</w:t>
            </w:r>
            <w:r w:rsidRPr="00C24ACA">
              <w:rPr>
                <w:rFonts w:ascii="Times New Roman" w:eastAsiaTheme="minorEastAsia" w:hAnsi="Times New Roman"/>
                <w:b/>
                <w:color w:val="000000"/>
                <w:kern w:val="2"/>
                <w:sz w:val="21"/>
                <w:szCs w:val="21"/>
              </w:rPr>
              <w:t>年</w:t>
            </w:r>
            <w:r w:rsidRPr="00C24ACA">
              <w:rPr>
                <w:rFonts w:ascii="Times New Roman" w:eastAsiaTheme="minorEastAsia" w:hAnsi="Times New Roman"/>
                <w:b/>
                <w:color w:val="000000"/>
                <w:kern w:val="2"/>
                <w:sz w:val="21"/>
                <w:szCs w:val="21"/>
              </w:rPr>
              <w:t>6</w:t>
            </w:r>
            <w:r w:rsidRPr="00C24ACA">
              <w:rPr>
                <w:rFonts w:ascii="Times New Roman" w:eastAsiaTheme="minorEastAsia" w:hAnsi="Times New Roman"/>
                <w:b/>
                <w:color w:val="000000"/>
                <w:kern w:val="2"/>
                <w:sz w:val="21"/>
                <w:szCs w:val="21"/>
              </w:rPr>
              <w:t>月</w:t>
            </w:r>
            <w:r w:rsidRPr="00C24ACA">
              <w:rPr>
                <w:rFonts w:ascii="Times New Roman" w:eastAsiaTheme="minorEastAsia" w:hAnsi="Times New Roman"/>
                <w:b/>
                <w:color w:val="000000"/>
                <w:kern w:val="2"/>
                <w:sz w:val="21"/>
                <w:szCs w:val="21"/>
              </w:rPr>
              <w:t>30</w:t>
            </w:r>
            <w:r w:rsidRPr="00C24ACA">
              <w:rPr>
                <w:rFonts w:ascii="Times New Roman" w:eastAsiaTheme="minorEastAsia" w:hAnsi="Times New Roman"/>
                <w:b/>
                <w:color w:val="000000"/>
                <w:kern w:val="2"/>
                <w:sz w:val="21"/>
                <w:szCs w:val="21"/>
              </w:rPr>
              <w:t>日</w:t>
            </w:r>
          </w:p>
        </w:tc>
        <w:tc>
          <w:tcPr>
            <w:tcW w:w="2520" w:type="dxa"/>
            <w:hMerge/>
            <w:vAlign w:val="center"/>
          </w:tcPr>
          <w:p w:rsidR="008A5A5D" w:rsidRPr="00C24ACA" w:rsidRDefault="008A5A5D">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上年度末</w:t>
            </w:r>
          </w:p>
          <w:p w:rsidR="008A5A5D" w:rsidRPr="00C24ACA" w:rsidRDefault="00D561C5">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短期借款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交易性金融负债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衍生金融负债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6.4.7.3</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卖出回购金融资产款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应付证券清算款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3,201,688.73</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应付赎回款</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1,926,836.46</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应付管理人报酬</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7,314.79</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应付托管费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2,194.42</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应付销售服务费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1,325.00</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应付交易费用</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6.4.7.7</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应交税费</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应付利息</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应付利润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递延所得税负债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其他负债</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6.4.7.8</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17,701.48</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vAlign w:val="center"/>
          </w:tcPr>
          <w:p w:rsidR="00AE103C" w:rsidRPr="00C24ACA" w:rsidRDefault="00AE103C">
            <w:pPr>
              <w:pStyle w:val="af6"/>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负债合计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5,157,060.88</w:t>
            </w:r>
          </w:p>
        </w:tc>
        <w:tc>
          <w:tcPr>
            <w:tcW w:w="252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c>
          <w:tcPr>
            <w:tcW w:w="252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实收基金</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6.4.7.9</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16,821,035.52</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color w:val="000000"/>
                <w:szCs w:val="21"/>
              </w:rPr>
            </w:pPr>
            <w:r w:rsidRPr="00C24ACA">
              <w:rPr>
                <w:rFonts w:eastAsiaTheme="minorEastAsia"/>
                <w:color w:val="000000"/>
                <w:szCs w:val="21"/>
              </w:rPr>
              <w:t>未分配利润</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6.4.7.10</w:t>
            </w:r>
          </w:p>
        </w:tc>
        <w:tc>
          <w:tcPr>
            <w:tcW w:w="504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166,686.49</w:t>
            </w:r>
          </w:p>
        </w:tc>
        <w:tc>
          <w:tcPr>
            <w:tcW w:w="252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所有者权益合计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16,987,722.01</w:t>
            </w:r>
          </w:p>
        </w:tc>
        <w:tc>
          <w:tcPr>
            <w:tcW w:w="252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D141C">
        <w:tc>
          <w:tcPr>
            <w:tcW w:w="2880" w:type="dxa"/>
          </w:tcPr>
          <w:p w:rsidR="00AE103C" w:rsidRPr="00C24ACA" w:rsidRDefault="00AE103C">
            <w:pPr>
              <w:rPr>
                <w:rFonts w:eastAsiaTheme="minorEastAsia"/>
                <w:b/>
                <w:color w:val="000000"/>
                <w:szCs w:val="21"/>
              </w:rPr>
            </w:pPr>
            <w:r w:rsidRPr="00C24ACA">
              <w:rPr>
                <w:rFonts w:eastAsiaTheme="minorEastAsia"/>
                <w:b/>
                <w:color w:val="000000"/>
                <w:szCs w:val="21"/>
              </w:rPr>
              <w:t>负债和所有者权益总计</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504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22,144,782.89</w:t>
            </w:r>
          </w:p>
        </w:tc>
        <w:tc>
          <w:tcPr>
            <w:tcW w:w="252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本基金合同生效日为</w:t>
      </w: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24</w:t>
      </w:r>
      <w:r>
        <w:rPr>
          <w:rFonts w:eastAsiaTheme="minorEastAsia"/>
          <w:kern w:val="0"/>
          <w:szCs w:val="21"/>
        </w:rPr>
        <w:t>日，</w:t>
      </w:r>
      <w:r>
        <w:rPr>
          <w:rFonts w:eastAsiaTheme="minorEastAsia"/>
          <w:kern w:val="0"/>
          <w:szCs w:val="21"/>
        </w:rPr>
        <w:t>2020</w:t>
      </w:r>
      <w:r>
        <w:rPr>
          <w:rFonts w:eastAsiaTheme="minorEastAsia"/>
          <w:kern w:val="0"/>
          <w:szCs w:val="21"/>
        </w:rPr>
        <w:t>年半年度实际报告期间为</w:t>
      </w: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24</w:t>
      </w:r>
      <w:r>
        <w:rPr>
          <w:rFonts w:eastAsiaTheme="minorEastAsia"/>
          <w:kern w:val="0"/>
          <w:szCs w:val="21"/>
        </w:rPr>
        <w:t>日至</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日。截至报告期末本基金合同生效未满一年，本报告期的财务报表及报表附注均无同期对比数据。</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报告截止日</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w:t>
      </w:r>
      <w:r w:rsidRPr="00C24ACA">
        <w:rPr>
          <w:rFonts w:eastAsiaTheme="minorEastAsia"/>
          <w:kern w:val="0"/>
          <w:szCs w:val="21"/>
        </w:rPr>
        <w:t>A</w:t>
      </w:r>
      <w:r w:rsidRPr="00C24ACA">
        <w:rPr>
          <w:rFonts w:eastAsiaTheme="minorEastAsia"/>
          <w:kern w:val="0"/>
          <w:szCs w:val="21"/>
        </w:rPr>
        <w:t>类基金份额净值</w:t>
      </w:r>
      <w:r w:rsidRPr="00C24ACA">
        <w:rPr>
          <w:rFonts w:eastAsiaTheme="minorEastAsia"/>
          <w:kern w:val="0"/>
          <w:szCs w:val="21"/>
        </w:rPr>
        <w:t>1.0100</w:t>
      </w:r>
      <w:r w:rsidRPr="00C24ACA">
        <w:rPr>
          <w:rFonts w:eastAsiaTheme="minorEastAsia"/>
          <w:kern w:val="0"/>
          <w:szCs w:val="21"/>
        </w:rPr>
        <w:t>元，</w:t>
      </w:r>
      <w:r w:rsidRPr="00C24ACA">
        <w:rPr>
          <w:rFonts w:eastAsiaTheme="minorEastAsia"/>
          <w:kern w:val="0"/>
          <w:szCs w:val="21"/>
        </w:rPr>
        <w:t>C</w:t>
      </w:r>
      <w:r w:rsidRPr="00C24ACA">
        <w:rPr>
          <w:rFonts w:eastAsiaTheme="minorEastAsia"/>
          <w:kern w:val="0"/>
          <w:szCs w:val="21"/>
        </w:rPr>
        <w:t>类基金份额净值</w:t>
      </w:r>
      <w:r w:rsidRPr="00C24ACA">
        <w:rPr>
          <w:rFonts w:eastAsiaTheme="minorEastAsia"/>
          <w:kern w:val="0"/>
          <w:szCs w:val="21"/>
        </w:rPr>
        <w:t>1.0097</w:t>
      </w:r>
      <w:r w:rsidRPr="00C24ACA">
        <w:rPr>
          <w:rFonts w:eastAsiaTheme="minorEastAsia"/>
          <w:kern w:val="0"/>
          <w:szCs w:val="21"/>
        </w:rPr>
        <w:t>元；基金份额总额</w:t>
      </w:r>
      <w:r w:rsidRPr="00C24ACA">
        <w:rPr>
          <w:rFonts w:eastAsiaTheme="minorEastAsia"/>
          <w:kern w:val="0"/>
          <w:szCs w:val="21"/>
        </w:rPr>
        <w:t>16,821,035.52</w:t>
      </w:r>
      <w:r w:rsidRPr="00C24ACA">
        <w:rPr>
          <w:rFonts w:eastAsiaTheme="minorEastAsia"/>
          <w:kern w:val="0"/>
          <w:szCs w:val="21"/>
        </w:rPr>
        <w:t>份，下属分级基金的份额总额分别为：</w:t>
      </w:r>
      <w:r w:rsidRPr="00C24ACA">
        <w:rPr>
          <w:rFonts w:eastAsiaTheme="minorEastAsia"/>
          <w:kern w:val="0"/>
          <w:szCs w:val="21"/>
        </w:rPr>
        <w:t>A</w:t>
      </w:r>
      <w:r w:rsidRPr="00C24ACA">
        <w:rPr>
          <w:rFonts w:eastAsiaTheme="minorEastAsia"/>
          <w:kern w:val="0"/>
          <w:szCs w:val="21"/>
        </w:rPr>
        <w:t>类基金份额总额</w:t>
      </w:r>
      <w:r w:rsidRPr="00C24ACA">
        <w:rPr>
          <w:rFonts w:eastAsiaTheme="minorEastAsia"/>
          <w:kern w:val="0"/>
          <w:szCs w:val="21"/>
        </w:rPr>
        <w:t>11,510,310.80</w:t>
      </w:r>
      <w:r w:rsidRPr="00C24ACA">
        <w:rPr>
          <w:rFonts w:eastAsiaTheme="minorEastAsia"/>
          <w:kern w:val="0"/>
          <w:szCs w:val="21"/>
        </w:rPr>
        <w:t>份，</w:t>
      </w:r>
      <w:r w:rsidRPr="00C24ACA">
        <w:rPr>
          <w:rFonts w:eastAsiaTheme="minorEastAsia"/>
          <w:kern w:val="0"/>
          <w:szCs w:val="21"/>
        </w:rPr>
        <w:t>C</w:t>
      </w:r>
      <w:r w:rsidRPr="00C24ACA">
        <w:rPr>
          <w:rFonts w:eastAsiaTheme="minorEastAsia"/>
          <w:kern w:val="0"/>
          <w:szCs w:val="21"/>
        </w:rPr>
        <w:t>类基金份额总额</w:t>
      </w:r>
      <w:r w:rsidRPr="00C24ACA">
        <w:rPr>
          <w:rFonts w:eastAsiaTheme="minorEastAsia"/>
          <w:kern w:val="0"/>
          <w:szCs w:val="21"/>
        </w:rPr>
        <w:t>5,310,724.72</w:t>
      </w:r>
      <w:r w:rsidRPr="00C24ACA">
        <w:rPr>
          <w:rFonts w:eastAsiaTheme="minorEastAsia"/>
          <w:kern w:val="0"/>
          <w:szCs w:val="21"/>
        </w:rPr>
        <w:t>份。</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79" w:name="_Toc225498269"/>
      <w:bookmarkStart w:id="180" w:name="_Toc352255992"/>
      <w:bookmarkStart w:id="181" w:name="_Toc352256060"/>
      <w:bookmarkStart w:id="182" w:name="_Toc352331238"/>
      <w:bookmarkStart w:id="183" w:name="_Toc390164817"/>
      <w:bookmarkStart w:id="184" w:name="_Toc48660298"/>
      <w:r w:rsidRPr="0087359D">
        <w:rPr>
          <w:rFonts w:ascii="宋体" w:hAnsi="宋体"/>
          <w:kern w:val="0"/>
          <w:sz w:val="21"/>
          <w:szCs w:val="21"/>
        </w:rPr>
        <w:t>6.2</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利润表</w:t>
      </w:r>
      <w:bookmarkEnd w:id="179"/>
      <w:bookmarkEnd w:id="180"/>
      <w:bookmarkEnd w:id="181"/>
      <w:bookmarkEnd w:id="182"/>
      <w:bookmarkEnd w:id="183"/>
      <w:bookmarkEnd w:id="184"/>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易方达中证浙江新动能交易型开放式指数证券投资基金联接基金</w:t>
      </w:r>
    </w:p>
    <w:p w:rsidR="008A5A5D" w:rsidRPr="00C24ACA" w:rsidRDefault="008A5A5D" w:rsidP="00316012">
      <w:pPr>
        <w:spacing w:line="360" w:lineRule="auto"/>
        <w:rPr>
          <w:rFonts w:eastAsiaTheme="minorEastAsia"/>
          <w:color w:val="000000"/>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4</w:t>
      </w:r>
      <w:r w:rsidR="00AC4A34" w:rsidRPr="00C24ACA">
        <w:rPr>
          <w:rFonts w:eastAsiaTheme="minorEastAsia"/>
          <w:kern w:val="0"/>
          <w:szCs w:val="21"/>
        </w:rPr>
        <w:t>月</w:t>
      </w:r>
      <w:r w:rsidR="00AC4A34" w:rsidRPr="00C24ACA">
        <w:rPr>
          <w:rFonts w:eastAsiaTheme="minorEastAsia"/>
          <w:kern w:val="0"/>
          <w:szCs w:val="21"/>
        </w:rPr>
        <w:t>24</w:t>
      </w:r>
      <w:r w:rsidR="00AC4A34" w:rsidRPr="00C24ACA">
        <w:rPr>
          <w:rFonts w:eastAsiaTheme="minorEastAsia"/>
          <w:kern w:val="0"/>
          <w:szCs w:val="21"/>
        </w:rPr>
        <w:t>日（基金合同生效日）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19"/>
        <w:gridCol w:w="1080"/>
        <w:gridCol w:w="1"/>
        <w:gridCol w:w="4498"/>
      </w:tblGrid>
      <w:tr w:rsidR="008A5A5D" w:rsidRPr="00C24ACA" w:rsidTr="00623305">
        <w:tc>
          <w:tcPr>
            <w:tcW w:w="3420" w:type="dxa"/>
            <w:vAlign w:val="center"/>
          </w:tcPr>
          <w:p w:rsidR="008A5A5D" w:rsidRPr="00C24ACA" w:rsidRDefault="008A5A5D" w:rsidP="00D321AF">
            <w:pPr>
              <w:pStyle w:val="af6"/>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项目</w:t>
            </w:r>
          </w:p>
        </w:tc>
        <w:tc>
          <w:tcPr>
            <w:tcW w:w="1080" w:type="dxa"/>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附注号</w:t>
            </w:r>
          </w:p>
        </w:tc>
        <w:tc>
          <w:tcPr>
            <w:tcW w:w="4500" w:type="dxa"/>
            <w:hMerge w:val="restart"/>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本期</w:t>
            </w:r>
          </w:p>
          <w:p w:rsidR="008A5A5D" w:rsidRPr="00C24ACA" w:rsidRDefault="00AC4A34"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4</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24</w:t>
            </w:r>
            <w:r w:rsidRPr="00C24ACA">
              <w:rPr>
                <w:rFonts w:ascii="Times New Roman" w:eastAsiaTheme="minorEastAsia" w:hAnsi="Times New Roman"/>
                <w:b/>
                <w:sz w:val="21"/>
                <w:szCs w:val="21"/>
              </w:rPr>
              <w:t>日（基金合同生效日）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c>
          <w:tcPr>
            <w:tcW w:w="2250" w:type="dxa"/>
            <w:hMerge/>
            <w:vAlign w:val="center"/>
          </w:tcPr>
          <w:p w:rsidR="008A5A5D" w:rsidRPr="00C24ACA" w:rsidRDefault="008A5A5D"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上年度可比期间</w:t>
            </w:r>
          </w:p>
          <w:p w:rsidR="008A5A5D" w:rsidRPr="00C24ACA" w:rsidRDefault="00BD0707" w:rsidP="00B979D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color w:val="000000"/>
                <w:sz w:val="21"/>
                <w:szCs w:val="21"/>
              </w:rPr>
              <w:t>-</w:t>
            </w:r>
          </w:p>
        </w:tc>
      </w:tr>
      <w:tr w:rsidR="00AE103C" w:rsidRPr="00C24ACA" w:rsidTr="00623305">
        <w:tc>
          <w:tcPr>
            <w:tcW w:w="3420" w:type="dxa"/>
          </w:tcPr>
          <w:p w:rsidR="00AE103C" w:rsidRPr="00C24ACA" w:rsidRDefault="00AE103C">
            <w:pPr>
              <w:rPr>
                <w:rFonts w:eastAsiaTheme="minorEastAsia"/>
                <w:b/>
                <w:color w:val="000000"/>
                <w:szCs w:val="21"/>
              </w:rPr>
            </w:pPr>
            <w:r w:rsidRPr="00C24ACA">
              <w:rPr>
                <w:rFonts w:eastAsiaTheme="minorEastAsia"/>
                <w:b/>
                <w:color w:val="000000"/>
                <w:szCs w:val="21"/>
              </w:rPr>
              <w:t>一、收入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425,561.12</w:t>
            </w:r>
          </w:p>
        </w:tc>
        <w:tc>
          <w:tcPr>
            <w:tcW w:w="2250" w:type="dxa"/>
            <w:hMerge/>
            <w:vAlign w:val="bottom"/>
          </w:tcPr>
          <w:p w:rsidR="00AE103C" w:rsidRPr="00C24ACA" w:rsidRDefault="00AE103C">
            <w:pPr>
              <w:jc w:val="right"/>
              <w:rPr>
                <w:rFonts w:eastAsiaTheme="minorEastAsia"/>
                <w:b/>
                <w:color w:val="000000"/>
                <w:szCs w:val="21"/>
              </w:rPr>
            </w:pPr>
            <w:r w:rsidRPr="00C24ACA">
              <w:rPr>
                <w:rFonts w:eastAsiaTheme="minorEastAsia"/>
                <w:b/>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168,806.01</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其中：存款利息收入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6.4.7.11</w:t>
            </w: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75,653.59</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买入返售金融资产收入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93,152.42</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其他利息收入</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投资收益（损失以</w:t>
            </w:r>
            <w:r w:rsidRPr="00C24ACA">
              <w:rPr>
                <w:rFonts w:eastAsiaTheme="minorEastAsia"/>
                <w:color w:val="000000"/>
                <w:szCs w:val="21"/>
              </w:rPr>
              <w:t>“-”</w:t>
            </w:r>
            <w:r w:rsidRPr="00C24ACA">
              <w:rPr>
                <w:rFonts w:eastAsiaTheme="minorEastAsia"/>
                <w:color w:val="000000"/>
                <w:szCs w:val="21"/>
              </w:rPr>
              <w:t>填列）</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21,387.89</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pPr>
              <w:rPr>
                <w:rFonts w:eastAsiaTheme="minorEastAsia"/>
                <w:color w:val="000000"/>
                <w:szCs w:val="21"/>
              </w:rPr>
            </w:pPr>
            <w:r w:rsidRPr="00C24ACA">
              <w:rPr>
                <w:rFonts w:eastAsiaTheme="minorEastAsia"/>
                <w:color w:val="000000"/>
                <w:szCs w:val="21"/>
              </w:rPr>
              <w:t>其中：股票投资收益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6.4.7.12</w:t>
            </w: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vAlign w:val="center"/>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基金投资收益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6.4.7.13</w:t>
            </w: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21,387.89</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债券投资收益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6.4.7.14</w:t>
            </w: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AE103C" w:rsidRPr="00C24ACA" w:rsidTr="00623305">
        <w:tc>
          <w:tcPr>
            <w:tcW w:w="3420" w:type="dxa"/>
          </w:tcPr>
          <w:p w:rsidR="00AE103C" w:rsidRPr="00C24ACA" w:rsidRDefault="00AE103C" w:rsidP="008134C7">
            <w:pPr>
              <w:ind w:firstLineChars="300" w:firstLine="630"/>
              <w:rPr>
                <w:rFonts w:eastAsiaTheme="minorEastAsia"/>
                <w:color w:val="000000"/>
                <w:szCs w:val="21"/>
              </w:rPr>
            </w:pPr>
            <w:r w:rsidRPr="00C24ACA">
              <w:rPr>
                <w:rFonts w:eastAsiaTheme="minorEastAsia"/>
                <w:color w:val="000000"/>
                <w:szCs w:val="21"/>
              </w:rPr>
              <w:t>资产支持证券投资收益</w:t>
            </w:r>
          </w:p>
        </w:tc>
        <w:tc>
          <w:tcPr>
            <w:tcW w:w="1080" w:type="dxa"/>
            <w:vAlign w:val="center"/>
          </w:tcPr>
          <w:p w:rsidR="00AE103C" w:rsidRPr="00C24ACA" w:rsidRDefault="00AE103C"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AE103C" w:rsidRPr="00C24ACA" w:rsidRDefault="00AE103C">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224952">
              <w:rPr>
                <w:rFonts w:hint="eastAsia"/>
              </w:rPr>
              <w:t>贵金属投资收益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center"/>
          </w:tcPr>
          <w:p w:rsidR="0076511D" w:rsidRPr="00224952" w:rsidRDefault="0076511D" w:rsidP="00742218">
            <w:pPr>
              <w:spacing w:line="360" w:lineRule="auto"/>
              <w:jc w:val="right"/>
              <w:rPr>
                <w:color w:val="000000"/>
                <w:szCs w:val="21"/>
              </w:rPr>
            </w:pPr>
            <w:r w:rsidRPr="00224952">
              <w:rPr>
                <w:color w:val="000000"/>
                <w:szCs w:val="21"/>
              </w:rPr>
              <w:t>-</w:t>
            </w:r>
          </w:p>
        </w:tc>
        <w:tc>
          <w:tcPr>
            <w:tcW w:w="2250" w:type="dxa"/>
            <w:hMerge/>
            <w:vAlign w:val="center"/>
          </w:tcPr>
          <w:p w:rsidR="0076511D" w:rsidRPr="00224952" w:rsidRDefault="0076511D" w:rsidP="00742218">
            <w:pPr>
              <w:spacing w:line="360" w:lineRule="auto"/>
              <w:jc w:val="right"/>
              <w:rPr>
                <w:color w:val="000000"/>
                <w:szCs w:val="21"/>
              </w:rPr>
            </w:pPr>
            <w:r w:rsidRPr="00224952">
              <w:rPr>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衍生工具收益</w:t>
            </w:r>
          </w:p>
        </w:tc>
        <w:tc>
          <w:tcPr>
            <w:tcW w:w="1080" w:type="dxa"/>
            <w:vAlign w:val="center"/>
          </w:tcPr>
          <w:p w:rsidR="0076511D" w:rsidRPr="00C24ACA" w:rsidRDefault="0076511D" w:rsidP="00A97A4E">
            <w:pPr>
              <w:pStyle w:val="af6"/>
              <w:spacing w:line="360" w:lineRule="auto"/>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6.4.7.15</w:t>
            </w: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rsidP="008134C7">
            <w:pPr>
              <w:ind w:firstLineChars="300" w:firstLine="630"/>
              <w:rPr>
                <w:rFonts w:eastAsiaTheme="minorEastAsia"/>
                <w:color w:val="000000"/>
                <w:szCs w:val="21"/>
              </w:rPr>
            </w:pPr>
            <w:r w:rsidRPr="00C24ACA">
              <w:rPr>
                <w:rFonts w:eastAsiaTheme="minorEastAsia"/>
                <w:color w:val="000000"/>
                <w:szCs w:val="21"/>
              </w:rPr>
              <w:t>股利收益</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6.4.7.16</w:t>
            </w: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公允价值变动收益（损失以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6.4.7.17</w:t>
            </w:r>
          </w:p>
        </w:tc>
        <w:tc>
          <w:tcPr>
            <w:tcW w:w="4500" w:type="dxa"/>
            <w:hMerge w:val="restart"/>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228,742.54</w:t>
            </w:r>
          </w:p>
        </w:tc>
        <w:tc>
          <w:tcPr>
            <w:tcW w:w="2250" w:type="dxa"/>
            <w:hMerge/>
            <w:vAlign w:val="center"/>
          </w:tcPr>
          <w:p w:rsidR="0076511D" w:rsidRPr="00C24ACA" w:rsidRDefault="0076511D" w:rsidP="00C903E7">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vAlign w:val="center"/>
          </w:tcPr>
          <w:p w:rsidR="0076511D" w:rsidRPr="00C24ACA" w:rsidRDefault="0076511D">
            <w:pPr>
              <w:pStyle w:val="af6"/>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4.</w:t>
            </w:r>
            <w:r w:rsidRPr="00C24ACA">
              <w:rPr>
                <w:rFonts w:ascii="Times New Roman" w:eastAsiaTheme="minorEastAsia" w:hAnsi="Times New Roman"/>
                <w:color w:val="000000"/>
                <w:sz w:val="21"/>
                <w:szCs w:val="21"/>
              </w:rPr>
              <w:t>汇兑收益（损失以</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w:t>
            </w:r>
            <w:r w:rsidRPr="00C24ACA">
              <w:rPr>
                <w:rFonts w:ascii="Times New Roman" w:eastAsiaTheme="minorEastAsia" w:hAnsi="Times New Roman"/>
                <w:color w:val="000000"/>
                <w:sz w:val="21"/>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其他收入（损失以</w:t>
            </w:r>
            <w:r w:rsidRPr="00C24ACA">
              <w:rPr>
                <w:rFonts w:eastAsiaTheme="minorEastAsia"/>
                <w:color w:val="000000"/>
                <w:szCs w:val="21"/>
              </w:rPr>
              <w:t>“-”</w:t>
            </w:r>
            <w:r w:rsidRPr="00C24ACA">
              <w:rPr>
                <w:rFonts w:eastAsiaTheme="minorEastAsia"/>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6.4.7.18</w:t>
            </w: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6,624.68</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减：二、费用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188,574.56</w:t>
            </w:r>
          </w:p>
        </w:tc>
        <w:tc>
          <w:tcPr>
            <w:tcW w:w="2250" w:type="dxa"/>
            <w:hMerge/>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．管理人报酬</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103,742.29</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．托管费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31,122.67</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3</w:t>
            </w:r>
            <w:r w:rsidRPr="00C24ACA">
              <w:rPr>
                <w:rFonts w:eastAsiaTheme="minorEastAsia"/>
                <w:color w:val="000000"/>
                <w:szCs w:val="21"/>
              </w:rPr>
              <w:t>．销售服务费</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36,734.92</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4</w:t>
            </w:r>
            <w:r w:rsidRPr="00C24ACA">
              <w:rPr>
                <w:rFonts w:eastAsiaTheme="minorEastAsia"/>
                <w:color w:val="000000"/>
                <w:szCs w:val="21"/>
              </w:rPr>
              <w:t>．交易费用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6.4.7.19</w:t>
            </w: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383.88</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．利息支出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color w:val="000000"/>
                <w:szCs w:val="21"/>
              </w:rPr>
            </w:pPr>
            <w:r w:rsidRPr="00C24ACA">
              <w:rPr>
                <w:rFonts w:eastAsiaTheme="minorEastAsia"/>
                <w:color w:val="000000"/>
                <w:szCs w:val="21"/>
              </w:rPr>
              <w:t>其中：卖出回购金融资产支出</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6</w:t>
            </w:r>
            <w:r>
              <w:rPr>
                <w:rFonts w:eastAsiaTheme="minorEastAsia" w:hint="eastAsia"/>
                <w:color w:val="000000"/>
                <w:szCs w:val="21"/>
              </w:rPr>
              <w:t>．税金及附加</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p>
        </w:tc>
        <w:tc>
          <w:tcPr>
            <w:tcW w:w="4500" w:type="dxa"/>
            <w:hMerge w:val="restart"/>
            <w:vAlign w:val="bottom"/>
          </w:tcPr>
          <w:p w:rsidR="00993316" w:rsidRDefault="00993316">
            <w:pPr>
              <w:jc w:val="right"/>
              <w:rPr>
                <w:rFonts w:eastAsiaTheme="minorEastAsia"/>
                <w:color w:val="000000"/>
                <w:szCs w:val="21"/>
              </w:rPr>
            </w:pPr>
            <w:r>
              <w:rPr>
                <w:rFonts w:eastAsiaTheme="minorEastAsia"/>
                <w:color w:val="000000"/>
                <w:szCs w:val="21"/>
              </w:rPr>
              <w:t>-</w:t>
            </w:r>
          </w:p>
        </w:tc>
        <w:tc>
          <w:tcPr>
            <w:tcW w:w="2250" w:type="dxa"/>
            <w:hMerge/>
            <w:vAlign w:val="bottom"/>
          </w:tcPr>
          <w:p w:rsidR="00993316" w:rsidRDefault="00993316">
            <w:pPr>
              <w:jc w:val="right"/>
              <w:rPr>
                <w:rFonts w:eastAsiaTheme="minorEastAsia"/>
                <w:color w:val="000000"/>
                <w:szCs w:val="21"/>
              </w:rPr>
            </w:pPr>
            <w:r>
              <w:rPr>
                <w:rFonts w:eastAsiaTheme="minorEastAsia"/>
                <w:color w:val="000000"/>
                <w:szCs w:val="21"/>
              </w:rPr>
              <w:t>-</w:t>
            </w:r>
          </w:p>
        </w:tc>
      </w:tr>
      <w:tr w:rsidR="00993316" w:rsidRPr="00C24ACA" w:rsidTr="00623305">
        <w:tc>
          <w:tcPr>
            <w:tcW w:w="3420" w:type="dxa"/>
          </w:tcPr>
          <w:p w:rsidR="00993316" w:rsidRDefault="00993316">
            <w:pPr>
              <w:rPr>
                <w:rFonts w:eastAsiaTheme="minorEastAsia"/>
                <w:color w:val="000000"/>
                <w:szCs w:val="21"/>
              </w:rPr>
            </w:pPr>
            <w:r>
              <w:rPr>
                <w:rFonts w:eastAsiaTheme="minorEastAsia"/>
                <w:color w:val="000000"/>
                <w:szCs w:val="21"/>
              </w:rPr>
              <w:t>7</w:t>
            </w:r>
            <w:r>
              <w:rPr>
                <w:rFonts w:eastAsiaTheme="minorEastAsia" w:hint="eastAsia"/>
                <w:color w:val="000000"/>
                <w:szCs w:val="21"/>
              </w:rPr>
              <w:t>．其他费用</w:t>
            </w:r>
          </w:p>
        </w:tc>
        <w:tc>
          <w:tcPr>
            <w:tcW w:w="1080" w:type="dxa"/>
            <w:vAlign w:val="center"/>
          </w:tcPr>
          <w:p w:rsidR="00993316" w:rsidRDefault="00993316">
            <w:pPr>
              <w:pStyle w:val="af6"/>
              <w:jc w:val="center"/>
              <w:rPr>
                <w:rFonts w:ascii="Times New Roman" w:eastAsiaTheme="minorEastAsia" w:hAnsi="Times New Roman"/>
                <w:color w:val="000000"/>
                <w:sz w:val="21"/>
                <w:szCs w:val="21"/>
              </w:rPr>
            </w:pPr>
          </w:p>
        </w:tc>
        <w:tc>
          <w:tcPr>
            <w:tcW w:w="4500" w:type="dxa"/>
            <w:hMerge w:val="restart"/>
            <w:vAlign w:val="bottom"/>
          </w:tcPr>
          <w:p w:rsidR="00993316" w:rsidRDefault="00993316">
            <w:pPr>
              <w:jc w:val="right"/>
              <w:rPr>
                <w:rFonts w:eastAsiaTheme="minorEastAsia"/>
                <w:color w:val="000000"/>
                <w:szCs w:val="21"/>
              </w:rPr>
            </w:pPr>
            <w:r>
              <w:rPr>
                <w:rFonts w:eastAsiaTheme="minorEastAsia"/>
                <w:color w:val="000000"/>
                <w:szCs w:val="21"/>
              </w:rPr>
              <w:t>16,590.80</w:t>
            </w:r>
          </w:p>
        </w:tc>
        <w:tc>
          <w:tcPr>
            <w:tcW w:w="2250" w:type="dxa"/>
            <w:hMerge/>
            <w:vAlign w:val="bottom"/>
          </w:tcPr>
          <w:p w:rsidR="00993316" w:rsidRDefault="00993316">
            <w:pPr>
              <w:jc w:val="right"/>
              <w:rPr>
                <w:rFonts w:eastAsiaTheme="minorEastAsia"/>
                <w:color w:val="000000"/>
                <w:szCs w:val="21"/>
              </w:rPr>
            </w:pPr>
            <w:r>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三、利润总额（亏损总额以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r w:rsidRPr="00C24ACA">
              <w:rPr>
                <w:rFonts w:ascii="Times New Roman" w:eastAsiaTheme="minorEastAsia" w:hAnsi="Times New Roman"/>
                <w:color w:val="000000"/>
                <w:sz w:val="21"/>
                <w:szCs w:val="21"/>
              </w:rPr>
              <w:t>6.4.7.20</w:t>
            </w:r>
          </w:p>
        </w:tc>
        <w:tc>
          <w:tcPr>
            <w:tcW w:w="4500" w:type="dxa"/>
            <w:hMerge w:val="restart"/>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236,986.56</w:t>
            </w:r>
          </w:p>
        </w:tc>
        <w:tc>
          <w:tcPr>
            <w:tcW w:w="2250" w:type="dxa"/>
            <w:hMerge/>
            <w:vAlign w:val="center"/>
          </w:tcPr>
          <w:p w:rsidR="0076511D" w:rsidRPr="00C24ACA" w:rsidRDefault="0076511D" w:rsidP="00C903E7">
            <w:pPr>
              <w:jc w:val="right"/>
              <w:rPr>
                <w:rFonts w:eastAsiaTheme="minorEastAsia"/>
                <w:b/>
                <w:color w:val="000000"/>
                <w:szCs w:val="21"/>
              </w:rPr>
            </w:pPr>
            <w:r w:rsidRPr="00C24ACA">
              <w:rPr>
                <w:rFonts w:eastAsiaTheme="minorEastAsia"/>
                <w:b/>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szCs w:val="21"/>
              </w:rPr>
              <w:t>减：所得税费用</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c>
          <w:tcPr>
            <w:tcW w:w="2250" w:type="dxa"/>
            <w:hMerge/>
            <w:vAlign w:val="bottom"/>
          </w:tcPr>
          <w:p w:rsidR="0076511D" w:rsidRPr="00C24ACA" w:rsidRDefault="0076511D">
            <w:pPr>
              <w:jc w:val="right"/>
              <w:rPr>
                <w:rFonts w:eastAsiaTheme="minorEastAsia"/>
                <w:color w:val="000000"/>
                <w:szCs w:val="21"/>
              </w:rPr>
            </w:pPr>
            <w:r w:rsidRPr="00C24ACA">
              <w:rPr>
                <w:rFonts w:eastAsiaTheme="minorEastAsia"/>
                <w:color w:val="000000"/>
                <w:szCs w:val="21"/>
              </w:rPr>
              <w:t>-</w:t>
            </w:r>
          </w:p>
        </w:tc>
      </w:tr>
      <w:tr w:rsidR="0076511D" w:rsidRPr="00C24ACA" w:rsidTr="00623305">
        <w:tc>
          <w:tcPr>
            <w:tcW w:w="3420" w:type="dxa"/>
          </w:tcPr>
          <w:p w:rsidR="0076511D" w:rsidRPr="00C24ACA" w:rsidRDefault="0076511D">
            <w:pPr>
              <w:rPr>
                <w:rFonts w:eastAsiaTheme="minorEastAsia"/>
                <w:b/>
                <w:color w:val="000000"/>
                <w:szCs w:val="21"/>
              </w:rPr>
            </w:pPr>
            <w:r w:rsidRPr="00C24ACA">
              <w:rPr>
                <w:rFonts w:eastAsiaTheme="minorEastAsia"/>
                <w:b/>
                <w:color w:val="000000"/>
                <w:szCs w:val="21"/>
              </w:rPr>
              <w:t>四、净利润（净亏损以</w:t>
            </w:r>
            <w:r w:rsidRPr="00C24ACA">
              <w:rPr>
                <w:rFonts w:eastAsiaTheme="minorEastAsia"/>
                <w:b/>
                <w:color w:val="000000"/>
                <w:szCs w:val="21"/>
              </w:rPr>
              <w:t>“-”</w:t>
            </w:r>
            <w:r w:rsidRPr="00C24ACA">
              <w:rPr>
                <w:rFonts w:eastAsiaTheme="minorEastAsia"/>
                <w:b/>
                <w:color w:val="000000"/>
                <w:szCs w:val="21"/>
              </w:rPr>
              <w:t>号填列）</w:t>
            </w:r>
          </w:p>
        </w:tc>
        <w:tc>
          <w:tcPr>
            <w:tcW w:w="1080" w:type="dxa"/>
            <w:vAlign w:val="center"/>
          </w:tcPr>
          <w:p w:rsidR="0076511D" w:rsidRPr="00C24ACA" w:rsidRDefault="0076511D" w:rsidP="00A97A4E">
            <w:pPr>
              <w:pStyle w:val="af6"/>
              <w:jc w:val="center"/>
              <w:rPr>
                <w:rFonts w:ascii="Times New Roman" w:eastAsiaTheme="minorEastAsia" w:hAnsi="Times New Roman"/>
                <w:color w:val="000000"/>
                <w:sz w:val="21"/>
                <w:szCs w:val="21"/>
              </w:rPr>
            </w:pPr>
          </w:p>
        </w:tc>
        <w:tc>
          <w:tcPr>
            <w:tcW w:w="4500" w:type="dxa"/>
            <w:hMerge w:val="restart"/>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236,986.56</w:t>
            </w:r>
          </w:p>
        </w:tc>
        <w:tc>
          <w:tcPr>
            <w:tcW w:w="2250" w:type="dxa"/>
            <w:hMerge/>
            <w:vAlign w:val="bottom"/>
          </w:tcPr>
          <w:p w:rsidR="0076511D" w:rsidRPr="00C24ACA" w:rsidRDefault="0076511D">
            <w:pPr>
              <w:jc w:val="right"/>
              <w:rPr>
                <w:rFonts w:eastAsiaTheme="minorEastAsia"/>
                <w:b/>
                <w:color w:val="000000"/>
                <w:szCs w:val="21"/>
              </w:rPr>
            </w:pPr>
            <w:r w:rsidRPr="00C24ACA">
              <w:rPr>
                <w:rFonts w:eastAsiaTheme="minorEastAsia"/>
                <w:b/>
                <w:color w:val="000000"/>
                <w:szCs w:val="21"/>
              </w:rPr>
              <w:t>-</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w:t>
      </w:r>
      <w:r w:rsidRPr="00C24ACA">
        <w:rPr>
          <w:rFonts w:eastAsiaTheme="minorEastAsia"/>
          <w:kern w:val="0"/>
          <w:szCs w:val="21"/>
        </w:rPr>
        <w:t>2020</w:t>
      </w:r>
      <w:r w:rsidRPr="00C24ACA">
        <w:rPr>
          <w:rFonts w:eastAsiaTheme="minorEastAsia"/>
          <w:kern w:val="0"/>
          <w:szCs w:val="21"/>
        </w:rPr>
        <w:t>年半年度实际报告期间为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日至</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日。截至报告期末本基金合同生效未满一年，本报告期的财务报表及报表附注均无同期对比数据。</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85" w:name="_Toc225498270"/>
      <w:bookmarkStart w:id="186" w:name="_Toc352255993"/>
      <w:bookmarkStart w:id="187" w:name="_Toc352256061"/>
      <w:bookmarkStart w:id="188" w:name="_Toc352331239"/>
      <w:bookmarkStart w:id="189" w:name="_Toc390164818"/>
      <w:bookmarkStart w:id="190" w:name="_Toc48660299"/>
      <w:r w:rsidRPr="0087359D">
        <w:rPr>
          <w:rFonts w:ascii="宋体" w:hAnsi="宋体"/>
          <w:kern w:val="0"/>
          <w:sz w:val="21"/>
          <w:szCs w:val="21"/>
        </w:rPr>
        <w:t>6.3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所有者权益（基金净值）变动表</w:t>
      </w:r>
      <w:bookmarkEnd w:id="185"/>
      <w:bookmarkEnd w:id="186"/>
      <w:bookmarkEnd w:id="187"/>
      <w:bookmarkEnd w:id="188"/>
      <w:bookmarkEnd w:id="189"/>
      <w:bookmarkEnd w:id="190"/>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会计主体：</w:t>
      </w:r>
      <w:r w:rsidRPr="00C24ACA">
        <w:rPr>
          <w:rFonts w:eastAsiaTheme="minorEastAsia"/>
          <w:kern w:val="0"/>
          <w:szCs w:val="21"/>
        </w:rPr>
        <w:t>易方达中证浙江新动能交易型开放式指数证券投资基金联接基金</w:t>
      </w:r>
    </w:p>
    <w:p w:rsidR="008A5A5D" w:rsidRPr="00C24ACA" w:rsidRDefault="008A5A5D" w:rsidP="00316012">
      <w:pPr>
        <w:spacing w:line="360" w:lineRule="auto"/>
        <w:rPr>
          <w:rFonts w:eastAsiaTheme="minorEastAsia"/>
          <w:kern w:val="0"/>
          <w:szCs w:val="21"/>
        </w:rPr>
      </w:pPr>
      <w:r w:rsidRPr="00C24ACA">
        <w:rPr>
          <w:rFonts w:eastAsiaTheme="minorEastAsia"/>
          <w:color w:val="000000"/>
          <w:szCs w:val="21"/>
        </w:rPr>
        <w:t>本报告期：</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4</w:t>
      </w:r>
      <w:r w:rsidR="00AC4A34" w:rsidRPr="00C24ACA">
        <w:rPr>
          <w:rFonts w:eastAsiaTheme="minorEastAsia"/>
          <w:kern w:val="0"/>
          <w:szCs w:val="21"/>
        </w:rPr>
        <w:t>月</w:t>
      </w:r>
      <w:r w:rsidR="00AC4A34" w:rsidRPr="00C24ACA">
        <w:rPr>
          <w:rFonts w:eastAsiaTheme="minorEastAsia"/>
          <w:kern w:val="0"/>
          <w:szCs w:val="21"/>
        </w:rPr>
        <w:t>24</w:t>
      </w:r>
      <w:r w:rsidR="00AC4A34" w:rsidRPr="00C24ACA">
        <w:rPr>
          <w:rFonts w:eastAsiaTheme="minorEastAsia"/>
          <w:kern w:val="0"/>
          <w:szCs w:val="21"/>
        </w:rPr>
        <w:t>日（基金合同生效日）</w:t>
      </w:r>
      <w:r w:rsidRPr="00C24ACA">
        <w:rPr>
          <w:rFonts w:eastAsiaTheme="minorEastAsia"/>
          <w:kern w:val="0"/>
          <w:szCs w:val="21"/>
        </w:rPr>
        <w:t>至</w:t>
      </w:r>
      <w:r w:rsidR="00AC4A34" w:rsidRPr="00C24ACA">
        <w:rPr>
          <w:rFonts w:eastAsiaTheme="minorEastAsia"/>
          <w:kern w:val="0"/>
          <w:szCs w:val="21"/>
        </w:rPr>
        <w:t>2020</w:t>
      </w:r>
      <w:r w:rsidR="00AC4A34" w:rsidRPr="00C24ACA">
        <w:rPr>
          <w:rFonts w:eastAsiaTheme="minorEastAsia"/>
          <w:kern w:val="0"/>
          <w:szCs w:val="21"/>
        </w:rPr>
        <w:t>年</w:t>
      </w:r>
      <w:r w:rsidR="00AC4A34" w:rsidRPr="00C24ACA">
        <w:rPr>
          <w:rFonts w:eastAsiaTheme="minorEastAsia"/>
          <w:kern w:val="0"/>
          <w:szCs w:val="21"/>
        </w:rPr>
        <w:t>6</w:t>
      </w:r>
      <w:r w:rsidR="00AC4A34" w:rsidRPr="00C24ACA">
        <w:rPr>
          <w:rFonts w:eastAsiaTheme="minorEastAsia"/>
          <w:kern w:val="0"/>
          <w:szCs w:val="21"/>
        </w:rPr>
        <w:t>月</w:t>
      </w:r>
      <w:r w:rsidR="00AC4A34" w:rsidRPr="00C24ACA">
        <w:rPr>
          <w:rFonts w:eastAsiaTheme="minorEastAsia"/>
          <w:kern w:val="0"/>
          <w:szCs w:val="21"/>
        </w:rPr>
        <w:t>30</w:t>
      </w:r>
      <w:r w:rsidR="00AC4A34" w:rsidRPr="00C24ACA">
        <w:rPr>
          <w:rFonts w:eastAsiaTheme="minorEastAsia"/>
          <w:kern w:val="0"/>
          <w:szCs w:val="21"/>
        </w:rPr>
        <w:t>日</w:t>
      </w:r>
    </w:p>
    <w:p w:rsidR="008A5A5D" w:rsidRPr="00C24ACA" w:rsidRDefault="008A5A5D" w:rsidP="006D141C">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8A5A5D" w:rsidRPr="00C24ACA" w:rsidTr="006D141C">
        <w:tc>
          <w:tcPr>
            <w:tcW w:w="2835" w:type="dxa"/>
            <w:vMerge w:val="restart"/>
            <w:vAlign w:val="center"/>
          </w:tcPr>
          <w:p w:rsidR="008A5A5D" w:rsidRPr="00C24ACA" w:rsidRDefault="008A5A5D" w:rsidP="00C96D24">
            <w:pPr>
              <w:jc w:val="center"/>
              <w:rPr>
                <w:rFonts w:eastAsiaTheme="minorEastAsia"/>
                <w:b/>
                <w:color w:val="000000"/>
                <w:szCs w:val="21"/>
              </w:rPr>
            </w:pPr>
            <w:r w:rsidRPr="00C24ACA">
              <w:rPr>
                <w:rFonts w:eastAsiaTheme="minorEastAsia"/>
                <w:b/>
                <w:color w:val="000000"/>
                <w:szCs w:val="21"/>
              </w:rPr>
              <w:t>项目</w:t>
            </w:r>
          </w:p>
        </w:tc>
        <w:tc>
          <w:tcPr>
            <w:tcW w:w="6165" w:type="dxa"/>
            <w:gridSpan w:val="3"/>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本期</w:t>
            </w:r>
          </w:p>
          <w:p w:rsidR="008A5A5D" w:rsidRPr="00C24ACA" w:rsidRDefault="00AC4A34">
            <w:pPr>
              <w:pStyle w:val="af6"/>
              <w:spacing w:before="0" w:beforeAutospacing="0" w:after="0" w:afterAutospacing="0"/>
              <w:jc w:val="center"/>
              <w:rPr>
                <w:rFonts w:ascii="Times New Roman" w:eastAsiaTheme="minorEastAsia" w:hAnsi="Times New Roman"/>
                <w:b/>
                <w:color w:val="000000"/>
                <w:sz w:val="21"/>
                <w:szCs w:val="21"/>
              </w:rPr>
            </w:pP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4</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24</w:t>
            </w:r>
            <w:r w:rsidRPr="00C24ACA">
              <w:rPr>
                <w:rFonts w:ascii="Times New Roman" w:eastAsiaTheme="minorEastAsia" w:hAnsi="Times New Roman"/>
                <w:b/>
                <w:sz w:val="21"/>
                <w:szCs w:val="21"/>
              </w:rPr>
              <w:t>日（基金合同生效日）</w:t>
            </w:r>
            <w:r w:rsidR="008A5A5D" w:rsidRPr="00C24ACA">
              <w:rPr>
                <w:rFonts w:ascii="Times New Roman" w:eastAsiaTheme="minorEastAsia" w:hAnsi="Times New Roman"/>
                <w:b/>
                <w:sz w:val="21"/>
                <w:szCs w:val="21"/>
              </w:rPr>
              <w:t>至</w:t>
            </w:r>
            <w:r w:rsidRPr="00C24ACA">
              <w:rPr>
                <w:rFonts w:ascii="Times New Roman" w:eastAsiaTheme="minorEastAsia" w:hAnsi="Times New Roman"/>
                <w:b/>
                <w:sz w:val="21"/>
                <w:szCs w:val="21"/>
              </w:rPr>
              <w:t>2020</w:t>
            </w:r>
            <w:r w:rsidRPr="00C24ACA">
              <w:rPr>
                <w:rFonts w:ascii="Times New Roman" w:eastAsiaTheme="minorEastAsia" w:hAnsi="Times New Roman"/>
                <w:b/>
                <w:sz w:val="21"/>
                <w:szCs w:val="21"/>
              </w:rPr>
              <w:t>年</w:t>
            </w:r>
            <w:r w:rsidRPr="00C24ACA">
              <w:rPr>
                <w:rFonts w:ascii="Times New Roman" w:eastAsiaTheme="minorEastAsia" w:hAnsi="Times New Roman"/>
                <w:b/>
                <w:sz w:val="21"/>
                <w:szCs w:val="21"/>
              </w:rPr>
              <w:t>6</w:t>
            </w:r>
            <w:r w:rsidRPr="00C24ACA">
              <w:rPr>
                <w:rFonts w:ascii="Times New Roman" w:eastAsiaTheme="minorEastAsia" w:hAnsi="Times New Roman"/>
                <w:b/>
                <w:sz w:val="21"/>
                <w:szCs w:val="21"/>
              </w:rPr>
              <w:t>月</w:t>
            </w:r>
            <w:r w:rsidRPr="00C24ACA">
              <w:rPr>
                <w:rFonts w:ascii="Times New Roman" w:eastAsiaTheme="minorEastAsia" w:hAnsi="Times New Roman"/>
                <w:b/>
                <w:sz w:val="21"/>
                <w:szCs w:val="21"/>
              </w:rPr>
              <w:t>30</w:t>
            </w:r>
            <w:r w:rsidRPr="00C24ACA">
              <w:rPr>
                <w:rFonts w:ascii="Times New Roman" w:eastAsiaTheme="minorEastAsia" w:hAnsi="Times New Roman"/>
                <w:b/>
                <w:sz w:val="21"/>
                <w:szCs w:val="21"/>
              </w:rPr>
              <w:t>日</w:t>
            </w:r>
          </w:p>
        </w:tc>
      </w:tr>
      <w:tr w:rsidR="008A5A5D" w:rsidRPr="00C24ACA" w:rsidTr="006D141C">
        <w:tc>
          <w:tcPr>
            <w:tcW w:w="2835" w:type="dxa"/>
            <w:vMerge/>
            <w:vAlign w:val="center"/>
          </w:tcPr>
          <w:p w:rsidR="008A5A5D" w:rsidRPr="00C24ACA" w:rsidRDefault="008A5A5D">
            <w:pPr>
              <w:widowControl/>
              <w:jc w:val="left"/>
              <w:rPr>
                <w:rFonts w:eastAsiaTheme="minorEastAsia"/>
                <w:b/>
                <w:color w:val="000000"/>
                <w:szCs w:val="21"/>
              </w:rPr>
            </w:pPr>
          </w:p>
        </w:tc>
        <w:tc>
          <w:tcPr>
            <w:tcW w:w="2127"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实收基金</w:t>
            </w:r>
          </w:p>
        </w:tc>
        <w:tc>
          <w:tcPr>
            <w:tcW w:w="1984" w:type="dxa"/>
            <w:vAlign w:val="center"/>
          </w:tcPr>
          <w:p w:rsidR="008A5A5D" w:rsidRPr="00C24ACA" w:rsidRDefault="008A5A5D">
            <w:pPr>
              <w:jc w:val="center"/>
              <w:rPr>
                <w:rFonts w:eastAsiaTheme="minorEastAsia"/>
                <w:b/>
                <w:color w:val="000000"/>
                <w:szCs w:val="21"/>
              </w:rPr>
            </w:pPr>
            <w:r w:rsidRPr="00C24ACA">
              <w:rPr>
                <w:rFonts w:eastAsiaTheme="minorEastAsia"/>
                <w:b/>
                <w:color w:val="000000"/>
                <w:szCs w:val="21"/>
              </w:rPr>
              <w:t>未分配利润</w:t>
            </w:r>
          </w:p>
        </w:tc>
        <w:tc>
          <w:tcPr>
            <w:tcW w:w="2054" w:type="dxa"/>
            <w:vAlign w:val="center"/>
          </w:tcPr>
          <w:p w:rsidR="008A5A5D" w:rsidRPr="00C24ACA" w:rsidRDefault="008A5A5D">
            <w:pPr>
              <w:jc w:val="center"/>
              <w:rPr>
                <w:rFonts w:eastAsiaTheme="minorEastAsia"/>
                <w:color w:val="000000"/>
                <w:szCs w:val="21"/>
              </w:rPr>
            </w:pPr>
            <w:r w:rsidRPr="00C24ACA">
              <w:rPr>
                <w:rFonts w:eastAsiaTheme="minorEastAsia"/>
                <w:b/>
                <w:color w:val="000000"/>
                <w:szCs w:val="21"/>
              </w:rPr>
              <w:t>所有者权益合计</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一、期初所有者权益（基金净值）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210,443,900.33</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210,443,900.33</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二、本期经营活动产生的基金净值变动数（本期利润）</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236,986.56</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236,986.56</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三、本期基金份额交易产生的基金净值变动数（净值减少以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-193,622,864.81</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-70,300.07</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-193,693,164.88</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其中：</w:t>
            </w:r>
            <w:r w:rsidRPr="00C24ACA">
              <w:rPr>
                <w:rFonts w:eastAsiaTheme="minorEastAsia"/>
                <w:color w:val="000000"/>
                <w:szCs w:val="21"/>
              </w:rPr>
              <w:t>1.</w:t>
            </w:r>
            <w:r w:rsidRPr="00C24ACA">
              <w:rPr>
                <w:rFonts w:eastAsiaTheme="minorEastAsia"/>
                <w:color w:val="000000"/>
                <w:szCs w:val="21"/>
              </w:rPr>
              <w:t>基金申购款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367,522.65</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2,498.88</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370,021.53</w:t>
            </w:r>
          </w:p>
        </w:tc>
      </w:tr>
      <w:tr w:rsidR="008A5A5D" w:rsidRPr="00C24ACA" w:rsidTr="00C903E7">
        <w:tc>
          <w:tcPr>
            <w:tcW w:w="2835" w:type="dxa"/>
          </w:tcPr>
          <w:p w:rsidR="008A5A5D" w:rsidRPr="00C24ACA" w:rsidRDefault="008A5A5D" w:rsidP="008134C7">
            <w:pPr>
              <w:ind w:firstLineChars="300" w:firstLine="630"/>
              <w:rPr>
                <w:rFonts w:eastAsiaTheme="minorEastAsia"/>
                <w:color w:val="000000"/>
                <w:szCs w:val="21"/>
              </w:rPr>
            </w:pPr>
            <w:r w:rsidRPr="00C24ACA">
              <w:rPr>
                <w:rFonts w:eastAsiaTheme="minorEastAsia"/>
                <w:color w:val="000000"/>
                <w:szCs w:val="21"/>
              </w:rPr>
              <w:t>2.</w:t>
            </w:r>
            <w:r w:rsidRPr="00C24ACA">
              <w:rPr>
                <w:rFonts w:eastAsiaTheme="minorEastAsia"/>
                <w:color w:val="000000"/>
                <w:szCs w:val="21"/>
              </w:rPr>
              <w:t>基金赎回款</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-193,990,387.46</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-72,798.95</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-194,063,186.41</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四、本期向基金份额持有人分配利润产生的基金净值变动（净值减少以</w:t>
            </w:r>
            <w:r w:rsidRPr="00C24ACA">
              <w:rPr>
                <w:rFonts w:eastAsiaTheme="minorEastAsia"/>
                <w:color w:val="000000"/>
                <w:szCs w:val="21"/>
              </w:rPr>
              <w:t>“-”</w:t>
            </w:r>
            <w:r w:rsidRPr="00C24ACA">
              <w:rPr>
                <w:rFonts w:eastAsiaTheme="minorEastAsia"/>
                <w:color w:val="000000"/>
                <w:szCs w:val="21"/>
              </w:rPr>
              <w:t>号填列）</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w:t>
            </w:r>
          </w:p>
        </w:tc>
      </w:tr>
      <w:tr w:rsidR="008A5A5D" w:rsidRPr="00C24ACA" w:rsidTr="00C903E7">
        <w:tc>
          <w:tcPr>
            <w:tcW w:w="2835" w:type="dxa"/>
          </w:tcPr>
          <w:p w:rsidR="008A5A5D" w:rsidRPr="00C24ACA" w:rsidRDefault="008A5A5D">
            <w:pPr>
              <w:rPr>
                <w:rFonts w:eastAsiaTheme="minorEastAsia"/>
                <w:color w:val="000000"/>
                <w:szCs w:val="21"/>
              </w:rPr>
            </w:pPr>
            <w:r w:rsidRPr="00C24ACA">
              <w:rPr>
                <w:rFonts w:eastAsiaTheme="minorEastAsia"/>
                <w:color w:val="000000"/>
                <w:szCs w:val="21"/>
              </w:rPr>
              <w:t>五、期末所有者权益（基金净值）</w:t>
            </w:r>
          </w:p>
        </w:tc>
        <w:tc>
          <w:tcPr>
            <w:tcW w:w="2127"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16,821,035.52</w:t>
            </w:r>
          </w:p>
        </w:tc>
        <w:tc>
          <w:tcPr>
            <w:tcW w:w="198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166,686.49</w:t>
            </w:r>
          </w:p>
        </w:tc>
        <w:tc>
          <w:tcPr>
            <w:tcW w:w="2054" w:type="dxa"/>
            <w:vAlign w:val="center"/>
          </w:tcPr>
          <w:p w:rsidR="008A5A5D" w:rsidRPr="00C24ACA" w:rsidRDefault="008A5A5D" w:rsidP="00C903E7">
            <w:pPr>
              <w:jc w:val="right"/>
              <w:rPr>
                <w:rFonts w:eastAsiaTheme="minorEastAsia"/>
                <w:color w:val="000000"/>
                <w:szCs w:val="21"/>
              </w:rPr>
            </w:pPr>
            <w:r w:rsidRPr="00C24ACA">
              <w:rPr>
                <w:rFonts w:eastAsiaTheme="minorEastAsia"/>
                <w:color w:val="000000"/>
                <w:szCs w:val="21"/>
              </w:rPr>
              <w:t>16,987,722.01</w:t>
            </w:r>
          </w:p>
        </w:tc>
      </w:tr>
    </w:tbl>
    <w:p w:rsidR="0035753E"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w:t>
      </w:r>
      <w:r w:rsidRPr="00C24ACA">
        <w:rPr>
          <w:rFonts w:eastAsiaTheme="minorEastAsia"/>
          <w:kern w:val="0"/>
          <w:szCs w:val="21"/>
        </w:rPr>
        <w:t>2020</w:t>
      </w:r>
      <w:r w:rsidRPr="00C24ACA">
        <w:rPr>
          <w:rFonts w:eastAsiaTheme="minorEastAsia"/>
          <w:kern w:val="0"/>
          <w:szCs w:val="21"/>
        </w:rPr>
        <w:t>年半年度实际报告期间为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日至</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日。截至报告期末本基金合同生效未满一年，本报告期的财务报表及报表附注均无同期对比数据。</w:t>
      </w:r>
    </w:p>
    <w:p w:rsidR="0035753E" w:rsidRPr="00C24ACA" w:rsidRDefault="0035753E" w:rsidP="006C64F3">
      <w:pPr>
        <w:spacing w:beforeLines="100" w:before="312" w:line="360" w:lineRule="auto"/>
        <w:rPr>
          <w:rFonts w:eastAsiaTheme="minorEastAsia"/>
          <w:szCs w:val="21"/>
        </w:rPr>
      </w:pPr>
      <w:r w:rsidRPr="00C24ACA">
        <w:rPr>
          <w:rFonts w:eastAsiaTheme="minorEastAsia"/>
          <w:szCs w:val="21"/>
        </w:rPr>
        <w:t>报表附注为财务报表的组成部分。</w:t>
      </w:r>
    </w:p>
    <w:p w:rsidR="0035753E" w:rsidRPr="00C24ACA" w:rsidRDefault="0035753E" w:rsidP="00316012">
      <w:pPr>
        <w:spacing w:line="360" w:lineRule="auto"/>
        <w:rPr>
          <w:rFonts w:eastAsiaTheme="minorEastAsia"/>
          <w:szCs w:val="21"/>
        </w:rPr>
      </w:pPr>
      <w:r w:rsidRPr="00C24ACA">
        <w:rPr>
          <w:rFonts w:eastAsiaTheme="minorEastAsia"/>
          <w:szCs w:val="21"/>
        </w:rPr>
        <w:t>本报告</w:t>
      </w:r>
      <w:r w:rsidRPr="00C24ACA">
        <w:rPr>
          <w:rFonts w:eastAsiaTheme="minorEastAsia"/>
          <w:szCs w:val="21"/>
        </w:rPr>
        <w:t>6.1</w:t>
      </w:r>
      <w:r w:rsidRPr="00C24ACA">
        <w:rPr>
          <w:rFonts w:eastAsiaTheme="minorEastAsia"/>
          <w:szCs w:val="21"/>
        </w:rPr>
        <w:t>至</w:t>
      </w:r>
      <w:r w:rsidRPr="00C24ACA">
        <w:rPr>
          <w:rFonts w:eastAsiaTheme="minorEastAsia"/>
          <w:szCs w:val="21"/>
        </w:rPr>
        <w:t>6.4</w:t>
      </w:r>
      <w:r w:rsidRPr="00C24ACA">
        <w:rPr>
          <w:rFonts w:eastAsiaTheme="minorEastAsia"/>
          <w:szCs w:val="21"/>
        </w:rPr>
        <w:t>，财务报表由下列负责人签署：</w:t>
      </w:r>
    </w:p>
    <w:p w:rsidR="008A5A5D" w:rsidRPr="00C24ACA" w:rsidRDefault="00787FF8" w:rsidP="00862636">
      <w:pPr>
        <w:spacing w:line="360" w:lineRule="auto"/>
        <w:rPr>
          <w:rFonts w:eastAsiaTheme="minorEastAsia"/>
          <w:szCs w:val="21"/>
        </w:rPr>
      </w:pPr>
      <w:r w:rsidRPr="00C24ACA">
        <w:rPr>
          <w:rFonts w:eastAsiaTheme="minorEastAsia"/>
          <w:szCs w:val="21"/>
        </w:rPr>
        <w:t>基金管理人</w:t>
      </w:r>
      <w:r w:rsidR="0035753E" w:rsidRPr="00C24ACA">
        <w:rPr>
          <w:rFonts w:eastAsiaTheme="minorEastAsia"/>
          <w:szCs w:val="21"/>
        </w:rPr>
        <w:t>负责人：刘晓艳，主管会计工作负责人：陈荣，会计机构负责人：邱毅华</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191" w:name="_Toc225498271"/>
      <w:bookmarkStart w:id="192" w:name="_Toc352255994"/>
      <w:bookmarkStart w:id="193" w:name="_Toc352256062"/>
      <w:bookmarkStart w:id="194" w:name="_Toc352331240"/>
      <w:bookmarkStart w:id="195" w:name="_Toc390164819"/>
      <w:bookmarkStart w:id="196" w:name="_Toc48660300"/>
      <w:r w:rsidRPr="0087359D">
        <w:rPr>
          <w:rFonts w:ascii="宋体" w:hAnsi="宋体"/>
          <w:kern w:val="0"/>
          <w:sz w:val="21"/>
          <w:szCs w:val="21"/>
        </w:rPr>
        <w:t>6.4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报表附注</w:t>
      </w:r>
      <w:bookmarkEnd w:id="191"/>
      <w:bookmarkEnd w:id="192"/>
      <w:bookmarkEnd w:id="193"/>
      <w:bookmarkEnd w:id="194"/>
      <w:bookmarkEnd w:id="195"/>
      <w:bookmarkEnd w:id="196"/>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w:t>
      </w:r>
      <w:r w:rsidR="004F3E31" w:rsidRPr="00C24ACA">
        <w:rPr>
          <w:rFonts w:eastAsiaTheme="minorEastAsia"/>
          <w:b/>
          <w:bCs/>
          <w:color w:val="000000"/>
          <w:kern w:val="0"/>
          <w:szCs w:val="21"/>
        </w:rPr>
        <w:t xml:space="preserve"> </w:t>
      </w:r>
      <w:r w:rsidRPr="00C24ACA">
        <w:rPr>
          <w:rFonts w:eastAsiaTheme="minorEastAsia"/>
          <w:b/>
          <w:color w:val="000000"/>
          <w:kern w:val="0"/>
          <w:szCs w:val="21"/>
        </w:rPr>
        <w:t>基金基本情况</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易方达中证浙江新动能交易型开放式指数证券投资基金联接基金</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本基金</w:t>
      </w:r>
      <w:r>
        <w:rPr>
          <w:rFonts w:eastAsiaTheme="minorEastAsia"/>
          <w:kern w:val="0"/>
          <w:szCs w:val="21"/>
        </w:rPr>
        <w:t>”)</w:t>
      </w:r>
      <w:r>
        <w:rPr>
          <w:rFonts w:eastAsiaTheme="minorEastAsia"/>
          <w:kern w:val="0"/>
          <w:szCs w:val="21"/>
        </w:rPr>
        <w:t>根据中国证券监督管理委员会</w:t>
      </w:r>
      <w:r>
        <w:rPr>
          <w:rFonts w:eastAsiaTheme="minorEastAsia"/>
          <w:kern w:val="0"/>
          <w:szCs w:val="21"/>
        </w:rPr>
        <w:t>(</w:t>
      </w:r>
      <w:r>
        <w:rPr>
          <w:rFonts w:eastAsiaTheme="minorEastAsia"/>
          <w:kern w:val="0"/>
          <w:szCs w:val="21"/>
        </w:rPr>
        <w:t>以下简称</w:t>
      </w:r>
      <w:r>
        <w:rPr>
          <w:rFonts w:eastAsiaTheme="minorEastAsia"/>
          <w:kern w:val="0"/>
          <w:szCs w:val="21"/>
        </w:rPr>
        <w:t>“</w:t>
      </w:r>
      <w:r>
        <w:rPr>
          <w:rFonts w:eastAsiaTheme="minorEastAsia"/>
          <w:kern w:val="0"/>
          <w:szCs w:val="21"/>
        </w:rPr>
        <w:t>中国证监会</w:t>
      </w:r>
      <w:r>
        <w:rPr>
          <w:rFonts w:eastAsiaTheme="minorEastAsia"/>
          <w:kern w:val="0"/>
          <w:szCs w:val="21"/>
        </w:rPr>
        <w:t>”)</w:t>
      </w:r>
      <w:r>
        <w:rPr>
          <w:rFonts w:eastAsiaTheme="minorEastAsia"/>
          <w:kern w:val="0"/>
          <w:szCs w:val="21"/>
        </w:rPr>
        <w:t>证监许可</w:t>
      </w:r>
      <w:r>
        <w:rPr>
          <w:rFonts w:eastAsiaTheme="minorEastAsia"/>
          <w:kern w:val="0"/>
          <w:szCs w:val="21"/>
        </w:rPr>
        <w:t>[2019]1359</w:t>
      </w:r>
      <w:r>
        <w:rPr>
          <w:rFonts w:eastAsiaTheme="minorEastAsia"/>
          <w:kern w:val="0"/>
          <w:szCs w:val="21"/>
        </w:rPr>
        <w:t>号《关于准予易方达中证浙江新动能交易型开放式指数证券投资基金联接基金注册的批复》进行募集，由易方达基金管理有限公司依照《中华人民共和国证券投资基金法》和《易方达中证浙江新动能交易型开放式指数证券投资基金联接基金基金合同》公开募集。经向中国证监会备案，《易方达中证浙江新动能交易型开放式指数证券投资基金联接基金基金合同》于</w:t>
      </w:r>
      <w:r>
        <w:rPr>
          <w:rFonts w:eastAsiaTheme="minorEastAsia"/>
          <w:kern w:val="0"/>
          <w:szCs w:val="21"/>
        </w:rPr>
        <w:t>2020</w:t>
      </w:r>
      <w:r>
        <w:rPr>
          <w:rFonts w:eastAsiaTheme="minorEastAsia"/>
          <w:kern w:val="0"/>
          <w:szCs w:val="21"/>
        </w:rPr>
        <w:t>年</w:t>
      </w:r>
      <w:r>
        <w:rPr>
          <w:rFonts w:eastAsiaTheme="minorEastAsia"/>
          <w:kern w:val="0"/>
          <w:szCs w:val="21"/>
        </w:rPr>
        <w:t>4</w:t>
      </w:r>
      <w:r>
        <w:rPr>
          <w:rFonts w:eastAsiaTheme="minorEastAsia"/>
          <w:kern w:val="0"/>
          <w:szCs w:val="21"/>
        </w:rPr>
        <w:t>月</w:t>
      </w:r>
      <w:r>
        <w:rPr>
          <w:rFonts w:eastAsiaTheme="minorEastAsia"/>
          <w:kern w:val="0"/>
          <w:szCs w:val="21"/>
        </w:rPr>
        <w:t>24</w:t>
      </w:r>
      <w:r>
        <w:rPr>
          <w:rFonts w:eastAsiaTheme="minorEastAsia"/>
          <w:kern w:val="0"/>
          <w:szCs w:val="21"/>
        </w:rPr>
        <w:t>日正式生效，基金合同生效日的基金份额总额为</w:t>
      </w:r>
      <w:r>
        <w:rPr>
          <w:rFonts w:eastAsiaTheme="minorEastAsia"/>
          <w:kern w:val="0"/>
          <w:szCs w:val="21"/>
        </w:rPr>
        <w:t>210,443,900.33</w:t>
      </w:r>
      <w:r>
        <w:rPr>
          <w:rFonts w:eastAsiaTheme="minorEastAsia"/>
          <w:kern w:val="0"/>
          <w:szCs w:val="21"/>
        </w:rPr>
        <w:t>份基金份额，其中认购资金利息折合</w:t>
      </w:r>
      <w:r>
        <w:rPr>
          <w:rFonts w:eastAsiaTheme="minorEastAsia"/>
          <w:kern w:val="0"/>
          <w:szCs w:val="21"/>
        </w:rPr>
        <w:t>84,220.71</w:t>
      </w:r>
      <w:r>
        <w:rPr>
          <w:rFonts w:eastAsiaTheme="minorEastAsia"/>
          <w:kern w:val="0"/>
          <w:szCs w:val="21"/>
        </w:rPr>
        <w:t>份基金份额。本基金为契约型开放式基金，存续期限不定。本基金的基金管理人为易方达基金管理有限公司，基金托管人为中国工商银行股份有限公司。</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本基金募集期间为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22</w:t>
      </w:r>
      <w:r w:rsidRPr="00C24ACA">
        <w:rPr>
          <w:rFonts w:eastAsiaTheme="minorEastAsia"/>
          <w:kern w:val="0"/>
          <w:szCs w:val="21"/>
        </w:rPr>
        <w:t>日至</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21</w:t>
      </w:r>
      <w:r w:rsidRPr="00C24ACA">
        <w:rPr>
          <w:rFonts w:eastAsiaTheme="minorEastAsia"/>
          <w:kern w:val="0"/>
          <w:szCs w:val="21"/>
        </w:rPr>
        <w:t>日，募集金额总额为人民币</w:t>
      </w:r>
      <w:r w:rsidRPr="00C24ACA">
        <w:rPr>
          <w:rFonts w:eastAsiaTheme="minorEastAsia"/>
          <w:kern w:val="0"/>
          <w:szCs w:val="21"/>
        </w:rPr>
        <w:t>210,443,900.33</w:t>
      </w:r>
      <w:r w:rsidRPr="00C24ACA">
        <w:rPr>
          <w:rFonts w:eastAsiaTheme="minorEastAsia"/>
          <w:kern w:val="0"/>
          <w:szCs w:val="21"/>
        </w:rPr>
        <w:t>元，其中：有效净认购金额为人民币</w:t>
      </w:r>
      <w:r w:rsidRPr="00C24ACA">
        <w:rPr>
          <w:rFonts w:eastAsiaTheme="minorEastAsia"/>
          <w:kern w:val="0"/>
          <w:szCs w:val="21"/>
        </w:rPr>
        <w:t>210,359,679.62</w:t>
      </w:r>
      <w:r w:rsidRPr="00C24ACA">
        <w:rPr>
          <w:rFonts w:eastAsiaTheme="minorEastAsia"/>
          <w:kern w:val="0"/>
          <w:szCs w:val="21"/>
        </w:rPr>
        <w:t>元，有效认购资金在募集期内产生的银行利息共计人民币</w:t>
      </w:r>
      <w:r w:rsidRPr="00C24ACA">
        <w:rPr>
          <w:rFonts w:eastAsiaTheme="minorEastAsia"/>
          <w:kern w:val="0"/>
          <w:szCs w:val="21"/>
        </w:rPr>
        <w:t>84,220.71</w:t>
      </w:r>
      <w:r w:rsidRPr="00C24ACA">
        <w:rPr>
          <w:rFonts w:eastAsiaTheme="minorEastAsia"/>
          <w:kern w:val="0"/>
          <w:szCs w:val="21"/>
        </w:rPr>
        <w:t>元，经安永华明</w:t>
      </w:r>
      <w:r w:rsidRPr="00C24ACA">
        <w:rPr>
          <w:rFonts w:eastAsiaTheme="minorEastAsia"/>
          <w:kern w:val="0"/>
          <w:szCs w:val="21"/>
        </w:rPr>
        <w:t>(2020)</w:t>
      </w:r>
      <w:r w:rsidRPr="00C24ACA">
        <w:rPr>
          <w:rFonts w:eastAsiaTheme="minorEastAsia"/>
          <w:kern w:val="0"/>
          <w:szCs w:val="21"/>
        </w:rPr>
        <w:t>验字第</w:t>
      </w:r>
      <w:r w:rsidRPr="00C24ACA">
        <w:rPr>
          <w:rFonts w:eastAsiaTheme="minorEastAsia"/>
          <w:kern w:val="0"/>
          <w:szCs w:val="21"/>
        </w:rPr>
        <w:t>60468000_G15</w:t>
      </w:r>
      <w:r w:rsidRPr="00C24ACA">
        <w:rPr>
          <w:rFonts w:eastAsiaTheme="minorEastAsia"/>
          <w:kern w:val="0"/>
          <w:szCs w:val="21"/>
        </w:rPr>
        <w:t>号验资报告予以审验。</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6.4.2</w:t>
      </w:r>
      <w:r w:rsidR="004F3E31" w:rsidRPr="00C24ACA">
        <w:rPr>
          <w:rFonts w:eastAsiaTheme="minorEastAsia"/>
          <w:b/>
          <w:bCs/>
          <w:color w:val="000000"/>
          <w:kern w:val="0"/>
          <w:szCs w:val="21"/>
        </w:rPr>
        <w:t xml:space="preserve"> </w:t>
      </w:r>
      <w:r w:rsidRPr="00C24ACA">
        <w:rPr>
          <w:rFonts w:eastAsiaTheme="minorEastAsia"/>
          <w:b/>
          <w:color w:val="000000"/>
          <w:kern w:val="0"/>
          <w:szCs w:val="21"/>
        </w:rPr>
        <w:t>会计报表的编制基础</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本财务报表系按照财政部颁布的《企业会计准则</w:t>
      </w:r>
      <w:r>
        <w:rPr>
          <w:rFonts w:eastAsiaTheme="minorEastAsia"/>
          <w:kern w:val="0"/>
          <w:szCs w:val="21"/>
        </w:rPr>
        <w:t>—</w:t>
      </w:r>
      <w:r>
        <w:rPr>
          <w:rFonts w:eastAsiaTheme="minorEastAsia"/>
          <w:kern w:val="0"/>
          <w:szCs w:val="21"/>
        </w:rPr>
        <w:t>基本准则》以及其后颁布及修订的具体会计准则、应用指南、解释以及其他相关规定</w:t>
      </w:r>
      <w:r>
        <w:rPr>
          <w:rFonts w:eastAsiaTheme="minorEastAsia"/>
          <w:kern w:val="0"/>
          <w:szCs w:val="21"/>
        </w:rPr>
        <w:t>(</w:t>
      </w:r>
      <w:r>
        <w:rPr>
          <w:rFonts w:eastAsiaTheme="minorEastAsia"/>
          <w:kern w:val="0"/>
          <w:szCs w:val="21"/>
        </w:rPr>
        <w:t>以下合称</w:t>
      </w:r>
      <w:r>
        <w:rPr>
          <w:rFonts w:eastAsiaTheme="minorEastAsia"/>
          <w:kern w:val="0"/>
          <w:szCs w:val="21"/>
        </w:rPr>
        <w:t>“</w:t>
      </w:r>
      <w:r>
        <w:rPr>
          <w:rFonts w:eastAsiaTheme="minorEastAsia"/>
          <w:kern w:val="0"/>
          <w:szCs w:val="21"/>
        </w:rPr>
        <w:t>企业会计准则</w:t>
      </w:r>
      <w:r>
        <w:rPr>
          <w:rFonts w:eastAsiaTheme="minorEastAsia"/>
          <w:kern w:val="0"/>
          <w:szCs w:val="21"/>
        </w:rPr>
        <w:t>”)</w:t>
      </w:r>
      <w:r>
        <w:rPr>
          <w:rFonts w:eastAsiaTheme="minorEastAsia"/>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rFonts w:eastAsiaTheme="minorEastAsia"/>
          <w:kern w:val="0"/>
          <w:szCs w:val="21"/>
        </w:rPr>
        <w:t>2</w:t>
      </w:r>
      <w:r>
        <w:rPr>
          <w:rFonts w:eastAsiaTheme="minorEastAsia"/>
          <w:kern w:val="0"/>
          <w:szCs w:val="21"/>
        </w:rPr>
        <w:t>号《年度报告的内容与格式》、《证券投资基金信息披露编报规则》第</w:t>
      </w:r>
      <w:r>
        <w:rPr>
          <w:rFonts w:eastAsiaTheme="minorEastAsia"/>
          <w:kern w:val="0"/>
          <w:szCs w:val="21"/>
        </w:rPr>
        <w:t>3</w:t>
      </w:r>
      <w:r>
        <w:rPr>
          <w:rFonts w:eastAsiaTheme="minorEastAsia"/>
          <w:kern w:val="0"/>
          <w:szCs w:val="21"/>
        </w:rPr>
        <w:t>号《会计报表附注的编制及披露》、《证券投资基金信息披露</w:t>
      </w:r>
      <w:r>
        <w:rPr>
          <w:rFonts w:eastAsiaTheme="minorEastAsia"/>
          <w:kern w:val="0"/>
          <w:szCs w:val="21"/>
        </w:rPr>
        <w:t>XBRL</w:t>
      </w:r>
      <w:r>
        <w:rPr>
          <w:rFonts w:eastAsiaTheme="minorEastAsia"/>
          <w:kern w:val="0"/>
          <w:szCs w:val="21"/>
        </w:rPr>
        <w:t>模板第</w:t>
      </w:r>
      <w:r>
        <w:rPr>
          <w:rFonts w:eastAsiaTheme="minorEastAsia"/>
          <w:kern w:val="0"/>
          <w:szCs w:val="21"/>
        </w:rPr>
        <w:t>3</w:t>
      </w:r>
      <w:r>
        <w:rPr>
          <w:rFonts w:eastAsiaTheme="minorEastAsia"/>
          <w:kern w:val="0"/>
          <w:szCs w:val="21"/>
        </w:rPr>
        <w:t>号</w:t>
      </w:r>
      <w:r>
        <w:rPr>
          <w:rFonts w:eastAsiaTheme="minorEastAsia"/>
          <w:kern w:val="0"/>
          <w:szCs w:val="21"/>
        </w:rPr>
        <w:t>&lt;</w:t>
      </w:r>
      <w:r>
        <w:rPr>
          <w:rFonts w:eastAsiaTheme="minorEastAsia"/>
          <w:kern w:val="0"/>
          <w:szCs w:val="21"/>
        </w:rPr>
        <w:t>年度报告和中期报告</w:t>
      </w:r>
      <w:r>
        <w:rPr>
          <w:rFonts w:eastAsiaTheme="minorEastAsia"/>
          <w:kern w:val="0"/>
          <w:szCs w:val="21"/>
        </w:rPr>
        <w:t>&gt;</w:t>
      </w:r>
      <w:r>
        <w:rPr>
          <w:rFonts w:eastAsiaTheme="minorEastAsia"/>
          <w:kern w:val="0"/>
          <w:szCs w:val="21"/>
        </w:rPr>
        <w:t>》及其他中国证监会和中国证券投资基金业协会发布的相关规定和指引。</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本财务报表以本基金持续经营为基础列报。</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6.4.3</w:t>
      </w:r>
      <w:r w:rsidR="004F3E31" w:rsidRPr="00C24ACA">
        <w:rPr>
          <w:rFonts w:eastAsiaTheme="minorEastAsia"/>
          <w:b/>
          <w:bCs/>
          <w:color w:val="000000"/>
          <w:kern w:val="0"/>
          <w:szCs w:val="21"/>
        </w:rPr>
        <w:t xml:space="preserve"> </w:t>
      </w:r>
      <w:r w:rsidRPr="00C24ACA">
        <w:rPr>
          <w:rFonts w:eastAsiaTheme="minorEastAsia"/>
          <w:b/>
          <w:color w:val="000000"/>
          <w:kern w:val="0"/>
          <w:szCs w:val="21"/>
        </w:rPr>
        <w:t>遵循企业会计准则及其他有关规定的声明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本财务报表符合企业会计准则的要求，真实、完整地反映了本基金本报告期末的财务状况以及本报告期间的经营成果和基金净值变动情况等有关信息。</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w:t>
      </w:r>
      <w:r w:rsidR="004F3E31" w:rsidRPr="00C24ACA">
        <w:rPr>
          <w:rFonts w:eastAsiaTheme="minorEastAsia"/>
          <w:b/>
          <w:bCs/>
          <w:color w:val="000000"/>
          <w:kern w:val="0"/>
          <w:szCs w:val="21"/>
        </w:rPr>
        <w:t xml:space="preserve"> </w:t>
      </w:r>
      <w:r w:rsidR="004F3E31" w:rsidRPr="00C24ACA">
        <w:rPr>
          <w:rFonts w:eastAsiaTheme="minorEastAsia"/>
          <w:b/>
          <w:kern w:val="0"/>
          <w:szCs w:val="21"/>
        </w:rPr>
        <w:t>重要会计政策和会计估计</w:t>
      </w:r>
    </w:p>
    <w:p w:rsidR="006E59EA"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本基金财务报表所载财务信息根据下列依照企业会计准则、《证券投资基金会计核算业务指引》和其他相关规定所制定的重要会计政策和会计估计编制。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6.4.4.1 </w:t>
      </w:r>
      <w:r w:rsidRPr="00C24ACA">
        <w:rPr>
          <w:rFonts w:eastAsiaTheme="minorEastAsia"/>
          <w:b/>
          <w:bCs/>
          <w:color w:val="000000"/>
          <w:kern w:val="0"/>
          <w:szCs w:val="21"/>
        </w:rPr>
        <w:t>会计年度</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本基金会计年度为公历</w:t>
      </w:r>
      <w:r w:rsidRPr="00C24ACA">
        <w:rPr>
          <w:rFonts w:eastAsiaTheme="minorEastAsia"/>
          <w:kern w:val="0"/>
          <w:szCs w:val="21"/>
        </w:rPr>
        <w:t>1</w:t>
      </w:r>
      <w:r w:rsidRPr="00C24ACA">
        <w:rPr>
          <w:rFonts w:eastAsiaTheme="minorEastAsia"/>
          <w:kern w:val="0"/>
          <w:szCs w:val="21"/>
        </w:rPr>
        <w:t>月</w:t>
      </w:r>
      <w:r w:rsidRPr="00C24ACA">
        <w:rPr>
          <w:rFonts w:eastAsiaTheme="minorEastAsia"/>
          <w:kern w:val="0"/>
          <w:szCs w:val="21"/>
        </w:rPr>
        <w:t>1</w:t>
      </w:r>
      <w:r w:rsidRPr="00C24ACA">
        <w:rPr>
          <w:rFonts w:eastAsiaTheme="minorEastAsia"/>
          <w:kern w:val="0"/>
          <w:szCs w:val="21"/>
        </w:rPr>
        <w:t>日起至</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日止，惟本会计年度期间为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日（基金合同生效日）至</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31</w:t>
      </w:r>
      <w:r w:rsidRPr="00C24ACA">
        <w:rPr>
          <w:rFonts w:eastAsiaTheme="minorEastAsia"/>
          <w:kern w:val="0"/>
          <w:szCs w:val="21"/>
        </w:rPr>
        <w:t>日。</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6.4.4.2 </w:t>
      </w:r>
      <w:r w:rsidRPr="00C24ACA">
        <w:rPr>
          <w:rFonts w:eastAsiaTheme="minorEastAsia"/>
          <w:b/>
          <w:bCs/>
          <w:color w:val="000000"/>
          <w:kern w:val="0"/>
          <w:szCs w:val="21"/>
        </w:rPr>
        <w:t>记账本位币</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本基金记账本位币和编制本财务报表所采用的货币均为人民币。除有特别说明外，均以人民币元为单位表示。</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6.4.4.3 </w:t>
      </w:r>
      <w:r w:rsidRPr="00C24ACA">
        <w:rPr>
          <w:rFonts w:eastAsiaTheme="minorEastAsia"/>
          <w:b/>
          <w:bCs/>
          <w:color w:val="000000"/>
          <w:kern w:val="0"/>
          <w:szCs w:val="21"/>
        </w:rPr>
        <w:t>金融资产和金融负债的分类</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金融工具是指形成一个单位的金融资产（负债），并形成其他单位的金融负债（资产）或权益工具的合同。</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金融资产分类</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金融资产应当在初始确认时划分以公允价值计量且其变动计入当期损益的金融资产、持有至到期投资、贷款和应收款项，以及可供出售金融资产。本基金根据持有意图和能力，将持有的基金投资、股票投资、债券投资和衍生工具等于初始确认时划分为以公允价值计量且其变动计入当期损益的金融资产；其他金融资产划分为贷款和应收款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金融负债分类</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金融负债应当在初始确认时划分以公允价值计量且其变动计入当期损益的金融负债和其他金融负债两类。本基金目前持有的金融负债划分为其他金融负债。</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6.4.4.4 </w:t>
      </w:r>
      <w:r w:rsidRPr="00C24ACA">
        <w:rPr>
          <w:rFonts w:eastAsiaTheme="minorEastAsia"/>
          <w:b/>
          <w:bCs/>
          <w:color w:val="000000"/>
          <w:kern w:val="0"/>
          <w:szCs w:val="21"/>
        </w:rPr>
        <w:t>金融资产和金融负债的初始确认、后续计量和终止确认</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本基金于成为金融工具合同的一方时确认一项金融资产或金融负债。</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基金初始确认金融资产或金融负债，应当按照取得时的公允价值作为初始确认金额，划分为以公允价值计量且其变动计入当期损益的金融资产的股票投资、债券投资等，以及不作为有效套期工具的衍生金融工具，相关的交易费用在发生时计入当期损益。对于本基金的其他金融资产和其他金融负债，相关交易费用在发生时计入初始确认金额。</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在持有以公允价值计量且其变动计入当期损益的金融资产期间取得的利息或现金股利，应当确认为当期收益。每日，本基金将以公允价值计量且其变动计入当期损益的金融资产或金融负债的公允价值变动计入当期损益。对于本基金的其他金融资产和其他金融负债，采用实际利率法，按摊余成本进行后续计量。</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处置该金融资产或金融负债时，其公允价值与初始入账金额之间的差额应确认为投资收益，其中包括同时结转的公允价值变动收益。当收取该金融资产现金流量的合同权利终止，或该金融资产已转移，且符合金融资产转移的终止确认条件的，金融资产将终止确认。</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金融负债的现时义务全部或部分已经解除的，终止确认该金融负债或其一部分。</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金融资产转移，是指本基金将金融资产让与或交付给该金融资产发行方以外的另一方</w:t>
      </w:r>
      <w:r w:rsidRPr="00C24ACA">
        <w:rPr>
          <w:rFonts w:eastAsiaTheme="minorEastAsia"/>
          <w:kern w:val="0"/>
          <w:szCs w:val="21"/>
        </w:rPr>
        <w:t>(</w:t>
      </w:r>
      <w:r w:rsidRPr="00C24ACA">
        <w:rPr>
          <w:rFonts w:eastAsiaTheme="minorEastAsia"/>
          <w:kern w:val="0"/>
          <w:szCs w:val="21"/>
        </w:rPr>
        <w:t>转入方</w:t>
      </w:r>
      <w:r w:rsidRPr="00C24ACA">
        <w:rPr>
          <w:rFonts w:eastAsiaTheme="minorEastAsia"/>
          <w:kern w:val="0"/>
          <w:szCs w:val="21"/>
        </w:rPr>
        <w:t>)</w:t>
      </w:r>
      <w:r w:rsidRPr="00C24ACA">
        <w:rPr>
          <w:rFonts w:eastAsiaTheme="minorEastAsia"/>
          <w:kern w:val="0"/>
          <w:szCs w:val="21"/>
        </w:rPr>
        <w:t>。本基金已将金融资产所有权上几乎所有的风险和报酬转移给转入方的，终止确认该金融资产；保留了金融资产所有权上几乎所有的风险和报酬的，不终止确认该金融资产。本基金既没有转移也没有保留金融资产所有权上几乎所有的风险和报酬的，分别下列情况处理：放弃了对该金融资产控制的，终止确认该金融资产；未放弃对该金融资产控制的，按照其继续涉入所转移金融资产的程度确认有关金融资产，并相应确认有关负债。</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6.4.4.5 </w:t>
      </w:r>
      <w:r w:rsidRPr="00C24ACA">
        <w:rPr>
          <w:rFonts w:eastAsiaTheme="minorEastAsia"/>
          <w:b/>
          <w:bCs/>
          <w:color w:val="000000"/>
          <w:kern w:val="0"/>
          <w:szCs w:val="21"/>
        </w:rPr>
        <w:t>金融资产和金融负债的估值原则</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本基金持有的金融工具按如下原则确定公允价值并进行估值：</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w:t>
      </w:r>
      <w:r>
        <w:rPr>
          <w:rFonts w:eastAsiaTheme="minorEastAsia"/>
          <w:kern w:val="0"/>
          <w:szCs w:val="21"/>
        </w:rPr>
        <w:t>1</w:t>
      </w:r>
      <w:r>
        <w:rPr>
          <w:rFonts w:eastAsiaTheme="minorEastAsia"/>
          <w:kern w:val="0"/>
          <w:szCs w:val="21"/>
        </w:rPr>
        <w:t>）存在活跃市场且能够获取相同资产或负债报价的金融工具，按其估值日不加调整的报价确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w:t>
      </w:r>
      <w:r>
        <w:rPr>
          <w:rFonts w:eastAsiaTheme="minorEastAsia"/>
          <w:kern w:val="0"/>
          <w:szCs w:val="21"/>
        </w:rPr>
        <w:t>2</w:t>
      </w:r>
      <w:r>
        <w:rPr>
          <w:rFonts w:eastAsiaTheme="minorEastAsia"/>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w:t>
      </w:r>
      <w:r w:rsidRPr="00C24ACA">
        <w:rPr>
          <w:rFonts w:eastAsiaTheme="minorEastAsia"/>
          <w:kern w:val="0"/>
          <w:szCs w:val="21"/>
        </w:rPr>
        <w:t>3</w:t>
      </w:r>
      <w:r w:rsidRPr="00C24ACA">
        <w:rPr>
          <w:rFonts w:eastAsiaTheme="minorEastAsia"/>
          <w:kern w:val="0"/>
          <w:szCs w:val="21"/>
        </w:rPr>
        <w:t>）如有确凿证据表明按上述方法进行估值不能客观反映金融工具公允价值的，基金管理人可根据具体情况与基金托管人商定后，按最能反映公允价值的方法估值。</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6.4.4.6 </w:t>
      </w:r>
      <w:r w:rsidRPr="00C24ACA">
        <w:rPr>
          <w:rFonts w:eastAsiaTheme="minorEastAsia"/>
          <w:b/>
          <w:bCs/>
          <w:color w:val="000000"/>
          <w:kern w:val="0"/>
          <w:szCs w:val="21"/>
        </w:rPr>
        <w:t>金融资产和金融负债的抵销</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当本基金同时满足下列条件时，金融资产和金融负债以相互抵销后的净额在资产负债表内列示：具有抵销已确认金额的法定权利，且该种法定权利是当前可执行的；计划以净额结算，或同时变现该金融资产和清偿该金融负债。</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6.4.4.7 </w:t>
      </w:r>
      <w:r w:rsidRPr="00C24ACA">
        <w:rPr>
          <w:rFonts w:eastAsiaTheme="minorEastAsia"/>
          <w:b/>
          <w:bCs/>
          <w:color w:val="000000"/>
          <w:kern w:val="0"/>
          <w:szCs w:val="21"/>
        </w:rPr>
        <w:t>实收基金</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实收基金为对外发行的基金份额总额所对应的金额。由于申购和赎回引起的实收基金份额变动分别于基金申购确认日及基金赎回确认日确认。上述申购和赎回分别包括基金转换所引起的转入基金的实收基金增加和转出基金的实收基金减少。</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6.4.4.8 </w:t>
      </w:r>
      <w:r w:rsidRPr="00C24ACA">
        <w:rPr>
          <w:rFonts w:eastAsiaTheme="minorEastAsia"/>
          <w:b/>
          <w:bCs/>
          <w:color w:val="000000"/>
          <w:kern w:val="0"/>
          <w:szCs w:val="21"/>
        </w:rPr>
        <w:t>损益平准金</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损益平准金包括已实现损益平准金和未实现损益平准金。已实现损益平准金指在申购或赎回基金份额时，申购或赎回款项中包含的按累计未分配的已实现收益</w:t>
      </w:r>
      <w:r w:rsidRPr="00C24ACA">
        <w:rPr>
          <w:rFonts w:eastAsiaTheme="minorEastAsia"/>
          <w:kern w:val="0"/>
          <w:szCs w:val="21"/>
        </w:rPr>
        <w:t>/(</w:t>
      </w:r>
      <w:r w:rsidRPr="00C24ACA">
        <w:rPr>
          <w:rFonts w:eastAsiaTheme="minorEastAsia"/>
          <w:kern w:val="0"/>
          <w:szCs w:val="21"/>
        </w:rPr>
        <w:t>损失</w:t>
      </w:r>
      <w:r w:rsidRPr="00C24ACA">
        <w:rPr>
          <w:rFonts w:eastAsiaTheme="minorEastAsia"/>
          <w:kern w:val="0"/>
          <w:szCs w:val="21"/>
        </w:rPr>
        <w:t>)</w:t>
      </w:r>
      <w:r w:rsidRPr="00C24ACA">
        <w:rPr>
          <w:rFonts w:eastAsiaTheme="minorEastAsia"/>
          <w:kern w:val="0"/>
          <w:szCs w:val="21"/>
        </w:rPr>
        <w:t>占基金净值比例计算的金额。未实现损益平准金指在申购或赎回基金份额时，申购或赎回款项中包含的按累计未实现利得</w:t>
      </w:r>
      <w:r w:rsidRPr="00C24ACA">
        <w:rPr>
          <w:rFonts w:eastAsiaTheme="minorEastAsia"/>
          <w:kern w:val="0"/>
          <w:szCs w:val="21"/>
        </w:rPr>
        <w:t>/(</w:t>
      </w:r>
      <w:r w:rsidRPr="00C24ACA">
        <w:rPr>
          <w:rFonts w:eastAsiaTheme="minorEastAsia"/>
          <w:kern w:val="0"/>
          <w:szCs w:val="21"/>
        </w:rPr>
        <w:t>损失</w:t>
      </w:r>
      <w:r w:rsidRPr="00C24ACA">
        <w:rPr>
          <w:rFonts w:eastAsiaTheme="minorEastAsia"/>
          <w:kern w:val="0"/>
          <w:szCs w:val="21"/>
        </w:rPr>
        <w:t>)</w:t>
      </w:r>
      <w:r w:rsidRPr="00C24ACA">
        <w:rPr>
          <w:rFonts w:eastAsiaTheme="minorEastAsia"/>
          <w:kern w:val="0"/>
          <w:szCs w:val="21"/>
        </w:rPr>
        <w:t>占基金净值比例计算的金额。损益平准金于基金申购确认日或基金赎回确认日确认。未实现损益平准金与已实现损益平准金均在</w:t>
      </w:r>
      <w:r w:rsidRPr="00C24ACA">
        <w:rPr>
          <w:rFonts w:eastAsiaTheme="minorEastAsia"/>
          <w:kern w:val="0"/>
          <w:szCs w:val="21"/>
        </w:rPr>
        <w:t>“</w:t>
      </w:r>
      <w:r w:rsidRPr="00C24ACA">
        <w:rPr>
          <w:rFonts w:eastAsiaTheme="minorEastAsia"/>
          <w:kern w:val="0"/>
          <w:szCs w:val="21"/>
        </w:rPr>
        <w:t>损益平准金</w:t>
      </w:r>
      <w:r w:rsidRPr="00C24ACA">
        <w:rPr>
          <w:rFonts w:eastAsiaTheme="minorEastAsia"/>
          <w:kern w:val="0"/>
          <w:szCs w:val="21"/>
        </w:rPr>
        <w:t>”</w:t>
      </w:r>
      <w:r w:rsidRPr="00C24ACA">
        <w:rPr>
          <w:rFonts w:eastAsiaTheme="minorEastAsia"/>
          <w:kern w:val="0"/>
          <w:szCs w:val="21"/>
        </w:rPr>
        <w:t>科目中核算，并于期末全额转入</w:t>
      </w:r>
      <w:r w:rsidRPr="00C24ACA">
        <w:rPr>
          <w:rFonts w:eastAsiaTheme="minorEastAsia"/>
          <w:kern w:val="0"/>
          <w:szCs w:val="21"/>
        </w:rPr>
        <w:t>“</w:t>
      </w:r>
      <w:r w:rsidRPr="00C24ACA">
        <w:rPr>
          <w:rFonts w:eastAsiaTheme="minorEastAsia"/>
          <w:kern w:val="0"/>
          <w:szCs w:val="21"/>
        </w:rPr>
        <w:t>未分配利润</w:t>
      </w:r>
      <w:r w:rsidRPr="00C24ACA">
        <w:rPr>
          <w:rFonts w:eastAsiaTheme="minorEastAsia"/>
          <w:kern w:val="0"/>
          <w:szCs w:val="21"/>
        </w:rPr>
        <w:t>/(</w:t>
      </w:r>
      <w:r w:rsidRPr="00C24ACA">
        <w:rPr>
          <w:rFonts w:eastAsiaTheme="minorEastAsia"/>
          <w:kern w:val="0"/>
          <w:szCs w:val="21"/>
        </w:rPr>
        <w:t>累计亏损</w:t>
      </w:r>
      <w:r w:rsidRPr="00C24ACA">
        <w:rPr>
          <w:rFonts w:eastAsiaTheme="minorEastAsia"/>
          <w:kern w:val="0"/>
          <w:szCs w:val="21"/>
        </w:rPr>
        <w:t>)”</w:t>
      </w:r>
      <w:r w:rsidRPr="00C24ACA">
        <w:rPr>
          <w:rFonts w:eastAsiaTheme="minorEastAsia"/>
          <w:kern w:val="0"/>
          <w:szCs w:val="21"/>
        </w:rPr>
        <w:t>。</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6.4.4.9 </w:t>
      </w:r>
      <w:r w:rsidRPr="00C24ACA">
        <w:rPr>
          <w:rFonts w:eastAsiaTheme="minorEastAsia"/>
          <w:b/>
          <w:bCs/>
          <w:color w:val="000000"/>
          <w:kern w:val="0"/>
          <w:szCs w:val="21"/>
        </w:rPr>
        <w:t>收入</w:t>
      </w:r>
      <w:r w:rsidRPr="00C24ACA">
        <w:rPr>
          <w:rFonts w:eastAsiaTheme="minorEastAsia"/>
          <w:b/>
          <w:bCs/>
          <w:color w:val="000000"/>
          <w:kern w:val="0"/>
          <w:szCs w:val="21"/>
        </w:rPr>
        <w:t>/(</w:t>
      </w:r>
      <w:r w:rsidRPr="00C24ACA">
        <w:rPr>
          <w:rFonts w:eastAsiaTheme="minorEastAsia"/>
          <w:b/>
          <w:bCs/>
          <w:color w:val="000000"/>
          <w:kern w:val="0"/>
          <w:szCs w:val="21"/>
        </w:rPr>
        <w:t>损失</w:t>
      </w:r>
      <w:r w:rsidRPr="00C24ACA">
        <w:rPr>
          <w:rFonts w:eastAsiaTheme="minorEastAsia"/>
          <w:b/>
          <w:bCs/>
          <w:color w:val="000000"/>
          <w:kern w:val="0"/>
          <w:szCs w:val="21"/>
        </w:rPr>
        <w:t>)</w:t>
      </w:r>
      <w:r w:rsidRPr="00C24ACA">
        <w:rPr>
          <w:rFonts w:eastAsiaTheme="minorEastAsia"/>
          <w:b/>
          <w:bCs/>
          <w:color w:val="000000"/>
          <w:kern w:val="0"/>
          <w:szCs w:val="21"/>
        </w:rPr>
        <w:t>的确认和计量</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(1) </w:t>
      </w:r>
      <w:r>
        <w:rPr>
          <w:rFonts w:eastAsiaTheme="minorEastAsia"/>
          <w:kern w:val="0"/>
          <w:szCs w:val="21"/>
        </w:rPr>
        <w:t>存款利息收入按存款的本金与适用的利率逐日计提的金额入账。若提前支取定期存款，按协议规定的利率及持有期重新计算存款利息收入，并根据提前支取所实际收到的利息收入与账面已确认的利息收入的差额确认利息损失，列入利息收入减项，存款利息收入以净额列示；</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(2) </w:t>
      </w:r>
      <w:r>
        <w:rPr>
          <w:rFonts w:eastAsiaTheme="minorEastAsia"/>
          <w:kern w:val="0"/>
          <w:szCs w:val="21"/>
        </w:rPr>
        <w:t>债券利息收入按债券票面价值与票面利率或债券发行价计算的金额扣除应由债券发行企业代扣代缴的个人所得税后的净额确认，在债券实际持有期内逐日计提；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(3) </w:t>
      </w:r>
      <w:r>
        <w:rPr>
          <w:rFonts w:eastAsiaTheme="minorEastAsia"/>
          <w:kern w:val="0"/>
          <w:szCs w:val="21"/>
        </w:rPr>
        <w:t>资产支持证券利息收入按证券票面价值与票面利率计算的金额，扣除应由资产支持证券发行企业代扣代缴的个人所得税后的净额确认，在证券实际持有期内逐日计提；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(4) </w:t>
      </w:r>
      <w:r>
        <w:rPr>
          <w:rFonts w:eastAsiaTheme="minorEastAsia"/>
          <w:kern w:val="0"/>
          <w:szCs w:val="21"/>
        </w:rPr>
        <w:t>买入返售金融资产收入，按融出资金应付或实际支付的总额及实际利率（当实际利率与合同利率差异较小时，也可以用合同利率），在回购期内逐日计提；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(5) </w:t>
      </w:r>
      <w:r>
        <w:rPr>
          <w:rFonts w:eastAsiaTheme="minorEastAsia"/>
          <w:kern w:val="0"/>
          <w:szCs w:val="21"/>
        </w:rPr>
        <w:t>股票投资收益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于卖出股票成交日确认，并按卖出股票成交金额与其成本的差额入账；</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(6) </w:t>
      </w:r>
      <w:r>
        <w:rPr>
          <w:rFonts w:eastAsiaTheme="minorEastAsia"/>
          <w:kern w:val="0"/>
          <w:szCs w:val="21"/>
        </w:rPr>
        <w:t>基金投资收益</w:t>
      </w:r>
      <w:r>
        <w:rPr>
          <w:rFonts w:eastAsiaTheme="minorEastAsia"/>
          <w:kern w:val="0"/>
          <w:szCs w:val="21"/>
        </w:rPr>
        <w:t>/</w:t>
      </w:r>
      <w:r>
        <w:rPr>
          <w:rFonts w:eastAsiaTheme="minorEastAsia"/>
          <w:kern w:val="0"/>
          <w:szCs w:val="21"/>
        </w:rPr>
        <w:t>（损失）于卖出</w:t>
      </w:r>
      <w:r>
        <w:rPr>
          <w:rFonts w:eastAsiaTheme="minorEastAsia"/>
          <w:kern w:val="0"/>
          <w:szCs w:val="21"/>
        </w:rPr>
        <w:t>/</w:t>
      </w:r>
      <w:r>
        <w:rPr>
          <w:rFonts w:eastAsiaTheme="minorEastAsia"/>
          <w:kern w:val="0"/>
          <w:szCs w:val="21"/>
        </w:rPr>
        <w:t>赎回基金成交日确认，并按卖出</w:t>
      </w:r>
      <w:r>
        <w:rPr>
          <w:rFonts w:eastAsiaTheme="minorEastAsia"/>
          <w:kern w:val="0"/>
          <w:szCs w:val="21"/>
        </w:rPr>
        <w:t>/</w:t>
      </w:r>
      <w:r>
        <w:rPr>
          <w:rFonts w:eastAsiaTheme="minorEastAsia"/>
          <w:kern w:val="0"/>
          <w:szCs w:val="21"/>
        </w:rPr>
        <w:t>赎回基金成交金额与其成本的差额入账；</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(7) </w:t>
      </w:r>
      <w:r>
        <w:rPr>
          <w:rFonts w:eastAsiaTheme="minorEastAsia"/>
          <w:kern w:val="0"/>
          <w:szCs w:val="21"/>
        </w:rPr>
        <w:t>债券投资收益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卖出交易所上市债券：于成交日确认债券投资收益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，并按成交金额与其成本、应收利息的差额入账；</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卖出银行间同业市场交易债券：于成交日确认债券投资收益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，并按成交总额与其成本、应收利息的差额入账；</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(8) </w:t>
      </w:r>
      <w:r>
        <w:rPr>
          <w:rFonts w:eastAsiaTheme="minorEastAsia"/>
          <w:kern w:val="0"/>
          <w:szCs w:val="21"/>
        </w:rPr>
        <w:t>衍生工具投资收益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于卖出衍生工具成交日确认，并按卖出衍生工具成交金额与其成本的差额入账；</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(9) </w:t>
      </w:r>
      <w:r>
        <w:rPr>
          <w:rFonts w:eastAsiaTheme="minorEastAsia"/>
          <w:kern w:val="0"/>
          <w:szCs w:val="21"/>
        </w:rPr>
        <w:t>股利收益于除息日确认，并按上市公司宣告的分红派息比例计算的金额扣除股票所在地使用的预缴所得税后的净额入账；基金投资在持有期间取得的红利于除息日确认；</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(10) </w:t>
      </w:r>
      <w:r>
        <w:rPr>
          <w:rFonts w:eastAsiaTheme="minorEastAsia"/>
          <w:kern w:val="0"/>
          <w:szCs w:val="21"/>
        </w:rPr>
        <w:t>公允价值变动收益</w:t>
      </w:r>
      <w:r>
        <w:rPr>
          <w:rFonts w:eastAsiaTheme="minorEastAsia"/>
          <w:kern w:val="0"/>
          <w:szCs w:val="21"/>
        </w:rPr>
        <w:t>/(</w:t>
      </w:r>
      <w:r>
        <w:rPr>
          <w:rFonts w:eastAsiaTheme="minorEastAsia"/>
          <w:kern w:val="0"/>
          <w:szCs w:val="21"/>
        </w:rPr>
        <w:t>损失</w:t>
      </w:r>
      <w:r>
        <w:rPr>
          <w:rFonts w:eastAsiaTheme="minorEastAsia"/>
          <w:kern w:val="0"/>
          <w:szCs w:val="21"/>
        </w:rPr>
        <w:t>)</w:t>
      </w:r>
      <w:r>
        <w:rPr>
          <w:rFonts w:eastAsiaTheme="minorEastAsia"/>
          <w:kern w:val="0"/>
          <w:szCs w:val="21"/>
        </w:rPr>
        <w:t>系本基金持有的采用公允价值模式计量的交易性金融资产、交易性金融负债等公允价值变动形成的应计入当期损益的利得或损失；</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(11) </w:t>
      </w:r>
      <w:r w:rsidRPr="00C24ACA">
        <w:rPr>
          <w:rFonts w:eastAsiaTheme="minorEastAsia"/>
          <w:kern w:val="0"/>
          <w:szCs w:val="21"/>
        </w:rPr>
        <w:t>其他收入在主要风险和报酬已经转移给对方，经济利益很可能流入且金额可以可靠计量的时候确认。</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6.4.4.10 </w:t>
      </w:r>
      <w:r w:rsidRPr="00C24ACA">
        <w:rPr>
          <w:rFonts w:eastAsiaTheme="minorEastAsia"/>
          <w:b/>
          <w:bCs/>
          <w:color w:val="000000"/>
          <w:kern w:val="0"/>
          <w:szCs w:val="21"/>
        </w:rPr>
        <w:t>费用的确认和计量</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针对基金合同约定费率和计算方法的费用，本基金在费用涵盖期间按合同约定进行确认。</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其他金融负债在持有期间确认的利息支出按实际利率法计算，实际利率法与直线法差异较小的按直线法近似计算。</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6.4.4.11 </w:t>
      </w:r>
      <w:r w:rsidRPr="00C24ACA">
        <w:rPr>
          <w:rFonts w:eastAsiaTheme="minorEastAsia"/>
          <w:b/>
          <w:bCs/>
          <w:color w:val="000000"/>
          <w:kern w:val="0"/>
          <w:szCs w:val="21"/>
        </w:rPr>
        <w:t>基金的收益分配政策</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在符合有关基金分红条件的前提下，基金管理人可以根据实际情况进行收益分配，具体分配方案以公告为准，若《基金合同》生效不满</w:t>
      </w:r>
      <w:r>
        <w:rPr>
          <w:rFonts w:eastAsiaTheme="minorEastAsia"/>
          <w:kern w:val="0"/>
          <w:szCs w:val="21"/>
        </w:rPr>
        <w:t>3</w:t>
      </w:r>
      <w:r>
        <w:rPr>
          <w:rFonts w:eastAsiaTheme="minorEastAsia"/>
          <w:kern w:val="0"/>
          <w:szCs w:val="21"/>
        </w:rPr>
        <w:t>个月可不进行收益分配；</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本基金收益分配方式分两种：现金分红与红利再投资，投资者可选择现金红利或将现金红利自动转为基金份额进行再投资；若投资者不选择，本基金默认的收益分配方式是现金分红；</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本基金各基金份额类别在费用收取上不同，其对应的可分配收益可能有所不同。同一类别的每一基金份额享有同等分配权；</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在对基金份额持有人利益无实质不利影响的前提下，基金管理人可调整基金收益的分配原则和支付方式，不需召开基金份额持有人大会审议；</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(5)</w:t>
      </w:r>
      <w:r w:rsidRPr="00C24ACA">
        <w:rPr>
          <w:rFonts w:eastAsiaTheme="minorEastAsia"/>
          <w:kern w:val="0"/>
          <w:szCs w:val="21"/>
        </w:rPr>
        <w:t>法律法规或监管机关另有规定的，从其规定。</w:t>
      </w:r>
    </w:p>
    <w:p w:rsidR="008A5A5D" w:rsidRPr="00C24ACA" w:rsidRDefault="00E250DB"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6.4.4.12</w:t>
      </w:r>
      <w:r w:rsidRPr="00C24ACA">
        <w:rPr>
          <w:rFonts w:eastAsiaTheme="minorEastAsia"/>
          <w:b/>
          <w:bCs/>
          <w:color w:val="000000"/>
          <w:kern w:val="0"/>
          <w:szCs w:val="21"/>
        </w:rPr>
        <w:t>外币交易</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外币交易按交易发生日的即期汇率将外币金额折算为人民币金额。</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外币货币性项目，于估值日采用估值日的即期汇率折算为人民币，所产生的折算差额直接计入汇兑损益科目。以公允价值计量的外币非货币性项目，于估值日采用估值日的即期汇率折算为人民币，与所产生的折算差额直接计入公允价值变动损益科目。</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6.4.4.13 </w:t>
      </w:r>
      <w:r w:rsidRPr="00C24ACA">
        <w:rPr>
          <w:rFonts w:eastAsiaTheme="minorEastAsia"/>
          <w:b/>
          <w:bCs/>
          <w:color w:val="000000"/>
          <w:kern w:val="0"/>
          <w:szCs w:val="21"/>
        </w:rPr>
        <w:t>分部报告</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经营分部是指本基金内同时满足下列条件的组成部分：</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(1) </w:t>
      </w:r>
      <w:r>
        <w:rPr>
          <w:rFonts w:eastAsiaTheme="minorEastAsia"/>
          <w:kern w:val="0"/>
          <w:szCs w:val="21"/>
        </w:rPr>
        <w:t>该组成部分能够在日常活动中产生收入、发生费用；</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(2) </w:t>
      </w:r>
      <w:r>
        <w:rPr>
          <w:rFonts w:eastAsiaTheme="minorEastAsia"/>
          <w:kern w:val="0"/>
          <w:szCs w:val="21"/>
        </w:rPr>
        <w:t>能够定期评价该组成部分的经营成果，以决定向其配置资源、评价其业绩；</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(3) </w:t>
      </w:r>
      <w:r>
        <w:rPr>
          <w:rFonts w:eastAsiaTheme="minorEastAsia"/>
          <w:kern w:val="0"/>
          <w:szCs w:val="21"/>
        </w:rPr>
        <w:t>能够取得该组成部分的财务状况、经营成果和现金流量等有关会计信息。</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如果两个或多个经营分部具有相似的经济特征，并且满足一定条件的，则合并为一个经营分部。</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本基金目前以一个经营分部运作，不需要进行分部报告的披露。</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6.4.4.14 </w:t>
      </w:r>
      <w:r w:rsidRPr="00C24ACA">
        <w:rPr>
          <w:rFonts w:eastAsiaTheme="minorEastAsia"/>
          <w:b/>
          <w:bCs/>
          <w:color w:val="000000"/>
          <w:kern w:val="0"/>
          <w:szCs w:val="21"/>
        </w:rPr>
        <w:t>其他重要的会计政策和会计估计</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本基金本报告期无其他重要的会计政策和会计估计。</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w:t>
      </w:r>
      <w:r w:rsidRPr="00C24ACA">
        <w:rPr>
          <w:rFonts w:eastAsiaTheme="minorEastAsia"/>
          <w:b/>
          <w:color w:val="000000"/>
          <w:kern w:val="0"/>
          <w:szCs w:val="21"/>
        </w:rPr>
        <w:t>会计政策和会计估计变更以及差错更正的说明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6.4.5.1</w:t>
      </w:r>
      <w:r w:rsidRPr="00C24ACA">
        <w:rPr>
          <w:rFonts w:eastAsiaTheme="minorEastAsia"/>
          <w:b/>
          <w:color w:val="000000"/>
          <w:kern w:val="0"/>
          <w:szCs w:val="21"/>
        </w:rPr>
        <w:t xml:space="preserve"> </w:t>
      </w:r>
      <w:r w:rsidRPr="00C24ACA">
        <w:rPr>
          <w:rFonts w:eastAsiaTheme="minorEastAsia"/>
          <w:b/>
          <w:color w:val="000000"/>
          <w:kern w:val="0"/>
          <w:szCs w:val="21"/>
        </w:rPr>
        <w:t>会计政策变更的说明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本基金本报告期未发生会计政策变更。</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6.4.5.2</w:t>
      </w:r>
      <w:r w:rsidRPr="00C24ACA">
        <w:rPr>
          <w:rFonts w:eastAsiaTheme="minorEastAsia"/>
          <w:b/>
          <w:color w:val="000000"/>
          <w:kern w:val="0"/>
          <w:szCs w:val="21"/>
        </w:rPr>
        <w:t xml:space="preserve"> </w:t>
      </w:r>
      <w:r w:rsidRPr="00C24ACA">
        <w:rPr>
          <w:rFonts w:eastAsiaTheme="minorEastAsia"/>
          <w:b/>
          <w:color w:val="000000"/>
          <w:kern w:val="0"/>
          <w:szCs w:val="21"/>
        </w:rPr>
        <w:t>会计估计变更的说明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本基金本报告期未发生会计估计变更。</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6.4.5.3</w:t>
      </w:r>
      <w:r w:rsidRPr="00C24ACA">
        <w:rPr>
          <w:rFonts w:eastAsiaTheme="minorEastAsia"/>
          <w:b/>
          <w:color w:val="000000"/>
          <w:kern w:val="0"/>
          <w:szCs w:val="21"/>
        </w:rPr>
        <w:t xml:space="preserve"> </w:t>
      </w:r>
      <w:r w:rsidRPr="00C24ACA">
        <w:rPr>
          <w:rFonts w:eastAsiaTheme="minorEastAsia"/>
          <w:b/>
          <w:color w:val="000000"/>
          <w:kern w:val="0"/>
          <w:szCs w:val="21"/>
        </w:rPr>
        <w:t>差错更正的说明</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本基金本报告期无会计差错更正。</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6.4.6</w:t>
      </w:r>
      <w:r w:rsidRPr="00C24ACA">
        <w:rPr>
          <w:rFonts w:eastAsiaTheme="minorEastAsia"/>
          <w:b/>
          <w:color w:val="000000"/>
          <w:kern w:val="0"/>
          <w:szCs w:val="21"/>
        </w:rPr>
        <w:t>税项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[2016]36</w:t>
      </w:r>
      <w:r>
        <w:rPr>
          <w:rFonts w:eastAsiaTheme="minorEastAsia"/>
          <w:kern w:val="0"/>
          <w:szCs w:val="21"/>
        </w:rPr>
        <w:t>号文《关于全面推开营业税改增值税试点的通知》的规定，经国务院批准，自</w:t>
      </w:r>
      <w:r>
        <w:rPr>
          <w:rFonts w:eastAsiaTheme="minorEastAsia"/>
          <w:kern w:val="0"/>
          <w:szCs w:val="21"/>
        </w:rPr>
        <w:t>2016</w:t>
      </w:r>
      <w:r>
        <w:rPr>
          <w:rFonts w:eastAsiaTheme="minorEastAsia"/>
          <w:kern w:val="0"/>
          <w:szCs w:val="21"/>
        </w:rPr>
        <w:t>年</w:t>
      </w:r>
      <w:r>
        <w:rPr>
          <w:rFonts w:eastAsiaTheme="minorEastAsia"/>
          <w:kern w:val="0"/>
          <w:szCs w:val="21"/>
        </w:rPr>
        <w:t>5</w:t>
      </w:r>
      <w:r>
        <w:rPr>
          <w:rFonts w:eastAsiaTheme="minorEastAsia"/>
          <w:kern w:val="0"/>
          <w:szCs w:val="21"/>
        </w:rPr>
        <w:t>月</w:t>
      </w:r>
      <w:r>
        <w:rPr>
          <w:rFonts w:eastAsiaTheme="minorEastAsia"/>
          <w:kern w:val="0"/>
          <w:szCs w:val="21"/>
        </w:rPr>
        <w:t>1</w:t>
      </w:r>
      <w:r>
        <w:rPr>
          <w:rFonts w:eastAsiaTheme="minorEastAsia"/>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[2016]46</w:t>
      </w:r>
      <w:r>
        <w:rPr>
          <w:rFonts w:eastAsiaTheme="minorEastAsia"/>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[2016]70</w:t>
      </w:r>
      <w:r>
        <w:rPr>
          <w:rFonts w:eastAsiaTheme="minorEastAsia"/>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[2016]140</w:t>
      </w:r>
      <w:r>
        <w:rPr>
          <w:rFonts w:eastAsiaTheme="minorEastAsia"/>
          <w:kern w:val="0"/>
          <w:szCs w:val="21"/>
        </w:rPr>
        <w:t>号文《关于明确金融、房地产开发、教育辅助服务等增值税政策的通知》的规定，资管产品运营过程中发生的增值税应税行为，以资管产品管理人为增值税纳税人；</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[2017]56</w:t>
      </w:r>
      <w:r>
        <w:rPr>
          <w:rFonts w:eastAsiaTheme="minorEastAsia"/>
          <w:kern w:val="0"/>
          <w:szCs w:val="21"/>
        </w:rPr>
        <w:t>号文《关于资管产品增值税有关问题的通知》的规定，自</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日起，资管产品管理人运营资管产品过程中发生的增值税应税行为（以下简称</w:t>
      </w:r>
      <w:r>
        <w:rPr>
          <w:rFonts w:eastAsiaTheme="minorEastAsia"/>
          <w:kern w:val="0"/>
          <w:szCs w:val="21"/>
        </w:rPr>
        <w:t>“</w:t>
      </w:r>
      <w:r>
        <w:rPr>
          <w:rFonts w:eastAsiaTheme="minorEastAsia"/>
          <w:kern w:val="0"/>
          <w:szCs w:val="21"/>
        </w:rPr>
        <w:t>资管产品运营业务</w:t>
      </w:r>
      <w:r>
        <w:rPr>
          <w:rFonts w:eastAsiaTheme="minorEastAsia"/>
          <w:kern w:val="0"/>
          <w:szCs w:val="21"/>
        </w:rPr>
        <w:t>”</w:t>
      </w:r>
      <w:r>
        <w:rPr>
          <w:rFonts w:eastAsiaTheme="minorEastAsia"/>
          <w:kern w:val="0"/>
          <w:szCs w:val="21"/>
        </w:rPr>
        <w:t>），暂适用简易计税方法，按照</w:t>
      </w:r>
      <w:r>
        <w:rPr>
          <w:rFonts w:eastAsiaTheme="minorEastAsia"/>
          <w:kern w:val="0"/>
          <w:szCs w:val="21"/>
        </w:rPr>
        <w:t>3%</w:t>
      </w:r>
      <w:r>
        <w:rPr>
          <w:rFonts w:eastAsiaTheme="minorEastAsia"/>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日前运营过程中发生的增值税应税行为，未缴纳增值税的，不再缴纳；已缴纳增值税的，已纳税额从资管产品管理人以后月份的增值税应纳税额中抵减；</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根据财政部、国家税务总局财税</w:t>
      </w:r>
      <w:r>
        <w:rPr>
          <w:rFonts w:eastAsiaTheme="minorEastAsia"/>
          <w:kern w:val="0"/>
          <w:szCs w:val="21"/>
        </w:rPr>
        <w:t>[2017]90</w:t>
      </w:r>
      <w:r>
        <w:rPr>
          <w:rFonts w:eastAsiaTheme="minorEastAsia"/>
          <w:kern w:val="0"/>
          <w:szCs w:val="21"/>
        </w:rPr>
        <w:t>号文《关于租入固定资产进项税额抵扣等增值税政策的通知》的规定，自</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日起，资管产品管理人运营资管产品提供的贷款服务、发生的部分金融商品转让业务，按照以下规定确定销售额：提供贷款服务，以</w:t>
      </w:r>
      <w:r>
        <w:rPr>
          <w:rFonts w:eastAsiaTheme="minorEastAsia"/>
          <w:kern w:val="0"/>
          <w:szCs w:val="21"/>
        </w:rPr>
        <w:t>2018</w:t>
      </w:r>
      <w:r>
        <w:rPr>
          <w:rFonts w:eastAsiaTheme="minorEastAsia"/>
          <w:kern w:val="0"/>
          <w:szCs w:val="21"/>
        </w:rPr>
        <w:t>年</w:t>
      </w:r>
      <w:r>
        <w:rPr>
          <w:rFonts w:eastAsiaTheme="minorEastAsia"/>
          <w:kern w:val="0"/>
          <w:szCs w:val="21"/>
        </w:rPr>
        <w:t>1</w:t>
      </w:r>
      <w:r>
        <w:rPr>
          <w:rFonts w:eastAsiaTheme="minorEastAsia"/>
          <w:kern w:val="0"/>
          <w:szCs w:val="21"/>
        </w:rPr>
        <w:t>月</w:t>
      </w:r>
      <w:r>
        <w:rPr>
          <w:rFonts w:eastAsiaTheme="minorEastAsia"/>
          <w:kern w:val="0"/>
          <w:szCs w:val="21"/>
        </w:rPr>
        <w:t>1</w:t>
      </w:r>
      <w:r>
        <w:rPr>
          <w:rFonts w:eastAsiaTheme="minorEastAsia"/>
          <w:kern w:val="0"/>
          <w:szCs w:val="21"/>
        </w:rPr>
        <w:t>日起产生的利息及利息性质的收入为销售额；转让</w:t>
      </w:r>
      <w:r>
        <w:rPr>
          <w:rFonts w:eastAsiaTheme="minorEastAsia"/>
          <w:kern w:val="0"/>
          <w:szCs w:val="21"/>
        </w:rPr>
        <w:t>2017</w:t>
      </w:r>
      <w:r>
        <w:rPr>
          <w:rFonts w:eastAsiaTheme="minorEastAsia"/>
          <w:kern w:val="0"/>
          <w:szCs w:val="21"/>
        </w:rPr>
        <w:t>年</w:t>
      </w:r>
      <w:r>
        <w:rPr>
          <w:rFonts w:eastAsiaTheme="minorEastAsia"/>
          <w:kern w:val="0"/>
          <w:szCs w:val="21"/>
        </w:rPr>
        <w:t>12</w:t>
      </w:r>
      <w:r>
        <w:rPr>
          <w:rFonts w:eastAsiaTheme="minorEastAsia"/>
          <w:kern w:val="0"/>
          <w:szCs w:val="21"/>
        </w:rPr>
        <w:t>月</w:t>
      </w:r>
      <w:r>
        <w:rPr>
          <w:rFonts w:eastAsiaTheme="minorEastAsia"/>
          <w:kern w:val="0"/>
          <w:szCs w:val="21"/>
        </w:rPr>
        <w:t>31</w:t>
      </w:r>
      <w:r>
        <w:rPr>
          <w:rFonts w:eastAsiaTheme="minorEastAsia"/>
          <w:kern w:val="0"/>
          <w:szCs w:val="21"/>
        </w:rPr>
        <w:t>日前取得的股票（不包括限售股）、债券、基金、非货物期货，可以选择按照实际买入价计算销售额，或者以</w:t>
      </w:r>
      <w:r>
        <w:rPr>
          <w:rFonts w:eastAsiaTheme="minorEastAsia"/>
          <w:kern w:val="0"/>
          <w:szCs w:val="21"/>
        </w:rPr>
        <w:t>2017</w:t>
      </w:r>
      <w:r>
        <w:rPr>
          <w:rFonts w:eastAsiaTheme="minorEastAsia"/>
          <w:kern w:val="0"/>
          <w:szCs w:val="21"/>
        </w:rPr>
        <w:t>年最后一个交易日的股票收盘价（</w:t>
      </w:r>
      <w:r>
        <w:rPr>
          <w:rFonts w:eastAsiaTheme="minorEastAsia"/>
          <w:kern w:val="0"/>
          <w:szCs w:val="21"/>
        </w:rPr>
        <w:t>2017</w:t>
      </w:r>
      <w:r>
        <w:rPr>
          <w:rFonts w:eastAsiaTheme="minorEastAsia"/>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本基金分别按实际缴纳的增值税额的</w:t>
      </w:r>
      <w:r>
        <w:rPr>
          <w:rFonts w:eastAsiaTheme="minorEastAsia"/>
          <w:kern w:val="0"/>
          <w:szCs w:val="21"/>
        </w:rPr>
        <w:t>7%</w:t>
      </w:r>
      <w:r>
        <w:rPr>
          <w:rFonts w:eastAsiaTheme="minorEastAsia"/>
          <w:kern w:val="0"/>
          <w:szCs w:val="21"/>
        </w:rPr>
        <w:t>、</w:t>
      </w:r>
      <w:r>
        <w:rPr>
          <w:rFonts w:eastAsiaTheme="minorEastAsia"/>
          <w:kern w:val="0"/>
          <w:szCs w:val="21"/>
        </w:rPr>
        <w:t>3%</w:t>
      </w:r>
      <w:r>
        <w:rPr>
          <w:rFonts w:eastAsiaTheme="minorEastAsia"/>
          <w:kern w:val="0"/>
          <w:szCs w:val="21"/>
        </w:rPr>
        <w:t>和</w:t>
      </w:r>
      <w:r>
        <w:rPr>
          <w:rFonts w:eastAsiaTheme="minorEastAsia"/>
          <w:kern w:val="0"/>
          <w:szCs w:val="21"/>
        </w:rPr>
        <w:t>2%</w:t>
      </w:r>
      <w:r>
        <w:rPr>
          <w:rFonts w:eastAsiaTheme="minorEastAsia"/>
          <w:kern w:val="0"/>
          <w:szCs w:val="21"/>
        </w:rPr>
        <w:t>缴纳城市维护建设税、教育费附加和地方教育费附加。</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基金取得的源自境外的差价收入，其涉及的境外所得税税收政策，按照相关国家或地区税收法律和法规执行，在境内暂免征增值税和企业所得税；</w:t>
      </w:r>
      <w:r>
        <w:rPr>
          <w:rFonts w:eastAsiaTheme="minorEastAsia"/>
          <w:kern w:val="0"/>
          <w:szCs w:val="21"/>
        </w:rPr>
        <w:t xml:space="preserve"> </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基金取得的源自境外的股利收益，其涉及的境外所得税税收政策，按照相关国家或地区税收法律和法规执行，在境内暂未征收个人所得税和企业所得税。</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6.4.7</w:t>
      </w:r>
      <w:r w:rsidRPr="00C24ACA">
        <w:rPr>
          <w:rFonts w:eastAsiaTheme="minorEastAsia"/>
          <w:b/>
          <w:color w:val="000000"/>
          <w:kern w:val="0"/>
          <w:szCs w:val="21"/>
        </w:rPr>
        <w:t>重要财务报表项目的说明</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6.4.7.1</w:t>
      </w:r>
      <w:r w:rsidRPr="00C24ACA">
        <w:rPr>
          <w:rFonts w:eastAsiaTheme="minorEastAsia"/>
          <w:b/>
          <w:color w:val="000000"/>
          <w:szCs w:val="21"/>
        </w:rPr>
        <w:t>银行存款</w:t>
      </w:r>
    </w:p>
    <w:p w:rsidR="00993316" w:rsidRDefault="00993316" w:rsidP="00993316">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993316" w:rsidTr="00DC4F67">
        <w:trPr>
          <w:trHeight w:val="345"/>
          <w:jc w:val="center"/>
        </w:trPr>
        <w:tc>
          <w:tcPr>
            <w:tcW w:w="3766" w:type="dxa"/>
            <w:tcMar>
              <w:top w:w="15" w:type="dxa"/>
              <w:left w:w="15" w:type="dxa"/>
              <w:bottom w:w="0" w:type="dxa"/>
              <w:right w:w="15" w:type="dxa"/>
            </w:tcMar>
            <w:vAlign w:val="center"/>
            <w:hideMark/>
          </w:tcPr>
          <w:p w:rsidR="00993316" w:rsidRDefault="00993316">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993316" w:rsidRDefault="00993316">
            <w:pPr>
              <w:jc w:val="center"/>
              <w:rPr>
                <w:kern w:val="0"/>
                <w:szCs w:val="21"/>
              </w:rPr>
            </w:pPr>
            <w:r>
              <w:rPr>
                <w:rFonts w:hAnsi="宋体" w:hint="eastAsia"/>
                <w:kern w:val="0"/>
                <w:szCs w:val="21"/>
              </w:rPr>
              <w:t>本期末</w:t>
            </w:r>
          </w:p>
          <w:p w:rsidR="00993316" w:rsidRDefault="00993316">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15,952,515.83</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w:t>
            </w:r>
          </w:p>
        </w:tc>
      </w:tr>
      <w:tr w:rsidR="00993316" w:rsidTr="00DC4F67">
        <w:trPr>
          <w:trHeight w:val="315"/>
          <w:jc w:val="center"/>
        </w:trPr>
        <w:tc>
          <w:tcPr>
            <w:tcW w:w="3766" w:type="dxa"/>
            <w:tcMar>
              <w:top w:w="15" w:type="dxa"/>
              <w:left w:w="15" w:type="dxa"/>
              <w:bottom w:w="0" w:type="dxa"/>
              <w:right w:w="15" w:type="dxa"/>
            </w:tcMar>
            <w:hideMark/>
          </w:tcPr>
          <w:p w:rsidR="00993316" w:rsidRDefault="00993316">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993316" w:rsidRDefault="00993316">
            <w:pPr>
              <w:jc w:val="right"/>
              <w:rPr>
                <w:kern w:val="0"/>
                <w:szCs w:val="21"/>
              </w:rPr>
            </w:pPr>
            <w:r>
              <w:rPr>
                <w:kern w:val="0"/>
                <w:szCs w:val="21"/>
              </w:rPr>
              <w:t>15,952,515.83</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6.4.7.2</w:t>
      </w:r>
      <w:r w:rsidRPr="00C24ACA">
        <w:rPr>
          <w:rFonts w:eastAsiaTheme="minorEastAsia"/>
          <w:b/>
          <w:color w:val="000000"/>
          <w:szCs w:val="21"/>
        </w:rPr>
        <w:t>交易性金融资产</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bCs/>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8A5A5D" w:rsidRPr="00C24ACA" w:rsidTr="00614C5C">
        <w:trPr>
          <w:trHeight w:val="255"/>
        </w:trPr>
        <w:tc>
          <w:tcPr>
            <w:tcW w:w="2268" w:type="dxa"/>
            <w:gridSpan w:val="2"/>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项目</w:t>
            </w:r>
          </w:p>
        </w:tc>
        <w:tc>
          <w:tcPr>
            <w:tcW w:w="7018" w:type="dxa"/>
            <w:gridSpan w:val="3"/>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本期末</w:t>
            </w:r>
          </w:p>
          <w:p w:rsidR="008A5A5D" w:rsidRPr="00C24ACA" w:rsidRDefault="00AC4A34" w:rsidP="004A4847">
            <w:pPr>
              <w:jc w:val="center"/>
              <w:rPr>
                <w:rFonts w:eastAsiaTheme="minorEastAsia"/>
                <w:color w:val="000000"/>
                <w:kern w:val="0"/>
                <w:szCs w:val="21"/>
              </w:rPr>
            </w:pPr>
            <w:r w:rsidRPr="00C24ACA">
              <w:rPr>
                <w:rFonts w:eastAsiaTheme="minorEastAsia"/>
                <w:color w:val="000000"/>
                <w:kern w:val="0"/>
                <w:szCs w:val="21"/>
              </w:rPr>
              <w:t>2020</w:t>
            </w:r>
            <w:r w:rsidRPr="00C24ACA">
              <w:rPr>
                <w:rFonts w:eastAsiaTheme="minorEastAsia"/>
                <w:color w:val="000000"/>
                <w:kern w:val="0"/>
                <w:szCs w:val="21"/>
              </w:rPr>
              <w:t>年</w:t>
            </w:r>
            <w:r w:rsidRPr="00C24ACA">
              <w:rPr>
                <w:rFonts w:eastAsiaTheme="minorEastAsia"/>
                <w:color w:val="000000"/>
                <w:kern w:val="0"/>
                <w:szCs w:val="21"/>
              </w:rPr>
              <w:t>6</w:t>
            </w:r>
            <w:r w:rsidRPr="00C24ACA">
              <w:rPr>
                <w:rFonts w:eastAsiaTheme="minorEastAsia"/>
                <w:color w:val="000000"/>
                <w:kern w:val="0"/>
                <w:szCs w:val="21"/>
              </w:rPr>
              <w:t>月</w:t>
            </w:r>
            <w:r w:rsidRPr="00C24ACA">
              <w:rPr>
                <w:rFonts w:eastAsiaTheme="minorEastAsia"/>
                <w:color w:val="000000"/>
                <w:kern w:val="0"/>
                <w:szCs w:val="21"/>
              </w:rPr>
              <w:t>30</w:t>
            </w:r>
            <w:r w:rsidRPr="00C24ACA">
              <w:rPr>
                <w:rFonts w:eastAsiaTheme="minorEastAsia"/>
                <w:color w:val="000000"/>
                <w:kern w:val="0"/>
                <w:szCs w:val="21"/>
              </w:rPr>
              <w:t>日</w:t>
            </w:r>
          </w:p>
        </w:tc>
      </w:tr>
      <w:tr w:rsidR="008A5A5D" w:rsidRPr="00C24ACA" w:rsidTr="00614C5C">
        <w:trPr>
          <w:trHeight w:val="270"/>
        </w:trPr>
        <w:tc>
          <w:tcPr>
            <w:tcW w:w="2268" w:type="dxa"/>
            <w:gridSpan w:val="2"/>
            <w:vMerge/>
            <w:vAlign w:val="center"/>
          </w:tcPr>
          <w:p w:rsidR="008A5A5D" w:rsidRPr="00C24ACA" w:rsidRDefault="008A5A5D" w:rsidP="004A4847">
            <w:pPr>
              <w:widowControl/>
              <w:jc w:val="left"/>
              <w:rPr>
                <w:rFonts w:eastAsiaTheme="minorEastAsia"/>
                <w:color w:val="000000"/>
                <w:kern w:val="0"/>
                <w:szCs w:val="21"/>
              </w:rPr>
            </w:pP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成本</w:t>
            </w:r>
          </w:p>
        </w:tc>
        <w:tc>
          <w:tcPr>
            <w:tcW w:w="2339"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w:t>
            </w:r>
          </w:p>
        </w:tc>
        <w:tc>
          <w:tcPr>
            <w:tcW w:w="234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公允价值变动</w:t>
            </w:r>
          </w:p>
        </w:tc>
      </w:tr>
      <w:tr w:rsidR="008A5A5D" w:rsidRPr="00C24ACA" w:rsidTr="00614C5C">
        <w:trPr>
          <w:trHeight w:val="270"/>
        </w:trPr>
        <w:tc>
          <w:tcPr>
            <w:tcW w:w="2268" w:type="dxa"/>
            <w:gridSpan w:val="2"/>
            <w:vAlign w:val="center"/>
          </w:tcPr>
          <w:p w:rsidR="008A5A5D" w:rsidRPr="00C24ACA" w:rsidRDefault="008A5A5D" w:rsidP="004A4847">
            <w:pPr>
              <w:widowControl/>
              <w:rPr>
                <w:rFonts w:eastAsiaTheme="minorEastAsia"/>
                <w:color w:val="000000"/>
                <w:kern w:val="0"/>
                <w:szCs w:val="21"/>
              </w:rPr>
            </w:pPr>
            <w:r w:rsidRPr="00C24ACA">
              <w:rPr>
                <w:rFonts w:eastAsiaTheme="minorEastAsia"/>
                <w:color w:val="000000"/>
                <w:kern w:val="0"/>
                <w:szCs w:val="21"/>
              </w:rPr>
              <w:t>股票</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center"/>
          </w:tcPr>
          <w:p w:rsidR="008A5A5D" w:rsidRPr="00C24ACA" w:rsidRDefault="008A5A5D" w:rsidP="004A4847">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270"/>
        </w:trPr>
        <w:tc>
          <w:tcPr>
            <w:tcW w:w="2268" w:type="dxa"/>
            <w:gridSpan w:val="2"/>
            <w:vAlign w:val="center"/>
          </w:tcPr>
          <w:p w:rsidR="00614C5C" w:rsidRPr="00224952" w:rsidRDefault="00614C5C" w:rsidP="00614C5C">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39"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c>
          <w:tcPr>
            <w:tcW w:w="2340" w:type="dxa"/>
            <w:vAlign w:val="center"/>
          </w:tcPr>
          <w:p w:rsidR="00614C5C" w:rsidRPr="00224952" w:rsidRDefault="00614C5C" w:rsidP="00614C5C">
            <w:pPr>
              <w:spacing w:line="360" w:lineRule="auto"/>
              <w:jc w:val="right"/>
              <w:rPr>
                <w:color w:val="000000"/>
                <w:kern w:val="0"/>
                <w:szCs w:val="21"/>
              </w:rPr>
            </w:pPr>
            <w:r w:rsidRPr="00224952">
              <w:rPr>
                <w:color w:val="000000"/>
                <w:kern w:val="0"/>
                <w:szCs w:val="21"/>
              </w:rPr>
              <w:t>-</w:t>
            </w:r>
          </w:p>
        </w:tc>
      </w:tr>
      <w:tr w:rsidR="00614C5C" w:rsidRPr="00C24ACA" w:rsidTr="00614C5C">
        <w:trPr>
          <w:trHeight w:val="285"/>
        </w:trPr>
        <w:tc>
          <w:tcPr>
            <w:tcW w:w="828" w:type="dxa"/>
            <w:vMerge w:val="restart"/>
            <w:vAlign w:val="center"/>
          </w:tcPr>
          <w:p w:rsidR="00614C5C" w:rsidRPr="00C24ACA" w:rsidRDefault="00614C5C" w:rsidP="00614C5C">
            <w:pPr>
              <w:jc w:val="center"/>
              <w:rPr>
                <w:rFonts w:eastAsiaTheme="minorEastAsia"/>
                <w:color w:val="000000"/>
                <w:kern w:val="0"/>
                <w:szCs w:val="21"/>
              </w:rPr>
            </w:pPr>
            <w:r w:rsidRPr="00C24ACA">
              <w:rPr>
                <w:rFonts w:eastAsiaTheme="minorEastAsia"/>
                <w:color w:val="000000"/>
                <w:kern w:val="0"/>
                <w:szCs w:val="21"/>
              </w:rPr>
              <w:t>债券</w:t>
            </w:r>
          </w:p>
        </w:tc>
        <w:tc>
          <w:tcPr>
            <w:tcW w:w="1440" w:type="dxa"/>
            <w:vAlign w:val="center"/>
          </w:tcPr>
          <w:p w:rsidR="00614C5C" w:rsidRPr="00C24ACA" w:rsidRDefault="00614C5C" w:rsidP="00614C5C">
            <w:pPr>
              <w:jc w:val="left"/>
              <w:rPr>
                <w:rFonts w:eastAsiaTheme="minorEastAsia"/>
                <w:color w:val="000000"/>
                <w:kern w:val="0"/>
                <w:szCs w:val="21"/>
              </w:rPr>
            </w:pPr>
            <w:r w:rsidRPr="00C24ACA">
              <w:rPr>
                <w:rFonts w:eastAsiaTheme="minorEastAsia"/>
                <w:color w:val="000000"/>
                <w:kern w:val="0"/>
                <w:szCs w:val="21"/>
              </w:rPr>
              <w:t>交易所市场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jc w:val="left"/>
              <w:rPr>
                <w:rFonts w:eastAsiaTheme="minorEastAsia"/>
                <w:color w:val="000000"/>
                <w:kern w:val="0"/>
                <w:szCs w:val="21"/>
              </w:rPr>
            </w:pPr>
            <w:r w:rsidRPr="00C24ACA">
              <w:rPr>
                <w:rFonts w:eastAsiaTheme="minorEastAsia"/>
                <w:color w:val="000000"/>
                <w:kern w:val="0"/>
                <w:szCs w:val="21"/>
              </w:rPr>
              <w:t>银行间市场</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39"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c>
          <w:tcPr>
            <w:tcW w:w="2340" w:type="dxa"/>
            <w:vAlign w:val="bottom"/>
          </w:tcPr>
          <w:p w:rsidR="00614C5C" w:rsidRPr="00C24ACA" w:rsidRDefault="00614C5C" w:rsidP="00614C5C">
            <w:pPr>
              <w:jc w:val="right"/>
              <w:rPr>
                <w:rFonts w:eastAsiaTheme="minorEastAsia"/>
                <w:color w:val="000000"/>
                <w:kern w:val="0"/>
                <w:szCs w:val="21"/>
              </w:rPr>
            </w:pPr>
            <w:r w:rsidRPr="00C24ACA">
              <w:rPr>
                <w:rFonts w:eastAsiaTheme="minorEastAsia"/>
                <w:color w:val="000000"/>
                <w:kern w:val="0"/>
                <w:szCs w:val="21"/>
              </w:rPr>
              <w:t>-</w:t>
            </w:r>
          </w:p>
        </w:tc>
      </w:tr>
      <w:tr w:rsidR="00614C5C" w:rsidRPr="00C24ACA" w:rsidTr="00614C5C">
        <w:trPr>
          <w:trHeight w:val="103"/>
        </w:trPr>
        <w:tc>
          <w:tcPr>
            <w:tcW w:w="828" w:type="dxa"/>
            <w:vMerge/>
            <w:vAlign w:val="center"/>
          </w:tcPr>
          <w:p w:rsidR="00614C5C" w:rsidRPr="00C24ACA" w:rsidRDefault="00614C5C" w:rsidP="00614C5C">
            <w:pPr>
              <w:widowControl/>
              <w:jc w:val="left"/>
              <w:rPr>
                <w:rFonts w:eastAsiaTheme="minorEastAsia"/>
                <w:color w:val="000000"/>
                <w:kern w:val="0"/>
                <w:szCs w:val="21"/>
              </w:rPr>
            </w:pPr>
          </w:p>
        </w:tc>
        <w:tc>
          <w:tcPr>
            <w:tcW w:w="1440" w:type="dxa"/>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合计</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39"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c>
          <w:tcPr>
            <w:tcW w:w="2340" w:type="dxa"/>
            <w:vAlign w:val="center"/>
          </w:tcPr>
          <w:p w:rsidR="00614C5C" w:rsidRPr="00C24ACA" w:rsidRDefault="00614C5C" w:rsidP="00614C5C">
            <w:pPr>
              <w:jc w:val="right"/>
              <w:rPr>
                <w:rFonts w:eastAsiaTheme="minorEastAsia"/>
                <w:color w:val="000000"/>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资产支持证券</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基金</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5,896,442.11</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6,125,184.65</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228,742.54</w:t>
            </w:r>
          </w:p>
        </w:tc>
      </w:tr>
      <w:tr w:rsidR="00614C5C" w:rsidRPr="00C24ACA" w:rsidTr="00614C5C">
        <w:trPr>
          <w:trHeight w:val="270"/>
        </w:trPr>
        <w:tc>
          <w:tcPr>
            <w:tcW w:w="2268" w:type="dxa"/>
            <w:gridSpan w:val="2"/>
            <w:vAlign w:val="center"/>
          </w:tcPr>
          <w:p w:rsidR="00614C5C" w:rsidRPr="00C24ACA" w:rsidRDefault="00614C5C" w:rsidP="00614C5C">
            <w:pPr>
              <w:widowControl/>
              <w:rPr>
                <w:rFonts w:eastAsiaTheme="minorEastAsia"/>
                <w:color w:val="000000"/>
                <w:kern w:val="0"/>
                <w:szCs w:val="21"/>
              </w:rPr>
            </w:pPr>
            <w:r w:rsidRPr="00C24ACA">
              <w:rPr>
                <w:rFonts w:eastAsiaTheme="minorEastAsia"/>
                <w:color w:val="000000"/>
                <w:kern w:val="0"/>
                <w:szCs w:val="21"/>
              </w:rPr>
              <w:t>其他</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w:t>
            </w:r>
          </w:p>
        </w:tc>
      </w:tr>
      <w:tr w:rsidR="00614C5C" w:rsidRPr="00C24ACA" w:rsidTr="00614C5C">
        <w:trPr>
          <w:trHeight w:val="270"/>
        </w:trPr>
        <w:tc>
          <w:tcPr>
            <w:tcW w:w="2268" w:type="dxa"/>
            <w:gridSpan w:val="2"/>
            <w:vAlign w:val="center"/>
          </w:tcPr>
          <w:p w:rsidR="00614C5C" w:rsidRPr="00C24ACA" w:rsidRDefault="00614C5C" w:rsidP="00614C5C">
            <w:pPr>
              <w:widowControl/>
              <w:jc w:val="center"/>
              <w:rPr>
                <w:rFonts w:eastAsiaTheme="minorEastAsia"/>
                <w:color w:val="000000"/>
                <w:kern w:val="0"/>
                <w:szCs w:val="21"/>
              </w:rPr>
            </w:pPr>
            <w:r w:rsidRPr="00C24ACA">
              <w:rPr>
                <w:rFonts w:eastAsiaTheme="minorEastAsia"/>
                <w:color w:val="000000"/>
                <w:kern w:val="0"/>
                <w:szCs w:val="21"/>
              </w:rPr>
              <w:t>合计</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5,896,442.11</w:t>
            </w:r>
          </w:p>
        </w:tc>
        <w:tc>
          <w:tcPr>
            <w:tcW w:w="2339" w:type="dxa"/>
            <w:vAlign w:val="bottom"/>
          </w:tcPr>
          <w:p w:rsidR="00614C5C" w:rsidRPr="00C24ACA" w:rsidRDefault="00614C5C" w:rsidP="00614C5C">
            <w:pPr>
              <w:jc w:val="right"/>
              <w:rPr>
                <w:rFonts w:eastAsiaTheme="minorEastAsia"/>
                <w:szCs w:val="21"/>
              </w:rPr>
            </w:pPr>
            <w:r w:rsidRPr="00C24ACA">
              <w:rPr>
                <w:rFonts w:eastAsiaTheme="minorEastAsia"/>
                <w:szCs w:val="21"/>
              </w:rPr>
              <w:t>6,125,184.65</w:t>
            </w:r>
          </w:p>
        </w:tc>
        <w:tc>
          <w:tcPr>
            <w:tcW w:w="2340" w:type="dxa"/>
            <w:vAlign w:val="bottom"/>
          </w:tcPr>
          <w:p w:rsidR="00614C5C" w:rsidRPr="00C24ACA" w:rsidRDefault="00614C5C" w:rsidP="00614C5C">
            <w:pPr>
              <w:jc w:val="right"/>
              <w:rPr>
                <w:rFonts w:eastAsiaTheme="minorEastAsia"/>
                <w:szCs w:val="21"/>
              </w:rPr>
            </w:pPr>
            <w:r w:rsidRPr="00C24ACA">
              <w:rPr>
                <w:rFonts w:eastAsiaTheme="minorEastAsia"/>
                <w:szCs w:val="21"/>
              </w:rPr>
              <w:t>228,742.54</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w:t>
      </w:r>
      <w:r w:rsidRPr="00C24ACA">
        <w:rPr>
          <w:rFonts w:eastAsiaTheme="minorEastAsia"/>
          <w:kern w:val="0"/>
          <w:szCs w:val="21"/>
        </w:rPr>
        <w:t>“</w:t>
      </w:r>
      <w:r w:rsidRPr="00C24ACA">
        <w:rPr>
          <w:rFonts w:eastAsiaTheme="minorEastAsia"/>
          <w:kern w:val="0"/>
          <w:szCs w:val="21"/>
        </w:rPr>
        <w:t>股票</w:t>
      </w:r>
      <w:r w:rsidRPr="00C24ACA">
        <w:rPr>
          <w:rFonts w:eastAsiaTheme="minorEastAsia"/>
          <w:kern w:val="0"/>
          <w:szCs w:val="21"/>
        </w:rPr>
        <w:t>”</w:t>
      </w:r>
      <w:r w:rsidRPr="00C24ACA">
        <w:rPr>
          <w:rFonts w:eastAsiaTheme="minorEastAsia"/>
          <w:kern w:val="0"/>
          <w:szCs w:val="21"/>
        </w:rPr>
        <w:t>包括普通股、存托凭证和优先股等。</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6.4.7.3</w:t>
      </w:r>
      <w:r w:rsidRPr="00C24ACA">
        <w:rPr>
          <w:rFonts w:eastAsiaTheme="minorEastAsia"/>
          <w:b/>
          <w:color w:val="000000"/>
          <w:szCs w:val="21"/>
        </w:rPr>
        <w:t>衍生金融资产</w:t>
      </w:r>
      <w:r w:rsidRPr="00C24ACA">
        <w:rPr>
          <w:rFonts w:eastAsiaTheme="minorEastAsia"/>
          <w:b/>
          <w:color w:val="000000"/>
          <w:szCs w:val="21"/>
        </w:rPr>
        <w:t>/</w:t>
      </w:r>
      <w:r w:rsidRPr="00C24ACA">
        <w:rPr>
          <w:rFonts w:eastAsiaTheme="minorEastAsia"/>
          <w:b/>
          <w:color w:val="000000"/>
          <w:szCs w:val="21"/>
        </w:rPr>
        <w:t>负债</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本基金本报告期末无衍生金融资产</w:t>
      </w:r>
      <w:r w:rsidRPr="00C24ACA">
        <w:rPr>
          <w:rFonts w:eastAsiaTheme="minorEastAsia"/>
          <w:kern w:val="0"/>
          <w:szCs w:val="21"/>
        </w:rPr>
        <w:t>/</w:t>
      </w:r>
      <w:r w:rsidRPr="00C24ACA">
        <w:rPr>
          <w:rFonts w:eastAsiaTheme="minorEastAsia"/>
          <w:kern w:val="0"/>
          <w:szCs w:val="21"/>
        </w:rPr>
        <w:t>负债。</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w:t>
      </w:r>
      <w:r w:rsidRPr="00C24ACA">
        <w:rPr>
          <w:rFonts w:eastAsiaTheme="minorEastAsia"/>
          <w:b/>
          <w:color w:val="000000"/>
          <w:szCs w:val="21"/>
        </w:rPr>
        <w:t>买入返售金融资产</w:t>
      </w:r>
    </w:p>
    <w:p w:rsidR="008A5A5D" w:rsidRPr="00C24ACA" w:rsidRDefault="008A5A5D" w:rsidP="009967D7">
      <w:pPr>
        <w:spacing w:line="360" w:lineRule="auto"/>
        <w:rPr>
          <w:rFonts w:eastAsiaTheme="minorEastAsia"/>
          <w:b/>
          <w:color w:val="000000"/>
          <w:szCs w:val="21"/>
        </w:rPr>
      </w:pPr>
      <w:r w:rsidRPr="00C24ACA">
        <w:rPr>
          <w:rFonts w:eastAsiaTheme="minorEastAsia"/>
          <w:b/>
          <w:bCs/>
          <w:color w:val="000000"/>
          <w:kern w:val="0"/>
          <w:szCs w:val="21"/>
        </w:rPr>
        <w:t>6.4.7.4.1</w:t>
      </w:r>
      <w:r w:rsidRPr="00C24ACA">
        <w:rPr>
          <w:rFonts w:eastAsiaTheme="minorEastAsia"/>
          <w:b/>
          <w:color w:val="000000"/>
          <w:szCs w:val="21"/>
        </w:rPr>
        <w:t>各项买入返售金融资产期末余额</w:t>
      </w:r>
    </w:p>
    <w:p w:rsidR="002E14AD" w:rsidRDefault="002E14AD" w:rsidP="008707EB">
      <w:pPr>
        <w:tabs>
          <w:tab w:val="left" w:pos="426"/>
        </w:tabs>
        <w:spacing w:line="360" w:lineRule="auto"/>
        <w:ind w:firstLineChars="200" w:firstLine="420"/>
        <w:rPr>
          <w:rFonts w:eastAsiaTheme="minorEastAsia"/>
          <w:kern w:val="0"/>
          <w:szCs w:val="21"/>
        </w:rPr>
      </w:pPr>
      <w:r>
        <w:rPr>
          <w:rFonts w:eastAsiaTheme="minorEastAsia"/>
          <w:kern w:val="0"/>
          <w:szCs w:val="21"/>
        </w:rPr>
        <w:t>本基金本报告期末无买入返售金融资产。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6.4.7.4.2</w:t>
      </w:r>
      <w:r w:rsidRPr="00C24ACA">
        <w:rPr>
          <w:rFonts w:eastAsiaTheme="minorEastAsia"/>
          <w:b/>
          <w:color w:val="000000"/>
          <w:szCs w:val="21"/>
        </w:rPr>
        <w:t>期末买断式逆回购交易中取得的债券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本基金本报告期末无买断式逆回购交易中取得的债券。</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6.4.7.5</w:t>
      </w:r>
      <w:r w:rsidRPr="00C24ACA">
        <w:rPr>
          <w:rFonts w:eastAsiaTheme="minorEastAsia"/>
          <w:b/>
          <w:color w:val="000000"/>
          <w:szCs w:val="21"/>
        </w:rPr>
        <w:t>应收利息</w:t>
      </w:r>
    </w:p>
    <w:p w:rsidR="00C4173D" w:rsidRDefault="00C4173D" w:rsidP="00C4173D">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C4173D" w:rsidTr="00DC4F67">
        <w:trPr>
          <w:trHeight w:val="330"/>
        </w:trPr>
        <w:tc>
          <w:tcPr>
            <w:tcW w:w="3701" w:type="dxa"/>
            <w:vAlign w:val="center"/>
            <w:hideMark/>
          </w:tcPr>
          <w:p w:rsidR="00C4173D" w:rsidRDefault="00C4173D">
            <w:pPr>
              <w:jc w:val="center"/>
              <w:rPr>
                <w:szCs w:val="21"/>
              </w:rPr>
            </w:pPr>
            <w:r>
              <w:rPr>
                <w:rFonts w:hint="eastAsia"/>
                <w:szCs w:val="21"/>
              </w:rPr>
              <w:t>项目</w:t>
            </w:r>
          </w:p>
        </w:tc>
        <w:tc>
          <w:tcPr>
            <w:tcW w:w="5528" w:type="dxa"/>
            <w:vAlign w:val="center"/>
            <w:hideMark/>
          </w:tcPr>
          <w:p w:rsidR="00C4173D" w:rsidRDefault="00C4173D">
            <w:pPr>
              <w:jc w:val="center"/>
              <w:rPr>
                <w:kern w:val="0"/>
                <w:szCs w:val="21"/>
              </w:rPr>
            </w:pPr>
            <w:r>
              <w:rPr>
                <w:rFonts w:hint="eastAsia"/>
                <w:kern w:val="0"/>
                <w:szCs w:val="21"/>
              </w:rPr>
              <w:t>本期末</w:t>
            </w:r>
          </w:p>
          <w:p w:rsidR="00C4173D" w:rsidRDefault="00C4173D">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C4173D" w:rsidTr="00DC4F67">
        <w:trPr>
          <w:trHeight w:val="257"/>
        </w:trPr>
        <w:tc>
          <w:tcPr>
            <w:tcW w:w="3701" w:type="dxa"/>
            <w:vAlign w:val="center"/>
            <w:hideMark/>
          </w:tcPr>
          <w:p w:rsidR="00C4173D" w:rsidRDefault="00C4173D">
            <w:pPr>
              <w:rPr>
                <w:szCs w:val="21"/>
              </w:rPr>
            </w:pPr>
            <w:r>
              <w:rPr>
                <w:rFonts w:hint="eastAsia"/>
                <w:szCs w:val="21"/>
              </w:rPr>
              <w:t>应收活期存款利息</w:t>
            </w:r>
          </w:p>
        </w:tc>
        <w:tc>
          <w:tcPr>
            <w:tcW w:w="5528" w:type="dxa"/>
            <w:vAlign w:val="center"/>
            <w:hideMark/>
          </w:tcPr>
          <w:p w:rsidR="00C4173D" w:rsidRDefault="00C4173D">
            <w:pPr>
              <w:jc w:val="right"/>
              <w:rPr>
                <w:szCs w:val="21"/>
              </w:rPr>
            </w:pPr>
            <w:r>
              <w:rPr>
                <w:szCs w:val="21"/>
              </w:rPr>
              <w:t>1,610.83</w:t>
            </w:r>
          </w:p>
        </w:tc>
      </w:tr>
      <w:tr w:rsidR="00C4173D" w:rsidTr="00DC4F67">
        <w:trPr>
          <w:trHeight w:val="223"/>
        </w:trPr>
        <w:tc>
          <w:tcPr>
            <w:tcW w:w="3701" w:type="dxa"/>
            <w:vAlign w:val="center"/>
            <w:hideMark/>
          </w:tcPr>
          <w:p w:rsidR="00C4173D" w:rsidRDefault="00C4173D">
            <w:pPr>
              <w:rPr>
                <w:szCs w:val="21"/>
              </w:rPr>
            </w:pPr>
            <w:r>
              <w:rPr>
                <w:rFonts w:hint="eastAsia"/>
                <w:szCs w:val="21"/>
              </w:rPr>
              <w:t>应收定期存款利息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应收其他存款利息</w:t>
            </w:r>
          </w:p>
        </w:tc>
        <w:tc>
          <w:tcPr>
            <w:tcW w:w="5528" w:type="dxa"/>
            <w:vAlign w:val="center"/>
            <w:hideMark/>
          </w:tcPr>
          <w:p w:rsidR="00C4173D" w:rsidRDefault="00C4173D">
            <w:pPr>
              <w:jc w:val="right"/>
              <w:rPr>
                <w:szCs w:val="21"/>
              </w:rPr>
            </w:pPr>
            <w:r>
              <w:rPr>
                <w:szCs w:val="21"/>
              </w:rPr>
              <w:t>-</w:t>
            </w:r>
          </w:p>
        </w:tc>
      </w:tr>
      <w:tr w:rsidR="00C4173D" w:rsidTr="00DC4F67">
        <w:trPr>
          <w:trHeight w:val="223"/>
        </w:trPr>
        <w:tc>
          <w:tcPr>
            <w:tcW w:w="3701" w:type="dxa"/>
            <w:vAlign w:val="center"/>
            <w:hideMark/>
          </w:tcPr>
          <w:p w:rsidR="00C4173D" w:rsidRDefault="00C4173D">
            <w:pPr>
              <w:rPr>
                <w:szCs w:val="21"/>
              </w:rPr>
            </w:pPr>
            <w:r>
              <w:rPr>
                <w:rFonts w:hint="eastAsia"/>
                <w:szCs w:val="21"/>
              </w:rPr>
              <w:t>应收结算备付金利息</w:t>
            </w:r>
          </w:p>
        </w:tc>
        <w:tc>
          <w:tcPr>
            <w:tcW w:w="5528" w:type="dxa"/>
            <w:vAlign w:val="center"/>
            <w:hideMark/>
          </w:tcPr>
          <w:p w:rsidR="00C4173D" w:rsidRDefault="00C4173D">
            <w:pPr>
              <w:jc w:val="right"/>
              <w:rPr>
                <w:szCs w:val="21"/>
              </w:rPr>
            </w:pPr>
            <w:r>
              <w:rPr>
                <w:szCs w:val="21"/>
              </w:rPr>
              <w:t>16.80</w:t>
            </w:r>
          </w:p>
        </w:tc>
      </w:tr>
      <w:tr w:rsidR="00C4173D" w:rsidTr="00DC4F67">
        <w:trPr>
          <w:trHeight w:val="269"/>
        </w:trPr>
        <w:tc>
          <w:tcPr>
            <w:tcW w:w="3701" w:type="dxa"/>
            <w:vAlign w:val="center"/>
            <w:hideMark/>
          </w:tcPr>
          <w:p w:rsidR="00C4173D" w:rsidRDefault="00C4173D">
            <w:pPr>
              <w:rPr>
                <w:szCs w:val="21"/>
              </w:rPr>
            </w:pPr>
            <w:r>
              <w:rPr>
                <w:rFonts w:hint="eastAsia"/>
                <w:szCs w:val="21"/>
              </w:rPr>
              <w:t>应收债券利息</w:t>
            </w:r>
          </w:p>
        </w:tc>
        <w:tc>
          <w:tcPr>
            <w:tcW w:w="5528" w:type="dxa"/>
            <w:vAlign w:val="center"/>
            <w:hideMark/>
          </w:tcPr>
          <w:p w:rsidR="00C4173D" w:rsidRDefault="00C4173D">
            <w:pPr>
              <w:jc w:val="right"/>
              <w:rPr>
                <w:szCs w:val="21"/>
              </w:rPr>
            </w:pPr>
            <w:r>
              <w:rPr>
                <w:szCs w:val="21"/>
              </w:rPr>
              <w:t>-</w:t>
            </w:r>
          </w:p>
        </w:tc>
      </w:tr>
      <w:tr w:rsidR="00C4173D" w:rsidTr="00DC4F67">
        <w:trPr>
          <w:trHeight w:val="287"/>
        </w:trPr>
        <w:tc>
          <w:tcPr>
            <w:tcW w:w="3701" w:type="dxa"/>
            <w:vAlign w:val="bottom"/>
            <w:hideMark/>
          </w:tcPr>
          <w:p w:rsidR="00C4173D" w:rsidRDefault="00C4173D">
            <w:pPr>
              <w:rPr>
                <w:rFonts w:eastAsiaTheme="minorEastAsia"/>
                <w:szCs w:val="21"/>
              </w:rPr>
            </w:pPr>
            <w:r>
              <w:rPr>
                <w:rFonts w:eastAsiaTheme="minorEastAsia" w:hint="eastAsia"/>
                <w:szCs w:val="21"/>
              </w:rPr>
              <w:t>应收资产支持证券利息</w:t>
            </w:r>
          </w:p>
        </w:tc>
        <w:tc>
          <w:tcPr>
            <w:tcW w:w="5528" w:type="dxa"/>
            <w:hideMark/>
          </w:tcPr>
          <w:p w:rsidR="00C4173D" w:rsidRDefault="00C4173D">
            <w:pPr>
              <w:jc w:val="right"/>
              <w:rPr>
                <w:rFonts w:eastAsiaTheme="minorEastAsia"/>
                <w:szCs w:val="21"/>
              </w:rPr>
            </w:pPr>
            <w:r>
              <w:rPr>
                <w:rFonts w:eastAsiaTheme="minorEastAsia"/>
                <w:szCs w:val="21"/>
              </w:rPr>
              <w:t>-</w:t>
            </w:r>
          </w:p>
        </w:tc>
      </w:tr>
      <w:tr w:rsidR="00C4173D" w:rsidTr="00DC4F67">
        <w:trPr>
          <w:trHeight w:val="287"/>
        </w:trPr>
        <w:tc>
          <w:tcPr>
            <w:tcW w:w="3701" w:type="dxa"/>
            <w:vAlign w:val="center"/>
            <w:hideMark/>
          </w:tcPr>
          <w:p w:rsidR="00C4173D" w:rsidRDefault="00C4173D">
            <w:pPr>
              <w:rPr>
                <w:szCs w:val="21"/>
              </w:rPr>
            </w:pPr>
            <w:r>
              <w:rPr>
                <w:rFonts w:hint="eastAsia"/>
                <w:szCs w:val="21"/>
              </w:rPr>
              <w:t>应收买入返售证券利息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应收申购款利息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应收黄金合约拆借孳息</w:t>
            </w:r>
          </w:p>
        </w:tc>
        <w:tc>
          <w:tcPr>
            <w:tcW w:w="5528" w:type="dxa"/>
            <w:vAlign w:val="center"/>
            <w:hideMark/>
          </w:tcPr>
          <w:p w:rsidR="00C4173D" w:rsidRDefault="00C4173D">
            <w:pPr>
              <w:jc w:val="right"/>
              <w:rPr>
                <w:szCs w:val="21"/>
              </w:rPr>
            </w:pPr>
            <w:r>
              <w:rPr>
                <w:szCs w:val="21"/>
              </w:rPr>
              <w:t>-</w:t>
            </w:r>
          </w:p>
        </w:tc>
      </w:tr>
      <w:tr w:rsidR="00C4173D" w:rsidTr="00DC4F67">
        <w:trPr>
          <w:trHeight w:val="305"/>
        </w:trPr>
        <w:tc>
          <w:tcPr>
            <w:tcW w:w="3701" w:type="dxa"/>
            <w:vAlign w:val="center"/>
            <w:hideMark/>
          </w:tcPr>
          <w:p w:rsidR="00C4173D" w:rsidRDefault="00C4173D">
            <w:pPr>
              <w:rPr>
                <w:szCs w:val="21"/>
              </w:rPr>
            </w:pPr>
            <w:r>
              <w:rPr>
                <w:rFonts w:hint="eastAsia"/>
                <w:szCs w:val="21"/>
              </w:rPr>
              <w:t>其他</w:t>
            </w:r>
          </w:p>
        </w:tc>
        <w:tc>
          <w:tcPr>
            <w:tcW w:w="5528" w:type="dxa"/>
            <w:vAlign w:val="center"/>
            <w:hideMark/>
          </w:tcPr>
          <w:p w:rsidR="00C4173D" w:rsidRDefault="00C4173D">
            <w:pPr>
              <w:jc w:val="right"/>
              <w:rPr>
                <w:szCs w:val="21"/>
              </w:rPr>
            </w:pPr>
            <w:r>
              <w:rPr>
                <w:szCs w:val="21"/>
              </w:rPr>
              <w:t>0.40</w:t>
            </w:r>
          </w:p>
        </w:tc>
      </w:tr>
      <w:tr w:rsidR="00C4173D" w:rsidTr="00DC4F67">
        <w:trPr>
          <w:trHeight w:val="330"/>
        </w:trPr>
        <w:tc>
          <w:tcPr>
            <w:tcW w:w="3701" w:type="dxa"/>
            <w:vAlign w:val="center"/>
            <w:hideMark/>
          </w:tcPr>
          <w:p w:rsidR="00C4173D" w:rsidRDefault="00C4173D">
            <w:pPr>
              <w:jc w:val="center"/>
              <w:rPr>
                <w:szCs w:val="21"/>
              </w:rPr>
            </w:pPr>
            <w:r>
              <w:rPr>
                <w:rFonts w:hint="eastAsia"/>
                <w:szCs w:val="21"/>
              </w:rPr>
              <w:t>合计</w:t>
            </w:r>
          </w:p>
        </w:tc>
        <w:tc>
          <w:tcPr>
            <w:tcW w:w="5528" w:type="dxa"/>
            <w:vAlign w:val="center"/>
            <w:hideMark/>
          </w:tcPr>
          <w:p w:rsidR="00C4173D" w:rsidRDefault="00C4173D">
            <w:pPr>
              <w:jc w:val="right"/>
              <w:rPr>
                <w:szCs w:val="21"/>
              </w:rPr>
            </w:pPr>
            <w:r>
              <w:rPr>
                <w:szCs w:val="21"/>
              </w:rPr>
              <w:t>1,628.03</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6.4.7.6</w:t>
      </w:r>
      <w:r w:rsidRPr="00C24ACA">
        <w:rPr>
          <w:rFonts w:eastAsiaTheme="minorEastAsia"/>
          <w:b/>
          <w:color w:val="000000"/>
          <w:szCs w:val="21"/>
        </w:rPr>
        <w:t>其他资产</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本基金本报告期末无其他资产。</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6.4.7.7</w:t>
      </w:r>
      <w:r w:rsidRPr="00C24ACA">
        <w:rPr>
          <w:rFonts w:eastAsiaTheme="minorEastAsia"/>
          <w:b/>
          <w:color w:val="000000"/>
          <w:szCs w:val="21"/>
        </w:rPr>
        <w:t>应付交易费用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本基金本报告期末无应付交易费用。</w:t>
      </w:r>
      <w:r w:rsidRPr="00C24ACA">
        <w:rPr>
          <w:rFonts w:eastAsiaTheme="minorEastAsia"/>
          <w:kern w:val="0"/>
          <w:szCs w:val="21"/>
        </w:rPr>
        <w:t xml:space="preserve"> </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6.4.7.8</w:t>
      </w:r>
      <w:r w:rsidRPr="00C24ACA">
        <w:rPr>
          <w:rFonts w:eastAsiaTheme="minorEastAsia"/>
          <w:b/>
          <w:color w:val="000000"/>
          <w:szCs w:val="21"/>
        </w:rPr>
        <w:t>其他负债</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2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8A5A5D" w:rsidRPr="00C24ACA" w:rsidTr="00862636">
        <w:trPr>
          <w:trHeight w:val="330"/>
        </w:trPr>
        <w:tc>
          <w:tcPr>
            <w:tcW w:w="3701"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528" w:type="dxa"/>
            <w:vAlign w:val="center"/>
          </w:tcPr>
          <w:p w:rsidR="008A5A5D" w:rsidRPr="00C24ACA" w:rsidRDefault="008A5A5D" w:rsidP="004A4847">
            <w:pPr>
              <w:jc w:val="center"/>
              <w:rPr>
                <w:rFonts w:eastAsiaTheme="minorEastAsia"/>
                <w:kern w:val="0"/>
                <w:szCs w:val="21"/>
              </w:rPr>
            </w:pPr>
            <w:r w:rsidRPr="00C24ACA">
              <w:rPr>
                <w:rFonts w:eastAsiaTheme="minorEastAsia"/>
                <w:kern w:val="0"/>
                <w:szCs w:val="21"/>
              </w:rPr>
              <w:t>本期末</w:t>
            </w:r>
          </w:p>
          <w:p w:rsidR="008A5A5D" w:rsidRPr="00C24ACA" w:rsidRDefault="00AC4A34" w:rsidP="004A4847">
            <w:pPr>
              <w:jc w:val="center"/>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应付券商交易单元保证金</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862636">
        <w:trPr>
          <w:trHeight w:val="325"/>
        </w:trPr>
        <w:tc>
          <w:tcPr>
            <w:tcW w:w="3701" w:type="dxa"/>
            <w:vAlign w:val="center"/>
          </w:tcPr>
          <w:p w:rsidR="008A5A5D" w:rsidRPr="00C24ACA" w:rsidRDefault="008A5A5D" w:rsidP="004A4847">
            <w:pPr>
              <w:rPr>
                <w:rFonts w:eastAsiaTheme="minorEastAsia"/>
                <w:szCs w:val="21"/>
              </w:rPr>
            </w:pPr>
            <w:r w:rsidRPr="00C24ACA">
              <w:rPr>
                <w:rFonts w:eastAsiaTheme="minorEastAsia"/>
                <w:szCs w:val="21"/>
              </w:rPr>
              <w:t>应付赎回费</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1,510.68</w:t>
            </w:r>
          </w:p>
        </w:tc>
      </w:tr>
      <w:tr w:rsidR="000265E6">
        <w:tc>
          <w:tcPr>
            <w:tcW w:w="3701" w:type="dxa"/>
            <w:vAlign w:val="center"/>
          </w:tcPr>
          <w:p w:rsidR="000265E6" w:rsidRDefault="004D56B3">
            <w:pPr>
              <w:jc w:val="left"/>
            </w:pPr>
            <w:r>
              <w:rPr>
                <w:rFonts w:eastAsiaTheme="minorEastAsia"/>
                <w:szCs w:val="21"/>
              </w:rPr>
              <w:t>预提费用</w:t>
            </w:r>
          </w:p>
        </w:tc>
        <w:tc>
          <w:tcPr>
            <w:tcW w:w="5528" w:type="dxa"/>
            <w:vAlign w:val="center"/>
          </w:tcPr>
          <w:p w:rsidR="000265E6" w:rsidRDefault="004D56B3">
            <w:pPr>
              <w:jc w:val="right"/>
            </w:pPr>
            <w:r>
              <w:rPr>
                <w:rFonts w:eastAsiaTheme="minorEastAsia"/>
                <w:szCs w:val="21"/>
              </w:rPr>
              <w:t>16,190.80</w:t>
            </w:r>
          </w:p>
        </w:tc>
      </w:tr>
      <w:tr w:rsidR="008A5A5D" w:rsidRPr="00C24ACA" w:rsidTr="00862636">
        <w:trPr>
          <w:trHeight w:val="325"/>
        </w:trPr>
        <w:tc>
          <w:tcPr>
            <w:tcW w:w="3701" w:type="dxa"/>
            <w:vAlign w:val="center"/>
          </w:tcPr>
          <w:p w:rsidR="008A5A5D" w:rsidRPr="00C24ACA" w:rsidRDefault="008A5A5D" w:rsidP="00052E9B">
            <w:pPr>
              <w:rPr>
                <w:rFonts w:eastAsiaTheme="minorEastAsia"/>
                <w:szCs w:val="21"/>
              </w:rPr>
            </w:pPr>
            <w:r w:rsidRPr="00C24ACA">
              <w:rPr>
                <w:rFonts w:eastAsiaTheme="minorEastAsia"/>
                <w:szCs w:val="21"/>
              </w:rPr>
              <w:t>合计</w:t>
            </w:r>
          </w:p>
        </w:tc>
        <w:tc>
          <w:tcPr>
            <w:tcW w:w="5528" w:type="dxa"/>
            <w:vAlign w:val="bottom"/>
          </w:tcPr>
          <w:p w:rsidR="008A5A5D" w:rsidRPr="00C24ACA" w:rsidRDefault="008A5A5D" w:rsidP="004A4847">
            <w:pPr>
              <w:jc w:val="right"/>
              <w:rPr>
                <w:rFonts w:eastAsiaTheme="minorEastAsia"/>
                <w:szCs w:val="21"/>
              </w:rPr>
            </w:pPr>
            <w:r w:rsidRPr="00C24ACA">
              <w:rPr>
                <w:rFonts w:eastAsiaTheme="minorEastAsia"/>
                <w:szCs w:val="21"/>
              </w:rPr>
              <w:t>17,701.48</w:t>
            </w:r>
          </w:p>
        </w:tc>
      </w:tr>
    </w:tbl>
    <w:p w:rsidR="008A5A5D"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6.4.7.9</w:t>
      </w:r>
      <w:r w:rsidRPr="00C24ACA">
        <w:rPr>
          <w:rFonts w:eastAsiaTheme="minorEastAsia"/>
          <w:b/>
          <w:color w:val="000000"/>
          <w:szCs w:val="21"/>
        </w:rPr>
        <w:t>实收基金</w:t>
      </w:r>
    </w:p>
    <w:p w:rsidR="005D2965" w:rsidRPr="00896265" w:rsidRDefault="005D2965" w:rsidP="005D2965">
      <w:pPr>
        <w:adjustRightInd w:val="0"/>
        <w:snapToGrid w:val="0"/>
        <w:spacing w:line="360" w:lineRule="auto"/>
        <w:rPr>
          <w:rFonts w:eastAsiaTheme="minorEastAsia"/>
          <w:b/>
          <w:color w:val="000000"/>
          <w:szCs w:val="21"/>
        </w:rPr>
      </w:pPr>
      <w:r w:rsidRPr="00896265">
        <w:rPr>
          <w:rFonts w:eastAsiaTheme="minorEastAsia"/>
          <w:szCs w:val="21"/>
        </w:rPr>
        <w:t>易方达中证浙江新动能</w:t>
      </w:r>
      <w:r w:rsidRPr="00896265">
        <w:rPr>
          <w:rFonts w:eastAsiaTheme="minorEastAsia"/>
          <w:szCs w:val="21"/>
        </w:rPr>
        <w:t>ETF</w:t>
      </w:r>
      <w:r w:rsidRPr="00896265">
        <w:rPr>
          <w:rFonts w:eastAsiaTheme="minorEastAsia"/>
          <w:szCs w:val="21"/>
        </w:rPr>
        <w:t>联接（</w:t>
      </w:r>
      <w:r w:rsidRPr="00896265">
        <w:rPr>
          <w:rFonts w:eastAsiaTheme="minorEastAsia"/>
          <w:szCs w:val="21"/>
        </w:rPr>
        <w:t>QDII</w:t>
      </w:r>
      <w:r w:rsidRPr="00896265">
        <w:rPr>
          <w:rFonts w:eastAsiaTheme="minorEastAsia"/>
          <w:szCs w:val="21"/>
        </w:rPr>
        <w:t>）</w:t>
      </w:r>
      <w:r w:rsidRPr="00896265">
        <w:rPr>
          <w:rFonts w:eastAsiaTheme="minorEastAsia"/>
          <w:szCs w:val="21"/>
        </w:rPr>
        <w:t>A</w:t>
      </w:r>
    </w:p>
    <w:p w:rsidR="00F90D75" w:rsidRPr="00C24ACA" w:rsidRDefault="00013749" w:rsidP="00F90D75">
      <w:pPr>
        <w:wordWrap w:val="0"/>
        <w:spacing w:line="360" w:lineRule="auto"/>
        <w:jc w:val="right"/>
        <w:rPr>
          <w:rFonts w:eastAsiaTheme="minorEastAsia"/>
          <w:szCs w:val="21"/>
        </w:rPr>
      </w:pPr>
      <w:r w:rsidRPr="00C24ACA">
        <w:rPr>
          <w:rFonts w:eastAsiaTheme="minorEastAsia"/>
          <w:szCs w:val="21"/>
        </w:rPr>
        <w:t>金额</w:t>
      </w:r>
      <w:r w:rsidR="0032494A" w:rsidRPr="00C24ACA">
        <w:rPr>
          <w:rFonts w:eastAsiaTheme="minorEastAsia"/>
          <w:szCs w:val="21"/>
        </w:rPr>
        <w:t>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spacing w:line="360" w:lineRule="auto"/>
              <w:jc w:val="center"/>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基金合同生效日</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15,956,346.50</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15,956,346.50</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274,627.91</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274,627.91</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-4,720,663.61</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-4,720,663.61</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11,510,310.80</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11,510,310.80</w:t>
            </w:r>
          </w:p>
        </w:tc>
      </w:tr>
    </w:tbl>
    <w:p w:rsidR="005D2965" w:rsidRPr="00896265" w:rsidRDefault="005D2965" w:rsidP="005D2965">
      <w:pPr>
        <w:adjustRightInd w:val="0"/>
        <w:snapToGrid w:val="0"/>
        <w:spacing w:line="360" w:lineRule="auto"/>
        <w:rPr>
          <w:rFonts w:eastAsiaTheme="minorEastAsia"/>
          <w:szCs w:val="21"/>
        </w:rPr>
      </w:pPr>
      <w:r w:rsidRPr="00896265">
        <w:rPr>
          <w:rFonts w:eastAsiaTheme="minorEastAsia"/>
          <w:szCs w:val="21"/>
        </w:rPr>
        <w:t>易方达中证浙江新动能</w:t>
      </w:r>
      <w:r w:rsidRPr="00896265">
        <w:rPr>
          <w:rFonts w:eastAsiaTheme="minorEastAsia"/>
          <w:szCs w:val="21"/>
        </w:rPr>
        <w:t>ETF</w:t>
      </w:r>
      <w:r w:rsidRPr="00896265">
        <w:rPr>
          <w:rFonts w:eastAsiaTheme="minorEastAsia"/>
          <w:szCs w:val="21"/>
        </w:rPr>
        <w:t>联接（</w:t>
      </w:r>
      <w:r w:rsidRPr="00896265">
        <w:rPr>
          <w:rFonts w:eastAsiaTheme="minorEastAsia"/>
          <w:szCs w:val="21"/>
        </w:rPr>
        <w:t>QDII</w:t>
      </w:r>
      <w:r w:rsidRPr="00896265">
        <w:rPr>
          <w:rFonts w:eastAsiaTheme="minorEastAsia"/>
          <w:szCs w:val="21"/>
        </w:rPr>
        <w:t>）</w:t>
      </w:r>
      <w:r w:rsidRPr="00896265">
        <w:rPr>
          <w:rFonts w:eastAsiaTheme="minorEastAsia"/>
          <w:szCs w:val="21"/>
        </w:rPr>
        <w:t>C</w:t>
      </w:r>
    </w:p>
    <w:p w:rsidR="00F90D75" w:rsidRPr="00C24ACA" w:rsidRDefault="00F90D75" w:rsidP="00F90D75">
      <w:pPr>
        <w:adjustRightInd w:val="0"/>
        <w:snapToGrid w:val="0"/>
        <w:spacing w:line="360" w:lineRule="auto"/>
        <w:jc w:val="right"/>
        <w:rPr>
          <w:rFonts w:eastAsiaTheme="minorEastAsia"/>
          <w:color w:val="000000"/>
          <w:szCs w:val="21"/>
        </w:rPr>
      </w:pPr>
      <w:r w:rsidRPr="00C24ACA">
        <w:rPr>
          <w:rFonts w:eastAsiaTheme="minorEastAsia"/>
          <w:color w:val="000000"/>
          <w:szCs w:val="21"/>
        </w:rPr>
        <w:t>金额单位：人民币元</w:t>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F90D75" w:rsidRPr="00C24ACA" w:rsidTr="00492F1A">
        <w:tc>
          <w:tcPr>
            <w:tcW w:w="3120" w:type="dxa"/>
            <w:vMerge w:val="restart"/>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项目</w:t>
            </w:r>
          </w:p>
        </w:tc>
        <w:tc>
          <w:tcPr>
            <w:tcW w:w="6240" w:type="dxa"/>
            <w:gridSpan w:val="2"/>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szCs w:val="21"/>
              </w:rPr>
              <w:t>本期</w:t>
            </w:r>
          </w:p>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F90D75" w:rsidRPr="00C24ACA" w:rsidTr="00492F1A">
        <w:tc>
          <w:tcPr>
            <w:tcW w:w="3120" w:type="dxa"/>
            <w:vMerge/>
            <w:vAlign w:val="center"/>
          </w:tcPr>
          <w:p w:rsidR="00F90D75" w:rsidRPr="00C24ACA" w:rsidRDefault="00F90D75" w:rsidP="00492F1A">
            <w:pPr>
              <w:widowControl/>
              <w:spacing w:line="360" w:lineRule="auto"/>
              <w:jc w:val="left"/>
              <w:rPr>
                <w:rFonts w:eastAsiaTheme="minorEastAsia"/>
                <w:color w:val="000000"/>
                <w:szCs w:val="21"/>
              </w:rPr>
            </w:pP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基金份额</w:t>
            </w:r>
          </w:p>
        </w:tc>
        <w:tc>
          <w:tcPr>
            <w:tcW w:w="3120" w:type="dxa"/>
            <w:vAlign w:val="center"/>
          </w:tcPr>
          <w:p w:rsidR="00F90D75" w:rsidRPr="00C24ACA" w:rsidRDefault="00F90D75" w:rsidP="00492F1A">
            <w:pPr>
              <w:widowControl/>
              <w:autoSpaceDE w:val="0"/>
              <w:autoSpaceDN w:val="0"/>
              <w:spacing w:line="360" w:lineRule="auto"/>
              <w:ind w:right="-15"/>
              <w:jc w:val="center"/>
              <w:textAlignment w:val="bottom"/>
              <w:rPr>
                <w:rFonts w:eastAsiaTheme="minorEastAsia"/>
                <w:color w:val="000000"/>
                <w:szCs w:val="21"/>
              </w:rPr>
            </w:pPr>
            <w:r w:rsidRPr="00C24ACA">
              <w:rPr>
                <w:rFonts w:eastAsiaTheme="minorEastAsia"/>
                <w:color w:val="000000"/>
                <w:kern w:val="0"/>
                <w:szCs w:val="21"/>
              </w:rPr>
              <w:t>账面金额</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基金合同生效日</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194,487,553.83</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194,487,553.83</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本期申购</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92,894.74</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92,894.74</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color w:val="000000"/>
                <w:szCs w:val="21"/>
              </w:rPr>
              <w:t>本期赎回（以</w:t>
            </w:r>
            <w:r w:rsidRPr="00C24ACA">
              <w:rPr>
                <w:rFonts w:eastAsiaTheme="minorEastAsia"/>
                <w:color w:val="000000"/>
                <w:szCs w:val="21"/>
              </w:rPr>
              <w:t>“-”</w:t>
            </w:r>
            <w:r w:rsidRPr="00C24ACA">
              <w:rPr>
                <w:rFonts w:eastAsiaTheme="minorEastAsia"/>
                <w:color w:val="000000"/>
                <w:szCs w:val="21"/>
              </w:rPr>
              <w:t>号填列）</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-189,269,723.85</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-189,269,723.85</w:t>
            </w:r>
          </w:p>
        </w:tc>
      </w:tr>
      <w:tr w:rsidR="00F90D75" w:rsidRPr="00C24ACA" w:rsidTr="00492F1A">
        <w:tc>
          <w:tcPr>
            <w:tcW w:w="3120" w:type="dxa"/>
            <w:vAlign w:val="center"/>
          </w:tcPr>
          <w:p w:rsidR="00F90D75" w:rsidRPr="00C24ACA" w:rsidRDefault="00F90D75" w:rsidP="00492F1A">
            <w:pPr>
              <w:spacing w:line="360" w:lineRule="auto"/>
              <w:rPr>
                <w:rFonts w:eastAsiaTheme="minorEastAsia"/>
                <w:color w:val="000000"/>
                <w:szCs w:val="21"/>
              </w:rPr>
            </w:pPr>
            <w:r w:rsidRPr="00C24ACA">
              <w:rPr>
                <w:rFonts w:eastAsiaTheme="minorEastAsia"/>
                <w:szCs w:val="21"/>
              </w:rPr>
              <w:t>本期末</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5,310,724.72</w:t>
            </w:r>
          </w:p>
        </w:tc>
        <w:tc>
          <w:tcPr>
            <w:tcW w:w="3120" w:type="dxa"/>
            <w:vAlign w:val="center"/>
          </w:tcPr>
          <w:p w:rsidR="00F90D75" w:rsidRPr="00C24ACA" w:rsidRDefault="00F90D75" w:rsidP="00492F1A">
            <w:pPr>
              <w:spacing w:line="360" w:lineRule="auto"/>
              <w:jc w:val="right"/>
              <w:rPr>
                <w:rFonts w:eastAsiaTheme="minorEastAsia"/>
                <w:szCs w:val="21"/>
              </w:rPr>
            </w:pPr>
            <w:r w:rsidRPr="00C24ACA">
              <w:rPr>
                <w:rFonts w:eastAsiaTheme="minorEastAsia"/>
                <w:szCs w:val="21"/>
              </w:rPr>
              <w:t>5,310,724.72</w:t>
            </w:r>
          </w:p>
        </w:tc>
      </w:tr>
    </w:tbl>
    <w:p w:rsidR="00F90D75" w:rsidRPr="00C24ACA" w:rsidRDefault="00F90D75"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注：本基金合同于</w:t>
      </w:r>
      <w:r w:rsidRPr="008707EB">
        <w:rPr>
          <w:rFonts w:eastAsiaTheme="minorEastAsia"/>
          <w:kern w:val="0"/>
          <w:szCs w:val="21"/>
        </w:rPr>
        <w:t>2020</w:t>
      </w:r>
      <w:r w:rsidRPr="008707EB">
        <w:rPr>
          <w:rFonts w:eastAsiaTheme="minorEastAsia"/>
          <w:kern w:val="0"/>
          <w:szCs w:val="21"/>
        </w:rPr>
        <w:t>年</w:t>
      </w:r>
      <w:r w:rsidRPr="008707EB">
        <w:rPr>
          <w:rFonts w:eastAsiaTheme="minorEastAsia"/>
          <w:kern w:val="0"/>
          <w:szCs w:val="21"/>
        </w:rPr>
        <w:t>4</w:t>
      </w:r>
      <w:r w:rsidRPr="008707EB">
        <w:rPr>
          <w:rFonts w:eastAsiaTheme="minorEastAsia"/>
          <w:kern w:val="0"/>
          <w:szCs w:val="21"/>
        </w:rPr>
        <w:t>月</w:t>
      </w:r>
      <w:r w:rsidRPr="008707EB">
        <w:rPr>
          <w:rFonts w:eastAsiaTheme="minorEastAsia"/>
          <w:kern w:val="0"/>
          <w:szCs w:val="21"/>
        </w:rPr>
        <w:t>24</w:t>
      </w:r>
      <w:r w:rsidRPr="008707EB">
        <w:rPr>
          <w:rFonts w:eastAsiaTheme="minorEastAsia"/>
          <w:kern w:val="0"/>
          <w:szCs w:val="21"/>
        </w:rPr>
        <w:t>日生效，基金合同生效日的基金份额总额为</w:t>
      </w:r>
      <w:r w:rsidRPr="008707EB">
        <w:rPr>
          <w:rFonts w:eastAsiaTheme="minorEastAsia"/>
          <w:kern w:val="0"/>
          <w:szCs w:val="21"/>
        </w:rPr>
        <w:t>210,443,900.33</w:t>
      </w:r>
      <w:r w:rsidRPr="008707EB">
        <w:rPr>
          <w:rFonts w:eastAsiaTheme="minorEastAsia"/>
          <w:kern w:val="0"/>
          <w:szCs w:val="21"/>
        </w:rPr>
        <w:t>份基金份额，其中认购资金利息折合</w:t>
      </w:r>
      <w:r w:rsidRPr="008707EB">
        <w:rPr>
          <w:rFonts w:eastAsiaTheme="minorEastAsia"/>
          <w:kern w:val="0"/>
          <w:szCs w:val="21"/>
        </w:rPr>
        <w:t>84,220.71</w:t>
      </w:r>
      <w:r w:rsidRPr="008707EB">
        <w:rPr>
          <w:rFonts w:eastAsiaTheme="minorEastAsia"/>
          <w:kern w:val="0"/>
          <w:szCs w:val="21"/>
        </w:rPr>
        <w:t>份基金份额。</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6.4.7.10</w:t>
      </w:r>
      <w:r w:rsidRPr="00C24ACA">
        <w:rPr>
          <w:rFonts w:eastAsiaTheme="minorEastAsia"/>
          <w:b/>
          <w:color w:val="000000"/>
          <w:szCs w:val="21"/>
        </w:rPr>
        <w:t>未分配利润</w:t>
      </w:r>
    </w:p>
    <w:p w:rsidR="008A5A5D" w:rsidRPr="00C24ACA" w:rsidRDefault="008A5A5D" w:rsidP="002116B9">
      <w:pPr>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2915FE" w:rsidRPr="00C24ACA" w:rsidTr="005C3575">
        <w:tc>
          <w:tcPr>
            <w:tcW w:w="9415" w:type="dxa"/>
            <w:gridSpan w:val="4"/>
          </w:tcPr>
          <w:p w:rsidR="002915FE" w:rsidRPr="00C24ACA" w:rsidRDefault="002915FE" w:rsidP="002915FE">
            <w:pPr>
              <w:tabs>
                <w:tab w:val="left" w:pos="3015"/>
              </w:tabs>
              <w:jc w:val="center"/>
              <w:rPr>
                <w:rFonts w:eastAsiaTheme="minorEastAsia"/>
                <w:color w:val="000000"/>
                <w:szCs w:val="21"/>
              </w:rPr>
            </w:pPr>
            <w:r w:rsidRPr="00C24ACA">
              <w:rPr>
                <w:rFonts w:eastAsiaTheme="minorEastAsia"/>
                <w:color w:val="000000"/>
                <w:szCs w:val="21"/>
              </w:rPr>
              <w:t>易方达中证浙江新动能</w:t>
            </w:r>
            <w:r w:rsidRPr="00C24ACA">
              <w:rPr>
                <w:rFonts w:eastAsiaTheme="minorEastAsia"/>
                <w:color w:val="000000"/>
                <w:szCs w:val="21"/>
              </w:rPr>
              <w:t>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A</w:t>
            </w:r>
          </w:p>
        </w:tc>
      </w:tr>
      <w:tr w:rsidR="002915FE" w:rsidRPr="00C24ACA" w:rsidTr="002915FE">
        <w:tc>
          <w:tcPr>
            <w:tcW w:w="2706" w:type="dxa"/>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2915FE" w:rsidRPr="00C24ACA" w:rsidRDefault="002915FE" w:rsidP="005C3575">
            <w:pPr>
              <w:jc w:val="center"/>
              <w:rPr>
                <w:rFonts w:eastAsiaTheme="minorEastAsia"/>
                <w:color w:val="000000"/>
                <w:szCs w:val="21"/>
              </w:rPr>
            </w:pPr>
            <w:r w:rsidRPr="00C24ACA">
              <w:rPr>
                <w:rFonts w:eastAsiaTheme="minorEastAsia"/>
                <w:color w:val="000000"/>
                <w:szCs w:val="21"/>
              </w:rPr>
              <w:t>未分配利润合计</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基金合同生效日</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-2,866.79</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127,311.81</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124,445.02</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-248.74</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-9,271.57</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-9,520.31</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-21.59</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2,145.30</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2,123.71</w:t>
            </w:r>
          </w:p>
        </w:tc>
      </w:tr>
      <w:tr w:rsidR="002915FE" w:rsidRPr="00C24ACA" w:rsidTr="002915FE">
        <w:tc>
          <w:tcPr>
            <w:tcW w:w="2706" w:type="dxa"/>
            <w:vAlign w:val="center"/>
          </w:tcPr>
          <w:p w:rsidR="002915FE" w:rsidRPr="00C24ACA" w:rsidRDefault="002915FE"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-227.15</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-11,416.87</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-11,644.02</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w:t>
            </w:r>
          </w:p>
        </w:tc>
      </w:tr>
      <w:tr w:rsidR="002915FE" w:rsidRPr="00C24ACA" w:rsidTr="002915FE">
        <w:tc>
          <w:tcPr>
            <w:tcW w:w="2706" w:type="dxa"/>
            <w:vAlign w:val="center"/>
          </w:tcPr>
          <w:p w:rsidR="002915FE" w:rsidRPr="00C24ACA" w:rsidRDefault="002915FE"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-3,115.53</w:t>
            </w:r>
          </w:p>
        </w:tc>
        <w:tc>
          <w:tcPr>
            <w:tcW w:w="2236" w:type="dxa"/>
            <w:vAlign w:val="center"/>
          </w:tcPr>
          <w:p w:rsidR="002915FE" w:rsidRPr="00C24ACA" w:rsidRDefault="002915FE" w:rsidP="005C3575">
            <w:pPr>
              <w:jc w:val="right"/>
              <w:rPr>
                <w:rFonts w:eastAsiaTheme="minorEastAsia"/>
                <w:szCs w:val="21"/>
              </w:rPr>
            </w:pPr>
            <w:r w:rsidRPr="00C24ACA">
              <w:rPr>
                <w:rFonts w:eastAsiaTheme="minorEastAsia"/>
                <w:szCs w:val="21"/>
              </w:rPr>
              <w:t>118,040.24</w:t>
            </w:r>
          </w:p>
        </w:tc>
        <w:tc>
          <w:tcPr>
            <w:tcW w:w="2237" w:type="dxa"/>
            <w:vAlign w:val="center"/>
          </w:tcPr>
          <w:p w:rsidR="002915FE" w:rsidRPr="00C24ACA" w:rsidRDefault="002915FE" w:rsidP="005C3575">
            <w:pPr>
              <w:jc w:val="right"/>
              <w:rPr>
                <w:rFonts w:eastAsiaTheme="minorEastAsia"/>
                <w:szCs w:val="21"/>
              </w:rPr>
            </w:pPr>
            <w:r w:rsidRPr="00C24ACA">
              <w:rPr>
                <w:rFonts w:eastAsiaTheme="minorEastAsia"/>
                <w:szCs w:val="21"/>
              </w:rPr>
              <w:t>114,924.71</w:t>
            </w:r>
          </w:p>
        </w:tc>
      </w:tr>
    </w:tbl>
    <w:p w:rsidR="0057216B" w:rsidRPr="00C24ACA" w:rsidRDefault="0057216B" w:rsidP="002915FE">
      <w:pPr>
        <w:adjustRightInd w:val="0"/>
        <w:snapToGrid w:val="0"/>
        <w:spacing w:line="288" w:lineRule="auto"/>
        <w:jc w:val="right"/>
        <w:rPr>
          <w:rFonts w:eastAsiaTheme="minorEastAsia"/>
          <w:color w:val="000000"/>
          <w:szCs w:val="21"/>
        </w:rPr>
      </w:pPr>
      <w:r w:rsidRPr="00C24ACA">
        <w:rPr>
          <w:rFonts w:eastAsiaTheme="minorEastAsia"/>
          <w:color w:val="000000"/>
          <w:szCs w:val="21"/>
        </w:rPr>
        <w:t>单位：人民币元</w:t>
      </w:r>
    </w:p>
    <w:tbl>
      <w:tblPr>
        <w:tblW w:w="94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57216B" w:rsidRPr="00C24ACA" w:rsidTr="005C3575">
        <w:tc>
          <w:tcPr>
            <w:tcW w:w="9415" w:type="dxa"/>
            <w:gridSpan w:val="4"/>
          </w:tcPr>
          <w:p w:rsidR="002915FE" w:rsidRPr="00C24ACA" w:rsidRDefault="002915FE" w:rsidP="002915FE">
            <w:pPr>
              <w:jc w:val="center"/>
              <w:rPr>
                <w:rFonts w:eastAsiaTheme="minorEastAsia"/>
                <w:color w:val="000000"/>
                <w:szCs w:val="21"/>
              </w:rPr>
            </w:pPr>
            <w:r w:rsidRPr="00C24ACA">
              <w:rPr>
                <w:rFonts w:eastAsiaTheme="minorEastAsia"/>
                <w:color w:val="000000"/>
                <w:szCs w:val="21"/>
              </w:rPr>
              <w:t>易方达中证浙江新动能</w:t>
            </w:r>
            <w:r w:rsidRPr="00C24ACA">
              <w:rPr>
                <w:rFonts w:eastAsiaTheme="minorEastAsia"/>
                <w:color w:val="000000"/>
                <w:szCs w:val="21"/>
              </w:rPr>
              <w:t>ETF</w:t>
            </w:r>
            <w:r w:rsidRPr="00C24ACA">
              <w:rPr>
                <w:rFonts w:eastAsiaTheme="minorEastAsia"/>
                <w:color w:val="000000"/>
                <w:szCs w:val="21"/>
              </w:rPr>
              <w:t>联接（</w:t>
            </w:r>
            <w:r w:rsidRPr="00C24ACA">
              <w:rPr>
                <w:rFonts w:eastAsiaTheme="minorEastAsia"/>
                <w:color w:val="000000"/>
                <w:szCs w:val="21"/>
              </w:rPr>
              <w:t>QDII</w:t>
            </w:r>
            <w:r w:rsidRPr="00C24ACA">
              <w:rPr>
                <w:rFonts w:eastAsiaTheme="minorEastAsia"/>
                <w:color w:val="000000"/>
                <w:szCs w:val="21"/>
              </w:rPr>
              <w:t>）</w:t>
            </w:r>
            <w:r w:rsidRPr="00C24ACA">
              <w:rPr>
                <w:rFonts w:eastAsiaTheme="minorEastAsia"/>
                <w:color w:val="000000"/>
                <w:szCs w:val="21"/>
              </w:rPr>
              <w:t>C</w:t>
            </w:r>
          </w:p>
        </w:tc>
      </w:tr>
      <w:tr w:rsidR="0057216B" w:rsidRPr="00C24ACA" w:rsidTr="00DC4F67">
        <w:tc>
          <w:tcPr>
            <w:tcW w:w="2706" w:type="dxa"/>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项目</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已实现部分</w:t>
            </w:r>
          </w:p>
        </w:tc>
        <w:tc>
          <w:tcPr>
            <w:tcW w:w="2236"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未实现部分</w:t>
            </w:r>
          </w:p>
        </w:tc>
        <w:tc>
          <w:tcPr>
            <w:tcW w:w="2237" w:type="dxa"/>
            <w:vAlign w:val="center"/>
          </w:tcPr>
          <w:p w:rsidR="0057216B" w:rsidRPr="00C24ACA" w:rsidRDefault="0057216B" w:rsidP="005C3575">
            <w:pPr>
              <w:jc w:val="center"/>
              <w:rPr>
                <w:rFonts w:eastAsiaTheme="minorEastAsia"/>
                <w:color w:val="000000"/>
                <w:szCs w:val="21"/>
              </w:rPr>
            </w:pPr>
            <w:r w:rsidRPr="00C24ACA">
              <w:rPr>
                <w:rFonts w:eastAsiaTheme="minorEastAsia"/>
                <w:color w:val="000000"/>
                <w:szCs w:val="21"/>
              </w:rPr>
              <w:t>未分配利润合计</w:t>
            </w:r>
          </w:p>
        </w:tc>
      </w:tr>
      <w:tr w:rsidR="0057216B" w:rsidRPr="00C24ACA" w:rsidTr="00DC4F67">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基金合同生效日</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11,110.81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101,430.73</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112,541.54</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本期基金份额交易产生的变动数</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-13,769.01</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-47,010.75</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-60,779.76</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其中：基金申购款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-12.55</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387.72</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375.17</w:t>
            </w:r>
          </w:p>
        </w:tc>
      </w:tr>
      <w:tr w:rsidR="0057216B" w:rsidRPr="00C24ACA" w:rsidTr="0057216B">
        <w:tc>
          <w:tcPr>
            <w:tcW w:w="2706" w:type="dxa"/>
            <w:vAlign w:val="center"/>
          </w:tcPr>
          <w:p w:rsidR="0057216B" w:rsidRPr="00C24ACA" w:rsidRDefault="0057216B" w:rsidP="008134C7">
            <w:pPr>
              <w:ind w:firstLineChars="300" w:firstLine="630"/>
              <w:rPr>
                <w:rFonts w:eastAsiaTheme="minorEastAsia"/>
                <w:color w:val="000000"/>
                <w:szCs w:val="21"/>
              </w:rPr>
            </w:pPr>
            <w:r w:rsidRPr="00C24ACA">
              <w:rPr>
                <w:rFonts w:eastAsiaTheme="minorEastAsia"/>
                <w:color w:val="000000"/>
                <w:szCs w:val="21"/>
              </w:rPr>
              <w:t>基金赎回款</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-13,756.46</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-47,398.47</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-61,154.93</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本期已分配利润</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w:t>
            </w:r>
          </w:p>
        </w:tc>
      </w:tr>
      <w:tr w:rsidR="0057216B" w:rsidRPr="00C24ACA" w:rsidTr="0057216B">
        <w:tc>
          <w:tcPr>
            <w:tcW w:w="2706" w:type="dxa"/>
            <w:vAlign w:val="center"/>
          </w:tcPr>
          <w:p w:rsidR="0057216B" w:rsidRPr="00C24ACA" w:rsidRDefault="0057216B" w:rsidP="005C3575">
            <w:pPr>
              <w:rPr>
                <w:rFonts w:eastAsiaTheme="minorEastAsia"/>
                <w:color w:val="000000"/>
                <w:szCs w:val="21"/>
              </w:rPr>
            </w:pPr>
            <w:r w:rsidRPr="00C24ACA">
              <w:rPr>
                <w:rFonts w:eastAsiaTheme="minorEastAsia"/>
                <w:color w:val="000000"/>
                <w:szCs w:val="21"/>
              </w:rPr>
              <w:t>本期末</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-2,658.20</w:t>
            </w:r>
          </w:p>
        </w:tc>
        <w:tc>
          <w:tcPr>
            <w:tcW w:w="2236" w:type="dxa"/>
            <w:vAlign w:val="center"/>
          </w:tcPr>
          <w:p w:rsidR="0057216B" w:rsidRPr="00C24ACA" w:rsidRDefault="0057216B" w:rsidP="005C3575">
            <w:pPr>
              <w:jc w:val="right"/>
              <w:rPr>
                <w:rFonts w:eastAsiaTheme="minorEastAsia"/>
                <w:szCs w:val="21"/>
              </w:rPr>
            </w:pPr>
            <w:r w:rsidRPr="00C24ACA">
              <w:rPr>
                <w:rFonts w:eastAsiaTheme="minorEastAsia"/>
                <w:szCs w:val="21"/>
              </w:rPr>
              <w:t>54,419.98</w:t>
            </w:r>
          </w:p>
        </w:tc>
        <w:tc>
          <w:tcPr>
            <w:tcW w:w="2237" w:type="dxa"/>
            <w:vAlign w:val="center"/>
          </w:tcPr>
          <w:p w:rsidR="0057216B" w:rsidRPr="00C24ACA" w:rsidRDefault="0057216B" w:rsidP="005C3575">
            <w:pPr>
              <w:jc w:val="right"/>
              <w:rPr>
                <w:rFonts w:eastAsiaTheme="minorEastAsia"/>
                <w:szCs w:val="21"/>
              </w:rPr>
            </w:pPr>
            <w:r w:rsidRPr="00C24ACA">
              <w:rPr>
                <w:rFonts w:eastAsiaTheme="minorEastAsia"/>
                <w:szCs w:val="21"/>
              </w:rPr>
              <w:t>51,761.78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6.4.7.11</w:t>
      </w:r>
      <w:r w:rsidRPr="00C24ACA">
        <w:rPr>
          <w:rFonts w:eastAsiaTheme="minorEastAsia"/>
          <w:b/>
          <w:color w:val="000000"/>
          <w:szCs w:val="21"/>
        </w:rPr>
        <w:t>存款利息收入</w:t>
      </w:r>
    </w:p>
    <w:p w:rsidR="008A5A5D" w:rsidRPr="00C24ACA" w:rsidRDefault="008A5A5D" w:rsidP="002116B9">
      <w:pPr>
        <w:wordWrap w:val="0"/>
        <w:spacing w:line="360" w:lineRule="auto"/>
        <w:jc w:val="right"/>
        <w:rPr>
          <w:rFonts w:eastAsiaTheme="minorEastAsia"/>
          <w:color w:val="000000"/>
          <w:szCs w:val="21"/>
        </w:rPr>
      </w:pPr>
      <w:r w:rsidRPr="00C24ACA">
        <w:rPr>
          <w:rFonts w:eastAsiaTheme="minor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8A5A5D" w:rsidRPr="00C24ACA" w:rsidTr="000869C6">
        <w:tc>
          <w:tcPr>
            <w:tcW w:w="3828"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86" w:type="dxa"/>
            <w:vAlign w:val="center"/>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jc w:val="center"/>
              <w:rPr>
                <w:rFonts w:eastAsiaTheme="minorEastAsia"/>
                <w:b/>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活期存款利息收入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74,404.55</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定期存款利息收入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其他存款利息收入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结算备付金利息收入</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1,247.94</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其他</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1.10</w:t>
            </w:r>
          </w:p>
        </w:tc>
      </w:tr>
      <w:tr w:rsidR="008A5A5D" w:rsidRPr="00C24ACA" w:rsidTr="000869C6">
        <w:tc>
          <w:tcPr>
            <w:tcW w:w="3828" w:type="dxa"/>
            <w:vAlign w:val="center"/>
          </w:tcPr>
          <w:p w:rsidR="008A5A5D" w:rsidRPr="00C24ACA" w:rsidRDefault="008A5A5D" w:rsidP="004A4847">
            <w:pPr>
              <w:rPr>
                <w:rFonts w:eastAsiaTheme="minorEastAsia"/>
                <w:szCs w:val="21"/>
              </w:rPr>
            </w:pPr>
            <w:r w:rsidRPr="00C24ACA">
              <w:rPr>
                <w:rFonts w:eastAsiaTheme="minorEastAsia"/>
                <w:szCs w:val="21"/>
              </w:rPr>
              <w:t>合计</w:t>
            </w:r>
          </w:p>
        </w:tc>
        <w:tc>
          <w:tcPr>
            <w:tcW w:w="5386" w:type="dxa"/>
            <w:vAlign w:val="bottom"/>
          </w:tcPr>
          <w:p w:rsidR="008A5A5D" w:rsidRPr="00C24ACA" w:rsidRDefault="008A5A5D" w:rsidP="004A4847">
            <w:pPr>
              <w:jc w:val="right"/>
              <w:rPr>
                <w:rFonts w:eastAsiaTheme="minorEastAsia"/>
                <w:szCs w:val="21"/>
              </w:rPr>
            </w:pPr>
            <w:r w:rsidRPr="00C24ACA">
              <w:rPr>
                <w:rFonts w:eastAsiaTheme="minorEastAsia"/>
                <w:szCs w:val="21"/>
              </w:rPr>
              <w:t>75,653.59</w:t>
            </w:r>
          </w:p>
        </w:tc>
      </w:tr>
    </w:tbl>
    <w:p w:rsidR="004D0FA5" w:rsidRPr="00C24ACA" w:rsidRDefault="004D0FA5" w:rsidP="004D0FA5">
      <w:pPr>
        <w:spacing w:line="360" w:lineRule="auto"/>
        <w:rPr>
          <w:rFonts w:eastAsiaTheme="minorEastAsia"/>
          <w:b/>
          <w:bCs/>
          <w:color w:val="000000"/>
          <w:szCs w:val="21"/>
        </w:rPr>
      </w:pPr>
      <w:r w:rsidRPr="00C24ACA">
        <w:rPr>
          <w:rFonts w:eastAsiaTheme="minorEastAsia"/>
          <w:b/>
          <w:bCs/>
          <w:color w:val="000000"/>
          <w:kern w:val="0"/>
          <w:szCs w:val="21"/>
        </w:rPr>
        <w:t xml:space="preserve">6.4.7.12 </w:t>
      </w:r>
      <w:r w:rsidR="00601974" w:rsidRPr="00C24ACA">
        <w:rPr>
          <w:rFonts w:eastAsiaTheme="minorEastAsia"/>
          <w:b/>
          <w:color w:val="000000"/>
          <w:szCs w:val="21"/>
        </w:rPr>
        <w:t>股票投资收益</w:t>
      </w:r>
      <w:r w:rsidRPr="00C24ACA">
        <w:rPr>
          <w:rFonts w:eastAsiaTheme="minorEastAsia"/>
          <w:b/>
          <w:color w:val="000000"/>
          <w:szCs w:val="21"/>
        </w:rPr>
        <w:t>——</w:t>
      </w:r>
      <w:r w:rsidRPr="00C24ACA">
        <w:rPr>
          <w:rFonts w:eastAsiaTheme="minorEastAsia"/>
          <w:b/>
          <w:color w:val="000000"/>
          <w:szCs w:val="21"/>
        </w:rPr>
        <w:t>买卖股票差价收入</w:t>
      </w:r>
    </w:p>
    <w:p w:rsidR="004D0FA5" w:rsidRPr="00C24ACA" w:rsidRDefault="004D0FA5"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本基金本报告期无股票投资收益。</w:t>
      </w:r>
    </w:p>
    <w:p w:rsidR="00D85D98" w:rsidRPr="00C24ACA" w:rsidRDefault="00D85D98"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 xml:space="preserve">6.4.7.13 </w:t>
      </w:r>
      <w:r w:rsidRPr="00C24ACA">
        <w:rPr>
          <w:rFonts w:eastAsiaTheme="minorEastAsia"/>
          <w:b/>
          <w:color w:val="000000"/>
          <w:szCs w:val="21"/>
        </w:rPr>
        <w:t>基金投资收益</w:t>
      </w:r>
    </w:p>
    <w:p w:rsidR="00D85D98" w:rsidRPr="00C24ACA" w:rsidRDefault="00D85D98" w:rsidP="00D85D98">
      <w:pPr>
        <w:jc w:val="right"/>
        <w:rPr>
          <w:rFonts w:eastAsiaTheme="minorEastAsia"/>
          <w:color w:val="000000"/>
          <w:szCs w:val="21"/>
        </w:rPr>
      </w:pPr>
      <w:r w:rsidRPr="00C24ACA">
        <w:rPr>
          <w:rFonts w:eastAsiaTheme="minorEastAsia"/>
          <w:color w:val="000000"/>
          <w:szCs w:val="21"/>
        </w:rPr>
        <w:t>单位：人民币元</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D85D98" w:rsidRPr="00C24ACA" w:rsidTr="00862636">
        <w:trPr>
          <w:trHeight w:val="315"/>
        </w:trPr>
        <w:tc>
          <w:tcPr>
            <w:tcW w:w="3836" w:type="dxa"/>
            <w:vAlign w:val="center"/>
          </w:tcPr>
          <w:p w:rsidR="00D85D98" w:rsidRPr="00C24ACA" w:rsidRDefault="00D85D98" w:rsidP="001A0AD5">
            <w:pPr>
              <w:jc w:val="center"/>
              <w:rPr>
                <w:rFonts w:eastAsiaTheme="minorEastAsia"/>
                <w:color w:val="000000"/>
                <w:szCs w:val="21"/>
              </w:rPr>
            </w:pPr>
            <w:r w:rsidRPr="00C24ACA">
              <w:rPr>
                <w:rFonts w:eastAsiaTheme="minorEastAsia"/>
                <w:color w:val="000000"/>
                <w:szCs w:val="21"/>
              </w:rPr>
              <w:t>项目</w:t>
            </w:r>
          </w:p>
        </w:tc>
        <w:tc>
          <w:tcPr>
            <w:tcW w:w="5533"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本期</w:t>
            </w:r>
          </w:p>
          <w:p w:rsidR="00D85D98" w:rsidRPr="00C24ACA" w:rsidRDefault="00D85D98" w:rsidP="00A97A4E">
            <w:pPr>
              <w:jc w:val="center"/>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卖出</w:t>
            </w:r>
            <w:r w:rsidRPr="00C24ACA">
              <w:rPr>
                <w:rFonts w:eastAsiaTheme="minorEastAsia"/>
                <w:color w:val="000000"/>
                <w:szCs w:val="21"/>
              </w:rPr>
              <w:t>/</w:t>
            </w:r>
            <w:r w:rsidRPr="00C24ACA">
              <w:rPr>
                <w:rFonts w:eastAsiaTheme="minorEastAsia"/>
                <w:color w:val="000000"/>
                <w:szCs w:val="21"/>
              </w:rPr>
              <w:t>赎回基金成交总额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2,005,852.93</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减：卖出</w:t>
            </w:r>
            <w:r w:rsidRPr="00C24ACA">
              <w:rPr>
                <w:rFonts w:eastAsiaTheme="minorEastAsia"/>
                <w:color w:val="000000"/>
                <w:szCs w:val="21"/>
              </w:rPr>
              <w:t>/</w:t>
            </w:r>
            <w:r w:rsidRPr="00C24ACA">
              <w:rPr>
                <w:rFonts w:eastAsiaTheme="minorEastAsia"/>
                <w:color w:val="000000"/>
                <w:szCs w:val="21"/>
              </w:rPr>
              <w:t>赎回基金成本总额</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1,984,465.04</w:t>
            </w:r>
          </w:p>
        </w:tc>
      </w:tr>
      <w:tr w:rsidR="00D85D98" w:rsidRPr="00C24ACA" w:rsidTr="00862636">
        <w:trPr>
          <w:trHeight w:val="315"/>
        </w:trPr>
        <w:tc>
          <w:tcPr>
            <w:tcW w:w="3836" w:type="dxa"/>
            <w:vAlign w:val="center"/>
          </w:tcPr>
          <w:p w:rsidR="00D85D98" w:rsidRPr="00C24ACA" w:rsidRDefault="00D85D98" w:rsidP="00A97A4E">
            <w:pPr>
              <w:jc w:val="center"/>
              <w:rPr>
                <w:rFonts w:eastAsiaTheme="minorEastAsia"/>
                <w:color w:val="000000"/>
                <w:szCs w:val="21"/>
              </w:rPr>
            </w:pPr>
            <w:r w:rsidRPr="00C24ACA">
              <w:rPr>
                <w:rFonts w:eastAsiaTheme="minorEastAsia"/>
                <w:color w:val="000000"/>
                <w:szCs w:val="21"/>
              </w:rPr>
              <w:t>基金投资收益</w:t>
            </w:r>
          </w:p>
        </w:tc>
        <w:tc>
          <w:tcPr>
            <w:tcW w:w="5533" w:type="dxa"/>
            <w:vAlign w:val="bottom"/>
          </w:tcPr>
          <w:p w:rsidR="00D85D98" w:rsidRPr="00C24ACA" w:rsidRDefault="00D85D98" w:rsidP="00A97A4E">
            <w:pPr>
              <w:jc w:val="right"/>
              <w:rPr>
                <w:rFonts w:eastAsiaTheme="minorEastAsia"/>
                <w:szCs w:val="21"/>
              </w:rPr>
            </w:pPr>
            <w:r w:rsidRPr="00C24ACA">
              <w:rPr>
                <w:rFonts w:eastAsiaTheme="minorEastAsia"/>
                <w:szCs w:val="21"/>
              </w:rPr>
              <w:t>21,387.89</w:t>
            </w:r>
          </w:p>
        </w:tc>
      </w:tr>
    </w:tbl>
    <w:p w:rsidR="00005C09" w:rsidRPr="00C24ACA" w:rsidRDefault="00005C09" w:rsidP="00005C09">
      <w:pPr>
        <w:tabs>
          <w:tab w:val="left" w:pos="426"/>
        </w:tabs>
        <w:spacing w:line="360" w:lineRule="auto"/>
        <w:jc w:val="left"/>
        <w:rPr>
          <w:rFonts w:eastAsiaTheme="minorEastAsia"/>
          <w:kern w:val="0"/>
          <w:szCs w:val="21"/>
        </w:rPr>
      </w:pPr>
    </w:p>
    <w:p w:rsidR="00005C09" w:rsidRPr="00C24ACA" w:rsidRDefault="00005C09" w:rsidP="00005C09">
      <w:pPr>
        <w:spacing w:line="360" w:lineRule="auto"/>
        <w:rPr>
          <w:rFonts w:eastAsiaTheme="minorEastAsia"/>
          <w:b/>
          <w:color w:val="000000" w:themeColor="text1"/>
          <w:szCs w:val="21"/>
        </w:rPr>
      </w:pPr>
      <w:r w:rsidRPr="00C24ACA">
        <w:rPr>
          <w:rFonts w:eastAsiaTheme="minorEastAsia"/>
          <w:b/>
          <w:bCs/>
          <w:color w:val="000000" w:themeColor="text1"/>
          <w:kern w:val="0"/>
          <w:szCs w:val="21"/>
        </w:rPr>
        <w:t>6.4.7.14</w:t>
      </w:r>
      <w:r w:rsidRPr="00C24ACA">
        <w:rPr>
          <w:rFonts w:eastAsiaTheme="minorEastAsia"/>
          <w:b/>
          <w:color w:val="000000" w:themeColor="text1"/>
          <w:szCs w:val="21"/>
        </w:rPr>
        <w:t>债券投资收益</w:t>
      </w:r>
      <w:r w:rsidRPr="00C24ACA">
        <w:rPr>
          <w:rFonts w:eastAsiaTheme="minorEastAsia"/>
          <w:b/>
          <w:color w:val="000000" w:themeColor="text1"/>
          <w:szCs w:val="21"/>
        </w:rPr>
        <w:t>——</w:t>
      </w:r>
      <w:r w:rsidRPr="00C24ACA">
        <w:rPr>
          <w:rFonts w:eastAsiaTheme="minorEastAsia"/>
          <w:b/>
          <w:color w:val="000000" w:themeColor="text1"/>
          <w:szCs w:val="21"/>
        </w:rPr>
        <w:t>买卖债券差价收入</w:t>
      </w:r>
    </w:p>
    <w:p w:rsidR="00005C09" w:rsidRPr="008707EB" w:rsidRDefault="00005C0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本基金本报告期无债券投资收益。</w:t>
      </w:r>
    </w:p>
    <w:p w:rsidR="00005C09" w:rsidRPr="00C24ACA" w:rsidRDefault="00005C09" w:rsidP="00005C09">
      <w:pPr>
        <w:tabs>
          <w:tab w:val="left" w:pos="426"/>
        </w:tabs>
        <w:spacing w:line="360" w:lineRule="auto"/>
        <w:jc w:val="left"/>
        <w:rPr>
          <w:rFonts w:eastAsiaTheme="minorEastAsia"/>
          <w:kern w:val="0"/>
          <w:szCs w:val="21"/>
        </w:rPr>
      </w:pP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6.4.7.15</w:t>
      </w:r>
      <w:r w:rsidRPr="00C24ACA">
        <w:rPr>
          <w:rFonts w:eastAsiaTheme="minorEastAsia"/>
          <w:b/>
          <w:color w:val="000000"/>
          <w:szCs w:val="21"/>
        </w:rPr>
        <w:t>衍生工具收益</w:t>
      </w:r>
    </w:p>
    <w:p w:rsidR="0016435A" w:rsidRDefault="0016435A" w:rsidP="008707EB">
      <w:pPr>
        <w:tabs>
          <w:tab w:val="left" w:pos="426"/>
        </w:tabs>
        <w:spacing w:line="360" w:lineRule="auto"/>
        <w:ind w:firstLineChars="200" w:firstLine="420"/>
        <w:rPr>
          <w:rFonts w:eastAsiaTheme="minorEastAsia"/>
          <w:kern w:val="0"/>
          <w:szCs w:val="21"/>
        </w:rPr>
      </w:pPr>
      <w:r>
        <w:rPr>
          <w:rFonts w:eastAsiaTheme="minorEastAsia"/>
          <w:kern w:val="0"/>
          <w:szCs w:val="21"/>
        </w:rPr>
        <w:t>本基金本报告期无衍生工具收益。</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6.4.7.16</w:t>
      </w:r>
      <w:r w:rsidRPr="00C24ACA">
        <w:rPr>
          <w:rFonts w:eastAsiaTheme="minorEastAsia"/>
          <w:b/>
          <w:color w:val="000000"/>
          <w:szCs w:val="21"/>
        </w:rPr>
        <w:t>股利收益</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本基金本报告期无股利收益。</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6.4.7.17</w:t>
      </w:r>
      <w:r w:rsidRPr="00C24ACA">
        <w:rPr>
          <w:rFonts w:eastAsiaTheme="minorEastAsia"/>
          <w:b/>
          <w:color w:val="000000"/>
          <w:szCs w:val="21"/>
        </w:rPr>
        <w:t>公允价值变动收益</w:t>
      </w:r>
    </w:p>
    <w:p w:rsidR="00107BA0" w:rsidRDefault="00107BA0" w:rsidP="00107BA0">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07BA0" w:rsidTr="00DC4F67">
        <w:trPr>
          <w:trHeight w:val="285"/>
        </w:trPr>
        <w:tc>
          <w:tcPr>
            <w:tcW w:w="3794" w:type="dxa"/>
            <w:vAlign w:val="center"/>
            <w:hideMark/>
          </w:tcPr>
          <w:p w:rsidR="00107BA0" w:rsidRDefault="00107BA0">
            <w:pPr>
              <w:jc w:val="center"/>
              <w:rPr>
                <w:szCs w:val="21"/>
              </w:rPr>
            </w:pPr>
            <w:r>
              <w:rPr>
                <w:rFonts w:hint="eastAsia"/>
                <w:kern w:val="0"/>
                <w:szCs w:val="21"/>
              </w:rPr>
              <w:t>项目名称</w:t>
            </w:r>
          </w:p>
        </w:tc>
        <w:tc>
          <w:tcPr>
            <w:tcW w:w="5528" w:type="dxa"/>
            <w:vAlign w:val="center"/>
            <w:hideMark/>
          </w:tcPr>
          <w:p w:rsidR="00107BA0" w:rsidRDefault="00107BA0">
            <w:pPr>
              <w:jc w:val="center"/>
              <w:rPr>
                <w:szCs w:val="21"/>
              </w:rPr>
            </w:pPr>
            <w:r>
              <w:rPr>
                <w:rFonts w:hint="eastAsia"/>
                <w:szCs w:val="21"/>
              </w:rPr>
              <w:t>本期</w:t>
            </w:r>
          </w:p>
          <w:p w:rsidR="00107BA0" w:rsidRDefault="00107BA0">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24</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07BA0" w:rsidRDefault="00107BA0">
            <w:pPr>
              <w:jc w:val="right"/>
              <w:rPr>
                <w:szCs w:val="21"/>
              </w:rPr>
            </w:pPr>
            <w:r>
              <w:rPr>
                <w:szCs w:val="21"/>
              </w:rPr>
              <w:t>228,742.54</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股票投资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szCs w:val="21"/>
              </w:rPr>
            </w:pPr>
            <w:r>
              <w:rPr>
                <w:kern w:val="0"/>
                <w:szCs w:val="21"/>
              </w:rPr>
              <w:t>——</w:t>
            </w:r>
            <w:r>
              <w:rPr>
                <w:rFonts w:hint="eastAsia"/>
                <w:kern w:val="0"/>
                <w:szCs w:val="21"/>
              </w:rPr>
              <w:t>债券投资</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07BA0" w:rsidRDefault="00107BA0">
            <w:pPr>
              <w:jc w:val="right"/>
              <w:rPr>
                <w:kern w:val="0"/>
                <w:szCs w:val="21"/>
              </w:rPr>
            </w:pPr>
            <w:r>
              <w:rPr>
                <w:kern w:val="0"/>
                <w:szCs w:val="21"/>
              </w:rPr>
              <w:t>228,742.54</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07BA0" w:rsidRDefault="00107BA0">
            <w:pPr>
              <w:widowControl/>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07BA0" w:rsidRDefault="00107BA0">
            <w:pPr>
              <w:widowControl/>
              <w:jc w:val="right"/>
              <w:rPr>
                <w:kern w:val="0"/>
                <w:szCs w:val="21"/>
              </w:rPr>
            </w:pPr>
            <w:r>
              <w:rPr>
                <w:rFonts w:eastAsiaTheme="minorEastAsia"/>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07BA0" w:rsidRDefault="00107BA0">
            <w:pPr>
              <w:jc w:val="right"/>
              <w:rPr>
                <w:kern w:val="0"/>
                <w:szCs w:val="21"/>
              </w:rPr>
            </w:pPr>
            <w:r>
              <w:rPr>
                <w:kern w:val="0"/>
                <w:szCs w:val="21"/>
              </w:rPr>
              <w:t>-</w:t>
            </w:r>
          </w:p>
        </w:tc>
      </w:tr>
      <w:tr w:rsidR="00107BA0" w:rsidTr="00DC4F67">
        <w:trPr>
          <w:trHeight w:val="285"/>
        </w:trPr>
        <w:tc>
          <w:tcPr>
            <w:tcW w:w="3794" w:type="dxa"/>
            <w:vAlign w:val="center"/>
            <w:hideMark/>
          </w:tcPr>
          <w:p w:rsidR="00107BA0" w:rsidRDefault="00107BA0">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07BA0" w:rsidRDefault="00107BA0">
            <w:pPr>
              <w:jc w:val="right"/>
              <w:rPr>
                <w:kern w:val="0"/>
                <w:szCs w:val="21"/>
              </w:rPr>
            </w:pPr>
            <w:r>
              <w:rPr>
                <w:kern w:val="0"/>
                <w:szCs w:val="21"/>
              </w:rPr>
              <w:t>-</w:t>
            </w:r>
          </w:p>
        </w:tc>
      </w:tr>
      <w:tr w:rsidR="000265E6">
        <w:tc>
          <w:tcPr>
            <w:tcW w:w="3794" w:type="dxa"/>
            <w:vAlign w:val="center"/>
          </w:tcPr>
          <w:p w:rsidR="000265E6" w:rsidRDefault="004D56B3">
            <w:pPr>
              <w:jc w:val="left"/>
            </w:pPr>
            <w:r>
              <w:rPr>
                <w:kern w:val="0"/>
                <w:szCs w:val="21"/>
              </w:rPr>
              <w:t>——</w:t>
            </w:r>
            <w:r>
              <w:rPr>
                <w:kern w:val="0"/>
                <w:szCs w:val="21"/>
              </w:rPr>
              <w:t>期货投资</w:t>
            </w:r>
          </w:p>
        </w:tc>
        <w:tc>
          <w:tcPr>
            <w:tcW w:w="5529" w:type="dxa"/>
            <w:vAlign w:val="center"/>
          </w:tcPr>
          <w:p w:rsidR="000265E6" w:rsidRDefault="004D56B3">
            <w:pPr>
              <w:jc w:val="right"/>
            </w:pPr>
            <w:r>
              <w:rPr>
                <w:kern w:val="0"/>
                <w:szCs w:val="21"/>
              </w:rPr>
              <w:t>-</w:t>
            </w:r>
          </w:p>
        </w:tc>
      </w:tr>
      <w:tr w:rsidR="000265E6">
        <w:tc>
          <w:tcPr>
            <w:tcW w:w="3794" w:type="dxa"/>
            <w:vAlign w:val="center"/>
          </w:tcPr>
          <w:p w:rsidR="000265E6" w:rsidRDefault="004D56B3">
            <w:pPr>
              <w:jc w:val="left"/>
            </w:pPr>
            <w:r>
              <w:rPr>
                <w:kern w:val="0"/>
                <w:szCs w:val="21"/>
              </w:rPr>
              <w:t>——</w:t>
            </w:r>
            <w:r>
              <w:rPr>
                <w:kern w:val="0"/>
                <w:szCs w:val="21"/>
              </w:rPr>
              <w:t>期权投资</w:t>
            </w:r>
          </w:p>
        </w:tc>
        <w:tc>
          <w:tcPr>
            <w:tcW w:w="5529" w:type="dxa"/>
            <w:vAlign w:val="center"/>
          </w:tcPr>
          <w:p w:rsidR="000265E6" w:rsidRDefault="004D56B3">
            <w:pPr>
              <w:jc w:val="right"/>
            </w:pPr>
            <w:r>
              <w:rPr>
                <w:kern w:val="0"/>
                <w:szCs w:val="21"/>
              </w:rPr>
              <w:t>-</w:t>
            </w:r>
          </w:p>
        </w:tc>
      </w:tr>
      <w:tr w:rsidR="00107BA0" w:rsidTr="00DC4F67">
        <w:trPr>
          <w:trHeight w:val="285"/>
        </w:trPr>
        <w:tc>
          <w:tcPr>
            <w:tcW w:w="3794" w:type="dxa"/>
            <w:vAlign w:val="center"/>
            <w:hideMark/>
          </w:tcPr>
          <w:p w:rsidR="00107BA0" w:rsidRDefault="00107BA0">
            <w:pPr>
              <w:widowControl/>
              <w:rPr>
                <w:szCs w:val="21"/>
              </w:rPr>
            </w:pPr>
            <w:r>
              <w:rPr>
                <w:kern w:val="0"/>
                <w:szCs w:val="21"/>
              </w:rPr>
              <w:t>3.</w:t>
            </w:r>
            <w:r>
              <w:rPr>
                <w:rFonts w:hint="eastAsia"/>
                <w:kern w:val="0"/>
                <w:szCs w:val="21"/>
              </w:rPr>
              <w:t>其他</w:t>
            </w:r>
          </w:p>
        </w:tc>
        <w:tc>
          <w:tcPr>
            <w:tcW w:w="5528" w:type="dxa"/>
            <w:vAlign w:val="center"/>
            <w:hideMark/>
          </w:tcPr>
          <w:p w:rsidR="00107BA0" w:rsidRDefault="00107BA0">
            <w:pPr>
              <w:jc w:val="right"/>
              <w:rPr>
                <w:szCs w:val="21"/>
              </w:rPr>
            </w:pPr>
            <w:r>
              <w:rPr>
                <w:szCs w:val="21"/>
              </w:rPr>
              <w:t>-</w:t>
            </w:r>
          </w:p>
        </w:tc>
      </w:tr>
      <w:tr w:rsidR="00107BA0" w:rsidTr="00DC4F67">
        <w:trPr>
          <w:trHeight w:val="285"/>
        </w:trPr>
        <w:tc>
          <w:tcPr>
            <w:tcW w:w="3794" w:type="dxa"/>
            <w:vAlign w:val="center"/>
            <w:hideMark/>
          </w:tcPr>
          <w:p w:rsidR="00107BA0" w:rsidRDefault="00107BA0">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07BA0" w:rsidRDefault="00107BA0">
            <w:pPr>
              <w:jc w:val="right"/>
              <w:rPr>
                <w:rFonts w:eastAsiaTheme="minorEastAsia"/>
                <w:szCs w:val="21"/>
              </w:rPr>
            </w:pPr>
            <w:r>
              <w:rPr>
                <w:rFonts w:eastAsiaTheme="minorEastAsia"/>
                <w:szCs w:val="21"/>
              </w:rPr>
              <w:t>-</w:t>
            </w:r>
          </w:p>
        </w:tc>
      </w:tr>
      <w:tr w:rsidR="00107BA0" w:rsidTr="00DC4F67">
        <w:trPr>
          <w:trHeight w:val="285"/>
        </w:trPr>
        <w:tc>
          <w:tcPr>
            <w:tcW w:w="3794" w:type="dxa"/>
            <w:vAlign w:val="center"/>
            <w:hideMark/>
          </w:tcPr>
          <w:p w:rsidR="00107BA0" w:rsidRDefault="00107BA0">
            <w:pPr>
              <w:widowControl/>
              <w:rPr>
                <w:szCs w:val="21"/>
              </w:rPr>
            </w:pPr>
            <w:r>
              <w:rPr>
                <w:rFonts w:hint="eastAsia"/>
                <w:kern w:val="0"/>
                <w:szCs w:val="21"/>
              </w:rPr>
              <w:t>合计</w:t>
            </w:r>
          </w:p>
        </w:tc>
        <w:tc>
          <w:tcPr>
            <w:tcW w:w="5528" w:type="dxa"/>
            <w:vAlign w:val="center"/>
            <w:hideMark/>
          </w:tcPr>
          <w:p w:rsidR="00107BA0" w:rsidRDefault="00107BA0">
            <w:pPr>
              <w:jc w:val="right"/>
              <w:rPr>
                <w:szCs w:val="21"/>
              </w:rPr>
            </w:pPr>
            <w:r>
              <w:rPr>
                <w:szCs w:val="21"/>
              </w:rPr>
              <w:t>228,742.54</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6.4.7.18</w:t>
      </w:r>
      <w:r w:rsidRPr="00C24ACA">
        <w:rPr>
          <w:rFonts w:eastAsiaTheme="minorEastAsia"/>
          <w:b/>
          <w:color w:val="000000"/>
          <w:szCs w:val="21"/>
        </w:rPr>
        <w:t>其他收入</w:t>
      </w:r>
    </w:p>
    <w:p w:rsidR="008A5A5D" w:rsidRPr="00C24ACA" w:rsidRDefault="008A5A5D" w:rsidP="003955D3">
      <w:pPr>
        <w:tabs>
          <w:tab w:val="left" w:pos="7200"/>
          <w:tab w:val="left" w:pos="8280"/>
        </w:tabs>
        <w:ind w:rightChars="-52" w:right="-109"/>
        <w:jc w:val="right"/>
        <w:rPr>
          <w:rFonts w:eastAsiaTheme="minorEastAsia"/>
          <w:szCs w:val="21"/>
          <w:lang w:val="en-AU"/>
        </w:rPr>
      </w:pPr>
      <w:r w:rsidRPr="00C24ACA">
        <w:rPr>
          <w:rFonts w:eastAsiaTheme="minorEastAsia"/>
          <w:color w:val="000000"/>
          <w:szCs w:val="21"/>
        </w:rPr>
        <w:t>单位：人民币元</w:t>
      </w:r>
    </w:p>
    <w:tbl>
      <w:tblPr>
        <w:tblW w:w="90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8A5A5D" w:rsidRPr="00C24ACA" w:rsidTr="00862636">
        <w:trPr>
          <w:trHeight w:val="255"/>
        </w:trPr>
        <w:tc>
          <w:tcPr>
            <w:tcW w:w="3833"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242"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基金赎回费收入</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5,915.46</w:t>
            </w:r>
          </w:p>
        </w:tc>
      </w:tr>
      <w:tr w:rsidR="000265E6">
        <w:tc>
          <w:tcPr>
            <w:tcW w:w="3833" w:type="dxa"/>
            <w:vAlign w:val="center"/>
          </w:tcPr>
          <w:p w:rsidR="000265E6" w:rsidRDefault="004D56B3">
            <w:pPr>
              <w:jc w:val="left"/>
            </w:pPr>
            <w:r>
              <w:rPr>
                <w:rFonts w:eastAsiaTheme="minorEastAsia"/>
                <w:szCs w:val="21"/>
              </w:rPr>
              <w:t>其他</w:t>
            </w:r>
          </w:p>
        </w:tc>
        <w:tc>
          <w:tcPr>
            <w:tcW w:w="5242" w:type="dxa"/>
            <w:vAlign w:val="center"/>
          </w:tcPr>
          <w:p w:rsidR="000265E6" w:rsidRDefault="004D56B3">
            <w:pPr>
              <w:jc w:val="right"/>
            </w:pPr>
            <w:r>
              <w:rPr>
                <w:rFonts w:eastAsiaTheme="minorEastAsia"/>
                <w:szCs w:val="21"/>
              </w:rPr>
              <w:t>709.22</w:t>
            </w:r>
          </w:p>
        </w:tc>
      </w:tr>
      <w:tr w:rsidR="008A5A5D" w:rsidRPr="00C24ACA" w:rsidTr="00862636">
        <w:trPr>
          <w:trHeight w:val="255"/>
        </w:trPr>
        <w:tc>
          <w:tcPr>
            <w:tcW w:w="3833"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242" w:type="dxa"/>
            <w:vAlign w:val="bottom"/>
          </w:tcPr>
          <w:p w:rsidR="008A5A5D" w:rsidRPr="00C24ACA" w:rsidRDefault="008A5A5D" w:rsidP="004A4847">
            <w:pPr>
              <w:jc w:val="right"/>
              <w:rPr>
                <w:rFonts w:eastAsiaTheme="minorEastAsia"/>
                <w:szCs w:val="21"/>
              </w:rPr>
            </w:pPr>
            <w:r w:rsidRPr="00C24ACA">
              <w:rPr>
                <w:rFonts w:eastAsiaTheme="minorEastAsia"/>
                <w:szCs w:val="21"/>
              </w:rPr>
              <w:t>6,624.68</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6.4.7.19</w:t>
      </w:r>
      <w:r w:rsidRPr="00C24ACA">
        <w:rPr>
          <w:rFonts w:eastAsiaTheme="minorEastAsia"/>
          <w:b/>
          <w:color w:val="000000"/>
          <w:szCs w:val="21"/>
        </w:rPr>
        <w:t>交易费用</w:t>
      </w:r>
    </w:p>
    <w:p w:rsidR="004D679F" w:rsidRDefault="004D679F" w:rsidP="004D679F">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7"/>
        <w:gridCol w:w="5249"/>
      </w:tblGrid>
      <w:tr w:rsidR="004D679F" w:rsidTr="00DC4F67">
        <w:trPr>
          <w:trHeight w:val="285"/>
        </w:trPr>
        <w:tc>
          <w:tcPr>
            <w:tcW w:w="3827"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24</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383.88</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0265E6">
        <w:tc>
          <w:tcPr>
            <w:tcW w:w="3827" w:type="dxa"/>
            <w:vAlign w:val="center"/>
          </w:tcPr>
          <w:p w:rsidR="000265E6" w:rsidRDefault="004D56B3">
            <w:pPr>
              <w:jc w:val="center"/>
            </w:pPr>
            <w:r>
              <w:rPr>
                <w:rFonts w:eastAsiaTheme="minorEastAsia"/>
                <w:color w:val="000000" w:themeColor="text1"/>
                <w:kern w:val="0"/>
                <w:szCs w:val="21"/>
              </w:rPr>
              <w:t>其他</w:t>
            </w:r>
          </w:p>
        </w:tc>
        <w:tc>
          <w:tcPr>
            <w:tcW w:w="5249" w:type="dxa"/>
            <w:vAlign w:val="center"/>
          </w:tcPr>
          <w:p w:rsidR="000265E6" w:rsidRDefault="004D56B3">
            <w:pPr>
              <w:jc w:val="right"/>
            </w:pPr>
            <w:r>
              <w:rPr>
                <w:rFonts w:eastAsiaTheme="minorEastAsia"/>
                <w:color w:val="000000" w:themeColor="text1"/>
                <w:kern w:val="0"/>
                <w:szCs w:val="21"/>
              </w:rPr>
              <w:t>383.88</w:t>
            </w:r>
          </w:p>
        </w:tc>
      </w:tr>
      <w:tr w:rsidR="004D679F" w:rsidTr="00DC4F67">
        <w:trPr>
          <w:trHeight w:val="285"/>
        </w:trPr>
        <w:tc>
          <w:tcPr>
            <w:tcW w:w="3827" w:type="dxa"/>
            <w:vAlign w:val="center"/>
            <w:hideMark/>
          </w:tcPr>
          <w:p w:rsidR="004D679F" w:rsidRDefault="004D679F" w:rsidP="00F0322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9" w:type="dxa"/>
            <w:vAlign w:val="center"/>
            <w:hideMark/>
          </w:tcPr>
          <w:p w:rsidR="004D679F" w:rsidRDefault="004D679F" w:rsidP="00F0322F">
            <w:pPr>
              <w:spacing w:line="360" w:lineRule="auto"/>
              <w:jc w:val="right"/>
              <w:rPr>
                <w:rFonts w:eastAsiaTheme="minorEastAsia"/>
                <w:color w:val="000000" w:themeColor="text1"/>
                <w:szCs w:val="21"/>
              </w:rPr>
            </w:pPr>
            <w:r>
              <w:rPr>
                <w:rFonts w:eastAsiaTheme="minorEastAsia"/>
                <w:color w:val="000000" w:themeColor="text1"/>
                <w:szCs w:val="21"/>
              </w:rPr>
              <w:t>383.88</w:t>
            </w:r>
          </w:p>
        </w:tc>
      </w:tr>
    </w:tbl>
    <w:p w:rsidR="004D679F" w:rsidRPr="00441ABA" w:rsidRDefault="004D679F" w:rsidP="00441ABA">
      <w:pPr>
        <w:spacing w:line="360" w:lineRule="auto"/>
        <w:rPr>
          <w:rFonts w:eastAsiaTheme="minorEastAsia"/>
          <w:b/>
          <w:bCs/>
          <w:color w:val="000000"/>
          <w:kern w:val="0"/>
          <w:szCs w:val="21"/>
        </w:rPr>
      </w:pPr>
      <w:r w:rsidRPr="00441ABA">
        <w:rPr>
          <w:rFonts w:eastAsiaTheme="minorEastAsia"/>
          <w:b/>
          <w:bCs/>
          <w:color w:val="000000"/>
          <w:kern w:val="0"/>
          <w:szCs w:val="21"/>
        </w:rPr>
        <w:t xml:space="preserve">6.4.7.19.1 </w:t>
      </w:r>
      <w:r w:rsidRPr="00441ABA">
        <w:rPr>
          <w:rFonts w:eastAsiaTheme="minorEastAsia" w:hint="eastAsia"/>
          <w:b/>
          <w:bCs/>
          <w:color w:val="000000"/>
          <w:kern w:val="0"/>
          <w:szCs w:val="21"/>
        </w:rPr>
        <w:t>持有基金产生的费用</w:t>
      </w:r>
    </w:p>
    <w:tbl>
      <w:tblPr>
        <w:tblStyle w:val="af7"/>
        <w:tblW w:w="9076" w:type="dxa"/>
        <w:tblInd w:w="250" w:type="dxa"/>
        <w:tblLayout w:type="fixed"/>
        <w:tblLook w:val="04A0" w:firstRow="1" w:lastRow="0" w:firstColumn="1" w:lastColumn="0" w:noHBand="0" w:noVBand="1"/>
      </w:tblPr>
      <w:tblGrid>
        <w:gridCol w:w="3827"/>
        <w:gridCol w:w="5249"/>
      </w:tblGrid>
      <w:tr w:rsidR="004D679F" w:rsidTr="00DC4F67">
        <w:tc>
          <w:tcPr>
            <w:tcW w:w="3827" w:type="dxa"/>
            <w:vAlign w:val="center"/>
            <w:hideMark/>
          </w:tcPr>
          <w:p w:rsidR="004D679F" w:rsidRDefault="004D679F" w:rsidP="00F0322F">
            <w:pPr>
              <w:tabs>
                <w:tab w:val="left" w:pos="426"/>
              </w:tabs>
              <w:spacing w:line="360" w:lineRule="auto"/>
              <w:jc w:val="center"/>
              <w:rPr>
                <w:rFonts w:eastAsiaTheme="minorEastAsia"/>
                <w:color w:val="000000" w:themeColor="text1"/>
                <w:kern w:val="0"/>
                <w:szCs w:val="21"/>
              </w:rPr>
            </w:pPr>
            <w:r>
              <w:rPr>
                <w:rFonts w:eastAsiaTheme="minorEastAsia" w:hint="eastAsia"/>
                <w:color w:val="000000" w:themeColor="text1"/>
                <w:kern w:val="0"/>
                <w:szCs w:val="21"/>
              </w:rPr>
              <w:t>项目</w:t>
            </w:r>
          </w:p>
        </w:tc>
        <w:tc>
          <w:tcPr>
            <w:tcW w:w="5249" w:type="dxa"/>
            <w:vAlign w:val="center"/>
            <w:hideMark/>
          </w:tcPr>
          <w:p w:rsidR="004D679F" w:rsidRDefault="004D679F" w:rsidP="00F0322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4D679F" w:rsidRDefault="004D679F" w:rsidP="00F0322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24</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当期持有基金产生的应支付销售服务费（元）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当期持有基金产生的应支付管理费（元）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1,266.95</w:t>
            </w:r>
          </w:p>
        </w:tc>
      </w:tr>
      <w:tr w:rsidR="004D679F" w:rsidTr="00DC4F67">
        <w:tc>
          <w:tcPr>
            <w:tcW w:w="3827" w:type="dxa"/>
            <w:vAlign w:val="center"/>
            <w:hideMark/>
          </w:tcPr>
          <w:p w:rsidR="004D679F" w:rsidRDefault="004D679F" w:rsidP="00F0322F">
            <w:pPr>
              <w:tabs>
                <w:tab w:val="left" w:pos="426"/>
              </w:tabs>
              <w:spacing w:line="360" w:lineRule="auto"/>
              <w:jc w:val="left"/>
              <w:rPr>
                <w:rFonts w:eastAsiaTheme="minorEastAsia"/>
                <w:color w:val="000000" w:themeColor="text1"/>
                <w:kern w:val="0"/>
                <w:szCs w:val="21"/>
              </w:rPr>
            </w:pPr>
            <w:r>
              <w:rPr>
                <w:rFonts w:eastAsiaTheme="minorEastAsia" w:hint="eastAsia"/>
                <w:color w:val="000000" w:themeColor="text1"/>
                <w:kern w:val="0"/>
                <w:szCs w:val="21"/>
              </w:rPr>
              <w:t>当期持有基金产生的应支付托管费（元）</w:t>
            </w:r>
          </w:p>
        </w:tc>
        <w:tc>
          <w:tcPr>
            <w:tcW w:w="5249" w:type="dxa"/>
            <w:vAlign w:val="center"/>
            <w:hideMark/>
          </w:tcPr>
          <w:p w:rsidR="004D679F" w:rsidRDefault="004D679F" w:rsidP="00F0322F">
            <w:pPr>
              <w:tabs>
                <w:tab w:val="left" w:pos="426"/>
              </w:tabs>
              <w:spacing w:line="360" w:lineRule="auto"/>
              <w:jc w:val="right"/>
              <w:rPr>
                <w:rFonts w:eastAsiaTheme="minorEastAsia"/>
                <w:color w:val="000000" w:themeColor="text1"/>
                <w:kern w:val="0"/>
                <w:szCs w:val="21"/>
              </w:rPr>
            </w:pPr>
            <w:r>
              <w:rPr>
                <w:rFonts w:eastAsiaTheme="minorEastAsia"/>
                <w:color w:val="000000" w:themeColor="text1"/>
                <w:kern w:val="0"/>
                <w:szCs w:val="21"/>
              </w:rPr>
              <w:t>380.07</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6.4.7.20</w:t>
      </w:r>
      <w:r w:rsidRPr="00C24ACA">
        <w:rPr>
          <w:rFonts w:eastAsiaTheme="minorEastAsia"/>
          <w:b/>
          <w:color w:val="000000"/>
          <w:szCs w:val="21"/>
        </w:rPr>
        <w:t>其他费用</w:t>
      </w:r>
    </w:p>
    <w:p w:rsidR="008A5A5D" w:rsidRPr="00C24ACA" w:rsidRDefault="008A5A5D" w:rsidP="003955D3">
      <w:pPr>
        <w:tabs>
          <w:tab w:val="left" w:pos="7200"/>
          <w:tab w:val="left" w:pos="8280"/>
          <w:tab w:val="left" w:pos="9000"/>
        </w:tabs>
        <w:ind w:rightChars="-52" w:right="-109"/>
        <w:jc w:val="right"/>
        <w:rPr>
          <w:rFonts w:eastAsiaTheme="minorEastAsia"/>
          <w:bCs/>
          <w:szCs w:val="21"/>
        </w:rPr>
      </w:pPr>
      <w:r w:rsidRPr="00C24ACA">
        <w:rPr>
          <w:rFonts w:eastAsiaTheme="minorEastAsia"/>
          <w:color w:val="000000"/>
          <w:szCs w:val="21"/>
        </w:rPr>
        <w:t>单位：人民币元</w:t>
      </w:r>
    </w:p>
    <w:tbl>
      <w:tblPr>
        <w:tblW w:w="92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8A5A5D" w:rsidRPr="00C24ACA" w:rsidTr="00862636">
        <w:tc>
          <w:tcPr>
            <w:tcW w:w="3936" w:type="dxa"/>
            <w:vAlign w:val="center"/>
          </w:tcPr>
          <w:p w:rsidR="008A5A5D" w:rsidRPr="00C24ACA" w:rsidRDefault="008A5A5D" w:rsidP="004A4847">
            <w:pPr>
              <w:jc w:val="center"/>
              <w:rPr>
                <w:rFonts w:eastAsiaTheme="minorEastAsia"/>
                <w:szCs w:val="21"/>
              </w:rPr>
            </w:pPr>
            <w:r w:rsidRPr="00C24ACA">
              <w:rPr>
                <w:rFonts w:eastAsiaTheme="minorEastAsia"/>
                <w:szCs w:val="21"/>
              </w:rPr>
              <w:t>项目</w:t>
            </w:r>
          </w:p>
        </w:tc>
        <w:tc>
          <w:tcPr>
            <w:tcW w:w="5350" w:type="dxa"/>
          </w:tcPr>
          <w:p w:rsidR="008A5A5D" w:rsidRPr="00C24ACA" w:rsidRDefault="008A5A5D" w:rsidP="004A4847">
            <w:pPr>
              <w:jc w:val="center"/>
              <w:rPr>
                <w:rFonts w:eastAsiaTheme="minorEastAsia"/>
                <w:szCs w:val="21"/>
              </w:rPr>
            </w:pPr>
            <w:r w:rsidRPr="00C24ACA">
              <w:rPr>
                <w:rFonts w:eastAsiaTheme="minorEastAsia"/>
                <w:szCs w:val="21"/>
              </w:rPr>
              <w:t>本期</w:t>
            </w:r>
          </w:p>
          <w:p w:rsidR="008A5A5D" w:rsidRPr="00C24ACA" w:rsidRDefault="00AC4A34" w:rsidP="004A4847">
            <w:pPr>
              <w:widowControl/>
              <w:autoSpaceDE w:val="0"/>
              <w:autoSpaceDN w:val="0"/>
              <w:ind w:right="-15"/>
              <w:jc w:val="center"/>
              <w:textAlignment w:val="bottom"/>
              <w:rPr>
                <w:rFonts w:eastAsiaTheme="minorEastAsia"/>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w:t>
            </w:r>
            <w:r w:rsidR="008A5A5D" w:rsidRPr="00C24ACA">
              <w:rPr>
                <w:rFonts w:eastAsiaTheme="minorEastAsia"/>
                <w:szCs w:val="21"/>
              </w:rPr>
              <w:t>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审计费用</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16,190.80</w:t>
            </w:r>
          </w:p>
        </w:tc>
      </w:tr>
      <w:tr w:rsidR="008A5A5D" w:rsidRPr="00C24ACA" w:rsidTr="00862636">
        <w:tc>
          <w:tcPr>
            <w:tcW w:w="3936" w:type="dxa"/>
            <w:vAlign w:val="center"/>
          </w:tcPr>
          <w:p w:rsidR="008A5A5D" w:rsidRPr="00C24ACA" w:rsidRDefault="008A5A5D" w:rsidP="004A4847">
            <w:pPr>
              <w:rPr>
                <w:rFonts w:eastAsiaTheme="minorEastAsia"/>
                <w:szCs w:val="21"/>
              </w:rPr>
            </w:pPr>
            <w:r w:rsidRPr="00C24ACA">
              <w:rPr>
                <w:rFonts w:eastAsiaTheme="minorEastAsia"/>
                <w:szCs w:val="21"/>
              </w:rPr>
              <w:t>信息披露费</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w:t>
            </w:r>
          </w:p>
        </w:tc>
      </w:tr>
      <w:tr w:rsidR="000265E6">
        <w:tc>
          <w:tcPr>
            <w:tcW w:w="3936" w:type="dxa"/>
            <w:vAlign w:val="center"/>
          </w:tcPr>
          <w:p w:rsidR="000265E6" w:rsidRDefault="004D56B3">
            <w:pPr>
              <w:jc w:val="left"/>
            </w:pPr>
            <w:r>
              <w:rPr>
                <w:rFonts w:eastAsiaTheme="minorEastAsia"/>
                <w:szCs w:val="21"/>
              </w:rPr>
              <w:t>银行汇划费</w:t>
            </w:r>
          </w:p>
        </w:tc>
        <w:tc>
          <w:tcPr>
            <w:tcW w:w="5350" w:type="dxa"/>
            <w:vAlign w:val="center"/>
          </w:tcPr>
          <w:p w:rsidR="000265E6" w:rsidRDefault="004D56B3">
            <w:pPr>
              <w:jc w:val="right"/>
            </w:pPr>
            <w:r>
              <w:rPr>
                <w:rFonts w:eastAsiaTheme="minorEastAsia"/>
                <w:szCs w:val="21"/>
              </w:rPr>
              <w:t>-</w:t>
            </w:r>
          </w:p>
        </w:tc>
      </w:tr>
      <w:tr w:rsidR="000265E6">
        <w:tc>
          <w:tcPr>
            <w:tcW w:w="3936" w:type="dxa"/>
            <w:vAlign w:val="center"/>
          </w:tcPr>
          <w:p w:rsidR="000265E6" w:rsidRDefault="004D56B3">
            <w:pPr>
              <w:jc w:val="left"/>
            </w:pPr>
            <w:r>
              <w:rPr>
                <w:rFonts w:eastAsiaTheme="minorEastAsia"/>
                <w:szCs w:val="21"/>
              </w:rPr>
              <w:t>其他</w:t>
            </w:r>
          </w:p>
        </w:tc>
        <w:tc>
          <w:tcPr>
            <w:tcW w:w="5350" w:type="dxa"/>
            <w:vAlign w:val="center"/>
          </w:tcPr>
          <w:p w:rsidR="000265E6" w:rsidRDefault="004D56B3">
            <w:pPr>
              <w:jc w:val="right"/>
            </w:pPr>
            <w:r>
              <w:rPr>
                <w:rFonts w:eastAsiaTheme="minorEastAsia"/>
                <w:szCs w:val="21"/>
              </w:rPr>
              <w:t>400.00</w:t>
            </w:r>
          </w:p>
        </w:tc>
      </w:tr>
      <w:tr w:rsidR="008A5A5D" w:rsidRPr="00C24ACA" w:rsidTr="00862636">
        <w:tc>
          <w:tcPr>
            <w:tcW w:w="3936" w:type="dxa"/>
            <w:vAlign w:val="bottom"/>
          </w:tcPr>
          <w:p w:rsidR="008A5A5D" w:rsidRPr="00C24ACA" w:rsidRDefault="008A5A5D" w:rsidP="004A4847">
            <w:pPr>
              <w:rPr>
                <w:rFonts w:eastAsiaTheme="minorEastAsia"/>
                <w:szCs w:val="21"/>
              </w:rPr>
            </w:pPr>
            <w:r w:rsidRPr="00C24ACA">
              <w:rPr>
                <w:rFonts w:eastAsiaTheme="minorEastAsia"/>
                <w:szCs w:val="21"/>
              </w:rPr>
              <w:t>合计</w:t>
            </w:r>
          </w:p>
        </w:tc>
        <w:tc>
          <w:tcPr>
            <w:tcW w:w="5350" w:type="dxa"/>
            <w:vAlign w:val="bottom"/>
          </w:tcPr>
          <w:p w:rsidR="008A5A5D" w:rsidRPr="00C24ACA" w:rsidRDefault="008A5A5D" w:rsidP="004A4847">
            <w:pPr>
              <w:jc w:val="right"/>
              <w:rPr>
                <w:rFonts w:eastAsiaTheme="minorEastAsia"/>
                <w:szCs w:val="21"/>
              </w:rPr>
            </w:pPr>
            <w:r w:rsidRPr="00C24ACA">
              <w:rPr>
                <w:rFonts w:eastAsiaTheme="minorEastAsia"/>
                <w:szCs w:val="21"/>
              </w:rPr>
              <w:t>16,590.80</w:t>
            </w:r>
          </w:p>
        </w:tc>
      </w:tr>
    </w:tbl>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6.4.8 </w:t>
      </w:r>
      <w:r w:rsidRPr="00C24ACA">
        <w:rPr>
          <w:rFonts w:eastAsiaTheme="minorEastAsia"/>
          <w:b/>
          <w:color w:val="000000"/>
          <w:kern w:val="0"/>
          <w:szCs w:val="21"/>
        </w:rPr>
        <w:t>或有事项、资产负债表日后事项的说明</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6.4.8.1</w:t>
      </w:r>
      <w:r w:rsidRPr="00C24ACA">
        <w:rPr>
          <w:rFonts w:eastAsiaTheme="minorEastAsia"/>
          <w:b/>
          <w:color w:val="000000"/>
          <w:kern w:val="0"/>
          <w:szCs w:val="21"/>
        </w:rPr>
        <w:t xml:space="preserve"> </w:t>
      </w:r>
      <w:r w:rsidRPr="00C24ACA">
        <w:rPr>
          <w:rFonts w:eastAsiaTheme="minorEastAsia"/>
          <w:b/>
          <w:color w:val="000000"/>
          <w:kern w:val="0"/>
          <w:szCs w:val="21"/>
        </w:rPr>
        <w:t>或有事项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截至资产负债表日，本基金无须作披露的或有事项。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6.4.8.2</w:t>
      </w:r>
      <w:r w:rsidRPr="00C24ACA">
        <w:rPr>
          <w:rFonts w:eastAsiaTheme="minorEastAsia"/>
          <w:b/>
          <w:color w:val="000000"/>
          <w:kern w:val="0"/>
          <w:szCs w:val="21"/>
        </w:rPr>
        <w:t xml:space="preserve"> </w:t>
      </w:r>
      <w:r w:rsidRPr="00C24ACA">
        <w:rPr>
          <w:rFonts w:eastAsiaTheme="minorEastAsia"/>
          <w:b/>
          <w:color w:val="000000"/>
          <w:kern w:val="0"/>
          <w:szCs w:val="21"/>
        </w:rPr>
        <w:t>资产负债表日后事项</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截至本会计报表批准报出日，本基金无须作披露的资产负债表日后事项。</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6.4.9</w:t>
      </w:r>
      <w:r w:rsidRPr="00C24ACA">
        <w:rPr>
          <w:rFonts w:eastAsiaTheme="minorEastAsia"/>
          <w:b/>
          <w:color w:val="000000"/>
          <w:kern w:val="0"/>
          <w:szCs w:val="21"/>
        </w:rPr>
        <w:t>关联方关系</w:t>
      </w:r>
    </w:p>
    <w:p w:rsidR="008A5A5D" w:rsidRPr="00C24ACA" w:rsidRDefault="008A5A5D" w:rsidP="009967D7">
      <w:pPr>
        <w:spacing w:line="360" w:lineRule="auto"/>
        <w:rPr>
          <w:rFonts w:eastAsiaTheme="minorEastAsia"/>
          <w:b/>
          <w:kern w:val="0"/>
          <w:szCs w:val="21"/>
        </w:rPr>
      </w:pPr>
      <w:r w:rsidRPr="00C24ACA">
        <w:rPr>
          <w:rFonts w:eastAsiaTheme="minorEastAsia"/>
          <w:b/>
          <w:bCs/>
          <w:color w:val="000000"/>
          <w:kern w:val="0"/>
          <w:szCs w:val="21"/>
        </w:rPr>
        <w:t>6.4.9.1</w:t>
      </w:r>
      <w:r w:rsidRPr="00C24ACA">
        <w:rPr>
          <w:rFonts w:eastAsiaTheme="minorEastAsia"/>
          <w:b/>
          <w:kern w:val="0"/>
          <w:szCs w:val="21"/>
        </w:rPr>
        <w:t xml:space="preserve"> </w:t>
      </w:r>
      <w:r w:rsidRPr="00C24ACA">
        <w:rPr>
          <w:rFonts w:eastAsiaTheme="minorEastAsia"/>
          <w:b/>
          <w:kern w:val="0"/>
          <w:szCs w:val="21"/>
        </w:rPr>
        <w:t>本报告期存在控制关系或其他重大利害关系的关联方发生变化的情况</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本报告期内存在控制关系或其他重大利害关系的关联方未发生变化。</w:t>
      </w:r>
    </w:p>
    <w:p w:rsidR="008A5A5D" w:rsidRPr="00C24ACA" w:rsidRDefault="008A5A5D" w:rsidP="006C64F3">
      <w:pPr>
        <w:spacing w:beforeLines="100" w:before="312" w:line="360" w:lineRule="auto"/>
        <w:rPr>
          <w:rFonts w:eastAsiaTheme="minorEastAsia"/>
          <w:b/>
          <w:kern w:val="0"/>
          <w:szCs w:val="21"/>
        </w:rPr>
      </w:pPr>
      <w:r w:rsidRPr="00C24ACA">
        <w:rPr>
          <w:rFonts w:eastAsiaTheme="minorEastAsia"/>
          <w:b/>
          <w:bCs/>
          <w:color w:val="000000"/>
          <w:kern w:val="0"/>
          <w:szCs w:val="21"/>
        </w:rPr>
        <w:t>6.4.9.2</w:t>
      </w:r>
      <w:r w:rsidRPr="00C24ACA">
        <w:rPr>
          <w:rFonts w:eastAsiaTheme="minor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8A5A5D" w:rsidRPr="00C24ACA" w:rsidTr="004A4847">
        <w:tc>
          <w:tcPr>
            <w:tcW w:w="522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关联方名称</w:t>
            </w:r>
          </w:p>
        </w:tc>
        <w:tc>
          <w:tcPr>
            <w:tcW w:w="3780" w:type="dxa"/>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与本基金的关系</w:t>
            </w:r>
          </w:p>
        </w:tc>
      </w:tr>
      <w:tr w:rsidR="000265E6">
        <w:tc>
          <w:tcPr>
            <w:tcW w:w="5220" w:type="dxa"/>
            <w:vAlign w:val="center"/>
          </w:tcPr>
          <w:p w:rsidR="000265E6" w:rsidRDefault="004D56B3">
            <w:pPr>
              <w:jc w:val="left"/>
            </w:pPr>
            <w:r>
              <w:rPr>
                <w:rFonts w:eastAsiaTheme="minorEastAsia"/>
                <w:color w:val="000000"/>
                <w:szCs w:val="21"/>
              </w:rPr>
              <w:t>易方达基金管理有限公司</w:t>
            </w:r>
          </w:p>
        </w:tc>
        <w:tc>
          <w:tcPr>
            <w:tcW w:w="3780" w:type="dxa"/>
            <w:vAlign w:val="center"/>
          </w:tcPr>
          <w:p w:rsidR="000265E6" w:rsidRDefault="004D56B3">
            <w:pPr>
              <w:jc w:val="left"/>
            </w:pPr>
            <w:r>
              <w:rPr>
                <w:rFonts w:eastAsiaTheme="minorEastAsia"/>
                <w:color w:val="000000"/>
                <w:szCs w:val="21"/>
              </w:rPr>
              <w:t>基金管理人、注册登记机构、基金销售机构</w:t>
            </w:r>
          </w:p>
        </w:tc>
      </w:tr>
      <w:tr w:rsidR="000265E6">
        <w:tc>
          <w:tcPr>
            <w:tcW w:w="5220" w:type="dxa"/>
            <w:vAlign w:val="center"/>
          </w:tcPr>
          <w:p w:rsidR="000265E6" w:rsidRDefault="004D56B3">
            <w:pPr>
              <w:jc w:val="left"/>
            </w:pPr>
            <w:r>
              <w:rPr>
                <w:rFonts w:eastAsiaTheme="minorEastAsia"/>
                <w:color w:val="000000"/>
                <w:szCs w:val="21"/>
              </w:rPr>
              <w:t>中国工商银行股份有限公司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中国工商银行</w:t>
            </w:r>
            <w:r>
              <w:rPr>
                <w:rFonts w:eastAsiaTheme="minorEastAsia"/>
                <w:color w:val="000000"/>
                <w:szCs w:val="21"/>
              </w:rPr>
              <w:t>”)</w:t>
            </w:r>
          </w:p>
        </w:tc>
        <w:tc>
          <w:tcPr>
            <w:tcW w:w="3780" w:type="dxa"/>
            <w:vAlign w:val="center"/>
          </w:tcPr>
          <w:p w:rsidR="000265E6" w:rsidRDefault="004D56B3">
            <w:pPr>
              <w:jc w:val="left"/>
            </w:pPr>
            <w:r>
              <w:rPr>
                <w:rFonts w:eastAsiaTheme="minorEastAsia"/>
                <w:color w:val="000000"/>
                <w:szCs w:val="21"/>
              </w:rPr>
              <w:t>基金托管人</w:t>
            </w:r>
          </w:p>
        </w:tc>
      </w:tr>
      <w:tr w:rsidR="000265E6">
        <w:tc>
          <w:tcPr>
            <w:tcW w:w="5220" w:type="dxa"/>
            <w:vAlign w:val="center"/>
          </w:tcPr>
          <w:p w:rsidR="000265E6" w:rsidRDefault="004D56B3">
            <w:pPr>
              <w:jc w:val="left"/>
            </w:pPr>
            <w:r>
              <w:rPr>
                <w:rFonts w:eastAsiaTheme="minorEastAsia"/>
                <w:color w:val="000000"/>
                <w:szCs w:val="21"/>
              </w:rPr>
              <w:t>香港上海汇丰银行有限公司</w:t>
            </w:r>
            <w:r>
              <w:rPr>
                <w:rFonts w:eastAsiaTheme="minorEastAsia"/>
                <w:color w:val="000000"/>
                <w:szCs w:val="21"/>
              </w:rPr>
              <w:t>(</w:t>
            </w:r>
            <w:r>
              <w:rPr>
                <w:rFonts w:eastAsiaTheme="minorEastAsia"/>
                <w:color w:val="000000"/>
                <w:szCs w:val="21"/>
              </w:rPr>
              <w:t>以下简称</w:t>
            </w:r>
            <w:r>
              <w:rPr>
                <w:rFonts w:eastAsiaTheme="minorEastAsia"/>
                <w:color w:val="000000"/>
                <w:szCs w:val="21"/>
              </w:rPr>
              <w:t>“</w:t>
            </w:r>
            <w:r>
              <w:rPr>
                <w:rFonts w:eastAsiaTheme="minorEastAsia"/>
                <w:color w:val="000000"/>
                <w:szCs w:val="21"/>
              </w:rPr>
              <w:t>汇丰银行</w:t>
            </w:r>
            <w:r>
              <w:rPr>
                <w:rFonts w:eastAsiaTheme="minorEastAsia"/>
                <w:color w:val="000000"/>
                <w:szCs w:val="21"/>
              </w:rPr>
              <w:t>”)</w:t>
            </w:r>
          </w:p>
        </w:tc>
        <w:tc>
          <w:tcPr>
            <w:tcW w:w="3780" w:type="dxa"/>
            <w:vAlign w:val="center"/>
          </w:tcPr>
          <w:p w:rsidR="000265E6" w:rsidRDefault="004D56B3">
            <w:pPr>
              <w:jc w:val="left"/>
            </w:pPr>
            <w:r>
              <w:rPr>
                <w:rFonts w:eastAsiaTheme="minorEastAsia"/>
                <w:color w:val="000000"/>
                <w:szCs w:val="21"/>
              </w:rPr>
              <w:t>境外资产托管人</w:t>
            </w:r>
          </w:p>
        </w:tc>
      </w:tr>
      <w:tr w:rsidR="000265E6">
        <w:tc>
          <w:tcPr>
            <w:tcW w:w="5220" w:type="dxa"/>
            <w:vAlign w:val="center"/>
          </w:tcPr>
          <w:p w:rsidR="000265E6" w:rsidRDefault="004D56B3">
            <w:pPr>
              <w:jc w:val="left"/>
            </w:pPr>
            <w:r>
              <w:rPr>
                <w:rFonts w:eastAsiaTheme="minorEastAsia"/>
                <w:color w:val="000000"/>
                <w:szCs w:val="21"/>
              </w:rPr>
              <w:t>易方达中证浙江新动能交易型开放式指数证券投资基金</w:t>
            </w:r>
          </w:p>
        </w:tc>
        <w:tc>
          <w:tcPr>
            <w:tcW w:w="3780" w:type="dxa"/>
            <w:vAlign w:val="center"/>
          </w:tcPr>
          <w:p w:rsidR="000265E6" w:rsidRDefault="004D56B3">
            <w:pPr>
              <w:jc w:val="left"/>
            </w:pPr>
            <w:r>
              <w:rPr>
                <w:rFonts w:eastAsiaTheme="minorEastAsia"/>
                <w:color w:val="000000"/>
                <w:szCs w:val="21"/>
              </w:rPr>
              <w:t>本基金是该基金的联接基金</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注：以下关联交易均在正常业务范围内按一般商业条款订立。</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bCs/>
          <w:color w:val="000000"/>
          <w:kern w:val="0"/>
          <w:szCs w:val="21"/>
        </w:rPr>
        <w:t xml:space="preserve">6.4.10 </w:t>
      </w:r>
      <w:r w:rsidRPr="00C24ACA">
        <w:rPr>
          <w:rFonts w:eastAsiaTheme="minorEastAsia"/>
          <w:b/>
          <w:color w:val="000000"/>
          <w:kern w:val="0"/>
          <w:szCs w:val="21"/>
        </w:rPr>
        <w:t>本报告期及上年度可比期间的关联方交易</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6.4.10.1</w:t>
      </w:r>
      <w:r w:rsidRPr="00C24ACA">
        <w:rPr>
          <w:rFonts w:eastAsiaTheme="minorEastAsia"/>
          <w:b/>
          <w:color w:val="000000"/>
          <w:kern w:val="0"/>
          <w:szCs w:val="21"/>
        </w:rPr>
        <w:t xml:space="preserve"> </w:t>
      </w:r>
      <w:r w:rsidRPr="00C24ACA">
        <w:rPr>
          <w:rFonts w:eastAsiaTheme="minorEastAsia"/>
          <w:b/>
          <w:color w:val="000000"/>
          <w:kern w:val="0"/>
          <w:szCs w:val="21"/>
        </w:rPr>
        <w:t>通过关联方交易单元进行的交易</w:t>
      </w:r>
    </w:p>
    <w:p w:rsidR="008A5A5D" w:rsidRPr="00C24ACA" w:rsidRDefault="008A5A5D" w:rsidP="009967D7">
      <w:pPr>
        <w:spacing w:line="360" w:lineRule="auto"/>
        <w:rPr>
          <w:rFonts w:eastAsiaTheme="minorEastAsia"/>
          <w:color w:val="000000"/>
          <w:szCs w:val="21"/>
        </w:rPr>
      </w:pPr>
      <w:r w:rsidRPr="00C24ACA">
        <w:rPr>
          <w:rFonts w:eastAsiaTheme="minorEastAsia"/>
          <w:b/>
          <w:bCs/>
          <w:color w:val="000000"/>
          <w:kern w:val="0"/>
          <w:szCs w:val="21"/>
        </w:rPr>
        <w:t>6.4.10.1.1</w:t>
      </w:r>
      <w:r w:rsidRPr="00C24ACA">
        <w:rPr>
          <w:rFonts w:eastAsiaTheme="minorEastAsia"/>
          <w:b/>
          <w:color w:val="000000"/>
          <w:szCs w:val="21"/>
        </w:rPr>
        <w:t>股票交易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本基金本报告期未发生通过关联方交易单元进行的股票交易。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6.4.10.1.2</w:t>
      </w:r>
      <w:r w:rsidRPr="00C24ACA">
        <w:rPr>
          <w:rFonts w:eastAsiaTheme="minorEastAsia"/>
          <w:b/>
          <w:color w:val="000000"/>
          <w:szCs w:val="21"/>
        </w:rPr>
        <w:t>权证交易</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本基金本报告期未发生通过关联方交易单元进行的权证交易。</w:t>
      </w:r>
    </w:p>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6.4.10.1.3</w:t>
      </w:r>
      <w:r w:rsidRPr="00C24ACA">
        <w:rPr>
          <w:rFonts w:eastAsiaTheme="minorEastAsia"/>
          <w:b/>
          <w:color w:val="000000"/>
          <w:szCs w:val="21"/>
        </w:rPr>
        <w:t>应支付关联方的佣金</w:t>
      </w:r>
    </w:p>
    <w:p w:rsidR="008A5A5D"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本基金本报告期无应支付关联方的佣金。</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w:t>
      </w:r>
      <w:r w:rsidRPr="00C24ACA">
        <w:rPr>
          <w:rFonts w:eastAsiaTheme="minorEastAsia"/>
          <w:b/>
          <w:color w:val="000000"/>
          <w:kern w:val="0"/>
          <w:szCs w:val="21"/>
        </w:rPr>
        <w:t>关联方报酬</w:t>
      </w:r>
    </w:p>
    <w:p w:rsidR="008A5A5D" w:rsidRPr="00C24ACA" w:rsidRDefault="008A5A5D" w:rsidP="009967D7">
      <w:pPr>
        <w:autoSpaceDE w:val="0"/>
        <w:autoSpaceDN w:val="0"/>
        <w:adjustRightInd w:val="0"/>
        <w:spacing w:line="360" w:lineRule="auto"/>
        <w:jc w:val="left"/>
        <w:rPr>
          <w:rFonts w:eastAsiaTheme="minorEastAsia"/>
          <w:b/>
          <w:color w:val="000000"/>
          <w:kern w:val="0"/>
          <w:szCs w:val="21"/>
        </w:rPr>
      </w:pPr>
      <w:r w:rsidRPr="00C24ACA">
        <w:rPr>
          <w:rFonts w:eastAsiaTheme="minorEastAsia"/>
          <w:b/>
          <w:bCs/>
          <w:color w:val="000000"/>
          <w:kern w:val="0"/>
          <w:szCs w:val="21"/>
        </w:rPr>
        <w:t>6.4.10.2.1</w:t>
      </w:r>
      <w:r w:rsidRPr="00C24ACA">
        <w:rPr>
          <w:rFonts w:eastAsiaTheme="minorEastAsia"/>
          <w:b/>
          <w:color w:val="000000"/>
          <w:kern w:val="0"/>
          <w:szCs w:val="21"/>
        </w:rPr>
        <w:t>基金管理费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480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7"/>
        <w:gridCol w:w="5244"/>
      </w:tblGrid>
      <w:tr w:rsidR="00A97A4E" w:rsidRPr="00C24ACA" w:rsidTr="00A97A4E">
        <w:tc>
          <w:tcPr>
            <w:tcW w:w="2064" w:type="pct"/>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936" w:type="pct"/>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A97A4E" w:rsidRPr="00C24ACA" w:rsidTr="00A97A4E">
        <w:tc>
          <w:tcPr>
            <w:tcW w:w="2064" w:type="pct"/>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当期发生的基金应支付的管理费</w:t>
            </w:r>
          </w:p>
        </w:tc>
        <w:tc>
          <w:tcPr>
            <w:tcW w:w="2936" w:type="pct"/>
            <w:vAlign w:val="center"/>
          </w:tcPr>
          <w:p w:rsidR="00A97A4E" w:rsidRPr="00C24ACA" w:rsidRDefault="00A97A4E" w:rsidP="00A97A4E">
            <w:pPr>
              <w:jc w:val="right"/>
              <w:rPr>
                <w:rFonts w:eastAsiaTheme="minorEastAsia"/>
                <w:szCs w:val="21"/>
              </w:rPr>
            </w:pPr>
            <w:r w:rsidRPr="00C24ACA">
              <w:rPr>
                <w:rFonts w:eastAsiaTheme="minorEastAsia"/>
                <w:szCs w:val="21"/>
              </w:rPr>
              <w:t>103,742.29</w:t>
            </w:r>
          </w:p>
        </w:tc>
      </w:tr>
      <w:tr w:rsidR="00A97A4E" w:rsidRPr="00C24ACA" w:rsidTr="00A97A4E">
        <w:tc>
          <w:tcPr>
            <w:tcW w:w="2064" w:type="pct"/>
            <w:vAlign w:val="center"/>
          </w:tcPr>
          <w:p w:rsidR="00A97A4E" w:rsidRPr="00C24ACA" w:rsidRDefault="00A97A4E" w:rsidP="00A97A4E">
            <w:pPr>
              <w:rPr>
                <w:rFonts w:eastAsiaTheme="minorEastAsia"/>
                <w:color w:val="000000"/>
                <w:szCs w:val="21"/>
              </w:rPr>
            </w:pPr>
            <w:r w:rsidRPr="00C24ACA">
              <w:rPr>
                <w:rFonts w:eastAsiaTheme="minorEastAsia"/>
                <w:szCs w:val="21"/>
              </w:rPr>
              <w:t>其中：支付销售机构的客户维护费</w:t>
            </w:r>
          </w:p>
        </w:tc>
        <w:tc>
          <w:tcPr>
            <w:tcW w:w="2936" w:type="pct"/>
            <w:vAlign w:val="center"/>
          </w:tcPr>
          <w:p w:rsidR="00A97A4E" w:rsidRPr="00C24ACA" w:rsidRDefault="00A97A4E" w:rsidP="00A97A4E">
            <w:pPr>
              <w:jc w:val="right"/>
              <w:rPr>
                <w:rFonts w:eastAsiaTheme="minorEastAsia"/>
                <w:szCs w:val="21"/>
              </w:rPr>
            </w:pPr>
            <w:r w:rsidRPr="00C24ACA">
              <w:rPr>
                <w:rFonts w:eastAsiaTheme="minorEastAsia"/>
                <w:szCs w:val="21"/>
              </w:rPr>
              <w:t>696.80</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注：本基金的管理费按调整后的前一日基金资产净值的</w:t>
      </w:r>
      <w:r>
        <w:rPr>
          <w:rFonts w:eastAsiaTheme="minorEastAsia"/>
          <w:kern w:val="0"/>
          <w:szCs w:val="21"/>
        </w:rPr>
        <w:t>0.50%</w:t>
      </w:r>
      <w:r>
        <w:rPr>
          <w:rFonts w:eastAsiaTheme="minorEastAsia"/>
          <w:kern w:val="0"/>
          <w:szCs w:val="21"/>
        </w:rPr>
        <w:t>年费率计提。管理费的计算方法如下：</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E×0.50%÷</w:t>
      </w:r>
      <w:r>
        <w:rPr>
          <w:rFonts w:eastAsiaTheme="minorEastAsia"/>
          <w:kern w:val="0"/>
          <w:szCs w:val="21"/>
        </w:rPr>
        <w:t>当年天数</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H </w:t>
      </w:r>
      <w:r>
        <w:rPr>
          <w:rFonts w:eastAsiaTheme="minorEastAsia"/>
          <w:kern w:val="0"/>
          <w:szCs w:val="21"/>
        </w:rPr>
        <w:t>为每日应计提的基金管理费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为调整后的前一日基金资产净值。调整后的前一日基金资产净值＝前一日基金资产净值－前一日本基金持有的目标</w:t>
      </w:r>
      <w:r>
        <w:rPr>
          <w:rFonts w:eastAsiaTheme="minorEastAsia"/>
          <w:kern w:val="0"/>
          <w:szCs w:val="21"/>
        </w:rPr>
        <w:t>ETF</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基金管理费每日计算，逐日累计至每月月末，按月支付，由基金管理人向基金托管人发送基金管理费划款指令，基金托管人复核后于次月首日起</w:t>
      </w:r>
      <w:r w:rsidRPr="00C24ACA">
        <w:rPr>
          <w:rFonts w:eastAsiaTheme="minorEastAsia"/>
          <w:kern w:val="0"/>
          <w:szCs w:val="21"/>
        </w:rPr>
        <w:t>5</w:t>
      </w:r>
      <w:r w:rsidRPr="00C24ACA">
        <w:rPr>
          <w:rFonts w:eastAsiaTheme="minorEastAsia"/>
          <w:kern w:val="0"/>
          <w:szCs w:val="21"/>
        </w:rPr>
        <w:t>个工作日内从基金财产中一次性支付给基金管理人。若遇法定节假日、公休假等，支付日期顺延。</w:t>
      </w:r>
    </w:p>
    <w:p w:rsidR="008A5A5D" w:rsidRPr="00C24ACA" w:rsidRDefault="008A5A5D"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6.4.10.2.2</w:t>
      </w:r>
      <w:r w:rsidRPr="00C24ACA">
        <w:rPr>
          <w:rFonts w:eastAsiaTheme="minorEastAsia"/>
          <w:b/>
          <w:color w:val="000000"/>
          <w:kern w:val="0"/>
          <w:szCs w:val="21"/>
        </w:rPr>
        <w:t>基金托管费</w:t>
      </w:r>
    </w:p>
    <w:p w:rsidR="00A97A4E" w:rsidRPr="00C24ACA" w:rsidRDefault="00A97A4E" w:rsidP="00A97A4E">
      <w:pPr>
        <w:autoSpaceDE w:val="0"/>
        <w:autoSpaceDN w:val="0"/>
        <w:adjustRightInd w:val="0"/>
        <w:spacing w:before="29" w:line="288" w:lineRule="auto"/>
        <w:ind w:left="15" w:right="210"/>
        <w:jc w:val="right"/>
        <w:rPr>
          <w:rFonts w:eastAsiaTheme="minorEastAsia"/>
          <w:color w:val="000000"/>
          <w:kern w:val="0"/>
          <w:szCs w:val="21"/>
        </w:rPr>
      </w:pPr>
      <w:r w:rsidRPr="00C24ACA">
        <w:rPr>
          <w:rFonts w:eastAsiaTheme="minorEastAsia"/>
          <w:color w:val="000000"/>
          <w:szCs w:val="21"/>
        </w:rPr>
        <w:t>单位：人民币元</w:t>
      </w:r>
    </w:p>
    <w:tbl>
      <w:tblPr>
        <w:tblW w:w="480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7"/>
        <w:gridCol w:w="5244"/>
      </w:tblGrid>
      <w:tr w:rsidR="00A97A4E" w:rsidRPr="00C24ACA" w:rsidTr="00A97A4E">
        <w:tc>
          <w:tcPr>
            <w:tcW w:w="2064" w:type="pct"/>
            <w:vAlign w:val="center"/>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项目</w:t>
            </w:r>
          </w:p>
        </w:tc>
        <w:tc>
          <w:tcPr>
            <w:tcW w:w="2936" w:type="pct"/>
          </w:tcPr>
          <w:p w:rsidR="00A97A4E" w:rsidRPr="00C24ACA" w:rsidRDefault="00A97A4E" w:rsidP="00A97A4E">
            <w:pPr>
              <w:jc w:val="center"/>
              <w:rPr>
                <w:rFonts w:eastAsiaTheme="minorEastAsia"/>
                <w:color w:val="000000"/>
                <w:szCs w:val="21"/>
              </w:rPr>
            </w:pPr>
            <w:r w:rsidRPr="00C24ACA">
              <w:rPr>
                <w:rFonts w:eastAsiaTheme="minorEastAsia"/>
                <w:color w:val="000000"/>
                <w:szCs w:val="21"/>
              </w:rPr>
              <w:t>本期</w:t>
            </w:r>
          </w:p>
          <w:p w:rsidR="00A97A4E" w:rsidRPr="00C24ACA" w:rsidRDefault="00A97A4E" w:rsidP="00A97A4E">
            <w:pPr>
              <w:widowControl/>
              <w:autoSpaceDE w:val="0"/>
              <w:autoSpaceDN w:val="0"/>
              <w:ind w:right="-15"/>
              <w:jc w:val="center"/>
              <w:textAlignment w:val="bottom"/>
              <w:rPr>
                <w:rFonts w:eastAsiaTheme="minorEastAsia"/>
                <w:color w:val="000000"/>
                <w:szCs w:val="21"/>
              </w:rPr>
            </w:pP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A97A4E" w:rsidRPr="00C24ACA" w:rsidTr="00A97A4E">
        <w:tc>
          <w:tcPr>
            <w:tcW w:w="2064" w:type="pct"/>
            <w:vAlign w:val="center"/>
          </w:tcPr>
          <w:p w:rsidR="00A97A4E" w:rsidRPr="00C24ACA" w:rsidRDefault="00A97A4E" w:rsidP="00A97A4E">
            <w:pPr>
              <w:rPr>
                <w:rFonts w:eastAsiaTheme="minorEastAsia"/>
                <w:color w:val="000000"/>
                <w:szCs w:val="21"/>
              </w:rPr>
            </w:pPr>
            <w:r w:rsidRPr="00C24ACA">
              <w:rPr>
                <w:rFonts w:eastAsiaTheme="minorEastAsia"/>
                <w:szCs w:val="21"/>
              </w:rPr>
              <w:t>当期发生的基金应支付的托管费</w:t>
            </w:r>
          </w:p>
        </w:tc>
        <w:tc>
          <w:tcPr>
            <w:tcW w:w="2936" w:type="pct"/>
            <w:vAlign w:val="center"/>
          </w:tcPr>
          <w:p w:rsidR="00A97A4E" w:rsidRPr="00C24ACA" w:rsidRDefault="00A97A4E" w:rsidP="00A97A4E">
            <w:pPr>
              <w:jc w:val="right"/>
              <w:rPr>
                <w:rFonts w:eastAsiaTheme="minorEastAsia"/>
                <w:color w:val="000000"/>
                <w:kern w:val="0"/>
                <w:szCs w:val="21"/>
              </w:rPr>
            </w:pPr>
            <w:r w:rsidRPr="00C24ACA">
              <w:rPr>
                <w:rFonts w:eastAsiaTheme="minorEastAsia"/>
                <w:szCs w:val="21"/>
              </w:rPr>
              <w:t>31,122.67</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注：本基金的托管费按调整后的前一日基金资产净值的</w:t>
      </w:r>
      <w:r>
        <w:rPr>
          <w:rFonts w:eastAsiaTheme="minorEastAsia"/>
          <w:kern w:val="0"/>
          <w:szCs w:val="21"/>
        </w:rPr>
        <w:t>0.15%</w:t>
      </w:r>
      <w:r>
        <w:rPr>
          <w:rFonts w:eastAsiaTheme="minorEastAsia"/>
          <w:kern w:val="0"/>
          <w:szCs w:val="21"/>
        </w:rPr>
        <w:t>的年费率计提。托管费的计算方法如下：</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E×0.15%÷</w:t>
      </w:r>
      <w:r>
        <w:rPr>
          <w:rFonts w:eastAsiaTheme="minorEastAsia"/>
          <w:kern w:val="0"/>
          <w:szCs w:val="21"/>
        </w:rPr>
        <w:t>当年天数</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H </w:t>
      </w:r>
      <w:r>
        <w:rPr>
          <w:rFonts w:eastAsiaTheme="minorEastAsia"/>
          <w:kern w:val="0"/>
          <w:szCs w:val="21"/>
        </w:rPr>
        <w:t>为每日应计提的基金托管费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为调整后的前一日基金资产净值。调整后的前一日基金资产净值＝前一日基金资产净值－前一日本基金持有的目标</w:t>
      </w:r>
      <w:r>
        <w:rPr>
          <w:rFonts w:eastAsiaTheme="minorEastAsia"/>
          <w:kern w:val="0"/>
          <w:szCs w:val="21"/>
        </w:rPr>
        <w:t>ETF</w:t>
      </w:r>
      <w:r>
        <w:rPr>
          <w:rFonts w:eastAsiaTheme="minorEastAsia"/>
          <w:kern w:val="0"/>
          <w:szCs w:val="21"/>
        </w:rPr>
        <w:t>公允价值，金额为负时以零计</w:t>
      </w:r>
    </w:p>
    <w:p w:rsidR="00A97A4E" w:rsidRPr="00C24ACA" w:rsidRDefault="00A97A4E"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基金托管费每日计算，逐日累计至每月月末，按月支付，由基金管理人向基金托管人发送基金托管费划款指令，基金托管人复核后于次月首日起</w:t>
      </w:r>
      <w:r w:rsidRPr="00C24ACA">
        <w:rPr>
          <w:rFonts w:eastAsiaTheme="minorEastAsia"/>
          <w:kern w:val="0"/>
          <w:szCs w:val="21"/>
        </w:rPr>
        <w:t>5</w:t>
      </w:r>
      <w:r w:rsidRPr="00C24ACA">
        <w:rPr>
          <w:rFonts w:eastAsiaTheme="minorEastAsia"/>
          <w:kern w:val="0"/>
          <w:szCs w:val="21"/>
        </w:rPr>
        <w:t>个工作日内从基金财产中一次性支取。若遇法定节假日、公休假等，支付日期顺延。</w:t>
      </w:r>
    </w:p>
    <w:p w:rsidR="00871B95" w:rsidRPr="00C24ACA" w:rsidRDefault="00871B95" w:rsidP="006C64F3">
      <w:pPr>
        <w:autoSpaceDE w:val="0"/>
        <w:autoSpaceDN w:val="0"/>
        <w:adjustRightInd w:val="0"/>
        <w:spacing w:beforeLines="100" w:before="312" w:line="360" w:lineRule="auto"/>
        <w:jc w:val="left"/>
        <w:rPr>
          <w:rFonts w:eastAsiaTheme="minorEastAsia"/>
          <w:b/>
          <w:color w:val="000000"/>
          <w:kern w:val="0"/>
          <w:szCs w:val="21"/>
        </w:rPr>
      </w:pPr>
      <w:r w:rsidRPr="00C24ACA">
        <w:rPr>
          <w:rFonts w:eastAsiaTheme="minorEastAsia"/>
          <w:b/>
          <w:bCs/>
          <w:color w:val="000000"/>
          <w:kern w:val="0"/>
          <w:szCs w:val="21"/>
        </w:rPr>
        <w:t xml:space="preserve">6.4.10.2.3 </w:t>
      </w:r>
      <w:r w:rsidRPr="00C24ACA">
        <w:rPr>
          <w:rFonts w:eastAsiaTheme="minorEastAsia"/>
          <w:b/>
          <w:color w:val="000000"/>
          <w:kern w:val="0"/>
          <w:szCs w:val="21"/>
        </w:rPr>
        <w:t>销售服务费</w:t>
      </w:r>
    </w:p>
    <w:p w:rsidR="003921B9" w:rsidRPr="001E2AD9" w:rsidRDefault="003921B9" w:rsidP="003921B9">
      <w:pPr>
        <w:wordWrap w:val="0"/>
        <w:autoSpaceDE w:val="0"/>
        <w:autoSpaceDN w:val="0"/>
        <w:adjustRightInd w:val="0"/>
        <w:spacing w:before="29" w:line="288" w:lineRule="auto"/>
        <w:ind w:left="15"/>
        <w:jc w:val="right"/>
        <w:rPr>
          <w:rFonts w:eastAsiaTheme="minorEastAsia"/>
          <w:color w:val="000000"/>
          <w:szCs w:val="21"/>
        </w:rPr>
      </w:pPr>
      <w:r w:rsidRPr="001E2AD9">
        <w:rPr>
          <w:rFonts w:eastAsiaTheme="minorEastAsia"/>
          <w:color w:val="000000"/>
          <w:szCs w:val="21"/>
        </w:rPr>
        <w:t>单位：人民币元</w:t>
      </w:r>
    </w:p>
    <w:tbl>
      <w:tblPr>
        <w:tblW w:w="95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2285"/>
        <w:gridCol w:w="2409"/>
        <w:gridCol w:w="2697"/>
      </w:tblGrid>
      <w:tr w:rsidR="003921B9" w:rsidRPr="00325F8A" w:rsidTr="00DC4F67">
        <w:trPr>
          <w:trHeight w:val="465"/>
        </w:trPr>
        <w:tc>
          <w:tcPr>
            <w:tcW w:w="2110" w:type="dxa"/>
            <w:vMerge w:val="restart"/>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4</w:t>
            </w:r>
            <w:r w:rsidRPr="00325F8A">
              <w:rPr>
                <w:rFonts w:eastAsiaTheme="minorEastAsia"/>
                <w:szCs w:val="21"/>
              </w:rPr>
              <w:t>月</w:t>
            </w:r>
            <w:r w:rsidRPr="00325F8A">
              <w:rPr>
                <w:rFonts w:eastAsiaTheme="minorEastAsia"/>
                <w:szCs w:val="21"/>
              </w:rPr>
              <w:t>24</w:t>
            </w:r>
            <w:r w:rsidRPr="00325F8A">
              <w:rPr>
                <w:rFonts w:eastAsiaTheme="minorEastAsia"/>
                <w:szCs w:val="21"/>
              </w:rPr>
              <w:t>日（基金合同生效日）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921B9" w:rsidRPr="00325F8A" w:rsidTr="00DC4F67">
        <w:trPr>
          <w:trHeight w:val="465"/>
        </w:trPr>
        <w:tc>
          <w:tcPr>
            <w:tcW w:w="2110" w:type="dxa"/>
            <w:vMerge/>
            <w:vAlign w:val="center"/>
            <w:hideMark/>
          </w:tcPr>
          <w:p w:rsidR="003921B9" w:rsidRPr="00325F8A" w:rsidRDefault="003921B9" w:rsidP="00F0322F">
            <w:pPr>
              <w:widowControl/>
              <w:jc w:val="left"/>
              <w:rPr>
                <w:rFonts w:eastAsiaTheme="minorEastAsia"/>
                <w:szCs w:val="21"/>
              </w:rPr>
            </w:pPr>
          </w:p>
        </w:tc>
        <w:tc>
          <w:tcPr>
            <w:tcW w:w="7391" w:type="dxa"/>
            <w:gridSpan w:val="3"/>
            <w:vAlign w:val="center"/>
            <w:hideMark/>
          </w:tcPr>
          <w:p w:rsidR="003921B9" w:rsidRPr="00325F8A" w:rsidRDefault="003921B9" w:rsidP="00F0322F">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921B9" w:rsidRPr="00325F8A" w:rsidTr="00DC4F67">
        <w:tc>
          <w:tcPr>
            <w:tcW w:w="2110" w:type="dxa"/>
            <w:vMerge/>
            <w:vAlign w:val="center"/>
            <w:hideMark/>
          </w:tcPr>
          <w:p w:rsidR="003921B9" w:rsidRPr="00325F8A" w:rsidRDefault="003921B9" w:rsidP="00F0322F">
            <w:pPr>
              <w:widowControl/>
              <w:jc w:val="left"/>
              <w:rPr>
                <w:rFonts w:eastAsiaTheme="minorEastAsia"/>
                <w:szCs w:val="21"/>
              </w:rPr>
            </w:pPr>
          </w:p>
        </w:tc>
        <w:tc>
          <w:tcPr>
            <w:tcW w:w="2285"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易方达中证浙江新动能</w:t>
            </w:r>
            <w:r w:rsidRPr="00325F8A">
              <w:rPr>
                <w:rFonts w:eastAsiaTheme="minorEastAsia"/>
                <w:szCs w:val="21"/>
              </w:rPr>
              <w:t>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A</w:t>
            </w:r>
          </w:p>
        </w:tc>
        <w:tc>
          <w:tcPr>
            <w:tcW w:w="2409"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szCs w:val="21"/>
              </w:rPr>
              <w:t>易方达中证浙江新动能</w:t>
            </w:r>
            <w:r w:rsidRPr="00325F8A">
              <w:rPr>
                <w:rFonts w:eastAsiaTheme="minorEastAsia"/>
                <w:szCs w:val="21"/>
              </w:rPr>
              <w:t>ETF</w:t>
            </w:r>
            <w:r w:rsidRPr="00325F8A">
              <w:rPr>
                <w:rFonts w:eastAsiaTheme="minorEastAsia"/>
                <w:szCs w:val="21"/>
              </w:rPr>
              <w:t>联接（</w:t>
            </w:r>
            <w:r w:rsidRPr="00325F8A">
              <w:rPr>
                <w:rFonts w:eastAsiaTheme="minorEastAsia"/>
                <w:szCs w:val="21"/>
              </w:rPr>
              <w:t>QDII</w:t>
            </w:r>
            <w:r w:rsidRPr="00325F8A">
              <w:rPr>
                <w:rFonts w:eastAsiaTheme="minorEastAsia"/>
                <w:szCs w:val="21"/>
              </w:rPr>
              <w:t>）</w:t>
            </w:r>
            <w:r w:rsidRPr="00325F8A">
              <w:rPr>
                <w:rFonts w:eastAsiaTheme="minorEastAsia"/>
                <w:szCs w:val="21"/>
              </w:rPr>
              <w:t>C</w:t>
            </w:r>
          </w:p>
        </w:tc>
        <w:tc>
          <w:tcPr>
            <w:tcW w:w="2697" w:type="dxa"/>
            <w:vAlign w:val="center"/>
            <w:hideMark/>
          </w:tcPr>
          <w:p w:rsidR="003921B9" w:rsidRPr="00325F8A" w:rsidRDefault="003921B9" w:rsidP="00F0322F">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0265E6">
        <w:tc>
          <w:tcPr>
            <w:tcW w:w="2110" w:type="dxa"/>
            <w:vAlign w:val="center"/>
          </w:tcPr>
          <w:p w:rsidR="000265E6" w:rsidRDefault="004D56B3">
            <w:pPr>
              <w:jc w:val="left"/>
            </w:pPr>
            <w:r>
              <w:rPr>
                <w:rFonts w:eastAsiaTheme="minorEastAsia"/>
                <w:szCs w:val="21"/>
              </w:rPr>
              <w:t>易方达基金管理有限公司</w:t>
            </w:r>
          </w:p>
        </w:tc>
        <w:tc>
          <w:tcPr>
            <w:tcW w:w="2285" w:type="dxa"/>
            <w:vAlign w:val="center"/>
          </w:tcPr>
          <w:p w:rsidR="000265E6" w:rsidRDefault="004D56B3">
            <w:pPr>
              <w:jc w:val="right"/>
            </w:pPr>
            <w:r>
              <w:rPr>
                <w:rFonts w:eastAsiaTheme="minorEastAsia"/>
                <w:szCs w:val="21"/>
              </w:rPr>
              <w:t>-</w:t>
            </w:r>
          </w:p>
        </w:tc>
        <w:tc>
          <w:tcPr>
            <w:tcW w:w="2409" w:type="dxa"/>
            <w:vAlign w:val="center"/>
          </w:tcPr>
          <w:p w:rsidR="000265E6" w:rsidRDefault="004D56B3">
            <w:pPr>
              <w:jc w:val="right"/>
            </w:pPr>
            <w:r>
              <w:rPr>
                <w:rFonts w:eastAsiaTheme="minorEastAsia"/>
                <w:szCs w:val="21"/>
              </w:rPr>
              <w:t>1,142.87</w:t>
            </w:r>
          </w:p>
        </w:tc>
        <w:tc>
          <w:tcPr>
            <w:tcW w:w="2697" w:type="dxa"/>
            <w:vAlign w:val="center"/>
          </w:tcPr>
          <w:p w:rsidR="000265E6" w:rsidRDefault="004D56B3">
            <w:pPr>
              <w:jc w:val="right"/>
            </w:pPr>
            <w:r>
              <w:rPr>
                <w:rFonts w:eastAsiaTheme="minorEastAsia"/>
                <w:szCs w:val="21"/>
              </w:rPr>
              <w:t>1,142.87</w:t>
            </w:r>
          </w:p>
        </w:tc>
      </w:tr>
      <w:tr w:rsidR="003921B9" w:rsidRPr="00325F8A" w:rsidTr="00DC4F67">
        <w:tc>
          <w:tcPr>
            <w:tcW w:w="2110" w:type="dxa"/>
            <w:vAlign w:val="center"/>
            <w:hideMark/>
          </w:tcPr>
          <w:p w:rsidR="003921B9" w:rsidRPr="00325F8A" w:rsidRDefault="003921B9" w:rsidP="00F0322F">
            <w:pPr>
              <w:widowControl/>
              <w:rPr>
                <w:rFonts w:eastAsiaTheme="minorEastAsia"/>
                <w:szCs w:val="21"/>
              </w:rPr>
            </w:pPr>
            <w:r w:rsidRPr="00325F8A">
              <w:rPr>
                <w:rFonts w:eastAsiaTheme="minorEastAsia" w:hAnsiTheme="minorEastAsia"/>
                <w:szCs w:val="21"/>
              </w:rPr>
              <w:t>合计</w:t>
            </w:r>
          </w:p>
        </w:tc>
        <w:tc>
          <w:tcPr>
            <w:tcW w:w="2285"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w:t>
            </w:r>
          </w:p>
        </w:tc>
        <w:tc>
          <w:tcPr>
            <w:tcW w:w="2409"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1,142.87</w:t>
            </w:r>
          </w:p>
        </w:tc>
        <w:tc>
          <w:tcPr>
            <w:tcW w:w="2697" w:type="dxa"/>
            <w:vAlign w:val="center"/>
            <w:hideMark/>
          </w:tcPr>
          <w:p w:rsidR="003921B9" w:rsidRPr="00325F8A" w:rsidRDefault="003921B9" w:rsidP="00F0322F">
            <w:pPr>
              <w:jc w:val="right"/>
              <w:rPr>
                <w:rFonts w:eastAsiaTheme="minorEastAsia"/>
                <w:szCs w:val="21"/>
              </w:rPr>
            </w:pPr>
            <w:r w:rsidRPr="00325F8A">
              <w:rPr>
                <w:rFonts w:eastAsiaTheme="minorEastAsia"/>
                <w:szCs w:val="21"/>
              </w:rPr>
              <w:t>1,142.87</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注：本基金</w:t>
      </w:r>
      <w:r>
        <w:rPr>
          <w:rFonts w:eastAsiaTheme="minorEastAsia"/>
          <w:kern w:val="0"/>
          <w:szCs w:val="21"/>
        </w:rPr>
        <w:t>A</w:t>
      </w:r>
      <w:r>
        <w:rPr>
          <w:rFonts w:eastAsiaTheme="minorEastAsia"/>
          <w:kern w:val="0"/>
          <w:szCs w:val="21"/>
        </w:rPr>
        <w:t>类基金份额不收取销售服务费，</w:t>
      </w:r>
      <w:r>
        <w:rPr>
          <w:rFonts w:eastAsiaTheme="minorEastAsia"/>
          <w:kern w:val="0"/>
          <w:szCs w:val="21"/>
        </w:rPr>
        <w:t>C</w:t>
      </w:r>
      <w:r>
        <w:rPr>
          <w:rFonts w:eastAsiaTheme="minorEastAsia"/>
          <w:kern w:val="0"/>
          <w:szCs w:val="21"/>
        </w:rPr>
        <w:t>类基金份额的销售服务费年费率为</w:t>
      </w:r>
      <w:r>
        <w:rPr>
          <w:rFonts w:eastAsiaTheme="minorEastAsia"/>
          <w:kern w:val="0"/>
          <w:szCs w:val="21"/>
        </w:rPr>
        <w:t>0.20%</w:t>
      </w:r>
      <w:r>
        <w:rPr>
          <w:rFonts w:eastAsiaTheme="minorEastAsia"/>
          <w:kern w:val="0"/>
          <w:szCs w:val="21"/>
        </w:rPr>
        <w:t>，按前一日</w:t>
      </w:r>
      <w:r>
        <w:rPr>
          <w:rFonts w:eastAsiaTheme="minorEastAsia"/>
          <w:kern w:val="0"/>
          <w:szCs w:val="21"/>
        </w:rPr>
        <w:t>C</w:t>
      </w:r>
      <w:r>
        <w:rPr>
          <w:rFonts w:eastAsiaTheme="minorEastAsia"/>
          <w:kern w:val="0"/>
          <w:szCs w:val="21"/>
        </w:rPr>
        <w:t>类基金资产净值的</w:t>
      </w:r>
      <w:r>
        <w:rPr>
          <w:rFonts w:eastAsiaTheme="minorEastAsia"/>
          <w:kern w:val="0"/>
          <w:szCs w:val="21"/>
        </w:rPr>
        <w:t>0.20%</w:t>
      </w:r>
      <w:r>
        <w:rPr>
          <w:rFonts w:eastAsiaTheme="minorEastAsia"/>
          <w:kern w:val="0"/>
          <w:szCs w:val="21"/>
        </w:rPr>
        <w:t>年费率计提。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销售服务费的计算方法如下：</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w:t>
      </w:r>
      <w:r>
        <w:rPr>
          <w:rFonts w:eastAsiaTheme="minorEastAsia"/>
          <w:kern w:val="0"/>
          <w:szCs w:val="21"/>
        </w:rPr>
        <w:t>E×0.20%÷</w:t>
      </w:r>
      <w:r>
        <w:rPr>
          <w:rFonts w:eastAsiaTheme="minorEastAsia"/>
          <w:kern w:val="0"/>
          <w:szCs w:val="21"/>
        </w:rPr>
        <w:t>当年天数</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H</w:t>
      </w:r>
      <w:r>
        <w:rPr>
          <w:rFonts w:eastAsiaTheme="minorEastAsia"/>
          <w:kern w:val="0"/>
          <w:szCs w:val="21"/>
        </w:rPr>
        <w:t>为</w:t>
      </w:r>
      <w:r>
        <w:rPr>
          <w:rFonts w:eastAsiaTheme="minorEastAsia"/>
          <w:kern w:val="0"/>
          <w:szCs w:val="21"/>
        </w:rPr>
        <w:t>C</w:t>
      </w:r>
      <w:r>
        <w:rPr>
          <w:rFonts w:eastAsiaTheme="minorEastAsia"/>
          <w:kern w:val="0"/>
          <w:szCs w:val="21"/>
        </w:rPr>
        <w:t>类基金份额每日应计提的销售服务费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E</w:t>
      </w:r>
      <w:r>
        <w:rPr>
          <w:rFonts w:eastAsiaTheme="minorEastAsia"/>
          <w:kern w:val="0"/>
          <w:szCs w:val="21"/>
        </w:rPr>
        <w:t>为</w:t>
      </w:r>
      <w:r>
        <w:rPr>
          <w:rFonts w:eastAsiaTheme="minorEastAsia"/>
          <w:kern w:val="0"/>
          <w:szCs w:val="21"/>
        </w:rPr>
        <w:t>C</w:t>
      </w:r>
      <w:r>
        <w:rPr>
          <w:rFonts w:eastAsiaTheme="minorEastAsia"/>
          <w:kern w:val="0"/>
          <w:szCs w:val="21"/>
        </w:rPr>
        <w:t>类基金份额前一日的基金资产净值</w:t>
      </w:r>
    </w:p>
    <w:p w:rsidR="008A5A5D" w:rsidRPr="00C24ACA" w:rsidRDefault="003921B9"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销售服务费每日计算，逐日累计至每月月末，按月支付，由基金管理人向基金托管人发送销售服务费划款指令，基金托管人复核后于次月首日起</w:t>
      </w:r>
      <w:r w:rsidRPr="008707EB">
        <w:rPr>
          <w:rFonts w:eastAsiaTheme="minorEastAsia"/>
          <w:kern w:val="0"/>
          <w:szCs w:val="21"/>
        </w:rPr>
        <w:t>5</w:t>
      </w:r>
      <w:r w:rsidRPr="008707EB">
        <w:rPr>
          <w:rFonts w:eastAsiaTheme="minorEastAsia"/>
          <w:kern w:val="0"/>
          <w:szCs w:val="21"/>
        </w:rPr>
        <w:t>个工作日内从基金财产中一次性支付。若遇法定节假日、公休假等，支付日期顺延。</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6.4.10.3</w:t>
      </w:r>
      <w:r w:rsidRPr="00C24ACA">
        <w:rPr>
          <w:rFonts w:eastAsiaTheme="minorEastAsia"/>
          <w:b/>
          <w:bCs/>
          <w:color w:val="000000"/>
          <w:szCs w:val="21"/>
        </w:rPr>
        <w:t>与关联方进行银行间同业市场的债券</w:t>
      </w:r>
      <w:r w:rsidRPr="00C24ACA">
        <w:rPr>
          <w:rFonts w:eastAsiaTheme="minorEastAsia"/>
          <w:b/>
          <w:bCs/>
          <w:color w:val="000000"/>
          <w:szCs w:val="21"/>
        </w:rPr>
        <w:t>(</w:t>
      </w:r>
      <w:r w:rsidRPr="00C24ACA">
        <w:rPr>
          <w:rFonts w:eastAsiaTheme="minorEastAsia"/>
          <w:b/>
          <w:bCs/>
          <w:color w:val="000000"/>
          <w:szCs w:val="21"/>
        </w:rPr>
        <w:t>含回购</w:t>
      </w:r>
      <w:r w:rsidRPr="00C24ACA">
        <w:rPr>
          <w:rFonts w:eastAsiaTheme="minorEastAsia"/>
          <w:b/>
          <w:bCs/>
          <w:color w:val="000000"/>
          <w:szCs w:val="21"/>
        </w:rPr>
        <w:t>)</w:t>
      </w:r>
      <w:r w:rsidRPr="00C24ACA">
        <w:rPr>
          <w:rFonts w:eastAsiaTheme="minorEastAsia"/>
          <w:b/>
          <w:bCs/>
          <w:color w:val="000000"/>
          <w:szCs w:val="21"/>
        </w:rPr>
        <w:t>交易</w:t>
      </w:r>
    </w:p>
    <w:p w:rsidR="0096290F" w:rsidRPr="00C24ACA" w:rsidRDefault="0096290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本基金本报告期未与关联方进行银行间同业市场债券（含回购）交易。</w:t>
      </w:r>
    </w:p>
    <w:p w:rsidR="008A5A5D" w:rsidRPr="00C24ACA" w:rsidRDefault="008A5A5D" w:rsidP="00EC68BF">
      <w:pPr>
        <w:spacing w:line="360" w:lineRule="auto"/>
        <w:rPr>
          <w:rFonts w:eastAsiaTheme="minorEastAsia"/>
          <w:b/>
          <w:bCs/>
          <w:color w:val="000000"/>
          <w:szCs w:val="21"/>
        </w:rPr>
      </w:pPr>
      <w:r w:rsidRPr="00C24ACA">
        <w:rPr>
          <w:rFonts w:eastAsiaTheme="minorEastAsia"/>
          <w:b/>
          <w:bCs/>
          <w:color w:val="000000"/>
          <w:kern w:val="0"/>
          <w:szCs w:val="21"/>
        </w:rPr>
        <w:t>6.4.10.4</w:t>
      </w:r>
      <w:r w:rsidRPr="00C24ACA">
        <w:rPr>
          <w:rFonts w:eastAsiaTheme="minorEastAsia"/>
          <w:b/>
          <w:bCs/>
          <w:color w:val="000000"/>
          <w:szCs w:val="21"/>
        </w:rPr>
        <w:t>各关联方投资本基金的情况</w:t>
      </w:r>
    </w:p>
    <w:p w:rsidR="008A5A5D" w:rsidRPr="00C24ACA" w:rsidRDefault="008A5A5D" w:rsidP="00EC68BF">
      <w:pPr>
        <w:adjustRightInd w:val="0"/>
        <w:snapToGrid w:val="0"/>
        <w:spacing w:line="360" w:lineRule="auto"/>
        <w:rPr>
          <w:rFonts w:eastAsiaTheme="minorEastAsia"/>
          <w:b/>
          <w:bCs/>
          <w:color w:val="000000"/>
          <w:szCs w:val="21"/>
        </w:rPr>
      </w:pPr>
      <w:r w:rsidRPr="00C24ACA">
        <w:rPr>
          <w:rFonts w:eastAsiaTheme="minorEastAsia"/>
          <w:b/>
          <w:bCs/>
          <w:color w:val="000000"/>
          <w:kern w:val="0"/>
          <w:szCs w:val="21"/>
        </w:rPr>
        <w:t>6.4.10.4.1</w:t>
      </w:r>
      <w:r w:rsidRPr="00C24ACA">
        <w:rPr>
          <w:rFonts w:eastAsiaTheme="minorEastAsia"/>
          <w:b/>
          <w:bCs/>
          <w:color w:val="000000"/>
          <w:szCs w:val="21"/>
        </w:rPr>
        <w:t>报告期内基金管理人运用固有资金投资本基金的情况</w:t>
      </w:r>
    </w:p>
    <w:p w:rsidR="005C113A" w:rsidRPr="00D77452" w:rsidRDefault="005C113A" w:rsidP="005C113A">
      <w:pPr>
        <w:tabs>
          <w:tab w:val="left" w:pos="426"/>
        </w:tabs>
        <w:spacing w:line="360" w:lineRule="auto"/>
        <w:ind w:firstLineChars="200" w:firstLine="420"/>
        <w:jc w:val="left"/>
        <w:rPr>
          <w:kern w:val="0"/>
          <w:szCs w:val="21"/>
        </w:rPr>
      </w:pPr>
      <w:r w:rsidRPr="003862CB">
        <w:rPr>
          <w:kern w:val="0"/>
          <w:szCs w:val="21"/>
        </w:rPr>
        <w:t>本报告期内基金管理人未运用固有资金投资本基金。</w:t>
      </w:r>
    </w:p>
    <w:p w:rsidR="0042415D" w:rsidRPr="00FE326E" w:rsidRDefault="008A5A5D" w:rsidP="00FE326E">
      <w:pPr>
        <w:adjustRightInd w:val="0"/>
        <w:snapToGrid w:val="0"/>
        <w:spacing w:line="360" w:lineRule="auto"/>
        <w:rPr>
          <w:rFonts w:eastAsiaTheme="minorEastAsia"/>
          <w:b/>
          <w:bCs/>
          <w:color w:val="000000"/>
          <w:kern w:val="0"/>
          <w:szCs w:val="21"/>
        </w:rPr>
      </w:pPr>
      <w:r w:rsidRPr="00C24ACA">
        <w:rPr>
          <w:rFonts w:eastAsiaTheme="minorEastAsia"/>
          <w:b/>
          <w:bCs/>
          <w:color w:val="000000"/>
          <w:kern w:val="0"/>
          <w:szCs w:val="21"/>
        </w:rPr>
        <w:t>6.4.10.4.2</w:t>
      </w:r>
      <w:r w:rsidRPr="00FE326E">
        <w:rPr>
          <w:rFonts w:eastAsiaTheme="minorEastAsia"/>
          <w:b/>
          <w:bCs/>
          <w:color w:val="000000"/>
          <w:kern w:val="0"/>
          <w:szCs w:val="21"/>
        </w:rPr>
        <w:t>报告期末除基金管理人之外的其他关联方投资本基金的情况</w:t>
      </w:r>
    </w:p>
    <w:p w:rsidR="0042415D" w:rsidRPr="003560D2" w:rsidRDefault="0042415D" w:rsidP="0042415D">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易方达中证浙江新动能</w:t>
      </w:r>
      <w:r w:rsidRPr="003560D2">
        <w:rPr>
          <w:rFonts w:eastAsiaTheme="minorEastAsia" w:hint="eastAsia"/>
          <w:b/>
          <w:color w:val="000000"/>
          <w:szCs w:val="21"/>
        </w:rPr>
        <w:t>ETF</w:t>
      </w:r>
      <w:r w:rsidRPr="003560D2">
        <w:rPr>
          <w:rFonts w:eastAsiaTheme="minorEastAsia" w:hint="eastAsia"/>
          <w:b/>
          <w:color w:val="000000"/>
          <w:szCs w:val="21"/>
        </w:rPr>
        <w:t>联接（</w:t>
      </w:r>
      <w:r w:rsidRPr="003560D2">
        <w:rPr>
          <w:rFonts w:eastAsiaTheme="minorEastAsia" w:hint="eastAsia"/>
          <w:b/>
          <w:color w:val="000000"/>
          <w:szCs w:val="21"/>
        </w:rPr>
        <w:t>QDII</w:t>
      </w:r>
      <w:r w:rsidRPr="003560D2">
        <w:rPr>
          <w:rFonts w:eastAsiaTheme="minorEastAsia" w:hint="eastAsia"/>
          <w:b/>
          <w:color w:val="000000"/>
          <w:szCs w:val="21"/>
        </w:rPr>
        <w:t>）</w:t>
      </w:r>
      <w:r w:rsidRPr="003560D2">
        <w:rPr>
          <w:rFonts w:eastAsiaTheme="minorEastAsia" w:hint="eastAsia"/>
          <w:b/>
          <w:color w:val="000000"/>
          <w:szCs w:val="21"/>
        </w:rPr>
        <w:t>A</w:t>
      </w:r>
    </w:p>
    <w:p w:rsidR="0042415D" w:rsidRPr="00325F8A" w:rsidRDefault="0042415D" w:rsidP="0042415D">
      <w:pPr>
        <w:tabs>
          <w:tab w:val="left" w:pos="426"/>
        </w:tabs>
        <w:spacing w:line="360" w:lineRule="auto"/>
        <w:ind w:firstLineChars="200" w:firstLine="420"/>
        <w:jc w:val="left"/>
        <w:rPr>
          <w:kern w:val="0"/>
          <w:szCs w:val="21"/>
        </w:rPr>
      </w:pPr>
      <w:r w:rsidRPr="00325F8A">
        <w:rPr>
          <w:kern w:val="0"/>
          <w:szCs w:val="21"/>
        </w:rPr>
        <w:t>无。</w:t>
      </w:r>
    </w:p>
    <w:p w:rsidR="0042415D" w:rsidRPr="00325F8A" w:rsidRDefault="0042415D" w:rsidP="0042415D">
      <w:pPr>
        <w:adjustRightInd w:val="0"/>
        <w:snapToGrid w:val="0"/>
        <w:spacing w:line="288" w:lineRule="auto"/>
        <w:ind w:firstLineChars="200" w:firstLine="422"/>
        <w:rPr>
          <w:b/>
          <w:bCs/>
          <w:color w:val="000000"/>
          <w:szCs w:val="21"/>
        </w:rPr>
      </w:pPr>
      <w:r w:rsidRPr="00325F8A">
        <w:rPr>
          <w:rFonts w:eastAsiaTheme="minorEastAsia"/>
          <w:b/>
          <w:szCs w:val="21"/>
        </w:rPr>
        <w:t>易方达中证浙江新动能</w:t>
      </w:r>
      <w:r w:rsidRPr="00325F8A">
        <w:rPr>
          <w:rFonts w:eastAsiaTheme="minorEastAsia"/>
          <w:b/>
          <w:szCs w:val="21"/>
        </w:rPr>
        <w:t>ETF</w:t>
      </w:r>
      <w:r w:rsidRPr="00325F8A">
        <w:rPr>
          <w:rFonts w:eastAsiaTheme="minorEastAsia"/>
          <w:b/>
          <w:szCs w:val="21"/>
        </w:rPr>
        <w:t>联接（</w:t>
      </w:r>
      <w:r w:rsidRPr="00325F8A">
        <w:rPr>
          <w:rFonts w:eastAsiaTheme="minorEastAsia"/>
          <w:b/>
          <w:szCs w:val="21"/>
        </w:rPr>
        <w:t>QDII</w:t>
      </w:r>
      <w:r w:rsidRPr="00325F8A">
        <w:rPr>
          <w:rFonts w:eastAsiaTheme="minorEastAsia"/>
          <w:b/>
          <w:szCs w:val="21"/>
        </w:rPr>
        <w:t>）</w:t>
      </w:r>
      <w:r w:rsidRPr="00325F8A">
        <w:rPr>
          <w:rFonts w:eastAsiaTheme="minorEastAsia"/>
          <w:b/>
          <w:szCs w:val="21"/>
        </w:rPr>
        <w:t>C</w:t>
      </w:r>
    </w:p>
    <w:p w:rsidR="0042415D" w:rsidRPr="00683042" w:rsidRDefault="0042415D" w:rsidP="0042415D">
      <w:pPr>
        <w:tabs>
          <w:tab w:val="left" w:pos="426"/>
        </w:tabs>
        <w:spacing w:line="360" w:lineRule="auto"/>
        <w:ind w:firstLineChars="200" w:firstLine="420"/>
        <w:jc w:val="left"/>
        <w:rPr>
          <w:kern w:val="0"/>
          <w:szCs w:val="21"/>
        </w:rPr>
      </w:pPr>
      <w:r w:rsidRPr="00683042">
        <w:rPr>
          <w:rFonts w:hint="eastAsia"/>
          <w:kern w:val="0"/>
          <w:szCs w:val="21"/>
        </w:rPr>
        <w:t>无。</w:t>
      </w:r>
    </w:p>
    <w:p w:rsidR="008A5A5D" w:rsidRPr="00C24ACA" w:rsidRDefault="008A5A5D" w:rsidP="0042415D">
      <w:pPr>
        <w:adjustRightInd w:val="0"/>
        <w:snapToGrid w:val="0"/>
        <w:spacing w:beforeLines="100" w:before="312" w:line="360" w:lineRule="auto"/>
        <w:rPr>
          <w:rFonts w:eastAsiaTheme="minorEastAsia"/>
          <w:b/>
          <w:bCs/>
          <w:color w:val="000000"/>
          <w:szCs w:val="21"/>
        </w:rPr>
      </w:pPr>
      <w:r w:rsidRPr="00C24ACA">
        <w:rPr>
          <w:rFonts w:eastAsiaTheme="minorEastAsia"/>
          <w:b/>
          <w:bCs/>
          <w:color w:val="000000"/>
          <w:kern w:val="0"/>
          <w:szCs w:val="21"/>
        </w:rPr>
        <w:t>6.4.10.5</w:t>
      </w:r>
      <w:r w:rsidRPr="00C24ACA">
        <w:rPr>
          <w:rFonts w:eastAsiaTheme="minorEastAsia"/>
          <w:b/>
          <w:bCs/>
          <w:color w:val="000000"/>
          <w:szCs w:val="21"/>
        </w:rPr>
        <w:t>由关联方保管的银行存款余额及当期产生的利息收入</w:t>
      </w:r>
    </w:p>
    <w:p w:rsidR="008A5A5D" w:rsidRPr="00C24ACA" w:rsidRDefault="008A5A5D" w:rsidP="002116B9">
      <w:pPr>
        <w:autoSpaceDE w:val="0"/>
        <w:autoSpaceDN w:val="0"/>
        <w:adjustRightInd w:val="0"/>
        <w:spacing w:before="29" w:line="288" w:lineRule="auto"/>
        <w:ind w:left="15" w:right="210"/>
        <w:jc w:val="right"/>
        <w:rPr>
          <w:rFonts w:eastAsiaTheme="minorEastAsia"/>
          <w:bCs/>
          <w:color w:val="000000"/>
          <w:szCs w:val="21"/>
        </w:rPr>
      </w:pPr>
      <w:r w:rsidRPr="00C24ACA">
        <w:rPr>
          <w:rFonts w:eastAsiaTheme="minorEastAsia"/>
          <w:bCs/>
          <w:color w:val="000000"/>
          <w:szCs w:val="21"/>
        </w:rPr>
        <w:t>单位：人民币元</w:t>
      </w:r>
    </w:p>
    <w:tbl>
      <w:tblPr>
        <w:tblStyle w:val="af7"/>
        <w:tblW w:w="8896" w:type="dxa"/>
        <w:tblInd w:w="108" w:type="dxa"/>
        <w:tblLayout w:type="fixed"/>
        <w:tblLook w:val="04A0" w:firstRow="1" w:lastRow="0" w:firstColumn="1" w:lastColumn="0" w:noHBand="0" w:noVBand="1"/>
      </w:tblPr>
      <w:tblGrid>
        <w:gridCol w:w="1526"/>
        <w:gridCol w:w="3685"/>
        <w:gridCol w:w="3685"/>
      </w:tblGrid>
      <w:tr w:rsidR="006A3F9D" w:rsidRPr="00C24ACA" w:rsidTr="004C02E0">
        <w:tc>
          <w:tcPr>
            <w:tcW w:w="1526" w:type="dxa"/>
            <w:vMerge w:val="restart"/>
          </w:tcPr>
          <w:p w:rsidR="006A3F9D" w:rsidRPr="00C24ACA" w:rsidRDefault="006A3F9D" w:rsidP="009F2408">
            <w:pPr>
              <w:jc w:val="left"/>
              <w:rPr>
                <w:rFonts w:eastAsiaTheme="minorEastAsia"/>
                <w:kern w:val="0"/>
                <w:szCs w:val="21"/>
              </w:rPr>
            </w:pPr>
            <w:r w:rsidRPr="00C24ACA">
              <w:rPr>
                <w:rFonts w:eastAsiaTheme="minorEastAsia"/>
                <w:color w:val="000000"/>
                <w:szCs w:val="21"/>
              </w:rPr>
              <w:t>关联方名称</w:t>
            </w:r>
          </w:p>
        </w:tc>
        <w:tc>
          <w:tcPr>
            <w:tcW w:w="7370" w:type="dxa"/>
            <w:gridSpan w:val="2"/>
            <w:vAlign w:val="center"/>
          </w:tcPr>
          <w:p w:rsidR="006A3F9D" w:rsidRPr="00C24ACA" w:rsidRDefault="006A3F9D" w:rsidP="003A647F">
            <w:pPr>
              <w:jc w:val="center"/>
              <w:rPr>
                <w:rFonts w:eastAsiaTheme="minorEastAsia"/>
                <w:color w:val="000000"/>
                <w:szCs w:val="21"/>
              </w:rPr>
            </w:pPr>
            <w:r w:rsidRPr="00C24ACA">
              <w:rPr>
                <w:rFonts w:eastAsiaTheme="minorEastAsia"/>
                <w:color w:val="000000"/>
                <w:szCs w:val="21"/>
              </w:rPr>
              <w:t>本期</w:t>
            </w:r>
          </w:p>
          <w:p w:rsidR="006A3F9D" w:rsidRPr="00C24ACA" w:rsidRDefault="006A3F9D" w:rsidP="003A647F">
            <w:pPr>
              <w:jc w:val="center"/>
              <w:rPr>
                <w:rFonts w:eastAsiaTheme="minorEastAsia"/>
                <w:kern w:val="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4</w:t>
            </w:r>
            <w:r w:rsidRPr="00C24ACA">
              <w:rPr>
                <w:rFonts w:eastAsiaTheme="minorEastAsia"/>
                <w:color w:val="000000"/>
                <w:szCs w:val="21"/>
              </w:rPr>
              <w:t>月</w:t>
            </w:r>
            <w:r w:rsidRPr="00C24ACA">
              <w:rPr>
                <w:rFonts w:eastAsiaTheme="minorEastAsia"/>
                <w:color w:val="000000"/>
                <w:szCs w:val="21"/>
              </w:rPr>
              <w:t>24</w:t>
            </w:r>
            <w:r w:rsidRPr="00C24ACA">
              <w:rPr>
                <w:rFonts w:eastAsiaTheme="minorEastAsia"/>
                <w:color w:val="000000"/>
                <w:szCs w:val="21"/>
              </w:rPr>
              <w:t>日（基金合同生效日）至</w:t>
            </w:r>
            <w:r w:rsidRPr="00C24ACA">
              <w:rPr>
                <w:rFonts w:eastAsiaTheme="minorEastAsia"/>
                <w:szCs w:val="21"/>
              </w:rPr>
              <w:t>2020</w:t>
            </w:r>
            <w:r w:rsidRPr="00C24ACA">
              <w:rPr>
                <w:rFonts w:eastAsiaTheme="minorEastAsia"/>
                <w:szCs w:val="21"/>
              </w:rPr>
              <w:t>年</w:t>
            </w:r>
            <w:r w:rsidRPr="00C24ACA">
              <w:rPr>
                <w:rFonts w:eastAsiaTheme="minorEastAsia"/>
                <w:szCs w:val="21"/>
              </w:rPr>
              <w:t>6</w:t>
            </w:r>
            <w:r w:rsidRPr="00C24ACA">
              <w:rPr>
                <w:rFonts w:eastAsiaTheme="minorEastAsia"/>
                <w:szCs w:val="21"/>
              </w:rPr>
              <w:t>月</w:t>
            </w:r>
            <w:r w:rsidRPr="00C24ACA">
              <w:rPr>
                <w:rFonts w:eastAsiaTheme="minorEastAsia"/>
                <w:szCs w:val="21"/>
              </w:rPr>
              <w:t>30</w:t>
            </w:r>
            <w:r w:rsidRPr="00C24ACA">
              <w:rPr>
                <w:rFonts w:eastAsiaTheme="minorEastAsia"/>
                <w:szCs w:val="21"/>
              </w:rPr>
              <w:t>日</w:t>
            </w:r>
          </w:p>
        </w:tc>
      </w:tr>
      <w:tr w:rsidR="006A3F9D" w:rsidRPr="00C24ACA" w:rsidTr="004C02E0">
        <w:tc>
          <w:tcPr>
            <w:tcW w:w="1526" w:type="dxa"/>
            <w:vMerge/>
          </w:tcPr>
          <w:p w:rsidR="006A3F9D" w:rsidRPr="00C24ACA" w:rsidRDefault="006A3F9D" w:rsidP="009F2408">
            <w:pPr>
              <w:jc w:val="left"/>
              <w:rPr>
                <w:rFonts w:eastAsiaTheme="minorEastAsia"/>
                <w:kern w:val="0"/>
                <w:szCs w:val="21"/>
              </w:rPr>
            </w:pPr>
          </w:p>
        </w:tc>
        <w:tc>
          <w:tcPr>
            <w:tcW w:w="3685" w:type="dxa"/>
            <w:vAlign w:val="center"/>
          </w:tcPr>
          <w:p w:rsidR="006A3F9D" w:rsidRPr="00C24ACA" w:rsidRDefault="0064185E" w:rsidP="00025805">
            <w:pPr>
              <w:jc w:val="center"/>
              <w:rPr>
                <w:rFonts w:eastAsiaTheme="minorEastAsia"/>
                <w:kern w:val="0"/>
                <w:szCs w:val="21"/>
              </w:rPr>
            </w:pPr>
            <w:r w:rsidRPr="00C24ACA">
              <w:rPr>
                <w:rFonts w:eastAsiaTheme="minorEastAsia"/>
                <w:color w:val="000000"/>
                <w:szCs w:val="21"/>
              </w:rPr>
              <w:t>期末</w:t>
            </w:r>
            <w:r w:rsidR="006A3F9D" w:rsidRPr="00C24ACA">
              <w:rPr>
                <w:rFonts w:eastAsiaTheme="minorEastAsia"/>
                <w:color w:val="000000"/>
                <w:szCs w:val="21"/>
              </w:rPr>
              <w:t>余额</w:t>
            </w:r>
          </w:p>
        </w:tc>
        <w:tc>
          <w:tcPr>
            <w:tcW w:w="3685" w:type="dxa"/>
            <w:vAlign w:val="center"/>
          </w:tcPr>
          <w:p w:rsidR="006A3F9D" w:rsidRPr="00C24ACA" w:rsidRDefault="006A3F9D" w:rsidP="00025805">
            <w:pPr>
              <w:jc w:val="center"/>
              <w:rPr>
                <w:rFonts w:eastAsiaTheme="minorEastAsia"/>
                <w:kern w:val="0"/>
                <w:szCs w:val="21"/>
              </w:rPr>
            </w:pPr>
            <w:r w:rsidRPr="00C24ACA">
              <w:rPr>
                <w:rFonts w:eastAsiaTheme="minorEastAsia"/>
                <w:color w:val="000000"/>
                <w:szCs w:val="21"/>
              </w:rPr>
              <w:t>当期利息收入</w:t>
            </w:r>
          </w:p>
        </w:tc>
      </w:tr>
      <w:tr w:rsidR="000265E6">
        <w:tc>
          <w:tcPr>
            <w:tcW w:w="1526" w:type="dxa"/>
            <w:vAlign w:val="center"/>
          </w:tcPr>
          <w:p w:rsidR="000265E6" w:rsidRDefault="004D56B3">
            <w:pPr>
              <w:jc w:val="left"/>
            </w:pPr>
            <w:r>
              <w:rPr>
                <w:rFonts w:eastAsiaTheme="minorEastAsia"/>
                <w:szCs w:val="21"/>
              </w:rPr>
              <w:t>中国工商银行</w:t>
            </w:r>
            <w:r>
              <w:rPr>
                <w:rFonts w:eastAsiaTheme="minorEastAsia"/>
                <w:szCs w:val="21"/>
              </w:rPr>
              <w:t>-</w:t>
            </w:r>
            <w:r>
              <w:rPr>
                <w:rFonts w:eastAsiaTheme="minorEastAsia"/>
                <w:szCs w:val="21"/>
              </w:rPr>
              <w:t>活期存款</w:t>
            </w:r>
          </w:p>
        </w:tc>
        <w:tc>
          <w:tcPr>
            <w:tcW w:w="3685" w:type="dxa"/>
            <w:vAlign w:val="center"/>
          </w:tcPr>
          <w:p w:rsidR="000265E6" w:rsidRDefault="004D56B3">
            <w:pPr>
              <w:jc w:val="right"/>
            </w:pPr>
            <w:r>
              <w:rPr>
                <w:rFonts w:eastAsiaTheme="minorEastAsia"/>
                <w:szCs w:val="21"/>
              </w:rPr>
              <w:t>15,952,515.83</w:t>
            </w:r>
          </w:p>
        </w:tc>
        <w:tc>
          <w:tcPr>
            <w:tcW w:w="3685" w:type="dxa"/>
            <w:vAlign w:val="center"/>
          </w:tcPr>
          <w:p w:rsidR="000265E6" w:rsidRDefault="004D56B3">
            <w:pPr>
              <w:jc w:val="right"/>
            </w:pPr>
            <w:r>
              <w:rPr>
                <w:rFonts w:eastAsiaTheme="minorEastAsia"/>
                <w:szCs w:val="21"/>
              </w:rPr>
              <w:t>74,404.55</w:t>
            </w:r>
          </w:p>
        </w:tc>
      </w:tr>
      <w:tr w:rsidR="000265E6">
        <w:tc>
          <w:tcPr>
            <w:tcW w:w="1526" w:type="dxa"/>
            <w:vAlign w:val="center"/>
          </w:tcPr>
          <w:p w:rsidR="000265E6" w:rsidRDefault="004D56B3">
            <w:pPr>
              <w:jc w:val="left"/>
            </w:pPr>
            <w:r>
              <w:rPr>
                <w:rFonts w:eastAsiaTheme="minorEastAsia"/>
                <w:szCs w:val="21"/>
              </w:rPr>
              <w:t>汇丰银行</w:t>
            </w:r>
            <w:r>
              <w:rPr>
                <w:rFonts w:eastAsiaTheme="minorEastAsia"/>
                <w:szCs w:val="21"/>
              </w:rPr>
              <w:t>-</w:t>
            </w:r>
            <w:r>
              <w:rPr>
                <w:rFonts w:eastAsiaTheme="minorEastAsia"/>
                <w:szCs w:val="21"/>
              </w:rPr>
              <w:t>活期存款</w:t>
            </w:r>
          </w:p>
        </w:tc>
        <w:tc>
          <w:tcPr>
            <w:tcW w:w="3685" w:type="dxa"/>
            <w:vAlign w:val="center"/>
          </w:tcPr>
          <w:p w:rsidR="000265E6" w:rsidRDefault="004D56B3">
            <w:pPr>
              <w:jc w:val="right"/>
            </w:pPr>
            <w:r>
              <w:rPr>
                <w:rFonts w:eastAsiaTheme="minorEastAsia"/>
                <w:szCs w:val="21"/>
              </w:rPr>
              <w:t>-</w:t>
            </w:r>
          </w:p>
        </w:tc>
        <w:tc>
          <w:tcPr>
            <w:tcW w:w="3685" w:type="dxa"/>
            <w:vAlign w:val="center"/>
          </w:tcPr>
          <w:p w:rsidR="000265E6" w:rsidRDefault="004D56B3">
            <w:pPr>
              <w:jc w:val="right"/>
            </w:pPr>
            <w:r>
              <w:rPr>
                <w:rFonts w:eastAsiaTheme="minorEastAsia"/>
                <w:szCs w:val="21"/>
              </w:rPr>
              <w:t>-</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注：本基金的上述银行存款由基金托管人中国工商银行股份有限公司和香港上海汇丰银行有限公司保管，按银行同业利率或约定利率计息。</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6.4.10.6</w:t>
      </w:r>
      <w:r w:rsidRPr="00C24ACA">
        <w:rPr>
          <w:rFonts w:eastAsiaTheme="minorEastAsia"/>
          <w:b/>
          <w:bCs/>
          <w:color w:val="000000"/>
          <w:szCs w:val="21"/>
        </w:rPr>
        <w:t>本基金在承销期内参与关联方承销证券的情况</w:t>
      </w:r>
    </w:p>
    <w:p w:rsidR="008A5A5D" w:rsidRPr="00C24ACA" w:rsidRDefault="00EF6CFA"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本基金本报告期未在承销期内参与关联方承销证券。</w:t>
      </w:r>
    </w:p>
    <w:p w:rsidR="00AE3215" w:rsidRPr="00A73188" w:rsidRDefault="00AE3215" w:rsidP="006C64F3">
      <w:pPr>
        <w:adjustRightInd w:val="0"/>
        <w:snapToGrid w:val="0"/>
        <w:spacing w:beforeLines="100" w:before="312" w:line="360" w:lineRule="auto"/>
        <w:rPr>
          <w:rFonts w:eastAsiaTheme="minorEastAsia"/>
          <w:b/>
          <w:color w:val="000000" w:themeColor="text1"/>
          <w:szCs w:val="21"/>
        </w:rPr>
      </w:pPr>
      <w:r w:rsidRPr="00A73188">
        <w:rPr>
          <w:rFonts w:eastAsiaTheme="minorEastAsia"/>
          <w:b/>
          <w:bCs/>
          <w:color w:val="000000" w:themeColor="text1"/>
          <w:kern w:val="0"/>
          <w:szCs w:val="21"/>
        </w:rPr>
        <w:t xml:space="preserve">6.4.10.7 </w:t>
      </w:r>
      <w:r w:rsidRPr="00A73188">
        <w:rPr>
          <w:rFonts w:eastAsiaTheme="minorEastAsia"/>
          <w:b/>
          <w:color w:val="000000" w:themeColor="text1"/>
          <w:szCs w:val="21"/>
        </w:rPr>
        <w:t>其他关联交易事项的说明</w:t>
      </w:r>
    </w:p>
    <w:p w:rsidR="00AE3215" w:rsidRPr="00A73188" w:rsidRDefault="00AE3215" w:rsidP="00AE3215">
      <w:pPr>
        <w:adjustRightInd w:val="0"/>
        <w:snapToGrid w:val="0"/>
        <w:spacing w:line="360" w:lineRule="auto"/>
        <w:rPr>
          <w:rFonts w:eastAsiaTheme="minorEastAsia"/>
          <w:b/>
          <w:color w:val="000000" w:themeColor="text1"/>
          <w:szCs w:val="21"/>
        </w:rPr>
      </w:pPr>
      <w:r w:rsidRPr="00A73188">
        <w:rPr>
          <w:rFonts w:eastAsiaTheme="minorEastAsia"/>
          <w:b/>
          <w:bCs/>
          <w:color w:val="000000" w:themeColor="text1"/>
          <w:kern w:val="0"/>
          <w:szCs w:val="21"/>
        </w:rPr>
        <w:t>6.4.10.7</w:t>
      </w:r>
      <w:r w:rsidRPr="00A73188">
        <w:rPr>
          <w:rFonts w:eastAsiaTheme="minorEastAsia" w:hint="eastAsia"/>
          <w:b/>
          <w:bCs/>
          <w:color w:val="000000" w:themeColor="text1"/>
          <w:kern w:val="0"/>
          <w:szCs w:val="21"/>
        </w:rPr>
        <w:t xml:space="preserve">.1 </w:t>
      </w:r>
      <w:r w:rsidRPr="00A73188">
        <w:rPr>
          <w:rFonts w:eastAsiaTheme="minorEastAsia"/>
          <w:b/>
          <w:color w:val="000000" w:themeColor="text1"/>
          <w:szCs w:val="21"/>
        </w:rPr>
        <w:t>其他关联交易事项的说明</w:t>
      </w:r>
    </w:p>
    <w:p w:rsidR="00AE3215" w:rsidRPr="00A73188" w:rsidRDefault="00AE3215" w:rsidP="00AE3215">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于本报告期末，本基金持有</w:t>
      </w:r>
      <w:r w:rsidRPr="00A73188">
        <w:rPr>
          <w:rFonts w:eastAsiaTheme="minorEastAsia"/>
          <w:color w:val="000000" w:themeColor="text1"/>
          <w:kern w:val="0"/>
          <w:szCs w:val="21"/>
        </w:rPr>
        <w:t>5,649,497</w:t>
      </w:r>
      <w:r w:rsidRPr="00A73188">
        <w:rPr>
          <w:rFonts w:eastAsiaTheme="minorEastAsia"/>
          <w:color w:val="000000" w:themeColor="text1"/>
          <w:kern w:val="0"/>
          <w:szCs w:val="21"/>
        </w:rPr>
        <w:t>份目标</w:t>
      </w:r>
      <w:r w:rsidRPr="00A73188">
        <w:rPr>
          <w:rFonts w:eastAsiaTheme="minorEastAsia"/>
          <w:color w:val="000000" w:themeColor="text1"/>
          <w:kern w:val="0"/>
          <w:szCs w:val="21"/>
        </w:rPr>
        <w:t>ETF</w:t>
      </w:r>
      <w:r w:rsidRPr="00A73188">
        <w:rPr>
          <w:rFonts w:eastAsiaTheme="minorEastAsia"/>
          <w:color w:val="000000" w:themeColor="text1"/>
          <w:kern w:val="0"/>
          <w:szCs w:val="21"/>
        </w:rPr>
        <w:t>基金份额，占其总份额的比例为</w:t>
      </w:r>
      <w:r w:rsidRPr="00A73188">
        <w:rPr>
          <w:rFonts w:eastAsiaTheme="minorEastAsia"/>
          <w:color w:val="000000" w:themeColor="text1"/>
          <w:kern w:val="0"/>
          <w:szCs w:val="21"/>
        </w:rPr>
        <w:t>21.85%</w:t>
      </w:r>
      <w:r w:rsidRPr="00A73188">
        <w:rPr>
          <w:rFonts w:eastAsiaTheme="minorEastAsia"/>
          <w:color w:val="000000" w:themeColor="text1"/>
          <w:kern w:val="0"/>
          <w:szCs w:val="21"/>
        </w:rPr>
        <w:t>。</w:t>
      </w:r>
    </w:p>
    <w:p w:rsidR="008A5A5D" w:rsidRPr="00C24ACA" w:rsidRDefault="008A5A5D" w:rsidP="006C64F3">
      <w:pPr>
        <w:adjustRightInd w:val="0"/>
        <w:snapToGrid w:val="0"/>
        <w:spacing w:beforeLines="50" w:before="156" w:line="360" w:lineRule="auto"/>
        <w:rPr>
          <w:rFonts w:eastAsiaTheme="minorEastAsia"/>
          <w:b/>
          <w:bCs/>
          <w:color w:val="000000"/>
          <w:szCs w:val="21"/>
        </w:rPr>
      </w:pPr>
      <w:r w:rsidRPr="00C24ACA">
        <w:rPr>
          <w:rFonts w:eastAsiaTheme="minorEastAsia"/>
          <w:b/>
          <w:bCs/>
          <w:color w:val="000000"/>
          <w:kern w:val="0"/>
          <w:szCs w:val="21"/>
        </w:rPr>
        <w:t>6.4.11</w:t>
      </w:r>
      <w:r w:rsidRPr="00C24ACA">
        <w:rPr>
          <w:rFonts w:eastAsiaTheme="minorEastAsia"/>
          <w:b/>
          <w:bCs/>
          <w:color w:val="000000"/>
          <w:szCs w:val="21"/>
        </w:rPr>
        <w:t>利润分配情况</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易方达中证浙江新动能</w:t>
      </w:r>
      <w:r>
        <w:rPr>
          <w:rFonts w:eastAsiaTheme="minorEastAsia"/>
          <w:b/>
          <w:color w:val="000000"/>
          <w:szCs w:val="21"/>
        </w:rPr>
        <w:t>ETF</w:t>
      </w:r>
      <w:r>
        <w:rPr>
          <w:rFonts w:eastAsiaTheme="minorEastAsia"/>
          <w:b/>
          <w:color w:val="000000"/>
          <w:szCs w:val="21"/>
        </w:rPr>
        <w:t>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A</w:t>
      </w:r>
    </w:p>
    <w:p w:rsidR="007F124D" w:rsidRDefault="007F124D" w:rsidP="007F124D">
      <w:pPr>
        <w:tabs>
          <w:tab w:val="left" w:pos="426"/>
        </w:tabs>
        <w:spacing w:line="360" w:lineRule="auto"/>
        <w:ind w:firstLineChars="200" w:firstLine="420"/>
        <w:jc w:val="left"/>
        <w:rPr>
          <w:kern w:val="0"/>
          <w:szCs w:val="21"/>
        </w:rPr>
      </w:pPr>
      <w:r>
        <w:rPr>
          <w:kern w:val="0"/>
          <w:szCs w:val="21"/>
        </w:rPr>
        <w:t>本报告期内未发生利润分配。</w:t>
      </w:r>
    </w:p>
    <w:p w:rsidR="007F124D" w:rsidRDefault="007F124D" w:rsidP="007F124D">
      <w:pPr>
        <w:adjustRightInd w:val="0"/>
        <w:snapToGrid w:val="0"/>
        <w:spacing w:line="288" w:lineRule="auto"/>
        <w:ind w:firstLineChars="200" w:firstLine="422"/>
        <w:rPr>
          <w:rFonts w:eastAsiaTheme="minorEastAsia"/>
          <w:b/>
          <w:color w:val="000000"/>
          <w:szCs w:val="21"/>
        </w:rPr>
      </w:pPr>
      <w:r>
        <w:rPr>
          <w:rFonts w:eastAsiaTheme="minorEastAsia"/>
          <w:b/>
          <w:color w:val="000000"/>
          <w:szCs w:val="21"/>
        </w:rPr>
        <w:t>易方达中证浙江新动能</w:t>
      </w:r>
      <w:r>
        <w:rPr>
          <w:rFonts w:eastAsiaTheme="minorEastAsia"/>
          <w:b/>
          <w:color w:val="000000"/>
          <w:szCs w:val="21"/>
        </w:rPr>
        <w:t>ETF</w:t>
      </w:r>
      <w:r>
        <w:rPr>
          <w:rFonts w:eastAsiaTheme="minorEastAsia"/>
          <w:b/>
          <w:color w:val="000000"/>
          <w:szCs w:val="21"/>
        </w:rPr>
        <w:t>联接（</w:t>
      </w:r>
      <w:r>
        <w:rPr>
          <w:rFonts w:eastAsiaTheme="minorEastAsia"/>
          <w:b/>
          <w:color w:val="000000"/>
          <w:szCs w:val="21"/>
        </w:rPr>
        <w:t>QDII</w:t>
      </w:r>
      <w:r>
        <w:rPr>
          <w:rFonts w:eastAsiaTheme="minorEastAsia"/>
          <w:b/>
          <w:color w:val="000000"/>
          <w:szCs w:val="21"/>
        </w:rPr>
        <w:t>）</w:t>
      </w:r>
      <w:r>
        <w:rPr>
          <w:rFonts w:eastAsiaTheme="minorEastAsia"/>
          <w:b/>
          <w:color w:val="000000"/>
          <w:szCs w:val="21"/>
        </w:rPr>
        <w:t>C</w:t>
      </w:r>
    </w:p>
    <w:p w:rsidR="008A5A5D" w:rsidRPr="00C24ACA" w:rsidRDefault="007F124D" w:rsidP="008707EB">
      <w:pPr>
        <w:tabs>
          <w:tab w:val="left" w:pos="426"/>
        </w:tabs>
        <w:spacing w:line="360" w:lineRule="auto"/>
        <w:ind w:firstLineChars="200" w:firstLine="420"/>
        <w:rPr>
          <w:rFonts w:eastAsiaTheme="minorEastAsia"/>
          <w:kern w:val="0"/>
          <w:szCs w:val="21"/>
        </w:rPr>
      </w:pPr>
      <w:r>
        <w:rPr>
          <w:kern w:val="0"/>
          <w:szCs w:val="21"/>
        </w:rPr>
        <w:t>本报告期内未发生利润分配。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w:t>
      </w:r>
      <w:r w:rsidRPr="00C24ACA">
        <w:rPr>
          <w:rFonts w:eastAsiaTheme="minorEastAsia"/>
          <w:b/>
          <w:bCs/>
          <w:color w:val="000000"/>
          <w:szCs w:val="21"/>
        </w:rPr>
        <w:t>期末（</w:t>
      </w:r>
      <w:r w:rsidR="00AC4A34" w:rsidRPr="00C24ACA">
        <w:rPr>
          <w:rFonts w:eastAsiaTheme="minorEastAsia"/>
          <w:b/>
          <w:bCs/>
          <w:color w:val="000000"/>
          <w:szCs w:val="21"/>
        </w:rPr>
        <w:t>2020</w:t>
      </w:r>
      <w:r w:rsidR="00AC4A34" w:rsidRPr="00C24ACA">
        <w:rPr>
          <w:rFonts w:eastAsiaTheme="minorEastAsia"/>
          <w:b/>
          <w:bCs/>
          <w:color w:val="000000"/>
          <w:szCs w:val="21"/>
        </w:rPr>
        <w:t>年</w:t>
      </w:r>
      <w:r w:rsidR="00AC4A34" w:rsidRPr="00C24ACA">
        <w:rPr>
          <w:rFonts w:eastAsiaTheme="minorEastAsia"/>
          <w:b/>
          <w:bCs/>
          <w:color w:val="000000"/>
          <w:szCs w:val="21"/>
        </w:rPr>
        <w:t>6</w:t>
      </w:r>
      <w:r w:rsidR="00AC4A34" w:rsidRPr="00C24ACA">
        <w:rPr>
          <w:rFonts w:eastAsiaTheme="minorEastAsia"/>
          <w:b/>
          <w:bCs/>
          <w:color w:val="000000"/>
          <w:szCs w:val="21"/>
        </w:rPr>
        <w:t>月</w:t>
      </w:r>
      <w:r w:rsidR="00AC4A34" w:rsidRPr="00C24ACA">
        <w:rPr>
          <w:rFonts w:eastAsiaTheme="minorEastAsia"/>
          <w:b/>
          <w:bCs/>
          <w:color w:val="000000"/>
          <w:szCs w:val="21"/>
        </w:rPr>
        <w:t>30</w:t>
      </w:r>
      <w:r w:rsidR="00AC4A34" w:rsidRPr="00C24ACA">
        <w:rPr>
          <w:rFonts w:eastAsiaTheme="minorEastAsia"/>
          <w:b/>
          <w:bCs/>
          <w:color w:val="000000"/>
          <w:szCs w:val="21"/>
        </w:rPr>
        <w:t>日</w:t>
      </w:r>
      <w:r w:rsidRPr="00C24ACA">
        <w:rPr>
          <w:rFonts w:eastAsiaTheme="minorEastAsia"/>
          <w:b/>
          <w:bCs/>
          <w:color w:val="000000"/>
          <w:szCs w:val="21"/>
        </w:rPr>
        <w:t>）本基金持有的流通受限证券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6.4.12.1</w:t>
      </w:r>
      <w:r w:rsidRPr="00C24ACA">
        <w:rPr>
          <w:rFonts w:eastAsiaTheme="minorEastAsia"/>
          <w:b/>
          <w:bCs/>
          <w:color w:val="000000"/>
          <w:szCs w:val="21"/>
        </w:rPr>
        <w:t>因认购新发</w:t>
      </w:r>
      <w:r w:rsidRPr="00C24ACA">
        <w:rPr>
          <w:rFonts w:eastAsiaTheme="minorEastAsia"/>
          <w:b/>
          <w:bCs/>
          <w:color w:val="000000"/>
          <w:szCs w:val="21"/>
        </w:rPr>
        <w:t>/</w:t>
      </w:r>
      <w:r w:rsidRPr="00C24ACA">
        <w:rPr>
          <w:rFonts w:eastAsiaTheme="minorEastAsia"/>
          <w:b/>
          <w:bCs/>
          <w:color w:val="000000"/>
          <w:szCs w:val="21"/>
        </w:rPr>
        <w:t>增发证券而于期末持有的流通受限证券</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本基金无因认购新发</w:t>
      </w:r>
      <w:r w:rsidRPr="00C24ACA">
        <w:rPr>
          <w:rFonts w:eastAsiaTheme="minorEastAsia"/>
          <w:kern w:val="0"/>
          <w:szCs w:val="21"/>
        </w:rPr>
        <w:t>/</w:t>
      </w:r>
      <w:r w:rsidRPr="00C24ACA">
        <w:rPr>
          <w:rFonts w:eastAsiaTheme="minorEastAsia"/>
          <w:kern w:val="0"/>
          <w:szCs w:val="21"/>
        </w:rPr>
        <w:t>增发证券而于期末持有的流通受限证券。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6.4.12.2</w:t>
      </w:r>
      <w:r w:rsidRPr="00C24ACA">
        <w:rPr>
          <w:rFonts w:eastAsiaTheme="minorEastAsia"/>
          <w:b/>
          <w:bCs/>
          <w:color w:val="000000"/>
          <w:szCs w:val="21"/>
        </w:rPr>
        <w:t>期末持有的暂时停牌等流通受限股票</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w:t>
      </w:r>
      <w:r w:rsidRPr="00C24ACA">
        <w:rPr>
          <w:rFonts w:eastAsiaTheme="minorEastAsia"/>
          <w:b/>
          <w:bCs/>
          <w:color w:val="000000"/>
          <w:szCs w:val="21"/>
        </w:rPr>
        <w:t>期末债券正回购交易中作为抵押的债券</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6.4.12.3.1</w:t>
      </w:r>
      <w:r w:rsidRPr="00C24ACA">
        <w:rPr>
          <w:rFonts w:eastAsiaTheme="minorEastAsia"/>
          <w:b/>
          <w:bCs/>
          <w:color w:val="000000"/>
          <w:szCs w:val="21"/>
        </w:rPr>
        <w:t>银行间市场债券正回购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日止，本基金从事银行间市场债券正回购交易形成的卖出回购证券款余额为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6.4.12.3.2</w:t>
      </w:r>
      <w:r w:rsidRPr="00C24ACA">
        <w:rPr>
          <w:rFonts w:eastAsiaTheme="minorEastAsia"/>
          <w:b/>
          <w:bCs/>
          <w:color w:val="000000"/>
          <w:szCs w:val="21"/>
        </w:rPr>
        <w:t>交易所市场债券正回购</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截至本报告期末</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日止，本基金从事证券交易所债券正回购交易形成的卖出回购证券款余额为</w:t>
      </w:r>
      <w:r w:rsidRPr="00C24ACA">
        <w:rPr>
          <w:rFonts w:eastAsiaTheme="minorEastAsia"/>
          <w:kern w:val="0"/>
          <w:szCs w:val="21"/>
        </w:rPr>
        <w:t>0</w:t>
      </w:r>
      <w:r w:rsidRPr="00C24ACA">
        <w:rPr>
          <w:rFonts w:eastAsiaTheme="minorEastAsia"/>
          <w:kern w:val="0"/>
          <w:szCs w:val="21"/>
        </w:rPr>
        <w:t>，无抵押债券。</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w:t>
      </w:r>
      <w:r w:rsidRPr="00C24ACA">
        <w:rPr>
          <w:rFonts w:eastAsiaTheme="minorEastAsia"/>
          <w:b/>
          <w:bCs/>
          <w:color w:val="000000"/>
          <w:szCs w:val="21"/>
        </w:rPr>
        <w:t>金融工具风险及管理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6.4.13.1</w:t>
      </w:r>
      <w:r w:rsidRPr="00C24ACA">
        <w:rPr>
          <w:rFonts w:eastAsiaTheme="minorEastAsia"/>
          <w:b/>
          <w:bCs/>
          <w:color w:val="000000"/>
          <w:szCs w:val="21"/>
        </w:rPr>
        <w:t>风险管理政策和组织架构</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本基金管理人按照</w:t>
      </w:r>
      <w:r>
        <w:rPr>
          <w:rFonts w:eastAsiaTheme="minorEastAsia"/>
          <w:kern w:val="0"/>
          <w:szCs w:val="21"/>
        </w:rPr>
        <w:t>“</w:t>
      </w:r>
      <w:r>
        <w:rPr>
          <w:rFonts w:eastAsiaTheme="minorEastAsia"/>
          <w:kern w:val="0"/>
          <w:szCs w:val="21"/>
        </w:rPr>
        <w:t>自上而下与自下而上相结合，全面管理、专业分工</w:t>
      </w:r>
      <w:r>
        <w:rPr>
          <w:rFonts w:eastAsiaTheme="minorEastAsia"/>
          <w:kern w:val="0"/>
          <w:szCs w:val="21"/>
        </w:rPr>
        <w:t>”</w:t>
      </w:r>
      <w:r>
        <w:rPr>
          <w:rFonts w:eastAsiaTheme="minorEastAsia"/>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rFonts w:eastAsiaTheme="minorEastAsia"/>
          <w:kern w:val="0"/>
          <w:szCs w:val="21"/>
        </w:rPr>
        <w:t>“</w:t>
      </w:r>
      <w:r>
        <w:rPr>
          <w:rFonts w:eastAsiaTheme="minorEastAsia"/>
          <w:kern w:val="0"/>
          <w:szCs w:val="21"/>
        </w:rPr>
        <w:t>事前的风险定位、事中的风险管理和事后的风险评估</w:t>
      </w:r>
      <w:r>
        <w:rPr>
          <w:rFonts w:eastAsiaTheme="minorEastAsia"/>
          <w:kern w:val="0"/>
          <w:szCs w:val="21"/>
        </w:rPr>
        <w:t>”</w:t>
      </w:r>
      <w:r>
        <w:rPr>
          <w:rFonts w:eastAsiaTheme="minorEastAsia"/>
          <w:kern w:val="0"/>
          <w:szCs w:val="21"/>
        </w:rPr>
        <w:t>的健全的风险监控体系。</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6.4.13.2</w:t>
      </w:r>
      <w:r w:rsidRPr="00C24ACA">
        <w:rPr>
          <w:rFonts w:eastAsiaTheme="minorEastAsia"/>
          <w:b/>
          <w:bCs/>
          <w:color w:val="000000"/>
          <w:szCs w:val="21"/>
        </w:rPr>
        <w:t>信用风险</w:t>
      </w:r>
    </w:p>
    <w:p w:rsidR="000265E6" w:rsidRDefault="004D56B3">
      <w:pPr>
        <w:tabs>
          <w:tab w:val="left" w:pos="426"/>
        </w:tabs>
        <w:spacing w:line="360" w:lineRule="auto"/>
        <w:ind w:firstLineChars="200" w:firstLine="420"/>
        <w:rPr>
          <w:kern w:val="0"/>
          <w:szCs w:val="21"/>
        </w:rPr>
      </w:pPr>
      <w:r>
        <w:rPr>
          <w:rFonts w:eastAsiaTheme="minorEastAsia"/>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392A2D" w:rsidRDefault="008A5A5D" w:rsidP="00392A2D">
      <w:pPr>
        <w:tabs>
          <w:tab w:val="left" w:pos="426"/>
        </w:tabs>
        <w:spacing w:line="360" w:lineRule="auto"/>
        <w:ind w:firstLineChars="200" w:firstLine="420"/>
        <w:rPr>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日，本基金持有的除国债、央行票据和政策性金融债以外的债券占基金资产净值的比例为</w:t>
      </w:r>
      <w:r w:rsidRPr="00C24ACA">
        <w:rPr>
          <w:rFonts w:eastAsiaTheme="minorEastAsia"/>
          <w:kern w:val="0"/>
          <w:szCs w:val="21"/>
        </w:rPr>
        <w:t>0.00%</w:t>
      </w:r>
      <w:r w:rsidRPr="00C24ACA">
        <w:rPr>
          <w:rFonts w:eastAsiaTheme="minorEastAsia"/>
          <w:kern w:val="0"/>
          <w:szCs w:val="21"/>
        </w:rPr>
        <w:t>。</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6.4.13.2.1 </w:t>
      </w:r>
      <w:r w:rsidRPr="003E69CF">
        <w:rPr>
          <w:rFonts w:eastAsiaTheme="minorEastAsia" w:hint="eastAsia"/>
          <w:b/>
          <w:color w:val="000000"/>
          <w:szCs w:val="21"/>
        </w:rPr>
        <w:t>按短期信用评级列示的债券投资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392A2D" w:rsidTr="00D0593F">
        <w:trPr>
          <w:jc w:val="center"/>
        </w:trPr>
        <w:tc>
          <w:tcPr>
            <w:tcW w:w="3686"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4961"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686" w:type="dxa"/>
            <w:vAlign w:val="center"/>
            <w:hideMark/>
          </w:tcPr>
          <w:p w:rsidR="00392A2D" w:rsidRDefault="00392A2D">
            <w:pPr>
              <w:rPr>
                <w:szCs w:val="21"/>
              </w:rPr>
            </w:pPr>
            <w:r>
              <w:rPr>
                <w:szCs w:val="21"/>
              </w:rPr>
              <w:t>A-1</w:t>
            </w:r>
          </w:p>
        </w:tc>
        <w:tc>
          <w:tcPr>
            <w:tcW w:w="4961" w:type="dxa"/>
            <w:vAlign w:val="center"/>
            <w:hideMark/>
          </w:tcPr>
          <w:p w:rsidR="00392A2D" w:rsidRDefault="00392A2D">
            <w:pPr>
              <w:jc w:val="right"/>
              <w:rPr>
                <w:szCs w:val="21"/>
              </w:rPr>
            </w:pPr>
            <w:r>
              <w:rPr>
                <w:szCs w:val="21"/>
              </w:rPr>
              <w:t>0.00</w:t>
            </w:r>
          </w:p>
        </w:tc>
      </w:tr>
      <w:tr w:rsidR="00392A2D" w:rsidTr="00D0593F">
        <w:trPr>
          <w:jc w:val="center"/>
        </w:trPr>
        <w:tc>
          <w:tcPr>
            <w:tcW w:w="3686" w:type="dxa"/>
            <w:vAlign w:val="center"/>
            <w:hideMark/>
          </w:tcPr>
          <w:p w:rsidR="00392A2D" w:rsidRDefault="00392A2D">
            <w:pPr>
              <w:rPr>
                <w:szCs w:val="21"/>
              </w:rPr>
            </w:pPr>
            <w:r>
              <w:rPr>
                <w:szCs w:val="21"/>
              </w:rPr>
              <w:t>A-1</w:t>
            </w:r>
            <w:r>
              <w:rPr>
                <w:rFonts w:hint="eastAsia"/>
                <w:szCs w:val="21"/>
              </w:rPr>
              <w:t>以下</w:t>
            </w:r>
          </w:p>
        </w:tc>
        <w:tc>
          <w:tcPr>
            <w:tcW w:w="4961" w:type="dxa"/>
            <w:vAlign w:val="center"/>
            <w:hideMark/>
          </w:tcPr>
          <w:p w:rsidR="00392A2D" w:rsidRDefault="00392A2D">
            <w:pPr>
              <w:jc w:val="right"/>
              <w:rPr>
                <w:szCs w:val="21"/>
              </w:rPr>
            </w:pPr>
            <w:r>
              <w:rPr>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961" w:type="dxa"/>
            <w:vAlign w:val="center"/>
            <w:hideMark/>
          </w:tcPr>
          <w:p w:rsidR="00392A2D" w:rsidRDefault="00392A2D">
            <w:pPr>
              <w:jc w:val="right"/>
              <w:rPr>
                <w:szCs w:val="21"/>
              </w:rPr>
            </w:pPr>
            <w:r>
              <w:rPr>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4961" w:type="dxa"/>
            <w:vAlign w:val="center"/>
            <w:hideMark/>
          </w:tcPr>
          <w:p w:rsidR="00392A2D" w:rsidRDefault="00392A2D">
            <w:pPr>
              <w:jc w:val="right"/>
              <w:rPr>
                <w:szCs w:val="21"/>
              </w:rPr>
            </w:pPr>
            <w:r>
              <w:rPr>
                <w:szCs w:val="21"/>
              </w:rPr>
              <w:t>0.00</w:t>
            </w:r>
          </w:p>
        </w:tc>
      </w:tr>
    </w:tbl>
    <w:p w:rsidR="000265E6" w:rsidRDefault="004D56B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0265E6" w:rsidRDefault="004D56B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 xml:space="preserve">6.4.13.2.2 </w:t>
      </w:r>
      <w:r w:rsidRPr="003E69CF">
        <w:rPr>
          <w:rFonts w:eastAsiaTheme="minorEastAsia" w:hint="eastAsia"/>
          <w:b/>
          <w:color w:val="000000"/>
          <w:szCs w:val="21"/>
        </w:rPr>
        <w:t>按短期信用评级列示的资产支持证券投资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392A2D" w:rsidTr="00D0593F">
        <w:trPr>
          <w:jc w:val="center"/>
        </w:trPr>
        <w:tc>
          <w:tcPr>
            <w:tcW w:w="3686"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4961"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686" w:type="dxa"/>
            <w:hideMark/>
          </w:tcPr>
          <w:p w:rsidR="00392A2D" w:rsidRDefault="00392A2D">
            <w:pPr>
              <w:rPr>
                <w:rFonts w:eastAsiaTheme="minorEastAsia"/>
                <w:szCs w:val="21"/>
              </w:rPr>
            </w:pPr>
            <w:r>
              <w:rPr>
                <w:rFonts w:eastAsiaTheme="minorEastAsia"/>
                <w:szCs w:val="21"/>
              </w:rPr>
              <w:t>A-1</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4961"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6.4.13.2.3 </w:t>
      </w:r>
      <w:r w:rsidRPr="003E69CF">
        <w:rPr>
          <w:rFonts w:eastAsiaTheme="minorEastAsia" w:hint="eastAsia"/>
          <w:b/>
          <w:color w:val="000000"/>
          <w:szCs w:val="21"/>
        </w:rPr>
        <w:t>按短期信用评级列示的同业存单投资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392A2D" w:rsidTr="00D0593F">
        <w:trPr>
          <w:jc w:val="center"/>
        </w:trPr>
        <w:tc>
          <w:tcPr>
            <w:tcW w:w="3686" w:type="dxa"/>
            <w:vAlign w:val="center"/>
            <w:hideMark/>
          </w:tcPr>
          <w:p w:rsidR="00392A2D" w:rsidRDefault="00392A2D">
            <w:pPr>
              <w:jc w:val="center"/>
              <w:rPr>
                <w:rFonts w:eastAsiaTheme="minorEastAsia"/>
                <w:szCs w:val="21"/>
              </w:rPr>
            </w:pPr>
            <w:r>
              <w:rPr>
                <w:rFonts w:eastAsiaTheme="minorEastAsia" w:hint="eastAsia"/>
                <w:szCs w:val="21"/>
              </w:rPr>
              <w:t>短期信用评级</w:t>
            </w:r>
          </w:p>
        </w:tc>
        <w:tc>
          <w:tcPr>
            <w:tcW w:w="4961"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686" w:type="dxa"/>
            <w:hideMark/>
          </w:tcPr>
          <w:p w:rsidR="00392A2D" w:rsidRDefault="00392A2D">
            <w:pPr>
              <w:rPr>
                <w:rFonts w:eastAsiaTheme="minorEastAsia"/>
                <w:szCs w:val="21"/>
              </w:rPr>
            </w:pPr>
            <w:r>
              <w:rPr>
                <w:rFonts w:eastAsiaTheme="minorEastAsia"/>
                <w:szCs w:val="21"/>
              </w:rPr>
              <w:t>A-1</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hideMark/>
          </w:tcPr>
          <w:p w:rsidR="00392A2D" w:rsidRDefault="00392A2D">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961"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686" w:type="dxa"/>
            <w:vAlign w:val="center"/>
            <w:hideMark/>
          </w:tcPr>
          <w:p w:rsidR="00392A2D" w:rsidRDefault="00392A2D">
            <w:pPr>
              <w:rPr>
                <w:rFonts w:eastAsiaTheme="minorEastAsia"/>
                <w:szCs w:val="21"/>
              </w:rPr>
            </w:pPr>
            <w:r>
              <w:rPr>
                <w:rFonts w:eastAsiaTheme="minorEastAsia" w:hint="eastAsia"/>
                <w:kern w:val="0"/>
                <w:szCs w:val="21"/>
              </w:rPr>
              <w:t>合计</w:t>
            </w:r>
          </w:p>
        </w:tc>
        <w:tc>
          <w:tcPr>
            <w:tcW w:w="4961" w:type="dxa"/>
            <w:hideMark/>
          </w:tcPr>
          <w:p w:rsidR="00392A2D" w:rsidRDefault="00392A2D">
            <w:pPr>
              <w:jc w:val="right"/>
              <w:rPr>
                <w:rFonts w:eastAsiaTheme="minorEastAsia"/>
                <w:szCs w:val="21"/>
              </w:rPr>
            </w:pPr>
            <w:r>
              <w:rPr>
                <w:rFonts w:eastAsiaTheme="minorEastAsia"/>
                <w:szCs w:val="21"/>
              </w:rPr>
              <w:t>0.00</w:t>
            </w:r>
          </w:p>
        </w:tc>
      </w:tr>
    </w:tbl>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6.4.13.2.4 </w:t>
      </w:r>
      <w:r w:rsidRPr="003E69CF">
        <w:rPr>
          <w:rFonts w:eastAsiaTheme="minorEastAsia" w:hint="eastAsia"/>
          <w:b/>
          <w:color w:val="000000"/>
          <w:szCs w:val="21"/>
        </w:rPr>
        <w:t>按长期信用评级列示的债券投资</w:t>
      </w:r>
    </w:p>
    <w:p w:rsidR="00392A2D" w:rsidRDefault="00392A2D" w:rsidP="00392A2D">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392A2D" w:rsidTr="00D0593F">
        <w:trPr>
          <w:jc w:val="center"/>
        </w:trPr>
        <w:tc>
          <w:tcPr>
            <w:tcW w:w="3758"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4889"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758" w:type="dxa"/>
            <w:vAlign w:val="center"/>
            <w:hideMark/>
          </w:tcPr>
          <w:p w:rsidR="00392A2D" w:rsidRDefault="00392A2D">
            <w:pPr>
              <w:rPr>
                <w:szCs w:val="21"/>
              </w:rPr>
            </w:pPr>
            <w:r>
              <w:rPr>
                <w:szCs w:val="21"/>
              </w:rPr>
              <w:t>AAA</w:t>
            </w:r>
          </w:p>
        </w:tc>
        <w:tc>
          <w:tcPr>
            <w:tcW w:w="4889" w:type="dxa"/>
            <w:vAlign w:val="center"/>
            <w:hideMark/>
          </w:tcPr>
          <w:p w:rsidR="00392A2D" w:rsidRDefault="00392A2D">
            <w:pPr>
              <w:jc w:val="right"/>
              <w:rPr>
                <w:szCs w:val="21"/>
              </w:rPr>
            </w:pPr>
            <w:r>
              <w:rPr>
                <w:szCs w:val="21"/>
              </w:rPr>
              <w:t>0.00</w:t>
            </w:r>
          </w:p>
        </w:tc>
      </w:tr>
      <w:tr w:rsidR="00392A2D" w:rsidTr="00D0593F">
        <w:trPr>
          <w:jc w:val="center"/>
        </w:trPr>
        <w:tc>
          <w:tcPr>
            <w:tcW w:w="3758" w:type="dxa"/>
            <w:vAlign w:val="center"/>
            <w:hideMark/>
          </w:tcPr>
          <w:p w:rsidR="00392A2D" w:rsidRDefault="00392A2D">
            <w:pPr>
              <w:rPr>
                <w:szCs w:val="21"/>
              </w:rPr>
            </w:pPr>
            <w:r>
              <w:rPr>
                <w:szCs w:val="21"/>
              </w:rPr>
              <w:t>AAA</w:t>
            </w:r>
            <w:r>
              <w:rPr>
                <w:rFonts w:hint="eastAsia"/>
                <w:szCs w:val="21"/>
              </w:rPr>
              <w:t>以下</w:t>
            </w:r>
          </w:p>
        </w:tc>
        <w:tc>
          <w:tcPr>
            <w:tcW w:w="4889" w:type="dxa"/>
            <w:vAlign w:val="center"/>
            <w:hideMark/>
          </w:tcPr>
          <w:p w:rsidR="00392A2D" w:rsidRDefault="00392A2D">
            <w:pPr>
              <w:jc w:val="right"/>
              <w:rPr>
                <w:szCs w:val="21"/>
              </w:rPr>
            </w:pPr>
            <w:r>
              <w:rPr>
                <w:szCs w:val="21"/>
              </w:rPr>
              <w:t>0.00</w:t>
            </w:r>
          </w:p>
        </w:tc>
      </w:tr>
      <w:tr w:rsidR="00392A2D" w:rsidTr="00D0593F">
        <w:trPr>
          <w:jc w:val="center"/>
        </w:trPr>
        <w:tc>
          <w:tcPr>
            <w:tcW w:w="3758"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889" w:type="dxa"/>
            <w:vAlign w:val="center"/>
            <w:hideMark/>
          </w:tcPr>
          <w:p w:rsidR="00392A2D" w:rsidRDefault="00392A2D">
            <w:pPr>
              <w:jc w:val="right"/>
              <w:rPr>
                <w:szCs w:val="21"/>
              </w:rPr>
            </w:pPr>
            <w:r>
              <w:rPr>
                <w:szCs w:val="21"/>
              </w:rPr>
              <w:t>0.00</w:t>
            </w:r>
          </w:p>
        </w:tc>
      </w:tr>
      <w:tr w:rsidR="00392A2D" w:rsidTr="00D0593F">
        <w:trPr>
          <w:jc w:val="center"/>
        </w:trPr>
        <w:tc>
          <w:tcPr>
            <w:tcW w:w="3758"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4889" w:type="dxa"/>
            <w:vAlign w:val="center"/>
            <w:hideMark/>
          </w:tcPr>
          <w:p w:rsidR="00392A2D" w:rsidRDefault="00392A2D">
            <w:pPr>
              <w:jc w:val="right"/>
              <w:rPr>
                <w:szCs w:val="21"/>
              </w:rPr>
            </w:pPr>
            <w:r>
              <w:rPr>
                <w:szCs w:val="21"/>
              </w:rPr>
              <w:t>0.00</w:t>
            </w:r>
          </w:p>
        </w:tc>
      </w:tr>
    </w:tbl>
    <w:p w:rsidR="000265E6" w:rsidRDefault="004D56B3">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0265E6" w:rsidRDefault="004D56B3">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392A2D" w:rsidRDefault="00392A2D" w:rsidP="00392A2D">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392A2D" w:rsidRDefault="00392A2D" w:rsidP="003E69CF">
      <w:pPr>
        <w:spacing w:beforeLines="100" w:before="312" w:line="360" w:lineRule="auto"/>
        <w:rPr>
          <w:rFonts w:ascii="宋体"/>
          <w:b/>
          <w:bCs/>
          <w:color w:val="000000"/>
          <w:szCs w:val="21"/>
        </w:rPr>
      </w:pPr>
      <w:r w:rsidRPr="003E69CF">
        <w:rPr>
          <w:rFonts w:eastAsiaTheme="minorEastAsia" w:hint="eastAsia"/>
          <w:b/>
          <w:color w:val="000000"/>
          <w:szCs w:val="21"/>
        </w:rPr>
        <w:t xml:space="preserve">6.4.13.2.5 </w:t>
      </w:r>
      <w:r w:rsidRPr="003E69CF">
        <w:rPr>
          <w:rFonts w:eastAsiaTheme="minorEastAsia" w:hint="eastAsia"/>
          <w:b/>
          <w:color w:val="000000"/>
          <w:szCs w:val="21"/>
        </w:rPr>
        <w:t>按长期信用评级列示的资产支持证券投资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392A2D" w:rsidTr="00D0593F">
        <w:trPr>
          <w:jc w:val="center"/>
        </w:trPr>
        <w:tc>
          <w:tcPr>
            <w:tcW w:w="3758"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4889"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758" w:type="dxa"/>
            <w:hideMark/>
          </w:tcPr>
          <w:p w:rsidR="00392A2D" w:rsidRDefault="00392A2D">
            <w:pPr>
              <w:rPr>
                <w:rFonts w:eastAsiaTheme="minorEastAsia"/>
                <w:szCs w:val="21"/>
              </w:rPr>
            </w:pPr>
            <w:r>
              <w:rPr>
                <w:rFonts w:eastAsiaTheme="minorEastAsia"/>
                <w:szCs w:val="21"/>
              </w:rPr>
              <w:t>AAA</w:t>
            </w:r>
          </w:p>
        </w:tc>
        <w:tc>
          <w:tcPr>
            <w:tcW w:w="4889"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758"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758"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889"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758"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4889" w:type="dxa"/>
            <w:vAlign w:val="center"/>
            <w:hideMark/>
          </w:tcPr>
          <w:p w:rsidR="00392A2D" w:rsidRDefault="00392A2D">
            <w:pPr>
              <w:jc w:val="right"/>
              <w:rPr>
                <w:rFonts w:eastAsiaTheme="minorEastAsia"/>
                <w:szCs w:val="21"/>
              </w:rPr>
            </w:pPr>
            <w:r>
              <w:rPr>
                <w:rFonts w:eastAsiaTheme="minorEastAsia"/>
                <w:szCs w:val="21"/>
              </w:rPr>
              <w:t>0.00</w:t>
            </w:r>
          </w:p>
        </w:tc>
      </w:tr>
    </w:tbl>
    <w:p w:rsidR="00392A2D" w:rsidRPr="003E69CF" w:rsidRDefault="00392A2D" w:rsidP="003E69CF">
      <w:pPr>
        <w:spacing w:beforeLines="100" w:before="312" w:line="360" w:lineRule="auto"/>
        <w:rPr>
          <w:rFonts w:eastAsiaTheme="minorEastAsia"/>
          <w:b/>
          <w:color w:val="000000"/>
          <w:szCs w:val="21"/>
        </w:rPr>
      </w:pPr>
      <w:r w:rsidRPr="003E69CF">
        <w:rPr>
          <w:rFonts w:eastAsiaTheme="minorEastAsia" w:hint="eastAsia"/>
          <w:b/>
          <w:color w:val="000000"/>
          <w:szCs w:val="21"/>
        </w:rPr>
        <w:t>6.4.13.2.6</w:t>
      </w:r>
      <w:r w:rsidRPr="003E69CF">
        <w:rPr>
          <w:rFonts w:eastAsiaTheme="minorEastAsia" w:hint="eastAsia"/>
          <w:b/>
          <w:color w:val="000000"/>
          <w:szCs w:val="21"/>
        </w:rPr>
        <w:t>按长期信用评级列示的同业存单投资</w:t>
      </w:r>
    </w:p>
    <w:p w:rsidR="00392A2D" w:rsidRDefault="00392A2D" w:rsidP="00392A2D">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392A2D" w:rsidTr="00D0593F">
        <w:trPr>
          <w:jc w:val="center"/>
        </w:trPr>
        <w:tc>
          <w:tcPr>
            <w:tcW w:w="3827" w:type="dxa"/>
            <w:vAlign w:val="center"/>
            <w:hideMark/>
          </w:tcPr>
          <w:p w:rsidR="00392A2D" w:rsidRDefault="00392A2D">
            <w:pPr>
              <w:jc w:val="center"/>
              <w:rPr>
                <w:rFonts w:eastAsiaTheme="minorEastAsia"/>
                <w:szCs w:val="21"/>
              </w:rPr>
            </w:pPr>
            <w:r>
              <w:rPr>
                <w:rFonts w:eastAsiaTheme="minorEastAsia" w:hint="eastAsia"/>
                <w:szCs w:val="21"/>
              </w:rPr>
              <w:t>长期信用评级</w:t>
            </w:r>
          </w:p>
        </w:tc>
        <w:tc>
          <w:tcPr>
            <w:tcW w:w="4820" w:type="dxa"/>
            <w:hideMark/>
          </w:tcPr>
          <w:p w:rsidR="00392A2D" w:rsidRDefault="00392A2D">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392A2D" w:rsidRDefault="00392A2D">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392A2D" w:rsidTr="00D0593F">
        <w:trPr>
          <w:jc w:val="center"/>
        </w:trPr>
        <w:tc>
          <w:tcPr>
            <w:tcW w:w="3827" w:type="dxa"/>
            <w:hideMark/>
          </w:tcPr>
          <w:p w:rsidR="00392A2D" w:rsidRDefault="00392A2D">
            <w:pPr>
              <w:rPr>
                <w:rFonts w:eastAsiaTheme="minorEastAsia"/>
                <w:szCs w:val="21"/>
              </w:rPr>
            </w:pPr>
            <w:r>
              <w:rPr>
                <w:rFonts w:eastAsiaTheme="minorEastAsia"/>
                <w:szCs w:val="21"/>
              </w:rPr>
              <w:t>AAA</w:t>
            </w:r>
          </w:p>
        </w:tc>
        <w:tc>
          <w:tcPr>
            <w:tcW w:w="4820"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827" w:type="dxa"/>
            <w:hideMark/>
          </w:tcPr>
          <w:p w:rsidR="00392A2D" w:rsidRDefault="00392A2D">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827" w:type="dxa"/>
            <w:vAlign w:val="center"/>
            <w:hideMark/>
          </w:tcPr>
          <w:p w:rsidR="00392A2D" w:rsidRDefault="00392A2D">
            <w:pPr>
              <w:rPr>
                <w:rFonts w:eastAsiaTheme="minorEastAsia"/>
                <w:szCs w:val="21"/>
              </w:rPr>
            </w:pPr>
            <w:r>
              <w:rPr>
                <w:rFonts w:eastAsiaTheme="minorEastAsia" w:hint="eastAsia"/>
                <w:kern w:val="0"/>
                <w:szCs w:val="21"/>
              </w:rPr>
              <w:t>未评级</w:t>
            </w:r>
          </w:p>
        </w:tc>
        <w:tc>
          <w:tcPr>
            <w:tcW w:w="4820" w:type="dxa"/>
            <w:hideMark/>
          </w:tcPr>
          <w:p w:rsidR="00392A2D" w:rsidRDefault="00392A2D">
            <w:pPr>
              <w:jc w:val="right"/>
              <w:rPr>
                <w:rFonts w:eastAsiaTheme="minorEastAsia"/>
                <w:szCs w:val="21"/>
              </w:rPr>
            </w:pPr>
            <w:r>
              <w:rPr>
                <w:rFonts w:eastAsiaTheme="minorEastAsia"/>
                <w:szCs w:val="21"/>
              </w:rPr>
              <w:t>0.00</w:t>
            </w:r>
          </w:p>
        </w:tc>
      </w:tr>
      <w:tr w:rsidR="00392A2D" w:rsidTr="00D0593F">
        <w:trPr>
          <w:jc w:val="center"/>
        </w:trPr>
        <w:tc>
          <w:tcPr>
            <w:tcW w:w="3827" w:type="dxa"/>
            <w:vAlign w:val="center"/>
            <w:hideMark/>
          </w:tcPr>
          <w:p w:rsidR="00392A2D" w:rsidRDefault="00392A2D">
            <w:pPr>
              <w:rPr>
                <w:rFonts w:eastAsiaTheme="minorEastAsia"/>
                <w:kern w:val="0"/>
                <w:szCs w:val="21"/>
              </w:rPr>
            </w:pPr>
            <w:r>
              <w:rPr>
                <w:rFonts w:eastAsiaTheme="minorEastAsia" w:hint="eastAsia"/>
                <w:kern w:val="0"/>
                <w:szCs w:val="21"/>
              </w:rPr>
              <w:t>合计</w:t>
            </w:r>
          </w:p>
        </w:tc>
        <w:tc>
          <w:tcPr>
            <w:tcW w:w="4820" w:type="dxa"/>
            <w:vAlign w:val="center"/>
            <w:hideMark/>
          </w:tcPr>
          <w:p w:rsidR="00392A2D" w:rsidRDefault="00392A2D">
            <w:pPr>
              <w:jc w:val="right"/>
              <w:rPr>
                <w:rFonts w:eastAsiaTheme="minorEastAsia"/>
                <w:szCs w:val="21"/>
              </w:rPr>
            </w:pPr>
            <w:r>
              <w:rPr>
                <w:rFonts w:eastAsiaTheme="minorEastAsia"/>
                <w:szCs w:val="21"/>
              </w:rPr>
              <w:t>0.00</w:t>
            </w:r>
          </w:p>
        </w:tc>
      </w:tr>
    </w:tbl>
    <w:p w:rsidR="008A5A5D" w:rsidRPr="00C24ACA" w:rsidRDefault="008A5A5D" w:rsidP="00392A2D">
      <w:pPr>
        <w:tabs>
          <w:tab w:val="left" w:pos="426"/>
        </w:tabs>
        <w:spacing w:line="360" w:lineRule="auto"/>
        <w:ind w:firstLineChars="200" w:firstLine="422"/>
        <w:rPr>
          <w:rFonts w:eastAsiaTheme="minorEastAsia"/>
          <w:b/>
          <w:bCs/>
          <w:color w:val="000000"/>
          <w:szCs w:val="21"/>
        </w:rPr>
      </w:pPr>
      <w:r w:rsidRPr="00C24ACA">
        <w:rPr>
          <w:rFonts w:eastAsiaTheme="minorEastAsia"/>
          <w:b/>
          <w:bCs/>
          <w:color w:val="000000"/>
          <w:kern w:val="0"/>
          <w:szCs w:val="21"/>
        </w:rPr>
        <w:t>6.4.13.3</w:t>
      </w:r>
      <w:r w:rsidRPr="00C24ACA">
        <w:rPr>
          <w:rFonts w:eastAsiaTheme="minorEastAsia"/>
          <w:b/>
          <w:bCs/>
          <w:color w:val="000000"/>
          <w:szCs w:val="21"/>
        </w:rPr>
        <w:t>流动性风险</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于</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6</w:t>
      </w:r>
      <w:r w:rsidRPr="00C24ACA">
        <w:rPr>
          <w:rFonts w:eastAsiaTheme="minorEastAsia"/>
          <w:kern w:val="0"/>
          <w:szCs w:val="21"/>
        </w:rPr>
        <w:t>月</w:t>
      </w:r>
      <w:r w:rsidRPr="00C24ACA">
        <w:rPr>
          <w:rFonts w:eastAsiaTheme="minorEastAsia"/>
          <w:kern w:val="0"/>
          <w:szCs w:val="21"/>
        </w:rPr>
        <w:t>30</w:t>
      </w:r>
      <w:r w:rsidRPr="00C24ACA">
        <w:rPr>
          <w:rFonts w:eastAsiaTheme="minorEastAsia"/>
          <w:kern w:val="0"/>
          <w:szCs w:val="21"/>
        </w:rPr>
        <w:t>日，除卖出回购金融资产款余额</w:t>
      </w:r>
      <w:r w:rsidRPr="00C24ACA">
        <w:rPr>
          <w:rFonts w:eastAsiaTheme="minorEastAsia"/>
          <w:kern w:val="0"/>
          <w:szCs w:val="21"/>
        </w:rPr>
        <w:t>(</w:t>
      </w:r>
      <w:r w:rsidRPr="00C24ACA">
        <w:rPr>
          <w:rFonts w:eastAsiaTheme="minorEastAsia"/>
          <w:kern w:val="0"/>
          <w:szCs w:val="21"/>
        </w:rPr>
        <w:t>计息但该利息金额不重大</w:t>
      </w:r>
      <w:r w:rsidRPr="00C24ACA">
        <w:rPr>
          <w:rFonts w:eastAsiaTheme="minorEastAsia"/>
          <w:kern w:val="0"/>
          <w:szCs w:val="21"/>
        </w:rPr>
        <w:t>)</w:t>
      </w:r>
      <w:r w:rsidRPr="00C24ACA">
        <w:rPr>
          <w:rFonts w:eastAsiaTheme="minorEastAsia"/>
          <w:kern w:val="0"/>
          <w:szCs w:val="21"/>
        </w:rPr>
        <w:t>以外，本基金承担的其他金融负债的合约约定到期日均为一年以内且不计息，可赎回基金份额净值</w:t>
      </w:r>
      <w:r w:rsidRPr="00C24ACA">
        <w:rPr>
          <w:rFonts w:eastAsiaTheme="minorEastAsia"/>
          <w:kern w:val="0"/>
          <w:szCs w:val="21"/>
        </w:rPr>
        <w:t>(</w:t>
      </w:r>
      <w:r w:rsidRPr="00C24ACA">
        <w:rPr>
          <w:rFonts w:eastAsiaTheme="minorEastAsia"/>
          <w:kern w:val="0"/>
          <w:szCs w:val="21"/>
        </w:rPr>
        <w:t>所有者权益</w:t>
      </w:r>
      <w:r w:rsidRPr="00C24ACA">
        <w:rPr>
          <w:rFonts w:eastAsiaTheme="minorEastAsia"/>
          <w:kern w:val="0"/>
          <w:szCs w:val="21"/>
        </w:rPr>
        <w:t>)</w:t>
      </w:r>
      <w:r w:rsidRPr="00C24ACA">
        <w:rPr>
          <w:rFonts w:eastAsiaTheme="minorEastAsia"/>
          <w:kern w:val="0"/>
          <w:szCs w:val="21"/>
        </w:rPr>
        <w:t>无固定到期日且不计息，因此账面余额约为未折现的合约到期现金流量。</w:t>
      </w:r>
    </w:p>
    <w:p w:rsidR="00206D74" w:rsidRPr="00A73188" w:rsidRDefault="00206D74" w:rsidP="006C64F3">
      <w:pPr>
        <w:spacing w:beforeLines="50" w:before="156" w:line="360" w:lineRule="auto"/>
        <w:rPr>
          <w:rFonts w:eastAsiaTheme="minorEastAsia"/>
          <w:b/>
          <w:bCs/>
          <w:color w:val="000000" w:themeColor="text1"/>
          <w:szCs w:val="21"/>
        </w:rPr>
      </w:pPr>
      <w:r w:rsidRPr="00A73188">
        <w:rPr>
          <w:rFonts w:eastAsiaTheme="minorEastAsia"/>
          <w:b/>
          <w:bCs/>
          <w:color w:val="000000" w:themeColor="text1"/>
          <w:kern w:val="0"/>
          <w:szCs w:val="21"/>
        </w:rPr>
        <w:t>6.4.13.3</w:t>
      </w:r>
      <w:r w:rsidRPr="00A73188">
        <w:rPr>
          <w:rFonts w:eastAsiaTheme="minorEastAsia" w:hint="eastAsia"/>
          <w:b/>
          <w:bCs/>
          <w:color w:val="000000" w:themeColor="text1"/>
          <w:kern w:val="0"/>
          <w:szCs w:val="21"/>
        </w:rPr>
        <w:t>.1</w:t>
      </w:r>
      <w:r w:rsidRPr="00A73188">
        <w:rPr>
          <w:rFonts w:eastAsiaTheme="minorEastAsia"/>
          <w:b/>
          <w:bCs/>
          <w:color w:val="000000" w:themeColor="text1"/>
          <w:kern w:val="0"/>
          <w:szCs w:val="21"/>
        </w:rPr>
        <w:t xml:space="preserve"> </w:t>
      </w:r>
      <w:r w:rsidRPr="00A73188">
        <w:rPr>
          <w:rFonts w:eastAsiaTheme="minorEastAsia" w:hint="eastAsia"/>
          <w:b/>
          <w:bCs/>
          <w:color w:val="000000" w:themeColor="text1"/>
          <w:szCs w:val="21"/>
        </w:rPr>
        <w:t>报告期内本基金组合资产的流动性风险分析</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06D74" w:rsidRPr="00C24ACA" w:rsidRDefault="00206D74"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本基金的投资范围为具有良好流动性的金融工具，所持大部分证券在流动性良好的证券交易所或者银行间同业市场交易，期末除本报告</w:t>
      </w:r>
      <w:r w:rsidRPr="008707EB">
        <w:rPr>
          <w:rFonts w:eastAsiaTheme="minorEastAsia"/>
          <w:kern w:val="0"/>
          <w:szCs w:val="21"/>
        </w:rPr>
        <w:t>“</w:t>
      </w:r>
      <w:r w:rsidRPr="008707EB">
        <w:rPr>
          <w:rFonts w:eastAsiaTheme="minorEastAsia"/>
          <w:kern w:val="0"/>
          <w:szCs w:val="21"/>
        </w:rPr>
        <w:t>期末本基金持有的流通受限证券</w:t>
      </w:r>
      <w:r w:rsidRPr="008707EB">
        <w:rPr>
          <w:rFonts w:eastAsiaTheme="minorEastAsia"/>
          <w:kern w:val="0"/>
          <w:szCs w:val="21"/>
        </w:rPr>
        <w:t>”</w:t>
      </w:r>
      <w:r w:rsidRPr="008707EB">
        <w:rPr>
          <w:rFonts w:eastAsiaTheme="minorEastAsia"/>
          <w:kern w:val="0"/>
          <w:szCs w:val="21"/>
        </w:rPr>
        <w:t>章节中所列示券种流通暂时受限制不能自由转让外，其余均能及时变现。评估结果显示组合高流动性资产比重较高，组合变现比例能力较好。</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w:t>
      </w:r>
      <w:r w:rsidRPr="00C24ACA">
        <w:rPr>
          <w:rFonts w:eastAsiaTheme="minorEastAsia"/>
          <w:b/>
          <w:bCs/>
          <w:color w:val="000000"/>
          <w:szCs w:val="21"/>
        </w:rPr>
        <w:t>市场风险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投资于国内及海外市场，面临国内及海外市场波动带来的风险。影响金融市场波动的因素比较复杂，包括经济发展、政策变化、资金供求、公司盈利的变化、利率汇率波动等，都将影响基金净值的升跌。此外，基金投资的海外证券市场可能对每日证券交易价格并无涨跌幅上下限的规定，因此对于无涨跌幅上下限的规定证券市场的证券，每日涨跌幅空间相对较大。这一因素可能会带来市场的急剧下跌，从而带来投资风险的增加。</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w:t>
      </w:r>
      <w:r w:rsidRPr="00C24ACA">
        <w:rPr>
          <w:rFonts w:eastAsiaTheme="minorEastAsia"/>
          <w:b/>
          <w:bCs/>
          <w:color w:val="000000"/>
          <w:szCs w:val="21"/>
        </w:rPr>
        <w:t>利率风险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利率风险是指基金的财务状况和现金流量受市场利率变动而发生波动的风险。投资管理人通过久期、凸度、</w:t>
      </w:r>
      <w:r w:rsidRPr="00C24ACA">
        <w:rPr>
          <w:rFonts w:eastAsiaTheme="minorEastAsia"/>
          <w:kern w:val="0"/>
          <w:szCs w:val="21"/>
        </w:rPr>
        <w:t>VAR</w:t>
      </w:r>
      <w:r w:rsidRPr="00C24ACA">
        <w:rPr>
          <w:rFonts w:eastAsiaTheme="minorEastAsia"/>
          <w:kern w:val="0"/>
          <w:szCs w:val="21"/>
        </w:rPr>
        <w:t>等方法评估组合面临的利率风险敞口，并通过调整投资组合的久期等方法对上述利率风险进行管理。</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6.4.13.4.1.1</w:t>
      </w:r>
      <w:r w:rsidRPr="00C24ACA">
        <w:rPr>
          <w:rFonts w:eastAsiaTheme="minorEastAsia"/>
          <w:b/>
          <w:bCs/>
          <w:color w:val="000000"/>
          <w:szCs w:val="21"/>
        </w:rPr>
        <w:t>利率风险敞口</w:t>
      </w:r>
    </w:p>
    <w:p w:rsidR="00A10C6C" w:rsidRPr="00C24ACA" w:rsidRDefault="00A10C6C" w:rsidP="00A10C6C">
      <w:pPr>
        <w:autoSpaceDE w:val="0"/>
        <w:autoSpaceDN w:val="0"/>
        <w:adjustRightInd w:val="0"/>
        <w:spacing w:before="29" w:line="360" w:lineRule="auto"/>
        <w:ind w:left="15"/>
        <w:jc w:val="right"/>
        <w:rPr>
          <w:rFonts w:eastAsiaTheme="minorEastAsia"/>
          <w:color w:val="000000"/>
          <w:szCs w:val="21"/>
        </w:rPr>
      </w:pPr>
      <w:r w:rsidRPr="00C24ACA">
        <w:rPr>
          <w:rFonts w:eastAsiaTheme="minorEastAsia"/>
          <w:color w:val="000000"/>
          <w:szCs w:val="21"/>
        </w:rPr>
        <w:t>单位：人民币元</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A10C6C" w:rsidRPr="00C24ACA" w:rsidTr="004C02E0">
        <w:trPr>
          <w:trHeight w:val="280"/>
        </w:trPr>
        <w:tc>
          <w:tcPr>
            <w:tcW w:w="1588" w:type="dxa"/>
            <w:vAlign w:val="center"/>
          </w:tcPr>
          <w:p w:rsidR="00A10C6C" w:rsidRPr="00C24ACA" w:rsidRDefault="00A10C6C" w:rsidP="00427BFF">
            <w:pPr>
              <w:spacing w:line="360" w:lineRule="auto"/>
              <w:jc w:val="center"/>
              <w:rPr>
                <w:rFonts w:eastAsiaTheme="minorEastAsia"/>
                <w:szCs w:val="21"/>
              </w:rPr>
            </w:pPr>
            <w:r w:rsidRPr="00C24ACA">
              <w:rPr>
                <w:rFonts w:eastAsiaTheme="minorEastAsia"/>
                <w:szCs w:val="21"/>
              </w:rPr>
              <w:t>本期末</w:t>
            </w:r>
          </w:p>
          <w:p w:rsidR="00A10C6C" w:rsidRPr="00C24ACA" w:rsidRDefault="00A10C6C" w:rsidP="00427BFF">
            <w:pPr>
              <w:spacing w:line="360" w:lineRule="auto"/>
              <w:jc w:val="center"/>
              <w:rPr>
                <w:rFonts w:eastAsiaTheme="minorEastAsia"/>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w:t>
            </w:r>
            <w:r w:rsidRPr="00C24ACA">
              <w:rPr>
                <w:rFonts w:eastAsiaTheme="minorEastAsia"/>
                <w:color w:val="000000"/>
                <w:szCs w:val="21"/>
              </w:rPr>
              <w:t>年以内</w:t>
            </w:r>
          </w:p>
        </w:tc>
        <w:tc>
          <w:tcPr>
            <w:tcW w:w="17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1-5</w:t>
            </w:r>
            <w:r w:rsidRPr="00C24ACA">
              <w:rPr>
                <w:rFonts w:eastAsiaTheme="minorEastAsia"/>
                <w:color w:val="000000"/>
                <w:szCs w:val="21"/>
              </w:rPr>
              <w:t>年</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5</w:t>
            </w:r>
            <w:r w:rsidRPr="00C24ACA">
              <w:rPr>
                <w:rFonts w:eastAsiaTheme="minorEastAsia"/>
                <w:color w:val="000000"/>
                <w:szCs w:val="21"/>
              </w:rPr>
              <w:t>年以上</w:t>
            </w:r>
          </w:p>
        </w:tc>
        <w:tc>
          <w:tcPr>
            <w:tcW w:w="1559"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不计息</w:t>
            </w:r>
          </w:p>
        </w:tc>
        <w:tc>
          <w:tcPr>
            <w:tcW w:w="1301" w:type="dxa"/>
            <w:vAlign w:val="center"/>
          </w:tcPr>
          <w:p w:rsidR="00A10C6C" w:rsidRPr="00C24ACA" w:rsidRDefault="00A10C6C" w:rsidP="00427BFF">
            <w:pPr>
              <w:spacing w:line="360" w:lineRule="auto"/>
              <w:jc w:val="center"/>
              <w:rPr>
                <w:rFonts w:eastAsiaTheme="minorEastAsia"/>
                <w:color w:val="000000"/>
                <w:szCs w:val="21"/>
              </w:rPr>
            </w:pPr>
            <w:r w:rsidRPr="00C24ACA">
              <w:rPr>
                <w:rFonts w:eastAsiaTheme="minorEastAsia"/>
                <w:color w:val="000000"/>
                <w:szCs w:val="21"/>
              </w:rPr>
              <w:t>合计</w:t>
            </w:r>
          </w:p>
        </w:tc>
      </w:tr>
      <w:tr w:rsidR="00A10C6C" w:rsidRPr="00C24ACA" w:rsidTr="004C02E0">
        <w:trPr>
          <w:trHeight w:val="280"/>
        </w:trPr>
        <w:tc>
          <w:tcPr>
            <w:tcW w:w="1588" w:type="dxa"/>
          </w:tcPr>
          <w:p w:rsidR="00A10C6C" w:rsidRPr="00C24ACA" w:rsidRDefault="00A10C6C" w:rsidP="00865B2B">
            <w:pPr>
              <w:spacing w:line="360" w:lineRule="auto"/>
              <w:jc w:val="center"/>
              <w:rPr>
                <w:rFonts w:eastAsiaTheme="minorEastAsia"/>
                <w:color w:val="000000"/>
                <w:szCs w:val="21"/>
              </w:rPr>
            </w:pPr>
            <w:r w:rsidRPr="00C24ACA">
              <w:rPr>
                <w:rFonts w:eastAsiaTheme="minorEastAsia"/>
                <w:color w:val="000000"/>
                <w:szCs w:val="21"/>
              </w:rPr>
              <w:t>资产</w:t>
            </w: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b/>
                <w:color w:val="000000"/>
                <w:szCs w:val="21"/>
              </w:rPr>
            </w:pPr>
          </w:p>
        </w:tc>
      </w:tr>
      <w:tr w:rsidR="000265E6">
        <w:tc>
          <w:tcPr>
            <w:tcW w:w="1588" w:type="dxa"/>
            <w:vAlign w:val="center"/>
          </w:tcPr>
          <w:p w:rsidR="000265E6" w:rsidRDefault="004D56B3">
            <w:pPr>
              <w:jc w:val="center"/>
            </w:pPr>
            <w:r>
              <w:rPr>
                <w:rFonts w:eastAsiaTheme="minorEastAsia"/>
                <w:color w:val="000000"/>
                <w:szCs w:val="21"/>
              </w:rPr>
              <w:t>银行存款</w:t>
            </w:r>
          </w:p>
        </w:tc>
        <w:tc>
          <w:tcPr>
            <w:tcW w:w="1701" w:type="dxa"/>
            <w:vAlign w:val="center"/>
          </w:tcPr>
          <w:p w:rsidR="000265E6" w:rsidRDefault="004D56B3">
            <w:pPr>
              <w:jc w:val="right"/>
            </w:pPr>
            <w:r>
              <w:rPr>
                <w:rFonts w:eastAsiaTheme="minorEastAsia"/>
                <w:color w:val="000000"/>
                <w:szCs w:val="21"/>
              </w:rPr>
              <w:t>15,952,515.83</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15,952,515.83</w:t>
            </w:r>
          </w:p>
        </w:tc>
      </w:tr>
      <w:tr w:rsidR="000265E6">
        <w:tc>
          <w:tcPr>
            <w:tcW w:w="1588" w:type="dxa"/>
            <w:vAlign w:val="center"/>
          </w:tcPr>
          <w:p w:rsidR="000265E6" w:rsidRDefault="004D56B3">
            <w:pPr>
              <w:jc w:val="center"/>
            </w:pPr>
            <w:r>
              <w:rPr>
                <w:rFonts w:eastAsiaTheme="minorEastAsia"/>
                <w:color w:val="000000"/>
                <w:szCs w:val="21"/>
              </w:rPr>
              <w:t>结算备付金</w:t>
            </w:r>
          </w:p>
        </w:tc>
        <w:tc>
          <w:tcPr>
            <w:tcW w:w="1701" w:type="dxa"/>
            <w:vAlign w:val="center"/>
          </w:tcPr>
          <w:p w:rsidR="000265E6" w:rsidRDefault="004D56B3">
            <w:pPr>
              <w:jc w:val="right"/>
            </w:pPr>
            <w:r>
              <w:rPr>
                <w:rFonts w:eastAsiaTheme="minorEastAsia"/>
                <w:color w:val="000000"/>
                <w:szCs w:val="21"/>
              </w:rPr>
              <w:t>37,413.68</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37,413.68</w:t>
            </w:r>
          </w:p>
        </w:tc>
      </w:tr>
      <w:tr w:rsidR="000265E6">
        <w:tc>
          <w:tcPr>
            <w:tcW w:w="1588" w:type="dxa"/>
            <w:vAlign w:val="center"/>
          </w:tcPr>
          <w:p w:rsidR="000265E6" w:rsidRDefault="004D56B3">
            <w:pPr>
              <w:jc w:val="center"/>
            </w:pPr>
            <w:r>
              <w:rPr>
                <w:rFonts w:eastAsiaTheme="minorEastAsia"/>
                <w:color w:val="000000"/>
                <w:szCs w:val="21"/>
              </w:rPr>
              <w:t>存出保证金</w:t>
            </w:r>
          </w:p>
        </w:tc>
        <w:tc>
          <w:tcPr>
            <w:tcW w:w="1701" w:type="dxa"/>
            <w:vAlign w:val="center"/>
          </w:tcPr>
          <w:p w:rsidR="000265E6" w:rsidRDefault="004D56B3">
            <w:pPr>
              <w:jc w:val="right"/>
            </w:pPr>
            <w:r>
              <w:rPr>
                <w:rFonts w:eastAsiaTheme="minorEastAsia"/>
                <w:color w:val="000000"/>
                <w:szCs w:val="21"/>
              </w:rPr>
              <w:t>821.51</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821.51</w:t>
            </w:r>
          </w:p>
        </w:tc>
      </w:tr>
      <w:tr w:rsidR="000265E6">
        <w:tc>
          <w:tcPr>
            <w:tcW w:w="1588" w:type="dxa"/>
            <w:vAlign w:val="center"/>
          </w:tcPr>
          <w:p w:rsidR="000265E6" w:rsidRDefault="004D56B3">
            <w:pPr>
              <w:jc w:val="center"/>
            </w:pPr>
            <w:r>
              <w:rPr>
                <w:rFonts w:eastAsiaTheme="minorEastAsia"/>
                <w:color w:val="000000"/>
                <w:szCs w:val="21"/>
              </w:rPr>
              <w:t>交易性金融资产</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6,125,184.65</w:t>
            </w:r>
          </w:p>
        </w:tc>
        <w:tc>
          <w:tcPr>
            <w:tcW w:w="1301" w:type="dxa"/>
            <w:vAlign w:val="center"/>
          </w:tcPr>
          <w:p w:rsidR="000265E6" w:rsidRDefault="004D56B3">
            <w:pPr>
              <w:jc w:val="right"/>
            </w:pPr>
            <w:r>
              <w:rPr>
                <w:rFonts w:eastAsiaTheme="minorEastAsia"/>
                <w:color w:val="000000"/>
                <w:szCs w:val="21"/>
              </w:rPr>
              <w:t>6,125,184.65</w:t>
            </w:r>
          </w:p>
        </w:tc>
      </w:tr>
      <w:tr w:rsidR="000265E6">
        <w:tc>
          <w:tcPr>
            <w:tcW w:w="1588" w:type="dxa"/>
            <w:vAlign w:val="center"/>
          </w:tcPr>
          <w:p w:rsidR="000265E6" w:rsidRDefault="004D56B3">
            <w:pPr>
              <w:jc w:val="center"/>
            </w:pPr>
            <w:r>
              <w:rPr>
                <w:rFonts w:eastAsiaTheme="minorEastAsia"/>
                <w:color w:val="000000"/>
                <w:szCs w:val="21"/>
              </w:rPr>
              <w:t>衍生金融资产</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买入返售金融资产</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应收证券清算款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应收利息</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1,628.03</w:t>
            </w:r>
          </w:p>
        </w:tc>
        <w:tc>
          <w:tcPr>
            <w:tcW w:w="1301" w:type="dxa"/>
            <w:vAlign w:val="center"/>
          </w:tcPr>
          <w:p w:rsidR="000265E6" w:rsidRDefault="004D56B3">
            <w:pPr>
              <w:jc w:val="right"/>
            </w:pPr>
            <w:r>
              <w:rPr>
                <w:rFonts w:eastAsiaTheme="minorEastAsia"/>
                <w:color w:val="000000"/>
                <w:szCs w:val="21"/>
              </w:rPr>
              <w:t>1,628.03</w:t>
            </w:r>
          </w:p>
        </w:tc>
      </w:tr>
      <w:tr w:rsidR="000265E6">
        <w:tc>
          <w:tcPr>
            <w:tcW w:w="1588" w:type="dxa"/>
            <w:vAlign w:val="center"/>
          </w:tcPr>
          <w:p w:rsidR="000265E6" w:rsidRDefault="004D56B3">
            <w:pPr>
              <w:jc w:val="center"/>
            </w:pPr>
            <w:r>
              <w:rPr>
                <w:rFonts w:eastAsiaTheme="minorEastAsia"/>
                <w:color w:val="000000"/>
                <w:szCs w:val="21"/>
              </w:rPr>
              <w:t>应收股利</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应收申购款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27,219.19</w:t>
            </w:r>
          </w:p>
        </w:tc>
        <w:tc>
          <w:tcPr>
            <w:tcW w:w="1301" w:type="dxa"/>
            <w:vAlign w:val="center"/>
          </w:tcPr>
          <w:p w:rsidR="000265E6" w:rsidRDefault="004D56B3">
            <w:pPr>
              <w:jc w:val="right"/>
            </w:pPr>
            <w:r>
              <w:rPr>
                <w:rFonts w:eastAsiaTheme="minorEastAsia"/>
                <w:color w:val="000000"/>
                <w:szCs w:val="21"/>
              </w:rPr>
              <w:t>27,219.19</w:t>
            </w:r>
          </w:p>
        </w:tc>
      </w:tr>
      <w:tr w:rsidR="000265E6">
        <w:tc>
          <w:tcPr>
            <w:tcW w:w="1588" w:type="dxa"/>
            <w:vAlign w:val="center"/>
          </w:tcPr>
          <w:p w:rsidR="000265E6" w:rsidRDefault="004D56B3">
            <w:pPr>
              <w:jc w:val="center"/>
            </w:pPr>
            <w:r>
              <w:rPr>
                <w:rFonts w:eastAsiaTheme="minorEastAsia"/>
                <w:color w:val="000000"/>
                <w:szCs w:val="21"/>
              </w:rPr>
              <w:t>递延所得税资产</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其他资产</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A10C6C" w:rsidRPr="00C24ACA" w:rsidTr="004C02E0">
        <w:trPr>
          <w:trHeight w:val="280"/>
        </w:trPr>
        <w:tc>
          <w:tcPr>
            <w:tcW w:w="1588" w:type="dxa"/>
            <w:vAlign w:val="center"/>
          </w:tcPr>
          <w:p w:rsidR="00A10C6C" w:rsidRPr="00C24ACA" w:rsidRDefault="00A10C6C" w:rsidP="00C903E7">
            <w:pPr>
              <w:autoSpaceDE w:val="0"/>
              <w:autoSpaceDN w:val="0"/>
              <w:adjustRightInd w:val="0"/>
              <w:spacing w:before="29" w:line="360" w:lineRule="auto"/>
              <w:jc w:val="center"/>
              <w:rPr>
                <w:rFonts w:eastAsiaTheme="minorEastAsia"/>
                <w:color w:val="000000"/>
                <w:szCs w:val="21"/>
              </w:rPr>
            </w:pPr>
            <w:r w:rsidRPr="00C24ACA">
              <w:rPr>
                <w:rFonts w:eastAsiaTheme="minorEastAsia"/>
                <w:color w:val="000000"/>
                <w:szCs w:val="21"/>
              </w:rPr>
              <w:t>资产总计</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15,990,751.02</w:t>
            </w:r>
          </w:p>
        </w:tc>
        <w:tc>
          <w:tcPr>
            <w:tcW w:w="17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w:t>
            </w:r>
          </w:p>
        </w:tc>
        <w:tc>
          <w:tcPr>
            <w:tcW w:w="1559"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6,154,031.87</w:t>
            </w:r>
          </w:p>
        </w:tc>
        <w:tc>
          <w:tcPr>
            <w:tcW w:w="1301" w:type="dxa"/>
            <w:vAlign w:val="center"/>
          </w:tcPr>
          <w:p w:rsidR="00A10C6C" w:rsidRPr="00C24ACA" w:rsidRDefault="00A10C6C" w:rsidP="00C903E7">
            <w:pPr>
              <w:autoSpaceDE w:val="0"/>
              <w:autoSpaceDN w:val="0"/>
              <w:adjustRightInd w:val="0"/>
              <w:spacing w:before="29" w:line="360" w:lineRule="auto"/>
              <w:jc w:val="right"/>
              <w:rPr>
                <w:rFonts w:eastAsiaTheme="minorEastAsia"/>
                <w:color w:val="000000"/>
                <w:szCs w:val="21"/>
              </w:rPr>
            </w:pPr>
            <w:r w:rsidRPr="00C24ACA">
              <w:rPr>
                <w:rFonts w:eastAsiaTheme="minorEastAsia"/>
                <w:color w:val="000000"/>
                <w:szCs w:val="21"/>
              </w:rPr>
              <w:t>22,144,782.89</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w:t>
            </w:r>
          </w:p>
        </w:tc>
        <w:tc>
          <w:tcPr>
            <w:tcW w:w="1701" w:type="dxa"/>
            <w:vAlign w:val="center"/>
          </w:tcPr>
          <w:p w:rsidR="00A10C6C" w:rsidRPr="00C24ACA" w:rsidRDefault="00A10C6C" w:rsidP="00427BFF">
            <w:pPr>
              <w:spacing w:line="360" w:lineRule="auto"/>
              <w:jc w:val="right"/>
              <w:rPr>
                <w:rFonts w:eastAsiaTheme="minorEastAsia"/>
                <w:color w:val="0000FF"/>
                <w:kern w:val="0"/>
                <w:szCs w:val="21"/>
              </w:rPr>
            </w:pPr>
          </w:p>
        </w:tc>
        <w:tc>
          <w:tcPr>
            <w:tcW w:w="1701"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559" w:type="dxa"/>
            <w:vAlign w:val="center"/>
          </w:tcPr>
          <w:p w:rsidR="00A10C6C" w:rsidRPr="00C24ACA" w:rsidRDefault="00A10C6C" w:rsidP="00427BFF">
            <w:pPr>
              <w:spacing w:line="360" w:lineRule="auto"/>
              <w:jc w:val="right"/>
              <w:rPr>
                <w:rFonts w:eastAsiaTheme="minorEastAsia"/>
                <w:color w:val="000000"/>
                <w:szCs w:val="21"/>
              </w:rPr>
            </w:pPr>
          </w:p>
        </w:tc>
        <w:tc>
          <w:tcPr>
            <w:tcW w:w="1301" w:type="dxa"/>
            <w:vAlign w:val="center"/>
          </w:tcPr>
          <w:p w:rsidR="00A10C6C" w:rsidRPr="00C24ACA" w:rsidRDefault="00A10C6C" w:rsidP="00427BFF">
            <w:pPr>
              <w:spacing w:line="360" w:lineRule="auto"/>
              <w:jc w:val="right"/>
              <w:rPr>
                <w:rFonts w:eastAsiaTheme="minorEastAsia"/>
                <w:color w:val="000000"/>
                <w:szCs w:val="21"/>
              </w:rPr>
            </w:pPr>
          </w:p>
        </w:tc>
      </w:tr>
      <w:tr w:rsidR="000265E6">
        <w:tc>
          <w:tcPr>
            <w:tcW w:w="1588" w:type="dxa"/>
            <w:vAlign w:val="center"/>
          </w:tcPr>
          <w:p w:rsidR="000265E6" w:rsidRDefault="004D56B3">
            <w:pPr>
              <w:jc w:val="center"/>
            </w:pPr>
            <w:r>
              <w:rPr>
                <w:rFonts w:eastAsiaTheme="minorEastAsia"/>
                <w:color w:val="000000"/>
                <w:szCs w:val="21"/>
              </w:rPr>
              <w:t>短期借款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交易性金融负债</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衍生金融负债</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卖出回购金融资产款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应付证券清算款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3,201,688.73</w:t>
            </w:r>
          </w:p>
        </w:tc>
        <w:tc>
          <w:tcPr>
            <w:tcW w:w="1301" w:type="dxa"/>
            <w:vAlign w:val="center"/>
          </w:tcPr>
          <w:p w:rsidR="000265E6" w:rsidRDefault="004D56B3">
            <w:pPr>
              <w:jc w:val="right"/>
            </w:pPr>
            <w:r>
              <w:rPr>
                <w:rFonts w:eastAsiaTheme="minorEastAsia"/>
                <w:color w:val="000000"/>
                <w:szCs w:val="21"/>
              </w:rPr>
              <w:t>3,201,688.73</w:t>
            </w:r>
          </w:p>
        </w:tc>
      </w:tr>
      <w:tr w:rsidR="000265E6">
        <w:tc>
          <w:tcPr>
            <w:tcW w:w="1588" w:type="dxa"/>
            <w:vAlign w:val="center"/>
          </w:tcPr>
          <w:p w:rsidR="000265E6" w:rsidRDefault="004D56B3">
            <w:pPr>
              <w:jc w:val="center"/>
            </w:pPr>
            <w:r>
              <w:rPr>
                <w:rFonts w:eastAsiaTheme="minorEastAsia"/>
                <w:color w:val="000000"/>
                <w:szCs w:val="21"/>
              </w:rPr>
              <w:t>应付赎回款</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1,926,836.46</w:t>
            </w:r>
          </w:p>
        </w:tc>
        <w:tc>
          <w:tcPr>
            <w:tcW w:w="1301" w:type="dxa"/>
            <w:vAlign w:val="center"/>
          </w:tcPr>
          <w:p w:rsidR="000265E6" w:rsidRDefault="004D56B3">
            <w:pPr>
              <w:jc w:val="right"/>
            </w:pPr>
            <w:r>
              <w:rPr>
                <w:rFonts w:eastAsiaTheme="minorEastAsia"/>
                <w:color w:val="000000"/>
                <w:szCs w:val="21"/>
              </w:rPr>
              <w:t>1,926,836.46</w:t>
            </w:r>
          </w:p>
        </w:tc>
      </w:tr>
      <w:tr w:rsidR="000265E6">
        <w:tc>
          <w:tcPr>
            <w:tcW w:w="1588" w:type="dxa"/>
            <w:vAlign w:val="center"/>
          </w:tcPr>
          <w:p w:rsidR="000265E6" w:rsidRDefault="004D56B3">
            <w:pPr>
              <w:jc w:val="center"/>
            </w:pPr>
            <w:r>
              <w:rPr>
                <w:rFonts w:eastAsiaTheme="minorEastAsia"/>
                <w:color w:val="000000"/>
                <w:szCs w:val="21"/>
              </w:rPr>
              <w:t>应付管理人报酬</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7,314.79</w:t>
            </w:r>
          </w:p>
        </w:tc>
        <w:tc>
          <w:tcPr>
            <w:tcW w:w="1301" w:type="dxa"/>
            <w:vAlign w:val="center"/>
          </w:tcPr>
          <w:p w:rsidR="000265E6" w:rsidRDefault="004D56B3">
            <w:pPr>
              <w:jc w:val="right"/>
            </w:pPr>
            <w:r>
              <w:rPr>
                <w:rFonts w:eastAsiaTheme="minorEastAsia"/>
                <w:color w:val="000000"/>
                <w:szCs w:val="21"/>
              </w:rPr>
              <w:t>7,314.79</w:t>
            </w:r>
          </w:p>
        </w:tc>
      </w:tr>
      <w:tr w:rsidR="000265E6">
        <w:tc>
          <w:tcPr>
            <w:tcW w:w="1588" w:type="dxa"/>
            <w:vAlign w:val="center"/>
          </w:tcPr>
          <w:p w:rsidR="000265E6" w:rsidRDefault="004D56B3">
            <w:pPr>
              <w:jc w:val="center"/>
            </w:pPr>
            <w:r>
              <w:rPr>
                <w:rFonts w:eastAsiaTheme="minorEastAsia"/>
                <w:color w:val="000000"/>
                <w:szCs w:val="21"/>
              </w:rPr>
              <w:t>应付托管费</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2,194.42</w:t>
            </w:r>
          </w:p>
        </w:tc>
        <w:tc>
          <w:tcPr>
            <w:tcW w:w="1301" w:type="dxa"/>
            <w:vAlign w:val="center"/>
          </w:tcPr>
          <w:p w:rsidR="000265E6" w:rsidRDefault="004D56B3">
            <w:pPr>
              <w:jc w:val="right"/>
            </w:pPr>
            <w:r>
              <w:rPr>
                <w:rFonts w:eastAsiaTheme="minorEastAsia"/>
                <w:color w:val="000000"/>
                <w:szCs w:val="21"/>
              </w:rPr>
              <w:t>2,194.42</w:t>
            </w:r>
          </w:p>
        </w:tc>
      </w:tr>
      <w:tr w:rsidR="000265E6">
        <w:tc>
          <w:tcPr>
            <w:tcW w:w="1588" w:type="dxa"/>
            <w:vAlign w:val="center"/>
          </w:tcPr>
          <w:p w:rsidR="000265E6" w:rsidRDefault="004D56B3">
            <w:pPr>
              <w:jc w:val="center"/>
            </w:pPr>
            <w:r>
              <w:rPr>
                <w:rFonts w:eastAsiaTheme="minorEastAsia"/>
                <w:color w:val="000000"/>
                <w:szCs w:val="21"/>
              </w:rPr>
              <w:t>应付销售服务费</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1,325.00</w:t>
            </w:r>
          </w:p>
        </w:tc>
        <w:tc>
          <w:tcPr>
            <w:tcW w:w="1301" w:type="dxa"/>
            <w:vAlign w:val="center"/>
          </w:tcPr>
          <w:p w:rsidR="000265E6" w:rsidRDefault="004D56B3">
            <w:pPr>
              <w:jc w:val="right"/>
            </w:pPr>
            <w:r>
              <w:rPr>
                <w:rFonts w:eastAsiaTheme="minorEastAsia"/>
                <w:color w:val="000000"/>
                <w:szCs w:val="21"/>
              </w:rPr>
              <w:t>1,325.00</w:t>
            </w:r>
          </w:p>
        </w:tc>
      </w:tr>
      <w:tr w:rsidR="000265E6">
        <w:tc>
          <w:tcPr>
            <w:tcW w:w="1588" w:type="dxa"/>
            <w:vAlign w:val="center"/>
          </w:tcPr>
          <w:p w:rsidR="000265E6" w:rsidRDefault="004D56B3">
            <w:pPr>
              <w:jc w:val="center"/>
            </w:pPr>
            <w:r>
              <w:rPr>
                <w:rFonts w:eastAsiaTheme="minorEastAsia"/>
                <w:color w:val="000000"/>
                <w:szCs w:val="21"/>
              </w:rPr>
              <w:t>应付交易费用</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应交税费</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应付利息</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应付利润</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递延所得税负债</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301" w:type="dxa"/>
            <w:vAlign w:val="center"/>
          </w:tcPr>
          <w:p w:rsidR="000265E6" w:rsidRDefault="004D56B3">
            <w:pPr>
              <w:jc w:val="right"/>
            </w:pPr>
            <w:r>
              <w:rPr>
                <w:rFonts w:eastAsiaTheme="minorEastAsia"/>
                <w:color w:val="000000"/>
                <w:szCs w:val="21"/>
              </w:rPr>
              <w:t>-</w:t>
            </w:r>
          </w:p>
        </w:tc>
      </w:tr>
      <w:tr w:rsidR="000265E6">
        <w:tc>
          <w:tcPr>
            <w:tcW w:w="1588" w:type="dxa"/>
            <w:vAlign w:val="center"/>
          </w:tcPr>
          <w:p w:rsidR="000265E6" w:rsidRDefault="004D56B3">
            <w:pPr>
              <w:jc w:val="center"/>
            </w:pPr>
            <w:r>
              <w:rPr>
                <w:rFonts w:eastAsiaTheme="minorEastAsia"/>
                <w:color w:val="000000"/>
                <w:szCs w:val="21"/>
              </w:rPr>
              <w:t>其他负债</w:t>
            </w:r>
          </w:p>
        </w:tc>
        <w:tc>
          <w:tcPr>
            <w:tcW w:w="1701" w:type="dxa"/>
            <w:vAlign w:val="center"/>
          </w:tcPr>
          <w:p w:rsidR="000265E6" w:rsidRDefault="004D56B3">
            <w:pPr>
              <w:jc w:val="right"/>
            </w:pPr>
            <w:r>
              <w:rPr>
                <w:rFonts w:eastAsiaTheme="minorEastAsia"/>
                <w:color w:val="000000"/>
                <w:szCs w:val="21"/>
              </w:rPr>
              <w:t>-</w:t>
            </w:r>
          </w:p>
        </w:tc>
        <w:tc>
          <w:tcPr>
            <w:tcW w:w="1701"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w:t>
            </w:r>
          </w:p>
        </w:tc>
        <w:tc>
          <w:tcPr>
            <w:tcW w:w="1559" w:type="dxa"/>
            <w:vAlign w:val="center"/>
          </w:tcPr>
          <w:p w:rsidR="000265E6" w:rsidRDefault="004D56B3">
            <w:pPr>
              <w:jc w:val="right"/>
            </w:pPr>
            <w:r>
              <w:rPr>
                <w:rFonts w:eastAsiaTheme="minorEastAsia"/>
                <w:color w:val="000000"/>
                <w:szCs w:val="21"/>
              </w:rPr>
              <w:t>17,701.48</w:t>
            </w:r>
          </w:p>
        </w:tc>
        <w:tc>
          <w:tcPr>
            <w:tcW w:w="1301" w:type="dxa"/>
            <w:vAlign w:val="center"/>
          </w:tcPr>
          <w:p w:rsidR="000265E6" w:rsidRDefault="004D56B3">
            <w:pPr>
              <w:jc w:val="right"/>
            </w:pPr>
            <w:r>
              <w:rPr>
                <w:rFonts w:eastAsiaTheme="minorEastAsia"/>
                <w:color w:val="000000"/>
                <w:szCs w:val="21"/>
              </w:rPr>
              <w:t>17,701.48</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负债总计</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5,157,060.88</w:t>
            </w:r>
          </w:p>
        </w:tc>
        <w:tc>
          <w:tcPr>
            <w:tcW w:w="1301" w:type="dxa"/>
            <w:vAlign w:val="center"/>
          </w:tcPr>
          <w:p w:rsidR="00A10C6C" w:rsidRPr="00C24ACA" w:rsidRDefault="00A10C6C" w:rsidP="00C903E7">
            <w:pPr>
              <w:spacing w:line="360" w:lineRule="auto"/>
              <w:ind w:right="210"/>
              <w:jc w:val="right"/>
              <w:rPr>
                <w:rFonts w:eastAsiaTheme="minorEastAsia"/>
                <w:szCs w:val="21"/>
              </w:rPr>
            </w:pPr>
            <w:r w:rsidRPr="00C24ACA">
              <w:rPr>
                <w:rFonts w:eastAsiaTheme="minorEastAsia"/>
                <w:szCs w:val="21"/>
              </w:rPr>
              <w:t>5,157,060.88</w:t>
            </w:r>
          </w:p>
        </w:tc>
      </w:tr>
      <w:tr w:rsidR="00A10C6C" w:rsidRPr="00C24ACA" w:rsidTr="004C02E0">
        <w:trPr>
          <w:trHeight w:val="280"/>
        </w:trPr>
        <w:tc>
          <w:tcPr>
            <w:tcW w:w="1588" w:type="dxa"/>
            <w:vAlign w:val="center"/>
          </w:tcPr>
          <w:p w:rsidR="00A10C6C" w:rsidRPr="00C24ACA" w:rsidRDefault="00A10C6C" w:rsidP="00C903E7">
            <w:pPr>
              <w:spacing w:line="360" w:lineRule="auto"/>
              <w:jc w:val="center"/>
              <w:rPr>
                <w:rFonts w:eastAsiaTheme="minorEastAsia"/>
                <w:color w:val="000000"/>
                <w:szCs w:val="21"/>
              </w:rPr>
            </w:pPr>
            <w:r w:rsidRPr="00C24ACA">
              <w:rPr>
                <w:rFonts w:eastAsiaTheme="minorEastAsia"/>
                <w:color w:val="000000"/>
                <w:szCs w:val="21"/>
              </w:rPr>
              <w:t>利率敏感度缺口</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15,990,751.02</w:t>
            </w:r>
          </w:p>
        </w:tc>
        <w:tc>
          <w:tcPr>
            <w:tcW w:w="17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w:t>
            </w:r>
          </w:p>
        </w:tc>
        <w:tc>
          <w:tcPr>
            <w:tcW w:w="1559"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996,970.99</w:t>
            </w:r>
          </w:p>
        </w:tc>
        <w:tc>
          <w:tcPr>
            <w:tcW w:w="1301" w:type="dxa"/>
            <w:vAlign w:val="center"/>
          </w:tcPr>
          <w:p w:rsidR="00A10C6C" w:rsidRPr="00C24ACA" w:rsidRDefault="00A10C6C" w:rsidP="00C903E7">
            <w:pPr>
              <w:spacing w:line="360" w:lineRule="auto"/>
              <w:jc w:val="right"/>
              <w:rPr>
                <w:rFonts w:eastAsiaTheme="minorEastAsia"/>
                <w:szCs w:val="21"/>
              </w:rPr>
            </w:pPr>
            <w:r w:rsidRPr="00C24ACA">
              <w:rPr>
                <w:rFonts w:eastAsiaTheme="minorEastAsia"/>
                <w:szCs w:val="21"/>
              </w:rPr>
              <w:t>16,987,722.01</w:t>
            </w:r>
          </w:p>
        </w:tc>
      </w:tr>
    </w:tbl>
    <w:p w:rsidR="008A5A5D" w:rsidRPr="00C24ACA" w:rsidRDefault="00A10C6C"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注：各期限分类的标准为按金融资产或金融负债的重新定价日或到期日孰早者进行分类。</w:t>
      </w:r>
      <w:r w:rsidRPr="00C24ACA">
        <w:rPr>
          <w:rFonts w:eastAsiaTheme="minorEastAsia"/>
          <w:kern w:val="0"/>
          <w:szCs w:val="21"/>
        </w:rPr>
        <w:t xml:space="preserve"> </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6.4.13.4.1.2</w:t>
      </w:r>
      <w:r w:rsidRPr="00C24ACA">
        <w:rPr>
          <w:rFonts w:eastAsiaTheme="minorEastAsia"/>
          <w:b/>
          <w:bCs/>
          <w:color w:val="000000"/>
          <w:szCs w:val="21"/>
        </w:rPr>
        <w:t>利率风险的敏感性分析</w:t>
      </w:r>
    </w:p>
    <w:p w:rsidR="008A5A5D" w:rsidRPr="00C24ACA" w:rsidRDefault="00022F8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本期末本基金未持有交易性债券投资</w:t>
      </w:r>
      <w:r w:rsidRPr="00C24ACA">
        <w:rPr>
          <w:rFonts w:eastAsiaTheme="minorEastAsia"/>
          <w:kern w:val="0"/>
          <w:szCs w:val="21"/>
        </w:rPr>
        <w:t>(</w:t>
      </w:r>
      <w:r w:rsidRPr="00C24ACA">
        <w:rPr>
          <w:rFonts w:eastAsiaTheme="minorEastAsia"/>
          <w:kern w:val="0"/>
          <w:szCs w:val="21"/>
        </w:rPr>
        <w:t>不包括可转债），因此市场利率的变动对于本基金资产净值无重大影响。</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w:t>
      </w:r>
      <w:r w:rsidRPr="00C24ACA">
        <w:rPr>
          <w:rFonts w:eastAsiaTheme="minorEastAsia"/>
          <w:b/>
          <w:bCs/>
          <w:color w:val="000000"/>
          <w:szCs w:val="21"/>
        </w:rPr>
        <w:t>外汇风险</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8A5A5D" w:rsidRPr="00C24ACA" w:rsidRDefault="008A5A5D" w:rsidP="006313B1">
      <w:pPr>
        <w:spacing w:line="360" w:lineRule="auto"/>
        <w:rPr>
          <w:rFonts w:eastAsiaTheme="minorEastAsia"/>
          <w:b/>
          <w:bCs/>
          <w:color w:val="000000"/>
          <w:szCs w:val="21"/>
        </w:rPr>
      </w:pPr>
      <w:r w:rsidRPr="00C24ACA">
        <w:rPr>
          <w:rFonts w:eastAsiaTheme="minorEastAsia"/>
          <w:b/>
          <w:bCs/>
          <w:color w:val="000000"/>
          <w:kern w:val="0"/>
          <w:szCs w:val="21"/>
        </w:rPr>
        <w:t>6.4.13.4.2.1</w:t>
      </w:r>
      <w:r w:rsidRPr="00C24ACA">
        <w:rPr>
          <w:rFonts w:eastAsiaTheme="minorEastAsia"/>
          <w:b/>
          <w:bCs/>
          <w:color w:val="000000"/>
          <w:szCs w:val="21"/>
        </w:rPr>
        <w:t>外汇风险敞口</w:t>
      </w:r>
    </w:p>
    <w:p w:rsidR="008A5A5D" w:rsidRPr="00C24ACA" w:rsidRDefault="0056101E"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本基金本报告期末投资的目标基金市值为</w:t>
      </w:r>
      <w:r w:rsidRPr="008707EB">
        <w:rPr>
          <w:rFonts w:eastAsiaTheme="minorEastAsia"/>
          <w:kern w:val="0"/>
          <w:szCs w:val="21"/>
        </w:rPr>
        <w:t>6,125,184.65</w:t>
      </w:r>
      <w:r w:rsidRPr="008707EB">
        <w:rPr>
          <w:rFonts w:eastAsiaTheme="minorEastAsia"/>
          <w:kern w:val="0"/>
          <w:szCs w:val="21"/>
        </w:rPr>
        <w:t>元，列示于资产负债表</w:t>
      </w:r>
      <w:r w:rsidRPr="008707EB">
        <w:rPr>
          <w:rFonts w:eastAsiaTheme="minorEastAsia"/>
          <w:kern w:val="0"/>
          <w:szCs w:val="21"/>
        </w:rPr>
        <w:t>“</w:t>
      </w:r>
      <w:r w:rsidRPr="008707EB">
        <w:rPr>
          <w:rFonts w:eastAsiaTheme="minorEastAsia"/>
          <w:kern w:val="0"/>
          <w:szCs w:val="21"/>
        </w:rPr>
        <w:t>交易性金融资产</w:t>
      </w:r>
      <w:r w:rsidRPr="008707EB">
        <w:rPr>
          <w:rFonts w:eastAsiaTheme="minorEastAsia"/>
          <w:kern w:val="0"/>
          <w:szCs w:val="21"/>
        </w:rPr>
        <w:t>”</w:t>
      </w:r>
      <w:r w:rsidRPr="008707EB">
        <w:rPr>
          <w:rFonts w:eastAsiaTheme="minorEastAsia"/>
          <w:kern w:val="0"/>
          <w:szCs w:val="21"/>
        </w:rPr>
        <w:t>科目中。目标基金本报告期末投资的港股折合人民币为</w:t>
      </w:r>
      <w:r w:rsidRPr="008707EB">
        <w:rPr>
          <w:rFonts w:eastAsiaTheme="minorEastAsia"/>
          <w:kern w:val="0"/>
          <w:szCs w:val="21"/>
        </w:rPr>
        <w:t>2,881,665.71</w:t>
      </w:r>
      <w:r w:rsidRPr="008707EB">
        <w:rPr>
          <w:rFonts w:eastAsiaTheme="minorEastAsia"/>
          <w:kern w:val="0"/>
          <w:szCs w:val="21"/>
        </w:rPr>
        <w:t>元，占净值比例</w:t>
      </w:r>
      <w:r w:rsidRPr="008707EB">
        <w:rPr>
          <w:rFonts w:eastAsiaTheme="minorEastAsia"/>
          <w:kern w:val="0"/>
          <w:szCs w:val="21"/>
        </w:rPr>
        <w:t>10.28%</w:t>
      </w:r>
      <w:r w:rsidRPr="008707EB">
        <w:rPr>
          <w:rFonts w:eastAsiaTheme="minorEastAsia"/>
          <w:kern w:val="0"/>
          <w:szCs w:val="21"/>
        </w:rPr>
        <w:t>，投资的美股折合人民币为</w:t>
      </w:r>
      <w:r w:rsidRPr="008707EB">
        <w:rPr>
          <w:rFonts w:eastAsiaTheme="minorEastAsia"/>
          <w:kern w:val="0"/>
          <w:szCs w:val="21"/>
        </w:rPr>
        <w:t>2,310,088.99</w:t>
      </w:r>
      <w:r w:rsidRPr="008707EB">
        <w:rPr>
          <w:rFonts w:eastAsiaTheme="minorEastAsia"/>
          <w:kern w:val="0"/>
          <w:szCs w:val="21"/>
        </w:rPr>
        <w:t>元，占净值比例</w:t>
      </w:r>
      <w:r w:rsidRPr="008707EB">
        <w:rPr>
          <w:rFonts w:eastAsiaTheme="minorEastAsia"/>
          <w:kern w:val="0"/>
          <w:szCs w:val="21"/>
        </w:rPr>
        <w:t>8.24%</w:t>
      </w:r>
      <w:r w:rsidRPr="008707EB">
        <w:rPr>
          <w:rFonts w:eastAsiaTheme="minorEastAsia"/>
          <w:kern w:val="0"/>
          <w:szCs w:val="21"/>
        </w:rPr>
        <w:t>。</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6.4.13.4.2.2</w:t>
      </w:r>
      <w:r w:rsidRPr="00C24ACA">
        <w:rPr>
          <w:rFonts w:eastAsiaTheme="minorEastAsia"/>
          <w:b/>
          <w:bCs/>
          <w:color w:val="000000"/>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0265E6">
        <w:tc>
          <w:tcPr>
            <w:tcW w:w="993" w:type="dxa"/>
            <w:vAlign w:val="center"/>
          </w:tcPr>
          <w:p w:rsidR="000265E6" w:rsidRDefault="004D56B3">
            <w:pPr>
              <w:jc w:val="left"/>
            </w:pPr>
            <w:r>
              <w:rPr>
                <w:rFonts w:eastAsiaTheme="minorEastAsia"/>
                <w:color w:val="000000"/>
                <w:szCs w:val="21"/>
              </w:rPr>
              <w:t>假设</w:t>
            </w:r>
          </w:p>
        </w:tc>
        <w:tc>
          <w:tcPr>
            <w:tcW w:w="8007" w:type="dxa"/>
            <w:gridSpan w:val="2"/>
            <w:vAlign w:val="center"/>
          </w:tcPr>
          <w:p w:rsidR="000265E6" w:rsidRDefault="004D56B3">
            <w:pPr>
              <w:jc w:val="center"/>
            </w:pPr>
            <w:r>
              <w:rPr>
                <w:rFonts w:eastAsiaTheme="minorEastAsia"/>
                <w:color w:val="000000"/>
                <w:szCs w:val="21"/>
              </w:rPr>
              <w:t>除汇率外其他因素保持不变</w:t>
            </w:r>
          </w:p>
        </w:tc>
      </w:tr>
      <w:tr w:rsidR="00022F8F" w:rsidRPr="00C24ACA" w:rsidTr="0087507A">
        <w:tc>
          <w:tcPr>
            <w:tcW w:w="993" w:type="dxa"/>
            <w:vMerge w:val="restart"/>
            <w:vAlign w:val="center"/>
          </w:tcPr>
          <w:p w:rsidR="00022F8F" w:rsidRPr="00C24ACA" w:rsidRDefault="00022F8F"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3260" w:type="dxa"/>
            <w:vMerge w:val="restart"/>
            <w:vAlign w:val="center"/>
          </w:tcPr>
          <w:p w:rsidR="00022F8F" w:rsidRPr="00C24ACA" w:rsidRDefault="00022F8F" w:rsidP="0087507A">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4747" w:type="dxa"/>
          </w:tcPr>
          <w:p w:rsidR="00022F8F" w:rsidRPr="00C24ACA" w:rsidRDefault="00022F8F" w:rsidP="0087507A">
            <w:pPr>
              <w:jc w:val="center"/>
              <w:rPr>
                <w:rFonts w:eastAsiaTheme="minorEastAsia"/>
                <w:color w:val="000000"/>
                <w:szCs w:val="21"/>
              </w:rPr>
            </w:pPr>
            <w:r w:rsidRPr="00C24ACA">
              <w:rPr>
                <w:rFonts w:eastAsiaTheme="minorEastAsia"/>
                <w:color w:val="000000"/>
                <w:szCs w:val="21"/>
              </w:rPr>
              <w:t>对资产负债表日基金资产净值的</w:t>
            </w:r>
          </w:p>
          <w:p w:rsidR="00022F8F" w:rsidRPr="00C24ACA" w:rsidRDefault="00022F8F" w:rsidP="0087507A">
            <w:pPr>
              <w:jc w:val="center"/>
              <w:rPr>
                <w:rFonts w:eastAsiaTheme="minorEastAsia"/>
                <w:color w:val="000000"/>
                <w:szCs w:val="21"/>
              </w:rPr>
            </w:pPr>
          </w:p>
          <w:p w:rsidR="00022F8F"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022F8F" w:rsidRPr="00C24ACA">
              <w:rPr>
                <w:rFonts w:eastAsiaTheme="minorEastAsia"/>
                <w:color w:val="000000"/>
                <w:szCs w:val="21"/>
              </w:rPr>
              <w:t>元）</w:t>
            </w:r>
          </w:p>
        </w:tc>
      </w:tr>
      <w:tr w:rsidR="00022F8F" w:rsidRPr="00C24ACA" w:rsidTr="0087507A">
        <w:tc>
          <w:tcPr>
            <w:tcW w:w="993" w:type="dxa"/>
            <w:vMerge/>
            <w:vAlign w:val="center"/>
          </w:tcPr>
          <w:p w:rsidR="00022F8F" w:rsidRPr="00C24ACA" w:rsidRDefault="00022F8F" w:rsidP="0087507A">
            <w:pPr>
              <w:widowControl/>
              <w:jc w:val="left"/>
              <w:rPr>
                <w:rFonts w:eastAsiaTheme="minorEastAsia"/>
                <w:color w:val="000000"/>
                <w:szCs w:val="21"/>
              </w:rPr>
            </w:pPr>
          </w:p>
        </w:tc>
        <w:tc>
          <w:tcPr>
            <w:tcW w:w="3260" w:type="dxa"/>
            <w:vMerge/>
            <w:vAlign w:val="center"/>
          </w:tcPr>
          <w:p w:rsidR="00022F8F" w:rsidRPr="00C24ACA" w:rsidRDefault="00022F8F" w:rsidP="0087507A">
            <w:pPr>
              <w:widowControl/>
              <w:jc w:val="left"/>
              <w:rPr>
                <w:rFonts w:eastAsiaTheme="minorEastAsia"/>
                <w:color w:val="000000"/>
                <w:kern w:val="0"/>
                <w:szCs w:val="21"/>
              </w:rPr>
            </w:pPr>
          </w:p>
        </w:tc>
        <w:tc>
          <w:tcPr>
            <w:tcW w:w="4747" w:type="dxa"/>
          </w:tcPr>
          <w:p w:rsidR="00022F8F" w:rsidRPr="00C24ACA" w:rsidRDefault="00022F8F" w:rsidP="0087507A">
            <w:pPr>
              <w:spacing w:line="360" w:lineRule="auto"/>
              <w:jc w:val="center"/>
              <w:rPr>
                <w:rFonts w:eastAsiaTheme="minorEastAsia"/>
                <w:color w:val="000000"/>
                <w:szCs w:val="21"/>
              </w:rPr>
            </w:pPr>
            <w:r w:rsidRPr="00C24ACA">
              <w:rPr>
                <w:rFonts w:eastAsiaTheme="minorEastAsia"/>
                <w:color w:val="000000"/>
                <w:szCs w:val="21"/>
              </w:rPr>
              <w:t>本期末</w:t>
            </w:r>
          </w:p>
          <w:p w:rsidR="00022F8F" w:rsidRPr="00C24ACA" w:rsidRDefault="00022F8F" w:rsidP="0087507A">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0265E6">
        <w:tc>
          <w:tcPr>
            <w:tcW w:w="993" w:type="dxa"/>
            <w:vMerge/>
          </w:tcPr>
          <w:p w:rsidR="000265E6" w:rsidRDefault="000265E6"/>
        </w:tc>
        <w:tc>
          <w:tcPr>
            <w:tcW w:w="3260" w:type="dxa"/>
            <w:vAlign w:val="center"/>
          </w:tcPr>
          <w:p w:rsidR="000265E6" w:rsidRDefault="004D56B3">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0265E6" w:rsidRDefault="004D56B3">
            <w:pPr>
              <w:jc w:val="right"/>
            </w:pPr>
            <w:r>
              <w:rPr>
                <w:rFonts w:eastAsiaTheme="minorEastAsia"/>
                <w:color w:val="000000"/>
                <w:szCs w:val="21"/>
              </w:rPr>
              <w:t>-306,259.23</w:t>
            </w:r>
          </w:p>
        </w:tc>
      </w:tr>
      <w:tr w:rsidR="000265E6">
        <w:tc>
          <w:tcPr>
            <w:tcW w:w="993" w:type="dxa"/>
            <w:vMerge/>
          </w:tcPr>
          <w:p w:rsidR="000265E6" w:rsidRDefault="000265E6"/>
        </w:tc>
        <w:tc>
          <w:tcPr>
            <w:tcW w:w="3260" w:type="dxa"/>
            <w:vAlign w:val="center"/>
          </w:tcPr>
          <w:p w:rsidR="000265E6" w:rsidRDefault="004D56B3">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0265E6" w:rsidRDefault="004D56B3">
            <w:pPr>
              <w:jc w:val="right"/>
            </w:pPr>
            <w:r>
              <w:rPr>
                <w:rFonts w:eastAsiaTheme="minorEastAsia"/>
                <w:color w:val="000000"/>
                <w:szCs w:val="21"/>
              </w:rPr>
              <w:t>306,259.23</w:t>
            </w:r>
          </w:p>
        </w:tc>
      </w:tr>
    </w:tbl>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w:t>
      </w:r>
      <w:r w:rsidRPr="00C24ACA">
        <w:rPr>
          <w:rFonts w:eastAsiaTheme="minorEastAsia"/>
          <w:b/>
          <w:bCs/>
          <w:color w:val="000000"/>
          <w:szCs w:val="21"/>
        </w:rPr>
        <w:t>其他价格风险</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本基金的基金管理人采用</w:t>
      </w:r>
      <w:r w:rsidRPr="00C24ACA">
        <w:rPr>
          <w:rFonts w:eastAsiaTheme="minorEastAsia"/>
          <w:kern w:val="0"/>
          <w:szCs w:val="21"/>
        </w:rPr>
        <w:t>Barra</w:t>
      </w:r>
      <w:r w:rsidRPr="00C24ACA">
        <w:rPr>
          <w:rFonts w:eastAsiaTheme="minorEastAsia"/>
          <w:kern w:val="0"/>
          <w:szCs w:val="21"/>
        </w:rPr>
        <w:t>风险管理系统，通过标准差、跟踪误差、</w:t>
      </w:r>
      <w:r w:rsidRPr="00C24ACA">
        <w:rPr>
          <w:rFonts w:eastAsiaTheme="minorEastAsia"/>
          <w:kern w:val="0"/>
          <w:szCs w:val="21"/>
        </w:rPr>
        <w:t>beta</w:t>
      </w:r>
      <w:r w:rsidRPr="00C24ACA">
        <w:rPr>
          <w:rFonts w:eastAsiaTheme="minorEastAsia"/>
          <w:kern w:val="0"/>
          <w:szCs w:val="21"/>
        </w:rPr>
        <w:t>值、</w:t>
      </w:r>
      <w:r w:rsidRPr="00C24ACA">
        <w:rPr>
          <w:rFonts w:eastAsiaTheme="minorEastAsia"/>
          <w:kern w:val="0"/>
          <w:szCs w:val="21"/>
        </w:rPr>
        <w:t>VAR</w:t>
      </w:r>
      <w:r w:rsidRPr="00C24ACA">
        <w:rPr>
          <w:rFonts w:eastAsiaTheme="minorEastAsia"/>
          <w:kern w:val="0"/>
          <w:szCs w:val="21"/>
        </w:rPr>
        <w:t>等指标，监控投资组合面临的市场价格波动风险。</w:t>
      </w:r>
    </w:p>
    <w:p w:rsidR="008A5A5D" w:rsidRPr="00C24ACA" w:rsidRDefault="008A5A5D" w:rsidP="006C64F3">
      <w:pPr>
        <w:spacing w:beforeLines="100" w:before="312" w:line="360" w:lineRule="auto"/>
        <w:rPr>
          <w:rFonts w:eastAsiaTheme="minorEastAsia"/>
          <w:b/>
          <w:bCs/>
          <w:color w:val="000000"/>
          <w:szCs w:val="21"/>
        </w:rPr>
      </w:pPr>
      <w:r w:rsidRPr="00C24ACA">
        <w:rPr>
          <w:rFonts w:eastAsiaTheme="minorEastAsia"/>
          <w:b/>
          <w:bCs/>
          <w:color w:val="000000"/>
          <w:kern w:val="0"/>
          <w:szCs w:val="21"/>
        </w:rPr>
        <w:t>6.4.13.4.3.1</w:t>
      </w:r>
      <w:r w:rsidRPr="00C24ACA">
        <w:rPr>
          <w:rFonts w:eastAsiaTheme="minorEastAsia"/>
          <w:b/>
          <w:bCs/>
          <w:color w:val="000000"/>
          <w:szCs w:val="21"/>
        </w:rPr>
        <w:t>其他价格风险敞口</w:t>
      </w:r>
    </w:p>
    <w:p w:rsidR="004A2F25" w:rsidRPr="00C24ACA" w:rsidRDefault="004A2F25" w:rsidP="004A2F25">
      <w:pPr>
        <w:spacing w:line="288" w:lineRule="auto"/>
        <w:ind w:firstLine="420"/>
        <w:jc w:val="right"/>
        <w:rPr>
          <w:rFonts w:eastAsiaTheme="minorEastAsia"/>
          <w:bCs/>
          <w:color w:val="000000"/>
          <w:szCs w:val="21"/>
        </w:rPr>
      </w:pPr>
      <w:r w:rsidRPr="00C24ACA">
        <w:rPr>
          <w:rFonts w:eastAsiaTheme="minor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18"/>
        <w:gridCol w:w="3260"/>
      </w:tblGrid>
      <w:tr w:rsidR="00F5070F" w:rsidRPr="00C24ACA" w:rsidTr="00F5070F">
        <w:tc>
          <w:tcPr>
            <w:tcW w:w="2694" w:type="dxa"/>
            <w:vMerge w:val="restart"/>
            <w:vAlign w:val="center"/>
          </w:tcPr>
          <w:p w:rsidR="00F5070F" w:rsidRPr="00C24ACA" w:rsidRDefault="00F5070F" w:rsidP="00C73BE3">
            <w:pPr>
              <w:jc w:val="center"/>
              <w:rPr>
                <w:rFonts w:eastAsiaTheme="minorEastAsia"/>
                <w:color w:val="000000"/>
                <w:szCs w:val="21"/>
              </w:rPr>
            </w:pPr>
            <w:r w:rsidRPr="00C24ACA">
              <w:rPr>
                <w:rFonts w:eastAsiaTheme="minorEastAsia"/>
                <w:color w:val="000000"/>
                <w:szCs w:val="21"/>
              </w:rPr>
              <w:t>项目</w:t>
            </w:r>
          </w:p>
        </w:tc>
        <w:tc>
          <w:tcPr>
            <w:tcW w:w="6378" w:type="dxa"/>
            <w:gridSpan w:val="2"/>
            <w:vAlign w:val="center"/>
          </w:tcPr>
          <w:p w:rsidR="00F5070F" w:rsidRPr="00C24ACA" w:rsidRDefault="00F5070F" w:rsidP="00C73BE3">
            <w:pPr>
              <w:jc w:val="center"/>
              <w:rPr>
                <w:rFonts w:eastAsiaTheme="minorEastAsia"/>
                <w:color w:val="000000"/>
                <w:szCs w:val="21"/>
              </w:rPr>
            </w:pPr>
            <w:r w:rsidRPr="00C24ACA">
              <w:rPr>
                <w:rFonts w:eastAsiaTheme="minorEastAsia"/>
                <w:color w:val="000000"/>
                <w:szCs w:val="21"/>
              </w:rPr>
              <w:t>本期末</w:t>
            </w:r>
          </w:p>
          <w:p w:rsidR="00F5070F" w:rsidRPr="00C24ACA" w:rsidRDefault="00F5070F" w:rsidP="00C73BE3">
            <w:pPr>
              <w:jc w:val="center"/>
              <w:rPr>
                <w:rFonts w:eastAsiaTheme="minorEastAsia"/>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F5070F" w:rsidRPr="00C24ACA" w:rsidTr="00F5070F">
        <w:tc>
          <w:tcPr>
            <w:tcW w:w="2694" w:type="dxa"/>
            <w:vMerge/>
            <w:vAlign w:val="center"/>
          </w:tcPr>
          <w:p w:rsidR="00F5070F" w:rsidRPr="00C24ACA" w:rsidRDefault="00F5070F" w:rsidP="00C73BE3">
            <w:pPr>
              <w:widowControl/>
              <w:jc w:val="left"/>
              <w:rPr>
                <w:rFonts w:eastAsiaTheme="minorEastAsia"/>
                <w:color w:val="000000"/>
                <w:szCs w:val="21"/>
              </w:rPr>
            </w:pPr>
          </w:p>
        </w:tc>
        <w:tc>
          <w:tcPr>
            <w:tcW w:w="3118" w:type="dxa"/>
            <w:vAlign w:val="center"/>
          </w:tcPr>
          <w:p w:rsidR="00F5070F" w:rsidRPr="00C24ACA" w:rsidRDefault="00F5070F" w:rsidP="00C73BE3">
            <w:pPr>
              <w:ind w:right="142"/>
              <w:jc w:val="center"/>
              <w:rPr>
                <w:rFonts w:eastAsiaTheme="minorEastAsia"/>
                <w:color w:val="000000"/>
                <w:szCs w:val="21"/>
              </w:rPr>
            </w:pPr>
            <w:r w:rsidRPr="00C24ACA">
              <w:rPr>
                <w:rFonts w:eastAsiaTheme="minorEastAsia"/>
                <w:color w:val="000000"/>
                <w:szCs w:val="21"/>
              </w:rPr>
              <w:t>公允价值</w:t>
            </w:r>
          </w:p>
        </w:tc>
        <w:tc>
          <w:tcPr>
            <w:tcW w:w="3260" w:type="dxa"/>
            <w:vAlign w:val="center"/>
          </w:tcPr>
          <w:p w:rsidR="00F5070F" w:rsidRPr="00C24ACA" w:rsidRDefault="00F5070F" w:rsidP="00C73BE3">
            <w:pPr>
              <w:ind w:right="141"/>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r w:rsidRPr="00C24ACA">
              <w:rPr>
                <w:rFonts w:eastAsiaTheme="minorEastAsia"/>
                <w:color w:val="000000"/>
                <w:szCs w:val="21"/>
              </w:rPr>
              <w:t>）</w:t>
            </w:r>
          </w:p>
        </w:tc>
      </w:tr>
      <w:tr w:rsidR="00F5070F" w:rsidRPr="00C24ACA" w:rsidTr="00F5070F">
        <w:tc>
          <w:tcPr>
            <w:tcW w:w="2694" w:type="dxa"/>
            <w:vAlign w:val="center"/>
          </w:tcPr>
          <w:p w:rsidR="00F5070F" w:rsidRPr="00C24ACA" w:rsidRDefault="00F5070F" w:rsidP="00C73BE3">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szCs w:val="21"/>
              </w:rPr>
              <w:t>－</w:t>
            </w:r>
            <w:r w:rsidRPr="00C24ACA">
              <w:rPr>
                <w:rFonts w:eastAsiaTheme="minorEastAsia"/>
                <w:color w:val="000000"/>
                <w:szCs w:val="21"/>
              </w:rPr>
              <w:t>股票投资</w:t>
            </w:r>
          </w:p>
        </w:tc>
        <w:tc>
          <w:tcPr>
            <w:tcW w:w="3118" w:type="dxa"/>
            <w:vAlign w:val="center"/>
          </w:tcPr>
          <w:p w:rsidR="00F5070F" w:rsidRPr="00C24ACA" w:rsidRDefault="00F5070F" w:rsidP="00C73BE3">
            <w:pPr>
              <w:spacing w:line="360" w:lineRule="auto"/>
              <w:jc w:val="right"/>
              <w:rPr>
                <w:rFonts w:eastAsiaTheme="minorEastAsia"/>
                <w:color w:val="000000"/>
                <w:szCs w:val="21"/>
              </w:rPr>
            </w:pPr>
            <w:r w:rsidRPr="00C24ACA">
              <w:rPr>
                <w:rFonts w:eastAsiaTheme="minorEastAsia"/>
                <w:color w:val="000000"/>
                <w:szCs w:val="21"/>
              </w:rPr>
              <w:t>-</w:t>
            </w:r>
          </w:p>
        </w:tc>
        <w:tc>
          <w:tcPr>
            <w:tcW w:w="3260" w:type="dxa"/>
            <w:vAlign w:val="center"/>
          </w:tcPr>
          <w:p w:rsidR="00F5070F" w:rsidRPr="00C24ACA" w:rsidRDefault="00F5070F" w:rsidP="00C73BE3">
            <w:pPr>
              <w:spacing w:line="360" w:lineRule="auto"/>
              <w:jc w:val="right"/>
              <w:rPr>
                <w:rFonts w:eastAsiaTheme="minorEastAsia"/>
                <w:color w:val="000000"/>
                <w:szCs w:val="21"/>
              </w:rPr>
            </w:pPr>
            <w:r w:rsidRPr="00C24ACA">
              <w:rPr>
                <w:rFonts w:eastAsiaTheme="minorEastAsia"/>
                <w:color w:val="000000"/>
                <w:szCs w:val="21"/>
              </w:rPr>
              <w:t>-</w:t>
            </w:r>
          </w:p>
        </w:tc>
      </w:tr>
      <w:tr w:rsidR="00F5070F" w:rsidRPr="00C24ACA" w:rsidTr="00F5070F">
        <w:tc>
          <w:tcPr>
            <w:tcW w:w="2694" w:type="dxa"/>
            <w:vAlign w:val="center"/>
          </w:tcPr>
          <w:p w:rsidR="00F5070F" w:rsidRPr="00C24ACA" w:rsidRDefault="00F5070F" w:rsidP="00C73BE3">
            <w:pPr>
              <w:jc w:val="left"/>
              <w:rPr>
                <w:rFonts w:eastAsiaTheme="minorEastAsia"/>
                <w:color w:val="000000"/>
                <w:szCs w:val="21"/>
              </w:rPr>
            </w:pPr>
            <w:r w:rsidRPr="00C24ACA">
              <w:rPr>
                <w:rFonts w:eastAsiaTheme="minorEastAsia"/>
                <w:color w:val="000000"/>
                <w:szCs w:val="21"/>
              </w:rPr>
              <w:t>交易性金融资产</w:t>
            </w:r>
            <w:r w:rsidRPr="00C24ACA">
              <w:rPr>
                <w:rFonts w:eastAsiaTheme="minorEastAsia"/>
                <w:color w:val="000000"/>
                <w:szCs w:val="21"/>
              </w:rPr>
              <w:t>—</w:t>
            </w:r>
            <w:r w:rsidRPr="00C24ACA">
              <w:rPr>
                <w:rFonts w:eastAsiaTheme="minorEastAsia"/>
                <w:color w:val="000000"/>
                <w:szCs w:val="21"/>
              </w:rPr>
              <w:t>基金投资</w:t>
            </w:r>
          </w:p>
        </w:tc>
        <w:tc>
          <w:tcPr>
            <w:tcW w:w="3118" w:type="dxa"/>
          </w:tcPr>
          <w:p w:rsidR="00F5070F" w:rsidRPr="00C24ACA" w:rsidRDefault="00F5070F" w:rsidP="00C73BE3">
            <w:pPr>
              <w:spacing w:line="360" w:lineRule="auto"/>
              <w:jc w:val="right"/>
              <w:rPr>
                <w:rFonts w:eastAsiaTheme="minorEastAsia"/>
                <w:color w:val="000000"/>
                <w:szCs w:val="21"/>
              </w:rPr>
            </w:pPr>
            <w:r w:rsidRPr="00C24ACA">
              <w:rPr>
                <w:rFonts w:eastAsiaTheme="minorEastAsia"/>
                <w:color w:val="000000"/>
                <w:szCs w:val="21"/>
              </w:rPr>
              <w:t>6,125,184.65</w:t>
            </w:r>
          </w:p>
        </w:tc>
        <w:tc>
          <w:tcPr>
            <w:tcW w:w="3260" w:type="dxa"/>
          </w:tcPr>
          <w:p w:rsidR="00F5070F" w:rsidRPr="00C24ACA" w:rsidRDefault="00F5070F" w:rsidP="00C73BE3">
            <w:pPr>
              <w:spacing w:line="360" w:lineRule="auto"/>
              <w:jc w:val="right"/>
              <w:rPr>
                <w:rFonts w:eastAsiaTheme="minorEastAsia"/>
                <w:color w:val="000000"/>
                <w:szCs w:val="21"/>
              </w:rPr>
            </w:pPr>
            <w:r w:rsidRPr="00C24ACA">
              <w:rPr>
                <w:rFonts w:eastAsiaTheme="minorEastAsia"/>
                <w:color w:val="000000"/>
                <w:szCs w:val="21"/>
              </w:rPr>
              <w:t>36.06</w:t>
            </w:r>
          </w:p>
        </w:tc>
      </w:tr>
      <w:tr w:rsidR="003B2040" w:rsidRPr="00C24ACA" w:rsidTr="00742218">
        <w:tc>
          <w:tcPr>
            <w:tcW w:w="2694" w:type="dxa"/>
            <w:vAlign w:val="center"/>
          </w:tcPr>
          <w:p w:rsidR="003B2040" w:rsidRPr="00224952" w:rsidRDefault="003B2040" w:rsidP="003B2040">
            <w:pPr>
              <w:spacing w:line="360" w:lineRule="auto"/>
              <w:jc w:val="left"/>
              <w:rPr>
                <w:szCs w:val="21"/>
              </w:rPr>
            </w:pPr>
            <w:r w:rsidRPr="00224952">
              <w:rPr>
                <w:rFonts w:hint="eastAsia"/>
                <w:szCs w:val="21"/>
              </w:rPr>
              <w:t>交易性金融资产－贵金属投资</w:t>
            </w:r>
          </w:p>
        </w:tc>
        <w:tc>
          <w:tcPr>
            <w:tcW w:w="3118" w:type="dxa"/>
            <w:vAlign w:val="center"/>
          </w:tcPr>
          <w:p w:rsidR="003B2040" w:rsidRPr="00224952" w:rsidRDefault="003B2040" w:rsidP="003B2040">
            <w:pPr>
              <w:spacing w:line="360" w:lineRule="auto"/>
              <w:jc w:val="right"/>
              <w:rPr>
                <w:color w:val="000000"/>
                <w:szCs w:val="21"/>
              </w:rPr>
            </w:pPr>
            <w:r w:rsidRPr="00224952">
              <w:rPr>
                <w:color w:val="000000"/>
                <w:szCs w:val="21"/>
              </w:rPr>
              <w:t>-</w:t>
            </w:r>
          </w:p>
        </w:tc>
        <w:tc>
          <w:tcPr>
            <w:tcW w:w="3260" w:type="dxa"/>
            <w:vAlign w:val="center"/>
          </w:tcPr>
          <w:p w:rsidR="003B2040" w:rsidRPr="00224952" w:rsidRDefault="003B2040" w:rsidP="003B2040">
            <w:pPr>
              <w:spacing w:line="360" w:lineRule="auto"/>
              <w:jc w:val="right"/>
              <w:rPr>
                <w:color w:val="000000"/>
                <w:szCs w:val="21"/>
              </w:rPr>
            </w:pPr>
            <w:r w:rsidRPr="00224952">
              <w:rPr>
                <w:color w:val="000000"/>
                <w:szCs w:val="21"/>
              </w:rPr>
              <w:t>-</w:t>
            </w:r>
          </w:p>
        </w:tc>
      </w:tr>
      <w:tr w:rsidR="003B2040" w:rsidRPr="00C24ACA" w:rsidTr="00F5070F">
        <w:tc>
          <w:tcPr>
            <w:tcW w:w="2694" w:type="dxa"/>
            <w:vAlign w:val="center"/>
          </w:tcPr>
          <w:p w:rsidR="003B2040" w:rsidRPr="00C24ACA" w:rsidRDefault="003B2040" w:rsidP="003B2040">
            <w:pPr>
              <w:jc w:val="left"/>
              <w:rPr>
                <w:rFonts w:eastAsiaTheme="minorEastAsia"/>
                <w:color w:val="000000"/>
                <w:szCs w:val="21"/>
              </w:rPr>
            </w:pPr>
            <w:r w:rsidRPr="00C24ACA">
              <w:rPr>
                <w:rFonts w:eastAsiaTheme="minorEastAsia"/>
                <w:color w:val="000000"/>
                <w:szCs w:val="21"/>
              </w:rPr>
              <w:t>衍生金融资产－权证投资</w:t>
            </w:r>
          </w:p>
        </w:tc>
        <w:tc>
          <w:tcPr>
            <w:tcW w:w="3118"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w:t>
            </w:r>
          </w:p>
        </w:tc>
        <w:tc>
          <w:tcPr>
            <w:tcW w:w="3260"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w:t>
            </w:r>
          </w:p>
        </w:tc>
      </w:tr>
      <w:tr w:rsidR="003B2040" w:rsidRPr="00C24ACA" w:rsidTr="00F5070F">
        <w:tc>
          <w:tcPr>
            <w:tcW w:w="2694" w:type="dxa"/>
            <w:vAlign w:val="center"/>
          </w:tcPr>
          <w:p w:rsidR="003B2040" w:rsidRPr="00C24ACA" w:rsidRDefault="003B2040" w:rsidP="003B2040">
            <w:pPr>
              <w:jc w:val="left"/>
              <w:rPr>
                <w:rFonts w:eastAsiaTheme="minorEastAsia"/>
                <w:color w:val="000000"/>
                <w:szCs w:val="21"/>
              </w:rPr>
            </w:pPr>
            <w:r w:rsidRPr="00C24ACA">
              <w:rPr>
                <w:rFonts w:eastAsiaTheme="minorEastAsia"/>
                <w:color w:val="000000"/>
                <w:szCs w:val="21"/>
              </w:rPr>
              <w:t>其他</w:t>
            </w:r>
          </w:p>
        </w:tc>
        <w:tc>
          <w:tcPr>
            <w:tcW w:w="3118"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w:t>
            </w:r>
          </w:p>
        </w:tc>
        <w:tc>
          <w:tcPr>
            <w:tcW w:w="3260"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w:t>
            </w:r>
          </w:p>
        </w:tc>
      </w:tr>
      <w:tr w:rsidR="003B2040" w:rsidRPr="00C24ACA" w:rsidTr="00F5070F">
        <w:tc>
          <w:tcPr>
            <w:tcW w:w="2694" w:type="dxa"/>
            <w:vAlign w:val="center"/>
          </w:tcPr>
          <w:p w:rsidR="003B2040" w:rsidRPr="00C24ACA" w:rsidRDefault="003B2040" w:rsidP="003B2040">
            <w:pPr>
              <w:rPr>
                <w:rFonts w:eastAsiaTheme="minorEastAsia"/>
                <w:color w:val="000000"/>
                <w:szCs w:val="21"/>
              </w:rPr>
            </w:pPr>
            <w:r w:rsidRPr="00C24ACA">
              <w:rPr>
                <w:rFonts w:eastAsiaTheme="minorEastAsia"/>
                <w:color w:val="000000"/>
                <w:szCs w:val="21"/>
              </w:rPr>
              <w:t>合计</w:t>
            </w:r>
          </w:p>
        </w:tc>
        <w:tc>
          <w:tcPr>
            <w:tcW w:w="3118"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6,125,184.65</w:t>
            </w:r>
          </w:p>
        </w:tc>
        <w:tc>
          <w:tcPr>
            <w:tcW w:w="3260" w:type="dxa"/>
          </w:tcPr>
          <w:p w:rsidR="003B2040" w:rsidRPr="00C24ACA" w:rsidRDefault="003B2040" w:rsidP="003B2040">
            <w:pPr>
              <w:spacing w:line="360" w:lineRule="auto"/>
              <w:jc w:val="right"/>
              <w:rPr>
                <w:rFonts w:eastAsiaTheme="minorEastAsia"/>
                <w:color w:val="000000"/>
                <w:szCs w:val="21"/>
              </w:rPr>
            </w:pPr>
            <w:r w:rsidRPr="00C24ACA">
              <w:rPr>
                <w:rFonts w:eastAsiaTheme="minorEastAsia"/>
                <w:color w:val="000000"/>
                <w:szCs w:val="21"/>
              </w:rPr>
              <w:t>36.06</w:t>
            </w:r>
          </w:p>
        </w:tc>
      </w:tr>
    </w:tbl>
    <w:p w:rsidR="008A5A5D" w:rsidRPr="00C24ACA" w:rsidRDefault="008A5A5D" w:rsidP="006C64F3">
      <w:pPr>
        <w:spacing w:beforeLines="100" w:before="312" w:line="360" w:lineRule="auto"/>
        <w:rPr>
          <w:rFonts w:eastAsiaTheme="minorEastAsia"/>
          <w:b/>
          <w:color w:val="000000"/>
          <w:szCs w:val="21"/>
        </w:rPr>
      </w:pPr>
      <w:r w:rsidRPr="00C24ACA">
        <w:rPr>
          <w:rFonts w:eastAsiaTheme="minorEastAsia"/>
          <w:b/>
          <w:bCs/>
          <w:color w:val="000000"/>
          <w:kern w:val="0"/>
          <w:szCs w:val="21"/>
        </w:rPr>
        <w:t>6.4.13.4.3.2</w:t>
      </w:r>
      <w:r w:rsidRPr="00C24ACA">
        <w:rPr>
          <w:rFonts w:eastAsiaTheme="minor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559"/>
        <w:gridCol w:w="72"/>
      </w:tblGrid>
      <w:tr w:rsidR="000265E6">
        <w:tc>
          <w:tcPr>
            <w:tcW w:w="993" w:type="dxa"/>
            <w:vAlign w:val="center"/>
          </w:tcPr>
          <w:p w:rsidR="000265E6" w:rsidRDefault="004D56B3">
            <w:pPr>
              <w:jc w:val="left"/>
            </w:pPr>
            <w:r>
              <w:rPr>
                <w:rFonts w:eastAsiaTheme="minorEastAsia"/>
                <w:color w:val="000000"/>
                <w:szCs w:val="21"/>
              </w:rPr>
              <w:t>假设</w:t>
            </w:r>
          </w:p>
        </w:tc>
        <w:tc>
          <w:tcPr>
            <w:tcW w:w="8079" w:type="dxa"/>
            <w:gridSpan w:val="3"/>
            <w:vAlign w:val="center"/>
          </w:tcPr>
          <w:p w:rsidR="000265E6" w:rsidRDefault="004D56B3">
            <w:pPr>
              <w:jc w:val="center"/>
            </w:pPr>
            <w:r>
              <w:rPr>
                <w:rFonts w:eastAsiaTheme="minorEastAsia"/>
                <w:color w:val="000000"/>
                <w:szCs w:val="21"/>
              </w:rPr>
              <w:t>除业绩比较基准以外的其他市场变量保持不变</w:t>
            </w:r>
          </w:p>
        </w:tc>
      </w:tr>
      <w:tr w:rsidR="00695204" w:rsidRPr="00C24ACA" w:rsidTr="007C6EA8">
        <w:trPr>
          <w:gridAfter w:val="1"/>
          <w:wAfter w:w="72" w:type="dxa"/>
        </w:trPr>
        <w:tc>
          <w:tcPr>
            <w:tcW w:w="993" w:type="dxa"/>
            <w:vMerge w:val="restart"/>
            <w:vAlign w:val="center"/>
          </w:tcPr>
          <w:p w:rsidR="00695204" w:rsidRPr="00C24ACA" w:rsidRDefault="00695204" w:rsidP="00F86374">
            <w:pPr>
              <w:pStyle w:val="ae"/>
              <w:jc w:val="center"/>
              <w:rPr>
                <w:rFonts w:eastAsiaTheme="minorEastAsia"/>
                <w:color w:val="000000"/>
                <w:sz w:val="21"/>
                <w:szCs w:val="21"/>
              </w:rPr>
            </w:pPr>
            <w:r w:rsidRPr="00C24ACA">
              <w:rPr>
                <w:rFonts w:eastAsiaTheme="minorEastAsia"/>
                <w:bCs/>
                <w:color w:val="000000"/>
                <w:sz w:val="21"/>
                <w:szCs w:val="21"/>
              </w:rPr>
              <w:t>分析</w:t>
            </w:r>
          </w:p>
        </w:tc>
        <w:tc>
          <w:tcPr>
            <w:tcW w:w="2448" w:type="dxa"/>
            <w:vMerge w:val="restart"/>
            <w:vAlign w:val="center"/>
          </w:tcPr>
          <w:p w:rsidR="00695204" w:rsidRPr="00C24ACA" w:rsidRDefault="00695204" w:rsidP="007C6EA8">
            <w:pPr>
              <w:widowControl/>
              <w:autoSpaceDE w:val="0"/>
              <w:autoSpaceDN w:val="0"/>
              <w:ind w:right="-15"/>
              <w:jc w:val="center"/>
              <w:textAlignment w:val="bottom"/>
              <w:rPr>
                <w:rFonts w:eastAsiaTheme="minorEastAsia"/>
                <w:color w:val="000000"/>
                <w:kern w:val="0"/>
                <w:szCs w:val="21"/>
              </w:rPr>
            </w:pPr>
            <w:r w:rsidRPr="00C24ACA">
              <w:rPr>
                <w:rFonts w:eastAsiaTheme="minorEastAsia"/>
                <w:bCs/>
                <w:color w:val="000000"/>
                <w:szCs w:val="21"/>
              </w:rPr>
              <w:t>相关风险变量的变动</w:t>
            </w:r>
          </w:p>
        </w:tc>
        <w:tc>
          <w:tcPr>
            <w:tcW w:w="5559" w:type="dxa"/>
          </w:tcPr>
          <w:p w:rsidR="00695204" w:rsidRPr="00C24ACA" w:rsidRDefault="00695204" w:rsidP="007C6EA8">
            <w:pPr>
              <w:jc w:val="center"/>
              <w:rPr>
                <w:rFonts w:eastAsiaTheme="minorEastAsia"/>
                <w:color w:val="000000"/>
                <w:szCs w:val="21"/>
              </w:rPr>
            </w:pPr>
            <w:r w:rsidRPr="00C24ACA">
              <w:rPr>
                <w:rFonts w:eastAsiaTheme="minorEastAsia"/>
                <w:color w:val="000000"/>
                <w:szCs w:val="21"/>
              </w:rPr>
              <w:t>对资产负债表日基金资产净值的</w:t>
            </w:r>
          </w:p>
          <w:p w:rsidR="00695204" w:rsidRPr="00C24ACA" w:rsidRDefault="00F86374" w:rsidP="00F86374">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00695204" w:rsidRPr="00C24ACA">
              <w:rPr>
                <w:rFonts w:eastAsiaTheme="minorEastAsia"/>
                <w:color w:val="000000"/>
                <w:szCs w:val="21"/>
              </w:rPr>
              <w:t>元）</w:t>
            </w:r>
          </w:p>
        </w:tc>
      </w:tr>
      <w:tr w:rsidR="00695204" w:rsidRPr="00C24ACA" w:rsidTr="007C6EA8">
        <w:trPr>
          <w:gridAfter w:val="1"/>
          <w:wAfter w:w="72" w:type="dxa"/>
        </w:trPr>
        <w:tc>
          <w:tcPr>
            <w:tcW w:w="993" w:type="dxa"/>
            <w:vMerge/>
            <w:vAlign w:val="center"/>
          </w:tcPr>
          <w:p w:rsidR="00695204" w:rsidRPr="00C24ACA" w:rsidRDefault="00695204" w:rsidP="007C6EA8">
            <w:pPr>
              <w:widowControl/>
              <w:jc w:val="left"/>
              <w:rPr>
                <w:rFonts w:eastAsiaTheme="minorEastAsia"/>
                <w:color w:val="000000"/>
                <w:szCs w:val="21"/>
              </w:rPr>
            </w:pPr>
          </w:p>
        </w:tc>
        <w:tc>
          <w:tcPr>
            <w:tcW w:w="2448" w:type="dxa"/>
            <w:vMerge/>
            <w:vAlign w:val="center"/>
          </w:tcPr>
          <w:p w:rsidR="00695204" w:rsidRPr="00C24ACA" w:rsidRDefault="00695204" w:rsidP="007C6EA8">
            <w:pPr>
              <w:widowControl/>
              <w:jc w:val="left"/>
              <w:rPr>
                <w:rFonts w:eastAsiaTheme="minorEastAsia"/>
                <w:color w:val="000000"/>
                <w:kern w:val="0"/>
                <w:szCs w:val="21"/>
              </w:rPr>
            </w:pPr>
          </w:p>
        </w:tc>
        <w:tc>
          <w:tcPr>
            <w:tcW w:w="5559" w:type="dxa"/>
            <w:vAlign w:val="center"/>
          </w:tcPr>
          <w:p w:rsidR="00695204" w:rsidRPr="00C24ACA" w:rsidRDefault="00695204" w:rsidP="007C6EA8">
            <w:pPr>
              <w:spacing w:line="360" w:lineRule="auto"/>
              <w:jc w:val="center"/>
              <w:rPr>
                <w:rFonts w:eastAsiaTheme="minorEastAsia"/>
                <w:color w:val="000000"/>
                <w:szCs w:val="21"/>
              </w:rPr>
            </w:pPr>
            <w:r w:rsidRPr="00C24ACA">
              <w:rPr>
                <w:rFonts w:eastAsiaTheme="minorEastAsia"/>
                <w:color w:val="000000"/>
                <w:szCs w:val="21"/>
              </w:rPr>
              <w:t>本期末</w:t>
            </w:r>
          </w:p>
          <w:p w:rsidR="00695204" w:rsidRPr="00C24ACA" w:rsidRDefault="00695204" w:rsidP="007C6EA8">
            <w:pPr>
              <w:spacing w:line="360" w:lineRule="auto"/>
              <w:jc w:val="center"/>
              <w:rPr>
                <w:rFonts w:eastAsiaTheme="minorEastAsia"/>
                <w:bCs/>
                <w:color w:val="000000"/>
                <w:szCs w:val="21"/>
              </w:rPr>
            </w:pPr>
            <w:r w:rsidRPr="00C24ACA">
              <w:rPr>
                <w:rFonts w:eastAsiaTheme="minorEastAsia"/>
                <w:color w:val="000000"/>
                <w:szCs w:val="21"/>
              </w:rPr>
              <w:t>2020</w:t>
            </w:r>
            <w:r w:rsidRPr="00C24ACA">
              <w:rPr>
                <w:rFonts w:eastAsiaTheme="minorEastAsia"/>
                <w:color w:val="000000"/>
                <w:szCs w:val="21"/>
              </w:rPr>
              <w:t>年</w:t>
            </w:r>
            <w:r w:rsidRPr="00C24ACA">
              <w:rPr>
                <w:rFonts w:eastAsiaTheme="minorEastAsia"/>
                <w:color w:val="000000"/>
                <w:szCs w:val="21"/>
              </w:rPr>
              <w:t>6</w:t>
            </w:r>
            <w:r w:rsidRPr="00C24ACA">
              <w:rPr>
                <w:rFonts w:eastAsiaTheme="minorEastAsia"/>
                <w:color w:val="000000"/>
                <w:szCs w:val="21"/>
              </w:rPr>
              <w:t>月</w:t>
            </w:r>
            <w:r w:rsidRPr="00C24ACA">
              <w:rPr>
                <w:rFonts w:eastAsiaTheme="minorEastAsia"/>
                <w:color w:val="000000"/>
                <w:szCs w:val="21"/>
              </w:rPr>
              <w:t>30</w:t>
            </w:r>
            <w:r w:rsidRPr="00C24ACA">
              <w:rPr>
                <w:rFonts w:eastAsiaTheme="minorEastAsia"/>
                <w:color w:val="000000"/>
                <w:szCs w:val="21"/>
              </w:rPr>
              <w:t>日</w:t>
            </w:r>
          </w:p>
        </w:tc>
      </w:tr>
      <w:tr w:rsidR="000265E6">
        <w:trPr>
          <w:gridAfter w:val="1"/>
          <w:wAfter w:w="72" w:type="dxa"/>
        </w:trPr>
        <w:tc>
          <w:tcPr>
            <w:tcW w:w="993" w:type="dxa"/>
            <w:vMerge/>
          </w:tcPr>
          <w:p w:rsidR="000265E6" w:rsidRDefault="000265E6"/>
        </w:tc>
        <w:tc>
          <w:tcPr>
            <w:tcW w:w="2448" w:type="dxa"/>
            <w:vAlign w:val="center"/>
          </w:tcPr>
          <w:p w:rsidR="000265E6" w:rsidRDefault="004D56B3">
            <w:r>
              <w:rPr>
                <w:rFonts w:eastAsiaTheme="minorEastAsia"/>
                <w:color w:val="000000"/>
                <w:szCs w:val="21"/>
              </w:rPr>
              <w:t>1.</w:t>
            </w:r>
            <w:r>
              <w:rPr>
                <w:rFonts w:eastAsiaTheme="minorEastAsia"/>
                <w:color w:val="000000"/>
                <w:szCs w:val="21"/>
              </w:rPr>
              <w:t>业绩比较基准上升</w:t>
            </w:r>
            <w:r>
              <w:rPr>
                <w:rFonts w:eastAsiaTheme="minorEastAsia"/>
                <w:color w:val="000000"/>
                <w:szCs w:val="21"/>
              </w:rPr>
              <w:t>5%</w:t>
            </w:r>
          </w:p>
        </w:tc>
        <w:tc>
          <w:tcPr>
            <w:tcW w:w="5559" w:type="dxa"/>
            <w:vAlign w:val="center"/>
          </w:tcPr>
          <w:p w:rsidR="000265E6" w:rsidRDefault="004D56B3">
            <w:pPr>
              <w:jc w:val="right"/>
            </w:pPr>
            <w:r>
              <w:rPr>
                <w:rFonts w:eastAsiaTheme="minorEastAsia"/>
                <w:color w:val="000000"/>
                <w:szCs w:val="21"/>
              </w:rPr>
              <w:t>330,145.00</w:t>
            </w:r>
          </w:p>
        </w:tc>
      </w:tr>
      <w:tr w:rsidR="000265E6">
        <w:trPr>
          <w:gridAfter w:val="1"/>
          <w:wAfter w:w="72" w:type="dxa"/>
        </w:trPr>
        <w:tc>
          <w:tcPr>
            <w:tcW w:w="993" w:type="dxa"/>
            <w:vMerge/>
          </w:tcPr>
          <w:p w:rsidR="000265E6" w:rsidRDefault="000265E6"/>
        </w:tc>
        <w:tc>
          <w:tcPr>
            <w:tcW w:w="2448" w:type="dxa"/>
            <w:vAlign w:val="center"/>
          </w:tcPr>
          <w:p w:rsidR="000265E6" w:rsidRDefault="004D56B3">
            <w:r>
              <w:rPr>
                <w:rFonts w:eastAsiaTheme="minorEastAsia"/>
                <w:color w:val="000000"/>
                <w:szCs w:val="21"/>
              </w:rPr>
              <w:t>2.</w:t>
            </w:r>
            <w:r>
              <w:rPr>
                <w:rFonts w:eastAsiaTheme="minorEastAsia"/>
                <w:color w:val="000000"/>
                <w:szCs w:val="21"/>
              </w:rPr>
              <w:t>业绩比较基准下降</w:t>
            </w:r>
            <w:r>
              <w:rPr>
                <w:rFonts w:eastAsiaTheme="minorEastAsia"/>
                <w:color w:val="000000"/>
                <w:szCs w:val="21"/>
              </w:rPr>
              <w:t>5%</w:t>
            </w:r>
          </w:p>
        </w:tc>
        <w:tc>
          <w:tcPr>
            <w:tcW w:w="5559" w:type="dxa"/>
            <w:vAlign w:val="center"/>
          </w:tcPr>
          <w:p w:rsidR="000265E6" w:rsidRDefault="004D56B3">
            <w:pPr>
              <w:jc w:val="right"/>
            </w:pPr>
            <w:r>
              <w:rPr>
                <w:rFonts w:eastAsiaTheme="minorEastAsia"/>
                <w:color w:val="000000"/>
                <w:szCs w:val="21"/>
              </w:rPr>
              <w:t>-330,145.00</w:t>
            </w:r>
          </w:p>
        </w:tc>
      </w:tr>
    </w:tbl>
    <w:p w:rsidR="008A5A5D" w:rsidRPr="00C24ACA" w:rsidRDefault="008A5A5D" w:rsidP="006C64F3">
      <w:pPr>
        <w:adjustRightInd w:val="0"/>
        <w:snapToGrid w:val="0"/>
        <w:spacing w:beforeLines="100" w:before="312" w:line="360" w:lineRule="auto"/>
        <w:rPr>
          <w:rFonts w:eastAsiaTheme="minorEastAsia"/>
          <w:b/>
          <w:color w:val="000000"/>
          <w:szCs w:val="21"/>
        </w:rPr>
      </w:pPr>
      <w:r w:rsidRPr="00C24ACA">
        <w:rPr>
          <w:rFonts w:eastAsiaTheme="minorEastAsia"/>
          <w:b/>
          <w:bCs/>
          <w:color w:val="000000"/>
          <w:kern w:val="0"/>
          <w:szCs w:val="21"/>
        </w:rPr>
        <w:t>6.4.14</w:t>
      </w:r>
      <w:r w:rsidRPr="00C24ACA">
        <w:rPr>
          <w:rFonts w:eastAsiaTheme="minorEastAsia"/>
          <w:b/>
          <w:color w:val="000000"/>
          <w:szCs w:val="21"/>
        </w:rPr>
        <w:t>有助于理解和分析会计报表需要说明的其他事项</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公允价值</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(a)</w:t>
      </w:r>
      <w:r>
        <w:rPr>
          <w:rFonts w:eastAsiaTheme="minorEastAsia"/>
          <w:kern w:val="0"/>
          <w:szCs w:val="21"/>
        </w:rPr>
        <w:t>金融工具公允价值计量的方法</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公允价值计量结果所属的层次，由对公允价值计量整体而言具有重要意义的输入值所属的最低层次决定：</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第一层次：相同资产或负债在活跃市场上未经调整的报价。</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第二层次：除第一层次输入值外相关资产或负债直接或间接可观察的输入值。</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第三层次：相关资产或负债的不可观察输入值。</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持续的以公允价值计量的金融工具</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(i)</w:t>
      </w:r>
      <w:r>
        <w:rPr>
          <w:rFonts w:eastAsiaTheme="minorEastAsia"/>
          <w:kern w:val="0"/>
          <w:szCs w:val="21"/>
        </w:rPr>
        <w:t>各层次金融工具公允价值</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日，本基金持有的以公允价值计量且其变动计入当期损益的金融资产中属于第一层次的余额为</w:t>
      </w:r>
      <w:r>
        <w:rPr>
          <w:rFonts w:eastAsiaTheme="minorEastAsia"/>
          <w:kern w:val="0"/>
          <w:szCs w:val="21"/>
        </w:rPr>
        <w:t>6,125,184.65</w:t>
      </w:r>
      <w:r>
        <w:rPr>
          <w:rFonts w:eastAsiaTheme="minorEastAsia"/>
          <w:kern w:val="0"/>
          <w:szCs w:val="21"/>
        </w:rPr>
        <w:t>元，无属于第二层次的余额，无属于第三层次的余额。</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(ii)</w:t>
      </w:r>
      <w:r>
        <w:rPr>
          <w:rFonts w:eastAsiaTheme="minorEastAsia"/>
          <w:kern w:val="0"/>
          <w:szCs w:val="21"/>
        </w:rPr>
        <w:t>公允价值所属层次间的重大变动</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对于证券交易所上市的股票，若出现重大事项停牌、交易不活跃</w:t>
      </w:r>
      <w:r>
        <w:rPr>
          <w:rFonts w:eastAsiaTheme="minorEastAsia"/>
          <w:kern w:val="0"/>
          <w:szCs w:val="21"/>
        </w:rPr>
        <w:t>(</w:t>
      </w:r>
      <w:r>
        <w:rPr>
          <w:rFonts w:eastAsiaTheme="minorEastAsia"/>
          <w:kern w:val="0"/>
          <w:szCs w:val="21"/>
        </w:rPr>
        <w:t>包括涨跌停时的交易不活跃</w:t>
      </w:r>
      <w:r>
        <w:rPr>
          <w:rFonts w:eastAsiaTheme="minorEastAsia"/>
          <w:kern w:val="0"/>
          <w:szCs w:val="21"/>
        </w:rPr>
        <w:t>)</w:t>
      </w:r>
      <w:r>
        <w:rPr>
          <w:rFonts w:eastAsiaTheme="minorEastAsia"/>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rFonts w:eastAsiaTheme="minorEastAsia"/>
          <w:kern w:val="0"/>
          <w:szCs w:val="21"/>
        </w:rPr>
        <w:t>ETF</w:t>
      </w:r>
      <w:r>
        <w:rPr>
          <w:rFonts w:eastAsiaTheme="minorEastAsia"/>
          <w:kern w:val="0"/>
          <w:szCs w:val="21"/>
        </w:rPr>
        <w:t>，若本基金因上述事项在目标</w:t>
      </w:r>
      <w:r>
        <w:rPr>
          <w:rFonts w:eastAsiaTheme="minorEastAsia"/>
          <w:kern w:val="0"/>
          <w:szCs w:val="21"/>
        </w:rPr>
        <w:t>ETF</w:t>
      </w:r>
      <w:r>
        <w:rPr>
          <w:rFonts w:eastAsiaTheme="minorEastAsia"/>
          <w:kern w:val="0"/>
          <w:szCs w:val="21"/>
        </w:rPr>
        <w:t>当日份额净值的基础上，对目标</w:t>
      </w:r>
      <w:r>
        <w:rPr>
          <w:rFonts w:eastAsiaTheme="minorEastAsia"/>
          <w:kern w:val="0"/>
          <w:szCs w:val="21"/>
        </w:rPr>
        <w:t>ETF</w:t>
      </w:r>
      <w:r>
        <w:rPr>
          <w:rFonts w:eastAsiaTheme="minorEastAsia"/>
          <w:kern w:val="0"/>
          <w:szCs w:val="21"/>
        </w:rPr>
        <w:t>的公允价值进行调整，则本基金在调整期间内将目标</w:t>
      </w:r>
      <w:r>
        <w:rPr>
          <w:rFonts w:eastAsiaTheme="minorEastAsia"/>
          <w:kern w:val="0"/>
          <w:szCs w:val="21"/>
        </w:rPr>
        <w:t>ETF</w:t>
      </w:r>
      <w:r>
        <w:rPr>
          <w:rFonts w:eastAsiaTheme="minorEastAsia"/>
          <w:kern w:val="0"/>
          <w:szCs w:val="21"/>
        </w:rPr>
        <w:t>的公允价值从第一层次转出。</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 xml:space="preserve"> (iii)</w:t>
      </w:r>
      <w:r>
        <w:rPr>
          <w:rFonts w:eastAsiaTheme="minorEastAsia"/>
          <w:kern w:val="0"/>
          <w:szCs w:val="21"/>
        </w:rPr>
        <w:t>第三层次公允价值余额和本期变动金额</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无。</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非持续的以公允价值计量的金融工具</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30</w:t>
      </w:r>
      <w:r>
        <w:rPr>
          <w:rFonts w:eastAsiaTheme="minorEastAsia"/>
          <w:kern w:val="0"/>
          <w:szCs w:val="21"/>
        </w:rPr>
        <w:t>日，本基金未持有非持续的以公允价值计量的金融资产。</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(d)</w:t>
      </w:r>
      <w:r>
        <w:rPr>
          <w:rFonts w:eastAsiaTheme="minorEastAsia"/>
          <w:kern w:val="0"/>
          <w:szCs w:val="21"/>
        </w:rPr>
        <w:t>不以公允价值计量的金融工具</w:t>
      </w:r>
      <w:r>
        <w:rPr>
          <w:rFonts w:eastAsiaTheme="minorEastAsia"/>
          <w:kern w:val="0"/>
          <w:szCs w:val="21"/>
        </w:rPr>
        <w:t xml:space="preserve"> </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不以公允价值计量的金融资产和负债主要包括应收款项和其他金融负债，其账面价值与公允价值相差很小。</w:t>
      </w:r>
      <w:r>
        <w:rPr>
          <w:rFonts w:eastAsiaTheme="minorEastAsia"/>
          <w:kern w:val="0"/>
          <w:szCs w:val="21"/>
        </w:rPr>
        <w:t xml:space="preserve"> </w:t>
      </w:r>
    </w:p>
    <w:p w:rsidR="008A5A5D" w:rsidRPr="00C24ACA" w:rsidRDefault="008A5A5D" w:rsidP="008134C7">
      <w:pPr>
        <w:tabs>
          <w:tab w:val="left" w:pos="426"/>
        </w:tabs>
        <w:spacing w:line="360" w:lineRule="auto"/>
        <w:ind w:firstLineChars="200" w:firstLine="420"/>
        <w:rPr>
          <w:rFonts w:eastAsiaTheme="minorEastAsia"/>
          <w:kern w:val="0"/>
          <w:szCs w:val="21"/>
        </w:rPr>
      </w:pPr>
      <w:r w:rsidRPr="00C24ACA">
        <w:rPr>
          <w:rFonts w:eastAsiaTheme="minorEastAsia"/>
          <w:kern w:val="0"/>
          <w:szCs w:val="21"/>
        </w:rPr>
        <w:t xml:space="preserve"> (2)</w:t>
      </w:r>
      <w:r w:rsidRPr="00C24ACA">
        <w:rPr>
          <w:rFonts w:eastAsiaTheme="minorEastAsia"/>
          <w:kern w:val="0"/>
          <w:szCs w:val="21"/>
        </w:rPr>
        <w:t>除公允价值外，截至资产负债表日本基金无需要说明的其他重要事项。</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197" w:name="_Toc225498272"/>
      <w:bookmarkStart w:id="198" w:name="_Toc352255995"/>
      <w:bookmarkStart w:id="199" w:name="_Toc352256063"/>
      <w:bookmarkStart w:id="200" w:name="_Toc352331241"/>
      <w:bookmarkStart w:id="201" w:name="_Toc390164820"/>
      <w:bookmarkStart w:id="202" w:name="_Toc48660301"/>
      <w:r w:rsidRPr="000C6CCD">
        <w:rPr>
          <w:rFonts w:ascii="宋体" w:hAnsi="宋体"/>
          <w:bCs w:val="0"/>
          <w:color w:val="000000"/>
          <w:sz w:val="21"/>
          <w:szCs w:val="21"/>
        </w:rPr>
        <w:t>7</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投资组合报告</w:t>
      </w:r>
      <w:bookmarkEnd w:id="197"/>
      <w:bookmarkEnd w:id="198"/>
      <w:bookmarkEnd w:id="199"/>
      <w:bookmarkEnd w:id="200"/>
      <w:bookmarkEnd w:id="201"/>
      <w:bookmarkEnd w:id="202"/>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03" w:name="_Toc225498273"/>
      <w:bookmarkStart w:id="204" w:name="_Toc352255996"/>
      <w:bookmarkStart w:id="205" w:name="_Toc352256064"/>
      <w:bookmarkStart w:id="206" w:name="_Toc352331242"/>
      <w:bookmarkStart w:id="207" w:name="_Toc390164821"/>
      <w:bookmarkStart w:id="208" w:name="_Toc48660302"/>
      <w:r w:rsidRPr="0087359D">
        <w:rPr>
          <w:rFonts w:ascii="宋体" w:hAnsi="宋体"/>
          <w:kern w:val="0"/>
          <w:sz w:val="21"/>
          <w:szCs w:val="21"/>
        </w:rPr>
        <w:t>7.1</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期末基金资产组合情况</w:t>
      </w:r>
      <w:bookmarkEnd w:id="203"/>
      <w:bookmarkEnd w:id="204"/>
      <w:bookmarkEnd w:id="205"/>
      <w:bookmarkEnd w:id="206"/>
      <w:bookmarkEnd w:id="207"/>
      <w:bookmarkEnd w:id="208"/>
    </w:p>
    <w:p w:rsidR="008A5A5D" w:rsidRPr="00C24ACA" w:rsidRDefault="008A5A5D" w:rsidP="002116B9">
      <w:pPr>
        <w:autoSpaceDE w:val="0"/>
        <w:autoSpaceDN w:val="0"/>
        <w:adjustRightInd w:val="0"/>
        <w:spacing w:before="29" w:line="288" w:lineRule="auto"/>
        <w:ind w:left="15"/>
        <w:jc w:val="right"/>
        <w:rPr>
          <w:rFonts w:eastAsiaTheme="minorEastAsia"/>
          <w:color w:val="000000"/>
          <w:kern w:val="0"/>
          <w:szCs w:val="21"/>
        </w:rPr>
      </w:pPr>
      <w:r w:rsidRPr="00C24ACA">
        <w:rPr>
          <w:rFonts w:eastAsiaTheme="minorEastAsia"/>
          <w:color w:val="000000"/>
          <w:szCs w:val="21"/>
        </w:rPr>
        <w:t>金额单位：人民币元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8A5A5D" w:rsidRPr="00C24ACA" w:rsidTr="00206018">
        <w:trPr>
          <w:jc w:val="center"/>
        </w:trPr>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序号</w:t>
            </w:r>
          </w:p>
        </w:tc>
        <w:tc>
          <w:tcPr>
            <w:tcW w:w="34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项目</w:t>
            </w:r>
          </w:p>
        </w:tc>
        <w:tc>
          <w:tcPr>
            <w:tcW w:w="252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c>
          <w:tcPr>
            <w:tcW w:w="2052"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占基金总资产的比例（</w:t>
            </w:r>
            <w:r w:rsidRPr="00C24ACA">
              <w:rPr>
                <w:rFonts w:eastAsiaTheme="minorEastAsia"/>
                <w:color w:val="000000"/>
                <w:szCs w:val="21"/>
              </w:rPr>
              <w:t>%</w:t>
            </w:r>
            <w:r w:rsidRPr="00C24ACA">
              <w:rPr>
                <w:rFonts w:eastAsiaTheme="minorEastAsia"/>
                <w:color w:val="000000"/>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r w:rsidRPr="00C24ACA">
              <w:rPr>
                <w:rFonts w:eastAsiaTheme="minorEastAsia"/>
                <w:szCs w:val="21"/>
              </w:rPr>
              <w:t>1</w:t>
            </w: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权益投资</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C87473">
            <w:pPr>
              <w:ind w:leftChars="50" w:left="105"/>
              <w:rPr>
                <w:rFonts w:eastAsiaTheme="minorEastAsia"/>
                <w:color w:val="000000"/>
                <w:szCs w:val="21"/>
              </w:rPr>
            </w:pPr>
            <w:r w:rsidRPr="00C24ACA">
              <w:rPr>
                <w:rFonts w:eastAsiaTheme="minorEastAsia"/>
                <w:szCs w:val="21"/>
              </w:rPr>
              <w:t>其中：普通股</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8A5A5D" w:rsidRPr="00C24ACA" w:rsidTr="00206018">
        <w:trPr>
          <w:jc w:val="center"/>
        </w:trPr>
        <w:tc>
          <w:tcPr>
            <w:tcW w:w="1080" w:type="dxa"/>
            <w:vAlign w:val="center"/>
          </w:tcPr>
          <w:p w:rsidR="008A5A5D" w:rsidRPr="00C24ACA" w:rsidRDefault="008A5A5D" w:rsidP="00930E47">
            <w:pPr>
              <w:jc w:val="center"/>
              <w:rPr>
                <w:rFonts w:eastAsiaTheme="minorEastAsia"/>
                <w:color w:val="000000"/>
                <w:szCs w:val="21"/>
              </w:rPr>
            </w:pPr>
          </w:p>
        </w:tc>
        <w:tc>
          <w:tcPr>
            <w:tcW w:w="3420" w:type="dxa"/>
            <w:vAlign w:val="center"/>
          </w:tcPr>
          <w:p w:rsidR="008A5A5D" w:rsidRPr="00C24ACA" w:rsidRDefault="008A5A5D" w:rsidP="008134C7">
            <w:pPr>
              <w:ind w:firstLineChars="350" w:firstLine="735"/>
              <w:rPr>
                <w:rFonts w:eastAsiaTheme="minorEastAsia"/>
                <w:color w:val="000000"/>
                <w:szCs w:val="21"/>
              </w:rPr>
            </w:pPr>
            <w:r w:rsidRPr="00C24ACA">
              <w:rPr>
                <w:rFonts w:eastAsiaTheme="minorEastAsia"/>
                <w:szCs w:val="21"/>
              </w:rPr>
              <w:t>存托凭证</w:t>
            </w:r>
          </w:p>
        </w:tc>
        <w:tc>
          <w:tcPr>
            <w:tcW w:w="2520"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c>
          <w:tcPr>
            <w:tcW w:w="2052" w:type="dxa"/>
            <w:vAlign w:val="center"/>
          </w:tcPr>
          <w:p w:rsidR="008A5A5D" w:rsidRPr="00C24ACA" w:rsidRDefault="008A5A5D"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优先股</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spacing w:before="29" w:line="360" w:lineRule="auto"/>
              <w:ind w:firstLineChars="350" w:firstLine="735"/>
              <w:rPr>
                <w:rFonts w:eastAsiaTheme="minorEastAsia"/>
                <w:color w:val="000000"/>
                <w:szCs w:val="21"/>
              </w:rPr>
            </w:pPr>
            <w:r w:rsidRPr="00C24ACA">
              <w:rPr>
                <w:rFonts w:eastAsiaTheme="minorEastAsia"/>
                <w:color w:val="000000"/>
                <w:szCs w:val="21"/>
              </w:rPr>
              <w:t>房地产信托</w:t>
            </w:r>
            <w:r w:rsidR="007969C0" w:rsidRPr="00C24ACA">
              <w:rPr>
                <w:rFonts w:eastAsiaTheme="minorEastAsia"/>
                <w:color w:val="000000"/>
                <w:szCs w:val="21"/>
              </w:rPr>
              <w:t>凭证</w:t>
            </w:r>
          </w:p>
        </w:tc>
        <w:tc>
          <w:tcPr>
            <w:tcW w:w="2520"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c>
          <w:tcPr>
            <w:tcW w:w="2052" w:type="dxa"/>
            <w:vAlign w:val="center"/>
          </w:tcPr>
          <w:p w:rsidR="00380273" w:rsidRPr="00C24ACA" w:rsidRDefault="00380273" w:rsidP="003B632D">
            <w:pPr>
              <w:spacing w:before="29" w:line="360" w:lineRule="auto"/>
              <w:ind w:left="17"/>
              <w:jc w:val="right"/>
              <w:rPr>
                <w:rFonts w:eastAsiaTheme="minorEastAsia"/>
                <w:color w:val="000000"/>
                <w:szCs w:val="21"/>
              </w:rPr>
            </w:pPr>
            <w:r w:rsidRPr="00C24ACA">
              <w:rPr>
                <w:rFonts w:eastAsiaTheme="minorEastAsia"/>
                <w:color w:val="000000"/>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2</w:t>
            </w:r>
          </w:p>
        </w:tc>
        <w:tc>
          <w:tcPr>
            <w:tcW w:w="3420" w:type="dxa"/>
            <w:vAlign w:val="center"/>
          </w:tcPr>
          <w:p w:rsidR="00380273" w:rsidRPr="00C24ACA" w:rsidRDefault="00380273" w:rsidP="00C87473">
            <w:pPr>
              <w:ind w:leftChars="49" w:left="103"/>
              <w:rPr>
                <w:rFonts w:eastAsiaTheme="minorEastAsia"/>
                <w:color w:val="000000"/>
                <w:szCs w:val="21"/>
              </w:rPr>
            </w:pPr>
            <w:r w:rsidRPr="00C24ACA">
              <w:rPr>
                <w:rFonts w:eastAsiaTheme="minorEastAsia"/>
                <w:szCs w:val="21"/>
              </w:rPr>
              <w:t>基金投资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6,125,184.65</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27.66</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3</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固定收益投资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其中：债券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8134C7">
            <w:pPr>
              <w:ind w:leftChars="50" w:left="105" w:firstLineChars="300" w:firstLine="630"/>
              <w:rPr>
                <w:rFonts w:eastAsiaTheme="minorEastAsia"/>
                <w:color w:val="000000"/>
                <w:szCs w:val="21"/>
              </w:rPr>
            </w:pPr>
            <w:r w:rsidRPr="00C24ACA">
              <w:rPr>
                <w:rFonts w:eastAsiaTheme="minorEastAsia"/>
                <w:szCs w:val="21"/>
              </w:rPr>
              <w:t>资产支持证券</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4</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金融衍生品投资</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其中：远期</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期权</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 xml:space="preserve">      </w:t>
            </w:r>
            <w:r w:rsidRPr="00C24ACA">
              <w:rPr>
                <w:rFonts w:eastAsiaTheme="minorEastAsia"/>
                <w:szCs w:val="21"/>
              </w:rPr>
              <w:t>权证</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5</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其中：买断式回购的买入返售金融资产</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6</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货币市场工具</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w:t>
            </w:r>
          </w:p>
        </w:tc>
      </w:tr>
      <w:tr w:rsidR="00380273" w:rsidRPr="00C24ACA" w:rsidTr="00206018">
        <w:trPr>
          <w:jc w:val="center"/>
        </w:trPr>
        <w:tc>
          <w:tcPr>
            <w:tcW w:w="1080" w:type="dxa"/>
            <w:vAlign w:val="center"/>
          </w:tcPr>
          <w:p w:rsidR="00380273" w:rsidRPr="00C24ACA" w:rsidRDefault="00380273" w:rsidP="00930E47">
            <w:pPr>
              <w:jc w:val="center"/>
              <w:rPr>
                <w:rFonts w:eastAsiaTheme="minorEastAsia"/>
                <w:color w:val="000000"/>
                <w:szCs w:val="21"/>
              </w:rPr>
            </w:pPr>
            <w:r w:rsidRPr="00C24ACA">
              <w:rPr>
                <w:rFonts w:eastAsiaTheme="minorEastAsia"/>
                <w:szCs w:val="21"/>
              </w:rPr>
              <w:t>7</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银行存款和结算备付金合计</w:t>
            </w:r>
          </w:p>
        </w:tc>
        <w:tc>
          <w:tcPr>
            <w:tcW w:w="2520" w:type="dxa"/>
            <w:vAlign w:val="center"/>
          </w:tcPr>
          <w:p w:rsidR="00380273" w:rsidRPr="00C24ACA" w:rsidRDefault="00380273" w:rsidP="003B632D">
            <w:pPr>
              <w:jc w:val="right"/>
              <w:rPr>
                <w:rFonts w:eastAsiaTheme="minorEastAsia"/>
                <w:szCs w:val="21"/>
              </w:rPr>
            </w:pPr>
            <w:r w:rsidRPr="00C24ACA">
              <w:rPr>
                <w:rFonts w:eastAsiaTheme="minorEastAsia"/>
                <w:szCs w:val="21"/>
              </w:rPr>
              <w:t>15,989,929.51</w:t>
            </w:r>
          </w:p>
        </w:tc>
        <w:tc>
          <w:tcPr>
            <w:tcW w:w="2052" w:type="dxa"/>
            <w:vAlign w:val="center"/>
          </w:tcPr>
          <w:p w:rsidR="00380273" w:rsidRPr="00C24ACA" w:rsidRDefault="00380273" w:rsidP="003B632D">
            <w:pPr>
              <w:jc w:val="right"/>
              <w:rPr>
                <w:rFonts w:eastAsiaTheme="minorEastAsia"/>
                <w:szCs w:val="21"/>
              </w:rPr>
            </w:pPr>
            <w:r w:rsidRPr="00C24ACA">
              <w:rPr>
                <w:rFonts w:eastAsiaTheme="minorEastAsia"/>
                <w:szCs w:val="21"/>
              </w:rPr>
              <w:t>72.21</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8</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其他各项资产</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29,668.73</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0.13</w:t>
            </w:r>
          </w:p>
        </w:tc>
      </w:tr>
      <w:tr w:rsidR="00380273" w:rsidRPr="00C24ACA" w:rsidTr="00206018">
        <w:trPr>
          <w:jc w:val="center"/>
        </w:trPr>
        <w:tc>
          <w:tcPr>
            <w:tcW w:w="1080" w:type="dxa"/>
            <w:vAlign w:val="center"/>
          </w:tcPr>
          <w:p w:rsidR="00380273" w:rsidRPr="00C24ACA" w:rsidRDefault="00380273" w:rsidP="004A4847">
            <w:pPr>
              <w:spacing w:before="29" w:line="360" w:lineRule="auto"/>
              <w:ind w:left="17"/>
              <w:jc w:val="center"/>
              <w:rPr>
                <w:rFonts w:eastAsiaTheme="minorEastAsia"/>
                <w:color w:val="000000"/>
                <w:szCs w:val="21"/>
              </w:rPr>
            </w:pPr>
            <w:r w:rsidRPr="00C24ACA">
              <w:rPr>
                <w:rFonts w:eastAsiaTheme="minorEastAsia"/>
                <w:color w:val="000000"/>
                <w:szCs w:val="21"/>
              </w:rPr>
              <w:t>9</w:t>
            </w:r>
          </w:p>
        </w:tc>
        <w:tc>
          <w:tcPr>
            <w:tcW w:w="3420" w:type="dxa"/>
            <w:vAlign w:val="center"/>
          </w:tcPr>
          <w:p w:rsidR="00380273" w:rsidRPr="00C24ACA" w:rsidRDefault="00380273" w:rsidP="00C87473">
            <w:pPr>
              <w:ind w:leftChars="50" w:left="105"/>
              <w:rPr>
                <w:rFonts w:eastAsiaTheme="minorEastAsia"/>
                <w:color w:val="000000"/>
                <w:szCs w:val="21"/>
              </w:rPr>
            </w:pPr>
            <w:r w:rsidRPr="00C24ACA">
              <w:rPr>
                <w:rFonts w:eastAsiaTheme="minorEastAsia"/>
                <w:szCs w:val="21"/>
              </w:rPr>
              <w:t>合计</w:t>
            </w:r>
          </w:p>
        </w:tc>
        <w:tc>
          <w:tcPr>
            <w:tcW w:w="2520" w:type="dxa"/>
            <w:vAlign w:val="center"/>
          </w:tcPr>
          <w:p w:rsidR="00380273" w:rsidRPr="00C24ACA" w:rsidRDefault="00380273" w:rsidP="004A4847">
            <w:pPr>
              <w:jc w:val="right"/>
              <w:rPr>
                <w:rFonts w:eastAsiaTheme="minorEastAsia"/>
                <w:szCs w:val="21"/>
              </w:rPr>
            </w:pPr>
            <w:r w:rsidRPr="00C24ACA">
              <w:rPr>
                <w:rFonts w:eastAsiaTheme="minorEastAsia"/>
                <w:szCs w:val="21"/>
              </w:rPr>
              <w:t>22,144,782.89</w:t>
            </w:r>
          </w:p>
        </w:tc>
        <w:tc>
          <w:tcPr>
            <w:tcW w:w="2052" w:type="dxa"/>
            <w:vAlign w:val="center"/>
          </w:tcPr>
          <w:p w:rsidR="00380273" w:rsidRPr="00C24ACA" w:rsidRDefault="00380273" w:rsidP="004A4847">
            <w:pPr>
              <w:jc w:val="right"/>
              <w:rPr>
                <w:rFonts w:eastAsiaTheme="minorEastAsia"/>
                <w:szCs w:val="21"/>
              </w:rPr>
            </w:pPr>
            <w:r w:rsidRPr="00C24ACA">
              <w:rPr>
                <w:rFonts w:eastAsiaTheme="minorEastAsia"/>
                <w:szCs w:val="21"/>
              </w:rPr>
              <w:t>100.00</w:t>
            </w:r>
          </w:p>
        </w:tc>
      </w:tr>
    </w:tbl>
    <w:p w:rsidR="00771F95" w:rsidRPr="00A317EA" w:rsidRDefault="00771F95" w:rsidP="006C64F3">
      <w:pPr>
        <w:pStyle w:val="20"/>
        <w:spacing w:beforeLines="100" w:before="312" w:after="0"/>
        <w:rPr>
          <w:rFonts w:ascii="Times New Roman" w:eastAsiaTheme="minorEastAsia" w:hAnsi="Times New Roman"/>
          <w:kern w:val="0"/>
          <w:sz w:val="21"/>
          <w:szCs w:val="21"/>
        </w:rPr>
      </w:pPr>
      <w:bookmarkStart w:id="209" w:name="_Toc48660303"/>
      <w:r w:rsidRPr="0087359D">
        <w:rPr>
          <w:rFonts w:ascii="宋体" w:hAnsi="宋体"/>
          <w:kern w:val="0"/>
          <w:sz w:val="21"/>
          <w:szCs w:val="21"/>
        </w:rPr>
        <w:t>7.2</w:t>
      </w:r>
      <w:bookmarkStart w:id="210" w:name="_Toc351577071"/>
      <w:r w:rsidR="00643DBD" w:rsidRPr="009A2157">
        <w:rPr>
          <w:rFonts w:ascii="Times New Roman" w:eastAsiaTheme="minorEastAsia" w:hAnsi="Times New Roman"/>
          <w:kern w:val="0"/>
          <w:sz w:val="21"/>
          <w:szCs w:val="21"/>
        </w:rPr>
        <w:t xml:space="preserve">   </w:t>
      </w:r>
      <w:r w:rsidRPr="00A317EA">
        <w:rPr>
          <w:rFonts w:ascii="Times New Roman" w:eastAsiaTheme="minorEastAsia" w:hAnsi="Times New Roman"/>
          <w:kern w:val="0"/>
          <w:sz w:val="21"/>
          <w:szCs w:val="21"/>
        </w:rPr>
        <w:t>期末投资目标基金明细</w:t>
      </w:r>
      <w:bookmarkEnd w:id="210"/>
      <w:bookmarkEnd w:id="209"/>
    </w:p>
    <w:p w:rsidR="007A2F14" w:rsidRPr="00F83CFF" w:rsidRDefault="007A2F14" w:rsidP="007A2F14">
      <w:pPr>
        <w:wordWrap w:val="0"/>
        <w:spacing w:line="360" w:lineRule="auto"/>
        <w:jc w:val="right"/>
        <w:rPr>
          <w:color w:val="000000"/>
          <w:szCs w:val="21"/>
        </w:rPr>
      </w:pPr>
      <w:bookmarkStart w:id="211" w:name="_Toc390164822"/>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7A2F14" w:rsidRPr="00643EB5" w:rsidTr="007F5D9C">
        <w:trPr>
          <w:jc w:val="center"/>
        </w:trPr>
        <w:tc>
          <w:tcPr>
            <w:tcW w:w="710"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序号</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基金名称</w:t>
            </w:r>
          </w:p>
        </w:tc>
        <w:tc>
          <w:tcPr>
            <w:tcW w:w="127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基金类型</w:t>
            </w:r>
          </w:p>
        </w:tc>
        <w:tc>
          <w:tcPr>
            <w:tcW w:w="1134"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运作方式</w:t>
            </w:r>
          </w:p>
        </w:tc>
        <w:tc>
          <w:tcPr>
            <w:tcW w:w="1843"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管理人</w:t>
            </w:r>
          </w:p>
        </w:tc>
        <w:tc>
          <w:tcPr>
            <w:tcW w:w="1701"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公允价值</w:t>
            </w:r>
            <w:r w:rsidR="006C0DBC">
              <w:rPr>
                <w:rFonts w:eastAsiaTheme="minorEastAsia"/>
                <w:color w:val="000000"/>
                <w:kern w:val="0"/>
                <w:szCs w:val="21"/>
              </w:rPr>
              <w:t>（人民币</w:t>
            </w:r>
            <w:r w:rsidR="006C0DBC" w:rsidRPr="00C24ACA">
              <w:rPr>
                <w:rFonts w:eastAsiaTheme="minorEastAsia"/>
                <w:color w:val="000000"/>
                <w:kern w:val="0"/>
                <w:szCs w:val="21"/>
              </w:rPr>
              <w:t>元）</w:t>
            </w:r>
          </w:p>
        </w:tc>
        <w:tc>
          <w:tcPr>
            <w:tcW w:w="1416" w:type="dxa"/>
            <w:vAlign w:val="center"/>
          </w:tcPr>
          <w:p w:rsidR="007A2F14" w:rsidRPr="00643EB5" w:rsidRDefault="007A2F14" w:rsidP="007F5D9C">
            <w:pPr>
              <w:spacing w:line="360" w:lineRule="auto"/>
              <w:jc w:val="center"/>
              <w:rPr>
                <w:color w:val="000000"/>
                <w:szCs w:val="21"/>
              </w:rPr>
            </w:pPr>
            <w:r w:rsidRPr="00643EB5">
              <w:rPr>
                <w:rFonts w:hint="eastAsia"/>
                <w:color w:val="000000"/>
                <w:szCs w:val="21"/>
              </w:rPr>
              <w:t>占基金资产净值比例</w:t>
            </w:r>
            <w:r>
              <w:rPr>
                <w:rFonts w:hint="eastAsia"/>
                <w:color w:val="000000"/>
                <w:szCs w:val="21"/>
              </w:rPr>
              <w:t>（％）</w:t>
            </w:r>
          </w:p>
        </w:tc>
      </w:tr>
      <w:tr w:rsidR="000265E6">
        <w:trPr>
          <w:jc w:val="center"/>
        </w:trPr>
        <w:tc>
          <w:tcPr>
            <w:tcW w:w="710" w:type="dxa"/>
            <w:vAlign w:val="center"/>
          </w:tcPr>
          <w:p w:rsidR="000265E6" w:rsidRDefault="004D56B3">
            <w:pPr>
              <w:jc w:val="center"/>
            </w:pPr>
            <w:r>
              <w:rPr>
                <w:color w:val="000000"/>
                <w:szCs w:val="21"/>
              </w:rPr>
              <w:t>1</w:t>
            </w:r>
          </w:p>
        </w:tc>
        <w:tc>
          <w:tcPr>
            <w:tcW w:w="1276" w:type="dxa"/>
            <w:vAlign w:val="center"/>
          </w:tcPr>
          <w:p w:rsidR="000265E6" w:rsidRDefault="004D56B3">
            <w:pPr>
              <w:jc w:val="center"/>
            </w:pPr>
            <w:r>
              <w:rPr>
                <w:color w:val="000000"/>
                <w:szCs w:val="21"/>
              </w:rPr>
              <w:t>易方达中证浙江新动能交易型开放式指数证券投资基金</w:t>
            </w:r>
          </w:p>
        </w:tc>
        <w:tc>
          <w:tcPr>
            <w:tcW w:w="1276" w:type="dxa"/>
            <w:vAlign w:val="center"/>
          </w:tcPr>
          <w:p w:rsidR="000265E6" w:rsidRDefault="004D56B3">
            <w:pPr>
              <w:jc w:val="center"/>
            </w:pPr>
            <w:r>
              <w:rPr>
                <w:color w:val="000000"/>
                <w:szCs w:val="21"/>
              </w:rPr>
              <w:t>股票型</w:t>
            </w:r>
          </w:p>
        </w:tc>
        <w:tc>
          <w:tcPr>
            <w:tcW w:w="1134" w:type="dxa"/>
            <w:vAlign w:val="center"/>
          </w:tcPr>
          <w:p w:rsidR="000265E6" w:rsidRDefault="004D56B3">
            <w:pPr>
              <w:jc w:val="center"/>
            </w:pPr>
            <w:r>
              <w:rPr>
                <w:color w:val="000000"/>
                <w:szCs w:val="21"/>
              </w:rPr>
              <w:t>交易型开放式（</w:t>
            </w:r>
            <w:r>
              <w:rPr>
                <w:color w:val="000000"/>
                <w:szCs w:val="21"/>
              </w:rPr>
              <w:t>ETF</w:t>
            </w:r>
            <w:r>
              <w:rPr>
                <w:color w:val="000000"/>
                <w:szCs w:val="21"/>
              </w:rPr>
              <w:t>）</w:t>
            </w:r>
          </w:p>
        </w:tc>
        <w:tc>
          <w:tcPr>
            <w:tcW w:w="1843" w:type="dxa"/>
            <w:vAlign w:val="center"/>
          </w:tcPr>
          <w:p w:rsidR="000265E6" w:rsidRDefault="004D56B3">
            <w:pPr>
              <w:jc w:val="center"/>
            </w:pPr>
            <w:r>
              <w:rPr>
                <w:color w:val="000000"/>
                <w:szCs w:val="21"/>
              </w:rPr>
              <w:t>易方达基金管理有限公司</w:t>
            </w:r>
          </w:p>
        </w:tc>
        <w:tc>
          <w:tcPr>
            <w:tcW w:w="1701" w:type="dxa"/>
            <w:vAlign w:val="center"/>
          </w:tcPr>
          <w:p w:rsidR="000265E6" w:rsidRDefault="004D56B3">
            <w:pPr>
              <w:jc w:val="right"/>
            </w:pPr>
            <w:r>
              <w:rPr>
                <w:color w:val="000000"/>
                <w:szCs w:val="21"/>
              </w:rPr>
              <w:t>6,125,184.65</w:t>
            </w:r>
          </w:p>
        </w:tc>
        <w:tc>
          <w:tcPr>
            <w:tcW w:w="1416" w:type="dxa"/>
            <w:vAlign w:val="center"/>
          </w:tcPr>
          <w:p w:rsidR="000265E6" w:rsidRDefault="004D56B3">
            <w:pPr>
              <w:jc w:val="right"/>
            </w:pPr>
            <w:r>
              <w:rPr>
                <w:color w:val="000000"/>
                <w:szCs w:val="21"/>
              </w:rPr>
              <w:t>36.06</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2" w:name="_Toc48660304"/>
      <w:r w:rsidRPr="0087359D">
        <w:rPr>
          <w:rFonts w:ascii="宋体" w:hAnsi="宋体"/>
          <w:kern w:val="0"/>
          <w:sz w:val="21"/>
          <w:szCs w:val="21"/>
        </w:rPr>
        <w:t>7.3</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期末在各个国家（地区）证券市场的权益投资分布</w:t>
      </w:r>
      <w:bookmarkEnd w:id="211"/>
      <w:bookmarkEnd w:id="212"/>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13" w:name="_Toc224618378"/>
      <w:bookmarkStart w:id="214" w:name="_Toc248233025"/>
      <w:bookmarkStart w:id="215" w:name="_Toc249790557"/>
      <w:bookmarkStart w:id="216" w:name="_Toc286929758"/>
      <w:bookmarkStart w:id="217" w:name="_Toc352255997"/>
      <w:bookmarkStart w:id="218" w:name="_Toc352256065"/>
      <w:bookmarkStart w:id="219" w:name="_Toc352331243"/>
      <w:bookmarkStart w:id="220" w:name="_Toc390164823"/>
      <w:bookmarkStart w:id="221" w:name="_Toc48660305"/>
      <w:r w:rsidRPr="0087359D">
        <w:rPr>
          <w:rFonts w:ascii="宋体" w:hAnsi="宋体"/>
          <w:kern w:val="0"/>
          <w:sz w:val="21"/>
          <w:szCs w:val="21"/>
        </w:rPr>
        <w:t>7.4</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期末按行业分类的权益投资组合</w:t>
      </w:r>
      <w:bookmarkEnd w:id="213"/>
      <w:bookmarkEnd w:id="214"/>
      <w:bookmarkEnd w:id="215"/>
      <w:bookmarkEnd w:id="216"/>
      <w:bookmarkEnd w:id="217"/>
      <w:bookmarkEnd w:id="218"/>
      <w:bookmarkEnd w:id="219"/>
      <w:bookmarkEnd w:id="220"/>
      <w:bookmarkEnd w:id="221"/>
    </w:p>
    <w:p w:rsidR="008A5A5D" w:rsidRPr="008707EB" w:rsidRDefault="007863A3" w:rsidP="008707EB">
      <w:pPr>
        <w:tabs>
          <w:tab w:val="left" w:pos="426"/>
        </w:tabs>
        <w:spacing w:line="360" w:lineRule="auto"/>
        <w:ind w:firstLineChars="200" w:firstLine="420"/>
        <w:rPr>
          <w:rFonts w:eastAsiaTheme="minorEastAsia"/>
          <w:kern w:val="0"/>
          <w:szCs w:val="21"/>
        </w:rPr>
      </w:pPr>
      <w:r w:rsidRPr="008707EB">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2" w:name="_Toc352255998"/>
      <w:bookmarkStart w:id="223" w:name="_Toc352256066"/>
      <w:bookmarkStart w:id="224" w:name="_Toc352331244"/>
      <w:bookmarkStart w:id="225" w:name="_Toc390164824"/>
      <w:bookmarkStart w:id="226" w:name="_Toc48660306"/>
      <w:r w:rsidRPr="0087359D">
        <w:rPr>
          <w:rFonts w:ascii="宋体" w:hAnsi="宋体"/>
          <w:kern w:val="0"/>
          <w:sz w:val="21"/>
          <w:szCs w:val="21"/>
        </w:rPr>
        <w:t>7.5</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期末按公允价值占基金资产净值比例大小排序的所有权益投资明细</w:t>
      </w:r>
      <w:bookmarkEnd w:id="222"/>
      <w:bookmarkEnd w:id="223"/>
      <w:bookmarkEnd w:id="224"/>
      <w:bookmarkEnd w:id="225"/>
      <w:bookmarkEnd w:id="226"/>
    </w:p>
    <w:p w:rsidR="00FF05DE"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本基金本报告期末未持有权益投资。</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27" w:name="_Toc224618380"/>
      <w:bookmarkStart w:id="228" w:name="_Toc248233027"/>
      <w:bookmarkStart w:id="229" w:name="_Toc249790559"/>
      <w:bookmarkStart w:id="230" w:name="_Toc286929760"/>
      <w:bookmarkStart w:id="231" w:name="_Toc352255999"/>
      <w:bookmarkStart w:id="232" w:name="_Toc352256067"/>
      <w:bookmarkStart w:id="233" w:name="_Toc352331245"/>
      <w:bookmarkStart w:id="234" w:name="_Toc390164827"/>
      <w:bookmarkStart w:id="235" w:name="_Toc48660307"/>
      <w:r w:rsidRPr="0087359D">
        <w:rPr>
          <w:rFonts w:ascii="宋体" w:hAnsi="宋体"/>
          <w:kern w:val="0"/>
          <w:sz w:val="21"/>
          <w:szCs w:val="21"/>
        </w:rPr>
        <w:t>7.6</w:t>
      </w:r>
      <w:r w:rsidR="00643DBD"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报告期内</w:t>
      </w:r>
      <w:r w:rsidR="00047DFF">
        <w:rPr>
          <w:rFonts w:ascii="Times New Roman" w:eastAsiaTheme="minorEastAsia" w:hAnsi="Times New Roman" w:hint="eastAsia"/>
          <w:kern w:val="0"/>
          <w:sz w:val="21"/>
          <w:szCs w:val="21"/>
        </w:rPr>
        <w:t>权益</w:t>
      </w:r>
      <w:r w:rsidRPr="00C24ACA">
        <w:rPr>
          <w:rFonts w:ascii="Times New Roman" w:eastAsiaTheme="minorEastAsia" w:hAnsi="Times New Roman"/>
          <w:kern w:val="0"/>
          <w:sz w:val="21"/>
          <w:szCs w:val="21"/>
        </w:rPr>
        <w:t>投资组合的重大变动</w:t>
      </w:r>
      <w:bookmarkEnd w:id="227"/>
      <w:bookmarkEnd w:id="228"/>
      <w:bookmarkEnd w:id="229"/>
      <w:bookmarkEnd w:id="230"/>
      <w:bookmarkEnd w:id="231"/>
      <w:bookmarkEnd w:id="232"/>
      <w:bookmarkEnd w:id="233"/>
      <w:bookmarkEnd w:id="234"/>
      <w:bookmarkEnd w:id="235"/>
    </w:p>
    <w:p w:rsidR="008A5A5D" w:rsidRPr="00C24ACA" w:rsidRDefault="008A5A5D" w:rsidP="006313B1">
      <w:pPr>
        <w:autoSpaceDE w:val="0"/>
        <w:autoSpaceDN w:val="0"/>
        <w:adjustRightInd w:val="0"/>
        <w:snapToGrid w:val="0"/>
        <w:spacing w:line="360" w:lineRule="auto"/>
        <w:jc w:val="left"/>
        <w:rPr>
          <w:rFonts w:eastAsiaTheme="minorEastAsia"/>
          <w:b/>
          <w:color w:val="000000"/>
          <w:kern w:val="0"/>
          <w:szCs w:val="21"/>
        </w:rPr>
      </w:pPr>
      <w:r w:rsidRPr="00C24ACA">
        <w:rPr>
          <w:rFonts w:eastAsiaTheme="minorEastAsia"/>
          <w:b/>
          <w:kern w:val="0"/>
          <w:szCs w:val="21"/>
        </w:rPr>
        <w:t>7.6.1</w:t>
      </w:r>
      <w:r w:rsidRPr="00C24ACA">
        <w:rPr>
          <w:rFonts w:eastAsiaTheme="minorEastAsia"/>
          <w:b/>
          <w:color w:val="000000"/>
          <w:kern w:val="0"/>
          <w:szCs w:val="21"/>
        </w:rPr>
        <w:t>累计买入金额超出</w:t>
      </w:r>
      <w:r w:rsidR="00243C23" w:rsidRPr="00C24ACA">
        <w:rPr>
          <w:rFonts w:eastAsiaTheme="minorEastAsia"/>
          <w:b/>
          <w:color w:val="000000"/>
          <w:kern w:val="0"/>
          <w:szCs w:val="21"/>
        </w:rPr>
        <w:t>期末</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7.6.2</w:t>
      </w:r>
      <w:r w:rsidRPr="00C24ACA">
        <w:rPr>
          <w:rFonts w:eastAsiaTheme="minorEastAsia"/>
          <w:b/>
          <w:color w:val="000000"/>
          <w:kern w:val="0"/>
          <w:szCs w:val="21"/>
        </w:rPr>
        <w:t>累计卖出金额超出</w:t>
      </w:r>
      <w:r w:rsidR="00B7546A" w:rsidRPr="00C24ACA">
        <w:rPr>
          <w:rFonts w:eastAsiaTheme="minorEastAsia"/>
          <w:b/>
          <w:color w:val="000000"/>
          <w:kern w:val="0"/>
          <w:szCs w:val="21"/>
        </w:rPr>
        <w:t>期末</w:t>
      </w:r>
      <w:r w:rsidRPr="00C24ACA">
        <w:rPr>
          <w:rFonts w:eastAsiaTheme="minorEastAsia"/>
          <w:b/>
          <w:color w:val="000000"/>
          <w:kern w:val="0"/>
          <w:szCs w:val="21"/>
        </w:rPr>
        <w:t>基金资产净值</w:t>
      </w:r>
      <w:r w:rsidRPr="00C24ACA">
        <w:rPr>
          <w:rFonts w:eastAsiaTheme="minorEastAsia"/>
          <w:b/>
          <w:color w:val="000000"/>
          <w:kern w:val="0"/>
          <w:szCs w:val="21"/>
        </w:rPr>
        <w:t>2%</w:t>
      </w:r>
      <w:r w:rsidRPr="00C24ACA">
        <w:rPr>
          <w:rFonts w:eastAsiaTheme="minorEastAsia"/>
          <w:b/>
          <w:color w:val="000000"/>
          <w:kern w:val="0"/>
          <w:szCs w:val="21"/>
        </w:rPr>
        <w:t>或前</w:t>
      </w:r>
      <w:r w:rsidRPr="00C24ACA">
        <w:rPr>
          <w:rFonts w:eastAsiaTheme="minorEastAsia"/>
          <w:b/>
          <w:color w:val="000000"/>
          <w:kern w:val="0"/>
          <w:szCs w:val="21"/>
        </w:rPr>
        <w:t>20</w:t>
      </w:r>
      <w:r w:rsidRPr="00C24ACA">
        <w:rPr>
          <w:rFonts w:eastAsiaTheme="minorEastAsia"/>
          <w:b/>
          <w:color w:val="000000"/>
          <w:kern w:val="0"/>
          <w:szCs w:val="21"/>
        </w:rPr>
        <w:t>名的权益投资明细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kern w:val="0"/>
          <w:szCs w:val="21"/>
        </w:rPr>
        <w:t>7.6.3</w:t>
      </w:r>
      <w:r w:rsidRPr="00C24ACA">
        <w:rPr>
          <w:rFonts w:eastAsiaTheme="minorEastAsia"/>
          <w:b/>
          <w:color w:val="000000"/>
          <w:kern w:val="0"/>
          <w:szCs w:val="21"/>
        </w:rPr>
        <w:t>权益投资的买入成本总额及卖出收入总额</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本基金本报告期内未进行权益投资交易。</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36" w:name="_Toc224618381"/>
      <w:bookmarkStart w:id="237" w:name="_Toc248233028"/>
      <w:bookmarkStart w:id="238" w:name="_Toc249790560"/>
      <w:bookmarkStart w:id="239" w:name="_Toc286929761"/>
      <w:bookmarkStart w:id="240" w:name="_Toc352256000"/>
      <w:bookmarkStart w:id="241" w:name="_Toc352256068"/>
      <w:bookmarkStart w:id="242" w:name="_Toc352331246"/>
      <w:bookmarkStart w:id="243" w:name="_Toc390164828"/>
      <w:bookmarkStart w:id="244" w:name="_Toc48660308"/>
      <w:r w:rsidRPr="0087359D">
        <w:rPr>
          <w:rFonts w:ascii="宋体" w:hAnsi="宋体"/>
          <w:kern w:val="0"/>
          <w:sz w:val="21"/>
          <w:szCs w:val="21"/>
        </w:rPr>
        <w:t>7.7</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期末按债券信用等级分类的债券投资组合</w:t>
      </w:r>
      <w:bookmarkEnd w:id="236"/>
      <w:bookmarkEnd w:id="237"/>
      <w:bookmarkEnd w:id="238"/>
      <w:bookmarkEnd w:id="239"/>
      <w:bookmarkEnd w:id="240"/>
      <w:bookmarkEnd w:id="241"/>
      <w:bookmarkEnd w:id="242"/>
      <w:bookmarkEnd w:id="243"/>
      <w:bookmarkEnd w:id="244"/>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45" w:name="_Toc224618382"/>
      <w:bookmarkStart w:id="246" w:name="_Toc248233029"/>
      <w:bookmarkStart w:id="247" w:name="_Toc249790561"/>
      <w:bookmarkStart w:id="248" w:name="_Toc286929762"/>
      <w:bookmarkStart w:id="249" w:name="_Toc352256001"/>
      <w:bookmarkStart w:id="250" w:name="_Toc352256069"/>
      <w:bookmarkStart w:id="251" w:name="_Toc352331247"/>
      <w:bookmarkStart w:id="252" w:name="_Toc390164829"/>
      <w:bookmarkStart w:id="253" w:name="_Toc48660309"/>
      <w:r w:rsidRPr="0087359D">
        <w:rPr>
          <w:rFonts w:ascii="宋体" w:hAnsi="宋体"/>
          <w:kern w:val="0"/>
          <w:sz w:val="21"/>
          <w:szCs w:val="21"/>
        </w:rPr>
        <w:t>7.8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期末按公允价值占基金资产净值比例大小排名的前五名债券投资明细</w:t>
      </w:r>
      <w:bookmarkEnd w:id="245"/>
      <w:bookmarkEnd w:id="246"/>
      <w:bookmarkEnd w:id="247"/>
      <w:bookmarkEnd w:id="248"/>
      <w:bookmarkEnd w:id="249"/>
      <w:bookmarkEnd w:id="250"/>
      <w:bookmarkEnd w:id="251"/>
      <w:bookmarkEnd w:id="252"/>
      <w:bookmarkEnd w:id="253"/>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本基金本报告期末未持有债券。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54" w:name="_Toc224618383"/>
      <w:bookmarkStart w:id="255" w:name="_Toc248233030"/>
      <w:bookmarkStart w:id="256" w:name="_Toc249790562"/>
      <w:bookmarkStart w:id="257" w:name="_Toc286929763"/>
      <w:bookmarkStart w:id="258" w:name="_Toc352256002"/>
      <w:bookmarkStart w:id="259" w:name="_Toc352256070"/>
      <w:bookmarkStart w:id="260" w:name="_Toc352331248"/>
      <w:bookmarkStart w:id="261" w:name="_Toc390164830"/>
      <w:bookmarkStart w:id="262" w:name="_Toc48660310"/>
      <w:r w:rsidRPr="0087359D">
        <w:rPr>
          <w:rFonts w:ascii="宋体" w:hAnsi="宋体"/>
          <w:kern w:val="0"/>
          <w:sz w:val="21"/>
          <w:szCs w:val="21"/>
        </w:rPr>
        <w:t>7.9</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期末按公允价值占基金资产净值比例大小排名的所有资产支持证券投资明细</w:t>
      </w:r>
      <w:bookmarkEnd w:id="254"/>
      <w:bookmarkEnd w:id="255"/>
      <w:bookmarkEnd w:id="256"/>
      <w:bookmarkEnd w:id="257"/>
      <w:bookmarkEnd w:id="258"/>
      <w:bookmarkEnd w:id="259"/>
      <w:bookmarkEnd w:id="260"/>
      <w:bookmarkEnd w:id="261"/>
      <w:bookmarkEnd w:id="262"/>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本基金本报告期末未持有资产支持证券。</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63" w:name="_Toc224618384"/>
      <w:bookmarkStart w:id="264" w:name="_Toc248233031"/>
      <w:bookmarkStart w:id="265" w:name="_Toc249790563"/>
      <w:bookmarkStart w:id="266" w:name="_Toc286929764"/>
      <w:bookmarkStart w:id="267" w:name="_Toc352256003"/>
      <w:bookmarkStart w:id="268" w:name="_Toc352256071"/>
      <w:bookmarkStart w:id="269" w:name="_Toc352331249"/>
      <w:bookmarkStart w:id="270" w:name="_Toc390164831"/>
      <w:bookmarkStart w:id="271" w:name="_Toc48660311"/>
      <w:r w:rsidRPr="0087359D">
        <w:rPr>
          <w:rFonts w:ascii="宋体" w:hAnsi="宋体"/>
          <w:kern w:val="0"/>
          <w:sz w:val="21"/>
          <w:szCs w:val="21"/>
        </w:rPr>
        <w:t>7.10</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期末按公允价值占基金资产净值比例大小排名的前五名金融衍生品投资明细</w:t>
      </w:r>
      <w:bookmarkEnd w:id="263"/>
      <w:bookmarkEnd w:id="264"/>
      <w:bookmarkEnd w:id="265"/>
      <w:bookmarkEnd w:id="266"/>
      <w:bookmarkEnd w:id="267"/>
      <w:bookmarkEnd w:id="268"/>
      <w:bookmarkEnd w:id="269"/>
      <w:bookmarkEnd w:id="270"/>
      <w:bookmarkEnd w:id="271"/>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本基金本报告期末未持有金融衍生品。</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72" w:name="_Toc248233032"/>
      <w:bookmarkStart w:id="273" w:name="_Toc249790564"/>
      <w:bookmarkStart w:id="274" w:name="_Toc286929765"/>
      <w:bookmarkStart w:id="275" w:name="_Toc352256004"/>
      <w:bookmarkStart w:id="276" w:name="_Toc352256072"/>
      <w:bookmarkStart w:id="277" w:name="_Toc352331250"/>
      <w:bookmarkStart w:id="278" w:name="_Toc390164832"/>
      <w:bookmarkStart w:id="279" w:name="_Toc48660312"/>
      <w:r w:rsidRPr="0087359D">
        <w:rPr>
          <w:rFonts w:ascii="宋体" w:hAnsi="宋体"/>
          <w:kern w:val="0"/>
          <w:sz w:val="21"/>
          <w:szCs w:val="21"/>
        </w:rPr>
        <w:t>7.11</w:t>
      </w:r>
      <w:bookmarkStart w:id="280" w:name="_Toc224618385"/>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期末按公允价值占基金资产净值比例大小排序的前十名基金投资明细</w:t>
      </w:r>
      <w:bookmarkEnd w:id="272"/>
      <w:bookmarkEnd w:id="273"/>
      <w:bookmarkEnd w:id="274"/>
      <w:bookmarkEnd w:id="275"/>
      <w:bookmarkEnd w:id="276"/>
      <w:bookmarkEnd w:id="277"/>
      <w:bookmarkEnd w:id="278"/>
      <w:bookmarkEnd w:id="280"/>
      <w:bookmarkEnd w:id="279"/>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9"/>
        <w:gridCol w:w="1214"/>
        <w:gridCol w:w="1250"/>
        <w:gridCol w:w="870"/>
        <w:gridCol w:w="1428"/>
        <w:gridCol w:w="1963"/>
        <w:gridCol w:w="1702"/>
      </w:tblGrid>
      <w:tr w:rsidR="008A5A5D" w:rsidRPr="00C24ACA" w:rsidTr="00206018">
        <w:trPr>
          <w:jc w:val="center"/>
        </w:trPr>
        <w:tc>
          <w:tcPr>
            <w:tcW w:w="929"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序号</w:t>
            </w:r>
          </w:p>
        </w:tc>
        <w:tc>
          <w:tcPr>
            <w:tcW w:w="1214"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名称</w:t>
            </w:r>
          </w:p>
        </w:tc>
        <w:tc>
          <w:tcPr>
            <w:tcW w:w="125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基金</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类型</w:t>
            </w:r>
          </w:p>
        </w:tc>
        <w:tc>
          <w:tcPr>
            <w:tcW w:w="870"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运作</w:t>
            </w:r>
          </w:p>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方式</w:t>
            </w:r>
          </w:p>
        </w:tc>
        <w:tc>
          <w:tcPr>
            <w:tcW w:w="1428"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管理人</w:t>
            </w:r>
          </w:p>
        </w:tc>
        <w:tc>
          <w:tcPr>
            <w:tcW w:w="1963"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公允价值</w:t>
            </w:r>
          </w:p>
        </w:tc>
        <w:tc>
          <w:tcPr>
            <w:tcW w:w="1702" w:type="dxa"/>
            <w:vAlign w:val="center"/>
          </w:tcPr>
          <w:p w:rsidR="008A5A5D" w:rsidRPr="00C24ACA" w:rsidRDefault="008A5A5D" w:rsidP="004A4847">
            <w:pPr>
              <w:spacing w:line="60" w:lineRule="auto"/>
              <w:jc w:val="center"/>
              <w:rPr>
                <w:rFonts w:eastAsiaTheme="minorEastAsia"/>
                <w:color w:val="000000"/>
                <w:szCs w:val="21"/>
              </w:rPr>
            </w:pPr>
            <w:r w:rsidRPr="00C24ACA">
              <w:rPr>
                <w:rFonts w:eastAsiaTheme="minorEastAsia"/>
                <w:color w:val="000000"/>
                <w:szCs w:val="21"/>
              </w:rPr>
              <w:t>占基金资产净值比例</w:t>
            </w:r>
            <w:r w:rsidRPr="00C24ACA">
              <w:rPr>
                <w:rFonts w:eastAsiaTheme="minorEastAsia"/>
                <w:color w:val="000000"/>
                <w:szCs w:val="21"/>
              </w:rPr>
              <w:t>(%)</w:t>
            </w:r>
          </w:p>
        </w:tc>
      </w:tr>
      <w:tr w:rsidR="000265E6">
        <w:trPr>
          <w:jc w:val="center"/>
        </w:trPr>
        <w:tc>
          <w:tcPr>
            <w:tcW w:w="929" w:type="dxa"/>
            <w:vAlign w:val="center"/>
          </w:tcPr>
          <w:p w:rsidR="000265E6" w:rsidRDefault="004D56B3">
            <w:pPr>
              <w:jc w:val="center"/>
            </w:pPr>
            <w:r>
              <w:rPr>
                <w:rFonts w:eastAsiaTheme="minorEastAsia"/>
                <w:color w:val="000000"/>
                <w:szCs w:val="21"/>
              </w:rPr>
              <w:t>1</w:t>
            </w:r>
          </w:p>
        </w:tc>
        <w:tc>
          <w:tcPr>
            <w:tcW w:w="1214" w:type="dxa"/>
            <w:vAlign w:val="center"/>
          </w:tcPr>
          <w:p w:rsidR="000265E6" w:rsidRDefault="004D56B3">
            <w:pPr>
              <w:jc w:val="center"/>
            </w:pPr>
            <w:r>
              <w:rPr>
                <w:rFonts w:eastAsiaTheme="minorEastAsia"/>
                <w:color w:val="000000"/>
                <w:szCs w:val="21"/>
              </w:rPr>
              <w:t>易方达中证浙江新动能交易型开放式指数证券投资基金</w:t>
            </w:r>
          </w:p>
        </w:tc>
        <w:tc>
          <w:tcPr>
            <w:tcW w:w="1250" w:type="dxa"/>
            <w:vAlign w:val="center"/>
          </w:tcPr>
          <w:p w:rsidR="000265E6" w:rsidRDefault="004D56B3">
            <w:pPr>
              <w:jc w:val="center"/>
            </w:pPr>
            <w:r>
              <w:rPr>
                <w:rFonts w:eastAsiaTheme="minorEastAsia"/>
                <w:color w:val="000000"/>
                <w:szCs w:val="21"/>
              </w:rPr>
              <w:t>股票型</w:t>
            </w:r>
          </w:p>
        </w:tc>
        <w:tc>
          <w:tcPr>
            <w:tcW w:w="870" w:type="dxa"/>
            <w:vAlign w:val="center"/>
          </w:tcPr>
          <w:p w:rsidR="000265E6" w:rsidRDefault="004D56B3">
            <w:pPr>
              <w:jc w:val="center"/>
            </w:pPr>
            <w:r>
              <w:rPr>
                <w:rFonts w:eastAsiaTheme="minorEastAsia"/>
                <w:color w:val="000000"/>
                <w:szCs w:val="21"/>
              </w:rPr>
              <w:t>交易型开放式（</w:t>
            </w:r>
            <w:r>
              <w:rPr>
                <w:rFonts w:eastAsiaTheme="minorEastAsia"/>
                <w:color w:val="000000"/>
                <w:szCs w:val="21"/>
              </w:rPr>
              <w:t>ETF</w:t>
            </w:r>
            <w:r>
              <w:rPr>
                <w:rFonts w:eastAsiaTheme="minorEastAsia"/>
                <w:color w:val="000000"/>
                <w:szCs w:val="21"/>
              </w:rPr>
              <w:t>）</w:t>
            </w:r>
          </w:p>
        </w:tc>
        <w:tc>
          <w:tcPr>
            <w:tcW w:w="1428" w:type="dxa"/>
            <w:vAlign w:val="center"/>
          </w:tcPr>
          <w:p w:rsidR="000265E6" w:rsidRDefault="004D56B3">
            <w:pPr>
              <w:jc w:val="center"/>
            </w:pPr>
            <w:r>
              <w:rPr>
                <w:rFonts w:eastAsiaTheme="minorEastAsia"/>
                <w:color w:val="000000"/>
                <w:szCs w:val="21"/>
              </w:rPr>
              <w:t>易方达基金管理有限公司</w:t>
            </w:r>
          </w:p>
        </w:tc>
        <w:tc>
          <w:tcPr>
            <w:tcW w:w="1963" w:type="dxa"/>
            <w:vAlign w:val="center"/>
          </w:tcPr>
          <w:p w:rsidR="000265E6" w:rsidRDefault="004D56B3">
            <w:pPr>
              <w:jc w:val="right"/>
            </w:pPr>
            <w:r>
              <w:rPr>
                <w:rFonts w:eastAsiaTheme="minorEastAsia"/>
                <w:color w:val="000000"/>
                <w:szCs w:val="21"/>
              </w:rPr>
              <w:t>6,125,184.65</w:t>
            </w:r>
          </w:p>
        </w:tc>
        <w:tc>
          <w:tcPr>
            <w:tcW w:w="1702" w:type="dxa"/>
            <w:vAlign w:val="center"/>
          </w:tcPr>
          <w:p w:rsidR="000265E6" w:rsidRDefault="004D56B3">
            <w:pPr>
              <w:jc w:val="right"/>
            </w:pPr>
            <w:r>
              <w:rPr>
                <w:rFonts w:eastAsiaTheme="minorEastAsia"/>
                <w:color w:val="000000"/>
                <w:szCs w:val="21"/>
              </w:rPr>
              <w:t>36.06</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81" w:name="_Toc224618386"/>
      <w:bookmarkStart w:id="282" w:name="_Toc248233033"/>
      <w:bookmarkStart w:id="283" w:name="_Toc249790565"/>
      <w:bookmarkStart w:id="284" w:name="_Toc286929766"/>
      <w:bookmarkStart w:id="285" w:name="_Toc352256005"/>
      <w:bookmarkStart w:id="286" w:name="_Toc352256073"/>
      <w:bookmarkStart w:id="287" w:name="_Toc352331251"/>
      <w:bookmarkStart w:id="288" w:name="_Toc390164833"/>
      <w:bookmarkStart w:id="289" w:name="_Toc48660313"/>
      <w:r w:rsidRPr="0087359D">
        <w:rPr>
          <w:rFonts w:ascii="宋体" w:hAnsi="宋体"/>
          <w:kern w:val="0"/>
          <w:sz w:val="21"/>
          <w:szCs w:val="21"/>
        </w:rPr>
        <w:t>7.12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投资组合报告附注</w:t>
      </w:r>
      <w:bookmarkEnd w:id="281"/>
      <w:bookmarkEnd w:id="282"/>
      <w:bookmarkEnd w:id="283"/>
      <w:bookmarkEnd w:id="284"/>
      <w:bookmarkEnd w:id="285"/>
      <w:bookmarkEnd w:id="286"/>
      <w:bookmarkEnd w:id="287"/>
      <w:bookmarkEnd w:id="288"/>
      <w:bookmarkEnd w:id="289"/>
    </w:p>
    <w:p w:rsidR="008A5A5D" w:rsidRPr="00C24ACA" w:rsidRDefault="008A5A5D" w:rsidP="006313B1">
      <w:pPr>
        <w:spacing w:line="360" w:lineRule="auto"/>
        <w:rPr>
          <w:rFonts w:eastAsiaTheme="minorEastAsia"/>
          <w:kern w:val="0"/>
          <w:szCs w:val="21"/>
        </w:rPr>
      </w:pPr>
      <w:r w:rsidRPr="00C24ACA">
        <w:rPr>
          <w:rFonts w:eastAsiaTheme="minorEastAsia"/>
          <w:b/>
          <w:color w:val="000000"/>
          <w:szCs w:val="21"/>
        </w:rPr>
        <w:t>7.12.1</w:t>
      </w:r>
      <w:r w:rsidR="00ED31E5" w:rsidRPr="00C24ACA">
        <w:rPr>
          <w:rFonts w:eastAsiaTheme="minorEastAsia"/>
          <w:kern w:val="0"/>
          <w:szCs w:val="21"/>
        </w:rPr>
        <w:t xml:space="preserve"> </w:t>
      </w:r>
      <w:r w:rsidRPr="00C24ACA">
        <w:rPr>
          <w:rFonts w:eastAsiaTheme="minorEastAsia"/>
          <w:kern w:val="0"/>
          <w:szCs w:val="21"/>
        </w:rPr>
        <w:t>2019</w:t>
      </w:r>
      <w:r w:rsidRPr="00C24ACA">
        <w:rPr>
          <w:rFonts w:eastAsiaTheme="minorEastAsia"/>
          <w:kern w:val="0"/>
          <w:szCs w:val="21"/>
        </w:rPr>
        <w:t>年</w:t>
      </w:r>
      <w:r w:rsidRPr="00C24ACA">
        <w:rPr>
          <w:rFonts w:eastAsiaTheme="minorEastAsia"/>
          <w:kern w:val="0"/>
          <w:szCs w:val="21"/>
        </w:rPr>
        <w:t>12</w:t>
      </w:r>
      <w:r w:rsidRPr="00C24ACA">
        <w:rPr>
          <w:rFonts w:eastAsiaTheme="minorEastAsia"/>
          <w:kern w:val="0"/>
          <w:szCs w:val="21"/>
        </w:rPr>
        <w:t>月</w:t>
      </w:r>
      <w:r w:rsidRPr="00C24ACA">
        <w:rPr>
          <w:rFonts w:eastAsiaTheme="minorEastAsia"/>
          <w:kern w:val="0"/>
          <w:szCs w:val="21"/>
        </w:rPr>
        <w:t>5</w:t>
      </w:r>
      <w:r w:rsidRPr="00C24ACA">
        <w:rPr>
          <w:rFonts w:eastAsiaTheme="minorEastAsia"/>
          <w:kern w:val="0"/>
          <w:szCs w:val="21"/>
        </w:rPr>
        <w:t>日，宁波银保监局对宁波银行作出</w:t>
      </w:r>
      <w:r w:rsidRPr="00C24ACA">
        <w:rPr>
          <w:rFonts w:eastAsiaTheme="minorEastAsia"/>
          <w:kern w:val="0"/>
          <w:szCs w:val="21"/>
        </w:rPr>
        <w:t>“</w:t>
      </w:r>
      <w:r w:rsidRPr="00C24ACA">
        <w:rPr>
          <w:rFonts w:eastAsiaTheme="minorEastAsia"/>
          <w:kern w:val="0"/>
          <w:szCs w:val="21"/>
        </w:rPr>
        <w:t>罚款人民币</w:t>
      </w:r>
      <w:r w:rsidRPr="00C24ACA">
        <w:rPr>
          <w:rFonts w:eastAsiaTheme="minorEastAsia"/>
          <w:kern w:val="0"/>
          <w:szCs w:val="21"/>
        </w:rPr>
        <w:t>40</w:t>
      </w:r>
      <w:r w:rsidRPr="00C24ACA">
        <w:rPr>
          <w:rFonts w:eastAsiaTheme="minorEastAsia"/>
          <w:kern w:val="0"/>
          <w:szCs w:val="21"/>
        </w:rPr>
        <w:t>万元，并责令该行对相关直接责任人给予纪律处分</w:t>
      </w:r>
      <w:r w:rsidRPr="00C24ACA">
        <w:rPr>
          <w:rFonts w:eastAsiaTheme="minorEastAsia"/>
          <w:kern w:val="0"/>
          <w:szCs w:val="21"/>
        </w:rPr>
        <w:t>”</w:t>
      </w:r>
      <w:r w:rsidRPr="00C24ACA">
        <w:rPr>
          <w:rFonts w:eastAsiaTheme="minorEastAsia"/>
          <w:kern w:val="0"/>
          <w:szCs w:val="21"/>
        </w:rPr>
        <w:t>的行政处罚。违法违规事由：设立时点性规模考核指标，股权质押管理不合规。</w:t>
      </w:r>
    </w:p>
    <w:p w:rsidR="000265E6" w:rsidRDefault="004D56B3">
      <w:pPr>
        <w:spacing w:line="360" w:lineRule="auto"/>
        <w:rPr>
          <w:rFonts w:eastAsiaTheme="minorEastAsia"/>
          <w:kern w:val="0"/>
          <w:szCs w:val="21"/>
        </w:rPr>
      </w:pPr>
      <w:r>
        <w:rPr>
          <w:rFonts w:eastAsiaTheme="minorEastAsia"/>
          <w:kern w:val="0"/>
          <w:szCs w:val="21"/>
        </w:rPr>
        <w:t>本基金为目标</w:t>
      </w:r>
      <w:r>
        <w:rPr>
          <w:rFonts w:eastAsiaTheme="minorEastAsia"/>
          <w:kern w:val="0"/>
          <w:szCs w:val="21"/>
        </w:rPr>
        <w:t>ETF</w:t>
      </w:r>
      <w:r>
        <w:rPr>
          <w:rFonts w:eastAsiaTheme="minorEastAsia"/>
          <w:kern w:val="0"/>
          <w:szCs w:val="21"/>
        </w:rPr>
        <w:t>的联接基金，上述股票系标的指数成份股，上述股票的投资决策程序符合公司投资制度的规定。除宁波银行外，本基金目标</w:t>
      </w:r>
      <w:r>
        <w:rPr>
          <w:rFonts w:eastAsiaTheme="minorEastAsia"/>
          <w:kern w:val="0"/>
          <w:szCs w:val="21"/>
        </w:rPr>
        <w:t>ETF</w:t>
      </w:r>
      <w:r>
        <w:rPr>
          <w:rFonts w:eastAsiaTheme="minorEastAsia"/>
          <w:kern w:val="0"/>
          <w:szCs w:val="21"/>
        </w:rPr>
        <w:t>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R="008A5A5D" w:rsidRPr="00C24ACA" w:rsidRDefault="008A5A5D" w:rsidP="006C64F3">
      <w:pPr>
        <w:spacing w:beforeLines="100" w:before="312" w:line="360" w:lineRule="auto"/>
        <w:rPr>
          <w:rFonts w:eastAsiaTheme="minorEastAsia"/>
          <w:kern w:val="0"/>
          <w:szCs w:val="21"/>
        </w:rPr>
      </w:pPr>
      <w:r w:rsidRPr="00C24ACA">
        <w:rPr>
          <w:rFonts w:eastAsiaTheme="minorEastAsia"/>
          <w:b/>
          <w:color w:val="000000"/>
          <w:szCs w:val="21"/>
        </w:rPr>
        <w:t>7.12.2</w:t>
      </w:r>
      <w:r w:rsidRPr="00C24ACA">
        <w:rPr>
          <w:rFonts w:eastAsiaTheme="minorEastAsia"/>
          <w:kern w:val="0"/>
          <w:szCs w:val="21"/>
        </w:rPr>
        <w:t xml:space="preserve"> </w:t>
      </w:r>
      <w:r w:rsidRPr="00C24ACA">
        <w:rPr>
          <w:rFonts w:eastAsiaTheme="minorEastAsia"/>
          <w:kern w:val="0"/>
          <w:szCs w:val="21"/>
        </w:rPr>
        <w:t>本基金本报告期末未持有股票，不存在投资的前十名股票超出基金合同规定的备选股票库情况。</w:t>
      </w:r>
    </w:p>
    <w:p w:rsidR="008A5A5D" w:rsidRPr="00C24ACA" w:rsidRDefault="008A5A5D" w:rsidP="006C64F3">
      <w:pPr>
        <w:spacing w:beforeLines="100" w:before="312" w:line="360" w:lineRule="auto"/>
        <w:rPr>
          <w:rFonts w:eastAsiaTheme="minorEastAsia"/>
          <w:b/>
          <w:color w:val="000000"/>
          <w:kern w:val="0"/>
          <w:szCs w:val="21"/>
        </w:rPr>
      </w:pPr>
      <w:r w:rsidRPr="00C24ACA">
        <w:rPr>
          <w:rFonts w:eastAsiaTheme="minorEastAsia"/>
          <w:b/>
          <w:color w:val="000000"/>
          <w:szCs w:val="21"/>
        </w:rPr>
        <w:t>7.12.3</w:t>
      </w:r>
      <w:r w:rsidR="004E34BB" w:rsidRPr="00C24ACA">
        <w:rPr>
          <w:rFonts w:eastAsiaTheme="minorEastAsia"/>
          <w:b/>
          <w:szCs w:val="21"/>
        </w:rPr>
        <w:t>期末其他各项资产构成</w:t>
      </w:r>
    </w:p>
    <w:p w:rsidR="008A5A5D" w:rsidRPr="00C24ACA" w:rsidRDefault="008A5A5D" w:rsidP="002116B9">
      <w:pPr>
        <w:autoSpaceDE w:val="0"/>
        <w:autoSpaceDN w:val="0"/>
        <w:adjustRightInd w:val="0"/>
        <w:spacing w:before="29" w:line="288" w:lineRule="auto"/>
        <w:ind w:left="15"/>
        <w:jc w:val="right"/>
        <w:rPr>
          <w:rFonts w:eastAsiaTheme="minorEastAsia"/>
          <w:color w:val="000000"/>
          <w:szCs w:val="21"/>
        </w:rPr>
      </w:pPr>
      <w:r w:rsidRPr="00C24ACA">
        <w:rPr>
          <w:rFonts w:eastAsiaTheme="minor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8A5A5D" w:rsidRPr="00C24ACA" w:rsidTr="00206018">
        <w:trPr>
          <w:trHeight w:val="285"/>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序号</w:t>
            </w:r>
          </w:p>
        </w:tc>
        <w:tc>
          <w:tcPr>
            <w:tcW w:w="4431"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名称</w:t>
            </w:r>
          </w:p>
        </w:tc>
        <w:tc>
          <w:tcPr>
            <w:tcW w:w="4105" w:type="dxa"/>
            <w:tcMar>
              <w:top w:w="15" w:type="dxa"/>
              <w:left w:w="15" w:type="dxa"/>
              <w:bottom w:w="0" w:type="dxa"/>
              <w:right w:w="15" w:type="dxa"/>
            </w:tcMar>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金额</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1</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存出保证金</w:t>
            </w:r>
          </w:p>
        </w:tc>
        <w:tc>
          <w:tcPr>
            <w:tcW w:w="4105" w:type="dxa"/>
            <w:tcMar>
              <w:top w:w="15" w:type="dxa"/>
              <w:left w:w="15" w:type="dxa"/>
              <w:bottom w:w="0" w:type="dxa"/>
              <w:right w:w="15" w:type="dxa"/>
            </w:tcMar>
            <w:vAlign w:val="center"/>
          </w:tcPr>
          <w:p w:rsidR="008A5A5D" w:rsidRPr="00C24ACA" w:rsidRDefault="008A5A5D" w:rsidP="00E87EC9">
            <w:pPr>
              <w:jc w:val="right"/>
              <w:rPr>
                <w:rFonts w:eastAsiaTheme="minorEastAsia"/>
                <w:szCs w:val="21"/>
              </w:rPr>
            </w:pPr>
            <w:r w:rsidRPr="00C24ACA">
              <w:rPr>
                <w:rFonts w:eastAsiaTheme="minorEastAsia"/>
                <w:szCs w:val="21"/>
              </w:rPr>
              <w:t>821.51</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2</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应收证券清算款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3</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应收股利</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4</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应收利息</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1,628.03</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5</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应收申购款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27,219.19</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6</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其他应收款</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8A5A5D" w:rsidRPr="00C24ACA" w:rsidTr="00206018">
        <w:trPr>
          <w:trHeight w:val="312"/>
          <w:jc w:val="center"/>
        </w:trPr>
        <w:tc>
          <w:tcPr>
            <w:tcW w:w="820" w:type="dxa"/>
            <w:vAlign w:val="center"/>
          </w:tcPr>
          <w:p w:rsidR="008A5A5D" w:rsidRPr="00C24ACA" w:rsidRDefault="008A5A5D" w:rsidP="00E87EC9">
            <w:pPr>
              <w:jc w:val="center"/>
              <w:rPr>
                <w:rFonts w:eastAsiaTheme="minorEastAsia"/>
                <w:color w:val="000000"/>
                <w:szCs w:val="21"/>
              </w:rPr>
            </w:pPr>
            <w:r w:rsidRPr="00C24ACA">
              <w:rPr>
                <w:rFonts w:eastAsiaTheme="minorEastAsia"/>
                <w:color w:val="000000"/>
                <w:szCs w:val="21"/>
              </w:rPr>
              <w:t>7</w:t>
            </w:r>
          </w:p>
        </w:tc>
        <w:tc>
          <w:tcPr>
            <w:tcW w:w="4431" w:type="dxa"/>
            <w:vAlign w:val="center"/>
          </w:tcPr>
          <w:p w:rsidR="008A5A5D" w:rsidRPr="00C24ACA" w:rsidRDefault="008A5A5D" w:rsidP="00E87EC9">
            <w:pPr>
              <w:ind w:leftChars="50" w:left="105"/>
              <w:rPr>
                <w:rFonts w:eastAsiaTheme="minorEastAsia"/>
                <w:color w:val="000000"/>
                <w:szCs w:val="21"/>
              </w:rPr>
            </w:pPr>
            <w:r w:rsidRPr="00C24ACA">
              <w:rPr>
                <w:rFonts w:eastAsiaTheme="minorEastAsia"/>
                <w:color w:val="000000"/>
                <w:szCs w:val="21"/>
              </w:rPr>
              <w:t>待摊费用</w:t>
            </w:r>
          </w:p>
        </w:tc>
        <w:tc>
          <w:tcPr>
            <w:tcW w:w="4105" w:type="dxa"/>
            <w:vAlign w:val="center"/>
          </w:tcPr>
          <w:p w:rsidR="008A5A5D" w:rsidRPr="00C24ACA" w:rsidRDefault="008A5A5D" w:rsidP="00E87EC9">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8</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其他</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w:t>
            </w:r>
          </w:p>
        </w:tc>
      </w:tr>
      <w:tr w:rsidR="00E87EC9" w:rsidRPr="00C24ACA" w:rsidTr="00206018">
        <w:trPr>
          <w:trHeight w:val="312"/>
          <w:jc w:val="center"/>
        </w:trPr>
        <w:tc>
          <w:tcPr>
            <w:tcW w:w="820" w:type="dxa"/>
            <w:vAlign w:val="center"/>
          </w:tcPr>
          <w:p w:rsidR="00E87EC9" w:rsidRPr="00C24ACA" w:rsidRDefault="00E87EC9" w:rsidP="007C6EA8">
            <w:pPr>
              <w:jc w:val="center"/>
              <w:rPr>
                <w:rFonts w:eastAsiaTheme="minorEastAsia"/>
                <w:color w:val="000000"/>
                <w:szCs w:val="21"/>
              </w:rPr>
            </w:pPr>
            <w:r w:rsidRPr="00C24ACA">
              <w:rPr>
                <w:rFonts w:eastAsiaTheme="minorEastAsia"/>
                <w:color w:val="000000"/>
                <w:szCs w:val="21"/>
              </w:rPr>
              <w:t>9</w:t>
            </w:r>
          </w:p>
        </w:tc>
        <w:tc>
          <w:tcPr>
            <w:tcW w:w="4431" w:type="dxa"/>
            <w:vAlign w:val="center"/>
          </w:tcPr>
          <w:p w:rsidR="00E87EC9" w:rsidRPr="00C24ACA" w:rsidRDefault="00E87EC9" w:rsidP="007C6EA8">
            <w:pPr>
              <w:ind w:leftChars="50" w:left="105"/>
              <w:rPr>
                <w:rFonts w:eastAsiaTheme="minorEastAsia"/>
                <w:color w:val="000000"/>
                <w:szCs w:val="21"/>
              </w:rPr>
            </w:pPr>
            <w:r w:rsidRPr="00C24ACA">
              <w:rPr>
                <w:rFonts w:eastAsiaTheme="minorEastAsia"/>
                <w:color w:val="000000"/>
                <w:szCs w:val="21"/>
              </w:rPr>
              <w:t>合计</w:t>
            </w:r>
          </w:p>
        </w:tc>
        <w:tc>
          <w:tcPr>
            <w:tcW w:w="4105" w:type="dxa"/>
            <w:vAlign w:val="center"/>
          </w:tcPr>
          <w:p w:rsidR="00E87EC9" w:rsidRPr="00C24ACA" w:rsidRDefault="00E87EC9" w:rsidP="007C6EA8">
            <w:pPr>
              <w:jc w:val="right"/>
              <w:rPr>
                <w:rFonts w:eastAsiaTheme="minorEastAsia"/>
                <w:szCs w:val="21"/>
              </w:rPr>
            </w:pPr>
            <w:r w:rsidRPr="00C24ACA">
              <w:rPr>
                <w:rFonts w:eastAsiaTheme="minorEastAsia"/>
                <w:szCs w:val="21"/>
              </w:rPr>
              <w:t>29,668.73</w:t>
            </w:r>
          </w:p>
        </w:tc>
      </w:tr>
    </w:tbl>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7.12.4</w:t>
      </w:r>
      <w:r w:rsidRPr="00C24ACA">
        <w:rPr>
          <w:rFonts w:eastAsiaTheme="minorEastAsia"/>
          <w:b/>
          <w:color w:val="000000"/>
          <w:kern w:val="0"/>
          <w:szCs w:val="21"/>
        </w:rPr>
        <w:t>期末持有的处于转股期的可转换债券明细</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本基金本报告期末未持有处于转股期的可转换债券。</w:t>
      </w:r>
    </w:p>
    <w:p w:rsidR="008A5A5D" w:rsidRPr="00C24ACA" w:rsidRDefault="008A5A5D" w:rsidP="006C64F3">
      <w:pPr>
        <w:autoSpaceDE w:val="0"/>
        <w:autoSpaceDN w:val="0"/>
        <w:adjustRightInd w:val="0"/>
        <w:snapToGrid w:val="0"/>
        <w:spacing w:beforeLines="100" w:before="312" w:line="360" w:lineRule="auto"/>
        <w:jc w:val="left"/>
        <w:rPr>
          <w:rFonts w:eastAsiaTheme="minorEastAsia"/>
          <w:b/>
          <w:color w:val="000000"/>
          <w:kern w:val="0"/>
          <w:szCs w:val="21"/>
        </w:rPr>
      </w:pPr>
      <w:r w:rsidRPr="00C24ACA">
        <w:rPr>
          <w:rFonts w:eastAsiaTheme="minorEastAsia"/>
          <w:b/>
          <w:color w:val="000000"/>
          <w:szCs w:val="21"/>
        </w:rPr>
        <w:t>7.12.5</w:t>
      </w:r>
      <w:r w:rsidRPr="00C24ACA">
        <w:rPr>
          <w:rFonts w:eastAsiaTheme="minorEastAsia"/>
          <w:b/>
          <w:color w:val="000000"/>
          <w:kern w:val="0"/>
          <w:szCs w:val="21"/>
        </w:rPr>
        <w:t>期末前十名股票中存在流通受限情况的说明</w:t>
      </w:r>
    </w:p>
    <w:p w:rsidR="008A5A5D" w:rsidRPr="008707EB" w:rsidRDefault="00DC59DF"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本基金本报告期末未持有股票。</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290" w:name="_Toc225500050"/>
      <w:bookmarkStart w:id="291" w:name="_Toc352256006"/>
      <w:bookmarkStart w:id="292" w:name="_Toc352256074"/>
      <w:bookmarkStart w:id="293" w:name="_Toc352331252"/>
      <w:bookmarkStart w:id="294" w:name="_Toc390164834"/>
      <w:bookmarkStart w:id="295" w:name="_Toc48660314"/>
      <w:r w:rsidRPr="000C6CCD">
        <w:rPr>
          <w:rFonts w:ascii="宋体" w:hAnsi="宋体"/>
          <w:bCs w:val="0"/>
          <w:color w:val="000000"/>
          <w:sz w:val="21"/>
          <w:szCs w:val="21"/>
        </w:rPr>
        <w:t>8</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基金份额持有人信息</w:t>
      </w:r>
      <w:bookmarkEnd w:id="290"/>
      <w:bookmarkEnd w:id="291"/>
      <w:bookmarkEnd w:id="292"/>
      <w:bookmarkEnd w:id="293"/>
      <w:bookmarkEnd w:id="294"/>
      <w:bookmarkEnd w:id="295"/>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296" w:name="_Toc225500051"/>
      <w:bookmarkStart w:id="297" w:name="_Toc352256007"/>
      <w:bookmarkStart w:id="298" w:name="_Toc352256075"/>
      <w:bookmarkStart w:id="299" w:name="_Toc352331253"/>
      <w:bookmarkStart w:id="300" w:name="_Toc390164835"/>
      <w:bookmarkStart w:id="301" w:name="_Toc48660315"/>
      <w:r w:rsidRPr="0087359D">
        <w:rPr>
          <w:rFonts w:ascii="宋体" w:hAnsi="宋体"/>
          <w:kern w:val="0"/>
          <w:sz w:val="21"/>
          <w:szCs w:val="21"/>
        </w:rPr>
        <w:t>8.1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期末基金份额持有人户数及持有人结构</w:t>
      </w:r>
      <w:bookmarkEnd w:id="296"/>
      <w:bookmarkEnd w:id="297"/>
      <w:bookmarkEnd w:id="298"/>
      <w:bookmarkEnd w:id="299"/>
      <w:bookmarkEnd w:id="300"/>
      <w:bookmarkEnd w:id="301"/>
    </w:p>
    <w:p w:rsidR="002716BD" w:rsidRPr="00C24ACA" w:rsidRDefault="002716BD" w:rsidP="002716BD">
      <w:pPr>
        <w:autoSpaceDE w:val="0"/>
        <w:autoSpaceDN w:val="0"/>
        <w:adjustRightInd w:val="0"/>
        <w:spacing w:before="29" w:line="360" w:lineRule="auto"/>
        <w:ind w:left="15"/>
        <w:jc w:val="right"/>
        <w:rPr>
          <w:rFonts w:eastAsiaTheme="minorEastAsia"/>
          <w:color w:val="000000"/>
          <w:szCs w:val="21"/>
        </w:rPr>
      </w:pPr>
      <w:bookmarkStart w:id="302" w:name="_Toc352256008"/>
      <w:bookmarkStart w:id="303" w:name="_Toc352256076"/>
      <w:bookmarkStart w:id="304" w:name="_Toc352331254"/>
      <w:r w:rsidRPr="00C24ACA">
        <w:rPr>
          <w:rFonts w:eastAsiaTheme="minor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66"/>
        <w:gridCol w:w="1158"/>
        <w:gridCol w:w="1259"/>
        <w:gridCol w:w="1512"/>
        <w:gridCol w:w="971"/>
        <w:gridCol w:w="1543"/>
        <w:gridCol w:w="969"/>
      </w:tblGrid>
      <w:tr w:rsidR="002716BD" w:rsidRPr="00C24ACA" w:rsidTr="00D0593F">
        <w:tc>
          <w:tcPr>
            <w:tcW w:w="964"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szCs w:val="21"/>
              </w:rPr>
              <w:t>份额级别</w:t>
            </w:r>
          </w:p>
        </w:tc>
        <w:tc>
          <w:tcPr>
            <w:tcW w:w="633"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持有人户数</w:t>
            </w:r>
            <w:r w:rsidRPr="00C24ACA">
              <w:rPr>
                <w:rFonts w:eastAsiaTheme="minorEastAsia"/>
                <w:bCs/>
                <w:color w:val="000000"/>
                <w:szCs w:val="21"/>
              </w:rPr>
              <w:t>(</w:t>
            </w:r>
            <w:r w:rsidRPr="00C24ACA">
              <w:rPr>
                <w:rFonts w:eastAsiaTheme="minorEastAsia"/>
                <w:bCs/>
                <w:color w:val="000000"/>
                <w:szCs w:val="21"/>
              </w:rPr>
              <w:t>户</w:t>
            </w:r>
            <w:r w:rsidRPr="00C24ACA">
              <w:rPr>
                <w:rFonts w:eastAsiaTheme="minorEastAsia"/>
                <w:bCs/>
                <w:color w:val="000000"/>
                <w:szCs w:val="21"/>
              </w:rPr>
              <w:t>)</w:t>
            </w:r>
          </w:p>
        </w:tc>
        <w:tc>
          <w:tcPr>
            <w:tcW w:w="688" w:type="pct"/>
            <w:vMerge w:val="restar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户均持有的基金份额</w:t>
            </w:r>
          </w:p>
        </w:tc>
        <w:tc>
          <w:tcPr>
            <w:tcW w:w="2715" w:type="pct"/>
            <w:gridSpan w:val="4"/>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持有人结构</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1357"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机构投资者</w:t>
            </w:r>
          </w:p>
        </w:tc>
        <w:tc>
          <w:tcPr>
            <w:tcW w:w="1358" w:type="pct"/>
            <w:gridSpan w:val="2"/>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个人投资者</w:t>
            </w:r>
          </w:p>
        </w:tc>
      </w:tr>
      <w:tr w:rsidR="002716BD" w:rsidRPr="00C24ACA" w:rsidTr="00D0593F">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0" w:type="auto"/>
            <w:vMerge/>
            <w:vAlign w:val="center"/>
            <w:hideMark/>
          </w:tcPr>
          <w:p w:rsidR="002716BD" w:rsidRPr="00C24ACA" w:rsidRDefault="002716BD">
            <w:pPr>
              <w:widowControl/>
              <w:jc w:val="left"/>
              <w:rPr>
                <w:rFonts w:eastAsiaTheme="minorEastAsia"/>
                <w:bCs/>
                <w:color w:val="000000"/>
                <w:szCs w:val="21"/>
              </w:rPr>
            </w:pPr>
          </w:p>
        </w:tc>
        <w:tc>
          <w:tcPr>
            <w:tcW w:w="826"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31"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c>
          <w:tcPr>
            <w:tcW w:w="84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持有份额</w:t>
            </w:r>
          </w:p>
        </w:tc>
        <w:tc>
          <w:tcPr>
            <w:tcW w:w="515"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占总份额比例</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易方达中证浙江新动能</w:t>
            </w:r>
            <w:r w:rsidRPr="00C24ACA">
              <w:rPr>
                <w:rFonts w:eastAsiaTheme="minorEastAsia"/>
                <w:bCs/>
                <w:color w:val="000000"/>
                <w:szCs w:val="21"/>
              </w:rPr>
              <w:t>ETF</w:t>
            </w:r>
            <w:r w:rsidRPr="00C24ACA">
              <w:rPr>
                <w:rFonts w:eastAsiaTheme="minorEastAsia"/>
                <w:bCs/>
                <w:color w:val="000000"/>
                <w:szCs w:val="21"/>
              </w:rPr>
              <w:t>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A</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549</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20,965.96</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11,510,310.80</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D0593F">
        <w:tc>
          <w:tcPr>
            <w:tcW w:w="964" w:type="pct"/>
            <w:hideMark/>
          </w:tcPr>
          <w:p w:rsidR="002716BD" w:rsidRPr="00C24ACA" w:rsidRDefault="002716BD">
            <w:pPr>
              <w:widowControl/>
              <w:spacing w:line="360" w:lineRule="auto"/>
              <w:jc w:val="center"/>
              <w:rPr>
                <w:rFonts w:eastAsiaTheme="minorEastAsia"/>
                <w:bCs/>
                <w:color w:val="000000"/>
                <w:szCs w:val="21"/>
              </w:rPr>
            </w:pPr>
            <w:r w:rsidRPr="00C24ACA">
              <w:rPr>
                <w:rFonts w:eastAsiaTheme="minorEastAsia"/>
                <w:bCs/>
                <w:color w:val="000000"/>
                <w:szCs w:val="21"/>
              </w:rPr>
              <w:t>易方达中证浙江新动能</w:t>
            </w:r>
            <w:r w:rsidRPr="00C24ACA">
              <w:rPr>
                <w:rFonts w:eastAsiaTheme="minorEastAsia"/>
                <w:bCs/>
                <w:color w:val="000000"/>
                <w:szCs w:val="21"/>
              </w:rPr>
              <w:t>ETF</w:t>
            </w:r>
            <w:r w:rsidRPr="00C24ACA">
              <w:rPr>
                <w:rFonts w:eastAsiaTheme="minorEastAsia"/>
                <w:bCs/>
                <w:color w:val="000000"/>
                <w:szCs w:val="21"/>
              </w:rPr>
              <w:t>联接（</w:t>
            </w:r>
            <w:r w:rsidRPr="00C24ACA">
              <w:rPr>
                <w:rFonts w:eastAsiaTheme="minorEastAsia"/>
                <w:bCs/>
                <w:color w:val="000000"/>
                <w:szCs w:val="21"/>
              </w:rPr>
              <w:t>QDII</w:t>
            </w:r>
            <w:r w:rsidRPr="00C24ACA">
              <w:rPr>
                <w:rFonts w:eastAsiaTheme="minorEastAsia"/>
                <w:bCs/>
                <w:color w:val="000000"/>
                <w:szCs w:val="21"/>
              </w:rPr>
              <w:t>）</w:t>
            </w:r>
            <w:r w:rsidRPr="00C24ACA">
              <w:rPr>
                <w:rFonts w:eastAsiaTheme="minorEastAsia"/>
                <w:bCs/>
                <w:color w:val="000000"/>
                <w:szCs w:val="21"/>
              </w:rPr>
              <w:t>C</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386</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13,758.35</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5,310,724.72</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r w:rsidR="002716BD" w:rsidRPr="00C24ACA" w:rsidTr="00D0593F">
        <w:tc>
          <w:tcPr>
            <w:tcW w:w="964" w:type="pct"/>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合计</w:t>
            </w:r>
          </w:p>
        </w:tc>
        <w:tc>
          <w:tcPr>
            <w:tcW w:w="633" w:type="pct"/>
            <w:vAlign w:val="center"/>
            <w:hideMark/>
          </w:tcPr>
          <w:p w:rsidR="002716BD" w:rsidRPr="00C24ACA" w:rsidRDefault="002716BD">
            <w:pPr>
              <w:spacing w:line="360" w:lineRule="auto"/>
              <w:jc w:val="center"/>
              <w:rPr>
                <w:rFonts w:eastAsiaTheme="minorEastAsia"/>
                <w:bCs/>
                <w:color w:val="000000"/>
                <w:szCs w:val="21"/>
              </w:rPr>
            </w:pPr>
            <w:r w:rsidRPr="00C24ACA">
              <w:rPr>
                <w:rFonts w:eastAsiaTheme="minorEastAsia"/>
                <w:bCs/>
                <w:color w:val="000000"/>
                <w:szCs w:val="21"/>
              </w:rPr>
              <w:t>935</w:t>
            </w:r>
          </w:p>
        </w:tc>
        <w:tc>
          <w:tcPr>
            <w:tcW w:w="688"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17,990.41</w:t>
            </w:r>
          </w:p>
        </w:tc>
        <w:tc>
          <w:tcPr>
            <w:tcW w:w="826"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531"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0.00%</w:t>
            </w:r>
          </w:p>
        </w:tc>
        <w:tc>
          <w:tcPr>
            <w:tcW w:w="843"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16,821,035.52</w:t>
            </w:r>
          </w:p>
        </w:tc>
        <w:tc>
          <w:tcPr>
            <w:tcW w:w="515" w:type="pct"/>
            <w:vAlign w:val="center"/>
            <w:hideMark/>
          </w:tcPr>
          <w:p w:rsidR="002716BD" w:rsidRPr="00C24ACA" w:rsidRDefault="002716BD">
            <w:pPr>
              <w:spacing w:line="360" w:lineRule="auto"/>
              <w:jc w:val="right"/>
              <w:rPr>
                <w:rFonts w:eastAsiaTheme="minorEastAsia"/>
                <w:bCs/>
                <w:color w:val="000000"/>
                <w:szCs w:val="21"/>
              </w:rPr>
            </w:pPr>
            <w:r w:rsidRPr="00C24ACA">
              <w:rPr>
                <w:rFonts w:eastAsiaTheme="minorEastAsia"/>
                <w:bCs/>
                <w:color w:val="000000"/>
                <w:szCs w:val="21"/>
              </w:rPr>
              <w:t>100.00%</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05" w:name="_Toc390164837"/>
      <w:bookmarkStart w:id="306" w:name="_Toc48660316"/>
      <w:r w:rsidRPr="0087359D">
        <w:rPr>
          <w:rFonts w:ascii="宋体" w:hAnsi="宋体"/>
          <w:kern w:val="0"/>
          <w:sz w:val="21"/>
          <w:szCs w:val="21"/>
        </w:rPr>
        <w:t>8.2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期末基金管理人的从业人员持有本基金的情况</w:t>
      </w:r>
      <w:bookmarkEnd w:id="302"/>
      <w:bookmarkEnd w:id="303"/>
      <w:bookmarkEnd w:id="304"/>
      <w:bookmarkEnd w:id="305"/>
      <w:bookmarkEnd w:id="306"/>
    </w:p>
    <w:tbl>
      <w:tblPr>
        <w:tblStyle w:val="af7"/>
        <w:tblW w:w="0" w:type="auto"/>
        <w:tblInd w:w="108" w:type="dxa"/>
        <w:tblLayout w:type="fixed"/>
        <w:tblLook w:val="04A0" w:firstRow="1" w:lastRow="0" w:firstColumn="1" w:lastColumn="0" w:noHBand="0" w:noVBand="1"/>
      </w:tblPr>
      <w:tblGrid>
        <w:gridCol w:w="2321"/>
        <w:gridCol w:w="2321"/>
        <w:gridCol w:w="2322"/>
        <w:gridCol w:w="2322"/>
      </w:tblGrid>
      <w:tr w:rsidR="00232443" w:rsidRPr="00C24ACA" w:rsidTr="005C3575">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项目</w:t>
            </w:r>
          </w:p>
        </w:tc>
        <w:tc>
          <w:tcPr>
            <w:tcW w:w="2321"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份额级别</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持有份额总数（份）</w:t>
            </w:r>
          </w:p>
        </w:tc>
        <w:tc>
          <w:tcPr>
            <w:tcW w:w="2322" w:type="dxa"/>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szCs w:val="21"/>
              </w:rPr>
              <w:t>占基金总份额比例</w:t>
            </w:r>
          </w:p>
        </w:tc>
      </w:tr>
      <w:tr w:rsidR="00232443" w:rsidRPr="00C24ACA" w:rsidTr="005C3575">
        <w:tc>
          <w:tcPr>
            <w:tcW w:w="2321" w:type="dxa"/>
            <w:vMerge w:val="restart"/>
            <w:vAlign w:val="center"/>
          </w:tcPr>
          <w:p w:rsidR="00232443" w:rsidRPr="00C24ACA" w:rsidRDefault="00232443" w:rsidP="005C3575">
            <w:pPr>
              <w:pStyle w:val="a0"/>
              <w:ind w:firstLineChars="0" w:firstLine="0"/>
              <w:jc w:val="center"/>
              <w:rPr>
                <w:rFonts w:eastAsiaTheme="minorEastAsia"/>
                <w:szCs w:val="21"/>
              </w:rPr>
            </w:pPr>
            <w:r w:rsidRPr="00C24ACA">
              <w:rPr>
                <w:rFonts w:eastAsiaTheme="minorEastAsia"/>
                <w:color w:val="000000"/>
                <w:szCs w:val="21"/>
              </w:rPr>
              <w:t>基金管理人所有从业人员持有本基金</w:t>
            </w: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1,235.33</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0.0107%</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jc w:val="center"/>
              <w:rPr>
                <w:rFonts w:eastAsiaTheme="minorEastAsia"/>
                <w:color w:val="000000"/>
                <w:kern w:val="0"/>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1,028.27</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0.0194%</w:t>
            </w:r>
          </w:p>
        </w:tc>
      </w:tr>
      <w:tr w:rsidR="00232443" w:rsidRPr="00C24ACA" w:rsidTr="005C3575">
        <w:tc>
          <w:tcPr>
            <w:tcW w:w="2321" w:type="dxa"/>
            <w:vMerge/>
          </w:tcPr>
          <w:p w:rsidR="00232443" w:rsidRPr="00C24ACA" w:rsidRDefault="00232443" w:rsidP="005C3575">
            <w:pPr>
              <w:pStyle w:val="a0"/>
              <w:ind w:firstLineChars="0" w:firstLine="0"/>
              <w:rPr>
                <w:rFonts w:eastAsiaTheme="minorEastAsia"/>
                <w:szCs w:val="21"/>
              </w:rPr>
            </w:pPr>
          </w:p>
        </w:tc>
        <w:tc>
          <w:tcPr>
            <w:tcW w:w="2321" w:type="dxa"/>
            <w:vAlign w:val="center"/>
          </w:tcPr>
          <w:p w:rsidR="00232443" w:rsidRPr="00C24ACA" w:rsidRDefault="00232443" w:rsidP="005C3575">
            <w:pPr>
              <w:widowControl/>
              <w:jc w:val="center"/>
              <w:rPr>
                <w:rFonts w:eastAsiaTheme="minorEastAsia"/>
                <w:color w:val="000000"/>
                <w:kern w:val="0"/>
                <w:szCs w:val="21"/>
              </w:rPr>
            </w:pPr>
            <w:r w:rsidRPr="00C24ACA">
              <w:rPr>
                <w:rFonts w:eastAsiaTheme="minorEastAsia"/>
                <w:color w:val="000000"/>
                <w:kern w:val="0"/>
                <w:szCs w:val="21"/>
              </w:rPr>
              <w:t>合计</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2,263.60</w:t>
            </w:r>
          </w:p>
        </w:tc>
        <w:tc>
          <w:tcPr>
            <w:tcW w:w="2322" w:type="dxa"/>
            <w:vAlign w:val="center"/>
          </w:tcPr>
          <w:p w:rsidR="00232443" w:rsidRPr="00C24ACA" w:rsidRDefault="00232443" w:rsidP="005C3575">
            <w:pPr>
              <w:widowControl/>
              <w:jc w:val="right"/>
              <w:rPr>
                <w:rFonts w:eastAsiaTheme="minorEastAsia"/>
                <w:color w:val="000000"/>
                <w:kern w:val="0"/>
                <w:szCs w:val="21"/>
              </w:rPr>
            </w:pPr>
            <w:r w:rsidRPr="00C24ACA">
              <w:rPr>
                <w:rFonts w:eastAsiaTheme="minorEastAsia"/>
                <w:color w:val="000000"/>
                <w:kern w:val="0"/>
                <w:szCs w:val="21"/>
              </w:rPr>
              <w:t>0.0135%</w:t>
            </w:r>
          </w:p>
        </w:tc>
      </w:tr>
    </w:tbl>
    <w:p w:rsidR="000B6328" w:rsidRPr="00A317EA" w:rsidRDefault="00251D61" w:rsidP="006C64F3">
      <w:pPr>
        <w:pStyle w:val="20"/>
        <w:spacing w:beforeLines="100" w:before="312" w:after="0"/>
        <w:rPr>
          <w:rFonts w:ascii="Times New Roman" w:eastAsiaTheme="minorEastAsia" w:hAnsi="Times New Roman"/>
          <w:kern w:val="0"/>
          <w:sz w:val="21"/>
          <w:szCs w:val="21"/>
        </w:rPr>
      </w:pPr>
      <w:bookmarkStart w:id="307" w:name="_Toc48660317"/>
      <w:r w:rsidRPr="0087359D">
        <w:rPr>
          <w:rFonts w:ascii="宋体" w:hAnsi="宋体"/>
          <w:kern w:val="0"/>
          <w:sz w:val="21"/>
          <w:szCs w:val="21"/>
        </w:rPr>
        <w:t>8.3</w:t>
      </w:r>
      <w:r w:rsidR="00982AAE" w:rsidRPr="009A2157">
        <w:rPr>
          <w:rFonts w:ascii="Times New Roman" w:eastAsiaTheme="minorEastAsia" w:hAnsi="Times New Roman"/>
          <w:kern w:val="0"/>
          <w:sz w:val="21"/>
          <w:szCs w:val="21"/>
        </w:rPr>
        <w:t xml:space="preserve">   </w:t>
      </w:r>
      <w:r w:rsidR="000B6328" w:rsidRPr="00A317EA">
        <w:rPr>
          <w:rFonts w:ascii="Times New Roman" w:eastAsiaTheme="minorEastAsia" w:hAnsi="Times New Roman"/>
          <w:kern w:val="0"/>
          <w:sz w:val="21"/>
          <w:szCs w:val="21"/>
        </w:rPr>
        <w:t>期末基金管理人的从业人员持有本开放式基金份额总量区间的情况</w:t>
      </w:r>
      <w:bookmarkEnd w:id="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232443" w:rsidRPr="00C24ACA" w:rsidTr="00D0593F">
        <w:trPr>
          <w:trHeight w:val="285"/>
        </w:trPr>
        <w:tc>
          <w:tcPr>
            <w:tcW w:w="2548"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项目</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份额级别</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持有基金份额总量的数量区间（万份）</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本公司高级管理人员、基金投资和研究部门负责人</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易方达中证浙江新动能</w:t>
            </w:r>
            <w:r w:rsidRPr="00C24ACA">
              <w:rPr>
                <w:rFonts w:eastAsiaTheme="minorEastAsia"/>
                <w:kern w:val="0"/>
                <w:szCs w:val="21"/>
              </w:rPr>
              <w:t>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易方达中证浙江新动能</w:t>
            </w:r>
            <w:r w:rsidRPr="00C24ACA">
              <w:rPr>
                <w:rFonts w:eastAsiaTheme="minorEastAsia"/>
                <w:kern w:val="0"/>
                <w:szCs w:val="21"/>
              </w:rPr>
              <w:t>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285"/>
        </w:trPr>
        <w:tc>
          <w:tcPr>
            <w:tcW w:w="2548" w:type="dxa"/>
            <w:vMerge w:val="restart"/>
            <w:shd w:val="clear" w:color="auto" w:fill="auto"/>
            <w:tcMar>
              <w:top w:w="0" w:type="dxa"/>
              <w:left w:w="108" w:type="dxa"/>
              <w:bottom w:w="0" w:type="dxa"/>
              <w:right w:w="108" w:type="dxa"/>
            </w:tcMar>
            <w:vAlign w:val="center"/>
            <w:hideMark/>
          </w:tcPr>
          <w:p w:rsidR="00232443" w:rsidRPr="00C24ACA" w:rsidRDefault="00232443" w:rsidP="005C3575">
            <w:pPr>
              <w:widowControl/>
              <w:jc w:val="left"/>
              <w:rPr>
                <w:rFonts w:eastAsiaTheme="minorEastAsia"/>
                <w:kern w:val="0"/>
                <w:szCs w:val="21"/>
              </w:rPr>
            </w:pPr>
            <w:r w:rsidRPr="00C24ACA">
              <w:rPr>
                <w:rFonts w:eastAsiaTheme="minorEastAsia"/>
                <w:kern w:val="0"/>
                <w:szCs w:val="21"/>
              </w:rPr>
              <w:t>本基金基金经理</w:t>
            </w:r>
            <w:r w:rsidRPr="00C24ACA">
              <w:rPr>
                <w:rFonts w:eastAsiaTheme="minor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易方达中证浙江新动能</w:t>
            </w:r>
            <w:r w:rsidRPr="00C24ACA">
              <w:rPr>
                <w:rFonts w:eastAsiaTheme="minorEastAsia"/>
                <w:kern w:val="0"/>
                <w:szCs w:val="21"/>
              </w:rPr>
              <w:t>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A</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525"/>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易方达中证浙江新动能</w:t>
            </w:r>
            <w:r w:rsidRPr="00C24ACA">
              <w:rPr>
                <w:rFonts w:eastAsiaTheme="minorEastAsia"/>
                <w:kern w:val="0"/>
                <w:szCs w:val="21"/>
              </w:rPr>
              <w:t>ETF</w:t>
            </w:r>
            <w:r w:rsidRPr="00C24ACA">
              <w:rPr>
                <w:rFonts w:eastAsiaTheme="minorEastAsia"/>
                <w:kern w:val="0"/>
                <w:szCs w:val="21"/>
              </w:rPr>
              <w:t>联接（</w:t>
            </w:r>
            <w:r w:rsidRPr="00C24ACA">
              <w:rPr>
                <w:rFonts w:eastAsiaTheme="minorEastAsia"/>
                <w:kern w:val="0"/>
                <w:szCs w:val="21"/>
              </w:rPr>
              <w:t>QDII</w:t>
            </w:r>
            <w:r w:rsidRPr="00C24ACA">
              <w:rPr>
                <w:rFonts w:eastAsiaTheme="minorEastAsia"/>
                <w:kern w:val="0"/>
                <w:szCs w:val="21"/>
              </w:rPr>
              <w:t>）</w:t>
            </w:r>
            <w:r w:rsidRPr="00C24ACA">
              <w:rPr>
                <w:rFonts w:eastAsiaTheme="minorEastAsia"/>
                <w:kern w:val="0"/>
                <w:szCs w:val="21"/>
              </w:rPr>
              <w:t>C</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r w:rsidR="00232443" w:rsidRPr="00C24ACA" w:rsidTr="00D0593F">
        <w:trPr>
          <w:trHeight w:val="653"/>
        </w:trPr>
        <w:tc>
          <w:tcPr>
            <w:tcW w:w="2548" w:type="dxa"/>
            <w:vMerge/>
            <w:shd w:val="clear" w:color="auto" w:fill="auto"/>
            <w:vAlign w:val="center"/>
            <w:hideMark/>
          </w:tcPr>
          <w:p w:rsidR="00232443" w:rsidRPr="00C24ACA" w:rsidRDefault="00232443" w:rsidP="005C3575">
            <w:pPr>
              <w:widowControl/>
              <w:jc w:val="left"/>
              <w:rPr>
                <w:rFonts w:eastAsiaTheme="minorEastAsia"/>
                <w:kern w:val="0"/>
                <w:szCs w:val="21"/>
              </w:rPr>
            </w:pPr>
          </w:p>
        </w:tc>
        <w:tc>
          <w:tcPr>
            <w:tcW w:w="2424"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合计</w:t>
            </w:r>
          </w:p>
        </w:tc>
        <w:tc>
          <w:tcPr>
            <w:tcW w:w="4526" w:type="dxa"/>
            <w:shd w:val="clear" w:color="auto" w:fill="auto"/>
            <w:tcMar>
              <w:top w:w="0" w:type="dxa"/>
              <w:left w:w="108" w:type="dxa"/>
              <w:bottom w:w="0" w:type="dxa"/>
              <w:right w:w="108" w:type="dxa"/>
            </w:tcMar>
            <w:vAlign w:val="center"/>
            <w:hideMark/>
          </w:tcPr>
          <w:p w:rsidR="00232443" w:rsidRPr="00C24ACA" w:rsidRDefault="00232443" w:rsidP="005C3575">
            <w:pPr>
              <w:widowControl/>
              <w:jc w:val="center"/>
              <w:rPr>
                <w:rFonts w:eastAsiaTheme="minorEastAsia"/>
                <w:kern w:val="0"/>
                <w:szCs w:val="21"/>
              </w:rPr>
            </w:pPr>
            <w:r w:rsidRPr="00C24ACA">
              <w:rPr>
                <w:rFonts w:eastAsiaTheme="minorEastAsia"/>
                <w:kern w:val="0"/>
                <w:szCs w:val="21"/>
              </w:rPr>
              <w:t>0</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08" w:name="_Toc225500053"/>
      <w:bookmarkStart w:id="309" w:name="_Toc352256009"/>
      <w:bookmarkStart w:id="310" w:name="_Toc352256077"/>
      <w:bookmarkStart w:id="311" w:name="_Toc352331255"/>
      <w:bookmarkStart w:id="312" w:name="_Toc390164839"/>
      <w:bookmarkStart w:id="313" w:name="_Toc48660318"/>
      <w:r w:rsidRPr="00A432E9">
        <w:rPr>
          <w:rFonts w:ascii="Times New Roman" w:hAnsi="Times New Roman"/>
          <w:bCs w:val="0"/>
          <w:color w:val="000000"/>
          <w:sz w:val="21"/>
          <w:szCs w:val="21"/>
        </w:rPr>
        <w:t>9</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开放式基金份额变动</w:t>
      </w:r>
      <w:bookmarkEnd w:id="308"/>
      <w:bookmarkEnd w:id="309"/>
      <w:bookmarkEnd w:id="310"/>
      <w:bookmarkEnd w:id="311"/>
      <w:bookmarkEnd w:id="312"/>
      <w:bookmarkEnd w:id="313"/>
    </w:p>
    <w:p w:rsidR="008A5A5D" w:rsidRPr="00C24ACA" w:rsidRDefault="008A5A5D" w:rsidP="002116B9">
      <w:pPr>
        <w:jc w:val="right"/>
        <w:rPr>
          <w:rFonts w:eastAsiaTheme="minorEastAsia"/>
          <w:szCs w:val="21"/>
        </w:rPr>
      </w:pPr>
      <w:r w:rsidRPr="00C24ACA">
        <w:rPr>
          <w:rFonts w:eastAsiaTheme="minorEastAsia"/>
          <w:szCs w:val="21"/>
        </w:rPr>
        <w:t>单位：份</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DE1120" w:rsidRPr="00C24ACA" w:rsidTr="005C3575">
        <w:tc>
          <w:tcPr>
            <w:tcW w:w="1771" w:type="pct"/>
            <w:vAlign w:val="center"/>
          </w:tcPr>
          <w:p w:rsidR="00DE1120" w:rsidRPr="00C24ACA" w:rsidRDefault="00DE1120" w:rsidP="005C3575">
            <w:pPr>
              <w:jc w:val="center"/>
              <w:rPr>
                <w:rFonts w:eastAsiaTheme="minorEastAsia"/>
                <w:szCs w:val="21"/>
              </w:rPr>
            </w:pPr>
            <w:r w:rsidRPr="00C24ACA">
              <w:rPr>
                <w:rFonts w:eastAsiaTheme="minorEastAsia"/>
                <w:szCs w:val="21"/>
              </w:rPr>
              <w:t>项目</w:t>
            </w:r>
          </w:p>
        </w:tc>
        <w:tc>
          <w:tcPr>
            <w:tcW w:w="1614"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A</w:t>
            </w:r>
          </w:p>
        </w:tc>
        <w:tc>
          <w:tcPr>
            <w:tcW w:w="1615" w:type="pct"/>
            <w:vAlign w:val="center"/>
          </w:tcPr>
          <w:p w:rsidR="00DE1120" w:rsidRPr="00C24ACA" w:rsidRDefault="00DE1120" w:rsidP="005C3575">
            <w:pPr>
              <w:jc w:val="center"/>
              <w:rPr>
                <w:rFonts w:eastAsiaTheme="minorEastAsia"/>
                <w:szCs w:val="21"/>
              </w:rPr>
            </w:pPr>
            <w:r w:rsidRPr="00C24ACA">
              <w:rPr>
                <w:rFonts w:eastAsiaTheme="minorEastAsia"/>
                <w:szCs w:val="21"/>
              </w:rPr>
              <w:t>易方达中证浙江新动能</w:t>
            </w:r>
            <w:r w:rsidRPr="00C24ACA">
              <w:rPr>
                <w:rFonts w:eastAsiaTheme="minorEastAsia"/>
                <w:szCs w:val="21"/>
              </w:rPr>
              <w:t>ETF</w:t>
            </w:r>
            <w:r w:rsidRPr="00C24ACA">
              <w:rPr>
                <w:rFonts w:eastAsiaTheme="minorEastAsia"/>
                <w:szCs w:val="21"/>
              </w:rPr>
              <w:t>联接（</w:t>
            </w:r>
            <w:r w:rsidRPr="00C24ACA">
              <w:rPr>
                <w:rFonts w:eastAsiaTheme="minorEastAsia"/>
                <w:szCs w:val="21"/>
              </w:rPr>
              <w:t>QDII</w:t>
            </w:r>
            <w:r w:rsidRPr="00C24ACA">
              <w:rPr>
                <w:rFonts w:eastAsiaTheme="minorEastAsia"/>
                <w:szCs w:val="21"/>
              </w:rPr>
              <w:t>）</w:t>
            </w:r>
            <w:r w:rsidRPr="00C24ACA">
              <w:rPr>
                <w:rFonts w:eastAsiaTheme="minorEastAsia"/>
                <w:szCs w:val="21"/>
              </w:rPr>
              <w:t>C</w:t>
            </w:r>
          </w:p>
        </w:tc>
      </w:tr>
      <w:tr w:rsidR="00DE1120" w:rsidRPr="00C24ACA" w:rsidTr="005C3575">
        <w:tc>
          <w:tcPr>
            <w:tcW w:w="1771" w:type="pct"/>
          </w:tcPr>
          <w:p w:rsidR="00DE1120" w:rsidRPr="00C24ACA" w:rsidRDefault="00DE1120" w:rsidP="005C3575">
            <w:pPr>
              <w:rPr>
                <w:rFonts w:eastAsiaTheme="minorEastAsia"/>
                <w:szCs w:val="21"/>
              </w:rPr>
            </w:pPr>
            <w:r w:rsidRPr="00C24ACA">
              <w:rPr>
                <w:rFonts w:eastAsiaTheme="minorEastAsia"/>
                <w:szCs w:val="21"/>
              </w:rPr>
              <w:t>基金合同生效日（</w:t>
            </w:r>
            <w:r w:rsidRPr="00C24ACA">
              <w:rPr>
                <w:rFonts w:eastAsiaTheme="minorEastAsia"/>
                <w:szCs w:val="21"/>
              </w:rPr>
              <w:t>2020</w:t>
            </w:r>
            <w:r w:rsidRPr="00C24ACA">
              <w:rPr>
                <w:rFonts w:eastAsiaTheme="minorEastAsia"/>
                <w:szCs w:val="21"/>
              </w:rPr>
              <w:t>年</w:t>
            </w:r>
            <w:r w:rsidRPr="00C24ACA">
              <w:rPr>
                <w:rFonts w:eastAsiaTheme="minorEastAsia"/>
                <w:szCs w:val="21"/>
              </w:rPr>
              <w:t>4</w:t>
            </w:r>
            <w:r w:rsidRPr="00C24ACA">
              <w:rPr>
                <w:rFonts w:eastAsiaTheme="minorEastAsia"/>
                <w:szCs w:val="21"/>
              </w:rPr>
              <w:t>月</w:t>
            </w:r>
            <w:r w:rsidRPr="00C24ACA">
              <w:rPr>
                <w:rFonts w:eastAsiaTheme="minorEastAsia"/>
                <w:szCs w:val="21"/>
              </w:rPr>
              <w:t>24</w:t>
            </w:r>
            <w:r w:rsidRPr="00C24ACA">
              <w:rPr>
                <w:rFonts w:eastAsiaTheme="minorEastAsia"/>
                <w:szCs w:val="21"/>
              </w:rPr>
              <w:t>日）基金份额总额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15,956,346.50</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194,487,553.83</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基金合同生效日起至报告期期末基金总申购份额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274,627.91</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92,894.74</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减：基金合同生效日起至报告期期末基金总赎回份额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4,720,663.61</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189,269,723.85</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基金合同生效日起至报告期期末基金拆分变动份额</w:t>
            </w:r>
          </w:p>
        </w:tc>
        <w:tc>
          <w:tcPr>
            <w:tcW w:w="1614"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c>
          <w:tcPr>
            <w:tcW w:w="1615" w:type="pct"/>
            <w:vAlign w:val="bottom"/>
          </w:tcPr>
          <w:p w:rsidR="00DE1120" w:rsidRPr="00C24ACA" w:rsidRDefault="00DE1120" w:rsidP="005C3575">
            <w:pPr>
              <w:jc w:val="right"/>
              <w:rPr>
                <w:rFonts w:eastAsiaTheme="minorEastAsia"/>
                <w:szCs w:val="21"/>
              </w:rPr>
            </w:pPr>
            <w:r w:rsidRPr="00C24ACA">
              <w:rPr>
                <w:rFonts w:eastAsiaTheme="minorEastAsia"/>
                <w:szCs w:val="21"/>
              </w:rPr>
              <w:t>-</w:t>
            </w:r>
          </w:p>
        </w:tc>
      </w:tr>
      <w:tr w:rsidR="00DE1120" w:rsidRPr="00C24ACA" w:rsidTr="005C3575">
        <w:tc>
          <w:tcPr>
            <w:tcW w:w="1771" w:type="pct"/>
            <w:vAlign w:val="center"/>
          </w:tcPr>
          <w:p w:rsidR="00DE1120" w:rsidRPr="00C24ACA" w:rsidRDefault="00DE1120" w:rsidP="005C3575">
            <w:pPr>
              <w:rPr>
                <w:rFonts w:eastAsiaTheme="minorEastAsia"/>
                <w:szCs w:val="21"/>
              </w:rPr>
            </w:pPr>
            <w:r w:rsidRPr="00C24ACA">
              <w:rPr>
                <w:rFonts w:eastAsiaTheme="minorEastAsia"/>
                <w:szCs w:val="21"/>
              </w:rPr>
              <w:t>本报告期期末基金份额总额</w:t>
            </w:r>
          </w:p>
        </w:tc>
        <w:tc>
          <w:tcPr>
            <w:tcW w:w="1614" w:type="pct"/>
            <w:vAlign w:val="center"/>
          </w:tcPr>
          <w:p w:rsidR="00DE1120" w:rsidRPr="00C24ACA" w:rsidRDefault="00DE1120" w:rsidP="005C3575">
            <w:pPr>
              <w:jc w:val="right"/>
              <w:rPr>
                <w:rFonts w:eastAsiaTheme="minorEastAsia"/>
                <w:szCs w:val="21"/>
              </w:rPr>
            </w:pPr>
            <w:r w:rsidRPr="00C24ACA">
              <w:rPr>
                <w:rFonts w:eastAsiaTheme="minorEastAsia"/>
                <w:szCs w:val="21"/>
              </w:rPr>
              <w:t>11,510,310.80</w:t>
            </w:r>
          </w:p>
        </w:tc>
        <w:tc>
          <w:tcPr>
            <w:tcW w:w="1615" w:type="pct"/>
            <w:vAlign w:val="center"/>
          </w:tcPr>
          <w:p w:rsidR="00DE1120" w:rsidRPr="00C24ACA" w:rsidRDefault="00DE1120" w:rsidP="005C3575">
            <w:pPr>
              <w:jc w:val="right"/>
              <w:rPr>
                <w:rFonts w:eastAsiaTheme="minorEastAsia"/>
                <w:szCs w:val="21"/>
              </w:rPr>
            </w:pPr>
            <w:r w:rsidRPr="00C24ACA">
              <w:rPr>
                <w:rFonts w:eastAsiaTheme="minorEastAsia"/>
                <w:szCs w:val="21"/>
              </w:rPr>
              <w:t>5,310,724.72</w:t>
            </w:r>
          </w:p>
        </w:tc>
      </w:tr>
    </w:tbl>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注：本基金合同生效日为</w:t>
      </w:r>
      <w:r w:rsidRPr="00C24ACA">
        <w:rPr>
          <w:rFonts w:eastAsiaTheme="minorEastAsia"/>
          <w:kern w:val="0"/>
          <w:szCs w:val="21"/>
        </w:rPr>
        <w:t>2020</w:t>
      </w:r>
      <w:r w:rsidRPr="00C24ACA">
        <w:rPr>
          <w:rFonts w:eastAsiaTheme="minorEastAsia"/>
          <w:kern w:val="0"/>
          <w:szCs w:val="21"/>
        </w:rPr>
        <w:t>年</w:t>
      </w:r>
      <w:r w:rsidRPr="00C24ACA">
        <w:rPr>
          <w:rFonts w:eastAsiaTheme="minorEastAsia"/>
          <w:kern w:val="0"/>
          <w:szCs w:val="21"/>
        </w:rPr>
        <w:t>04</w:t>
      </w:r>
      <w:r w:rsidRPr="00C24ACA">
        <w:rPr>
          <w:rFonts w:eastAsiaTheme="minorEastAsia"/>
          <w:kern w:val="0"/>
          <w:szCs w:val="21"/>
        </w:rPr>
        <w:t>月</w:t>
      </w:r>
      <w:r w:rsidRPr="00C24ACA">
        <w:rPr>
          <w:rFonts w:eastAsiaTheme="minorEastAsia"/>
          <w:kern w:val="0"/>
          <w:szCs w:val="21"/>
        </w:rPr>
        <w:t>24</w:t>
      </w:r>
      <w:r w:rsidRPr="00C24ACA">
        <w:rPr>
          <w:rFonts w:eastAsiaTheme="minorEastAsia"/>
          <w:kern w:val="0"/>
          <w:szCs w:val="21"/>
        </w:rPr>
        <w:t>日。</w:t>
      </w:r>
    </w:p>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14" w:name="_Toc225500054"/>
      <w:bookmarkStart w:id="315" w:name="_Toc352256010"/>
      <w:bookmarkStart w:id="316" w:name="_Toc352256078"/>
      <w:bookmarkStart w:id="317" w:name="_Toc352331256"/>
      <w:bookmarkStart w:id="318" w:name="_Toc390164840"/>
      <w:bookmarkStart w:id="319" w:name="_Toc48660319"/>
      <w:r w:rsidRPr="000C6CCD">
        <w:rPr>
          <w:rFonts w:ascii="宋体" w:hAnsi="宋体"/>
          <w:bCs w:val="0"/>
          <w:color w:val="000000"/>
          <w:sz w:val="21"/>
          <w:szCs w:val="21"/>
        </w:rPr>
        <w:t>10</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重大事件揭示</w:t>
      </w:r>
      <w:bookmarkEnd w:id="314"/>
      <w:bookmarkEnd w:id="315"/>
      <w:bookmarkEnd w:id="316"/>
      <w:bookmarkEnd w:id="317"/>
      <w:bookmarkEnd w:id="318"/>
      <w:bookmarkEnd w:id="319"/>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20" w:name="_Toc352256011"/>
      <w:bookmarkStart w:id="321" w:name="_Toc352256079"/>
      <w:bookmarkStart w:id="322" w:name="_Toc352331257"/>
      <w:bookmarkStart w:id="323" w:name="_Toc390164841"/>
      <w:bookmarkStart w:id="324" w:name="_Toc48660320"/>
      <w:r w:rsidRPr="0087359D">
        <w:rPr>
          <w:rFonts w:ascii="宋体" w:hAnsi="宋体"/>
          <w:kern w:val="0"/>
          <w:sz w:val="21"/>
          <w:szCs w:val="21"/>
        </w:rPr>
        <w:t>10.</w:t>
      </w:r>
      <w:r w:rsidR="00F0322F">
        <w:rPr>
          <w:rFonts w:ascii="宋体" w:hAnsi="宋体" w:hint="eastAsia"/>
          <w:kern w:val="0"/>
          <w:sz w:val="21"/>
          <w:szCs w:val="21"/>
        </w:rPr>
        <w:t>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基金份额持有人大会决议</w:t>
      </w:r>
      <w:bookmarkEnd w:id="320"/>
      <w:bookmarkEnd w:id="321"/>
      <w:bookmarkEnd w:id="322"/>
      <w:bookmarkEnd w:id="323"/>
      <w:bookmarkEnd w:id="324"/>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本报告期内未召开基金份额持有人大会。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25" w:name="_Toc352256012"/>
      <w:bookmarkStart w:id="326" w:name="_Toc352256080"/>
      <w:bookmarkStart w:id="327" w:name="_Toc352331258"/>
      <w:bookmarkStart w:id="328" w:name="_Toc390164842"/>
      <w:bookmarkStart w:id="329" w:name="_Toc48660321"/>
      <w:r w:rsidRPr="0087359D">
        <w:rPr>
          <w:rFonts w:ascii="宋体" w:hAnsi="宋体"/>
          <w:kern w:val="0"/>
          <w:sz w:val="21"/>
          <w:szCs w:val="21"/>
        </w:rPr>
        <w:t>10.</w:t>
      </w:r>
      <w:r>
        <w:rPr>
          <w:rFonts w:ascii="宋体" w:hAnsi="宋体" w:hint="eastAsia"/>
          <w:kern w:val="0"/>
          <w:sz w:val="21"/>
          <w:szCs w:val="21"/>
        </w:rPr>
        <w:t>2</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基金管理人、基金托管人的专门基金托管部门的重大人事变动</w:t>
      </w:r>
      <w:bookmarkEnd w:id="325"/>
      <w:bookmarkEnd w:id="326"/>
      <w:bookmarkEnd w:id="327"/>
      <w:bookmarkEnd w:id="328"/>
      <w:bookmarkEnd w:id="329"/>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本基金管理人于</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日发布公告，自</w:t>
      </w:r>
      <w:r>
        <w:rPr>
          <w:rFonts w:eastAsiaTheme="minorEastAsia"/>
          <w:kern w:val="0"/>
          <w:szCs w:val="21"/>
        </w:rPr>
        <w:t>2020</w:t>
      </w:r>
      <w:r>
        <w:rPr>
          <w:rFonts w:eastAsiaTheme="minorEastAsia"/>
          <w:kern w:val="0"/>
          <w:szCs w:val="21"/>
        </w:rPr>
        <w:t>年</w:t>
      </w:r>
      <w:r>
        <w:rPr>
          <w:rFonts w:eastAsiaTheme="minorEastAsia"/>
          <w:kern w:val="0"/>
          <w:szCs w:val="21"/>
        </w:rPr>
        <w:t>6</w:t>
      </w:r>
      <w:r>
        <w:rPr>
          <w:rFonts w:eastAsiaTheme="minorEastAsia"/>
          <w:kern w:val="0"/>
          <w:szCs w:val="21"/>
        </w:rPr>
        <w:t>月</w:t>
      </w:r>
      <w:r>
        <w:rPr>
          <w:rFonts w:eastAsiaTheme="minorEastAsia"/>
          <w:kern w:val="0"/>
          <w:szCs w:val="21"/>
        </w:rPr>
        <w:t>22</w:t>
      </w:r>
      <w:r>
        <w:rPr>
          <w:rFonts w:eastAsiaTheme="minorEastAsia"/>
          <w:kern w:val="0"/>
          <w:szCs w:val="21"/>
        </w:rPr>
        <w:t>日起聘任张坤先生、陈丽园女士担任公司副总经理级高级管理人员。</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本报告期内本基金托管人的专门基金托管部门未发生重大人事变动。</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0" w:name="_Toc352256013"/>
      <w:bookmarkStart w:id="331" w:name="_Toc352256081"/>
      <w:bookmarkStart w:id="332" w:name="_Toc352331259"/>
      <w:bookmarkStart w:id="333" w:name="_Toc390164843"/>
      <w:bookmarkStart w:id="334" w:name="_Toc48660322"/>
      <w:r w:rsidRPr="0087359D">
        <w:rPr>
          <w:rFonts w:ascii="宋体" w:hAnsi="宋体"/>
          <w:kern w:val="0"/>
          <w:sz w:val="21"/>
          <w:szCs w:val="21"/>
        </w:rPr>
        <w:t>10.</w:t>
      </w:r>
      <w:r>
        <w:rPr>
          <w:rFonts w:ascii="宋体" w:hAnsi="宋体" w:hint="eastAsia"/>
          <w:kern w:val="0"/>
          <w:sz w:val="21"/>
          <w:szCs w:val="21"/>
        </w:rPr>
        <w:t>3</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涉及基金管理人、基金财产、基金托管业务的诉讼</w:t>
      </w:r>
      <w:bookmarkEnd w:id="330"/>
      <w:bookmarkEnd w:id="331"/>
      <w:bookmarkEnd w:id="332"/>
      <w:bookmarkEnd w:id="333"/>
      <w:bookmarkEnd w:id="334"/>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本报告期内无涉及本基金管理人、基金财产、基金托管业务的诉讼事项。</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35" w:name="_Toc352256014"/>
      <w:bookmarkStart w:id="336" w:name="_Toc352256082"/>
      <w:bookmarkStart w:id="337" w:name="_Toc352331260"/>
      <w:bookmarkStart w:id="338" w:name="_Toc390164844"/>
      <w:bookmarkStart w:id="339" w:name="_Toc48660323"/>
      <w:r w:rsidRPr="0087359D">
        <w:rPr>
          <w:rFonts w:ascii="宋体" w:hAnsi="宋体"/>
          <w:kern w:val="0"/>
          <w:sz w:val="21"/>
          <w:szCs w:val="21"/>
        </w:rPr>
        <w:t>10.</w:t>
      </w:r>
      <w:r>
        <w:rPr>
          <w:rFonts w:ascii="宋体" w:hAnsi="宋体" w:hint="eastAsia"/>
          <w:kern w:val="0"/>
          <w:sz w:val="21"/>
          <w:szCs w:val="21"/>
        </w:rPr>
        <w:t>4</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基金投资策略的改变</w:t>
      </w:r>
      <w:bookmarkEnd w:id="335"/>
      <w:bookmarkEnd w:id="336"/>
      <w:bookmarkEnd w:id="337"/>
      <w:bookmarkEnd w:id="338"/>
      <w:bookmarkEnd w:id="339"/>
    </w:p>
    <w:p w:rsidR="00F0322F" w:rsidRPr="00F13227"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本报告期内本基金的投资策略未有重大变化。</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0" w:name="_Toc352256015"/>
      <w:bookmarkStart w:id="341" w:name="_Toc352256083"/>
      <w:bookmarkStart w:id="342" w:name="_Toc352331261"/>
      <w:bookmarkStart w:id="343" w:name="_Toc390164845"/>
      <w:bookmarkStart w:id="344" w:name="_Toc48660324"/>
      <w:r w:rsidRPr="0087359D">
        <w:rPr>
          <w:rFonts w:ascii="宋体" w:hAnsi="宋体"/>
          <w:kern w:val="0"/>
          <w:sz w:val="21"/>
          <w:szCs w:val="21"/>
        </w:rPr>
        <w:t>10.</w:t>
      </w:r>
      <w:r>
        <w:rPr>
          <w:rFonts w:ascii="宋体" w:hAnsi="宋体" w:hint="eastAsia"/>
          <w:kern w:val="0"/>
          <w:sz w:val="21"/>
          <w:szCs w:val="21"/>
        </w:rPr>
        <w:t>5</w:t>
      </w:r>
      <w:r w:rsidR="00982AAE" w:rsidRPr="009A2157">
        <w:rPr>
          <w:rFonts w:ascii="Times New Roman" w:eastAsiaTheme="minorEastAsia" w:hAnsi="Times New Roman"/>
          <w:kern w:val="0"/>
          <w:sz w:val="21"/>
          <w:szCs w:val="21"/>
        </w:rPr>
        <w:t xml:space="preserve">  </w:t>
      </w:r>
      <w:bookmarkEnd w:id="340"/>
      <w:bookmarkEnd w:id="341"/>
      <w:bookmarkEnd w:id="342"/>
      <w:bookmarkEnd w:id="343"/>
      <w:r w:rsidR="00C46FA8" w:rsidRPr="0087410D">
        <w:rPr>
          <w:rFonts w:ascii="宋体" w:hAnsi="宋体" w:hint="eastAsia"/>
          <w:kern w:val="0"/>
          <w:sz w:val="21"/>
          <w:szCs w:val="21"/>
        </w:rPr>
        <w:t>为基金进行审计的会计师事务所情况</w:t>
      </w:r>
      <w:bookmarkEnd w:id="344"/>
    </w:p>
    <w:p w:rsidR="008A5A5D" w:rsidRPr="00C24ACA" w:rsidRDefault="008A5A5D" w:rsidP="008707EB">
      <w:pPr>
        <w:tabs>
          <w:tab w:val="left" w:pos="426"/>
        </w:tabs>
        <w:spacing w:line="360" w:lineRule="auto"/>
        <w:ind w:firstLineChars="200" w:firstLine="420"/>
        <w:rPr>
          <w:rFonts w:eastAsiaTheme="minorEastAsia"/>
          <w:kern w:val="0"/>
          <w:szCs w:val="21"/>
        </w:rPr>
      </w:pPr>
      <w:bookmarkStart w:id="345" w:name="OLE_LINK3"/>
      <w:r w:rsidRPr="00C24ACA">
        <w:rPr>
          <w:rFonts w:eastAsiaTheme="minorEastAsia"/>
          <w:kern w:val="0"/>
          <w:szCs w:val="21"/>
        </w:rPr>
        <w:t>本报告期内本基金未改聘会计师事务所。</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46" w:name="_Toc352256016"/>
      <w:bookmarkStart w:id="347" w:name="_Toc352256084"/>
      <w:bookmarkStart w:id="348" w:name="_Toc352331262"/>
      <w:bookmarkStart w:id="349" w:name="_Toc390164846"/>
      <w:bookmarkStart w:id="350" w:name="_Toc48660325"/>
      <w:bookmarkEnd w:id="345"/>
      <w:r w:rsidRPr="0087359D">
        <w:rPr>
          <w:rFonts w:ascii="宋体" w:hAnsi="宋体"/>
          <w:kern w:val="0"/>
          <w:sz w:val="21"/>
          <w:szCs w:val="21"/>
        </w:rPr>
        <w:t>10.</w:t>
      </w:r>
      <w:r>
        <w:rPr>
          <w:rFonts w:ascii="宋体" w:hAnsi="宋体" w:hint="eastAsia"/>
          <w:kern w:val="0"/>
          <w:sz w:val="21"/>
          <w:szCs w:val="21"/>
        </w:rPr>
        <w:t>6</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管理人、托管人及其高级管理人员受稽查或处罚等情况</w:t>
      </w:r>
      <w:bookmarkEnd w:id="346"/>
      <w:bookmarkEnd w:id="347"/>
      <w:bookmarkEnd w:id="348"/>
      <w:bookmarkEnd w:id="349"/>
      <w:bookmarkEnd w:id="350"/>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本报告期内，本基金管理人和托管人托管业务部门及其相关高级管理人员未受到稽查或处罚。</w:t>
      </w:r>
    </w:p>
    <w:p w:rsidR="008A5A5D" w:rsidRPr="00C24ACA" w:rsidRDefault="00F0322F" w:rsidP="006C64F3">
      <w:pPr>
        <w:pStyle w:val="20"/>
        <w:spacing w:beforeLines="100" w:before="312" w:after="0"/>
        <w:rPr>
          <w:rFonts w:ascii="Times New Roman" w:eastAsiaTheme="minorEastAsia" w:hAnsi="Times New Roman"/>
          <w:kern w:val="0"/>
          <w:sz w:val="21"/>
          <w:szCs w:val="21"/>
        </w:rPr>
      </w:pPr>
      <w:bookmarkStart w:id="351" w:name="_Toc352256017"/>
      <w:bookmarkStart w:id="352" w:name="_Toc352256085"/>
      <w:bookmarkStart w:id="353" w:name="_Toc352331263"/>
      <w:bookmarkStart w:id="354" w:name="_Toc390164847"/>
      <w:bookmarkStart w:id="355" w:name="_Toc48660326"/>
      <w:r w:rsidRPr="0087359D">
        <w:rPr>
          <w:rFonts w:ascii="宋体" w:hAnsi="宋体"/>
          <w:kern w:val="0"/>
          <w:sz w:val="21"/>
          <w:szCs w:val="21"/>
        </w:rPr>
        <w:t>10.</w:t>
      </w:r>
      <w:r>
        <w:rPr>
          <w:rFonts w:ascii="宋体" w:hAnsi="宋体" w:hint="eastAsia"/>
          <w:kern w:val="0"/>
          <w:sz w:val="21"/>
          <w:szCs w:val="21"/>
        </w:rPr>
        <w:t>7</w:t>
      </w:r>
      <w:r w:rsidR="00982AAE" w:rsidRPr="009A2157">
        <w:rPr>
          <w:rFonts w:ascii="Times New Roman" w:eastAsiaTheme="minorEastAsia" w:hAnsi="Times New Roman"/>
          <w:kern w:val="0"/>
          <w:sz w:val="21"/>
          <w:szCs w:val="21"/>
        </w:rPr>
        <w:t xml:space="preserve">  </w:t>
      </w:r>
      <w:r w:rsidR="008A5A5D" w:rsidRPr="00C24ACA">
        <w:rPr>
          <w:rFonts w:ascii="Times New Roman" w:eastAsiaTheme="minorEastAsia" w:hAnsi="Times New Roman"/>
          <w:kern w:val="0"/>
          <w:sz w:val="21"/>
          <w:szCs w:val="21"/>
        </w:rPr>
        <w:t>基金租用证券公司交易单元的有关情况</w:t>
      </w:r>
      <w:bookmarkEnd w:id="351"/>
      <w:bookmarkEnd w:id="352"/>
      <w:bookmarkEnd w:id="353"/>
      <w:bookmarkEnd w:id="354"/>
      <w:bookmarkEnd w:id="355"/>
    </w:p>
    <w:p w:rsidR="008A5A5D" w:rsidRPr="00C24ACA" w:rsidRDefault="000D1F25" w:rsidP="00E92B70">
      <w:pPr>
        <w:spacing w:line="360" w:lineRule="auto"/>
        <w:rPr>
          <w:rFonts w:eastAsiaTheme="minorEastAsia"/>
          <w:b/>
          <w:szCs w:val="21"/>
        </w:rPr>
      </w:pPr>
      <w:bookmarkStart w:id="356" w:name="_Toc249760070"/>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1</w:t>
      </w:r>
      <w:r w:rsidR="008A5A5D" w:rsidRPr="00C24ACA">
        <w:rPr>
          <w:rFonts w:eastAsiaTheme="minorEastAsia"/>
          <w:b/>
          <w:szCs w:val="21"/>
        </w:rPr>
        <w:t>基金租用证券公司交易单元进行股票投资及佣金支付情况</w:t>
      </w:r>
      <w:bookmarkEnd w:id="356"/>
    </w:p>
    <w:p w:rsidR="008A5A5D" w:rsidRPr="00C24ACA" w:rsidRDefault="008A5A5D" w:rsidP="008134C7">
      <w:pPr>
        <w:pStyle w:val="a0"/>
        <w:ind w:firstLineChars="2600" w:firstLine="5460"/>
        <w:jc w:val="right"/>
        <w:rPr>
          <w:rFonts w:eastAsiaTheme="minorEastAsia"/>
          <w:color w:val="000000"/>
          <w:szCs w:val="21"/>
        </w:rPr>
      </w:pPr>
      <w:r w:rsidRPr="00C24ACA">
        <w:rPr>
          <w:rFonts w:eastAsiaTheme="minor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8A5A5D" w:rsidRPr="00C24ACA" w:rsidTr="004A4847">
        <w:tc>
          <w:tcPr>
            <w:tcW w:w="1560" w:type="dxa"/>
            <w:vMerge w:val="restart"/>
            <w:vAlign w:val="center"/>
          </w:tcPr>
          <w:p w:rsidR="008A5A5D" w:rsidRPr="00C24ACA" w:rsidRDefault="008A5A5D" w:rsidP="004A4847">
            <w:pPr>
              <w:jc w:val="center"/>
              <w:rPr>
                <w:rFonts w:eastAsiaTheme="minorEastAsia"/>
                <w:color w:val="000000"/>
                <w:szCs w:val="21"/>
              </w:rPr>
            </w:pPr>
            <w:bookmarkStart w:id="357" w:name="_Toc249760071"/>
            <w:r w:rsidRPr="00C24ACA">
              <w:rPr>
                <w:rFonts w:eastAsiaTheme="minorEastAsia"/>
                <w:color w:val="000000"/>
                <w:szCs w:val="21"/>
              </w:rPr>
              <w:t>券商名称</w:t>
            </w:r>
          </w:p>
        </w:tc>
        <w:tc>
          <w:tcPr>
            <w:tcW w:w="780" w:type="dxa"/>
            <w:vMerge w:val="restart"/>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交易单元数量</w:t>
            </w:r>
          </w:p>
        </w:tc>
        <w:tc>
          <w:tcPr>
            <w:tcW w:w="288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股票交易</w:t>
            </w:r>
          </w:p>
        </w:tc>
        <w:tc>
          <w:tcPr>
            <w:tcW w:w="2700" w:type="dxa"/>
            <w:gridSpan w:val="2"/>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应支付该券商的佣金</w:t>
            </w:r>
          </w:p>
        </w:tc>
        <w:tc>
          <w:tcPr>
            <w:tcW w:w="1080" w:type="dxa"/>
            <w:vMerge w:val="restart"/>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备注</w:t>
            </w:r>
          </w:p>
        </w:tc>
      </w:tr>
      <w:tr w:rsidR="008A5A5D" w:rsidRPr="00C24ACA" w:rsidTr="004A4847">
        <w:tc>
          <w:tcPr>
            <w:tcW w:w="9000" w:type="dxa"/>
            <w:vMerge/>
            <w:vAlign w:val="center"/>
          </w:tcPr>
          <w:p w:rsidR="008A5A5D" w:rsidRPr="00C24ACA" w:rsidRDefault="008A5A5D" w:rsidP="004A4847">
            <w:pPr>
              <w:widowControl/>
              <w:jc w:val="left"/>
              <w:rPr>
                <w:rFonts w:eastAsiaTheme="minorEastAsia"/>
                <w:color w:val="000000"/>
                <w:szCs w:val="21"/>
              </w:rPr>
            </w:pPr>
          </w:p>
        </w:tc>
        <w:tc>
          <w:tcPr>
            <w:tcW w:w="780" w:type="dxa"/>
            <w:vMerge/>
            <w:vAlign w:val="center"/>
          </w:tcPr>
          <w:p w:rsidR="008A5A5D" w:rsidRPr="00C24ACA" w:rsidRDefault="008A5A5D" w:rsidP="004A4847">
            <w:pPr>
              <w:widowControl/>
              <w:jc w:val="left"/>
              <w:rPr>
                <w:rFonts w:eastAsiaTheme="minorEastAsia"/>
                <w:color w:val="000000"/>
                <w:szCs w:val="21"/>
              </w:rPr>
            </w:pPr>
          </w:p>
        </w:tc>
        <w:tc>
          <w:tcPr>
            <w:tcW w:w="180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成交金额</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占当期股票成交总额的比例</w:t>
            </w:r>
          </w:p>
        </w:tc>
        <w:tc>
          <w:tcPr>
            <w:tcW w:w="1620" w:type="dxa"/>
            <w:vAlign w:val="center"/>
          </w:tcPr>
          <w:p w:rsidR="008A5A5D" w:rsidRPr="00C24ACA" w:rsidRDefault="008A5A5D" w:rsidP="004A4847">
            <w:pPr>
              <w:jc w:val="center"/>
              <w:rPr>
                <w:rFonts w:eastAsiaTheme="minorEastAsia"/>
                <w:color w:val="000000"/>
                <w:kern w:val="0"/>
                <w:szCs w:val="21"/>
              </w:rPr>
            </w:pPr>
            <w:r w:rsidRPr="00C24ACA">
              <w:rPr>
                <w:rFonts w:eastAsiaTheme="minorEastAsia"/>
                <w:color w:val="000000"/>
                <w:kern w:val="0"/>
                <w:szCs w:val="21"/>
              </w:rPr>
              <w:t>佣金</w:t>
            </w:r>
          </w:p>
        </w:tc>
        <w:tc>
          <w:tcPr>
            <w:tcW w:w="1080" w:type="dxa"/>
            <w:vAlign w:val="center"/>
          </w:tcPr>
          <w:p w:rsidR="008A5A5D" w:rsidRPr="00C24ACA" w:rsidRDefault="008A5A5D" w:rsidP="004A4847">
            <w:pPr>
              <w:jc w:val="center"/>
              <w:rPr>
                <w:rFonts w:eastAsiaTheme="minorEastAsia"/>
                <w:color w:val="000000"/>
                <w:szCs w:val="21"/>
              </w:rPr>
            </w:pPr>
            <w:r w:rsidRPr="00C24ACA">
              <w:rPr>
                <w:rFonts w:eastAsiaTheme="minorEastAsia"/>
                <w:color w:val="000000"/>
                <w:szCs w:val="21"/>
              </w:rPr>
              <w:t>占当期佣金总量的比例</w:t>
            </w:r>
          </w:p>
        </w:tc>
        <w:tc>
          <w:tcPr>
            <w:tcW w:w="1080" w:type="dxa"/>
            <w:vMerge/>
            <w:vAlign w:val="center"/>
          </w:tcPr>
          <w:p w:rsidR="008A5A5D" w:rsidRPr="00C24ACA" w:rsidRDefault="008A5A5D" w:rsidP="004A4847">
            <w:pPr>
              <w:widowControl/>
              <w:jc w:val="left"/>
              <w:rPr>
                <w:rFonts w:eastAsiaTheme="minorEastAsia"/>
                <w:color w:val="000000"/>
                <w:kern w:val="0"/>
                <w:szCs w:val="21"/>
              </w:rPr>
            </w:pPr>
          </w:p>
        </w:tc>
      </w:tr>
      <w:tr w:rsidR="000265E6">
        <w:tc>
          <w:tcPr>
            <w:tcW w:w="1560" w:type="dxa"/>
            <w:vAlign w:val="center"/>
          </w:tcPr>
          <w:p w:rsidR="000265E6" w:rsidRDefault="004D56B3">
            <w:pPr>
              <w:jc w:val="center"/>
            </w:pPr>
            <w:r>
              <w:rPr>
                <w:rFonts w:eastAsiaTheme="minorEastAsia"/>
                <w:color w:val="000000"/>
                <w:szCs w:val="21"/>
              </w:rPr>
              <w:t>渤海证券</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长城国瑞</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长江证券</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国信证券</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华创证券</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华泰证券</w:t>
            </w:r>
          </w:p>
        </w:tc>
        <w:tc>
          <w:tcPr>
            <w:tcW w:w="780" w:type="dxa"/>
            <w:vAlign w:val="center"/>
          </w:tcPr>
          <w:p w:rsidR="000265E6" w:rsidRDefault="004D56B3">
            <w:pPr>
              <w:jc w:val="right"/>
            </w:pPr>
            <w:r>
              <w:rPr>
                <w:rFonts w:eastAsiaTheme="minorEastAsia"/>
                <w:color w:val="000000"/>
                <w:szCs w:val="21"/>
              </w:rPr>
              <w:t>2</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申万宏源</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r w:rsidR="000265E6">
        <w:tc>
          <w:tcPr>
            <w:tcW w:w="1560" w:type="dxa"/>
            <w:vAlign w:val="center"/>
          </w:tcPr>
          <w:p w:rsidR="000265E6" w:rsidRDefault="004D56B3">
            <w:pPr>
              <w:jc w:val="center"/>
            </w:pPr>
            <w:r>
              <w:rPr>
                <w:rFonts w:eastAsiaTheme="minorEastAsia"/>
                <w:color w:val="000000"/>
                <w:szCs w:val="21"/>
              </w:rPr>
              <w:t>银河证券</w:t>
            </w:r>
          </w:p>
        </w:tc>
        <w:tc>
          <w:tcPr>
            <w:tcW w:w="780" w:type="dxa"/>
            <w:vAlign w:val="center"/>
          </w:tcPr>
          <w:p w:rsidR="000265E6" w:rsidRDefault="004D56B3">
            <w:pPr>
              <w:jc w:val="right"/>
            </w:pPr>
            <w:r>
              <w:rPr>
                <w:rFonts w:eastAsiaTheme="minorEastAsia"/>
                <w:color w:val="000000"/>
                <w:szCs w:val="21"/>
              </w:rPr>
              <w:t>1</w:t>
            </w:r>
          </w:p>
        </w:tc>
        <w:tc>
          <w:tcPr>
            <w:tcW w:w="180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62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right"/>
            </w:pPr>
            <w:r>
              <w:rPr>
                <w:rFonts w:eastAsiaTheme="minorEastAsia"/>
                <w:color w:val="000000"/>
                <w:szCs w:val="21"/>
              </w:rPr>
              <w:t>-</w:t>
            </w:r>
          </w:p>
        </w:tc>
        <w:tc>
          <w:tcPr>
            <w:tcW w:w="1080" w:type="dxa"/>
            <w:vAlign w:val="center"/>
          </w:tcPr>
          <w:p w:rsidR="000265E6" w:rsidRDefault="004D56B3">
            <w:pPr>
              <w:jc w:val="left"/>
            </w:pPr>
            <w:r>
              <w:rPr>
                <w:rFonts w:eastAsiaTheme="minorEastAsia"/>
                <w:color w:val="000000"/>
                <w:szCs w:val="21"/>
              </w:rPr>
              <w:t>-</w:t>
            </w:r>
          </w:p>
        </w:tc>
      </w:tr>
    </w:tbl>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注：</w:t>
      </w:r>
      <w:r>
        <w:rPr>
          <w:rFonts w:eastAsiaTheme="minorEastAsia"/>
          <w:kern w:val="0"/>
          <w:szCs w:val="21"/>
        </w:rPr>
        <w:t>a</w:t>
      </w:r>
      <w:r>
        <w:rPr>
          <w:rFonts w:eastAsiaTheme="minorEastAsia"/>
          <w:kern w:val="0"/>
          <w:szCs w:val="21"/>
        </w:rPr>
        <w:t>）本报告期内本基金无减少交易账户，新增渤海证券股份有限公司、国信证券股份有限公司、华创证券有限责任公司、申万宏源证券有限公司、中国银河证券股份有限公司、长城国瑞证券有限公司、长江证券股份有限公司各一个交易单元；新增华泰证券股份有限公司两个交易单元。</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b</w:t>
      </w:r>
      <w:r>
        <w:rPr>
          <w:rFonts w:eastAsiaTheme="minorEastAsia"/>
          <w:kern w:val="0"/>
          <w:szCs w:val="21"/>
        </w:rPr>
        <w:t>）本基金管理人负责选择证券经营机构，并在该机构开立交易账户。基金交易账户的开立标准如下：</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）交易执行能力。主要指证券经营机构能否对投资指令进行有效地执行，以及能否取得较高质量的成交结果；</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）研究报告质量。主要指证券经营机构能否提供高质量的宏观经济研究、行业研究及市场走向、个股分析报告和专题研究报告等；</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）提供研究服务的质量。主要包括协助安排上市公司调研、研究资料共享、路演服务、日常沟通交流、接受委托研究的服务质量等方面；</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）法规监管资讯服务。主要包括境外投资法律规定、交易监管规则、信息披露、个人利益冲突、税收等资讯的提供与培训；</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5</w:t>
      </w:r>
      <w:r>
        <w:rPr>
          <w:rFonts w:eastAsiaTheme="minorEastAsia"/>
          <w:kern w:val="0"/>
          <w:szCs w:val="21"/>
        </w:rPr>
        <w:t>）价值贡献。主要是指证券经营机构对公司研究团队、投资团队在业务能力提升上所做的培训服务、对公司投资提升所作出的贡献；</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6</w:t>
      </w:r>
      <w:r>
        <w:rPr>
          <w:rFonts w:eastAsiaTheme="minorEastAsia"/>
          <w:kern w:val="0"/>
          <w:szCs w:val="21"/>
        </w:rPr>
        <w:t>）其他因素。主要是证券经营机构的财务状况、经营行为规范、风险管理机制、近年内有无重大违规行为等。</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c</w:t>
      </w:r>
      <w:r>
        <w:rPr>
          <w:rFonts w:eastAsiaTheme="minorEastAsia"/>
          <w:kern w:val="0"/>
          <w:szCs w:val="21"/>
        </w:rPr>
        <w:t>）基金交易账户的选择程序如下：</w:t>
      </w:r>
    </w:p>
    <w:p w:rsidR="000265E6" w:rsidRDefault="004D56B3">
      <w:pPr>
        <w:tabs>
          <w:tab w:val="left" w:pos="426"/>
        </w:tabs>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）本基金管理人根据上述标准考察后确定选用交易账户的证券经营机构。</w:t>
      </w:r>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2</w:t>
      </w:r>
      <w:r w:rsidRPr="00C24ACA">
        <w:rPr>
          <w:rFonts w:eastAsiaTheme="minorEastAsia"/>
          <w:kern w:val="0"/>
          <w:szCs w:val="21"/>
        </w:rPr>
        <w:t>）基金管理人与所选定的证券经营机构办理开立交易账户事宜。</w:t>
      </w:r>
    </w:p>
    <w:p w:rsidR="008A5A5D" w:rsidRPr="00C24ACA" w:rsidRDefault="000D1F25" w:rsidP="006C64F3">
      <w:pPr>
        <w:spacing w:beforeLines="100" w:before="312" w:line="360" w:lineRule="auto"/>
        <w:rPr>
          <w:rFonts w:eastAsiaTheme="minorEastAsia"/>
          <w:b/>
          <w:szCs w:val="21"/>
        </w:rPr>
      </w:pPr>
      <w:r w:rsidRPr="00576CAF">
        <w:rPr>
          <w:rFonts w:eastAsiaTheme="minorEastAsia"/>
          <w:b/>
          <w:kern w:val="0"/>
          <w:szCs w:val="21"/>
        </w:rPr>
        <w:t>10</w:t>
      </w:r>
      <w:r>
        <w:rPr>
          <w:rFonts w:eastAsiaTheme="minorEastAsia"/>
          <w:b/>
          <w:szCs w:val="21"/>
        </w:rPr>
        <w:t>.</w:t>
      </w:r>
      <w:r>
        <w:rPr>
          <w:rFonts w:eastAsiaTheme="minorEastAsia" w:hint="eastAsia"/>
          <w:b/>
          <w:szCs w:val="21"/>
        </w:rPr>
        <w:t>7</w:t>
      </w:r>
      <w:r>
        <w:rPr>
          <w:rFonts w:eastAsiaTheme="minorEastAsia"/>
          <w:b/>
          <w:szCs w:val="21"/>
        </w:rPr>
        <w:t>.</w:t>
      </w:r>
      <w:r>
        <w:rPr>
          <w:rFonts w:eastAsiaTheme="minorEastAsia" w:hint="eastAsia"/>
          <w:b/>
          <w:szCs w:val="21"/>
        </w:rPr>
        <w:t>2</w:t>
      </w:r>
      <w:r w:rsidR="008A5A5D" w:rsidRPr="00C24ACA">
        <w:rPr>
          <w:rFonts w:eastAsiaTheme="minorEastAsia"/>
          <w:b/>
          <w:szCs w:val="21"/>
        </w:rPr>
        <w:t>基金租用证券公司交易单元进行其他证券投资的情况</w:t>
      </w:r>
      <w:bookmarkEnd w:id="357"/>
    </w:p>
    <w:p w:rsidR="008A5A5D" w:rsidRPr="00C24ACA" w:rsidRDefault="008A5A5D" w:rsidP="002116B9">
      <w:pPr>
        <w:wordWrap w:val="0"/>
        <w:ind w:firstLine="420"/>
        <w:jc w:val="right"/>
        <w:rPr>
          <w:rFonts w:eastAsiaTheme="minorEastAsia"/>
          <w:color w:val="000000"/>
          <w:szCs w:val="21"/>
        </w:rPr>
      </w:pPr>
      <w:r w:rsidRPr="00C24ACA">
        <w:rPr>
          <w:rFonts w:eastAsiaTheme="minor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62C75" w:rsidRPr="00C24ACA" w:rsidTr="00762C75">
        <w:tc>
          <w:tcPr>
            <w:tcW w:w="709" w:type="dxa"/>
            <w:vMerge w:val="restart"/>
            <w:vAlign w:val="center"/>
          </w:tcPr>
          <w:p w:rsidR="00762C75" w:rsidRPr="00C24ACA" w:rsidRDefault="00762C75" w:rsidP="004A4847">
            <w:pPr>
              <w:jc w:val="center"/>
              <w:rPr>
                <w:rFonts w:eastAsiaTheme="minorEastAsia"/>
                <w:color w:val="000000"/>
                <w:kern w:val="0"/>
                <w:szCs w:val="21"/>
              </w:rPr>
            </w:pPr>
            <w:r w:rsidRPr="00C24ACA">
              <w:rPr>
                <w:rFonts w:eastAsiaTheme="minorEastAsia"/>
                <w:color w:val="000000"/>
                <w:szCs w:val="21"/>
              </w:rPr>
              <w:t>券商名称</w:t>
            </w:r>
          </w:p>
        </w:tc>
        <w:tc>
          <w:tcPr>
            <w:tcW w:w="1985"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债券交易</w:t>
            </w:r>
          </w:p>
        </w:tc>
        <w:tc>
          <w:tcPr>
            <w:tcW w:w="2023" w:type="dxa"/>
            <w:gridSpan w:val="2"/>
            <w:vAlign w:val="center"/>
          </w:tcPr>
          <w:p w:rsidR="00762C75" w:rsidRPr="00C24ACA" w:rsidRDefault="007D058F" w:rsidP="004A4847">
            <w:pPr>
              <w:jc w:val="center"/>
              <w:rPr>
                <w:rFonts w:eastAsiaTheme="minorEastAsia"/>
                <w:color w:val="000000"/>
                <w:szCs w:val="21"/>
              </w:rPr>
            </w:pPr>
            <w:r>
              <w:rPr>
                <w:rFonts w:eastAsiaTheme="minorEastAsia" w:hint="eastAsia"/>
                <w:color w:val="000000"/>
                <w:szCs w:val="21"/>
              </w:rPr>
              <w:t>债券</w:t>
            </w:r>
            <w:r w:rsidR="00762C75" w:rsidRPr="00C24ACA">
              <w:rPr>
                <w:rFonts w:eastAsiaTheme="minorEastAsia"/>
                <w:color w:val="000000"/>
                <w:szCs w:val="21"/>
              </w:rPr>
              <w:t>回购交易</w:t>
            </w:r>
          </w:p>
        </w:tc>
        <w:tc>
          <w:tcPr>
            <w:tcW w:w="2164" w:type="dxa"/>
            <w:gridSpan w:val="2"/>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权证交易</w:t>
            </w:r>
          </w:p>
        </w:tc>
        <w:tc>
          <w:tcPr>
            <w:tcW w:w="1962" w:type="dxa"/>
            <w:gridSpan w:val="2"/>
          </w:tcPr>
          <w:p w:rsidR="00762C75" w:rsidRPr="00C24ACA" w:rsidRDefault="00AF0AFC" w:rsidP="004A4847">
            <w:pPr>
              <w:jc w:val="center"/>
              <w:rPr>
                <w:rFonts w:eastAsiaTheme="minorEastAsia"/>
                <w:color w:val="000000"/>
                <w:szCs w:val="21"/>
              </w:rPr>
            </w:pPr>
            <w:r w:rsidRPr="00C24ACA">
              <w:rPr>
                <w:rFonts w:eastAsiaTheme="minorEastAsia"/>
                <w:color w:val="000000"/>
                <w:szCs w:val="21"/>
              </w:rPr>
              <w:t>基金交易</w:t>
            </w:r>
          </w:p>
        </w:tc>
      </w:tr>
      <w:tr w:rsidR="00762C75" w:rsidRPr="00C24ACA" w:rsidTr="00762C75">
        <w:tc>
          <w:tcPr>
            <w:tcW w:w="709" w:type="dxa"/>
            <w:vMerge/>
            <w:vAlign w:val="center"/>
          </w:tcPr>
          <w:p w:rsidR="00762C75" w:rsidRPr="00C24ACA" w:rsidRDefault="00762C75" w:rsidP="004A4847">
            <w:pPr>
              <w:widowControl/>
              <w:jc w:val="left"/>
              <w:rPr>
                <w:rFonts w:eastAsiaTheme="minorEastAsia"/>
                <w:color w:val="000000"/>
                <w:kern w:val="0"/>
                <w:szCs w:val="21"/>
              </w:rPr>
            </w:pPr>
          </w:p>
        </w:tc>
        <w:tc>
          <w:tcPr>
            <w:tcW w:w="709"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76"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占当期债券成交总额的比例</w:t>
            </w:r>
          </w:p>
        </w:tc>
        <w:tc>
          <w:tcPr>
            <w:tcW w:w="763"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26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w:t>
            </w:r>
            <w:r w:rsidR="007D058F">
              <w:rPr>
                <w:rFonts w:eastAsiaTheme="minorEastAsia" w:hint="eastAsia"/>
                <w:color w:val="000000"/>
                <w:szCs w:val="21"/>
              </w:rPr>
              <w:t>债券</w:t>
            </w:r>
            <w:r w:rsidRPr="00C24ACA">
              <w:rPr>
                <w:rFonts w:eastAsiaTheme="minorEastAsia"/>
                <w:color w:val="000000"/>
                <w:szCs w:val="21"/>
              </w:rPr>
              <w:t>回购成交总额的比例</w:t>
            </w:r>
          </w:p>
        </w:tc>
        <w:tc>
          <w:tcPr>
            <w:tcW w:w="724"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成交金额</w:t>
            </w:r>
          </w:p>
        </w:tc>
        <w:tc>
          <w:tcPr>
            <w:tcW w:w="1440" w:type="dxa"/>
            <w:vAlign w:val="center"/>
          </w:tcPr>
          <w:p w:rsidR="00762C75" w:rsidRPr="00C24ACA" w:rsidRDefault="00762C75" w:rsidP="004A4847">
            <w:pPr>
              <w:jc w:val="center"/>
              <w:rPr>
                <w:rFonts w:eastAsiaTheme="minorEastAsia"/>
                <w:color w:val="000000"/>
                <w:szCs w:val="21"/>
              </w:rPr>
            </w:pPr>
            <w:r w:rsidRPr="00C24ACA">
              <w:rPr>
                <w:rFonts w:eastAsiaTheme="minorEastAsia"/>
                <w:color w:val="000000"/>
                <w:szCs w:val="21"/>
              </w:rPr>
              <w:t>占当期权证成交总额的比例</w:t>
            </w:r>
          </w:p>
        </w:tc>
        <w:tc>
          <w:tcPr>
            <w:tcW w:w="781" w:type="dxa"/>
            <w:vAlign w:val="center"/>
          </w:tcPr>
          <w:p w:rsidR="00762C75" w:rsidRPr="00C24ACA" w:rsidRDefault="00762C75" w:rsidP="00B03EF5">
            <w:pPr>
              <w:jc w:val="center"/>
              <w:rPr>
                <w:rFonts w:eastAsiaTheme="minorEastAsia"/>
                <w:color w:val="000000"/>
                <w:szCs w:val="21"/>
              </w:rPr>
            </w:pPr>
            <w:r w:rsidRPr="00C24ACA">
              <w:rPr>
                <w:rFonts w:eastAsiaTheme="minorEastAsia"/>
                <w:color w:val="000000"/>
                <w:szCs w:val="21"/>
              </w:rPr>
              <w:t>成交金额</w:t>
            </w:r>
          </w:p>
        </w:tc>
        <w:tc>
          <w:tcPr>
            <w:tcW w:w="1181" w:type="dxa"/>
            <w:vAlign w:val="center"/>
          </w:tcPr>
          <w:p w:rsidR="00762C75" w:rsidRPr="00C24ACA" w:rsidRDefault="00762C75" w:rsidP="00511FD1">
            <w:pPr>
              <w:jc w:val="center"/>
              <w:rPr>
                <w:rFonts w:eastAsiaTheme="minorEastAsia"/>
                <w:color w:val="000000"/>
                <w:szCs w:val="21"/>
              </w:rPr>
            </w:pPr>
            <w:r w:rsidRPr="00C24ACA">
              <w:rPr>
                <w:rFonts w:eastAsiaTheme="minorEastAsia"/>
                <w:color w:val="000000"/>
                <w:szCs w:val="21"/>
              </w:rPr>
              <w:t>占当期</w:t>
            </w:r>
            <w:r w:rsidR="00511FD1" w:rsidRPr="00C24ACA">
              <w:rPr>
                <w:rFonts w:eastAsiaTheme="minorEastAsia"/>
                <w:color w:val="000000"/>
                <w:szCs w:val="21"/>
              </w:rPr>
              <w:t>基金</w:t>
            </w:r>
            <w:r w:rsidRPr="00C24ACA">
              <w:rPr>
                <w:rFonts w:eastAsiaTheme="minorEastAsia"/>
                <w:color w:val="000000"/>
                <w:szCs w:val="21"/>
              </w:rPr>
              <w:t>成交总额的比例</w:t>
            </w:r>
          </w:p>
        </w:tc>
      </w:tr>
      <w:tr w:rsidR="000265E6">
        <w:tc>
          <w:tcPr>
            <w:tcW w:w="709" w:type="dxa"/>
            <w:vAlign w:val="center"/>
          </w:tcPr>
          <w:p w:rsidR="000265E6" w:rsidRDefault="004D56B3">
            <w:pPr>
              <w:jc w:val="left"/>
            </w:pPr>
            <w:r>
              <w:rPr>
                <w:rFonts w:eastAsiaTheme="minorEastAsia"/>
                <w:color w:val="000000"/>
                <w:szCs w:val="21"/>
              </w:rPr>
              <w:t>渤海证券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长城国瑞</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长江证券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国信证券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199,000,000.00</w:t>
            </w:r>
          </w:p>
        </w:tc>
        <w:tc>
          <w:tcPr>
            <w:tcW w:w="1260" w:type="dxa"/>
            <w:vAlign w:val="center"/>
          </w:tcPr>
          <w:p w:rsidR="000265E6" w:rsidRDefault="004D56B3">
            <w:pPr>
              <w:jc w:val="right"/>
            </w:pPr>
            <w:r>
              <w:rPr>
                <w:rFonts w:eastAsiaTheme="minorEastAsia"/>
                <w:color w:val="000000"/>
                <w:szCs w:val="21"/>
              </w:rPr>
              <w:t>100.00%</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华创证券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7,880,907.15</w:t>
            </w:r>
          </w:p>
        </w:tc>
        <w:tc>
          <w:tcPr>
            <w:tcW w:w="1181" w:type="dxa"/>
            <w:vAlign w:val="center"/>
          </w:tcPr>
          <w:p w:rsidR="000265E6" w:rsidRDefault="004D56B3">
            <w:pPr>
              <w:jc w:val="right"/>
            </w:pPr>
            <w:r>
              <w:rPr>
                <w:rFonts w:eastAsiaTheme="minorEastAsia"/>
                <w:color w:val="000000"/>
                <w:szCs w:val="21"/>
              </w:rPr>
              <w:t>100.00%</w:t>
            </w:r>
          </w:p>
        </w:tc>
      </w:tr>
      <w:tr w:rsidR="000265E6">
        <w:tc>
          <w:tcPr>
            <w:tcW w:w="709" w:type="dxa"/>
            <w:vAlign w:val="center"/>
          </w:tcPr>
          <w:p w:rsidR="000265E6" w:rsidRDefault="004D56B3">
            <w:pPr>
              <w:jc w:val="left"/>
            </w:pPr>
            <w:r>
              <w:rPr>
                <w:rFonts w:eastAsiaTheme="minorEastAsia"/>
                <w:color w:val="000000"/>
                <w:szCs w:val="21"/>
              </w:rPr>
              <w:t>华泰证券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申万宏源</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r w:rsidR="000265E6">
        <w:tc>
          <w:tcPr>
            <w:tcW w:w="709" w:type="dxa"/>
            <w:vAlign w:val="center"/>
          </w:tcPr>
          <w:p w:rsidR="000265E6" w:rsidRDefault="004D56B3">
            <w:pPr>
              <w:jc w:val="left"/>
            </w:pPr>
            <w:r>
              <w:rPr>
                <w:rFonts w:eastAsiaTheme="minorEastAsia"/>
                <w:color w:val="000000"/>
                <w:szCs w:val="21"/>
              </w:rPr>
              <w:t>银河证券</w:t>
            </w:r>
          </w:p>
        </w:tc>
        <w:tc>
          <w:tcPr>
            <w:tcW w:w="709" w:type="dxa"/>
            <w:vAlign w:val="center"/>
          </w:tcPr>
          <w:p w:rsidR="000265E6" w:rsidRDefault="004D56B3">
            <w:pPr>
              <w:jc w:val="right"/>
            </w:pPr>
            <w:r>
              <w:rPr>
                <w:rFonts w:eastAsiaTheme="minorEastAsia"/>
                <w:color w:val="000000"/>
                <w:szCs w:val="21"/>
              </w:rPr>
              <w:t>-</w:t>
            </w:r>
          </w:p>
        </w:tc>
        <w:tc>
          <w:tcPr>
            <w:tcW w:w="1276" w:type="dxa"/>
            <w:vAlign w:val="center"/>
          </w:tcPr>
          <w:p w:rsidR="000265E6" w:rsidRDefault="004D56B3">
            <w:pPr>
              <w:jc w:val="right"/>
            </w:pPr>
            <w:r>
              <w:rPr>
                <w:rFonts w:eastAsiaTheme="minorEastAsia"/>
                <w:color w:val="000000"/>
                <w:szCs w:val="21"/>
              </w:rPr>
              <w:t>-</w:t>
            </w:r>
          </w:p>
        </w:tc>
        <w:tc>
          <w:tcPr>
            <w:tcW w:w="763" w:type="dxa"/>
            <w:vAlign w:val="center"/>
          </w:tcPr>
          <w:p w:rsidR="000265E6" w:rsidRDefault="004D56B3">
            <w:pPr>
              <w:jc w:val="right"/>
            </w:pPr>
            <w:r>
              <w:rPr>
                <w:rFonts w:eastAsiaTheme="minorEastAsia"/>
                <w:color w:val="000000"/>
                <w:szCs w:val="21"/>
              </w:rPr>
              <w:t>-</w:t>
            </w:r>
          </w:p>
        </w:tc>
        <w:tc>
          <w:tcPr>
            <w:tcW w:w="1260" w:type="dxa"/>
            <w:vAlign w:val="center"/>
          </w:tcPr>
          <w:p w:rsidR="000265E6" w:rsidRDefault="004D56B3">
            <w:pPr>
              <w:jc w:val="right"/>
            </w:pPr>
            <w:r>
              <w:rPr>
                <w:rFonts w:eastAsiaTheme="minorEastAsia"/>
                <w:color w:val="000000"/>
                <w:szCs w:val="21"/>
              </w:rPr>
              <w:t>-</w:t>
            </w:r>
          </w:p>
        </w:tc>
        <w:tc>
          <w:tcPr>
            <w:tcW w:w="724" w:type="dxa"/>
            <w:vAlign w:val="center"/>
          </w:tcPr>
          <w:p w:rsidR="000265E6" w:rsidRDefault="004D56B3">
            <w:pPr>
              <w:jc w:val="right"/>
            </w:pPr>
            <w:r>
              <w:rPr>
                <w:rFonts w:eastAsiaTheme="minorEastAsia"/>
                <w:color w:val="000000"/>
                <w:szCs w:val="21"/>
              </w:rPr>
              <w:t>-</w:t>
            </w:r>
          </w:p>
        </w:tc>
        <w:tc>
          <w:tcPr>
            <w:tcW w:w="1440" w:type="dxa"/>
            <w:vAlign w:val="center"/>
          </w:tcPr>
          <w:p w:rsidR="000265E6" w:rsidRDefault="004D56B3">
            <w:pPr>
              <w:jc w:val="right"/>
            </w:pPr>
            <w:r>
              <w:rPr>
                <w:rFonts w:eastAsiaTheme="minorEastAsia"/>
                <w:color w:val="000000"/>
                <w:szCs w:val="21"/>
              </w:rPr>
              <w:t>-</w:t>
            </w:r>
          </w:p>
        </w:tc>
        <w:tc>
          <w:tcPr>
            <w:tcW w:w="781" w:type="dxa"/>
            <w:vAlign w:val="center"/>
          </w:tcPr>
          <w:p w:rsidR="000265E6" w:rsidRDefault="004D56B3">
            <w:pPr>
              <w:jc w:val="right"/>
            </w:pPr>
            <w:r>
              <w:rPr>
                <w:rFonts w:eastAsiaTheme="minorEastAsia"/>
                <w:color w:val="000000"/>
                <w:szCs w:val="21"/>
              </w:rPr>
              <w:t>-</w:t>
            </w:r>
          </w:p>
        </w:tc>
        <w:tc>
          <w:tcPr>
            <w:tcW w:w="1181" w:type="dxa"/>
            <w:vAlign w:val="center"/>
          </w:tcPr>
          <w:p w:rsidR="000265E6" w:rsidRDefault="004D56B3">
            <w:pPr>
              <w:jc w:val="right"/>
            </w:pPr>
            <w:r>
              <w:rPr>
                <w:rFonts w:eastAsiaTheme="minorEastAsia"/>
                <w:color w:val="000000"/>
                <w:szCs w:val="21"/>
              </w:rPr>
              <w:t>-</w:t>
            </w:r>
          </w:p>
        </w:tc>
      </w:tr>
    </w:tbl>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58" w:name="_Toc352256018"/>
      <w:bookmarkStart w:id="359" w:name="_Toc352256086"/>
      <w:bookmarkStart w:id="360" w:name="_Toc352331264"/>
      <w:bookmarkStart w:id="361" w:name="_Toc390164848"/>
      <w:bookmarkStart w:id="362" w:name="_Toc48660327"/>
      <w:r w:rsidRPr="0087359D">
        <w:rPr>
          <w:rFonts w:ascii="宋体" w:hAnsi="宋体"/>
          <w:kern w:val="0"/>
          <w:sz w:val="21"/>
          <w:szCs w:val="21"/>
        </w:rPr>
        <w:t>10.8</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其他重大事件</w:t>
      </w:r>
      <w:bookmarkEnd w:id="358"/>
      <w:bookmarkEnd w:id="359"/>
      <w:bookmarkEnd w:id="360"/>
      <w:bookmarkEnd w:id="361"/>
      <w:bookmarkEnd w:id="36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8A5A5D" w:rsidRPr="00C24ACA" w:rsidTr="004A4847">
        <w:tc>
          <w:tcPr>
            <w:tcW w:w="7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序号</w:t>
            </w:r>
          </w:p>
        </w:tc>
        <w:tc>
          <w:tcPr>
            <w:tcW w:w="43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公告事项</w:t>
            </w:r>
          </w:p>
        </w:tc>
        <w:tc>
          <w:tcPr>
            <w:tcW w:w="252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法定披露方式</w:t>
            </w:r>
          </w:p>
        </w:tc>
        <w:tc>
          <w:tcPr>
            <w:tcW w:w="1440" w:type="dxa"/>
            <w:vAlign w:val="center"/>
          </w:tcPr>
          <w:p w:rsidR="008A5A5D" w:rsidRPr="00C24ACA" w:rsidRDefault="008A5A5D" w:rsidP="004A4847">
            <w:pPr>
              <w:spacing w:line="360" w:lineRule="auto"/>
              <w:jc w:val="center"/>
              <w:rPr>
                <w:rFonts w:eastAsiaTheme="minorEastAsia"/>
                <w:color w:val="000000"/>
                <w:szCs w:val="21"/>
              </w:rPr>
            </w:pPr>
            <w:r w:rsidRPr="00C24ACA">
              <w:rPr>
                <w:rFonts w:eastAsiaTheme="minorEastAsia"/>
                <w:color w:val="000000"/>
                <w:szCs w:val="21"/>
              </w:rPr>
              <w:t>法定披露日期</w:t>
            </w:r>
          </w:p>
        </w:tc>
      </w:tr>
      <w:tr w:rsidR="000265E6">
        <w:tc>
          <w:tcPr>
            <w:tcW w:w="720" w:type="dxa"/>
            <w:vAlign w:val="center"/>
          </w:tcPr>
          <w:p w:rsidR="000265E6" w:rsidRDefault="004D56B3">
            <w:pPr>
              <w:jc w:val="center"/>
            </w:pPr>
            <w:r>
              <w:rPr>
                <w:rFonts w:eastAsiaTheme="minorEastAsia"/>
                <w:color w:val="000000"/>
                <w:szCs w:val="21"/>
              </w:rPr>
              <w:t>1</w:t>
            </w:r>
          </w:p>
        </w:tc>
        <w:tc>
          <w:tcPr>
            <w:tcW w:w="4320" w:type="dxa"/>
            <w:vAlign w:val="center"/>
          </w:tcPr>
          <w:p w:rsidR="000265E6" w:rsidRDefault="004D56B3">
            <w:pPr>
              <w:jc w:val="left"/>
            </w:pPr>
            <w:r>
              <w:rPr>
                <w:rFonts w:eastAsiaTheme="minorEastAsia"/>
                <w:color w:val="000000"/>
                <w:szCs w:val="21"/>
              </w:rPr>
              <w:t>易方达中证浙江新动能交易型开放式指数证券投资基金联接基金基金合同生效公告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2020-04-25</w:t>
            </w:r>
          </w:p>
        </w:tc>
      </w:tr>
      <w:tr w:rsidR="000265E6">
        <w:tc>
          <w:tcPr>
            <w:tcW w:w="720" w:type="dxa"/>
            <w:vAlign w:val="center"/>
          </w:tcPr>
          <w:p w:rsidR="000265E6" w:rsidRDefault="004D56B3">
            <w:pPr>
              <w:jc w:val="center"/>
            </w:pPr>
            <w:r>
              <w:rPr>
                <w:rFonts w:eastAsiaTheme="minorEastAsia"/>
                <w:color w:val="000000"/>
                <w:szCs w:val="21"/>
              </w:rPr>
              <w:t>2</w:t>
            </w:r>
          </w:p>
        </w:tc>
        <w:tc>
          <w:tcPr>
            <w:tcW w:w="4320" w:type="dxa"/>
            <w:vAlign w:val="center"/>
          </w:tcPr>
          <w:p w:rsidR="000265E6" w:rsidRDefault="004D56B3">
            <w:pPr>
              <w:jc w:val="left"/>
            </w:pPr>
            <w:r>
              <w:rPr>
                <w:rFonts w:eastAsiaTheme="minorEastAsia"/>
                <w:color w:val="000000"/>
                <w:szCs w:val="21"/>
              </w:rPr>
              <w:t>易方达中证浙江新动能交易型开放式指数证券投资基金联接基金基金经理变更公告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2020-04-28</w:t>
            </w:r>
          </w:p>
        </w:tc>
      </w:tr>
      <w:tr w:rsidR="000265E6">
        <w:tc>
          <w:tcPr>
            <w:tcW w:w="720" w:type="dxa"/>
            <w:vAlign w:val="center"/>
          </w:tcPr>
          <w:p w:rsidR="000265E6" w:rsidRDefault="004D56B3">
            <w:pPr>
              <w:jc w:val="center"/>
            </w:pPr>
            <w:r>
              <w:rPr>
                <w:rFonts w:eastAsiaTheme="minorEastAsia"/>
                <w:color w:val="000000"/>
                <w:szCs w:val="21"/>
              </w:rPr>
              <w:t>3</w:t>
            </w:r>
          </w:p>
        </w:tc>
        <w:tc>
          <w:tcPr>
            <w:tcW w:w="4320" w:type="dxa"/>
            <w:vAlign w:val="center"/>
          </w:tcPr>
          <w:p w:rsidR="000265E6" w:rsidRDefault="004D56B3">
            <w:pPr>
              <w:jc w:val="left"/>
            </w:pPr>
            <w:r>
              <w:rPr>
                <w:rFonts w:eastAsiaTheme="minorEastAsia"/>
                <w:color w:val="000000"/>
                <w:szCs w:val="21"/>
              </w:rPr>
              <w:t>易方达基金管理有限公司关于易方达中证浙江新动能交易型开放式指数证券投资基金联接基金根据《公开募集证券投资基金信息披露管理办法》修订基金合同、托管协议部分条款的公告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2020-05-15</w:t>
            </w:r>
          </w:p>
        </w:tc>
      </w:tr>
      <w:tr w:rsidR="000265E6">
        <w:tc>
          <w:tcPr>
            <w:tcW w:w="720" w:type="dxa"/>
            <w:vAlign w:val="center"/>
          </w:tcPr>
          <w:p w:rsidR="000265E6" w:rsidRDefault="004D56B3">
            <w:pPr>
              <w:jc w:val="center"/>
            </w:pPr>
            <w:r>
              <w:rPr>
                <w:rFonts w:eastAsiaTheme="minorEastAsia"/>
                <w:color w:val="000000"/>
                <w:szCs w:val="21"/>
              </w:rPr>
              <w:t>4</w:t>
            </w:r>
          </w:p>
        </w:tc>
        <w:tc>
          <w:tcPr>
            <w:tcW w:w="4320" w:type="dxa"/>
            <w:vAlign w:val="center"/>
          </w:tcPr>
          <w:p w:rsidR="000265E6" w:rsidRDefault="004D56B3">
            <w:pPr>
              <w:jc w:val="left"/>
            </w:pPr>
            <w:r>
              <w:rPr>
                <w:rFonts w:eastAsiaTheme="minorEastAsia"/>
                <w:color w:val="000000"/>
                <w:szCs w:val="21"/>
              </w:rPr>
              <w:t>易方达中证浙江新动能交易型开放式指数证券投资基金联接基金开放日常申购、赎回和定期定额投资业务的公告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2020-05-22</w:t>
            </w:r>
          </w:p>
        </w:tc>
      </w:tr>
      <w:tr w:rsidR="000265E6">
        <w:tc>
          <w:tcPr>
            <w:tcW w:w="720" w:type="dxa"/>
            <w:vAlign w:val="center"/>
          </w:tcPr>
          <w:p w:rsidR="000265E6" w:rsidRDefault="004D56B3">
            <w:pPr>
              <w:jc w:val="center"/>
            </w:pPr>
            <w:r>
              <w:rPr>
                <w:rFonts w:eastAsiaTheme="minorEastAsia"/>
                <w:color w:val="000000"/>
                <w:szCs w:val="21"/>
              </w:rPr>
              <w:t>5</w:t>
            </w:r>
          </w:p>
        </w:tc>
        <w:tc>
          <w:tcPr>
            <w:tcW w:w="4320" w:type="dxa"/>
            <w:vAlign w:val="center"/>
          </w:tcPr>
          <w:p w:rsidR="000265E6" w:rsidRDefault="004D56B3">
            <w:pPr>
              <w:jc w:val="left"/>
            </w:pPr>
            <w:r>
              <w:rPr>
                <w:rFonts w:eastAsiaTheme="minorEastAsia"/>
                <w:color w:val="000000"/>
                <w:szCs w:val="21"/>
              </w:rPr>
              <w:t>易方达基金管理有限公司高级管理人员变更公告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2020-06-22</w:t>
            </w:r>
          </w:p>
        </w:tc>
      </w:tr>
      <w:tr w:rsidR="000265E6">
        <w:tc>
          <w:tcPr>
            <w:tcW w:w="720" w:type="dxa"/>
            <w:vAlign w:val="center"/>
          </w:tcPr>
          <w:p w:rsidR="000265E6" w:rsidRDefault="004D56B3">
            <w:pPr>
              <w:jc w:val="center"/>
            </w:pPr>
            <w:r>
              <w:rPr>
                <w:rFonts w:eastAsiaTheme="minorEastAsia"/>
                <w:color w:val="000000"/>
                <w:szCs w:val="21"/>
              </w:rPr>
              <w:t>6</w:t>
            </w:r>
          </w:p>
        </w:tc>
        <w:tc>
          <w:tcPr>
            <w:tcW w:w="4320" w:type="dxa"/>
            <w:vAlign w:val="center"/>
          </w:tcPr>
          <w:p w:rsidR="000265E6" w:rsidRDefault="004D56B3">
            <w:pPr>
              <w:jc w:val="left"/>
            </w:pPr>
            <w:r>
              <w:rPr>
                <w:rFonts w:eastAsiaTheme="minorEastAsia"/>
                <w:color w:val="000000"/>
                <w:szCs w:val="21"/>
              </w:rPr>
              <w:t>易方达基金管理有限公司旗下部分开放式基金增加天天基金为销售机构的公告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2020-06-23</w:t>
            </w:r>
          </w:p>
        </w:tc>
      </w:tr>
      <w:tr w:rsidR="000265E6">
        <w:tc>
          <w:tcPr>
            <w:tcW w:w="720" w:type="dxa"/>
            <w:vAlign w:val="center"/>
          </w:tcPr>
          <w:p w:rsidR="000265E6" w:rsidRDefault="004D56B3">
            <w:pPr>
              <w:jc w:val="center"/>
            </w:pPr>
            <w:r>
              <w:rPr>
                <w:rFonts w:eastAsiaTheme="minorEastAsia"/>
                <w:color w:val="000000"/>
                <w:szCs w:val="21"/>
              </w:rPr>
              <w:t>7</w:t>
            </w:r>
          </w:p>
        </w:tc>
        <w:tc>
          <w:tcPr>
            <w:tcW w:w="4320" w:type="dxa"/>
            <w:vAlign w:val="center"/>
          </w:tcPr>
          <w:p w:rsidR="000265E6" w:rsidRDefault="004D56B3">
            <w:pPr>
              <w:jc w:val="left"/>
            </w:pPr>
            <w:r>
              <w:rPr>
                <w:rFonts w:eastAsiaTheme="minorEastAsia"/>
                <w:color w:val="000000"/>
                <w:szCs w:val="21"/>
              </w:rPr>
              <w:t>易方达中证浙江新动能交易型开放式指数证券投资基金联接基金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1</w:t>
            </w:r>
            <w:r>
              <w:rPr>
                <w:rFonts w:eastAsiaTheme="minorEastAsia"/>
                <w:color w:val="000000"/>
                <w:szCs w:val="21"/>
              </w:rPr>
              <w:t>日暂停申购、赎回、定期定额投资业务的公告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2020-06-24</w:t>
            </w:r>
          </w:p>
        </w:tc>
      </w:tr>
      <w:tr w:rsidR="000265E6">
        <w:tc>
          <w:tcPr>
            <w:tcW w:w="720" w:type="dxa"/>
            <w:vAlign w:val="center"/>
          </w:tcPr>
          <w:p w:rsidR="000265E6" w:rsidRDefault="004D56B3">
            <w:pPr>
              <w:jc w:val="center"/>
            </w:pPr>
            <w:r>
              <w:rPr>
                <w:rFonts w:eastAsiaTheme="minorEastAsia"/>
                <w:color w:val="000000"/>
                <w:szCs w:val="21"/>
              </w:rPr>
              <w:t>8</w:t>
            </w:r>
          </w:p>
        </w:tc>
        <w:tc>
          <w:tcPr>
            <w:tcW w:w="4320" w:type="dxa"/>
            <w:vAlign w:val="center"/>
          </w:tcPr>
          <w:p w:rsidR="000265E6" w:rsidRDefault="004D56B3">
            <w:pPr>
              <w:jc w:val="left"/>
            </w:pPr>
            <w:r>
              <w:rPr>
                <w:rFonts w:eastAsiaTheme="minorEastAsia"/>
                <w:color w:val="000000"/>
                <w:szCs w:val="21"/>
              </w:rPr>
              <w:t>易方达中证浙江新动能交易型开放式指数证券投资基金联接基金</w:t>
            </w:r>
            <w:r>
              <w:rPr>
                <w:rFonts w:eastAsiaTheme="minorEastAsia"/>
                <w:color w:val="000000"/>
                <w:szCs w:val="21"/>
              </w:rPr>
              <w:t>2020</w:t>
            </w:r>
            <w:r>
              <w:rPr>
                <w:rFonts w:eastAsiaTheme="minorEastAsia"/>
                <w:color w:val="000000"/>
                <w:szCs w:val="21"/>
              </w:rPr>
              <w:t>年</w:t>
            </w:r>
            <w:r>
              <w:rPr>
                <w:rFonts w:eastAsiaTheme="minorEastAsia"/>
                <w:color w:val="000000"/>
                <w:szCs w:val="21"/>
              </w:rPr>
              <w:t>7</w:t>
            </w:r>
            <w:r>
              <w:rPr>
                <w:rFonts w:eastAsiaTheme="minorEastAsia"/>
                <w:color w:val="000000"/>
                <w:szCs w:val="21"/>
              </w:rPr>
              <w:t>月</w:t>
            </w:r>
            <w:r>
              <w:rPr>
                <w:rFonts w:eastAsiaTheme="minorEastAsia"/>
                <w:color w:val="000000"/>
                <w:szCs w:val="21"/>
              </w:rPr>
              <w:t>3</w:t>
            </w:r>
            <w:r>
              <w:rPr>
                <w:rFonts w:eastAsiaTheme="minorEastAsia"/>
                <w:color w:val="000000"/>
                <w:szCs w:val="21"/>
              </w:rPr>
              <w:t>日暂停申购、赎回、定期定额投资业务的公告</w:t>
            </w:r>
          </w:p>
        </w:tc>
        <w:tc>
          <w:tcPr>
            <w:tcW w:w="2520" w:type="dxa"/>
            <w:vAlign w:val="center"/>
          </w:tcPr>
          <w:p w:rsidR="000265E6" w:rsidRDefault="004D56B3">
            <w:pPr>
              <w:jc w:val="left"/>
            </w:pPr>
            <w:r>
              <w:rPr>
                <w:rFonts w:eastAsiaTheme="minorEastAsia"/>
                <w:color w:val="000000"/>
                <w:szCs w:val="21"/>
              </w:rPr>
              <w:t>中国证券报、基金管理人网站及中国证监会基金电子披露网站</w:t>
            </w:r>
          </w:p>
        </w:tc>
        <w:tc>
          <w:tcPr>
            <w:tcW w:w="1440" w:type="dxa"/>
            <w:vAlign w:val="center"/>
          </w:tcPr>
          <w:p w:rsidR="000265E6" w:rsidRDefault="004D56B3">
            <w:pPr>
              <w:jc w:val="center"/>
            </w:pPr>
            <w:r>
              <w:rPr>
                <w:rFonts w:eastAsiaTheme="minorEastAsia"/>
                <w:color w:val="000000"/>
                <w:szCs w:val="21"/>
              </w:rPr>
              <w:t>2020-06-30</w:t>
            </w:r>
          </w:p>
        </w:tc>
      </w:tr>
    </w:tbl>
    <w:p w:rsidR="008A5A5D" w:rsidRPr="00A432E9" w:rsidRDefault="008A5A5D" w:rsidP="006C64F3">
      <w:pPr>
        <w:pStyle w:val="20"/>
        <w:tabs>
          <w:tab w:val="num" w:pos="425"/>
        </w:tabs>
        <w:spacing w:beforeLines="100" w:before="312" w:afterLines="100" w:after="312"/>
        <w:ind w:left="425" w:hanging="425"/>
        <w:jc w:val="center"/>
        <w:rPr>
          <w:rFonts w:ascii="Times New Roman" w:hAnsi="Times New Roman"/>
          <w:bCs w:val="0"/>
          <w:color w:val="000000"/>
          <w:sz w:val="21"/>
          <w:szCs w:val="21"/>
        </w:rPr>
      </w:pPr>
      <w:bookmarkStart w:id="363" w:name="_Toc225500055"/>
      <w:bookmarkStart w:id="364" w:name="_Toc352256020"/>
      <w:bookmarkStart w:id="365" w:name="_Toc352256088"/>
      <w:bookmarkStart w:id="366" w:name="_Toc352331266"/>
      <w:bookmarkStart w:id="367" w:name="_Toc390164850"/>
      <w:bookmarkStart w:id="368" w:name="_Toc48660328"/>
      <w:r w:rsidRPr="000C6CCD">
        <w:rPr>
          <w:rFonts w:ascii="宋体" w:hAnsi="宋体"/>
          <w:bCs w:val="0"/>
          <w:color w:val="000000"/>
          <w:sz w:val="21"/>
          <w:szCs w:val="21"/>
        </w:rPr>
        <w:t>11</w:t>
      </w:r>
      <w:r w:rsidR="00643DBD">
        <w:rPr>
          <w:rFonts w:ascii="Times New Roman" w:hAnsi="Times New Roman"/>
          <w:bCs w:val="0"/>
          <w:color w:val="000000"/>
          <w:sz w:val="21"/>
          <w:szCs w:val="21"/>
        </w:rPr>
        <w:t xml:space="preserve">     </w:t>
      </w:r>
      <w:r w:rsidRPr="00A432E9">
        <w:rPr>
          <w:rFonts w:ascii="Times New Roman" w:hAnsi="Times New Roman"/>
          <w:bCs w:val="0"/>
          <w:color w:val="000000"/>
          <w:sz w:val="21"/>
          <w:szCs w:val="21"/>
        </w:rPr>
        <w:t>备查文件目录</w:t>
      </w:r>
      <w:bookmarkEnd w:id="363"/>
      <w:bookmarkEnd w:id="364"/>
      <w:bookmarkEnd w:id="365"/>
      <w:bookmarkEnd w:id="366"/>
      <w:bookmarkEnd w:id="367"/>
      <w:bookmarkEnd w:id="368"/>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69" w:name="_Toc352256021"/>
      <w:bookmarkStart w:id="370" w:name="_Toc352256089"/>
      <w:bookmarkStart w:id="371" w:name="_Toc352331267"/>
      <w:bookmarkStart w:id="372" w:name="_Toc390164851"/>
      <w:bookmarkStart w:id="373" w:name="_Toc48660329"/>
      <w:r w:rsidRPr="0087359D">
        <w:rPr>
          <w:rFonts w:ascii="宋体" w:hAnsi="宋体"/>
          <w:kern w:val="0"/>
          <w:sz w:val="21"/>
          <w:szCs w:val="21"/>
        </w:rPr>
        <w:t>11.1</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备查文件目录</w:t>
      </w:r>
      <w:bookmarkEnd w:id="369"/>
      <w:bookmarkEnd w:id="370"/>
      <w:bookmarkEnd w:id="371"/>
      <w:bookmarkEnd w:id="372"/>
      <w:bookmarkEnd w:id="373"/>
    </w:p>
    <w:p w:rsidR="000265E6" w:rsidRDefault="004D56B3">
      <w:pPr>
        <w:widowControl/>
        <w:spacing w:line="360" w:lineRule="auto"/>
        <w:ind w:firstLineChars="200" w:firstLine="420"/>
        <w:rPr>
          <w:rFonts w:eastAsiaTheme="minorEastAsia"/>
          <w:kern w:val="0"/>
          <w:szCs w:val="21"/>
        </w:rPr>
      </w:pPr>
      <w:r>
        <w:rPr>
          <w:rFonts w:eastAsiaTheme="minorEastAsia"/>
          <w:kern w:val="0"/>
          <w:szCs w:val="21"/>
        </w:rPr>
        <w:t>1.</w:t>
      </w:r>
      <w:r>
        <w:rPr>
          <w:rFonts w:eastAsiaTheme="minorEastAsia"/>
          <w:kern w:val="0"/>
          <w:szCs w:val="21"/>
        </w:rPr>
        <w:t>中国证监会准予易方达中证浙江新动能交易型开放式指数证券投资基金联接基金注册的文件；</w:t>
      </w:r>
    </w:p>
    <w:p w:rsidR="000265E6" w:rsidRDefault="004D56B3">
      <w:pPr>
        <w:widowControl/>
        <w:spacing w:line="360" w:lineRule="auto"/>
        <w:ind w:firstLineChars="200" w:firstLine="420"/>
        <w:rPr>
          <w:rFonts w:eastAsiaTheme="minorEastAsia"/>
          <w:kern w:val="0"/>
          <w:szCs w:val="21"/>
        </w:rPr>
      </w:pPr>
      <w:r>
        <w:rPr>
          <w:rFonts w:eastAsiaTheme="minorEastAsia"/>
          <w:kern w:val="0"/>
          <w:szCs w:val="21"/>
        </w:rPr>
        <w:t>2.</w:t>
      </w:r>
      <w:r>
        <w:rPr>
          <w:rFonts w:eastAsiaTheme="minorEastAsia"/>
          <w:kern w:val="0"/>
          <w:szCs w:val="21"/>
        </w:rPr>
        <w:t>《易方达中证浙江新动能交易型开放式指数证券投资基金联接基金基金合同》；</w:t>
      </w:r>
      <w:r>
        <w:rPr>
          <w:rFonts w:eastAsiaTheme="minorEastAsia"/>
          <w:kern w:val="0"/>
          <w:szCs w:val="21"/>
        </w:rPr>
        <w:t xml:space="preserve"> </w:t>
      </w:r>
    </w:p>
    <w:p w:rsidR="000265E6" w:rsidRDefault="004D56B3">
      <w:pPr>
        <w:widowControl/>
        <w:spacing w:line="360" w:lineRule="auto"/>
        <w:ind w:firstLineChars="200" w:firstLine="420"/>
        <w:rPr>
          <w:rFonts w:eastAsiaTheme="minorEastAsia"/>
          <w:kern w:val="0"/>
          <w:szCs w:val="21"/>
        </w:rPr>
      </w:pPr>
      <w:r>
        <w:rPr>
          <w:rFonts w:eastAsiaTheme="minorEastAsia"/>
          <w:kern w:val="0"/>
          <w:szCs w:val="21"/>
        </w:rPr>
        <w:t>3.</w:t>
      </w:r>
      <w:r>
        <w:rPr>
          <w:rFonts w:eastAsiaTheme="minorEastAsia"/>
          <w:kern w:val="0"/>
          <w:szCs w:val="21"/>
        </w:rPr>
        <w:t>《易方达中证浙江新动能交易型开放式指数证券投资基金联接基金托管协议》；</w:t>
      </w:r>
    </w:p>
    <w:p w:rsidR="000265E6" w:rsidRDefault="004D56B3">
      <w:pPr>
        <w:widowControl/>
        <w:spacing w:line="360" w:lineRule="auto"/>
        <w:ind w:firstLineChars="200" w:firstLine="420"/>
        <w:rPr>
          <w:rFonts w:eastAsiaTheme="minorEastAsia"/>
          <w:kern w:val="0"/>
          <w:szCs w:val="21"/>
        </w:rPr>
      </w:pPr>
      <w:r>
        <w:rPr>
          <w:rFonts w:eastAsiaTheme="minorEastAsia"/>
          <w:kern w:val="0"/>
          <w:szCs w:val="21"/>
        </w:rPr>
        <w:t>4.</w:t>
      </w:r>
      <w:r>
        <w:rPr>
          <w:rFonts w:eastAsiaTheme="minorEastAsia"/>
          <w:kern w:val="0"/>
          <w:szCs w:val="21"/>
        </w:rPr>
        <w:t>《易方达基金管理有限公司开放式基金业务规则》；</w:t>
      </w:r>
    </w:p>
    <w:p w:rsidR="008A5A5D" w:rsidRPr="00C24ACA" w:rsidRDefault="008A5A5D" w:rsidP="008134C7">
      <w:pPr>
        <w:widowControl/>
        <w:spacing w:line="360" w:lineRule="auto"/>
        <w:ind w:firstLineChars="200" w:firstLine="420"/>
        <w:rPr>
          <w:rFonts w:eastAsiaTheme="minorEastAsia"/>
          <w:kern w:val="0"/>
          <w:szCs w:val="21"/>
        </w:rPr>
      </w:pPr>
      <w:r w:rsidRPr="00C24ACA">
        <w:rPr>
          <w:rFonts w:eastAsiaTheme="minorEastAsia"/>
          <w:kern w:val="0"/>
          <w:szCs w:val="21"/>
        </w:rPr>
        <w:t>5.</w:t>
      </w:r>
      <w:r w:rsidRPr="00C24ACA">
        <w:rPr>
          <w:rFonts w:eastAsiaTheme="minorEastAsia"/>
          <w:kern w:val="0"/>
          <w:szCs w:val="21"/>
        </w:rPr>
        <w:t>基金管理人业务资格批件和营业执照。</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4" w:name="_Toc352256022"/>
      <w:bookmarkStart w:id="375" w:name="_Toc352256090"/>
      <w:bookmarkStart w:id="376" w:name="_Toc352331268"/>
      <w:bookmarkStart w:id="377" w:name="_Toc390164852"/>
      <w:bookmarkStart w:id="378" w:name="_Toc48660330"/>
      <w:r w:rsidRPr="0087359D">
        <w:rPr>
          <w:rFonts w:ascii="宋体" w:hAnsi="宋体"/>
          <w:kern w:val="0"/>
          <w:sz w:val="21"/>
          <w:szCs w:val="21"/>
        </w:rPr>
        <w:t>11.2</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存放地点</w:t>
      </w:r>
      <w:bookmarkEnd w:id="374"/>
      <w:bookmarkEnd w:id="375"/>
      <w:bookmarkEnd w:id="376"/>
      <w:bookmarkEnd w:id="377"/>
      <w:bookmarkEnd w:id="378"/>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广州市天河区珠江新城珠江东路</w:t>
      </w:r>
      <w:r w:rsidRPr="00C24ACA">
        <w:rPr>
          <w:rFonts w:eastAsiaTheme="minorEastAsia"/>
          <w:kern w:val="0"/>
          <w:szCs w:val="21"/>
        </w:rPr>
        <w:t>30</w:t>
      </w:r>
      <w:r w:rsidRPr="00C24ACA">
        <w:rPr>
          <w:rFonts w:eastAsiaTheme="minorEastAsia"/>
          <w:kern w:val="0"/>
          <w:szCs w:val="21"/>
        </w:rPr>
        <w:t>号广州银行大厦</w:t>
      </w:r>
      <w:r w:rsidRPr="00C24ACA">
        <w:rPr>
          <w:rFonts w:eastAsiaTheme="minorEastAsia"/>
          <w:kern w:val="0"/>
          <w:szCs w:val="21"/>
        </w:rPr>
        <w:t>40-43</w:t>
      </w:r>
      <w:r w:rsidRPr="00C24ACA">
        <w:rPr>
          <w:rFonts w:eastAsiaTheme="minorEastAsia"/>
          <w:kern w:val="0"/>
          <w:szCs w:val="21"/>
        </w:rPr>
        <w:t>楼。</w:t>
      </w:r>
    </w:p>
    <w:p w:rsidR="008A5A5D" w:rsidRPr="00C24ACA" w:rsidRDefault="008A5A5D" w:rsidP="006C64F3">
      <w:pPr>
        <w:pStyle w:val="20"/>
        <w:spacing w:beforeLines="100" w:before="312" w:after="0"/>
        <w:rPr>
          <w:rFonts w:ascii="Times New Roman" w:eastAsiaTheme="minorEastAsia" w:hAnsi="Times New Roman"/>
          <w:kern w:val="0"/>
          <w:sz w:val="21"/>
          <w:szCs w:val="21"/>
        </w:rPr>
      </w:pPr>
      <w:bookmarkStart w:id="379" w:name="_Toc352256023"/>
      <w:bookmarkStart w:id="380" w:name="_Toc352256091"/>
      <w:bookmarkStart w:id="381" w:name="_Toc352331269"/>
      <w:bookmarkStart w:id="382" w:name="_Toc390164853"/>
      <w:bookmarkStart w:id="383" w:name="_Toc48660331"/>
      <w:r w:rsidRPr="0087359D">
        <w:rPr>
          <w:rFonts w:ascii="宋体" w:hAnsi="宋体"/>
          <w:kern w:val="0"/>
          <w:sz w:val="21"/>
          <w:szCs w:val="21"/>
        </w:rPr>
        <w:t>11.3</w:t>
      </w:r>
      <w:r w:rsidR="00982AAE" w:rsidRPr="009A2157">
        <w:rPr>
          <w:rFonts w:ascii="Times New Roman" w:eastAsiaTheme="minorEastAsia" w:hAnsi="Times New Roman"/>
          <w:kern w:val="0"/>
          <w:sz w:val="21"/>
          <w:szCs w:val="21"/>
        </w:rPr>
        <w:t xml:space="preserve">   </w:t>
      </w:r>
      <w:r w:rsidRPr="00C24ACA">
        <w:rPr>
          <w:rFonts w:ascii="Times New Roman" w:eastAsiaTheme="minorEastAsia" w:hAnsi="Times New Roman"/>
          <w:kern w:val="0"/>
          <w:sz w:val="21"/>
          <w:szCs w:val="21"/>
        </w:rPr>
        <w:t>查阅方式</w:t>
      </w:r>
      <w:bookmarkEnd w:id="379"/>
      <w:bookmarkEnd w:id="380"/>
      <w:bookmarkEnd w:id="381"/>
      <w:bookmarkEnd w:id="382"/>
      <w:bookmarkEnd w:id="383"/>
    </w:p>
    <w:p w:rsidR="008A5A5D" w:rsidRPr="00C24ACA" w:rsidRDefault="008A5A5D" w:rsidP="008707EB">
      <w:pPr>
        <w:tabs>
          <w:tab w:val="left" w:pos="426"/>
        </w:tabs>
        <w:spacing w:line="360" w:lineRule="auto"/>
        <w:ind w:firstLineChars="200" w:firstLine="420"/>
        <w:rPr>
          <w:rFonts w:eastAsiaTheme="minorEastAsia"/>
          <w:kern w:val="0"/>
          <w:szCs w:val="21"/>
        </w:rPr>
      </w:pPr>
      <w:r w:rsidRPr="00C24ACA">
        <w:rPr>
          <w:rFonts w:eastAsiaTheme="minorEastAsia"/>
          <w:kern w:val="0"/>
          <w:szCs w:val="21"/>
        </w:rPr>
        <w:t>投资者可在营业时间免费查阅，也可按工本费购买复印件。</w:t>
      </w: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8134C7">
      <w:pPr>
        <w:ind w:firstLineChars="150" w:firstLine="315"/>
        <w:rPr>
          <w:rFonts w:eastAsiaTheme="minorEastAsia"/>
          <w:bCs/>
          <w:color w:val="000000"/>
          <w:szCs w:val="21"/>
        </w:rPr>
      </w:pPr>
    </w:p>
    <w:p w:rsidR="008A5A5D" w:rsidRPr="00C24ACA" w:rsidRDefault="008A5A5D" w:rsidP="002116B9">
      <w:pPr>
        <w:spacing w:line="360" w:lineRule="auto"/>
        <w:ind w:left="840"/>
        <w:jc w:val="right"/>
        <w:rPr>
          <w:rFonts w:eastAsiaTheme="minorEastAsia"/>
          <w:b/>
          <w:bCs/>
          <w:szCs w:val="21"/>
        </w:rPr>
      </w:pPr>
      <w:r w:rsidRPr="00C24ACA">
        <w:rPr>
          <w:rFonts w:eastAsiaTheme="minorEastAsia"/>
          <w:b/>
          <w:bCs/>
          <w:szCs w:val="21"/>
        </w:rPr>
        <w:t>易方达基金管理有限公司</w:t>
      </w:r>
    </w:p>
    <w:p w:rsidR="008A5A5D" w:rsidRPr="00C24ACA" w:rsidRDefault="00025106" w:rsidP="002116B9">
      <w:pPr>
        <w:spacing w:line="360" w:lineRule="auto"/>
        <w:ind w:left="840"/>
        <w:jc w:val="right"/>
        <w:rPr>
          <w:rFonts w:eastAsiaTheme="minorEastAsia"/>
          <w:b/>
          <w:bCs/>
          <w:szCs w:val="21"/>
        </w:rPr>
      </w:pPr>
      <w:r w:rsidRPr="00C24ACA">
        <w:rPr>
          <w:rFonts w:eastAsiaTheme="minorEastAsia"/>
          <w:b/>
          <w:bCs/>
          <w:szCs w:val="21"/>
        </w:rPr>
        <w:t>二〇二〇年八月二十八日</w:t>
      </w:r>
      <w:bookmarkEnd w:id="0"/>
    </w:p>
    <w:sectPr w:rsidR="008A5A5D" w:rsidRPr="00C24ACA" w:rsidSect="00937AC9">
      <w:footerReference w:type="even"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D70" w:rsidRDefault="00992D70">
      <w:r>
        <w:separator/>
      </w:r>
    </w:p>
  </w:endnote>
  <w:endnote w:type="continuationSeparator" w:id="0">
    <w:p w:rsidR="00992D70" w:rsidRDefault="0099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FF5BA7" w:rsidRDefault="00DC4F67" w:rsidP="008134C7">
    <w:pPr>
      <w:pStyle w:val="a7"/>
      <w:ind w:right="360"/>
      <w:jc w:val="center"/>
      <w:rPr>
        <w:sz w:val="21"/>
        <w:szCs w:val="21"/>
      </w:rPr>
    </w:pPr>
    <w:r w:rsidRPr="00FF5BA7">
      <w:rPr>
        <w:rFonts w:hint="eastAsia"/>
        <w:kern w:val="0"/>
        <w:sz w:val="21"/>
        <w:szCs w:val="21"/>
      </w:rPr>
      <w:t>第</w:t>
    </w:r>
    <w:r w:rsidRPr="00FF5BA7">
      <w:rPr>
        <w:kern w:val="0"/>
        <w:sz w:val="21"/>
        <w:szCs w:val="21"/>
      </w:rPr>
      <w:fldChar w:fldCharType="begin"/>
    </w:r>
    <w:r w:rsidRPr="00FF5BA7">
      <w:rPr>
        <w:kern w:val="0"/>
        <w:sz w:val="21"/>
        <w:szCs w:val="21"/>
      </w:rPr>
      <w:instrText xml:space="preserve"> PAGE </w:instrText>
    </w:r>
    <w:r w:rsidRPr="00FF5BA7">
      <w:rPr>
        <w:kern w:val="0"/>
        <w:sz w:val="21"/>
        <w:szCs w:val="21"/>
      </w:rPr>
      <w:fldChar w:fldCharType="separate"/>
    </w:r>
    <w:r w:rsidR="009F1FEB">
      <w:rPr>
        <w:noProof/>
        <w:kern w:val="0"/>
        <w:sz w:val="21"/>
        <w:szCs w:val="21"/>
      </w:rPr>
      <w:t>52</w:t>
    </w:r>
    <w:r w:rsidRPr="00FF5BA7">
      <w:rPr>
        <w:kern w:val="0"/>
        <w:sz w:val="21"/>
        <w:szCs w:val="21"/>
      </w:rPr>
      <w:fldChar w:fldCharType="end"/>
    </w:r>
    <w:r w:rsidRPr="00FF5BA7">
      <w:rPr>
        <w:rFonts w:hint="eastAsia"/>
        <w:kern w:val="0"/>
        <w:sz w:val="21"/>
        <w:szCs w:val="21"/>
      </w:rPr>
      <w:t>页，共</w:t>
    </w:r>
    <w:r w:rsidRPr="00FF5BA7">
      <w:rPr>
        <w:kern w:val="0"/>
        <w:sz w:val="21"/>
        <w:szCs w:val="21"/>
      </w:rPr>
      <w:fldChar w:fldCharType="begin"/>
    </w:r>
    <w:r w:rsidRPr="00FF5BA7">
      <w:rPr>
        <w:kern w:val="0"/>
        <w:sz w:val="21"/>
        <w:szCs w:val="21"/>
      </w:rPr>
      <w:instrText xml:space="preserve"> NUMPAGES </w:instrText>
    </w:r>
    <w:r w:rsidRPr="00FF5BA7">
      <w:rPr>
        <w:kern w:val="0"/>
        <w:sz w:val="21"/>
        <w:szCs w:val="21"/>
      </w:rPr>
      <w:fldChar w:fldCharType="separate"/>
    </w:r>
    <w:r w:rsidR="009F1FEB">
      <w:rPr>
        <w:noProof/>
        <w:kern w:val="0"/>
        <w:sz w:val="21"/>
        <w:szCs w:val="21"/>
      </w:rPr>
      <w:t>52</w:t>
    </w:r>
    <w:r w:rsidRPr="00FF5BA7">
      <w:rPr>
        <w:kern w:val="0"/>
        <w:sz w:val="21"/>
        <w:szCs w:val="21"/>
      </w:rPr>
      <w:fldChar w:fldCharType="end"/>
    </w:r>
    <w:r w:rsidRPr="00FF5BA7">
      <w:rPr>
        <w:rFonts w:hint="eastAsia"/>
        <w:kern w:val="0"/>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Default="00DC4F67"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DC4F67" w:rsidRDefault="00DC4F67" w:rsidP="00C03B3A">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D70" w:rsidRDefault="00992D70">
      <w:r>
        <w:separator/>
      </w:r>
    </w:p>
  </w:footnote>
  <w:footnote w:type="continuationSeparator" w:id="0">
    <w:p w:rsidR="00992D70" w:rsidRDefault="00992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F67" w:rsidRPr="007018D6" w:rsidRDefault="00DC4F67" w:rsidP="009D66C1">
    <w:pPr>
      <w:pStyle w:val="aa"/>
      <w:pBdr>
        <w:bottom w:val="single" w:sz="6" w:space="0" w:color="auto"/>
      </w:pBdr>
      <w:jc w:val="right"/>
    </w:pPr>
    <w:r w:rsidRPr="007018D6">
      <w:t>易方达中证浙江新动能交易型开放式指数证券投资基金联接基金</w:t>
    </w:r>
    <w:r w:rsidRPr="007018D6">
      <w:t>2020</w:t>
    </w:r>
    <w:r w:rsidRPr="007018D6">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3"/>
    <w:rsid w:val="00001B39"/>
    <w:rsid w:val="00002644"/>
    <w:rsid w:val="00002FDA"/>
    <w:rsid w:val="0000309F"/>
    <w:rsid w:val="00003577"/>
    <w:rsid w:val="0000403B"/>
    <w:rsid w:val="00004337"/>
    <w:rsid w:val="00005172"/>
    <w:rsid w:val="0000551D"/>
    <w:rsid w:val="00005911"/>
    <w:rsid w:val="00005C09"/>
    <w:rsid w:val="00005D29"/>
    <w:rsid w:val="000061CF"/>
    <w:rsid w:val="00006CF4"/>
    <w:rsid w:val="000102A7"/>
    <w:rsid w:val="00010918"/>
    <w:rsid w:val="00010A83"/>
    <w:rsid w:val="00010A8E"/>
    <w:rsid w:val="00010AC3"/>
    <w:rsid w:val="00010C1F"/>
    <w:rsid w:val="00010F11"/>
    <w:rsid w:val="00011081"/>
    <w:rsid w:val="00011EB5"/>
    <w:rsid w:val="0001280C"/>
    <w:rsid w:val="00013749"/>
    <w:rsid w:val="00013CAE"/>
    <w:rsid w:val="00015C4F"/>
    <w:rsid w:val="00015E54"/>
    <w:rsid w:val="000162AF"/>
    <w:rsid w:val="00016604"/>
    <w:rsid w:val="00016CEB"/>
    <w:rsid w:val="00016F07"/>
    <w:rsid w:val="00017581"/>
    <w:rsid w:val="0001767C"/>
    <w:rsid w:val="00020583"/>
    <w:rsid w:val="00021813"/>
    <w:rsid w:val="00021DD4"/>
    <w:rsid w:val="000221FE"/>
    <w:rsid w:val="00022F8F"/>
    <w:rsid w:val="00023BE7"/>
    <w:rsid w:val="00024491"/>
    <w:rsid w:val="0002453B"/>
    <w:rsid w:val="000246E6"/>
    <w:rsid w:val="00024C15"/>
    <w:rsid w:val="00024C62"/>
    <w:rsid w:val="00024CA0"/>
    <w:rsid w:val="00025106"/>
    <w:rsid w:val="00025805"/>
    <w:rsid w:val="000265E6"/>
    <w:rsid w:val="000274FE"/>
    <w:rsid w:val="00027526"/>
    <w:rsid w:val="000276C9"/>
    <w:rsid w:val="00027CFC"/>
    <w:rsid w:val="00027F5F"/>
    <w:rsid w:val="0003228A"/>
    <w:rsid w:val="000322D5"/>
    <w:rsid w:val="0003271C"/>
    <w:rsid w:val="000327EA"/>
    <w:rsid w:val="00032ADD"/>
    <w:rsid w:val="00032FE1"/>
    <w:rsid w:val="000331EA"/>
    <w:rsid w:val="00033E6C"/>
    <w:rsid w:val="00033EC1"/>
    <w:rsid w:val="00034BA5"/>
    <w:rsid w:val="000358FE"/>
    <w:rsid w:val="00036C37"/>
    <w:rsid w:val="00036CFB"/>
    <w:rsid w:val="00037267"/>
    <w:rsid w:val="000378BC"/>
    <w:rsid w:val="00037CF2"/>
    <w:rsid w:val="00037FCF"/>
    <w:rsid w:val="000400FF"/>
    <w:rsid w:val="0004087B"/>
    <w:rsid w:val="00040DAC"/>
    <w:rsid w:val="000415E6"/>
    <w:rsid w:val="00041BC8"/>
    <w:rsid w:val="000421B8"/>
    <w:rsid w:val="000429DF"/>
    <w:rsid w:val="00042AAD"/>
    <w:rsid w:val="000430CA"/>
    <w:rsid w:val="0004381B"/>
    <w:rsid w:val="00043ABF"/>
    <w:rsid w:val="00044158"/>
    <w:rsid w:val="000445E4"/>
    <w:rsid w:val="000471B4"/>
    <w:rsid w:val="00047DFF"/>
    <w:rsid w:val="00050260"/>
    <w:rsid w:val="0005049D"/>
    <w:rsid w:val="000510AB"/>
    <w:rsid w:val="000514E0"/>
    <w:rsid w:val="00052E9B"/>
    <w:rsid w:val="00053091"/>
    <w:rsid w:val="0005346A"/>
    <w:rsid w:val="000534CD"/>
    <w:rsid w:val="00053EED"/>
    <w:rsid w:val="00053F17"/>
    <w:rsid w:val="0005448A"/>
    <w:rsid w:val="00055AF1"/>
    <w:rsid w:val="00056F23"/>
    <w:rsid w:val="000573B5"/>
    <w:rsid w:val="00060423"/>
    <w:rsid w:val="00060597"/>
    <w:rsid w:val="00060A2C"/>
    <w:rsid w:val="00060CB4"/>
    <w:rsid w:val="00061167"/>
    <w:rsid w:val="00062997"/>
    <w:rsid w:val="00062D12"/>
    <w:rsid w:val="00063D34"/>
    <w:rsid w:val="00063FEA"/>
    <w:rsid w:val="000642EA"/>
    <w:rsid w:val="000643C3"/>
    <w:rsid w:val="0006475F"/>
    <w:rsid w:val="00064AE3"/>
    <w:rsid w:val="00064FC8"/>
    <w:rsid w:val="00066524"/>
    <w:rsid w:val="000671A3"/>
    <w:rsid w:val="00067CC5"/>
    <w:rsid w:val="00070CD1"/>
    <w:rsid w:val="00071022"/>
    <w:rsid w:val="000710CD"/>
    <w:rsid w:val="0007171B"/>
    <w:rsid w:val="000717A1"/>
    <w:rsid w:val="000726C0"/>
    <w:rsid w:val="00072DE0"/>
    <w:rsid w:val="00073DB1"/>
    <w:rsid w:val="00073F87"/>
    <w:rsid w:val="00076397"/>
    <w:rsid w:val="000764CB"/>
    <w:rsid w:val="00076CC5"/>
    <w:rsid w:val="000801F4"/>
    <w:rsid w:val="00080423"/>
    <w:rsid w:val="0008141B"/>
    <w:rsid w:val="00081A3D"/>
    <w:rsid w:val="00081D05"/>
    <w:rsid w:val="00082038"/>
    <w:rsid w:val="0008226A"/>
    <w:rsid w:val="00083770"/>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4876"/>
    <w:rsid w:val="000951F7"/>
    <w:rsid w:val="00095912"/>
    <w:rsid w:val="00095CE0"/>
    <w:rsid w:val="00096933"/>
    <w:rsid w:val="00096995"/>
    <w:rsid w:val="00096B18"/>
    <w:rsid w:val="00097013"/>
    <w:rsid w:val="00097230"/>
    <w:rsid w:val="000A010B"/>
    <w:rsid w:val="000A1448"/>
    <w:rsid w:val="000A1449"/>
    <w:rsid w:val="000A1BFB"/>
    <w:rsid w:val="000A2779"/>
    <w:rsid w:val="000A3022"/>
    <w:rsid w:val="000A38DE"/>
    <w:rsid w:val="000A457E"/>
    <w:rsid w:val="000A4672"/>
    <w:rsid w:val="000A4FEF"/>
    <w:rsid w:val="000A53FD"/>
    <w:rsid w:val="000A549A"/>
    <w:rsid w:val="000A578A"/>
    <w:rsid w:val="000A6557"/>
    <w:rsid w:val="000A673F"/>
    <w:rsid w:val="000A72F2"/>
    <w:rsid w:val="000A7FCC"/>
    <w:rsid w:val="000B0C56"/>
    <w:rsid w:val="000B2714"/>
    <w:rsid w:val="000B2B57"/>
    <w:rsid w:val="000B2C8D"/>
    <w:rsid w:val="000B36CC"/>
    <w:rsid w:val="000B3E43"/>
    <w:rsid w:val="000B417C"/>
    <w:rsid w:val="000B4365"/>
    <w:rsid w:val="000B5CC0"/>
    <w:rsid w:val="000B6328"/>
    <w:rsid w:val="000B682A"/>
    <w:rsid w:val="000B6D23"/>
    <w:rsid w:val="000C01F9"/>
    <w:rsid w:val="000C05AB"/>
    <w:rsid w:val="000C0871"/>
    <w:rsid w:val="000C0CA5"/>
    <w:rsid w:val="000C0F55"/>
    <w:rsid w:val="000C127D"/>
    <w:rsid w:val="000C15BE"/>
    <w:rsid w:val="000C1723"/>
    <w:rsid w:val="000C1B20"/>
    <w:rsid w:val="000C224F"/>
    <w:rsid w:val="000C2BDC"/>
    <w:rsid w:val="000C3FD9"/>
    <w:rsid w:val="000C4107"/>
    <w:rsid w:val="000C45E7"/>
    <w:rsid w:val="000C45F5"/>
    <w:rsid w:val="000C4A39"/>
    <w:rsid w:val="000C5E98"/>
    <w:rsid w:val="000C5F67"/>
    <w:rsid w:val="000C698D"/>
    <w:rsid w:val="000C6CCD"/>
    <w:rsid w:val="000C705C"/>
    <w:rsid w:val="000C7AE4"/>
    <w:rsid w:val="000D01F4"/>
    <w:rsid w:val="000D0B89"/>
    <w:rsid w:val="000D1497"/>
    <w:rsid w:val="000D1519"/>
    <w:rsid w:val="000D1F25"/>
    <w:rsid w:val="000D3145"/>
    <w:rsid w:val="000D36D1"/>
    <w:rsid w:val="000D4AAD"/>
    <w:rsid w:val="000D52DC"/>
    <w:rsid w:val="000D6054"/>
    <w:rsid w:val="000D619B"/>
    <w:rsid w:val="000D788B"/>
    <w:rsid w:val="000E1057"/>
    <w:rsid w:val="000E148A"/>
    <w:rsid w:val="000E28C9"/>
    <w:rsid w:val="000E34ED"/>
    <w:rsid w:val="000E4456"/>
    <w:rsid w:val="000E458D"/>
    <w:rsid w:val="000E56C3"/>
    <w:rsid w:val="000E6184"/>
    <w:rsid w:val="000E67FE"/>
    <w:rsid w:val="000E6DA9"/>
    <w:rsid w:val="000E7C24"/>
    <w:rsid w:val="000F0C0A"/>
    <w:rsid w:val="000F175F"/>
    <w:rsid w:val="000F17D1"/>
    <w:rsid w:val="000F1913"/>
    <w:rsid w:val="000F1B87"/>
    <w:rsid w:val="000F1EE4"/>
    <w:rsid w:val="000F2C75"/>
    <w:rsid w:val="000F3506"/>
    <w:rsid w:val="000F350C"/>
    <w:rsid w:val="000F3D90"/>
    <w:rsid w:val="000F4232"/>
    <w:rsid w:val="000F593E"/>
    <w:rsid w:val="000F60F3"/>
    <w:rsid w:val="000F60FF"/>
    <w:rsid w:val="000F6198"/>
    <w:rsid w:val="000F635F"/>
    <w:rsid w:val="000F6C61"/>
    <w:rsid w:val="00100C12"/>
    <w:rsid w:val="001013A8"/>
    <w:rsid w:val="00102CC8"/>
    <w:rsid w:val="001030B5"/>
    <w:rsid w:val="0010352B"/>
    <w:rsid w:val="001049B6"/>
    <w:rsid w:val="00104A39"/>
    <w:rsid w:val="00104DE3"/>
    <w:rsid w:val="001051C6"/>
    <w:rsid w:val="00105211"/>
    <w:rsid w:val="0010577B"/>
    <w:rsid w:val="00105C9C"/>
    <w:rsid w:val="001069ED"/>
    <w:rsid w:val="00106C1F"/>
    <w:rsid w:val="00107BA0"/>
    <w:rsid w:val="00107C33"/>
    <w:rsid w:val="001116BA"/>
    <w:rsid w:val="0011177A"/>
    <w:rsid w:val="0011179E"/>
    <w:rsid w:val="00111C71"/>
    <w:rsid w:val="00113B73"/>
    <w:rsid w:val="001141C0"/>
    <w:rsid w:val="001150A3"/>
    <w:rsid w:val="00115AD8"/>
    <w:rsid w:val="00116B10"/>
    <w:rsid w:val="00116E31"/>
    <w:rsid w:val="00120169"/>
    <w:rsid w:val="00120E31"/>
    <w:rsid w:val="00120EED"/>
    <w:rsid w:val="001212B4"/>
    <w:rsid w:val="00121A03"/>
    <w:rsid w:val="0012304E"/>
    <w:rsid w:val="0012380F"/>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0C28"/>
    <w:rsid w:val="00131EC2"/>
    <w:rsid w:val="0013226C"/>
    <w:rsid w:val="00132E82"/>
    <w:rsid w:val="0013374F"/>
    <w:rsid w:val="00135467"/>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55C7"/>
    <w:rsid w:val="00145A97"/>
    <w:rsid w:val="00145B50"/>
    <w:rsid w:val="00145CAE"/>
    <w:rsid w:val="00146485"/>
    <w:rsid w:val="00146835"/>
    <w:rsid w:val="00146A28"/>
    <w:rsid w:val="00146FBA"/>
    <w:rsid w:val="00147492"/>
    <w:rsid w:val="0015080E"/>
    <w:rsid w:val="00150AD6"/>
    <w:rsid w:val="0015173F"/>
    <w:rsid w:val="00151B23"/>
    <w:rsid w:val="001529AD"/>
    <w:rsid w:val="00152AB0"/>
    <w:rsid w:val="00152B88"/>
    <w:rsid w:val="0015328C"/>
    <w:rsid w:val="001535AE"/>
    <w:rsid w:val="00153B40"/>
    <w:rsid w:val="00153B9D"/>
    <w:rsid w:val="00153BCF"/>
    <w:rsid w:val="00154ADA"/>
    <w:rsid w:val="00154B08"/>
    <w:rsid w:val="00154C44"/>
    <w:rsid w:val="0015531A"/>
    <w:rsid w:val="00155875"/>
    <w:rsid w:val="001558FD"/>
    <w:rsid w:val="00155A35"/>
    <w:rsid w:val="00157418"/>
    <w:rsid w:val="00157B5A"/>
    <w:rsid w:val="0016050B"/>
    <w:rsid w:val="00161476"/>
    <w:rsid w:val="001626F8"/>
    <w:rsid w:val="0016380C"/>
    <w:rsid w:val="00163816"/>
    <w:rsid w:val="00163B27"/>
    <w:rsid w:val="0016425E"/>
    <w:rsid w:val="0016435A"/>
    <w:rsid w:val="00164BF7"/>
    <w:rsid w:val="00165317"/>
    <w:rsid w:val="001657AB"/>
    <w:rsid w:val="0016725E"/>
    <w:rsid w:val="0017073D"/>
    <w:rsid w:val="001707EF"/>
    <w:rsid w:val="00170D38"/>
    <w:rsid w:val="00171484"/>
    <w:rsid w:val="0017173B"/>
    <w:rsid w:val="00171BAD"/>
    <w:rsid w:val="00171F2C"/>
    <w:rsid w:val="001731C7"/>
    <w:rsid w:val="00173AF1"/>
    <w:rsid w:val="001744B4"/>
    <w:rsid w:val="001751EF"/>
    <w:rsid w:val="001756A1"/>
    <w:rsid w:val="001761EE"/>
    <w:rsid w:val="00176D47"/>
    <w:rsid w:val="00176EAA"/>
    <w:rsid w:val="00177030"/>
    <w:rsid w:val="0017725A"/>
    <w:rsid w:val="0017747A"/>
    <w:rsid w:val="00177C4B"/>
    <w:rsid w:val="00177F6A"/>
    <w:rsid w:val="00182708"/>
    <w:rsid w:val="00182A38"/>
    <w:rsid w:val="00182BB8"/>
    <w:rsid w:val="0018325A"/>
    <w:rsid w:val="00183BA8"/>
    <w:rsid w:val="00183D7A"/>
    <w:rsid w:val="00183F2D"/>
    <w:rsid w:val="00184CAE"/>
    <w:rsid w:val="00186199"/>
    <w:rsid w:val="00186F7A"/>
    <w:rsid w:val="00187CB2"/>
    <w:rsid w:val="00190AE2"/>
    <w:rsid w:val="00190E27"/>
    <w:rsid w:val="001928F7"/>
    <w:rsid w:val="00192AD3"/>
    <w:rsid w:val="00193182"/>
    <w:rsid w:val="00193575"/>
    <w:rsid w:val="0019389D"/>
    <w:rsid w:val="00193B62"/>
    <w:rsid w:val="00194537"/>
    <w:rsid w:val="00194F79"/>
    <w:rsid w:val="0019563C"/>
    <w:rsid w:val="001956CA"/>
    <w:rsid w:val="00195B79"/>
    <w:rsid w:val="00196BCF"/>
    <w:rsid w:val="00197CE2"/>
    <w:rsid w:val="001A02F4"/>
    <w:rsid w:val="001A088E"/>
    <w:rsid w:val="001A0AD5"/>
    <w:rsid w:val="001A0F4A"/>
    <w:rsid w:val="001A1B13"/>
    <w:rsid w:val="001A1D38"/>
    <w:rsid w:val="001A21A9"/>
    <w:rsid w:val="001A2A97"/>
    <w:rsid w:val="001A364F"/>
    <w:rsid w:val="001A39B7"/>
    <w:rsid w:val="001A42FA"/>
    <w:rsid w:val="001A4AEC"/>
    <w:rsid w:val="001A5051"/>
    <w:rsid w:val="001A58FE"/>
    <w:rsid w:val="001A59D8"/>
    <w:rsid w:val="001A5FA6"/>
    <w:rsid w:val="001A644F"/>
    <w:rsid w:val="001A668F"/>
    <w:rsid w:val="001A71CC"/>
    <w:rsid w:val="001A7F30"/>
    <w:rsid w:val="001B017D"/>
    <w:rsid w:val="001B2F0C"/>
    <w:rsid w:val="001B30CA"/>
    <w:rsid w:val="001B3513"/>
    <w:rsid w:val="001B353A"/>
    <w:rsid w:val="001B3D3E"/>
    <w:rsid w:val="001B3F69"/>
    <w:rsid w:val="001B4CEC"/>
    <w:rsid w:val="001B50CD"/>
    <w:rsid w:val="001B52FE"/>
    <w:rsid w:val="001B7890"/>
    <w:rsid w:val="001C005A"/>
    <w:rsid w:val="001C00CF"/>
    <w:rsid w:val="001C0806"/>
    <w:rsid w:val="001C1110"/>
    <w:rsid w:val="001C156D"/>
    <w:rsid w:val="001C1C77"/>
    <w:rsid w:val="001C2F9C"/>
    <w:rsid w:val="001C3399"/>
    <w:rsid w:val="001C37F6"/>
    <w:rsid w:val="001C4928"/>
    <w:rsid w:val="001C4D9F"/>
    <w:rsid w:val="001C4EB6"/>
    <w:rsid w:val="001C5289"/>
    <w:rsid w:val="001C6288"/>
    <w:rsid w:val="001C67A1"/>
    <w:rsid w:val="001C7C6D"/>
    <w:rsid w:val="001D0538"/>
    <w:rsid w:val="001D0634"/>
    <w:rsid w:val="001D0D6A"/>
    <w:rsid w:val="001D0F6A"/>
    <w:rsid w:val="001D21BC"/>
    <w:rsid w:val="001D2230"/>
    <w:rsid w:val="001D2D34"/>
    <w:rsid w:val="001D2E47"/>
    <w:rsid w:val="001D2FA5"/>
    <w:rsid w:val="001D35E0"/>
    <w:rsid w:val="001D5016"/>
    <w:rsid w:val="001D5045"/>
    <w:rsid w:val="001D5281"/>
    <w:rsid w:val="001D5494"/>
    <w:rsid w:val="001D5A44"/>
    <w:rsid w:val="001D6213"/>
    <w:rsid w:val="001D6BEF"/>
    <w:rsid w:val="001D724B"/>
    <w:rsid w:val="001D730C"/>
    <w:rsid w:val="001E03BE"/>
    <w:rsid w:val="001E07AE"/>
    <w:rsid w:val="001E09F9"/>
    <w:rsid w:val="001E0AAA"/>
    <w:rsid w:val="001E0F28"/>
    <w:rsid w:val="001E0F82"/>
    <w:rsid w:val="001E11D3"/>
    <w:rsid w:val="001E15F1"/>
    <w:rsid w:val="001E1C4F"/>
    <w:rsid w:val="001E1C7C"/>
    <w:rsid w:val="001E2332"/>
    <w:rsid w:val="001E27F6"/>
    <w:rsid w:val="001E287E"/>
    <w:rsid w:val="001E2A6A"/>
    <w:rsid w:val="001E3BB1"/>
    <w:rsid w:val="001E3DC2"/>
    <w:rsid w:val="001E49F3"/>
    <w:rsid w:val="001E56FF"/>
    <w:rsid w:val="001E5C6B"/>
    <w:rsid w:val="001E6862"/>
    <w:rsid w:val="001E6EBF"/>
    <w:rsid w:val="001F0307"/>
    <w:rsid w:val="001F03E1"/>
    <w:rsid w:val="001F0DE9"/>
    <w:rsid w:val="001F147B"/>
    <w:rsid w:val="001F221F"/>
    <w:rsid w:val="001F2246"/>
    <w:rsid w:val="001F3CC6"/>
    <w:rsid w:val="001F3F50"/>
    <w:rsid w:val="001F4530"/>
    <w:rsid w:val="001F489E"/>
    <w:rsid w:val="001F5CE2"/>
    <w:rsid w:val="001F5DBA"/>
    <w:rsid w:val="001F5DE3"/>
    <w:rsid w:val="001F5F74"/>
    <w:rsid w:val="001F6058"/>
    <w:rsid w:val="001F69B2"/>
    <w:rsid w:val="002000DE"/>
    <w:rsid w:val="002010DE"/>
    <w:rsid w:val="00201962"/>
    <w:rsid w:val="00201B58"/>
    <w:rsid w:val="00201DDA"/>
    <w:rsid w:val="00202968"/>
    <w:rsid w:val="00202C32"/>
    <w:rsid w:val="00203940"/>
    <w:rsid w:val="00203973"/>
    <w:rsid w:val="00203AEF"/>
    <w:rsid w:val="00206018"/>
    <w:rsid w:val="00206D74"/>
    <w:rsid w:val="002075E2"/>
    <w:rsid w:val="002077F4"/>
    <w:rsid w:val="00207E26"/>
    <w:rsid w:val="002116B9"/>
    <w:rsid w:val="00211A26"/>
    <w:rsid w:val="00212249"/>
    <w:rsid w:val="002125F7"/>
    <w:rsid w:val="00212901"/>
    <w:rsid w:val="00213709"/>
    <w:rsid w:val="0021397C"/>
    <w:rsid w:val="00214463"/>
    <w:rsid w:val="00214756"/>
    <w:rsid w:val="00215CF2"/>
    <w:rsid w:val="00215D9F"/>
    <w:rsid w:val="00216310"/>
    <w:rsid w:val="00216BCE"/>
    <w:rsid w:val="00216D8F"/>
    <w:rsid w:val="00217867"/>
    <w:rsid w:val="00220542"/>
    <w:rsid w:val="00220D7F"/>
    <w:rsid w:val="002210EB"/>
    <w:rsid w:val="00221174"/>
    <w:rsid w:val="00222DE3"/>
    <w:rsid w:val="002233F0"/>
    <w:rsid w:val="0022498A"/>
    <w:rsid w:val="00225756"/>
    <w:rsid w:val="00225ADC"/>
    <w:rsid w:val="00225CEB"/>
    <w:rsid w:val="0022692D"/>
    <w:rsid w:val="00227ABF"/>
    <w:rsid w:val="002318F3"/>
    <w:rsid w:val="00232443"/>
    <w:rsid w:val="0023323F"/>
    <w:rsid w:val="00233A86"/>
    <w:rsid w:val="00234202"/>
    <w:rsid w:val="00235842"/>
    <w:rsid w:val="002359EB"/>
    <w:rsid w:val="002363AB"/>
    <w:rsid w:val="00236412"/>
    <w:rsid w:val="00236933"/>
    <w:rsid w:val="0023727B"/>
    <w:rsid w:val="00237579"/>
    <w:rsid w:val="00237675"/>
    <w:rsid w:val="00237C6D"/>
    <w:rsid w:val="0024096B"/>
    <w:rsid w:val="00241582"/>
    <w:rsid w:val="00241B45"/>
    <w:rsid w:val="00241D0E"/>
    <w:rsid w:val="002424D7"/>
    <w:rsid w:val="0024260D"/>
    <w:rsid w:val="00242657"/>
    <w:rsid w:val="002428F6"/>
    <w:rsid w:val="00242FA2"/>
    <w:rsid w:val="00243C23"/>
    <w:rsid w:val="0024402C"/>
    <w:rsid w:val="00244D4F"/>
    <w:rsid w:val="00245012"/>
    <w:rsid w:val="0024504E"/>
    <w:rsid w:val="00245761"/>
    <w:rsid w:val="0024651F"/>
    <w:rsid w:val="00247729"/>
    <w:rsid w:val="0025158D"/>
    <w:rsid w:val="00251C7E"/>
    <w:rsid w:val="00251D61"/>
    <w:rsid w:val="00252697"/>
    <w:rsid w:val="0025281A"/>
    <w:rsid w:val="00253103"/>
    <w:rsid w:val="00253D3C"/>
    <w:rsid w:val="00254022"/>
    <w:rsid w:val="002544D7"/>
    <w:rsid w:val="00254C82"/>
    <w:rsid w:val="00255292"/>
    <w:rsid w:val="002561CC"/>
    <w:rsid w:val="002571F0"/>
    <w:rsid w:val="00257578"/>
    <w:rsid w:val="00260200"/>
    <w:rsid w:val="00260B06"/>
    <w:rsid w:val="00260BFB"/>
    <w:rsid w:val="00260DA3"/>
    <w:rsid w:val="00261D93"/>
    <w:rsid w:val="00261E92"/>
    <w:rsid w:val="00262029"/>
    <w:rsid w:val="00262553"/>
    <w:rsid w:val="002631B5"/>
    <w:rsid w:val="00263BBD"/>
    <w:rsid w:val="002648D8"/>
    <w:rsid w:val="00265AFB"/>
    <w:rsid w:val="00267EE3"/>
    <w:rsid w:val="00267F59"/>
    <w:rsid w:val="002700E9"/>
    <w:rsid w:val="00270CE9"/>
    <w:rsid w:val="002716BD"/>
    <w:rsid w:val="0027235A"/>
    <w:rsid w:val="00273CDB"/>
    <w:rsid w:val="00273F86"/>
    <w:rsid w:val="002741BE"/>
    <w:rsid w:val="002752EA"/>
    <w:rsid w:val="00275D42"/>
    <w:rsid w:val="00275D56"/>
    <w:rsid w:val="00275EAD"/>
    <w:rsid w:val="00276B03"/>
    <w:rsid w:val="00276C3A"/>
    <w:rsid w:val="002773FB"/>
    <w:rsid w:val="002774F0"/>
    <w:rsid w:val="00277583"/>
    <w:rsid w:val="00277722"/>
    <w:rsid w:val="00280A4F"/>
    <w:rsid w:val="00281226"/>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5FE"/>
    <w:rsid w:val="002916E3"/>
    <w:rsid w:val="002916F1"/>
    <w:rsid w:val="00291A70"/>
    <w:rsid w:val="00291A85"/>
    <w:rsid w:val="00291F6F"/>
    <w:rsid w:val="0029379A"/>
    <w:rsid w:val="00293C97"/>
    <w:rsid w:val="002942CB"/>
    <w:rsid w:val="00294C7F"/>
    <w:rsid w:val="00294D8F"/>
    <w:rsid w:val="00295D5A"/>
    <w:rsid w:val="002964F9"/>
    <w:rsid w:val="0029690F"/>
    <w:rsid w:val="002969CC"/>
    <w:rsid w:val="00297D85"/>
    <w:rsid w:val="002A07F4"/>
    <w:rsid w:val="002A090A"/>
    <w:rsid w:val="002A0B47"/>
    <w:rsid w:val="002A1381"/>
    <w:rsid w:val="002A1F14"/>
    <w:rsid w:val="002A2678"/>
    <w:rsid w:val="002A2E01"/>
    <w:rsid w:val="002A32E5"/>
    <w:rsid w:val="002A34B9"/>
    <w:rsid w:val="002A398F"/>
    <w:rsid w:val="002A3DFD"/>
    <w:rsid w:val="002A46A7"/>
    <w:rsid w:val="002A4F2C"/>
    <w:rsid w:val="002A525F"/>
    <w:rsid w:val="002A5C6B"/>
    <w:rsid w:val="002A5D31"/>
    <w:rsid w:val="002A5E63"/>
    <w:rsid w:val="002A5FBD"/>
    <w:rsid w:val="002A714F"/>
    <w:rsid w:val="002A75D7"/>
    <w:rsid w:val="002B09C0"/>
    <w:rsid w:val="002B1851"/>
    <w:rsid w:val="002B1EC9"/>
    <w:rsid w:val="002B27FF"/>
    <w:rsid w:val="002B2B42"/>
    <w:rsid w:val="002B2F4E"/>
    <w:rsid w:val="002B5C8E"/>
    <w:rsid w:val="002B6688"/>
    <w:rsid w:val="002B6793"/>
    <w:rsid w:val="002B7562"/>
    <w:rsid w:val="002B780B"/>
    <w:rsid w:val="002B7D25"/>
    <w:rsid w:val="002C03E0"/>
    <w:rsid w:val="002C1260"/>
    <w:rsid w:val="002C1726"/>
    <w:rsid w:val="002C21A6"/>
    <w:rsid w:val="002C26D5"/>
    <w:rsid w:val="002C5777"/>
    <w:rsid w:val="002C5889"/>
    <w:rsid w:val="002C5909"/>
    <w:rsid w:val="002C5B7A"/>
    <w:rsid w:val="002C65FA"/>
    <w:rsid w:val="002C661D"/>
    <w:rsid w:val="002C7C89"/>
    <w:rsid w:val="002D1A0F"/>
    <w:rsid w:val="002D22BF"/>
    <w:rsid w:val="002D237C"/>
    <w:rsid w:val="002D32E3"/>
    <w:rsid w:val="002D33F1"/>
    <w:rsid w:val="002D353D"/>
    <w:rsid w:val="002D44BC"/>
    <w:rsid w:val="002D4733"/>
    <w:rsid w:val="002D528B"/>
    <w:rsid w:val="002D52AD"/>
    <w:rsid w:val="002D58D8"/>
    <w:rsid w:val="002D5EB1"/>
    <w:rsid w:val="002D7777"/>
    <w:rsid w:val="002D77FF"/>
    <w:rsid w:val="002D7BFF"/>
    <w:rsid w:val="002E0394"/>
    <w:rsid w:val="002E0644"/>
    <w:rsid w:val="002E0FEB"/>
    <w:rsid w:val="002E14AD"/>
    <w:rsid w:val="002E171B"/>
    <w:rsid w:val="002E1BCA"/>
    <w:rsid w:val="002E204F"/>
    <w:rsid w:val="002E2625"/>
    <w:rsid w:val="002E319D"/>
    <w:rsid w:val="002E372D"/>
    <w:rsid w:val="002E3CD4"/>
    <w:rsid w:val="002E4AD5"/>
    <w:rsid w:val="002E4C2D"/>
    <w:rsid w:val="002E72C5"/>
    <w:rsid w:val="002F0F79"/>
    <w:rsid w:val="002F100F"/>
    <w:rsid w:val="002F19F9"/>
    <w:rsid w:val="002F1C9E"/>
    <w:rsid w:val="002F1EB2"/>
    <w:rsid w:val="002F2450"/>
    <w:rsid w:val="002F280E"/>
    <w:rsid w:val="002F2CBB"/>
    <w:rsid w:val="002F324A"/>
    <w:rsid w:val="002F3470"/>
    <w:rsid w:val="002F3709"/>
    <w:rsid w:val="002F3A6C"/>
    <w:rsid w:val="002F4296"/>
    <w:rsid w:val="002F5777"/>
    <w:rsid w:val="002F60EA"/>
    <w:rsid w:val="002F62F1"/>
    <w:rsid w:val="002F680E"/>
    <w:rsid w:val="002F7330"/>
    <w:rsid w:val="00300727"/>
    <w:rsid w:val="00300951"/>
    <w:rsid w:val="00300E8A"/>
    <w:rsid w:val="0030216B"/>
    <w:rsid w:val="003023C9"/>
    <w:rsid w:val="003029E6"/>
    <w:rsid w:val="00302CA8"/>
    <w:rsid w:val="00302DE9"/>
    <w:rsid w:val="00303EA9"/>
    <w:rsid w:val="00304860"/>
    <w:rsid w:val="00304E23"/>
    <w:rsid w:val="00305084"/>
    <w:rsid w:val="00305871"/>
    <w:rsid w:val="00305BCF"/>
    <w:rsid w:val="00306026"/>
    <w:rsid w:val="00306408"/>
    <w:rsid w:val="0030682A"/>
    <w:rsid w:val="00306B13"/>
    <w:rsid w:val="00307249"/>
    <w:rsid w:val="00307E35"/>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0DAB"/>
    <w:rsid w:val="0032160D"/>
    <w:rsid w:val="00321618"/>
    <w:rsid w:val="00321E8C"/>
    <w:rsid w:val="00321FDA"/>
    <w:rsid w:val="00322318"/>
    <w:rsid w:val="00322A86"/>
    <w:rsid w:val="00323041"/>
    <w:rsid w:val="00323AE8"/>
    <w:rsid w:val="00323B32"/>
    <w:rsid w:val="00324548"/>
    <w:rsid w:val="0032494A"/>
    <w:rsid w:val="003251F4"/>
    <w:rsid w:val="00325408"/>
    <w:rsid w:val="0032555D"/>
    <w:rsid w:val="00326927"/>
    <w:rsid w:val="003273A3"/>
    <w:rsid w:val="003277CD"/>
    <w:rsid w:val="003303E3"/>
    <w:rsid w:val="00330651"/>
    <w:rsid w:val="00331A88"/>
    <w:rsid w:val="003329EA"/>
    <w:rsid w:val="00332C6E"/>
    <w:rsid w:val="00332D73"/>
    <w:rsid w:val="0033368C"/>
    <w:rsid w:val="003338BE"/>
    <w:rsid w:val="00336AA2"/>
    <w:rsid w:val="00337271"/>
    <w:rsid w:val="00337B1B"/>
    <w:rsid w:val="00337ED3"/>
    <w:rsid w:val="003405DA"/>
    <w:rsid w:val="003407A5"/>
    <w:rsid w:val="00340CBC"/>
    <w:rsid w:val="003410A1"/>
    <w:rsid w:val="00341188"/>
    <w:rsid w:val="0034147B"/>
    <w:rsid w:val="003424CB"/>
    <w:rsid w:val="003439DB"/>
    <w:rsid w:val="00344FBE"/>
    <w:rsid w:val="00346759"/>
    <w:rsid w:val="00350238"/>
    <w:rsid w:val="00350315"/>
    <w:rsid w:val="0035109C"/>
    <w:rsid w:val="00351752"/>
    <w:rsid w:val="00351F0A"/>
    <w:rsid w:val="00352648"/>
    <w:rsid w:val="003532D4"/>
    <w:rsid w:val="00353AC6"/>
    <w:rsid w:val="00353E6B"/>
    <w:rsid w:val="003542B7"/>
    <w:rsid w:val="0035432B"/>
    <w:rsid w:val="00354765"/>
    <w:rsid w:val="00354E10"/>
    <w:rsid w:val="003574C8"/>
    <w:rsid w:val="0035753E"/>
    <w:rsid w:val="00357B15"/>
    <w:rsid w:val="00357BB3"/>
    <w:rsid w:val="003602EA"/>
    <w:rsid w:val="00360F81"/>
    <w:rsid w:val="00361E7E"/>
    <w:rsid w:val="00363564"/>
    <w:rsid w:val="003648F2"/>
    <w:rsid w:val="00364FA1"/>
    <w:rsid w:val="00366B02"/>
    <w:rsid w:val="003671F5"/>
    <w:rsid w:val="003700E2"/>
    <w:rsid w:val="00370348"/>
    <w:rsid w:val="00370AA4"/>
    <w:rsid w:val="003711F2"/>
    <w:rsid w:val="003717FC"/>
    <w:rsid w:val="00371FF4"/>
    <w:rsid w:val="003723C2"/>
    <w:rsid w:val="0037275D"/>
    <w:rsid w:val="00372797"/>
    <w:rsid w:val="003736DD"/>
    <w:rsid w:val="003745EC"/>
    <w:rsid w:val="003746F1"/>
    <w:rsid w:val="0037470E"/>
    <w:rsid w:val="00374A5E"/>
    <w:rsid w:val="00374D1B"/>
    <w:rsid w:val="00375CC4"/>
    <w:rsid w:val="00376103"/>
    <w:rsid w:val="003767B3"/>
    <w:rsid w:val="00376B49"/>
    <w:rsid w:val="00376FC5"/>
    <w:rsid w:val="003771E2"/>
    <w:rsid w:val="00377520"/>
    <w:rsid w:val="00380273"/>
    <w:rsid w:val="00380404"/>
    <w:rsid w:val="0038047C"/>
    <w:rsid w:val="00380D36"/>
    <w:rsid w:val="00380F49"/>
    <w:rsid w:val="003819F9"/>
    <w:rsid w:val="00381AE2"/>
    <w:rsid w:val="003822D3"/>
    <w:rsid w:val="0038480C"/>
    <w:rsid w:val="00384DC9"/>
    <w:rsid w:val="0038566E"/>
    <w:rsid w:val="00385C66"/>
    <w:rsid w:val="00385EDA"/>
    <w:rsid w:val="00386630"/>
    <w:rsid w:val="00386A6C"/>
    <w:rsid w:val="00390379"/>
    <w:rsid w:val="00390741"/>
    <w:rsid w:val="003909FB"/>
    <w:rsid w:val="00390B25"/>
    <w:rsid w:val="00390DD9"/>
    <w:rsid w:val="00390DDD"/>
    <w:rsid w:val="003921B9"/>
    <w:rsid w:val="00392A2D"/>
    <w:rsid w:val="00392AE5"/>
    <w:rsid w:val="003933F1"/>
    <w:rsid w:val="003936AD"/>
    <w:rsid w:val="003937F7"/>
    <w:rsid w:val="00393A83"/>
    <w:rsid w:val="003955D3"/>
    <w:rsid w:val="00395809"/>
    <w:rsid w:val="00395CAA"/>
    <w:rsid w:val="00395F75"/>
    <w:rsid w:val="00395F76"/>
    <w:rsid w:val="00396588"/>
    <w:rsid w:val="00396863"/>
    <w:rsid w:val="00396F0A"/>
    <w:rsid w:val="00397156"/>
    <w:rsid w:val="00397960"/>
    <w:rsid w:val="00397D91"/>
    <w:rsid w:val="003A0663"/>
    <w:rsid w:val="003A10D5"/>
    <w:rsid w:val="003A1660"/>
    <w:rsid w:val="003A1FE0"/>
    <w:rsid w:val="003A2C23"/>
    <w:rsid w:val="003A3BC4"/>
    <w:rsid w:val="003A458A"/>
    <w:rsid w:val="003A551D"/>
    <w:rsid w:val="003A647F"/>
    <w:rsid w:val="003A6B26"/>
    <w:rsid w:val="003A7E6F"/>
    <w:rsid w:val="003B05F2"/>
    <w:rsid w:val="003B0F3D"/>
    <w:rsid w:val="003B2040"/>
    <w:rsid w:val="003B23CB"/>
    <w:rsid w:val="003B2F13"/>
    <w:rsid w:val="003B3353"/>
    <w:rsid w:val="003B405E"/>
    <w:rsid w:val="003B446F"/>
    <w:rsid w:val="003B4712"/>
    <w:rsid w:val="003B47EB"/>
    <w:rsid w:val="003B48BA"/>
    <w:rsid w:val="003B4F62"/>
    <w:rsid w:val="003B57D3"/>
    <w:rsid w:val="003B59CA"/>
    <w:rsid w:val="003B6067"/>
    <w:rsid w:val="003B632D"/>
    <w:rsid w:val="003C0135"/>
    <w:rsid w:val="003C018A"/>
    <w:rsid w:val="003C08E3"/>
    <w:rsid w:val="003C09B5"/>
    <w:rsid w:val="003C0B69"/>
    <w:rsid w:val="003C0F62"/>
    <w:rsid w:val="003C1176"/>
    <w:rsid w:val="003C1D9A"/>
    <w:rsid w:val="003C1F58"/>
    <w:rsid w:val="003C3232"/>
    <w:rsid w:val="003C48B1"/>
    <w:rsid w:val="003C57A7"/>
    <w:rsid w:val="003C5C2B"/>
    <w:rsid w:val="003C6943"/>
    <w:rsid w:val="003C6BD2"/>
    <w:rsid w:val="003C7294"/>
    <w:rsid w:val="003C792F"/>
    <w:rsid w:val="003C7ABD"/>
    <w:rsid w:val="003C7B20"/>
    <w:rsid w:val="003C7C3D"/>
    <w:rsid w:val="003D08F8"/>
    <w:rsid w:val="003D124B"/>
    <w:rsid w:val="003D18F3"/>
    <w:rsid w:val="003D21FB"/>
    <w:rsid w:val="003D2CC1"/>
    <w:rsid w:val="003D33F2"/>
    <w:rsid w:val="003D3725"/>
    <w:rsid w:val="003D4FFC"/>
    <w:rsid w:val="003D51ED"/>
    <w:rsid w:val="003D535A"/>
    <w:rsid w:val="003D569B"/>
    <w:rsid w:val="003D73EF"/>
    <w:rsid w:val="003D78B5"/>
    <w:rsid w:val="003E0204"/>
    <w:rsid w:val="003E0918"/>
    <w:rsid w:val="003E099F"/>
    <w:rsid w:val="003E244F"/>
    <w:rsid w:val="003E37AE"/>
    <w:rsid w:val="003E5165"/>
    <w:rsid w:val="003E62A6"/>
    <w:rsid w:val="003E648D"/>
    <w:rsid w:val="003E6731"/>
    <w:rsid w:val="003E695F"/>
    <w:rsid w:val="003E69CF"/>
    <w:rsid w:val="003E6C9B"/>
    <w:rsid w:val="003E6D39"/>
    <w:rsid w:val="003E709C"/>
    <w:rsid w:val="003E712E"/>
    <w:rsid w:val="003E726D"/>
    <w:rsid w:val="003E7B89"/>
    <w:rsid w:val="003F0AEC"/>
    <w:rsid w:val="003F0B30"/>
    <w:rsid w:val="003F0FA3"/>
    <w:rsid w:val="003F276B"/>
    <w:rsid w:val="003F2EA5"/>
    <w:rsid w:val="003F3E26"/>
    <w:rsid w:val="003F4241"/>
    <w:rsid w:val="003F4B8A"/>
    <w:rsid w:val="003F62BB"/>
    <w:rsid w:val="003F6FEC"/>
    <w:rsid w:val="003F7C45"/>
    <w:rsid w:val="00400241"/>
    <w:rsid w:val="0040132C"/>
    <w:rsid w:val="0040145D"/>
    <w:rsid w:val="004016C4"/>
    <w:rsid w:val="00401D95"/>
    <w:rsid w:val="0040231A"/>
    <w:rsid w:val="00403562"/>
    <w:rsid w:val="004049BD"/>
    <w:rsid w:val="00404EB5"/>
    <w:rsid w:val="00405085"/>
    <w:rsid w:val="00405D28"/>
    <w:rsid w:val="0040629D"/>
    <w:rsid w:val="004066FC"/>
    <w:rsid w:val="00407481"/>
    <w:rsid w:val="00407753"/>
    <w:rsid w:val="00407C10"/>
    <w:rsid w:val="00407E90"/>
    <w:rsid w:val="004113B4"/>
    <w:rsid w:val="00413323"/>
    <w:rsid w:val="00413B17"/>
    <w:rsid w:val="004141C0"/>
    <w:rsid w:val="00414503"/>
    <w:rsid w:val="00414827"/>
    <w:rsid w:val="004153B3"/>
    <w:rsid w:val="00415772"/>
    <w:rsid w:val="004161F8"/>
    <w:rsid w:val="004163FD"/>
    <w:rsid w:val="0041683D"/>
    <w:rsid w:val="00416C10"/>
    <w:rsid w:val="00417976"/>
    <w:rsid w:val="00417A0E"/>
    <w:rsid w:val="0042053A"/>
    <w:rsid w:val="004213D6"/>
    <w:rsid w:val="00421425"/>
    <w:rsid w:val="004222D0"/>
    <w:rsid w:val="00422440"/>
    <w:rsid w:val="00422916"/>
    <w:rsid w:val="00423BA3"/>
    <w:rsid w:val="0042415D"/>
    <w:rsid w:val="00424213"/>
    <w:rsid w:val="00424EF3"/>
    <w:rsid w:val="0042551C"/>
    <w:rsid w:val="004267DB"/>
    <w:rsid w:val="004268BB"/>
    <w:rsid w:val="00426A4B"/>
    <w:rsid w:val="00427130"/>
    <w:rsid w:val="00427AA3"/>
    <w:rsid w:val="00427BFF"/>
    <w:rsid w:val="00430724"/>
    <w:rsid w:val="0043097C"/>
    <w:rsid w:val="00431047"/>
    <w:rsid w:val="00431B86"/>
    <w:rsid w:val="00432E06"/>
    <w:rsid w:val="00433065"/>
    <w:rsid w:val="004332B5"/>
    <w:rsid w:val="00433EED"/>
    <w:rsid w:val="00436196"/>
    <w:rsid w:val="004375A2"/>
    <w:rsid w:val="00437C96"/>
    <w:rsid w:val="004408EC"/>
    <w:rsid w:val="004416A4"/>
    <w:rsid w:val="00441ABA"/>
    <w:rsid w:val="00441E6A"/>
    <w:rsid w:val="00442AEE"/>
    <w:rsid w:val="00443C8F"/>
    <w:rsid w:val="00444C60"/>
    <w:rsid w:val="00444E35"/>
    <w:rsid w:val="0044502D"/>
    <w:rsid w:val="00445F6B"/>
    <w:rsid w:val="0044755D"/>
    <w:rsid w:val="00447CEF"/>
    <w:rsid w:val="00447E28"/>
    <w:rsid w:val="00450BA9"/>
    <w:rsid w:val="00450F23"/>
    <w:rsid w:val="004515EB"/>
    <w:rsid w:val="0045169A"/>
    <w:rsid w:val="00452481"/>
    <w:rsid w:val="004528FA"/>
    <w:rsid w:val="00453DC8"/>
    <w:rsid w:val="00455165"/>
    <w:rsid w:val="004576F7"/>
    <w:rsid w:val="00457804"/>
    <w:rsid w:val="00460AEF"/>
    <w:rsid w:val="00460C52"/>
    <w:rsid w:val="0046209A"/>
    <w:rsid w:val="00462279"/>
    <w:rsid w:val="004626CD"/>
    <w:rsid w:val="00463182"/>
    <w:rsid w:val="004635F5"/>
    <w:rsid w:val="00463F8B"/>
    <w:rsid w:val="004646BF"/>
    <w:rsid w:val="00464744"/>
    <w:rsid w:val="0046535F"/>
    <w:rsid w:val="004665A8"/>
    <w:rsid w:val="004665E3"/>
    <w:rsid w:val="0046760F"/>
    <w:rsid w:val="0047237D"/>
    <w:rsid w:val="00472561"/>
    <w:rsid w:val="004731F1"/>
    <w:rsid w:val="00473AE0"/>
    <w:rsid w:val="00473EB5"/>
    <w:rsid w:val="00474021"/>
    <w:rsid w:val="0047456B"/>
    <w:rsid w:val="00475251"/>
    <w:rsid w:val="00475D19"/>
    <w:rsid w:val="00477400"/>
    <w:rsid w:val="0048088E"/>
    <w:rsid w:val="00480BC8"/>
    <w:rsid w:val="00481265"/>
    <w:rsid w:val="004814BF"/>
    <w:rsid w:val="00482649"/>
    <w:rsid w:val="00483630"/>
    <w:rsid w:val="004836EA"/>
    <w:rsid w:val="00483A13"/>
    <w:rsid w:val="00483F72"/>
    <w:rsid w:val="00485215"/>
    <w:rsid w:val="00485340"/>
    <w:rsid w:val="0048587E"/>
    <w:rsid w:val="00485B57"/>
    <w:rsid w:val="00486200"/>
    <w:rsid w:val="004868C8"/>
    <w:rsid w:val="00486C9C"/>
    <w:rsid w:val="00486D6A"/>
    <w:rsid w:val="00487815"/>
    <w:rsid w:val="00487830"/>
    <w:rsid w:val="00487C2B"/>
    <w:rsid w:val="004900FF"/>
    <w:rsid w:val="00490561"/>
    <w:rsid w:val="0049125B"/>
    <w:rsid w:val="004914B6"/>
    <w:rsid w:val="00491C58"/>
    <w:rsid w:val="00491FAB"/>
    <w:rsid w:val="00492081"/>
    <w:rsid w:val="0049227D"/>
    <w:rsid w:val="0049297D"/>
    <w:rsid w:val="004929F2"/>
    <w:rsid w:val="00492F1A"/>
    <w:rsid w:val="00492F5E"/>
    <w:rsid w:val="00493E9D"/>
    <w:rsid w:val="00495A03"/>
    <w:rsid w:val="00495E28"/>
    <w:rsid w:val="00497079"/>
    <w:rsid w:val="00497450"/>
    <w:rsid w:val="00497F49"/>
    <w:rsid w:val="004A1135"/>
    <w:rsid w:val="004A1BBA"/>
    <w:rsid w:val="004A23C2"/>
    <w:rsid w:val="004A2F25"/>
    <w:rsid w:val="004A3336"/>
    <w:rsid w:val="004A3E3C"/>
    <w:rsid w:val="004A4069"/>
    <w:rsid w:val="004A42E5"/>
    <w:rsid w:val="004A455B"/>
    <w:rsid w:val="004A4847"/>
    <w:rsid w:val="004A484E"/>
    <w:rsid w:val="004A5C65"/>
    <w:rsid w:val="004A6513"/>
    <w:rsid w:val="004A7CCE"/>
    <w:rsid w:val="004B0440"/>
    <w:rsid w:val="004B0E6D"/>
    <w:rsid w:val="004B16E8"/>
    <w:rsid w:val="004B19EA"/>
    <w:rsid w:val="004B202D"/>
    <w:rsid w:val="004B2CA5"/>
    <w:rsid w:val="004B412E"/>
    <w:rsid w:val="004B5B92"/>
    <w:rsid w:val="004B5DB7"/>
    <w:rsid w:val="004B6250"/>
    <w:rsid w:val="004B66F3"/>
    <w:rsid w:val="004B68EC"/>
    <w:rsid w:val="004B759C"/>
    <w:rsid w:val="004B76B1"/>
    <w:rsid w:val="004C0057"/>
    <w:rsid w:val="004C02E0"/>
    <w:rsid w:val="004C030A"/>
    <w:rsid w:val="004C0541"/>
    <w:rsid w:val="004C07EB"/>
    <w:rsid w:val="004C0BBF"/>
    <w:rsid w:val="004C1D08"/>
    <w:rsid w:val="004C1D55"/>
    <w:rsid w:val="004C2836"/>
    <w:rsid w:val="004C2C46"/>
    <w:rsid w:val="004C405B"/>
    <w:rsid w:val="004C47DF"/>
    <w:rsid w:val="004C54CA"/>
    <w:rsid w:val="004C686E"/>
    <w:rsid w:val="004C6CE2"/>
    <w:rsid w:val="004C7214"/>
    <w:rsid w:val="004C7235"/>
    <w:rsid w:val="004C753B"/>
    <w:rsid w:val="004C7955"/>
    <w:rsid w:val="004D0213"/>
    <w:rsid w:val="004D047F"/>
    <w:rsid w:val="004D0B63"/>
    <w:rsid w:val="004D0FA5"/>
    <w:rsid w:val="004D1529"/>
    <w:rsid w:val="004D29F1"/>
    <w:rsid w:val="004D29F3"/>
    <w:rsid w:val="004D2E04"/>
    <w:rsid w:val="004D2F51"/>
    <w:rsid w:val="004D3D96"/>
    <w:rsid w:val="004D40BB"/>
    <w:rsid w:val="004D4854"/>
    <w:rsid w:val="004D4EA1"/>
    <w:rsid w:val="004D5316"/>
    <w:rsid w:val="004D56B3"/>
    <w:rsid w:val="004D575C"/>
    <w:rsid w:val="004D650F"/>
    <w:rsid w:val="004D679F"/>
    <w:rsid w:val="004D7269"/>
    <w:rsid w:val="004D74EE"/>
    <w:rsid w:val="004D7F01"/>
    <w:rsid w:val="004E0140"/>
    <w:rsid w:val="004E08FC"/>
    <w:rsid w:val="004E0B6E"/>
    <w:rsid w:val="004E2133"/>
    <w:rsid w:val="004E2BD2"/>
    <w:rsid w:val="004E34BB"/>
    <w:rsid w:val="004E37C3"/>
    <w:rsid w:val="004E395B"/>
    <w:rsid w:val="004E3A3B"/>
    <w:rsid w:val="004E3C7D"/>
    <w:rsid w:val="004E4CD7"/>
    <w:rsid w:val="004E5EDB"/>
    <w:rsid w:val="004E60FB"/>
    <w:rsid w:val="004E73A5"/>
    <w:rsid w:val="004E758A"/>
    <w:rsid w:val="004F09DD"/>
    <w:rsid w:val="004F1C42"/>
    <w:rsid w:val="004F23CE"/>
    <w:rsid w:val="004F2C5A"/>
    <w:rsid w:val="004F3E01"/>
    <w:rsid w:val="004F3E31"/>
    <w:rsid w:val="004F409E"/>
    <w:rsid w:val="004F4541"/>
    <w:rsid w:val="004F4601"/>
    <w:rsid w:val="004F779C"/>
    <w:rsid w:val="004F7846"/>
    <w:rsid w:val="005000A6"/>
    <w:rsid w:val="005000D4"/>
    <w:rsid w:val="005004EE"/>
    <w:rsid w:val="005007AB"/>
    <w:rsid w:val="0050087E"/>
    <w:rsid w:val="00500B1E"/>
    <w:rsid w:val="00500B24"/>
    <w:rsid w:val="00500C17"/>
    <w:rsid w:val="005027F4"/>
    <w:rsid w:val="005036C2"/>
    <w:rsid w:val="0050492E"/>
    <w:rsid w:val="005051C9"/>
    <w:rsid w:val="00506389"/>
    <w:rsid w:val="005067F4"/>
    <w:rsid w:val="00506FF7"/>
    <w:rsid w:val="0051084C"/>
    <w:rsid w:val="00510A69"/>
    <w:rsid w:val="00510CAF"/>
    <w:rsid w:val="0051114C"/>
    <w:rsid w:val="00511597"/>
    <w:rsid w:val="0051164A"/>
    <w:rsid w:val="00511915"/>
    <w:rsid w:val="005119A4"/>
    <w:rsid w:val="00511AC6"/>
    <w:rsid w:val="00511FD1"/>
    <w:rsid w:val="00512235"/>
    <w:rsid w:val="005128C5"/>
    <w:rsid w:val="00512905"/>
    <w:rsid w:val="00512D8B"/>
    <w:rsid w:val="00512E85"/>
    <w:rsid w:val="005136C7"/>
    <w:rsid w:val="0051478B"/>
    <w:rsid w:val="00514C1C"/>
    <w:rsid w:val="0051524F"/>
    <w:rsid w:val="0051566A"/>
    <w:rsid w:val="00515D7B"/>
    <w:rsid w:val="00515DD8"/>
    <w:rsid w:val="005166E9"/>
    <w:rsid w:val="00516C92"/>
    <w:rsid w:val="00517917"/>
    <w:rsid w:val="0052009E"/>
    <w:rsid w:val="005200F7"/>
    <w:rsid w:val="00520AB5"/>
    <w:rsid w:val="00520D7F"/>
    <w:rsid w:val="00521596"/>
    <w:rsid w:val="00522066"/>
    <w:rsid w:val="005222FA"/>
    <w:rsid w:val="005247B4"/>
    <w:rsid w:val="00525059"/>
    <w:rsid w:val="00525740"/>
    <w:rsid w:val="00525E59"/>
    <w:rsid w:val="005278EE"/>
    <w:rsid w:val="00530A21"/>
    <w:rsid w:val="005310DD"/>
    <w:rsid w:val="00531851"/>
    <w:rsid w:val="005318CC"/>
    <w:rsid w:val="0053199E"/>
    <w:rsid w:val="00531D65"/>
    <w:rsid w:val="005321E1"/>
    <w:rsid w:val="00532255"/>
    <w:rsid w:val="00532B00"/>
    <w:rsid w:val="00532FAE"/>
    <w:rsid w:val="005334E4"/>
    <w:rsid w:val="005349B1"/>
    <w:rsid w:val="00535AA4"/>
    <w:rsid w:val="00535DA3"/>
    <w:rsid w:val="005364A6"/>
    <w:rsid w:val="005364AE"/>
    <w:rsid w:val="0053652C"/>
    <w:rsid w:val="0053659B"/>
    <w:rsid w:val="005368A0"/>
    <w:rsid w:val="005374BC"/>
    <w:rsid w:val="0054069B"/>
    <w:rsid w:val="00540EC2"/>
    <w:rsid w:val="0054101E"/>
    <w:rsid w:val="005427DC"/>
    <w:rsid w:val="00543177"/>
    <w:rsid w:val="00543188"/>
    <w:rsid w:val="005432F0"/>
    <w:rsid w:val="00543367"/>
    <w:rsid w:val="00543741"/>
    <w:rsid w:val="0054384E"/>
    <w:rsid w:val="00543BFA"/>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3C4"/>
    <w:rsid w:val="005558FA"/>
    <w:rsid w:val="0055637C"/>
    <w:rsid w:val="00556B00"/>
    <w:rsid w:val="0055753F"/>
    <w:rsid w:val="00557618"/>
    <w:rsid w:val="00557782"/>
    <w:rsid w:val="00560866"/>
    <w:rsid w:val="00560C90"/>
    <w:rsid w:val="00560C94"/>
    <w:rsid w:val="00560FD5"/>
    <w:rsid w:val="0056101E"/>
    <w:rsid w:val="00561BD7"/>
    <w:rsid w:val="00561C0A"/>
    <w:rsid w:val="00562765"/>
    <w:rsid w:val="0056283B"/>
    <w:rsid w:val="0056291C"/>
    <w:rsid w:val="00563E82"/>
    <w:rsid w:val="00564289"/>
    <w:rsid w:val="005643FD"/>
    <w:rsid w:val="005646BB"/>
    <w:rsid w:val="005647F9"/>
    <w:rsid w:val="00564B19"/>
    <w:rsid w:val="00564C4B"/>
    <w:rsid w:val="0056586F"/>
    <w:rsid w:val="00565A63"/>
    <w:rsid w:val="00566588"/>
    <w:rsid w:val="0056662E"/>
    <w:rsid w:val="00566A26"/>
    <w:rsid w:val="00566F23"/>
    <w:rsid w:val="00566F6B"/>
    <w:rsid w:val="00567012"/>
    <w:rsid w:val="00567BA7"/>
    <w:rsid w:val="00567EA5"/>
    <w:rsid w:val="00570514"/>
    <w:rsid w:val="005705B3"/>
    <w:rsid w:val="00571111"/>
    <w:rsid w:val="00571A41"/>
    <w:rsid w:val="0057216B"/>
    <w:rsid w:val="005721D0"/>
    <w:rsid w:val="0057275D"/>
    <w:rsid w:val="00572919"/>
    <w:rsid w:val="00572C41"/>
    <w:rsid w:val="0057329C"/>
    <w:rsid w:val="00573AD5"/>
    <w:rsid w:val="00573D1A"/>
    <w:rsid w:val="00574103"/>
    <w:rsid w:val="00574DA2"/>
    <w:rsid w:val="00575B68"/>
    <w:rsid w:val="00575DA6"/>
    <w:rsid w:val="00577104"/>
    <w:rsid w:val="0057737F"/>
    <w:rsid w:val="005800A9"/>
    <w:rsid w:val="00580488"/>
    <w:rsid w:val="0058074D"/>
    <w:rsid w:val="00580FD1"/>
    <w:rsid w:val="00581A62"/>
    <w:rsid w:val="00582FAD"/>
    <w:rsid w:val="00583489"/>
    <w:rsid w:val="0058391F"/>
    <w:rsid w:val="00583A80"/>
    <w:rsid w:val="00584188"/>
    <w:rsid w:val="00584E33"/>
    <w:rsid w:val="00585432"/>
    <w:rsid w:val="00585AD4"/>
    <w:rsid w:val="00586819"/>
    <w:rsid w:val="00586E9A"/>
    <w:rsid w:val="00587419"/>
    <w:rsid w:val="00587AF5"/>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742"/>
    <w:rsid w:val="005A152F"/>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6DA"/>
    <w:rsid w:val="005B3E66"/>
    <w:rsid w:val="005B3FE8"/>
    <w:rsid w:val="005B436C"/>
    <w:rsid w:val="005B477E"/>
    <w:rsid w:val="005B4F97"/>
    <w:rsid w:val="005B50B0"/>
    <w:rsid w:val="005B52A4"/>
    <w:rsid w:val="005B5CA4"/>
    <w:rsid w:val="005B6E01"/>
    <w:rsid w:val="005B7476"/>
    <w:rsid w:val="005B7688"/>
    <w:rsid w:val="005B7849"/>
    <w:rsid w:val="005B7B0E"/>
    <w:rsid w:val="005C0DFA"/>
    <w:rsid w:val="005C0FF0"/>
    <w:rsid w:val="005C113A"/>
    <w:rsid w:val="005C219B"/>
    <w:rsid w:val="005C3575"/>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0B95"/>
    <w:rsid w:val="005D15AE"/>
    <w:rsid w:val="005D1A7B"/>
    <w:rsid w:val="005D1EDD"/>
    <w:rsid w:val="005D2965"/>
    <w:rsid w:val="005D456F"/>
    <w:rsid w:val="005D45B3"/>
    <w:rsid w:val="005D4AB3"/>
    <w:rsid w:val="005D4CEB"/>
    <w:rsid w:val="005D5344"/>
    <w:rsid w:val="005D5DA8"/>
    <w:rsid w:val="005D61EB"/>
    <w:rsid w:val="005E0AE0"/>
    <w:rsid w:val="005E1BF3"/>
    <w:rsid w:val="005E518C"/>
    <w:rsid w:val="005E5F9A"/>
    <w:rsid w:val="005E6628"/>
    <w:rsid w:val="005E77F2"/>
    <w:rsid w:val="005F02B8"/>
    <w:rsid w:val="005F043C"/>
    <w:rsid w:val="005F0444"/>
    <w:rsid w:val="005F04E6"/>
    <w:rsid w:val="005F1138"/>
    <w:rsid w:val="005F13C8"/>
    <w:rsid w:val="005F17EC"/>
    <w:rsid w:val="005F1C2F"/>
    <w:rsid w:val="005F2F3F"/>
    <w:rsid w:val="005F39D5"/>
    <w:rsid w:val="005F3AB5"/>
    <w:rsid w:val="005F3E05"/>
    <w:rsid w:val="005F3E08"/>
    <w:rsid w:val="005F43B9"/>
    <w:rsid w:val="005F4BBF"/>
    <w:rsid w:val="005F55D6"/>
    <w:rsid w:val="005F599A"/>
    <w:rsid w:val="005F5CA9"/>
    <w:rsid w:val="005F68CB"/>
    <w:rsid w:val="005F6BDE"/>
    <w:rsid w:val="005F7F90"/>
    <w:rsid w:val="00600242"/>
    <w:rsid w:val="00601974"/>
    <w:rsid w:val="00602652"/>
    <w:rsid w:val="00602B51"/>
    <w:rsid w:val="006033E3"/>
    <w:rsid w:val="00605FC7"/>
    <w:rsid w:val="00606218"/>
    <w:rsid w:val="00606CA3"/>
    <w:rsid w:val="00606E91"/>
    <w:rsid w:val="00607018"/>
    <w:rsid w:val="006077ED"/>
    <w:rsid w:val="00607C5F"/>
    <w:rsid w:val="00610954"/>
    <w:rsid w:val="00610CBE"/>
    <w:rsid w:val="00610E1F"/>
    <w:rsid w:val="0061321C"/>
    <w:rsid w:val="00614C5C"/>
    <w:rsid w:val="00614CA1"/>
    <w:rsid w:val="00615C2C"/>
    <w:rsid w:val="00616D42"/>
    <w:rsid w:val="00617297"/>
    <w:rsid w:val="0062038A"/>
    <w:rsid w:val="006203A8"/>
    <w:rsid w:val="00620E59"/>
    <w:rsid w:val="00621132"/>
    <w:rsid w:val="00622656"/>
    <w:rsid w:val="00622A77"/>
    <w:rsid w:val="00622C05"/>
    <w:rsid w:val="00623305"/>
    <w:rsid w:val="0062386E"/>
    <w:rsid w:val="00623D9A"/>
    <w:rsid w:val="00623F01"/>
    <w:rsid w:val="006242FB"/>
    <w:rsid w:val="00624738"/>
    <w:rsid w:val="0062670B"/>
    <w:rsid w:val="00626E2D"/>
    <w:rsid w:val="006272DE"/>
    <w:rsid w:val="00627A55"/>
    <w:rsid w:val="00627D94"/>
    <w:rsid w:val="00630490"/>
    <w:rsid w:val="006304D3"/>
    <w:rsid w:val="00630A33"/>
    <w:rsid w:val="00630AB9"/>
    <w:rsid w:val="00630B42"/>
    <w:rsid w:val="00630C14"/>
    <w:rsid w:val="006310FC"/>
    <w:rsid w:val="006313B1"/>
    <w:rsid w:val="00631688"/>
    <w:rsid w:val="006320D8"/>
    <w:rsid w:val="00632540"/>
    <w:rsid w:val="00632E88"/>
    <w:rsid w:val="0063454C"/>
    <w:rsid w:val="00634DBB"/>
    <w:rsid w:val="00635744"/>
    <w:rsid w:val="00635EA5"/>
    <w:rsid w:val="00637C26"/>
    <w:rsid w:val="00640732"/>
    <w:rsid w:val="006413B3"/>
    <w:rsid w:val="0064185E"/>
    <w:rsid w:val="00642072"/>
    <w:rsid w:val="00642088"/>
    <w:rsid w:val="00643DBD"/>
    <w:rsid w:val="006440ED"/>
    <w:rsid w:val="0064467C"/>
    <w:rsid w:val="00644F1E"/>
    <w:rsid w:val="00645213"/>
    <w:rsid w:val="00645293"/>
    <w:rsid w:val="006468CB"/>
    <w:rsid w:val="006469D9"/>
    <w:rsid w:val="00646CF8"/>
    <w:rsid w:val="00650A2D"/>
    <w:rsid w:val="00651B78"/>
    <w:rsid w:val="00652263"/>
    <w:rsid w:val="0065238F"/>
    <w:rsid w:val="00652881"/>
    <w:rsid w:val="00652985"/>
    <w:rsid w:val="006533AE"/>
    <w:rsid w:val="00653C38"/>
    <w:rsid w:val="006551AE"/>
    <w:rsid w:val="00656FC4"/>
    <w:rsid w:val="00661974"/>
    <w:rsid w:val="006623E2"/>
    <w:rsid w:val="006624E3"/>
    <w:rsid w:val="00663E63"/>
    <w:rsid w:val="006640F9"/>
    <w:rsid w:val="00664551"/>
    <w:rsid w:val="00664685"/>
    <w:rsid w:val="00664B95"/>
    <w:rsid w:val="00665D5F"/>
    <w:rsid w:val="00665FB2"/>
    <w:rsid w:val="006676A0"/>
    <w:rsid w:val="006700C4"/>
    <w:rsid w:val="006703A4"/>
    <w:rsid w:val="006704F3"/>
    <w:rsid w:val="00670857"/>
    <w:rsid w:val="00670E4B"/>
    <w:rsid w:val="00671124"/>
    <w:rsid w:val="006727B0"/>
    <w:rsid w:val="00672C9E"/>
    <w:rsid w:val="0067307E"/>
    <w:rsid w:val="0067333F"/>
    <w:rsid w:val="006739C0"/>
    <w:rsid w:val="00673F6D"/>
    <w:rsid w:val="00674850"/>
    <w:rsid w:val="00675116"/>
    <w:rsid w:val="00675D03"/>
    <w:rsid w:val="00676016"/>
    <w:rsid w:val="00676462"/>
    <w:rsid w:val="00676EA7"/>
    <w:rsid w:val="006805DF"/>
    <w:rsid w:val="00681B97"/>
    <w:rsid w:val="00682EC2"/>
    <w:rsid w:val="00683F61"/>
    <w:rsid w:val="00686A36"/>
    <w:rsid w:val="00687AD5"/>
    <w:rsid w:val="00687FBD"/>
    <w:rsid w:val="0069211A"/>
    <w:rsid w:val="00692775"/>
    <w:rsid w:val="00692B81"/>
    <w:rsid w:val="00692C4F"/>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28BF"/>
    <w:rsid w:val="006A2EA3"/>
    <w:rsid w:val="006A303F"/>
    <w:rsid w:val="006A3CC1"/>
    <w:rsid w:val="006A3F9D"/>
    <w:rsid w:val="006A4899"/>
    <w:rsid w:val="006A62E1"/>
    <w:rsid w:val="006A6566"/>
    <w:rsid w:val="006A72C6"/>
    <w:rsid w:val="006A7310"/>
    <w:rsid w:val="006B02D0"/>
    <w:rsid w:val="006B02DA"/>
    <w:rsid w:val="006B08FB"/>
    <w:rsid w:val="006B0A5A"/>
    <w:rsid w:val="006B14BF"/>
    <w:rsid w:val="006B2065"/>
    <w:rsid w:val="006B275B"/>
    <w:rsid w:val="006B2D79"/>
    <w:rsid w:val="006B2F8B"/>
    <w:rsid w:val="006B2FA1"/>
    <w:rsid w:val="006B30BF"/>
    <w:rsid w:val="006B38C6"/>
    <w:rsid w:val="006B3940"/>
    <w:rsid w:val="006B45A6"/>
    <w:rsid w:val="006B47D3"/>
    <w:rsid w:val="006B62F0"/>
    <w:rsid w:val="006B6C6B"/>
    <w:rsid w:val="006C09B6"/>
    <w:rsid w:val="006C0DBC"/>
    <w:rsid w:val="006C111B"/>
    <w:rsid w:val="006C168D"/>
    <w:rsid w:val="006C2BF5"/>
    <w:rsid w:val="006C4A40"/>
    <w:rsid w:val="006C4C9E"/>
    <w:rsid w:val="006C4E56"/>
    <w:rsid w:val="006C5CE0"/>
    <w:rsid w:val="006C5E49"/>
    <w:rsid w:val="006C5EDB"/>
    <w:rsid w:val="006C61CD"/>
    <w:rsid w:val="006C642C"/>
    <w:rsid w:val="006C64F3"/>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B4D"/>
    <w:rsid w:val="006D41EF"/>
    <w:rsid w:val="006D53AA"/>
    <w:rsid w:val="006D6993"/>
    <w:rsid w:val="006D70F0"/>
    <w:rsid w:val="006D78AA"/>
    <w:rsid w:val="006E0D09"/>
    <w:rsid w:val="006E0D87"/>
    <w:rsid w:val="006E1F1D"/>
    <w:rsid w:val="006E241F"/>
    <w:rsid w:val="006E24EE"/>
    <w:rsid w:val="006E25BD"/>
    <w:rsid w:val="006E3379"/>
    <w:rsid w:val="006E34B7"/>
    <w:rsid w:val="006E36B8"/>
    <w:rsid w:val="006E3874"/>
    <w:rsid w:val="006E5585"/>
    <w:rsid w:val="006E5842"/>
    <w:rsid w:val="006E59EA"/>
    <w:rsid w:val="006E5BAC"/>
    <w:rsid w:val="006E5E32"/>
    <w:rsid w:val="006E62D5"/>
    <w:rsid w:val="006E633A"/>
    <w:rsid w:val="006E6A14"/>
    <w:rsid w:val="006E6B16"/>
    <w:rsid w:val="006E6DE8"/>
    <w:rsid w:val="006E780C"/>
    <w:rsid w:val="006F0823"/>
    <w:rsid w:val="006F0BA7"/>
    <w:rsid w:val="006F0EB9"/>
    <w:rsid w:val="006F0F01"/>
    <w:rsid w:val="006F174D"/>
    <w:rsid w:val="006F1F41"/>
    <w:rsid w:val="006F3222"/>
    <w:rsid w:val="006F32EF"/>
    <w:rsid w:val="006F3615"/>
    <w:rsid w:val="006F3788"/>
    <w:rsid w:val="006F3C54"/>
    <w:rsid w:val="006F4CD8"/>
    <w:rsid w:val="006F53D9"/>
    <w:rsid w:val="006F5812"/>
    <w:rsid w:val="006F609A"/>
    <w:rsid w:val="006F7FDA"/>
    <w:rsid w:val="007004DC"/>
    <w:rsid w:val="00701093"/>
    <w:rsid w:val="007018D6"/>
    <w:rsid w:val="007022C4"/>
    <w:rsid w:val="007026E9"/>
    <w:rsid w:val="00703C8B"/>
    <w:rsid w:val="00703E8A"/>
    <w:rsid w:val="00704372"/>
    <w:rsid w:val="00704F60"/>
    <w:rsid w:val="00706045"/>
    <w:rsid w:val="00706EA3"/>
    <w:rsid w:val="007078BE"/>
    <w:rsid w:val="00710BF6"/>
    <w:rsid w:val="00711522"/>
    <w:rsid w:val="007118A6"/>
    <w:rsid w:val="007124FE"/>
    <w:rsid w:val="00712533"/>
    <w:rsid w:val="00713186"/>
    <w:rsid w:val="00713757"/>
    <w:rsid w:val="00713758"/>
    <w:rsid w:val="007137D8"/>
    <w:rsid w:val="00714064"/>
    <w:rsid w:val="00715517"/>
    <w:rsid w:val="00716A38"/>
    <w:rsid w:val="00717772"/>
    <w:rsid w:val="00717BDC"/>
    <w:rsid w:val="007200E5"/>
    <w:rsid w:val="00720622"/>
    <w:rsid w:val="00720C17"/>
    <w:rsid w:val="00721AF1"/>
    <w:rsid w:val="0072280F"/>
    <w:rsid w:val="00722B5E"/>
    <w:rsid w:val="007230F1"/>
    <w:rsid w:val="007235F5"/>
    <w:rsid w:val="00723B2C"/>
    <w:rsid w:val="007253CC"/>
    <w:rsid w:val="00725668"/>
    <w:rsid w:val="00725F0E"/>
    <w:rsid w:val="00726F5A"/>
    <w:rsid w:val="0072708F"/>
    <w:rsid w:val="00730172"/>
    <w:rsid w:val="00730E81"/>
    <w:rsid w:val="00731000"/>
    <w:rsid w:val="00731204"/>
    <w:rsid w:val="007319BC"/>
    <w:rsid w:val="0073222B"/>
    <w:rsid w:val="00732582"/>
    <w:rsid w:val="00732D1D"/>
    <w:rsid w:val="007332C4"/>
    <w:rsid w:val="00733C68"/>
    <w:rsid w:val="00734381"/>
    <w:rsid w:val="00735EAA"/>
    <w:rsid w:val="00736034"/>
    <w:rsid w:val="0073681C"/>
    <w:rsid w:val="0073725B"/>
    <w:rsid w:val="00737E96"/>
    <w:rsid w:val="00740189"/>
    <w:rsid w:val="0074033C"/>
    <w:rsid w:val="0074050E"/>
    <w:rsid w:val="00740B66"/>
    <w:rsid w:val="00741AF8"/>
    <w:rsid w:val="00741EBE"/>
    <w:rsid w:val="00742112"/>
    <w:rsid w:val="00742181"/>
    <w:rsid w:val="00742218"/>
    <w:rsid w:val="007424EC"/>
    <w:rsid w:val="00742728"/>
    <w:rsid w:val="00742AB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2144"/>
    <w:rsid w:val="0076230F"/>
    <w:rsid w:val="00762ABF"/>
    <w:rsid w:val="00762C75"/>
    <w:rsid w:val="00762F29"/>
    <w:rsid w:val="00764A94"/>
    <w:rsid w:val="00764B26"/>
    <w:rsid w:val="00764EA6"/>
    <w:rsid w:val="0076511D"/>
    <w:rsid w:val="007651A9"/>
    <w:rsid w:val="007651E5"/>
    <w:rsid w:val="0076524F"/>
    <w:rsid w:val="00765584"/>
    <w:rsid w:val="007665B2"/>
    <w:rsid w:val="00766B12"/>
    <w:rsid w:val="007670DC"/>
    <w:rsid w:val="00767356"/>
    <w:rsid w:val="00770F2A"/>
    <w:rsid w:val="0077111A"/>
    <w:rsid w:val="00771F95"/>
    <w:rsid w:val="0077213A"/>
    <w:rsid w:val="007721E2"/>
    <w:rsid w:val="00772272"/>
    <w:rsid w:val="0077369F"/>
    <w:rsid w:val="0077463A"/>
    <w:rsid w:val="00774AB3"/>
    <w:rsid w:val="00774D0F"/>
    <w:rsid w:val="00774D7B"/>
    <w:rsid w:val="007756ED"/>
    <w:rsid w:val="0077589D"/>
    <w:rsid w:val="0077617F"/>
    <w:rsid w:val="00776A3D"/>
    <w:rsid w:val="0077707A"/>
    <w:rsid w:val="007776BF"/>
    <w:rsid w:val="00780B65"/>
    <w:rsid w:val="007819A1"/>
    <w:rsid w:val="00782B2A"/>
    <w:rsid w:val="00783BA5"/>
    <w:rsid w:val="00784F9E"/>
    <w:rsid w:val="0078533C"/>
    <w:rsid w:val="007857FB"/>
    <w:rsid w:val="007863A3"/>
    <w:rsid w:val="007870FC"/>
    <w:rsid w:val="00787CD0"/>
    <w:rsid w:val="00787FF8"/>
    <w:rsid w:val="007905A2"/>
    <w:rsid w:val="00791053"/>
    <w:rsid w:val="00791261"/>
    <w:rsid w:val="007918FE"/>
    <w:rsid w:val="00791A3A"/>
    <w:rsid w:val="007922B8"/>
    <w:rsid w:val="0079262D"/>
    <w:rsid w:val="00792A53"/>
    <w:rsid w:val="0079323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2F14"/>
    <w:rsid w:val="007A3680"/>
    <w:rsid w:val="007A3BCD"/>
    <w:rsid w:val="007A5214"/>
    <w:rsid w:val="007A5357"/>
    <w:rsid w:val="007A59B8"/>
    <w:rsid w:val="007A65AF"/>
    <w:rsid w:val="007A7682"/>
    <w:rsid w:val="007A7F38"/>
    <w:rsid w:val="007A7F42"/>
    <w:rsid w:val="007B07E4"/>
    <w:rsid w:val="007B0E14"/>
    <w:rsid w:val="007B2862"/>
    <w:rsid w:val="007B2FD8"/>
    <w:rsid w:val="007B3968"/>
    <w:rsid w:val="007B3B0A"/>
    <w:rsid w:val="007B45AF"/>
    <w:rsid w:val="007B4DD0"/>
    <w:rsid w:val="007B611E"/>
    <w:rsid w:val="007B662A"/>
    <w:rsid w:val="007B684F"/>
    <w:rsid w:val="007B71DC"/>
    <w:rsid w:val="007B758B"/>
    <w:rsid w:val="007B7743"/>
    <w:rsid w:val="007C04F4"/>
    <w:rsid w:val="007C0762"/>
    <w:rsid w:val="007C0CFB"/>
    <w:rsid w:val="007C16D6"/>
    <w:rsid w:val="007C2139"/>
    <w:rsid w:val="007C27DE"/>
    <w:rsid w:val="007C299E"/>
    <w:rsid w:val="007C2DFD"/>
    <w:rsid w:val="007C3C64"/>
    <w:rsid w:val="007C3F97"/>
    <w:rsid w:val="007C525F"/>
    <w:rsid w:val="007C5321"/>
    <w:rsid w:val="007C5E8A"/>
    <w:rsid w:val="007C5F4B"/>
    <w:rsid w:val="007C6AAB"/>
    <w:rsid w:val="007C6EA8"/>
    <w:rsid w:val="007C7B84"/>
    <w:rsid w:val="007C7E09"/>
    <w:rsid w:val="007D058F"/>
    <w:rsid w:val="007D1FE9"/>
    <w:rsid w:val="007D28C9"/>
    <w:rsid w:val="007D3009"/>
    <w:rsid w:val="007D326B"/>
    <w:rsid w:val="007D38F0"/>
    <w:rsid w:val="007D3CC8"/>
    <w:rsid w:val="007D3D45"/>
    <w:rsid w:val="007D430A"/>
    <w:rsid w:val="007D47FB"/>
    <w:rsid w:val="007D4DD3"/>
    <w:rsid w:val="007D4F6E"/>
    <w:rsid w:val="007D576A"/>
    <w:rsid w:val="007D62F9"/>
    <w:rsid w:val="007D63A4"/>
    <w:rsid w:val="007D6542"/>
    <w:rsid w:val="007D7313"/>
    <w:rsid w:val="007E1AA2"/>
    <w:rsid w:val="007E1EE3"/>
    <w:rsid w:val="007E1F2C"/>
    <w:rsid w:val="007E2429"/>
    <w:rsid w:val="007E2793"/>
    <w:rsid w:val="007E279D"/>
    <w:rsid w:val="007E2D69"/>
    <w:rsid w:val="007E3B9A"/>
    <w:rsid w:val="007E46E8"/>
    <w:rsid w:val="007E470F"/>
    <w:rsid w:val="007E4C1F"/>
    <w:rsid w:val="007E500F"/>
    <w:rsid w:val="007E55C0"/>
    <w:rsid w:val="007F01DE"/>
    <w:rsid w:val="007F0759"/>
    <w:rsid w:val="007F0BCC"/>
    <w:rsid w:val="007F0D5B"/>
    <w:rsid w:val="007F124D"/>
    <w:rsid w:val="007F156E"/>
    <w:rsid w:val="007F1C97"/>
    <w:rsid w:val="007F1CF3"/>
    <w:rsid w:val="007F25C0"/>
    <w:rsid w:val="007F30BB"/>
    <w:rsid w:val="007F3368"/>
    <w:rsid w:val="007F3D6A"/>
    <w:rsid w:val="007F4C96"/>
    <w:rsid w:val="007F5D9C"/>
    <w:rsid w:val="007F5F52"/>
    <w:rsid w:val="007F672A"/>
    <w:rsid w:val="007F6A1D"/>
    <w:rsid w:val="007F77C6"/>
    <w:rsid w:val="007F79D4"/>
    <w:rsid w:val="008003A1"/>
    <w:rsid w:val="008006B7"/>
    <w:rsid w:val="00800FDB"/>
    <w:rsid w:val="00802081"/>
    <w:rsid w:val="008020F6"/>
    <w:rsid w:val="0080298E"/>
    <w:rsid w:val="00802F04"/>
    <w:rsid w:val="00803833"/>
    <w:rsid w:val="00804316"/>
    <w:rsid w:val="008044F8"/>
    <w:rsid w:val="00804B55"/>
    <w:rsid w:val="008050BC"/>
    <w:rsid w:val="00805D3E"/>
    <w:rsid w:val="00806461"/>
    <w:rsid w:val="008064C1"/>
    <w:rsid w:val="0081096D"/>
    <w:rsid w:val="00810EAD"/>
    <w:rsid w:val="00811833"/>
    <w:rsid w:val="008134C7"/>
    <w:rsid w:val="00814BDE"/>
    <w:rsid w:val="00814DBC"/>
    <w:rsid w:val="008159A9"/>
    <w:rsid w:val="008174D4"/>
    <w:rsid w:val="0082002E"/>
    <w:rsid w:val="0082083C"/>
    <w:rsid w:val="00820BF6"/>
    <w:rsid w:val="00820C54"/>
    <w:rsid w:val="00820F37"/>
    <w:rsid w:val="00820FE6"/>
    <w:rsid w:val="00821A66"/>
    <w:rsid w:val="00822476"/>
    <w:rsid w:val="008227FB"/>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7CEF"/>
    <w:rsid w:val="00837E2F"/>
    <w:rsid w:val="00840035"/>
    <w:rsid w:val="00842661"/>
    <w:rsid w:val="008428A9"/>
    <w:rsid w:val="00842D1E"/>
    <w:rsid w:val="00844112"/>
    <w:rsid w:val="008444D6"/>
    <w:rsid w:val="008456C9"/>
    <w:rsid w:val="0084611D"/>
    <w:rsid w:val="00846177"/>
    <w:rsid w:val="008462E0"/>
    <w:rsid w:val="0084654D"/>
    <w:rsid w:val="00846C9F"/>
    <w:rsid w:val="00847BD6"/>
    <w:rsid w:val="00850137"/>
    <w:rsid w:val="00850C62"/>
    <w:rsid w:val="00852B48"/>
    <w:rsid w:val="0085435B"/>
    <w:rsid w:val="0085474D"/>
    <w:rsid w:val="00855B21"/>
    <w:rsid w:val="00856481"/>
    <w:rsid w:val="00856484"/>
    <w:rsid w:val="008567A2"/>
    <w:rsid w:val="00856E6C"/>
    <w:rsid w:val="00857DE1"/>
    <w:rsid w:val="00860793"/>
    <w:rsid w:val="00862636"/>
    <w:rsid w:val="00863011"/>
    <w:rsid w:val="00863C5B"/>
    <w:rsid w:val="00863D2E"/>
    <w:rsid w:val="00864E32"/>
    <w:rsid w:val="00865075"/>
    <w:rsid w:val="00865B2B"/>
    <w:rsid w:val="00865E2D"/>
    <w:rsid w:val="0086615F"/>
    <w:rsid w:val="0086748F"/>
    <w:rsid w:val="008707EB"/>
    <w:rsid w:val="00870FBB"/>
    <w:rsid w:val="00871A0D"/>
    <w:rsid w:val="00871B95"/>
    <w:rsid w:val="008720A7"/>
    <w:rsid w:val="00872757"/>
    <w:rsid w:val="00872CE4"/>
    <w:rsid w:val="0087359D"/>
    <w:rsid w:val="0087391D"/>
    <w:rsid w:val="00873AA4"/>
    <w:rsid w:val="00873CA8"/>
    <w:rsid w:val="00873F3E"/>
    <w:rsid w:val="00873F5D"/>
    <w:rsid w:val="0087507A"/>
    <w:rsid w:val="0087570C"/>
    <w:rsid w:val="00875DF5"/>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0FFF"/>
    <w:rsid w:val="0089214A"/>
    <w:rsid w:val="00892226"/>
    <w:rsid w:val="008922FA"/>
    <w:rsid w:val="00892D3E"/>
    <w:rsid w:val="008936DC"/>
    <w:rsid w:val="00893784"/>
    <w:rsid w:val="00893E53"/>
    <w:rsid w:val="008945EB"/>
    <w:rsid w:val="00894C2A"/>
    <w:rsid w:val="008964A8"/>
    <w:rsid w:val="0089690B"/>
    <w:rsid w:val="00896A5F"/>
    <w:rsid w:val="0089728F"/>
    <w:rsid w:val="008976C0"/>
    <w:rsid w:val="00897708"/>
    <w:rsid w:val="00897C25"/>
    <w:rsid w:val="00897D88"/>
    <w:rsid w:val="008A17AF"/>
    <w:rsid w:val="008A1F98"/>
    <w:rsid w:val="008A2C65"/>
    <w:rsid w:val="008A2F16"/>
    <w:rsid w:val="008A36AE"/>
    <w:rsid w:val="008A3B1C"/>
    <w:rsid w:val="008A48C3"/>
    <w:rsid w:val="008A4E18"/>
    <w:rsid w:val="008A520C"/>
    <w:rsid w:val="008A5493"/>
    <w:rsid w:val="008A596C"/>
    <w:rsid w:val="008A5A5D"/>
    <w:rsid w:val="008A64C4"/>
    <w:rsid w:val="008A6789"/>
    <w:rsid w:val="008A6BF7"/>
    <w:rsid w:val="008A6CC1"/>
    <w:rsid w:val="008A7011"/>
    <w:rsid w:val="008A72FB"/>
    <w:rsid w:val="008A7F03"/>
    <w:rsid w:val="008B009C"/>
    <w:rsid w:val="008B1823"/>
    <w:rsid w:val="008B1B4E"/>
    <w:rsid w:val="008B24DC"/>
    <w:rsid w:val="008B2BDF"/>
    <w:rsid w:val="008B4198"/>
    <w:rsid w:val="008B586A"/>
    <w:rsid w:val="008B6651"/>
    <w:rsid w:val="008B6E16"/>
    <w:rsid w:val="008B7110"/>
    <w:rsid w:val="008B7A20"/>
    <w:rsid w:val="008C0DF9"/>
    <w:rsid w:val="008C2029"/>
    <w:rsid w:val="008C267C"/>
    <w:rsid w:val="008C2E44"/>
    <w:rsid w:val="008C3427"/>
    <w:rsid w:val="008C381D"/>
    <w:rsid w:val="008C3BC2"/>
    <w:rsid w:val="008C4413"/>
    <w:rsid w:val="008C4F76"/>
    <w:rsid w:val="008C55AD"/>
    <w:rsid w:val="008C6127"/>
    <w:rsid w:val="008C61D6"/>
    <w:rsid w:val="008C649D"/>
    <w:rsid w:val="008C64F1"/>
    <w:rsid w:val="008C69DE"/>
    <w:rsid w:val="008C7C1A"/>
    <w:rsid w:val="008D0DC1"/>
    <w:rsid w:val="008D1326"/>
    <w:rsid w:val="008D1BB0"/>
    <w:rsid w:val="008D20FF"/>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668"/>
    <w:rsid w:val="008F48E1"/>
    <w:rsid w:val="008F4C10"/>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753"/>
    <w:rsid w:val="00907264"/>
    <w:rsid w:val="00907488"/>
    <w:rsid w:val="0090765F"/>
    <w:rsid w:val="00907DE6"/>
    <w:rsid w:val="00910642"/>
    <w:rsid w:val="00911305"/>
    <w:rsid w:val="00912590"/>
    <w:rsid w:val="009125B5"/>
    <w:rsid w:val="00913200"/>
    <w:rsid w:val="00914EAB"/>
    <w:rsid w:val="009152D8"/>
    <w:rsid w:val="009154FD"/>
    <w:rsid w:val="00915A1D"/>
    <w:rsid w:val="0092042F"/>
    <w:rsid w:val="009208DC"/>
    <w:rsid w:val="009221F1"/>
    <w:rsid w:val="00922567"/>
    <w:rsid w:val="009228DB"/>
    <w:rsid w:val="00922B68"/>
    <w:rsid w:val="00922D49"/>
    <w:rsid w:val="009236B9"/>
    <w:rsid w:val="00925E37"/>
    <w:rsid w:val="00925EDD"/>
    <w:rsid w:val="00925F20"/>
    <w:rsid w:val="00926C1A"/>
    <w:rsid w:val="00927899"/>
    <w:rsid w:val="00927D0E"/>
    <w:rsid w:val="00927D1F"/>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37FC6"/>
    <w:rsid w:val="00940291"/>
    <w:rsid w:val="009406B3"/>
    <w:rsid w:val="00942286"/>
    <w:rsid w:val="00942EFD"/>
    <w:rsid w:val="00942F30"/>
    <w:rsid w:val="00943748"/>
    <w:rsid w:val="00943AB7"/>
    <w:rsid w:val="00943CEE"/>
    <w:rsid w:val="009444F4"/>
    <w:rsid w:val="00944674"/>
    <w:rsid w:val="00945727"/>
    <w:rsid w:val="00945CC4"/>
    <w:rsid w:val="00945CF5"/>
    <w:rsid w:val="0094691C"/>
    <w:rsid w:val="00947C95"/>
    <w:rsid w:val="00947EED"/>
    <w:rsid w:val="009500A1"/>
    <w:rsid w:val="009502B0"/>
    <w:rsid w:val="0095037E"/>
    <w:rsid w:val="00951D97"/>
    <w:rsid w:val="00952230"/>
    <w:rsid w:val="00952AAD"/>
    <w:rsid w:val="00953B2B"/>
    <w:rsid w:val="00954567"/>
    <w:rsid w:val="009547B3"/>
    <w:rsid w:val="00954A89"/>
    <w:rsid w:val="00956671"/>
    <w:rsid w:val="009568D4"/>
    <w:rsid w:val="00956EEA"/>
    <w:rsid w:val="00957466"/>
    <w:rsid w:val="009576F7"/>
    <w:rsid w:val="00960722"/>
    <w:rsid w:val="00961356"/>
    <w:rsid w:val="00962401"/>
    <w:rsid w:val="00962510"/>
    <w:rsid w:val="0096260B"/>
    <w:rsid w:val="0096275C"/>
    <w:rsid w:val="009627FF"/>
    <w:rsid w:val="0096290F"/>
    <w:rsid w:val="00962A27"/>
    <w:rsid w:val="00962B9D"/>
    <w:rsid w:val="00962EDC"/>
    <w:rsid w:val="00964E3D"/>
    <w:rsid w:val="009664D5"/>
    <w:rsid w:val="009668A9"/>
    <w:rsid w:val="00966E6A"/>
    <w:rsid w:val="009670C1"/>
    <w:rsid w:val="00970C69"/>
    <w:rsid w:val="00971262"/>
    <w:rsid w:val="00971F1C"/>
    <w:rsid w:val="009720F0"/>
    <w:rsid w:val="0097211D"/>
    <w:rsid w:val="009724F9"/>
    <w:rsid w:val="0097263C"/>
    <w:rsid w:val="00972DF9"/>
    <w:rsid w:val="00972E10"/>
    <w:rsid w:val="009738AD"/>
    <w:rsid w:val="00974694"/>
    <w:rsid w:val="009746CA"/>
    <w:rsid w:val="00974E7C"/>
    <w:rsid w:val="00976F71"/>
    <w:rsid w:val="00977134"/>
    <w:rsid w:val="00980013"/>
    <w:rsid w:val="0098010E"/>
    <w:rsid w:val="009801B9"/>
    <w:rsid w:val="0098028A"/>
    <w:rsid w:val="0098030F"/>
    <w:rsid w:val="00980E65"/>
    <w:rsid w:val="0098122D"/>
    <w:rsid w:val="00981963"/>
    <w:rsid w:val="00982AAE"/>
    <w:rsid w:val="009831B9"/>
    <w:rsid w:val="00983A16"/>
    <w:rsid w:val="00983C82"/>
    <w:rsid w:val="009844D6"/>
    <w:rsid w:val="00984520"/>
    <w:rsid w:val="00985337"/>
    <w:rsid w:val="0098545C"/>
    <w:rsid w:val="00985F36"/>
    <w:rsid w:val="009862F1"/>
    <w:rsid w:val="00986F70"/>
    <w:rsid w:val="009871EA"/>
    <w:rsid w:val="00987CEA"/>
    <w:rsid w:val="00991675"/>
    <w:rsid w:val="00992BA2"/>
    <w:rsid w:val="00992D70"/>
    <w:rsid w:val="00992F83"/>
    <w:rsid w:val="00993316"/>
    <w:rsid w:val="0099344F"/>
    <w:rsid w:val="00993577"/>
    <w:rsid w:val="00993A3C"/>
    <w:rsid w:val="00994633"/>
    <w:rsid w:val="0099508A"/>
    <w:rsid w:val="009967D7"/>
    <w:rsid w:val="009974EB"/>
    <w:rsid w:val="00997A12"/>
    <w:rsid w:val="009A0C49"/>
    <w:rsid w:val="009A1126"/>
    <w:rsid w:val="009A16C1"/>
    <w:rsid w:val="009A1CB4"/>
    <w:rsid w:val="009A2157"/>
    <w:rsid w:val="009A439E"/>
    <w:rsid w:val="009A5564"/>
    <w:rsid w:val="009A7469"/>
    <w:rsid w:val="009B07EE"/>
    <w:rsid w:val="009B1584"/>
    <w:rsid w:val="009B1B32"/>
    <w:rsid w:val="009B21CA"/>
    <w:rsid w:val="009B2648"/>
    <w:rsid w:val="009B424E"/>
    <w:rsid w:val="009B4317"/>
    <w:rsid w:val="009B4EBB"/>
    <w:rsid w:val="009B529C"/>
    <w:rsid w:val="009B5FA5"/>
    <w:rsid w:val="009B61B2"/>
    <w:rsid w:val="009B679E"/>
    <w:rsid w:val="009B7332"/>
    <w:rsid w:val="009B7420"/>
    <w:rsid w:val="009B7B46"/>
    <w:rsid w:val="009C0294"/>
    <w:rsid w:val="009C03E5"/>
    <w:rsid w:val="009C08B6"/>
    <w:rsid w:val="009C0920"/>
    <w:rsid w:val="009C12C3"/>
    <w:rsid w:val="009C196C"/>
    <w:rsid w:val="009C1B5C"/>
    <w:rsid w:val="009C1FD2"/>
    <w:rsid w:val="009C3047"/>
    <w:rsid w:val="009C36E6"/>
    <w:rsid w:val="009C3730"/>
    <w:rsid w:val="009C37BD"/>
    <w:rsid w:val="009C3888"/>
    <w:rsid w:val="009C3AAC"/>
    <w:rsid w:val="009C4D19"/>
    <w:rsid w:val="009C5F6C"/>
    <w:rsid w:val="009C5FDB"/>
    <w:rsid w:val="009C693E"/>
    <w:rsid w:val="009C6B2C"/>
    <w:rsid w:val="009C6ED6"/>
    <w:rsid w:val="009C70CB"/>
    <w:rsid w:val="009C7623"/>
    <w:rsid w:val="009C7D89"/>
    <w:rsid w:val="009C7E41"/>
    <w:rsid w:val="009D07C7"/>
    <w:rsid w:val="009D14EB"/>
    <w:rsid w:val="009D1B18"/>
    <w:rsid w:val="009D1E70"/>
    <w:rsid w:val="009D1EA4"/>
    <w:rsid w:val="009D27AA"/>
    <w:rsid w:val="009D2843"/>
    <w:rsid w:val="009D2BFD"/>
    <w:rsid w:val="009D2D5A"/>
    <w:rsid w:val="009D2FF8"/>
    <w:rsid w:val="009D3F20"/>
    <w:rsid w:val="009D428F"/>
    <w:rsid w:val="009D4991"/>
    <w:rsid w:val="009D597B"/>
    <w:rsid w:val="009D5A89"/>
    <w:rsid w:val="009D5BB5"/>
    <w:rsid w:val="009D6657"/>
    <w:rsid w:val="009D66C1"/>
    <w:rsid w:val="009D696D"/>
    <w:rsid w:val="009D6993"/>
    <w:rsid w:val="009D6ED2"/>
    <w:rsid w:val="009D78A3"/>
    <w:rsid w:val="009D7DB4"/>
    <w:rsid w:val="009E0603"/>
    <w:rsid w:val="009E08B3"/>
    <w:rsid w:val="009E0F1A"/>
    <w:rsid w:val="009E140D"/>
    <w:rsid w:val="009E43DD"/>
    <w:rsid w:val="009E4465"/>
    <w:rsid w:val="009E5318"/>
    <w:rsid w:val="009E6401"/>
    <w:rsid w:val="009E6C54"/>
    <w:rsid w:val="009E72E8"/>
    <w:rsid w:val="009F04C8"/>
    <w:rsid w:val="009F0812"/>
    <w:rsid w:val="009F0E02"/>
    <w:rsid w:val="009F1B6A"/>
    <w:rsid w:val="009F1FEB"/>
    <w:rsid w:val="009F2408"/>
    <w:rsid w:val="009F248B"/>
    <w:rsid w:val="009F2A25"/>
    <w:rsid w:val="009F3A1A"/>
    <w:rsid w:val="009F4C7D"/>
    <w:rsid w:val="009F5235"/>
    <w:rsid w:val="009F531A"/>
    <w:rsid w:val="009F5EB9"/>
    <w:rsid w:val="009F6344"/>
    <w:rsid w:val="009F6550"/>
    <w:rsid w:val="009F6B65"/>
    <w:rsid w:val="009F786E"/>
    <w:rsid w:val="009F7B30"/>
    <w:rsid w:val="00A00817"/>
    <w:rsid w:val="00A00902"/>
    <w:rsid w:val="00A0098B"/>
    <w:rsid w:val="00A01A28"/>
    <w:rsid w:val="00A0294E"/>
    <w:rsid w:val="00A0327A"/>
    <w:rsid w:val="00A039FF"/>
    <w:rsid w:val="00A04524"/>
    <w:rsid w:val="00A046F6"/>
    <w:rsid w:val="00A05758"/>
    <w:rsid w:val="00A05ACE"/>
    <w:rsid w:val="00A06DBC"/>
    <w:rsid w:val="00A10C6C"/>
    <w:rsid w:val="00A114B9"/>
    <w:rsid w:val="00A11895"/>
    <w:rsid w:val="00A1211A"/>
    <w:rsid w:val="00A139BF"/>
    <w:rsid w:val="00A13A2E"/>
    <w:rsid w:val="00A13A65"/>
    <w:rsid w:val="00A13A67"/>
    <w:rsid w:val="00A14589"/>
    <w:rsid w:val="00A14AE3"/>
    <w:rsid w:val="00A151A0"/>
    <w:rsid w:val="00A16675"/>
    <w:rsid w:val="00A21955"/>
    <w:rsid w:val="00A22BB6"/>
    <w:rsid w:val="00A22CD6"/>
    <w:rsid w:val="00A234EC"/>
    <w:rsid w:val="00A24128"/>
    <w:rsid w:val="00A2417A"/>
    <w:rsid w:val="00A25642"/>
    <w:rsid w:val="00A26668"/>
    <w:rsid w:val="00A2681F"/>
    <w:rsid w:val="00A27804"/>
    <w:rsid w:val="00A317EA"/>
    <w:rsid w:val="00A320F6"/>
    <w:rsid w:val="00A3276D"/>
    <w:rsid w:val="00A330B0"/>
    <w:rsid w:val="00A334D1"/>
    <w:rsid w:val="00A34029"/>
    <w:rsid w:val="00A34257"/>
    <w:rsid w:val="00A346FC"/>
    <w:rsid w:val="00A34F44"/>
    <w:rsid w:val="00A34F72"/>
    <w:rsid w:val="00A3655D"/>
    <w:rsid w:val="00A36822"/>
    <w:rsid w:val="00A36AB5"/>
    <w:rsid w:val="00A374FD"/>
    <w:rsid w:val="00A3754B"/>
    <w:rsid w:val="00A402DD"/>
    <w:rsid w:val="00A4069E"/>
    <w:rsid w:val="00A40BBF"/>
    <w:rsid w:val="00A411D1"/>
    <w:rsid w:val="00A432E9"/>
    <w:rsid w:val="00A43389"/>
    <w:rsid w:val="00A434A7"/>
    <w:rsid w:val="00A43687"/>
    <w:rsid w:val="00A43E71"/>
    <w:rsid w:val="00A4526F"/>
    <w:rsid w:val="00A454C0"/>
    <w:rsid w:val="00A45753"/>
    <w:rsid w:val="00A457B8"/>
    <w:rsid w:val="00A46E47"/>
    <w:rsid w:val="00A479DC"/>
    <w:rsid w:val="00A47B15"/>
    <w:rsid w:val="00A5094A"/>
    <w:rsid w:val="00A50D5A"/>
    <w:rsid w:val="00A51708"/>
    <w:rsid w:val="00A52F84"/>
    <w:rsid w:val="00A533CC"/>
    <w:rsid w:val="00A54284"/>
    <w:rsid w:val="00A5465A"/>
    <w:rsid w:val="00A54FB5"/>
    <w:rsid w:val="00A552C0"/>
    <w:rsid w:val="00A55BFA"/>
    <w:rsid w:val="00A56B05"/>
    <w:rsid w:val="00A56C06"/>
    <w:rsid w:val="00A56E50"/>
    <w:rsid w:val="00A57678"/>
    <w:rsid w:val="00A57972"/>
    <w:rsid w:val="00A579F5"/>
    <w:rsid w:val="00A57F07"/>
    <w:rsid w:val="00A57F83"/>
    <w:rsid w:val="00A60E2F"/>
    <w:rsid w:val="00A6199F"/>
    <w:rsid w:val="00A627AD"/>
    <w:rsid w:val="00A63246"/>
    <w:rsid w:val="00A63284"/>
    <w:rsid w:val="00A63458"/>
    <w:rsid w:val="00A634AE"/>
    <w:rsid w:val="00A6372D"/>
    <w:rsid w:val="00A64CB8"/>
    <w:rsid w:val="00A64E3E"/>
    <w:rsid w:val="00A66065"/>
    <w:rsid w:val="00A66D10"/>
    <w:rsid w:val="00A67018"/>
    <w:rsid w:val="00A671D2"/>
    <w:rsid w:val="00A67289"/>
    <w:rsid w:val="00A672F3"/>
    <w:rsid w:val="00A673DC"/>
    <w:rsid w:val="00A7076E"/>
    <w:rsid w:val="00A709BE"/>
    <w:rsid w:val="00A70D85"/>
    <w:rsid w:val="00A7162E"/>
    <w:rsid w:val="00A72D71"/>
    <w:rsid w:val="00A73112"/>
    <w:rsid w:val="00A73617"/>
    <w:rsid w:val="00A747D2"/>
    <w:rsid w:val="00A7511E"/>
    <w:rsid w:val="00A75123"/>
    <w:rsid w:val="00A753C0"/>
    <w:rsid w:val="00A75705"/>
    <w:rsid w:val="00A75F35"/>
    <w:rsid w:val="00A765A9"/>
    <w:rsid w:val="00A77BF3"/>
    <w:rsid w:val="00A77C69"/>
    <w:rsid w:val="00A812B1"/>
    <w:rsid w:val="00A82C61"/>
    <w:rsid w:val="00A8301B"/>
    <w:rsid w:val="00A83049"/>
    <w:rsid w:val="00A83945"/>
    <w:rsid w:val="00A83953"/>
    <w:rsid w:val="00A83CD7"/>
    <w:rsid w:val="00A8400B"/>
    <w:rsid w:val="00A8416A"/>
    <w:rsid w:val="00A846DA"/>
    <w:rsid w:val="00A853D8"/>
    <w:rsid w:val="00A85FA3"/>
    <w:rsid w:val="00A8661E"/>
    <w:rsid w:val="00A8695A"/>
    <w:rsid w:val="00A86ACF"/>
    <w:rsid w:val="00A8708E"/>
    <w:rsid w:val="00A903B6"/>
    <w:rsid w:val="00A90F4F"/>
    <w:rsid w:val="00A919AD"/>
    <w:rsid w:val="00A91F90"/>
    <w:rsid w:val="00A92507"/>
    <w:rsid w:val="00A92579"/>
    <w:rsid w:val="00A92EF7"/>
    <w:rsid w:val="00A936F9"/>
    <w:rsid w:val="00A947AA"/>
    <w:rsid w:val="00A94888"/>
    <w:rsid w:val="00A94990"/>
    <w:rsid w:val="00A9681C"/>
    <w:rsid w:val="00A96867"/>
    <w:rsid w:val="00A96B3D"/>
    <w:rsid w:val="00A97141"/>
    <w:rsid w:val="00A97820"/>
    <w:rsid w:val="00A97A4E"/>
    <w:rsid w:val="00AA1B53"/>
    <w:rsid w:val="00AA1DEA"/>
    <w:rsid w:val="00AA256D"/>
    <w:rsid w:val="00AA311D"/>
    <w:rsid w:val="00AA3556"/>
    <w:rsid w:val="00AA35FD"/>
    <w:rsid w:val="00AA364F"/>
    <w:rsid w:val="00AA3DB7"/>
    <w:rsid w:val="00AA41D3"/>
    <w:rsid w:val="00AA46A1"/>
    <w:rsid w:val="00AA554C"/>
    <w:rsid w:val="00AA694F"/>
    <w:rsid w:val="00AA712F"/>
    <w:rsid w:val="00AB0039"/>
    <w:rsid w:val="00AB0D96"/>
    <w:rsid w:val="00AB15A3"/>
    <w:rsid w:val="00AB177A"/>
    <w:rsid w:val="00AB216D"/>
    <w:rsid w:val="00AB2F94"/>
    <w:rsid w:val="00AB3012"/>
    <w:rsid w:val="00AB321C"/>
    <w:rsid w:val="00AB3CED"/>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FF3"/>
    <w:rsid w:val="00AC4938"/>
    <w:rsid w:val="00AC4A34"/>
    <w:rsid w:val="00AC4BC1"/>
    <w:rsid w:val="00AC5715"/>
    <w:rsid w:val="00AC7D8D"/>
    <w:rsid w:val="00AD04BD"/>
    <w:rsid w:val="00AD0765"/>
    <w:rsid w:val="00AD0F00"/>
    <w:rsid w:val="00AD14B8"/>
    <w:rsid w:val="00AD296B"/>
    <w:rsid w:val="00AD299E"/>
    <w:rsid w:val="00AD312A"/>
    <w:rsid w:val="00AD5374"/>
    <w:rsid w:val="00AD55A8"/>
    <w:rsid w:val="00AD56B4"/>
    <w:rsid w:val="00AD5A2E"/>
    <w:rsid w:val="00AD5CA4"/>
    <w:rsid w:val="00AD6076"/>
    <w:rsid w:val="00AD634F"/>
    <w:rsid w:val="00AD6591"/>
    <w:rsid w:val="00AD6A91"/>
    <w:rsid w:val="00AD7214"/>
    <w:rsid w:val="00AE04DB"/>
    <w:rsid w:val="00AE0C58"/>
    <w:rsid w:val="00AE0E09"/>
    <w:rsid w:val="00AE103C"/>
    <w:rsid w:val="00AE1066"/>
    <w:rsid w:val="00AE14DD"/>
    <w:rsid w:val="00AE1A2D"/>
    <w:rsid w:val="00AE2CB7"/>
    <w:rsid w:val="00AE2FA5"/>
    <w:rsid w:val="00AE3215"/>
    <w:rsid w:val="00AE3A4F"/>
    <w:rsid w:val="00AE4518"/>
    <w:rsid w:val="00AE49D9"/>
    <w:rsid w:val="00AE4C42"/>
    <w:rsid w:val="00AE5D7F"/>
    <w:rsid w:val="00AE7140"/>
    <w:rsid w:val="00AE79F0"/>
    <w:rsid w:val="00AF07B0"/>
    <w:rsid w:val="00AF0AFC"/>
    <w:rsid w:val="00AF109C"/>
    <w:rsid w:val="00AF1752"/>
    <w:rsid w:val="00AF2896"/>
    <w:rsid w:val="00AF3F1D"/>
    <w:rsid w:val="00AF42FC"/>
    <w:rsid w:val="00AF4AC5"/>
    <w:rsid w:val="00AF4C2C"/>
    <w:rsid w:val="00AF597D"/>
    <w:rsid w:val="00AF6EC1"/>
    <w:rsid w:val="00AF7416"/>
    <w:rsid w:val="00AF784D"/>
    <w:rsid w:val="00AF7CE9"/>
    <w:rsid w:val="00B00331"/>
    <w:rsid w:val="00B00E46"/>
    <w:rsid w:val="00B01102"/>
    <w:rsid w:val="00B01293"/>
    <w:rsid w:val="00B014A1"/>
    <w:rsid w:val="00B01A80"/>
    <w:rsid w:val="00B034DF"/>
    <w:rsid w:val="00B03EF5"/>
    <w:rsid w:val="00B046AF"/>
    <w:rsid w:val="00B06036"/>
    <w:rsid w:val="00B061F5"/>
    <w:rsid w:val="00B07C27"/>
    <w:rsid w:val="00B07DDE"/>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20203"/>
    <w:rsid w:val="00B203C4"/>
    <w:rsid w:val="00B20863"/>
    <w:rsid w:val="00B20CDD"/>
    <w:rsid w:val="00B20E37"/>
    <w:rsid w:val="00B21584"/>
    <w:rsid w:val="00B21F27"/>
    <w:rsid w:val="00B224DF"/>
    <w:rsid w:val="00B22683"/>
    <w:rsid w:val="00B22BC9"/>
    <w:rsid w:val="00B22E81"/>
    <w:rsid w:val="00B232FE"/>
    <w:rsid w:val="00B23996"/>
    <w:rsid w:val="00B23A8A"/>
    <w:rsid w:val="00B23BBE"/>
    <w:rsid w:val="00B23CB2"/>
    <w:rsid w:val="00B240CC"/>
    <w:rsid w:val="00B24E14"/>
    <w:rsid w:val="00B2561A"/>
    <w:rsid w:val="00B256C1"/>
    <w:rsid w:val="00B25A64"/>
    <w:rsid w:val="00B25A79"/>
    <w:rsid w:val="00B25B94"/>
    <w:rsid w:val="00B26E97"/>
    <w:rsid w:val="00B26EB9"/>
    <w:rsid w:val="00B271F2"/>
    <w:rsid w:val="00B277C4"/>
    <w:rsid w:val="00B31884"/>
    <w:rsid w:val="00B31D19"/>
    <w:rsid w:val="00B32155"/>
    <w:rsid w:val="00B32396"/>
    <w:rsid w:val="00B32AB3"/>
    <w:rsid w:val="00B32DAE"/>
    <w:rsid w:val="00B33825"/>
    <w:rsid w:val="00B3456F"/>
    <w:rsid w:val="00B34BB2"/>
    <w:rsid w:val="00B34E7C"/>
    <w:rsid w:val="00B35AF6"/>
    <w:rsid w:val="00B36228"/>
    <w:rsid w:val="00B366A3"/>
    <w:rsid w:val="00B368EA"/>
    <w:rsid w:val="00B3741E"/>
    <w:rsid w:val="00B37EEF"/>
    <w:rsid w:val="00B41344"/>
    <w:rsid w:val="00B418AD"/>
    <w:rsid w:val="00B41DAD"/>
    <w:rsid w:val="00B4229C"/>
    <w:rsid w:val="00B42F1A"/>
    <w:rsid w:val="00B43790"/>
    <w:rsid w:val="00B4430B"/>
    <w:rsid w:val="00B443D9"/>
    <w:rsid w:val="00B44531"/>
    <w:rsid w:val="00B445EA"/>
    <w:rsid w:val="00B46587"/>
    <w:rsid w:val="00B47AD2"/>
    <w:rsid w:val="00B47CF7"/>
    <w:rsid w:val="00B50686"/>
    <w:rsid w:val="00B50C50"/>
    <w:rsid w:val="00B50ED1"/>
    <w:rsid w:val="00B513C0"/>
    <w:rsid w:val="00B52CF8"/>
    <w:rsid w:val="00B53708"/>
    <w:rsid w:val="00B53DCB"/>
    <w:rsid w:val="00B5428F"/>
    <w:rsid w:val="00B54370"/>
    <w:rsid w:val="00B54DEA"/>
    <w:rsid w:val="00B54FDF"/>
    <w:rsid w:val="00B55185"/>
    <w:rsid w:val="00B55C03"/>
    <w:rsid w:val="00B55F0B"/>
    <w:rsid w:val="00B5695D"/>
    <w:rsid w:val="00B56A70"/>
    <w:rsid w:val="00B602D5"/>
    <w:rsid w:val="00B60638"/>
    <w:rsid w:val="00B606F8"/>
    <w:rsid w:val="00B60A44"/>
    <w:rsid w:val="00B616D5"/>
    <w:rsid w:val="00B61872"/>
    <w:rsid w:val="00B61923"/>
    <w:rsid w:val="00B621D6"/>
    <w:rsid w:val="00B6375F"/>
    <w:rsid w:val="00B63AF2"/>
    <w:rsid w:val="00B64278"/>
    <w:rsid w:val="00B65747"/>
    <w:rsid w:val="00B65D6F"/>
    <w:rsid w:val="00B65FAD"/>
    <w:rsid w:val="00B66174"/>
    <w:rsid w:val="00B661B5"/>
    <w:rsid w:val="00B67B37"/>
    <w:rsid w:val="00B67C23"/>
    <w:rsid w:val="00B7079B"/>
    <w:rsid w:val="00B70BE5"/>
    <w:rsid w:val="00B70DC7"/>
    <w:rsid w:val="00B721A4"/>
    <w:rsid w:val="00B72B5B"/>
    <w:rsid w:val="00B72EFF"/>
    <w:rsid w:val="00B73C25"/>
    <w:rsid w:val="00B73DCE"/>
    <w:rsid w:val="00B746E4"/>
    <w:rsid w:val="00B74A6F"/>
    <w:rsid w:val="00B74D64"/>
    <w:rsid w:val="00B750C2"/>
    <w:rsid w:val="00B75411"/>
    <w:rsid w:val="00B7546A"/>
    <w:rsid w:val="00B756CB"/>
    <w:rsid w:val="00B75735"/>
    <w:rsid w:val="00B77142"/>
    <w:rsid w:val="00B8010E"/>
    <w:rsid w:val="00B80879"/>
    <w:rsid w:val="00B80A2C"/>
    <w:rsid w:val="00B80D3B"/>
    <w:rsid w:val="00B8135C"/>
    <w:rsid w:val="00B814BB"/>
    <w:rsid w:val="00B81730"/>
    <w:rsid w:val="00B81F60"/>
    <w:rsid w:val="00B82123"/>
    <w:rsid w:val="00B823D4"/>
    <w:rsid w:val="00B82BEC"/>
    <w:rsid w:val="00B8314A"/>
    <w:rsid w:val="00B841AC"/>
    <w:rsid w:val="00B844A6"/>
    <w:rsid w:val="00B85873"/>
    <w:rsid w:val="00B85E95"/>
    <w:rsid w:val="00B865B0"/>
    <w:rsid w:val="00B865DC"/>
    <w:rsid w:val="00B86E3A"/>
    <w:rsid w:val="00B870E8"/>
    <w:rsid w:val="00B874E9"/>
    <w:rsid w:val="00B875E3"/>
    <w:rsid w:val="00B87ACB"/>
    <w:rsid w:val="00B87C29"/>
    <w:rsid w:val="00B90780"/>
    <w:rsid w:val="00B90968"/>
    <w:rsid w:val="00B918BB"/>
    <w:rsid w:val="00B91A15"/>
    <w:rsid w:val="00B91BC2"/>
    <w:rsid w:val="00B9240D"/>
    <w:rsid w:val="00B93E0B"/>
    <w:rsid w:val="00B94960"/>
    <w:rsid w:val="00B9543E"/>
    <w:rsid w:val="00B96748"/>
    <w:rsid w:val="00B96F6E"/>
    <w:rsid w:val="00B9702A"/>
    <w:rsid w:val="00B979D4"/>
    <w:rsid w:val="00BA0703"/>
    <w:rsid w:val="00BA22A8"/>
    <w:rsid w:val="00BA309F"/>
    <w:rsid w:val="00BA3B8F"/>
    <w:rsid w:val="00BA3E48"/>
    <w:rsid w:val="00BA4905"/>
    <w:rsid w:val="00BA4BD3"/>
    <w:rsid w:val="00BA5B51"/>
    <w:rsid w:val="00BA6E49"/>
    <w:rsid w:val="00BB0187"/>
    <w:rsid w:val="00BB0C2D"/>
    <w:rsid w:val="00BB0E56"/>
    <w:rsid w:val="00BB1473"/>
    <w:rsid w:val="00BB1EB3"/>
    <w:rsid w:val="00BB2678"/>
    <w:rsid w:val="00BB2C68"/>
    <w:rsid w:val="00BB3077"/>
    <w:rsid w:val="00BB31D5"/>
    <w:rsid w:val="00BB33A8"/>
    <w:rsid w:val="00BB3927"/>
    <w:rsid w:val="00BB3D8C"/>
    <w:rsid w:val="00BB4B39"/>
    <w:rsid w:val="00BB4CFF"/>
    <w:rsid w:val="00BB4E17"/>
    <w:rsid w:val="00BB53AF"/>
    <w:rsid w:val="00BB5BDF"/>
    <w:rsid w:val="00BB5C26"/>
    <w:rsid w:val="00BB64B7"/>
    <w:rsid w:val="00BB6591"/>
    <w:rsid w:val="00BB6A40"/>
    <w:rsid w:val="00BC013A"/>
    <w:rsid w:val="00BC12F7"/>
    <w:rsid w:val="00BC162A"/>
    <w:rsid w:val="00BC2343"/>
    <w:rsid w:val="00BC2A29"/>
    <w:rsid w:val="00BC2BE7"/>
    <w:rsid w:val="00BC2E1B"/>
    <w:rsid w:val="00BC3F52"/>
    <w:rsid w:val="00BC43D7"/>
    <w:rsid w:val="00BC4ED3"/>
    <w:rsid w:val="00BC5824"/>
    <w:rsid w:val="00BC6B20"/>
    <w:rsid w:val="00BC702F"/>
    <w:rsid w:val="00BC7377"/>
    <w:rsid w:val="00BD0707"/>
    <w:rsid w:val="00BD0ECF"/>
    <w:rsid w:val="00BD1266"/>
    <w:rsid w:val="00BD13C1"/>
    <w:rsid w:val="00BD30C8"/>
    <w:rsid w:val="00BD38F4"/>
    <w:rsid w:val="00BD3EB4"/>
    <w:rsid w:val="00BD4C5B"/>
    <w:rsid w:val="00BD4F01"/>
    <w:rsid w:val="00BD5359"/>
    <w:rsid w:val="00BD556E"/>
    <w:rsid w:val="00BD5C65"/>
    <w:rsid w:val="00BD7BCC"/>
    <w:rsid w:val="00BE16E9"/>
    <w:rsid w:val="00BE1E11"/>
    <w:rsid w:val="00BE2730"/>
    <w:rsid w:val="00BE2A17"/>
    <w:rsid w:val="00BE2D83"/>
    <w:rsid w:val="00BE31BE"/>
    <w:rsid w:val="00BE3A1D"/>
    <w:rsid w:val="00BE3ABB"/>
    <w:rsid w:val="00BE3B92"/>
    <w:rsid w:val="00BE487E"/>
    <w:rsid w:val="00BE528E"/>
    <w:rsid w:val="00BE6018"/>
    <w:rsid w:val="00BE7086"/>
    <w:rsid w:val="00BE7278"/>
    <w:rsid w:val="00BF1F57"/>
    <w:rsid w:val="00BF20FD"/>
    <w:rsid w:val="00BF2239"/>
    <w:rsid w:val="00BF22C6"/>
    <w:rsid w:val="00BF27DD"/>
    <w:rsid w:val="00BF34C2"/>
    <w:rsid w:val="00BF3804"/>
    <w:rsid w:val="00BF3B4E"/>
    <w:rsid w:val="00BF3B89"/>
    <w:rsid w:val="00BF4086"/>
    <w:rsid w:val="00BF426C"/>
    <w:rsid w:val="00BF4594"/>
    <w:rsid w:val="00BF58D0"/>
    <w:rsid w:val="00BF6027"/>
    <w:rsid w:val="00BF6702"/>
    <w:rsid w:val="00BF7561"/>
    <w:rsid w:val="00BF7952"/>
    <w:rsid w:val="00BF7D6A"/>
    <w:rsid w:val="00C0021D"/>
    <w:rsid w:val="00C00300"/>
    <w:rsid w:val="00C0068D"/>
    <w:rsid w:val="00C00A6C"/>
    <w:rsid w:val="00C00B8B"/>
    <w:rsid w:val="00C013E1"/>
    <w:rsid w:val="00C01611"/>
    <w:rsid w:val="00C02BDB"/>
    <w:rsid w:val="00C02D59"/>
    <w:rsid w:val="00C02FE3"/>
    <w:rsid w:val="00C030B6"/>
    <w:rsid w:val="00C03284"/>
    <w:rsid w:val="00C03591"/>
    <w:rsid w:val="00C03B3A"/>
    <w:rsid w:val="00C03CD4"/>
    <w:rsid w:val="00C04694"/>
    <w:rsid w:val="00C04C52"/>
    <w:rsid w:val="00C050C4"/>
    <w:rsid w:val="00C050D7"/>
    <w:rsid w:val="00C056B6"/>
    <w:rsid w:val="00C05B5F"/>
    <w:rsid w:val="00C10086"/>
    <w:rsid w:val="00C104CC"/>
    <w:rsid w:val="00C11153"/>
    <w:rsid w:val="00C11521"/>
    <w:rsid w:val="00C142AD"/>
    <w:rsid w:val="00C142C1"/>
    <w:rsid w:val="00C14A30"/>
    <w:rsid w:val="00C152FE"/>
    <w:rsid w:val="00C15D1B"/>
    <w:rsid w:val="00C16739"/>
    <w:rsid w:val="00C168DD"/>
    <w:rsid w:val="00C176CC"/>
    <w:rsid w:val="00C20E37"/>
    <w:rsid w:val="00C21031"/>
    <w:rsid w:val="00C221B9"/>
    <w:rsid w:val="00C225EA"/>
    <w:rsid w:val="00C226E6"/>
    <w:rsid w:val="00C22CCE"/>
    <w:rsid w:val="00C232BC"/>
    <w:rsid w:val="00C23BA2"/>
    <w:rsid w:val="00C2485F"/>
    <w:rsid w:val="00C248B1"/>
    <w:rsid w:val="00C24ACA"/>
    <w:rsid w:val="00C24B63"/>
    <w:rsid w:val="00C256C3"/>
    <w:rsid w:val="00C262A0"/>
    <w:rsid w:val="00C26A4E"/>
    <w:rsid w:val="00C31195"/>
    <w:rsid w:val="00C31774"/>
    <w:rsid w:val="00C3180E"/>
    <w:rsid w:val="00C32AF2"/>
    <w:rsid w:val="00C33051"/>
    <w:rsid w:val="00C33204"/>
    <w:rsid w:val="00C338EB"/>
    <w:rsid w:val="00C34389"/>
    <w:rsid w:val="00C3465D"/>
    <w:rsid w:val="00C347D5"/>
    <w:rsid w:val="00C35C57"/>
    <w:rsid w:val="00C379E9"/>
    <w:rsid w:val="00C37C29"/>
    <w:rsid w:val="00C37EDC"/>
    <w:rsid w:val="00C403CD"/>
    <w:rsid w:val="00C4082B"/>
    <w:rsid w:val="00C40ECA"/>
    <w:rsid w:val="00C411AC"/>
    <w:rsid w:val="00C4173D"/>
    <w:rsid w:val="00C41B04"/>
    <w:rsid w:val="00C42041"/>
    <w:rsid w:val="00C42949"/>
    <w:rsid w:val="00C42BD9"/>
    <w:rsid w:val="00C43934"/>
    <w:rsid w:val="00C43935"/>
    <w:rsid w:val="00C439FB"/>
    <w:rsid w:val="00C43AA8"/>
    <w:rsid w:val="00C43F23"/>
    <w:rsid w:val="00C441A4"/>
    <w:rsid w:val="00C452E1"/>
    <w:rsid w:val="00C45C1B"/>
    <w:rsid w:val="00C463C9"/>
    <w:rsid w:val="00C46FA8"/>
    <w:rsid w:val="00C47648"/>
    <w:rsid w:val="00C47852"/>
    <w:rsid w:val="00C50011"/>
    <w:rsid w:val="00C51827"/>
    <w:rsid w:val="00C5254B"/>
    <w:rsid w:val="00C53973"/>
    <w:rsid w:val="00C5569A"/>
    <w:rsid w:val="00C55D39"/>
    <w:rsid w:val="00C55FBF"/>
    <w:rsid w:val="00C57E68"/>
    <w:rsid w:val="00C601C9"/>
    <w:rsid w:val="00C6038C"/>
    <w:rsid w:val="00C616D0"/>
    <w:rsid w:val="00C623C6"/>
    <w:rsid w:val="00C631D3"/>
    <w:rsid w:val="00C645E6"/>
    <w:rsid w:val="00C64813"/>
    <w:rsid w:val="00C64D82"/>
    <w:rsid w:val="00C64FBC"/>
    <w:rsid w:val="00C65A83"/>
    <w:rsid w:val="00C66A00"/>
    <w:rsid w:val="00C66CBE"/>
    <w:rsid w:val="00C67118"/>
    <w:rsid w:val="00C67276"/>
    <w:rsid w:val="00C67DDD"/>
    <w:rsid w:val="00C70139"/>
    <w:rsid w:val="00C7072A"/>
    <w:rsid w:val="00C7191D"/>
    <w:rsid w:val="00C72603"/>
    <w:rsid w:val="00C728C2"/>
    <w:rsid w:val="00C72C6F"/>
    <w:rsid w:val="00C73BE3"/>
    <w:rsid w:val="00C74453"/>
    <w:rsid w:val="00C7473A"/>
    <w:rsid w:val="00C75AB0"/>
    <w:rsid w:val="00C75EDE"/>
    <w:rsid w:val="00C76166"/>
    <w:rsid w:val="00C76B7B"/>
    <w:rsid w:val="00C76BBD"/>
    <w:rsid w:val="00C76DE2"/>
    <w:rsid w:val="00C772BA"/>
    <w:rsid w:val="00C77555"/>
    <w:rsid w:val="00C7770C"/>
    <w:rsid w:val="00C802D1"/>
    <w:rsid w:val="00C8036C"/>
    <w:rsid w:val="00C80CD8"/>
    <w:rsid w:val="00C80F23"/>
    <w:rsid w:val="00C81151"/>
    <w:rsid w:val="00C82AC2"/>
    <w:rsid w:val="00C82CC6"/>
    <w:rsid w:val="00C839CB"/>
    <w:rsid w:val="00C841CE"/>
    <w:rsid w:val="00C84593"/>
    <w:rsid w:val="00C850A3"/>
    <w:rsid w:val="00C85C32"/>
    <w:rsid w:val="00C85D4F"/>
    <w:rsid w:val="00C85F45"/>
    <w:rsid w:val="00C86C8C"/>
    <w:rsid w:val="00C87473"/>
    <w:rsid w:val="00C87568"/>
    <w:rsid w:val="00C87FD0"/>
    <w:rsid w:val="00C902C8"/>
    <w:rsid w:val="00C903E7"/>
    <w:rsid w:val="00C90DB6"/>
    <w:rsid w:val="00C92603"/>
    <w:rsid w:val="00C93649"/>
    <w:rsid w:val="00C9394F"/>
    <w:rsid w:val="00C93B1A"/>
    <w:rsid w:val="00C95E97"/>
    <w:rsid w:val="00C96D24"/>
    <w:rsid w:val="00C96F5F"/>
    <w:rsid w:val="00C97055"/>
    <w:rsid w:val="00C97D41"/>
    <w:rsid w:val="00CA1E82"/>
    <w:rsid w:val="00CA2B4F"/>
    <w:rsid w:val="00CA30C3"/>
    <w:rsid w:val="00CA3549"/>
    <w:rsid w:val="00CA5927"/>
    <w:rsid w:val="00CA5D23"/>
    <w:rsid w:val="00CA635E"/>
    <w:rsid w:val="00CA6BB0"/>
    <w:rsid w:val="00CA70CE"/>
    <w:rsid w:val="00CA79EC"/>
    <w:rsid w:val="00CB002C"/>
    <w:rsid w:val="00CB1E4B"/>
    <w:rsid w:val="00CB259F"/>
    <w:rsid w:val="00CB389B"/>
    <w:rsid w:val="00CB39C2"/>
    <w:rsid w:val="00CB45FC"/>
    <w:rsid w:val="00CB4C8C"/>
    <w:rsid w:val="00CB4E90"/>
    <w:rsid w:val="00CB5850"/>
    <w:rsid w:val="00CB5C99"/>
    <w:rsid w:val="00CB633B"/>
    <w:rsid w:val="00CB6782"/>
    <w:rsid w:val="00CB6E3E"/>
    <w:rsid w:val="00CB6FD3"/>
    <w:rsid w:val="00CB72CD"/>
    <w:rsid w:val="00CC080A"/>
    <w:rsid w:val="00CC09EB"/>
    <w:rsid w:val="00CC0D0F"/>
    <w:rsid w:val="00CC1275"/>
    <w:rsid w:val="00CC12EE"/>
    <w:rsid w:val="00CC5767"/>
    <w:rsid w:val="00CC5D2F"/>
    <w:rsid w:val="00CC667C"/>
    <w:rsid w:val="00CC68CC"/>
    <w:rsid w:val="00CC6CB9"/>
    <w:rsid w:val="00CC701E"/>
    <w:rsid w:val="00CC7735"/>
    <w:rsid w:val="00CD0310"/>
    <w:rsid w:val="00CD0D09"/>
    <w:rsid w:val="00CD268B"/>
    <w:rsid w:val="00CD2E48"/>
    <w:rsid w:val="00CD4826"/>
    <w:rsid w:val="00CD4E19"/>
    <w:rsid w:val="00CD6219"/>
    <w:rsid w:val="00CD700F"/>
    <w:rsid w:val="00CD70EB"/>
    <w:rsid w:val="00CD7319"/>
    <w:rsid w:val="00CD7BA2"/>
    <w:rsid w:val="00CD7DF8"/>
    <w:rsid w:val="00CE04BC"/>
    <w:rsid w:val="00CE0A6E"/>
    <w:rsid w:val="00CE148E"/>
    <w:rsid w:val="00CE208D"/>
    <w:rsid w:val="00CE242D"/>
    <w:rsid w:val="00CE2453"/>
    <w:rsid w:val="00CE356D"/>
    <w:rsid w:val="00CE3FA4"/>
    <w:rsid w:val="00CE44F8"/>
    <w:rsid w:val="00CE485F"/>
    <w:rsid w:val="00CE5277"/>
    <w:rsid w:val="00CE58F6"/>
    <w:rsid w:val="00CE5B4D"/>
    <w:rsid w:val="00CE6358"/>
    <w:rsid w:val="00CE6686"/>
    <w:rsid w:val="00CE6E97"/>
    <w:rsid w:val="00CE7868"/>
    <w:rsid w:val="00CE789A"/>
    <w:rsid w:val="00CE7968"/>
    <w:rsid w:val="00CE796C"/>
    <w:rsid w:val="00CF0DB0"/>
    <w:rsid w:val="00CF1B70"/>
    <w:rsid w:val="00CF1DD1"/>
    <w:rsid w:val="00CF2161"/>
    <w:rsid w:val="00CF2307"/>
    <w:rsid w:val="00CF26AE"/>
    <w:rsid w:val="00CF2D54"/>
    <w:rsid w:val="00CF311F"/>
    <w:rsid w:val="00CF5047"/>
    <w:rsid w:val="00D01344"/>
    <w:rsid w:val="00D01B90"/>
    <w:rsid w:val="00D024CD"/>
    <w:rsid w:val="00D0262B"/>
    <w:rsid w:val="00D02C7C"/>
    <w:rsid w:val="00D034DA"/>
    <w:rsid w:val="00D03538"/>
    <w:rsid w:val="00D0421D"/>
    <w:rsid w:val="00D046FD"/>
    <w:rsid w:val="00D047F7"/>
    <w:rsid w:val="00D049B8"/>
    <w:rsid w:val="00D04C8A"/>
    <w:rsid w:val="00D04EB2"/>
    <w:rsid w:val="00D0516C"/>
    <w:rsid w:val="00D0593F"/>
    <w:rsid w:val="00D05B56"/>
    <w:rsid w:val="00D05BBE"/>
    <w:rsid w:val="00D05C2F"/>
    <w:rsid w:val="00D05EE7"/>
    <w:rsid w:val="00D068D0"/>
    <w:rsid w:val="00D06FE0"/>
    <w:rsid w:val="00D07307"/>
    <w:rsid w:val="00D076A9"/>
    <w:rsid w:val="00D07754"/>
    <w:rsid w:val="00D078D1"/>
    <w:rsid w:val="00D07B2E"/>
    <w:rsid w:val="00D10824"/>
    <w:rsid w:val="00D1188B"/>
    <w:rsid w:val="00D1293B"/>
    <w:rsid w:val="00D129A8"/>
    <w:rsid w:val="00D12FB9"/>
    <w:rsid w:val="00D13431"/>
    <w:rsid w:val="00D135F2"/>
    <w:rsid w:val="00D13D00"/>
    <w:rsid w:val="00D147C0"/>
    <w:rsid w:val="00D15696"/>
    <w:rsid w:val="00D15C51"/>
    <w:rsid w:val="00D16C68"/>
    <w:rsid w:val="00D17FDD"/>
    <w:rsid w:val="00D200BD"/>
    <w:rsid w:val="00D200CC"/>
    <w:rsid w:val="00D201AA"/>
    <w:rsid w:val="00D204A7"/>
    <w:rsid w:val="00D20AA5"/>
    <w:rsid w:val="00D20DC4"/>
    <w:rsid w:val="00D21059"/>
    <w:rsid w:val="00D22399"/>
    <w:rsid w:val="00D26223"/>
    <w:rsid w:val="00D2662C"/>
    <w:rsid w:val="00D27FA3"/>
    <w:rsid w:val="00D30711"/>
    <w:rsid w:val="00D314FB"/>
    <w:rsid w:val="00D316D2"/>
    <w:rsid w:val="00D3176C"/>
    <w:rsid w:val="00D31B3F"/>
    <w:rsid w:val="00D31DE7"/>
    <w:rsid w:val="00D321AF"/>
    <w:rsid w:val="00D3249F"/>
    <w:rsid w:val="00D33751"/>
    <w:rsid w:val="00D34AB9"/>
    <w:rsid w:val="00D35D4A"/>
    <w:rsid w:val="00D36F6E"/>
    <w:rsid w:val="00D372B0"/>
    <w:rsid w:val="00D37343"/>
    <w:rsid w:val="00D376AD"/>
    <w:rsid w:val="00D41E6A"/>
    <w:rsid w:val="00D42034"/>
    <w:rsid w:val="00D4205E"/>
    <w:rsid w:val="00D44EB8"/>
    <w:rsid w:val="00D464AE"/>
    <w:rsid w:val="00D47399"/>
    <w:rsid w:val="00D47BB2"/>
    <w:rsid w:val="00D47D04"/>
    <w:rsid w:val="00D5056A"/>
    <w:rsid w:val="00D510A0"/>
    <w:rsid w:val="00D51F73"/>
    <w:rsid w:val="00D527EE"/>
    <w:rsid w:val="00D5286F"/>
    <w:rsid w:val="00D529C4"/>
    <w:rsid w:val="00D53929"/>
    <w:rsid w:val="00D539B5"/>
    <w:rsid w:val="00D539D0"/>
    <w:rsid w:val="00D53F2B"/>
    <w:rsid w:val="00D540DC"/>
    <w:rsid w:val="00D54CA4"/>
    <w:rsid w:val="00D55616"/>
    <w:rsid w:val="00D5574C"/>
    <w:rsid w:val="00D55DAC"/>
    <w:rsid w:val="00D561C5"/>
    <w:rsid w:val="00D5636F"/>
    <w:rsid w:val="00D57FDF"/>
    <w:rsid w:val="00D6153F"/>
    <w:rsid w:val="00D61982"/>
    <w:rsid w:val="00D61A2D"/>
    <w:rsid w:val="00D61EA9"/>
    <w:rsid w:val="00D61EFF"/>
    <w:rsid w:val="00D62655"/>
    <w:rsid w:val="00D6267A"/>
    <w:rsid w:val="00D62998"/>
    <w:rsid w:val="00D636B6"/>
    <w:rsid w:val="00D6468E"/>
    <w:rsid w:val="00D647DE"/>
    <w:rsid w:val="00D6501F"/>
    <w:rsid w:val="00D65347"/>
    <w:rsid w:val="00D6575E"/>
    <w:rsid w:val="00D67D12"/>
    <w:rsid w:val="00D700D9"/>
    <w:rsid w:val="00D70309"/>
    <w:rsid w:val="00D705FF"/>
    <w:rsid w:val="00D70B0C"/>
    <w:rsid w:val="00D70DE6"/>
    <w:rsid w:val="00D7145C"/>
    <w:rsid w:val="00D71CE0"/>
    <w:rsid w:val="00D7332F"/>
    <w:rsid w:val="00D744BC"/>
    <w:rsid w:val="00D7585A"/>
    <w:rsid w:val="00D7604B"/>
    <w:rsid w:val="00D77C53"/>
    <w:rsid w:val="00D77E96"/>
    <w:rsid w:val="00D80618"/>
    <w:rsid w:val="00D8068C"/>
    <w:rsid w:val="00D807DF"/>
    <w:rsid w:val="00D81006"/>
    <w:rsid w:val="00D82339"/>
    <w:rsid w:val="00D82494"/>
    <w:rsid w:val="00D82696"/>
    <w:rsid w:val="00D82FF2"/>
    <w:rsid w:val="00D830B9"/>
    <w:rsid w:val="00D83774"/>
    <w:rsid w:val="00D83C1D"/>
    <w:rsid w:val="00D84A4B"/>
    <w:rsid w:val="00D84E83"/>
    <w:rsid w:val="00D8555A"/>
    <w:rsid w:val="00D85631"/>
    <w:rsid w:val="00D85D98"/>
    <w:rsid w:val="00D879CB"/>
    <w:rsid w:val="00D87C11"/>
    <w:rsid w:val="00D90A81"/>
    <w:rsid w:val="00D90B7D"/>
    <w:rsid w:val="00D90B81"/>
    <w:rsid w:val="00D90CC7"/>
    <w:rsid w:val="00D90DCE"/>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2DE3"/>
    <w:rsid w:val="00DA35D9"/>
    <w:rsid w:val="00DA3633"/>
    <w:rsid w:val="00DA400B"/>
    <w:rsid w:val="00DA4130"/>
    <w:rsid w:val="00DA4909"/>
    <w:rsid w:val="00DA5999"/>
    <w:rsid w:val="00DA6443"/>
    <w:rsid w:val="00DA6B5E"/>
    <w:rsid w:val="00DA7146"/>
    <w:rsid w:val="00DA716A"/>
    <w:rsid w:val="00DA7B82"/>
    <w:rsid w:val="00DB02EE"/>
    <w:rsid w:val="00DB0843"/>
    <w:rsid w:val="00DB1F4F"/>
    <w:rsid w:val="00DB292F"/>
    <w:rsid w:val="00DB2CD0"/>
    <w:rsid w:val="00DB344D"/>
    <w:rsid w:val="00DB37EE"/>
    <w:rsid w:val="00DB401F"/>
    <w:rsid w:val="00DB40F5"/>
    <w:rsid w:val="00DB4450"/>
    <w:rsid w:val="00DB4EE7"/>
    <w:rsid w:val="00DB5051"/>
    <w:rsid w:val="00DB5102"/>
    <w:rsid w:val="00DB521D"/>
    <w:rsid w:val="00DB5971"/>
    <w:rsid w:val="00DB5D51"/>
    <w:rsid w:val="00DB5F53"/>
    <w:rsid w:val="00DB6E27"/>
    <w:rsid w:val="00DB7B69"/>
    <w:rsid w:val="00DC0A2F"/>
    <w:rsid w:val="00DC0DBE"/>
    <w:rsid w:val="00DC1C8F"/>
    <w:rsid w:val="00DC1F57"/>
    <w:rsid w:val="00DC234A"/>
    <w:rsid w:val="00DC35DD"/>
    <w:rsid w:val="00DC41E4"/>
    <w:rsid w:val="00DC496E"/>
    <w:rsid w:val="00DC4F67"/>
    <w:rsid w:val="00DC5116"/>
    <w:rsid w:val="00DC59DF"/>
    <w:rsid w:val="00DC7C77"/>
    <w:rsid w:val="00DC7FD5"/>
    <w:rsid w:val="00DD02FF"/>
    <w:rsid w:val="00DD0925"/>
    <w:rsid w:val="00DD24F9"/>
    <w:rsid w:val="00DD26EC"/>
    <w:rsid w:val="00DD2C06"/>
    <w:rsid w:val="00DD2DFB"/>
    <w:rsid w:val="00DD3604"/>
    <w:rsid w:val="00DD3F4D"/>
    <w:rsid w:val="00DD6F2E"/>
    <w:rsid w:val="00DD72E1"/>
    <w:rsid w:val="00DD7848"/>
    <w:rsid w:val="00DD796C"/>
    <w:rsid w:val="00DD7EA2"/>
    <w:rsid w:val="00DE00F2"/>
    <w:rsid w:val="00DE1120"/>
    <w:rsid w:val="00DE117F"/>
    <w:rsid w:val="00DE22D3"/>
    <w:rsid w:val="00DE2D17"/>
    <w:rsid w:val="00DE353C"/>
    <w:rsid w:val="00DE401C"/>
    <w:rsid w:val="00DE549C"/>
    <w:rsid w:val="00DE5510"/>
    <w:rsid w:val="00DE5954"/>
    <w:rsid w:val="00DE5EC7"/>
    <w:rsid w:val="00DE6E2F"/>
    <w:rsid w:val="00DE6F47"/>
    <w:rsid w:val="00DE6FC0"/>
    <w:rsid w:val="00DE7D13"/>
    <w:rsid w:val="00DE7DD2"/>
    <w:rsid w:val="00DF1EAE"/>
    <w:rsid w:val="00DF2AF6"/>
    <w:rsid w:val="00DF2B22"/>
    <w:rsid w:val="00DF3816"/>
    <w:rsid w:val="00DF3818"/>
    <w:rsid w:val="00DF38A2"/>
    <w:rsid w:val="00DF3F94"/>
    <w:rsid w:val="00DF4369"/>
    <w:rsid w:val="00DF4B8D"/>
    <w:rsid w:val="00DF55FC"/>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39F9"/>
    <w:rsid w:val="00E042A1"/>
    <w:rsid w:val="00E05E82"/>
    <w:rsid w:val="00E069E3"/>
    <w:rsid w:val="00E07425"/>
    <w:rsid w:val="00E1043E"/>
    <w:rsid w:val="00E104FA"/>
    <w:rsid w:val="00E1082A"/>
    <w:rsid w:val="00E10956"/>
    <w:rsid w:val="00E10B68"/>
    <w:rsid w:val="00E110B5"/>
    <w:rsid w:val="00E11166"/>
    <w:rsid w:val="00E12818"/>
    <w:rsid w:val="00E12887"/>
    <w:rsid w:val="00E12D39"/>
    <w:rsid w:val="00E13182"/>
    <w:rsid w:val="00E13426"/>
    <w:rsid w:val="00E141AF"/>
    <w:rsid w:val="00E14523"/>
    <w:rsid w:val="00E14972"/>
    <w:rsid w:val="00E14A89"/>
    <w:rsid w:val="00E14CB9"/>
    <w:rsid w:val="00E151F2"/>
    <w:rsid w:val="00E15383"/>
    <w:rsid w:val="00E15C82"/>
    <w:rsid w:val="00E1738C"/>
    <w:rsid w:val="00E17797"/>
    <w:rsid w:val="00E17C9D"/>
    <w:rsid w:val="00E201C0"/>
    <w:rsid w:val="00E21ABD"/>
    <w:rsid w:val="00E22775"/>
    <w:rsid w:val="00E22D28"/>
    <w:rsid w:val="00E22F81"/>
    <w:rsid w:val="00E22F87"/>
    <w:rsid w:val="00E230E3"/>
    <w:rsid w:val="00E23C97"/>
    <w:rsid w:val="00E244B0"/>
    <w:rsid w:val="00E24727"/>
    <w:rsid w:val="00E24D5F"/>
    <w:rsid w:val="00E250DB"/>
    <w:rsid w:val="00E265A7"/>
    <w:rsid w:val="00E26FC5"/>
    <w:rsid w:val="00E27B80"/>
    <w:rsid w:val="00E30EDF"/>
    <w:rsid w:val="00E31B43"/>
    <w:rsid w:val="00E31FBA"/>
    <w:rsid w:val="00E326D0"/>
    <w:rsid w:val="00E33513"/>
    <w:rsid w:val="00E33A4F"/>
    <w:rsid w:val="00E33F3E"/>
    <w:rsid w:val="00E341E5"/>
    <w:rsid w:val="00E34315"/>
    <w:rsid w:val="00E35FBC"/>
    <w:rsid w:val="00E36AAE"/>
    <w:rsid w:val="00E37198"/>
    <w:rsid w:val="00E3774C"/>
    <w:rsid w:val="00E41013"/>
    <w:rsid w:val="00E41313"/>
    <w:rsid w:val="00E41773"/>
    <w:rsid w:val="00E41ACD"/>
    <w:rsid w:val="00E42FE6"/>
    <w:rsid w:val="00E43B4A"/>
    <w:rsid w:val="00E44D25"/>
    <w:rsid w:val="00E44E78"/>
    <w:rsid w:val="00E45C40"/>
    <w:rsid w:val="00E460B6"/>
    <w:rsid w:val="00E46BD2"/>
    <w:rsid w:val="00E46CF3"/>
    <w:rsid w:val="00E473D4"/>
    <w:rsid w:val="00E474CF"/>
    <w:rsid w:val="00E513F6"/>
    <w:rsid w:val="00E51A4C"/>
    <w:rsid w:val="00E51EC6"/>
    <w:rsid w:val="00E5203E"/>
    <w:rsid w:val="00E52F3B"/>
    <w:rsid w:val="00E52F80"/>
    <w:rsid w:val="00E53BEE"/>
    <w:rsid w:val="00E53D94"/>
    <w:rsid w:val="00E53DEA"/>
    <w:rsid w:val="00E5424B"/>
    <w:rsid w:val="00E544BA"/>
    <w:rsid w:val="00E55B64"/>
    <w:rsid w:val="00E573EF"/>
    <w:rsid w:val="00E616DB"/>
    <w:rsid w:val="00E62442"/>
    <w:rsid w:val="00E627A4"/>
    <w:rsid w:val="00E62A5E"/>
    <w:rsid w:val="00E630ED"/>
    <w:rsid w:val="00E6395F"/>
    <w:rsid w:val="00E6437C"/>
    <w:rsid w:val="00E65237"/>
    <w:rsid w:val="00E66367"/>
    <w:rsid w:val="00E67862"/>
    <w:rsid w:val="00E67ADD"/>
    <w:rsid w:val="00E70ACF"/>
    <w:rsid w:val="00E70D46"/>
    <w:rsid w:val="00E712A9"/>
    <w:rsid w:val="00E713BC"/>
    <w:rsid w:val="00E72444"/>
    <w:rsid w:val="00E726A8"/>
    <w:rsid w:val="00E72D3D"/>
    <w:rsid w:val="00E72E07"/>
    <w:rsid w:val="00E72EAD"/>
    <w:rsid w:val="00E7410F"/>
    <w:rsid w:val="00E74EC5"/>
    <w:rsid w:val="00E75161"/>
    <w:rsid w:val="00E76B86"/>
    <w:rsid w:val="00E773F4"/>
    <w:rsid w:val="00E8000D"/>
    <w:rsid w:val="00E809F3"/>
    <w:rsid w:val="00E80C21"/>
    <w:rsid w:val="00E820BD"/>
    <w:rsid w:val="00E8227B"/>
    <w:rsid w:val="00E8342F"/>
    <w:rsid w:val="00E84210"/>
    <w:rsid w:val="00E844CD"/>
    <w:rsid w:val="00E847A7"/>
    <w:rsid w:val="00E84FE5"/>
    <w:rsid w:val="00E860D6"/>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EEF"/>
    <w:rsid w:val="00E936DA"/>
    <w:rsid w:val="00E9399B"/>
    <w:rsid w:val="00E939A7"/>
    <w:rsid w:val="00E93A27"/>
    <w:rsid w:val="00E94008"/>
    <w:rsid w:val="00E94762"/>
    <w:rsid w:val="00E94884"/>
    <w:rsid w:val="00E94BDB"/>
    <w:rsid w:val="00E95208"/>
    <w:rsid w:val="00E956BA"/>
    <w:rsid w:val="00E96B52"/>
    <w:rsid w:val="00EA0018"/>
    <w:rsid w:val="00EA08BE"/>
    <w:rsid w:val="00EA0A85"/>
    <w:rsid w:val="00EA14B0"/>
    <w:rsid w:val="00EA2244"/>
    <w:rsid w:val="00EA4DDC"/>
    <w:rsid w:val="00EA6FA7"/>
    <w:rsid w:val="00EB067F"/>
    <w:rsid w:val="00EB150C"/>
    <w:rsid w:val="00EB17BE"/>
    <w:rsid w:val="00EB1A1B"/>
    <w:rsid w:val="00EB1F02"/>
    <w:rsid w:val="00EB2A00"/>
    <w:rsid w:val="00EB2E64"/>
    <w:rsid w:val="00EB2FEF"/>
    <w:rsid w:val="00EB3290"/>
    <w:rsid w:val="00EB3F7A"/>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4AF6"/>
    <w:rsid w:val="00EC5256"/>
    <w:rsid w:val="00EC549A"/>
    <w:rsid w:val="00EC57B0"/>
    <w:rsid w:val="00EC5D33"/>
    <w:rsid w:val="00EC638F"/>
    <w:rsid w:val="00EC68BF"/>
    <w:rsid w:val="00EC7927"/>
    <w:rsid w:val="00ED095E"/>
    <w:rsid w:val="00ED1A0B"/>
    <w:rsid w:val="00ED27DD"/>
    <w:rsid w:val="00ED312F"/>
    <w:rsid w:val="00ED31E5"/>
    <w:rsid w:val="00ED4CA3"/>
    <w:rsid w:val="00ED4E9C"/>
    <w:rsid w:val="00ED5162"/>
    <w:rsid w:val="00ED697C"/>
    <w:rsid w:val="00EE06CA"/>
    <w:rsid w:val="00EE1E0C"/>
    <w:rsid w:val="00EE43AD"/>
    <w:rsid w:val="00EE4874"/>
    <w:rsid w:val="00EE48D6"/>
    <w:rsid w:val="00EE4A6E"/>
    <w:rsid w:val="00EE4AB9"/>
    <w:rsid w:val="00EE4BAB"/>
    <w:rsid w:val="00EE4D3B"/>
    <w:rsid w:val="00EE511D"/>
    <w:rsid w:val="00EE6FC6"/>
    <w:rsid w:val="00EE7922"/>
    <w:rsid w:val="00EE79A6"/>
    <w:rsid w:val="00EF11DF"/>
    <w:rsid w:val="00EF130D"/>
    <w:rsid w:val="00EF2E26"/>
    <w:rsid w:val="00EF30E0"/>
    <w:rsid w:val="00EF3A81"/>
    <w:rsid w:val="00EF3D05"/>
    <w:rsid w:val="00EF42CF"/>
    <w:rsid w:val="00EF45D8"/>
    <w:rsid w:val="00EF5403"/>
    <w:rsid w:val="00EF567D"/>
    <w:rsid w:val="00EF5B08"/>
    <w:rsid w:val="00EF5F11"/>
    <w:rsid w:val="00EF5FA8"/>
    <w:rsid w:val="00EF6111"/>
    <w:rsid w:val="00EF6CFA"/>
    <w:rsid w:val="00F005A0"/>
    <w:rsid w:val="00F01835"/>
    <w:rsid w:val="00F01891"/>
    <w:rsid w:val="00F01DE9"/>
    <w:rsid w:val="00F0229D"/>
    <w:rsid w:val="00F02B1B"/>
    <w:rsid w:val="00F0322F"/>
    <w:rsid w:val="00F032BB"/>
    <w:rsid w:val="00F032C8"/>
    <w:rsid w:val="00F03522"/>
    <w:rsid w:val="00F03567"/>
    <w:rsid w:val="00F03DD3"/>
    <w:rsid w:val="00F04BBE"/>
    <w:rsid w:val="00F0580C"/>
    <w:rsid w:val="00F06616"/>
    <w:rsid w:val="00F07485"/>
    <w:rsid w:val="00F07EDE"/>
    <w:rsid w:val="00F10BC6"/>
    <w:rsid w:val="00F11352"/>
    <w:rsid w:val="00F11AD0"/>
    <w:rsid w:val="00F12313"/>
    <w:rsid w:val="00F13D34"/>
    <w:rsid w:val="00F14308"/>
    <w:rsid w:val="00F14602"/>
    <w:rsid w:val="00F1498D"/>
    <w:rsid w:val="00F14DDF"/>
    <w:rsid w:val="00F152AD"/>
    <w:rsid w:val="00F15BA3"/>
    <w:rsid w:val="00F15D52"/>
    <w:rsid w:val="00F165B7"/>
    <w:rsid w:val="00F1722F"/>
    <w:rsid w:val="00F20C9C"/>
    <w:rsid w:val="00F21827"/>
    <w:rsid w:val="00F21A00"/>
    <w:rsid w:val="00F2285F"/>
    <w:rsid w:val="00F23155"/>
    <w:rsid w:val="00F23EE4"/>
    <w:rsid w:val="00F24236"/>
    <w:rsid w:val="00F24E0E"/>
    <w:rsid w:val="00F2525F"/>
    <w:rsid w:val="00F25504"/>
    <w:rsid w:val="00F25707"/>
    <w:rsid w:val="00F26693"/>
    <w:rsid w:val="00F26A13"/>
    <w:rsid w:val="00F26CEB"/>
    <w:rsid w:val="00F27D3B"/>
    <w:rsid w:val="00F30F7A"/>
    <w:rsid w:val="00F3106C"/>
    <w:rsid w:val="00F31261"/>
    <w:rsid w:val="00F31334"/>
    <w:rsid w:val="00F31BB3"/>
    <w:rsid w:val="00F31C67"/>
    <w:rsid w:val="00F323C3"/>
    <w:rsid w:val="00F32A15"/>
    <w:rsid w:val="00F32C93"/>
    <w:rsid w:val="00F32EE6"/>
    <w:rsid w:val="00F32F3C"/>
    <w:rsid w:val="00F339EC"/>
    <w:rsid w:val="00F33D3D"/>
    <w:rsid w:val="00F3414F"/>
    <w:rsid w:val="00F3443B"/>
    <w:rsid w:val="00F34FDD"/>
    <w:rsid w:val="00F35279"/>
    <w:rsid w:val="00F35CC2"/>
    <w:rsid w:val="00F35F1A"/>
    <w:rsid w:val="00F36130"/>
    <w:rsid w:val="00F36278"/>
    <w:rsid w:val="00F3644F"/>
    <w:rsid w:val="00F36B71"/>
    <w:rsid w:val="00F373AE"/>
    <w:rsid w:val="00F37D22"/>
    <w:rsid w:val="00F4032F"/>
    <w:rsid w:val="00F40360"/>
    <w:rsid w:val="00F40444"/>
    <w:rsid w:val="00F40CE6"/>
    <w:rsid w:val="00F40EC2"/>
    <w:rsid w:val="00F41B59"/>
    <w:rsid w:val="00F42099"/>
    <w:rsid w:val="00F423BD"/>
    <w:rsid w:val="00F42AFB"/>
    <w:rsid w:val="00F42ED8"/>
    <w:rsid w:val="00F431C5"/>
    <w:rsid w:val="00F432FF"/>
    <w:rsid w:val="00F433C2"/>
    <w:rsid w:val="00F4457F"/>
    <w:rsid w:val="00F44B9C"/>
    <w:rsid w:val="00F456D2"/>
    <w:rsid w:val="00F45B08"/>
    <w:rsid w:val="00F46431"/>
    <w:rsid w:val="00F46523"/>
    <w:rsid w:val="00F469AD"/>
    <w:rsid w:val="00F46B4B"/>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54B"/>
    <w:rsid w:val="00F576DE"/>
    <w:rsid w:val="00F57747"/>
    <w:rsid w:val="00F578BC"/>
    <w:rsid w:val="00F633F1"/>
    <w:rsid w:val="00F63BF7"/>
    <w:rsid w:val="00F6453E"/>
    <w:rsid w:val="00F65215"/>
    <w:rsid w:val="00F655C6"/>
    <w:rsid w:val="00F65617"/>
    <w:rsid w:val="00F65A88"/>
    <w:rsid w:val="00F66494"/>
    <w:rsid w:val="00F66E76"/>
    <w:rsid w:val="00F700B9"/>
    <w:rsid w:val="00F7011F"/>
    <w:rsid w:val="00F710BE"/>
    <w:rsid w:val="00F71BF5"/>
    <w:rsid w:val="00F72016"/>
    <w:rsid w:val="00F72C08"/>
    <w:rsid w:val="00F72DAD"/>
    <w:rsid w:val="00F736D2"/>
    <w:rsid w:val="00F74CEE"/>
    <w:rsid w:val="00F7564C"/>
    <w:rsid w:val="00F759AD"/>
    <w:rsid w:val="00F76220"/>
    <w:rsid w:val="00F769BE"/>
    <w:rsid w:val="00F7735C"/>
    <w:rsid w:val="00F77BD5"/>
    <w:rsid w:val="00F8108B"/>
    <w:rsid w:val="00F82D85"/>
    <w:rsid w:val="00F82E6B"/>
    <w:rsid w:val="00F83662"/>
    <w:rsid w:val="00F838C0"/>
    <w:rsid w:val="00F85F83"/>
    <w:rsid w:val="00F86374"/>
    <w:rsid w:val="00F86739"/>
    <w:rsid w:val="00F87E7F"/>
    <w:rsid w:val="00F90D75"/>
    <w:rsid w:val="00F91049"/>
    <w:rsid w:val="00F912FD"/>
    <w:rsid w:val="00F91D43"/>
    <w:rsid w:val="00F92B65"/>
    <w:rsid w:val="00F9367F"/>
    <w:rsid w:val="00F9512B"/>
    <w:rsid w:val="00F95411"/>
    <w:rsid w:val="00F9619C"/>
    <w:rsid w:val="00F96339"/>
    <w:rsid w:val="00F9759C"/>
    <w:rsid w:val="00F97859"/>
    <w:rsid w:val="00F97973"/>
    <w:rsid w:val="00F97B71"/>
    <w:rsid w:val="00FA06A3"/>
    <w:rsid w:val="00FA0E23"/>
    <w:rsid w:val="00FA1506"/>
    <w:rsid w:val="00FA230F"/>
    <w:rsid w:val="00FA2CFC"/>
    <w:rsid w:val="00FA2DDA"/>
    <w:rsid w:val="00FA34CA"/>
    <w:rsid w:val="00FA3E3E"/>
    <w:rsid w:val="00FA4A55"/>
    <w:rsid w:val="00FA4D4F"/>
    <w:rsid w:val="00FA54E8"/>
    <w:rsid w:val="00FA595E"/>
    <w:rsid w:val="00FA5FE8"/>
    <w:rsid w:val="00FA668B"/>
    <w:rsid w:val="00FA67CF"/>
    <w:rsid w:val="00FA6F6C"/>
    <w:rsid w:val="00FA7659"/>
    <w:rsid w:val="00FA7F6F"/>
    <w:rsid w:val="00FB10EC"/>
    <w:rsid w:val="00FB2D17"/>
    <w:rsid w:val="00FB2F69"/>
    <w:rsid w:val="00FB368B"/>
    <w:rsid w:val="00FB3A3A"/>
    <w:rsid w:val="00FB4217"/>
    <w:rsid w:val="00FB4379"/>
    <w:rsid w:val="00FB45FF"/>
    <w:rsid w:val="00FB542A"/>
    <w:rsid w:val="00FB55D8"/>
    <w:rsid w:val="00FB5D97"/>
    <w:rsid w:val="00FB61EA"/>
    <w:rsid w:val="00FB6C7A"/>
    <w:rsid w:val="00FB732E"/>
    <w:rsid w:val="00FB79F7"/>
    <w:rsid w:val="00FC09E7"/>
    <w:rsid w:val="00FC1CA5"/>
    <w:rsid w:val="00FC1D8E"/>
    <w:rsid w:val="00FC24EB"/>
    <w:rsid w:val="00FC2733"/>
    <w:rsid w:val="00FC2979"/>
    <w:rsid w:val="00FC5041"/>
    <w:rsid w:val="00FC5407"/>
    <w:rsid w:val="00FC5615"/>
    <w:rsid w:val="00FC6D6C"/>
    <w:rsid w:val="00FC6E91"/>
    <w:rsid w:val="00FC71A8"/>
    <w:rsid w:val="00FD1BEF"/>
    <w:rsid w:val="00FD1C3C"/>
    <w:rsid w:val="00FD24F6"/>
    <w:rsid w:val="00FD2DB1"/>
    <w:rsid w:val="00FD38A8"/>
    <w:rsid w:val="00FD3A23"/>
    <w:rsid w:val="00FD5348"/>
    <w:rsid w:val="00FD6AC8"/>
    <w:rsid w:val="00FD6ADD"/>
    <w:rsid w:val="00FE06DF"/>
    <w:rsid w:val="00FE0A6C"/>
    <w:rsid w:val="00FE1727"/>
    <w:rsid w:val="00FE1738"/>
    <w:rsid w:val="00FE225B"/>
    <w:rsid w:val="00FE326E"/>
    <w:rsid w:val="00FE3638"/>
    <w:rsid w:val="00FE3D09"/>
    <w:rsid w:val="00FE3EA1"/>
    <w:rsid w:val="00FE4818"/>
    <w:rsid w:val="00FE4CA4"/>
    <w:rsid w:val="00FE5AE4"/>
    <w:rsid w:val="00FE5D80"/>
    <w:rsid w:val="00FE637F"/>
    <w:rsid w:val="00FE64EE"/>
    <w:rsid w:val="00FE73F7"/>
    <w:rsid w:val="00FE745E"/>
    <w:rsid w:val="00FE7865"/>
    <w:rsid w:val="00FF05DE"/>
    <w:rsid w:val="00FF06C4"/>
    <w:rsid w:val="00FF0BB0"/>
    <w:rsid w:val="00FF1342"/>
    <w:rsid w:val="00FF1513"/>
    <w:rsid w:val="00FF1577"/>
    <w:rsid w:val="00FF17DD"/>
    <w:rsid w:val="00FF2145"/>
    <w:rsid w:val="00FF314D"/>
    <w:rsid w:val="00FF3334"/>
    <w:rsid w:val="00FF4946"/>
    <w:rsid w:val="00FF50AB"/>
    <w:rsid w:val="00FF54A3"/>
    <w:rsid w:val="00FF5733"/>
    <w:rsid w:val="00FF59BE"/>
    <w:rsid w:val="00FF5BA7"/>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C22CCA6C-82C8-488C-8531-C40C18B8B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paragraph" w:styleId="40">
    <w:name w:val="heading 4"/>
    <w:basedOn w:val="a"/>
    <w:next w:val="a"/>
    <w:link w:val="4Char"/>
    <w:unhideWhenUsed/>
    <w:qFormat/>
    <w:locked/>
    <w:rsid w:val="0091064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4">
    <w:name w:val="Balloon Text"/>
    <w:basedOn w:val="a"/>
    <w:link w:val="Char"/>
    <w:uiPriority w:val="99"/>
    <w:semiHidden/>
    <w:rsid w:val="00FB732E"/>
    <w:rPr>
      <w:sz w:val="18"/>
      <w:szCs w:val="18"/>
    </w:rPr>
  </w:style>
  <w:style w:type="character" w:customStyle="1" w:styleId="Char">
    <w:name w:val="批注框文本 Char"/>
    <w:link w:val="a4"/>
    <w:uiPriority w:val="99"/>
    <w:semiHidden/>
    <w:locked/>
    <w:rsid w:val="006D141C"/>
    <w:rPr>
      <w:rFonts w:cs="Times New Roman"/>
      <w:kern w:val="2"/>
      <w:sz w:val="18"/>
      <w:szCs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0">
    <w:name w:val="正文文本缩进 Char"/>
    <w:link w:val="a5"/>
    <w:uiPriority w:val="99"/>
    <w:locked/>
    <w:rsid w:val="006D141C"/>
    <w:rPr>
      <w:rFonts w:ascii="Arial Unicode MS" w:eastAsia="Times New Roman" w:hAnsi="Arial Unicode MS" w:cs="Arial Unicode MS"/>
      <w:sz w:val="24"/>
      <w:szCs w:val="24"/>
    </w:rPr>
  </w:style>
  <w:style w:type="paragraph" w:styleId="a6">
    <w:name w:val="Plain Text"/>
    <w:basedOn w:val="a"/>
    <w:link w:val="Char1"/>
    <w:uiPriority w:val="99"/>
    <w:rsid w:val="00FB732E"/>
    <w:rPr>
      <w:rFonts w:ascii="宋体" w:hAnsi="Courier New"/>
      <w:szCs w:val="21"/>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uiPriority w:val="99"/>
    <w:locked/>
    <w:rsid w:val="006D141C"/>
    <w:rPr>
      <w:rFonts w:ascii="宋体" w:eastAsia="宋体" w:cs="Times New Roman"/>
      <w:color w:val="FF0000"/>
      <w:kern w:val="2"/>
      <w:sz w:val="24"/>
      <w:szCs w:val="24"/>
    </w:rPr>
  </w:style>
  <w:style w:type="paragraph" w:styleId="a7">
    <w:name w:val="footer"/>
    <w:basedOn w:val="a"/>
    <w:link w:val="Char2"/>
    <w:uiPriority w:val="99"/>
    <w:rsid w:val="00FB732E"/>
    <w:pPr>
      <w:tabs>
        <w:tab w:val="center" w:pos="4153"/>
        <w:tab w:val="right" w:pos="8306"/>
      </w:tabs>
      <w:snapToGrid w:val="0"/>
      <w:jc w:val="left"/>
    </w:pPr>
    <w:rPr>
      <w:sz w:val="18"/>
      <w:szCs w:val="18"/>
    </w:rPr>
  </w:style>
  <w:style w:type="character" w:customStyle="1" w:styleId="Char2">
    <w:name w:val="页脚 Char"/>
    <w:link w:val="a7"/>
    <w:uiPriority w:val="99"/>
    <w:locked/>
    <w:rsid w:val="006D141C"/>
    <w:rPr>
      <w:rFonts w:cs="Times New Roman"/>
      <w:kern w:val="2"/>
      <w:sz w:val="18"/>
      <w:szCs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a"/>
    <w:uiPriority w:val="99"/>
    <w:locked/>
    <w:rsid w:val="006D141C"/>
    <w:rPr>
      <w:rFonts w:cs="Times New Roman"/>
      <w:kern w:val="2"/>
      <w:sz w:val="18"/>
      <w:szCs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rPr>
      <w:szCs w:val="20"/>
    </w:rPr>
  </w:style>
  <w:style w:type="paragraph" w:styleId="ad">
    <w:name w:val="Body Text"/>
    <w:basedOn w:val="a"/>
    <w:link w:val="Char4"/>
    <w:uiPriority w:val="99"/>
    <w:rsid w:val="00FB732E"/>
    <w:pPr>
      <w:spacing w:after="120"/>
    </w:pPr>
  </w:style>
  <w:style w:type="character" w:customStyle="1" w:styleId="Char4">
    <w:name w:val="正文文本 Char"/>
    <w:link w:val="ad"/>
    <w:uiPriority w:val="99"/>
    <w:locked/>
    <w:rsid w:val="006D141C"/>
    <w:rPr>
      <w:rFonts w:cs="Times New Roman"/>
      <w:kern w:val="2"/>
      <w:sz w:val="24"/>
      <w:szCs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semiHidden/>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qFormat/>
    <w:rsid w:val="003D3725"/>
    <w:pPr>
      <w:tabs>
        <w:tab w:val="left" w:pos="1260"/>
        <w:tab w:val="right" w:leader="dot" w:pos="9072"/>
      </w:tabs>
      <w:ind w:leftChars="200" w:left="20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937FC6"/>
    <w:pPr>
      <w:tabs>
        <w:tab w:val="left" w:pos="420"/>
        <w:tab w:val="right" w:leader="dot" w:pos="9072"/>
      </w:tabs>
    </w:pPr>
  </w:style>
  <w:style w:type="paragraph" w:styleId="32">
    <w:name w:val="toc 3"/>
    <w:basedOn w:val="a"/>
    <w:next w:val="a"/>
    <w:autoRedefine/>
    <w:uiPriority w:val="99"/>
    <w:semiHidden/>
    <w:qFormat/>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numbering" w:customStyle="1" w:styleId="5">
    <w:name w:val="样式5"/>
    <w:rsid w:val="00CB660F"/>
    <w:pPr>
      <w:numPr>
        <w:numId w:val="8"/>
      </w:numPr>
    </w:pPr>
  </w:style>
  <w:style w:type="numbering" w:customStyle="1" w:styleId="3">
    <w:name w:val="样式3"/>
    <w:rsid w:val="00CB660F"/>
    <w:pPr>
      <w:numPr>
        <w:numId w:val="7"/>
      </w:numPr>
    </w:pPr>
  </w:style>
  <w:style w:type="numbering" w:customStyle="1" w:styleId="4">
    <w:name w:val="样式4"/>
    <w:rsid w:val="00CB660F"/>
    <w:pPr>
      <w:numPr>
        <w:numId w:val="9"/>
      </w:numPr>
    </w:pPr>
  </w:style>
  <w:style w:type="numbering" w:customStyle="1" w:styleId="2">
    <w:name w:val="样式2"/>
    <w:rsid w:val="00CB660F"/>
    <w:pPr>
      <w:numPr>
        <w:numId w:val="16"/>
      </w:numPr>
    </w:pPr>
  </w:style>
  <w:style w:type="character" w:styleId="af8">
    <w:name w:val="Strong"/>
    <w:basedOn w:val="a1"/>
    <w:uiPriority w:val="22"/>
    <w:qFormat/>
    <w:locked/>
    <w:rsid w:val="00490561"/>
    <w:rPr>
      <w:b/>
      <w:bCs/>
    </w:rPr>
  </w:style>
  <w:style w:type="paragraph" w:customStyle="1" w:styleId="af9">
    <w:name w:val="目录模式"/>
    <w:basedOn w:val="22"/>
    <w:link w:val="Charb"/>
    <w:qFormat/>
    <w:rsid w:val="00F655C6"/>
    <w:rPr>
      <w:rFonts w:ascii="宋体" w:hAnsi="宋体"/>
      <w:noProof/>
      <w:szCs w:val="24"/>
    </w:rPr>
  </w:style>
  <w:style w:type="paragraph" w:customStyle="1" w:styleId="12">
    <w:name w:val="样式1"/>
    <w:basedOn w:val="22"/>
    <w:link w:val="1Char0"/>
    <w:autoRedefine/>
    <w:qFormat/>
    <w:rsid w:val="00F655C6"/>
    <w:rPr>
      <w:rFonts w:ascii="宋体" w:hAnsi="宋体"/>
      <w:noProof/>
      <w:szCs w:val="24"/>
    </w:rPr>
  </w:style>
  <w:style w:type="character" w:customStyle="1" w:styleId="2Char1">
    <w:name w:val="目录 2 Char"/>
    <w:basedOn w:val="a1"/>
    <w:link w:val="22"/>
    <w:uiPriority w:val="99"/>
    <w:rsid w:val="003D3725"/>
    <w:rPr>
      <w:sz w:val="21"/>
      <w:szCs w:val="21"/>
    </w:rPr>
  </w:style>
  <w:style w:type="character" w:customStyle="1" w:styleId="Charb">
    <w:name w:val="目录模式 Char"/>
    <w:basedOn w:val="2Char1"/>
    <w:link w:val="af9"/>
    <w:rsid w:val="00F655C6"/>
    <w:rPr>
      <w:rFonts w:ascii="宋体" w:hAnsi="宋体"/>
      <w:noProof/>
      <w:sz w:val="24"/>
      <w:szCs w:val="24"/>
    </w:rPr>
  </w:style>
  <w:style w:type="character" w:customStyle="1" w:styleId="1Char0">
    <w:name w:val="样式1 Char"/>
    <w:basedOn w:val="2Char1"/>
    <w:link w:val="12"/>
    <w:rsid w:val="00F655C6"/>
    <w:rPr>
      <w:rFonts w:ascii="宋体" w:hAnsi="宋体"/>
      <w:noProof/>
      <w:sz w:val="24"/>
      <w:szCs w:val="24"/>
    </w:rPr>
  </w:style>
  <w:style w:type="character" w:customStyle="1" w:styleId="4Char">
    <w:name w:val="标题 4 Char"/>
    <w:basedOn w:val="a1"/>
    <w:link w:val="40"/>
    <w:rsid w:val="00910642"/>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123387">
      <w:marLeft w:val="0"/>
      <w:marRight w:val="0"/>
      <w:marTop w:val="0"/>
      <w:marBottom w:val="0"/>
      <w:divBdr>
        <w:top w:val="none" w:sz="0" w:space="0" w:color="auto"/>
        <w:left w:val="none" w:sz="0" w:space="0" w:color="auto"/>
        <w:bottom w:val="none" w:sz="0" w:space="0" w:color="auto"/>
        <w:right w:val="none" w:sz="0" w:space="0" w:color="auto"/>
      </w:divBdr>
    </w:div>
    <w:div w:id="213123388">
      <w:marLeft w:val="0"/>
      <w:marRight w:val="0"/>
      <w:marTop w:val="0"/>
      <w:marBottom w:val="0"/>
      <w:divBdr>
        <w:top w:val="none" w:sz="0" w:space="0" w:color="auto"/>
        <w:left w:val="none" w:sz="0" w:space="0" w:color="auto"/>
        <w:bottom w:val="none" w:sz="0" w:space="0" w:color="auto"/>
        <w:right w:val="none" w:sz="0" w:space="0" w:color="auto"/>
      </w:divBdr>
    </w:div>
    <w:div w:id="213123389">
      <w:marLeft w:val="0"/>
      <w:marRight w:val="0"/>
      <w:marTop w:val="0"/>
      <w:marBottom w:val="0"/>
      <w:divBdr>
        <w:top w:val="none" w:sz="0" w:space="0" w:color="auto"/>
        <w:left w:val="none" w:sz="0" w:space="0" w:color="auto"/>
        <w:bottom w:val="none" w:sz="0" w:space="0" w:color="auto"/>
        <w:right w:val="none" w:sz="0" w:space="0" w:color="auto"/>
      </w:divBdr>
    </w:div>
    <w:div w:id="213123390">
      <w:marLeft w:val="0"/>
      <w:marRight w:val="0"/>
      <w:marTop w:val="0"/>
      <w:marBottom w:val="0"/>
      <w:divBdr>
        <w:top w:val="none" w:sz="0" w:space="0" w:color="auto"/>
        <w:left w:val="none" w:sz="0" w:space="0" w:color="auto"/>
        <w:bottom w:val="none" w:sz="0" w:space="0" w:color="auto"/>
        <w:right w:val="none" w:sz="0" w:space="0" w:color="auto"/>
      </w:divBdr>
    </w:div>
    <w:div w:id="213123391">
      <w:marLeft w:val="0"/>
      <w:marRight w:val="0"/>
      <w:marTop w:val="0"/>
      <w:marBottom w:val="0"/>
      <w:divBdr>
        <w:top w:val="none" w:sz="0" w:space="0" w:color="auto"/>
        <w:left w:val="none" w:sz="0" w:space="0" w:color="auto"/>
        <w:bottom w:val="none" w:sz="0" w:space="0" w:color="auto"/>
        <w:right w:val="none" w:sz="0" w:space="0" w:color="auto"/>
      </w:divBdr>
    </w:div>
    <w:div w:id="213123392">
      <w:marLeft w:val="0"/>
      <w:marRight w:val="0"/>
      <w:marTop w:val="0"/>
      <w:marBottom w:val="0"/>
      <w:divBdr>
        <w:top w:val="none" w:sz="0" w:space="0" w:color="auto"/>
        <w:left w:val="none" w:sz="0" w:space="0" w:color="auto"/>
        <w:bottom w:val="none" w:sz="0" w:space="0" w:color="auto"/>
        <w:right w:val="none" w:sz="0" w:space="0" w:color="auto"/>
      </w:divBdr>
    </w:div>
    <w:div w:id="213123393">
      <w:marLeft w:val="0"/>
      <w:marRight w:val="0"/>
      <w:marTop w:val="0"/>
      <w:marBottom w:val="0"/>
      <w:divBdr>
        <w:top w:val="none" w:sz="0" w:space="0" w:color="auto"/>
        <w:left w:val="none" w:sz="0" w:space="0" w:color="auto"/>
        <w:bottom w:val="none" w:sz="0" w:space="0" w:color="auto"/>
        <w:right w:val="none" w:sz="0" w:space="0" w:color="auto"/>
      </w:divBdr>
    </w:div>
    <w:div w:id="213123394">
      <w:marLeft w:val="0"/>
      <w:marRight w:val="0"/>
      <w:marTop w:val="0"/>
      <w:marBottom w:val="0"/>
      <w:divBdr>
        <w:top w:val="none" w:sz="0" w:space="0" w:color="auto"/>
        <w:left w:val="none" w:sz="0" w:space="0" w:color="auto"/>
        <w:bottom w:val="none" w:sz="0" w:space="0" w:color="auto"/>
        <w:right w:val="none" w:sz="0" w:space="0" w:color="auto"/>
      </w:divBdr>
    </w:div>
    <w:div w:id="213123395">
      <w:marLeft w:val="0"/>
      <w:marRight w:val="0"/>
      <w:marTop w:val="0"/>
      <w:marBottom w:val="0"/>
      <w:divBdr>
        <w:top w:val="none" w:sz="0" w:space="0" w:color="auto"/>
        <w:left w:val="none" w:sz="0" w:space="0" w:color="auto"/>
        <w:bottom w:val="none" w:sz="0" w:space="0" w:color="auto"/>
        <w:right w:val="none" w:sz="0" w:space="0" w:color="auto"/>
      </w:divBdr>
    </w:div>
    <w:div w:id="213123396">
      <w:marLeft w:val="0"/>
      <w:marRight w:val="0"/>
      <w:marTop w:val="0"/>
      <w:marBottom w:val="0"/>
      <w:divBdr>
        <w:top w:val="none" w:sz="0" w:space="0" w:color="auto"/>
        <w:left w:val="none" w:sz="0" w:space="0" w:color="auto"/>
        <w:bottom w:val="none" w:sz="0" w:space="0" w:color="auto"/>
        <w:right w:val="none" w:sz="0" w:space="0" w:color="auto"/>
      </w:divBdr>
    </w:div>
    <w:div w:id="213123397">
      <w:marLeft w:val="0"/>
      <w:marRight w:val="0"/>
      <w:marTop w:val="0"/>
      <w:marBottom w:val="0"/>
      <w:divBdr>
        <w:top w:val="none" w:sz="0" w:space="0" w:color="auto"/>
        <w:left w:val="none" w:sz="0" w:space="0" w:color="auto"/>
        <w:bottom w:val="none" w:sz="0" w:space="0" w:color="auto"/>
        <w:right w:val="none" w:sz="0" w:space="0" w:color="auto"/>
      </w:divBdr>
    </w:div>
    <w:div w:id="213123398">
      <w:marLeft w:val="0"/>
      <w:marRight w:val="0"/>
      <w:marTop w:val="0"/>
      <w:marBottom w:val="0"/>
      <w:divBdr>
        <w:top w:val="none" w:sz="0" w:space="0" w:color="auto"/>
        <w:left w:val="none" w:sz="0" w:space="0" w:color="auto"/>
        <w:bottom w:val="none" w:sz="0" w:space="0" w:color="auto"/>
        <w:right w:val="none" w:sz="0" w:space="0" w:color="auto"/>
      </w:divBdr>
    </w:div>
    <w:div w:id="213123399">
      <w:marLeft w:val="0"/>
      <w:marRight w:val="0"/>
      <w:marTop w:val="0"/>
      <w:marBottom w:val="0"/>
      <w:divBdr>
        <w:top w:val="none" w:sz="0" w:space="0" w:color="auto"/>
        <w:left w:val="none" w:sz="0" w:space="0" w:color="auto"/>
        <w:bottom w:val="none" w:sz="0" w:space="0" w:color="auto"/>
        <w:right w:val="none" w:sz="0" w:space="0" w:color="auto"/>
      </w:divBdr>
    </w:div>
    <w:div w:id="213123400">
      <w:marLeft w:val="0"/>
      <w:marRight w:val="0"/>
      <w:marTop w:val="0"/>
      <w:marBottom w:val="0"/>
      <w:divBdr>
        <w:top w:val="none" w:sz="0" w:space="0" w:color="auto"/>
        <w:left w:val="none" w:sz="0" w:space="0" w:color="auto"/>
        <w:bottom w:val="none" w:sz="0" w:space="0" w:color="auto"/>
        <w:right w:val="none" w:sz="0" w:space="0" w:color="auto"/>
      </w:divBdr>
    </w:div>
    <w:div w:id="213123401">
      <w:marLeft w:val="0"/>
      <w:marRight w:val="0"/>
      <w:marTop w:val="0"/>
      <w:marBottom w:val="0"/>
      <w:divBdr>
        <w:top w:val="none" w:sz="0" w:space="0" w:color="auto"/>
        <w:left w:val="none" w:sz="0" w:space="0" w:color="auto"/>
        <w:bottom w:val="none" w:sz="0" w:space="0" w:color="auto"/>
        <w:right w:val="none" w:sz="0" w:space="0" w:color="auto"/>
      </w:divBdr>
    </w:div>
    <w:div w:id="213123402">
      <w:marLeft w:val="0"/>
      <w:marRight w:val="0"/>
      <w:marTop w:val="0"/>
      <w:marBottom w:val="0"/>
      <w:divBdr>
        <w:top w:val="none" w:sz="0" w:space="0" w:color="auto"/>
        <w:left w:val="none" w:sz="0" w:space="0" w:color="auto"/>
        <w:bottom w:val="none" w:sz="0" w:space="0" w:color="auto"/>
        <w:right w:val="none" w:sz="0" w:space="0" w:color="auto"/>
      </w:divBdr>
    </w:div>
    <w:div w:id="213123403">
      <w:marLeft w:val="0"/>
      <w:marRight w:val="0"/>
      <w:marTop w:val="0"/>
      <w:marBottom w:val="0"/>
      <w:divBdr>
        <w:top w:val="none" w:sz="0" w:space="0" w:color="auto"/>
        <w:left w:val="none" w:sz="0" w:space="0" w:color="auto"/>
        <w:bottom w:val="none" w:sz="0" w:space="0" w:color="auto"/>
        <w:right w:val="none" w:sz="0" w:space="0" w:color="auto"/>
      </w:divBdr>
    </w:div>
    <w:div w:id="213123404">
      <w:marLeft w:val="0"/>
      <w:marRight w:val="0"/>
      <w:marTop w:val="0"/>
      <w:marBottom w:val="0"/>
      <w:divBdr>
        <w:top w:val="none" w:sz="0" w:space="0" w:color="auto"/>
        <w:left w:val="none" w:sz="0" w:space="0" w:color="auto"/>
        <w:bottom w:val="none" w:sz="0" w:space="0" w:color="auto"/>
        <w:right w:val="none" w:sz="0" w:space="0" w:color="auto"/>
      </w:divBdr>
    </w:div>
    <w:div w:id="213123405">
      <w:marLeft w:val="0"/>
      <w:marRight w:val="0"/>
      <w:marTop w:val="0"/>
      <w:marBottom w:val="0"/>
      <w:divBdr>
        <w:top w:val="none" w:sz="0" w:space="0" w:color="auto"/>
        <w:left w:val="none" w:sz="0" w:space="0" w:color="auto"/>
        <w:bottom w:val="none" w:sz="0" w:space="0" w:color="auto"/>
        <w:right w:val="none" w:sz="0" w:space="0" w:color="auto"/>
      </w:divBdr>
    </w:div>
    <w:div w:id="213123406">
      <w:marLeft w:val="0"/>
      <w:marRight w:val="0"/>
      <w:marTop w:val="0"/>
      <w:marBottom w:val="0"/>
      <w:divBdr>
        <w:top w:val="none" w:sz="0" w:space="0" w:color="auto"/>
        <w:left w:val="none" w:sz="0" w:space="0" w:color="auto"/>
        <w:bottom w:val="none" w:sz="0" w:space="0" w:color="auto"/>
        <w:right w:val="none" w:sz="0" w:space="0" w:color="auto"/>
      </w:divBdr>
    </w:div>
    <w:div w:id="213123407">
      <w:marLeft w:val="0"/>
      <w:marRight w:val="0"/>
      <w:marTop w:val="0"/>
      <w:marBottom w:val="0"/>
      <w:divBdr>
        <w:top w:val="none" w:sz="0" w:space="0" w:color="auto"/>
        <w:left w:val="none" w:sz="0" w:space="0" w:color="auto"/>
        <w:bottom w:val="none" w:sz="0" w:space="0" w:color="auto"/>
        <w:right w:val="none" w:sz="0" w:space="0" w:color="auto"/>
      </w:divBdr>
    </w:div>
    <w:div w:id="213123408">
      <w:marLeft w:val="0"/>
      <w:marRight w:val="0"/>
      <w:marTop w:val="0"/>
      <w:marBottom w:val="0"/>
      <w:divBdr>
        <w:top w:val="none" w:sz="0" w:space="0" w:color="auto"/>
        <w:left w:val="none" w:sz="0" w:space="0" w:color="auto"/>
        <w:bottom w:val="none" w:sz="0" w:space="0" w:color="auto"/>
        <w:right w:val="none" w:sz="0" w:space="0" w:color="auto"/>
      </w:divBdr>
    </w:div>
    <w:div w:id="213123409">
      <w:marLeft w:val="0"/>
      <w:marRight w:val="0"/>
      <w:marTop w:val="0"/>
      <w:marBottom w:val="0"/>
      <w:divBdr>
        <w:top w:val="none" w:sz="0" w:space="0" w:color="auto"/>
        <w:left w:val="none" w:sz="0" w:space="0" w:color="auto"/>
        <w:bottom w:val="none" w:sz="0" w:space="0" w:color="auto"/>
        <w:right w:val="none" w:sz="0" w:space="0" w:color="auto"/>
      </w:divBdr>
    </w:div>
    <w:div w:id="213123410">
      <w:marLeft w:val="0"/>
      <w:marRight w:val="0"/>
      <w:marTop w:val="0"/>
      <w:marBottom w:val="0"/>
      <w:divBdr>
        <w:top w:val="none" w:sz="0" w:space="0" w:color="auto"/>
        <w:left w:val="none" w:sz="0" w:space="0" w:color="auto"/>
        <w:bottom w:val="none" w:sz="0" w:space="0" w:color="auto"/>
        <w:right w:val="none" w:sz="0" w:space="0" w:color="auto"/>
      </w:divBdr>
    </w:div>
    <w:div w:id="213123411">
      <w:marLeft w:val="0"/>
      <w:marRight w:val="0"/>
      <w:marTop w:val="0"/>
      <w:marBottom w:val="0"/>
      <w:divBdr>
        <w:top w:val="none" w:sz="0" w:space="0" w:color="auto"/>
        <w:left w:val="none" w:sz="0" w:space="0" w:color="auto"/>
        <w:bottom w:val="none" w:sz="0" w:space="0" w:color="auto"/>
        <w:right w:val="none" w:sz="0" w:space="0" w:color="auto"/>
      </w:divBdr>
    </w:div>
    <w:div w:id="213123412">
      <w:marLeft w:val="0"/>
      <w:marRight w:val="0"/>
      <w:marTop w:val="0"/>
      <w:marBottom w:val="0"/>
      <w:divBdr>
        <w:top w:val="none" w:sz="0" w:space="0" w:color="auto"/>
        <w:left w:val="none" w:sz="0" w:space="0" w:color="auto"/>
        <w:bottom w:val="none" w:sz="0" w:space="0" w:color="auto"/>
        <w:right w:val="none" w:sz="0" w:space="0" w:color="auto"/>
      </w:divBdr>
      <w:divsChild>
        <w:div w:id="213123536">
          <w:marLeft w:val="0"/>
          <w:marRight w:val="0"/>
          <w:marTop w:val="0"/>
          <w:marBottom w:val="0"/>
          <w:divBdr>
            <w:top w:val="none" w:sz="0" w:space="0" w:color="auto"/>
            <w:left w:val="none" w:sz="0" w:space="0" w:color="auto"/>
            <w:bottom w:val="none" w:sz="0" w:space="0" w:color="auto"/>
            <w:right w:val="none" w:sz="0" w:space="0" w:color="auto"/>
          </w:divBdr>
        </w:div>
      </w:divsChild>
    </w:div>
    <w:div w:id="213123413">
      <w:marLeft w:val="0"/>
      <w:marRight w:val="0"/>
      <w:marTop w:val="0"/>
      <w:marBottom w:val="0"/>
      <w:divBdr>
        <w:top w:val="none" w:sz="0" w:space="0" w:color="auto"/>
        <w:left w:val="none" w:sz="0" w:space="0" w:color="auto"/>
        <w:bottom w:val="none" w:sz="0" w:space="0" w:color="auto"/>
        <w:right w:val="none" w:sz="0" w:space="0" w:color="auto"/>
      </w:divBdr>
    </w:div>
    <w:div w:id="213123414">
      <w:marLeft w:val="0"/>
      <w:marRight w:val="0"/>
      <w:marTop w:val="0"/>
      <w:marBottom w:val="0"/>
      <w:divBdr>
        <w:top w:val="none" w:sz="0" w:space="0" w:color="auto"/>
        <w:left w:val="none" w:sz="0" w:space="0" w:color="auto"/>
        <w:bottom w:val="none" w:sz="0" w:space="0" w:color="auto"/>
        <w:right w:val="none" w:sz="0" w:space="0" w:color="auto"/>
      </w:divBdr>
    </w:div>
    <w:div w:id="213123415">
      <w:marLeft w:val="0"/>
      <w:marRight w:val="0"/>
      <w:marTop w:val="0"/>
      <w:marBottom w:val="0"/>
      <w:divBdr>
        <w:top w:val="none" w:sz="0" w:space="0" w:color="auto"/>
        <w:left w:val="none" w:sz="0" w:space="0" w:color="auto"/>
        <w:bottom w:val="none" w:sz="0" w:space="0" w:color="auto"/>
        <w:right w:val="none" w:sz="0" w:space="0" w:color="auto"/>
      </w:divBdr>
    </w:div>
    <w:div w:id="213123416">
      <w:marLeft w:val="0"/>
      <w:marRight w:val="0"/>
      <w:marTop w:val="0"/>
      <w:marBottom w:val="0"/>
      <w:divBdr>
        <w:top w:val="none" w:sz="0" w:space="0" w:color="auto"/>
        <w:left w:val="none" w:sz="0" w:space="0" w:color="auto"/>
        <w:bottom w:val="none" w:sz="0" w:space="0" w:color="auto"/>
        <w:right w:val="none" w:sz="0" w:space="0" w:color="auto"/>
      </w:divBdr>
    </w:div>
    <w:div w:id="213123417">
      <w:marLeft w:val="0"/>
      <w:marRight w:val="0"/>
      <w:marTop w:val="0"/>
      <w:marBottom w:val="0"/>
      <w:divBdr>
        <w:top w:val="none" w:sz="0" w:space="0" w:color="auto"/>
        <w:left w:val="none" w:sz="0" w:space="0" w:color="auto"/>
        <w:bottom w:val="none" w:sz="0" w:space="0" w:color="auto"/>
        <w:right w:val="none" w:sz="0" w:space="0" w:color="auto"/>
      </w:divBdr>
    </w:div>
    <w:div w:id="213123418">
      <w:marLeft w:val="0"/>
      <w:marRight w:val="0"/>
      <w:marTop w:val="0"/>
      <w:marBottom w:val="0"/>
      <w:divBdr>
        <w:top w:val="none" w:sz="0" w:space="0" w:color="auto"/>
        <w:left w:val="none" w:sz="0" w:space="0" w:color="auto"/>
        <w:bottom w:val="none" w:sz="0" w:space="0" w:color="auto"/>
        <w:right w:val="none" w:sz="0" w:space="0" w:color="auto"/>
      </w:divBdr>
    </w:div>
    <w:div w:id="213123419">
      <w:marLeft w:val="0"/>
      <w:marRight w:val="0"/>
      <w:marTop w:val="0"/>
      <w:marBottom w:val="0"/>
      <w:divBdr>
        <w:top w:val="none" w:sz="0" w:space="0" w:color="auto"/>
        <w:left w:val="none" w:sz="0" w:space="0" w:color="auto"/>
        <w:bottom w:val="none" w:sz="0" w:space="0" w:color="auto"/>
        <w:right w:val="none" w:sz="0" w:space="0" w:color="auto"/>
      </w:divBdr>
    </w:div>
    <w:div w:id="213123420">
      <w:marLeft w:val="0"/>
      <w:marRight w:val="0"/>
      <w:marTop w:val="0"/>
      <w:marBottom w:val="0"/>
      <w:divBdr>
        <w:top w:val="none" w:sz="0" w:space="0" w:color="auto"/>
        <w:left w:val="none" w:sz="0" w:space="0" w:color="auto"/>
        <w:bottom w:val="none" w:sz="0" w:space="0" w:color="auto"/>
        <w:right w:val="none" w:sz="0" w:space="0" w:color="auto"/>
      </w:divBdr>
    </w:div>
    <w:div w:id="213123421">
      <w:marLeft w:val="0"/>
      <w:marRight w:val="0"/>
      <w:marTop w:val="0"/>
      <w:marBottom w:val="0"/>
      <w:divBdr>
        <w:top w:val="none" w:sz="0" w:space="0" w:color="auto"/>
        <w:left w:val="none" w:sz="0" w:space="0" w:color="auto"/>
        <w:bottom w:val="none" w:sz="0" w:space="0" w:color="auto"/>
        <w:right w:val="none" w:sz="0" w:space="0" w:color="auto"/>
      </w:divBdr>
    </w:div>
    <w:div w:id="213123422">
      <w:marLeft w:val="0"/>
      <w:marRight w:val="0"/>
      <w:marTop w:val="0"/>
      <w:marBottom w:val="0"/>
      <w:divBdr>
        <w:top w:val="none" w:sz="0" w:space="0" w:color="auto"/>
        <w:left w:val="none" w:sz="0" w:space="0" w:color="auto"/>
        <w:bottom w:val="none" w:sz="0" w:space="0" w:color="auto"/>
        <w:right w:val="none" w:sz="0" w:space="0" w:color="auto"/>
      </w:divBdr>
    </w:div>
    <w:div w:id="213123423">
      <w:marLeft w:val="0"/>
      <w:marRight w:val="0"/>
      <w:marTop w:val="0"/>
      <w:marBottom w:val="0"/>
      <w:divBdr>
        <w:top w:val="none" w:sz="0" w:space="0" w:color="auto"/>
        <w:left w:val="none" w:sz="0" w:space="0" w:color="auto"/>
        <w:bottom w:val="none" w:sz="0" w:space="0" w:color="auto"/>
        <w:right w:val="none" w:sz="0" w:space="0" w:color="auto"/>
      </w:divBdr>
    </w:div>
    <w:div w:id="213123424">
      <w:marLeft w:val="0"/>
      <w:marRight w:val="0"/>
      <w:marTop w:val="0"/>
      <w:marBottom w:val="0"/>
      <w:divBdr>
        <w:top w:val="none" w:sz="0" w:space="0" w:color="auto"/>
        <w:left w:val="none" w:sz="0" w:space="0" w:color="auto"/>
        <w:bottom w:val="none" w:sz="0" w:space="0" w:color="auto"/>
        <w:right w:val="none" w:sz="0" w:space="0" w:color="auto"/>
      </w:divBdr>
    </w:div>
    <w:div w:id="213123425">
      <w:marLeft w:val="0"/>
      <w:marRight w:val="0"/>
      <w:marTop w:val="0"/>
      <w:marBottom w:val="0"/>
      <w:divBdr>
        <w:top w:val="none" w:sz="0" w:space="0" w:color="auto"/>
        <w:left w:val="none" w:sz="0" w:space="0" w:color="auto"/>
        <w:bottom w:val="none" w:sz="0" w:space="0" w:color="auto"/>
        <w:right w:val="none" w:sz="0" w:space="0" w:color="auto"/>
      </w:divBdr>
    </w:div>
    <w:div w:id="213123426">
      <w:marLeft w:val="0"/>
      <w:marRight w:val="0"/>
      <w:marTop w:val="0"/>
      <w:marBottom w:val="0"/>
      <w:divBdr>
        <w:top w:val="none" w:sz="0" w:space="0" w:color="auto"/>
        <w:left w:val="none" w:sz="0" w:space="0" w:color="auto"/>
        <w:bottom w:val="none" w:sz="0" w:space="0" w:color="auto"/>
        <w:right w:val="none" w:sz="0" w:space="0" w:color="auto"/>
      </w:divBdr>
    </w:div>
    <w:div w:id="213123427">
      <w:marLeft w:val="0"/>
      <w:marRight w:val="0"/>
      <w:marTop w:val="0"/>
      <w:marBottom w:val="0"/>
      <w:divBdr>
        <w:top w:val="none" w:sz="0" w:space="0" w:color="auto"/>
        <w:left w:val="none" w:sz="0" w:space="0" w:color="auto"/>
        <w:bottom w:val="none" w:sz="0" w:space="0" w:color="auto"/>
        <w:right w:val="none" w:sz="0" w:space="0" w:color="auto"/>
      </w:divBdr>
    </w:div>
    <w:div w:id="213123428">
      <w:marLeft w:val="0"/>
      <w:marRight w:val="0"/>
      <w:marTop w:val="0"/>
      <w:marBottom w:val="0"/>
      <w:divBdr>
        <w:top w:val="none" w:sz="0" w:space="0" w:color="auto"/>
        <w:left w:val="none" w:sz="0" w:space="0" w:color="auto"/>
        <w:bottom w:val="none" w:sz="0" w:space="0" w:color="auto"/>
        <w:right w:val="none" w:sz="0" w:space="0" w:color="auto"/>
      </w:divBdr>
    </w:div>
    <w:div w:id="213123429">
      <w:marLeft w:val="0"/>
      <w:marRight w:val="0"/>
      <w:marTop w:val="0"/>
      <w:marBottom w:val="0"/>
      <w:divBdr>
        <w:top w:val="none" w:sz="0" w:space="0" w:color="auto"/>
        <w:left w:val="none" w:sz="0" w:space="0" w:color="auto"/>
        <w:bottom w:val="none" w:sz="0" w:space="0" w:color="auto"/>
        <w:right w:val="none" w:sz="0" w:space="0" w:color="auto"/>
      </w:divBdr>
    </w:div>
    <w:div w:id="213123430">
      <w:marLeft w:val="0"/>
      <w:marRight w:val="0"/>
      <w:marTop w:val="0"/>
      <w:marBottom w:val="0"/>
      <w:divBdr>
        <w:top w:val="none" w:sz="0" w:space="0" w:color="auto"/>
        <w:left w:val="none" w:sz="0" w:space="0" w:color="auto"/>
        <w:bottom w:val="none" w:sz="0" w:space="0" w:color="auto"/>
        <w:right w:val="none" w:sz="0" w:space="0" w:color="auto"/>
      </w:divBdr>
    </w:div>
    <w:div w:id="213123431">
      <w:marLeft w:val="0"/>
      <w:marRight w:val="0"/>
      <w:marTop w:val="0"/>
      <w:marBottom w:val="0"/>
      <w:divBdr>
        <w:top w:val="none" w:sz="0" w:space="0" w:color="auto"/>
        <w:left w:val="none" w:sz="0" w:space="0" w:color="auto"/>
        <w:bottom w:val="none" w:sz="0" w:space="0" w:color="auto"/>
        <w:right w:val="none" w:sz="0" w:space="0" w:color="auto"/>
      </w:divBdr>
    </w:div>
    <w:div w:id="213123432">
      <w:marLeft w:val="0"/>
      <w:marRight w:val="0"/>
      <w:marTop w:val="0"/>
      <w:marBottom w:val="0"/>
      <w:divBdr>
        <w:top w:val="none" w:sz="0" w:space="0" w:color="auto"/>
        <w:left w:val="none" w:sz="0" w:space="0" w:color="auto"/>
        <w:bottom w:val="none" w:sz="0" w:space="0" w:color="auto"/>
        <w:right w:val="none" w:sz="0" w:space="0" w:color="auto"/>
      </w:divBdr>
    </w:div>
    <w:div w:id="213123433">
      <w:marLeft w:val="0"/>
      <w:marRight w:val="0"/>
      <w:marTop w:val="0"/>
      <w:marBottom w:val="0"/>
      <w:divBdr>
        <w:top w:val="none" w:sz="0" w:space="0" w:color="auto"/>
        <w:left w:val="none" w:sz="0" w:space="0" w:color="auto"/>
        <w:bottom w:val="none" w:sz="0" w:space="0" w:color="auto"/>
        <w:right w:val="none" w:sz="0" w:space="0" w:color="auto"/>
      </w:divBdr>
    </w:div>
    <w:div w:id="213123434">
      <w:marLeft w:val="0"/>
      <w:marRight w:val="0"/>
      <w:marTop w:val="0"/>
      <w:marBottom w:val="0"/>
      <w:divBdr>
        <w:top w:val="none" w:sz="0" w:space="0" w:color="auto"/>
        <w:left w:val="none" w:sz="0" w:space="0" w:color="auto"/>
        <w:bottom w:val="none" w:sz="0" w:space="0" w:color="auto"/>
        <w:right w:val="none" w:sz="0" w:space="0" w:color="auto"/>
      </w:divBdr>
    </w:div>
    <w:div w:id="213123435">
      <w:marLeft w:val="0"/>
      <w:marRight w:val="0"/>
      <w:marTop w:val="0"/>
      <w:marBottom w:val="0"/>
      <w:divBdr>
        <w:top w:val="none" w:sz="0" w:space="0" w:color="auto"/>
        <w:left w:val="none" w:sz="0" w:space="0" w:color="auto"/>
        <w:bottom w:val="none" w:sz="0" w:space="0" w:color="auto"/>
        <w:right w:val="none" w:sz="0" w:space="0" w:color="auto"/>
      </w:divBdr>
    </w:div>
    <w:div w:id="213123436">
      <w:marLeft w:val="0"/>
      <w:marRight w:val="0"/>
      <w:marTop w:val="0"/>
      <w:marBottom w:val="0"/>
      <w:divBdr>
        <w:top w:val="none" w:sz="0" w:space="0" w:color="auto"/>
        <w:left w:val="none" w:sz="0" w:space="0" w:color="auto"/>
        <w:bottom w:val="none" w:sz="0" w:space="0" w:color="auto"/>
        <w:right w:val="none" w:sz="0" w:space="0" w:color="auto"/>
      </w:divBdr>
    </w:div>
    <w:div w:id="213123437">
      <w:marLeft w:val="0"/>
      <w:marRight w:val="0"/>
      <w:marTop w:val="0"/>
      <w:marBottom w:val="0"/>
      <w:divBdr>
        <w:top w:val="none" w:sz="0" w:space="0" w:color="auto"/>
        <w:left w:val="none" w:sz="0" w:space="0" w:color="auto"/>
        <w:bottom w:val="none" w:sz="0" w:space="0" w:color="auto"/>
        <w:right w:val="none" w:sz="0" w:space="0" w:color="auto"/>
      </w:divBdr>
    </w:div>
    <w:div w:id="213123438">
      <w:marLeft w:val="0"/>
      <w:marRight w:val="0"/>
      <w:marTop w:val="0"/>
      <w:marBottom w:val="0"/>
      <w:divBdr>
        <w:top w:val="none" w:sz="0" w:space="0" w:color="auto"/>
        <w:left w:val="none" w:sz="0" w:space="0" w:color="auto"/>
        <w:bottom w:val="none" w:sz="0" w:space="0" w:color="auto"/>
        <w:right w:val="none" w:sz="0" w:space="0" w:color="auto"/>
      </w:divBdr>
    </w:div>
    <w:div w:id="213123439">
      <w:marLeft w:val="0"/>
      <w:marRight w:val="0"/>
      <w:marTop w:val="0"/>
      <w:marBottom w:val="0"/>
      <w:divBdr>
        <w:top w:val="none" w:sz="0" w:space="0" w:color="auto"/>
        <w:left w:val="none" w:sz="0" w:space="0" w:color="auto"/>
        <w:bottom w:val="none" w:sz="0" w:space="0" w:color="auto"/>
        <w:right w:val="none" w:sz="0" w:space="0" w:color="auto"/>
      </w:divBdr>
    </w:div>
    <w:div w:id="213123440">
      <w:marLeft w:val="0"/>
      <w:marRight w:val="0"/>
      <w:marTop w:val="0"/>
      <w:marBottom w:val="0"/>
      <w:divBdr>
        <w:top w:val="none" w:sz="0" w:space="0" w:color="auto"/>
        <w:left w:val="none" w:sz="0" w:space="0" w:color="auto"/>
        <w:bottom w:val="none" w:sz="0" w:space="0" w:color="auto"/>
        <w:right w:val="none" w:sz="0" w:space="0" w:color="auto"/>
      </w:divBdr>
    </w:div>
    <w:div w:id="213123441">
      <w:marLeft w:val="0"/>
      <w:marRight w:val="0"/>
      <w:marTop w:val="0"/>
      <w:marBottom w:val="0"/>
      <w:divBdr>
        <w:top w:val="none" w:sz="0" w:space="0" w:color="auto"/>
        <w:left w:val="none" w:sz="0" w:space="0" w:color="auto"/>
        <w:bottom w:val="none" w:sz="0" w:space="0" w:color="auto"/>
        <w:right w:val="none" w:sz="0" w:space="0" w:color="auto"/>
      </w:divBdr>
    </w:div>
    <w:div w:id="213123442">
      <w:marLeft w:val="0"/>
      <w:marRight w:val="0"/>
      <w:marTop w:val="0"/>
      <w:marBottom w:val="0"/>
      <w:divBdr>
        <w:top w:val="none" w:sz="0" w:space="0" w:color="auto"/>
        <w:left w:val="none" w:sz="0" w:space="0" w:color="auto"/>
        <w:bottom w:val="none" w:sz="0" w:space="0" w:color="auto"/>
        <w:right w:val="none" w:sz="0" w:space="0" w:color="auto"/>
      </w:divBdr>
    </w:div>
    <w:div w:id="213123443">
      <w:marLeft w:val="0"/>
      <w:marRight w:val="0"/>
      <w:marTop w:val="0"/>
      <w:marBottom w:val="0"/>
      <w:divBdr>
        <w:top w:val="none" w:sz="0" w:space="0" w:color="auto"/>
        <w:left w:val="none" w:sz="0" w:space="0" w:color="auto"/>
        <w:bottom w:val="none" w:sz="0" w:space="0" w:color="auto"/>
        <w:right w:val="none" w:sz="0" w:space="0" w:color="auto"/>
      </w:divBdr>
    </w:div>
    <w:div w:id="213123444">
      <w:marLeft w:val="0"/>
      <w:marRight w:val="0"/>
      <w:marTop w:val="0"/>
      <w:marBottom w:val="0"/>
      <w:divBdr>
        <w:top w:val="none" w:sz="0" w:space="0" w:color="auto"/>
        <w:left w:val="none" w:sz="0" w:space="0" w:color="auto"/>
        <w:bottom w:val="none" w:sz="0" w:space="0" w:color="auto"/>
        <w:right w:val="none" w:sz="0" w:space="0" w:color="auto"/>
      </w:divBdr>
    </w:div>
    <w:div w:id="213123445">
      <w:marLeft w:val="0"/>
      <w:marRight w:val="0"/>
      <w:marTop w:val="0"/>
      <w:marBottom w:val="0"/>
      <w:divBdr>
        <w:top w:val="none" w:sz="0" w:space="0" w:color="auto"/>
        <w:left w:val="none" w:sz="0" w:space="0" w:color="auto"/>
        <w:bottom w:val="none" w:sz="0" w:space="0" w:color="auto"/>
        <w:right w:val="none" w:sz="0" w:space="0" w:color="auto"/>
      </w:divBdr>
    </w:div>
    <w:div w:id="213123446">
      <w:marLeft w:val="0"/>
      <w:marRight w:val="0"/>
      <w:marTop w:val="0"/>
      <w:marBottom w:val="0"/>
      <w:divBdr>
        <w:top w:val="none" w:sz="0" w:space="0" w:color="auto"/>
        <w:left w:val="none" w:sz="0" w:space="0" w:color="auto"/>
        <w:bottom w:val="none" w:sz="0" w:space="0" w:color="auto"/>
        <w:right w:val="none" w:sz="0" w:space="0" w:color="auto"/>
      </w:divBdr>
    </w:div>
    <w:div w:id="213123447">
      <w:marLeft w:val="0"/>
      <w:marRight w:val="0"/>
      <w:marTop w:val="0"/>
      <w:marBottom w:val="0"/>
      <w:divBdr>
        <w:top w:val="none" w:sz="0" w:space="0" w:color="auto"/>
        <w:left w:val="none" w:sz="0" w:space="0" w:color="auto"/>
        <w:bottom w:val="none" w:sz="0" w:space="0" w:color="auto"/>
        <w:right w:val="none" w:sz="0" w:space="0" w:color="auto"/>
      </w:divBdr>
    </w:div>
    <w:div w:id="213123448">
      <w:marLeft w:val="0"/>
      <w:marRight w:val="0"/>
      <w:marTop w:val="0"/>
      <w:marBottom w:val="0"/>
      <w:divBdr>
        <w:top w:val="none" w:sz="0" w:space="0" w:color="auto"/>
        <w:left w:val="none" w:sz="0" w:space="0" w:color="auto"/>
        <w:bottom w:val="none" w:sz="0" w:space="0" w:color="auto"/>
        <w:right w:val="none" w:sz="0" w:space="0" w:color="auto"/>
      </w:divBdr>
    </w:div>
    <w:div w:id="213123449">
      <w:marLeft w:val="0"/>
      <w:marRight w:val="0"/>
      <w:marTop w:val="0"/>
      <w:marBottom w:val="0"/>
      <w:divBdr>
        <w:top w:val="none" w:sz="0" w:space="0" w:color="auto"/>
        <w:left w:val="none" w:sz="0" w:space="0" w:color="auto"/>
        <w:bottom w:val="none" w:sz="0" w:space="0" w:color="auto"/>
        <w:right w:val="none" w:sz="0" w:space="0" w:color="auto"/>
      </w:divBdr>
    </w:div>
    <w:div w:id="213123450">
      <w:marLeft w:val="0"/>
      <w:marRight w:val="0"/>
      <w:marTop w:val="0"/>
      <w:marBottom w:val="0"/>
      <w:divBdr>
        <w:top w:val="none" w:sz="0" w:space="0" w:color="auto"/>
        <w:left w:val="none" w:sz="0" w:space="0" w:color="auto"/>
        <w:bottom w:val="none" w:sz="0" w:space="0" w:color="auto"/>
        <w:right w:val="none" w:sz="0" w:space="0" w:color="auto"/>
      </w:divBdr>
    </w:div>
    <w:div w:id="213123451">
      <w:marLeft w:val="0"/>
      <w:marRight w:val="0"/>
      <w:marTop w:val="0"/>
      <w:marBottom w:val="0"/>
      <w:divBdr>
        <w:top w:val="none" w:sz="0" w:space="0" w:color="auto"/>
        <w:left w:val="none" w:sz="0" w:space="0" w:color="auto"/>
        <w:bottom w:val="none" w:sz="0" w:space="0" w:color="auto"/>
        <w:right w:val="none" w:sz="0" w:space="0" w:color="auto"/>
      </w:divBdr>
    </w:div>
    <w:div w:id="213123452">
      <w:marLeft w:val="0"/>
      <w:marRight w:val="0"/>
      <w:marTop w:val="0"/>
      <w:marBottom w:val="0"/>
      <w:divBdr>
        <w:top w:val="none" w:sz="0" w:space="0" w:color="auto"/>
        <w:left w:val="none" w:sz="0" w:space="0" w:color="auto"/>
        <w:bottom w:val="none" w:sz="0" w:space="0" w:color="auto"/>
        <w:right w:val="none" w:sz="0" w:space="0" w:color="auto"/>
      </w:divBdr>
    </w:div>
    <w:div w:id="213123453">
      <w:marLeft w:val="0"/>
      <w:marRight w:val="0"/>
      <w:marTop w:val="0"/>
      <w:marBottom w:val="0"/>
      <w:divBdr>
        <w:top w:val="none" w:sz="0" w:space="0" w:color="auto"/>
        <w:left w:val="none" w:sz="0" w:space="0" w:color="auto"/>
        <w:bottom w:val="none" w:sz="0" w:space="0" w:color="auto"/>
        <w:right w:val="none" w:sz="0" w:space="0" w:color="auto"/>
      </w:divBdr>
    </w:div>
    <w:div w:id="213123454">
      <w:marLeft w:val="0"/>
      <w:marRight w:val="0"/>
      <w:marTop w:val="0"/>
      <w:marBottom w:val="0"/>
      <w:divBdr>
        <w:top w:val="none" w:sz="0" w:space="0" w:color="auto"/>
        <w:left w:val="none" w:sz="0" w:space="0" w:color="auto"/>
        <w:bottom w:val="none" w:sz="0" w:space="0" w:color="auto"/>
        <w:right w:val="none" w:sz="0" w:space="0" w:color="auto"/>
      </w:divBdr>
    </w:div>
    <w:div w:id="213123455">
      <w:marLeft w:val="0"/>
      <w:marRight w:val="0"/>
      <w:marTop w:val="0"/>
      <w:marBottom w:val="0"/>
      <w:divBdr>
        <w:top w:val="none" w:sz="0" w:space="0" w:color="auto"/>
        <w:left w:val="none" w:sz="0" w:space="0" w:color="auto"/>
        <w:bottom w:val="none" w:sz="0" w:space="0" w:color="auto"/>
        <w:right w:val="none" w:sz="0" w:space="0" w:color="auto"/>
      </w:divBdr>
    </w:div>
    <w:div w:id="213123456">
      <w:marLeft w:val="0"/>
      <w:marRight w:val="0"/>
      <w:marTop w:val="0"/>
      <w:marBottom w:val="0"/>
      <w:divBdr>
        <w:top w:val="none" w:sz="0" w:space="0" w:color="auto"/>
        <w:left w:val="none" w:sz="0" w:space="0" w:color="auto"/>
        <w:bottom w:val="none" w:sz="0" w:space="0" w:color="auto"/>
        <w:right w:val="none" w:sz="0" w:space="0" w:color="auto"/>
      </w:divBdr>
    </w:div>
    <w:div w:id="213123457">
      <w:marLeft w:val="0"/>
      <w:marRight w:val="0"/>
      <w:marTop w:val="0"/>
      <w:marBottom w:val="0"/>
      <w:divBdr>
        <w:top w:val="none" w:sz="0" w:space="0" w:color="auto"/>
        <w:left w:val="none" w:sz="0" w:space="0" w:color="auto"/>
        <w:bottom w:val="none" w:sz="0" w:space="0" w:color="auto"/>
        <w:right w:val="none" w:sz="0" w:space="0" w:color="auto"/>
      </w:divBdr>
    </w:div>
    <w:div w:id="213123458">
      <w:marLeft w:val="0"/>
      <w:marRight w:val="0"/>
      <w:marTop w:val="0"/>
      <w:marBottom w:val="0"/>
      <w:divBdr>
        <w:top w:val="none" w:sz="0" w:space="0" w:color="auto"/>
        <w:left w:val="none" w:sz="0" w:space="0" w:color="auto"/>
        <w:bottom w:val="none" w:sz="0" w:space="0" w:color="auto"/>
        <w:right w:val="none" w:sz="0" w:space="0" w:color="auto"/>
      </w:divBdr>
    </w:div>
    <w:div w:id="213123459">
      <w:marLeft w:val="0"/>
      <w:marRight w:val="0"/>
      <w:marTop w:val="0"/>
      <w:marBottom w:val="0"/>
      <w:divBdr>
        <w:top w:val="none" w:sz="0" w:space="0" w:color="auto"/>
        <w:left w:val="none" w:sz="0" w:space="0" w:color="auto"/>
        <w:bottom w:val="none" w:sz="0" w:space="0" w:color="auto"/>
        <w:right w:val="none" w:sz="0" w:space="0" w:color="auto"/>
      </w:divBdr>
    </w:div>
    <w:div w:id="213123460">
      <w:marLeft w:val="0"/>
      <w:marRight w:val="0"/>
      <w:marTop w:val="0"/>
      <w:marBottom w:val="0"/>
      <w:divBdr>
        <w:top w:val="none" w:sz="0" w:space="0" w:color="auto"/>
        <w:left w:val="none" w:sz="0" w:space="0" w:color="auto"/>
        <w:bottom w:val="none" w:sz="0" w:space="0" w:color="auto"/>
        <w:right w:val="none" w:sz="0" w:space="0" w:color="auto"/>
      </w:divBdr>
    </w:div>
    <w:div w:id="213123461">
      <w:marLeft w:val="0"/>
      <w:marRight w:val="0"/>
      <w:marTop w:val="0"/>
      <w:marBottom w:val="0"/>
      <w:divBdr>
        <w:top w:val="none" w:sz="0" w:space="0" w:color="auto"/>
        <w:left w:val="none" w:sz="0" w:space="0" w:color="auto"/>
        <w:bottom w:val="none" w:sz="0" w:space="0" w:color="auto"/>
        <w:right w:val="none" w:sz="0" w:space="0" w:color="auto"/>
      </w:divBdr>
    </w:div>
    <w:div w:id="213123462">
      <w:marLeft w:val="0"/>
      <w:marRight w:val="0"/>
      <w:marTop w:val="0"/>
      <w:marBottom w:val="0"/>
      <w:divBdr>
        <w:top w:val="none" w:sz="0" w:space="0" w:color="auto"/>
        <w:left w:val="none" w:sz="0" w:space="0" w:color="auto"/>
        <w:bottom w:val="none" w:sz="0" w:space="0" w:color="auto"/>
        <w:right w:val="none" w:sz="0" w:space="0" w:color="auto"/>
      </w:divBdr>
    </w:div>
    <w:div w:id="213123463">
      <w:marLeft w:val="0"/>
      <w:marRight w:val="0"/>
      <w:marTop w:val="0"/>
      <w:marBottom w:val="0"/>
      <w:divBdr>
        <w:top w:val="none" w:sz="0" w:space="0" w:color="auto"/>
        <w:left w:val="none" w:sz="0" w:space="0" w:color="auto"/>
        <w:bottom w:val="none" w:sz="0" w:space="0" w:color="auto"/>
        <w:right w:val="none" w:sz="0" w:space="0" w:color="auto"/>
      </w:divBdr>
    </w:div>
    <w:div w:id="213123464">
      <w:marLeft w:val="0"/>
      <w:marRight w:val="0"/>
      <w:marTop w:val="0"/>
      <w:marBottom w:val="0"/>
      <w:divBdr>
        <w:top w:val="none" w:sz="0" w:space="0" w:color="auto"/>
        <w:left w:val="none" w:sz="0" w:space="0" w:color="auto"/>
        <w:bottom w:val="none" w:sz="0" w:space="0" w:color="auto"/>
        <w:right w:val="none" w:sz="0" w:space="0" w:color="auto"/>
      </w:divBdr>
    </w:div>
    <w:div w:id="213123465">
      <w:marLeft w:val="0"/>
      <w:marRight w:val="0"/>
      <w:marTop w:val="0"/>
      <w:marBottom w:val="0"/>
      <w:divBdr>
        <w:top w:val="none" w:sz="0" w:space="0" w:color="auto"/>
        <w:left w:val="none" w:sz="0" w:space="0" w:color="auto"/>
        <w:bottom w:val="none" w:sz="0" w:space="0" w:color="auto"/>
        <w:right w:val="none" w:sz="0" w:space="0" w:color="auto"/>
      </w:divBdr>
    </w:div>
    <w:div w:id="213123466">
      <w:marLeft w:val="0"/>
      <w:marRight w:val="0"/>
      <w:marTop w:val="0"/>
      <w:marBottom w:val="0"/>
      <w:divBdr>
        <w:top w:val="none" w:sz="0" w:space="0" w:color="auto"/>
        <w:left w:val="none" w:sz="0" w:space="0" w:color="auto"/>
        <w:bottom w:val="none" w:sz="0" w:space="0" w:color="auto"/>
        <w:right w:val="none" w:sz="0" w:space="0" w:color="auto"/>
      </w:divBdr>
    </w:div>
    <w:div w:id="213123467">
      <w:marLeft w:val="0"/>
      <w:marRight w:val="0"/>
      <w:marTop w:val="0"/>
      <w:marBottom w:val="0"/>
      <w:divBdr>
        <w:top w:val="none" w:sz="0" w:space="0" w:color="auto"/>
        <w:left w:val="none" w:sz="0" w:space="0" w:color="auto"/>
        <w:bottom w:val="none" w:sz="0" w:space="0" w:color="auto"/>
        <w:right w:val="none" w:sz="0" w:space="0" w:color="auto"/>
      </w:divBdr>
    </w:div>
    <w:div w:id="213123468">
      <w:marLeft w:val="0"/>
      <w:marRight w:val="0"/>
      <w:marTop w:val="0"/>
      <w:marBottom w:val="0"/>
      <w:divBdr>
        <w:top w:val="none" w:sz="0" w:space="0" w:color="auto"/>
        <w:left w:val="none" w:sz="0" w:space="0" w:color="auto"/>
        <w:bottom w:val="none" w:sz="0" w:space="0" w:color="auto"/>
        <w:right w:val="none" w:sz="0" w:space="0" w:color="auto"/>
      </w:divBdr>
    </w:div>
    <w:div w:id="213123469">
      <w:marLeft w:val="0"/>
      <w:marRight w:val="0"/>
      <w:marTop w:val="0"/>
      <w:marBottom w:val="0"/>
      <w:divBdr>
        <w:top w:val="none" w:sz="0" w:space="0" w:color="auto"/>
        <w:left w:val="none" w:sz="0" w:space="0" w:color="auto"/>
        <w:bottom w:val="none" w:sz="0" w:space="0" w:color="auto"/>
        <w:right w:val="none" w:sz="0" w:space="0" w:color="auto"/>
      </w:divBdr>
    </w:div>
    <w:div w:id="213123470">
      <w:marLeft w:val="0"/>
      <w:marRight w:val="0"/>
      <w:marTop w:val="0"/>
      <w:marBottom w:val="0"/>
      <w:divBdr>
        <w:top w:val="none" w:sz="0" w:space="0" w:color="auto"/>
        <w:left w:val="none" w:sz="0" w:space="0" w:color="auto"/>
        <w:bottom w:val="none" w:sz="0" w:space="0" w:color="auto"/>
        <w:right w:val="none" w:sz="0" w:space="0" w:color="auto"/>
      </w:divBdr>
    </w:div>
    <w:div w:id="213123471">
      <w:marLeft w:val="0"/>
      <w:marRight w:val="0"/>
      <w:marTop w:val="0"/>
      <w:marBottom w:val="0"/>
      <w:divBdr>
        <w:top w:val="none" w:sz="0" w:space="0" w:color="auto"/>
        <w:left w:val="none" w:sz="0" w:space="0" w:color="auto"/>
        <w:bottom w:val="none" w:sz="0" w:space="0" w:color="auto"/>
        <w:right w:val="none" w:sz="0" w:space="0" w:color="auto"/>
      </w:divBdr>
    </w:div>
    <w:div w:id="213123472">
      <w:marLeft w:val="0"/>
      <w:marRight w:val="0"/>
      <w:marTop w:val="0"/>
      <w:marBottom w:val="0"/>
      <w:divBdr>
        <w:top w:val="none" w:sz="0" w:space="0" w:color="auto"/>
        <w:left w:val="none" w:sz="0" w:space="0" w:color="auto"/>
        <w:bottom w:val="none" w:sz="0" w:space="0" w:color="auto"/>
        <w:right w:val="none" w:sz="0" w:space="0" w:color="auto"/>
      </w:divBdr>
    </w:div>
    <w:div w:id="213123473">
      <w:marLeft w:val="0"/>
      <w:marRight w:val="0"/>
      <w:marTop w:val="0"/>
      <w:marBottom w:val="0"/>
      <w:divBdr>
        <w:top w:val="none" w:sz="0" w:space="0" w:color="auto"/>
        <w:left w:val="none" w:sz="0" w:space="0" w:color="auto"/>
        <w:bottom w:val="none" w:sz="0" w:space="0" w:color="auto"/>
        <w:right w:val="none" w:sz="0" w:space="0" w:color="auto"/>
      </w:divBdr>
    </w:div>
    <w:div w:id="213123474">
      <w:marLeft w:val="0"/>
      <w:marRight w:val="0"/>
      <w:marTop w:val="0"/>
      <w:marBottom w:val="0"/>
      <w:divBdr>
        <w:top w:val="none" w:sz="0" w:space="0" w:color="auto"/>
        <w:left w:val="none" w:sz="0" w:space="0" w:color="auto"/>
        <w:bottom w:val="none" w:sz="0" w:space="0" w:color="auto"/>
        <w:right w:val="none" w:sz="0" w:space="0" w:color="auto"/>
      </w:divBdr>
    </w:div>
    <w:div w:id="213123475">
      <w:marLeft w:val="0"/>
      <w:marRight w:val="0"/>
      <w:marTop w:val="0"/>
      <w:marBottom w:val="0"/>
      <w:divBdr>
        <w:top w:val="none" w:sz="0" w:space="0" w:color="auto"/>
        <w:left w:val="none" w:sz="0" w:space="0" w:color="auto"/>
        <w:bottom w:val="none" w:sz="0" w:space="0" w:color="auto"/>
        <w:right w:val="none" w:sz="0" w:space="0" w:color="auto"/>
      </w:divBdr>
    </w:div>
    <w:div w:id="213123476">
      <w:marLeft w:val="0"/>
      <w:marRight w:val="0"/>
      <w:marTop w:val="0"/>
      <w:marBottom w:val="0"/>
      <w:divBdr>
        <w:top w:val="none" w:sz="0" w:space="0" w:color="auto"/>
        <w:left w:val="none" w:sz="0" w:space="0" w:color="auto"/>
        <w:bottom w:val="none" w:sz="0" w:space="0" w:color="auto"/>
        <w:right w:val="none" w:sz="0" w:space="0" w:color="auto"/>
      </w:divBdr>
    </w:div>
    <w:div w:id="213123477">
      <w:marLeft w:val="0"/>
      <w:marRight w:val="0"/>
      <w:marTop w:val="0"/>
      <w:marBottom w:val="0"/>
      <w:divBdr>
        <w:top w:val="none" w:sz="0" w:space="0" w:color="auto"/>
        <w:left w:val="none" w:sz="0" w:space="0" w:color="auto"/>
        <w:bottom w:val="none" w:sz="0" w:space="0" w:color="auto"/>
        <w:right w:val="none" w:sz="0" w:space="0" w:color="auto"/>
      </w:divBdr>
    </w:div>
    <w:div w:id="213123478">
      <w:marLeft w:val="0"/>
      <w:marRight w:val="0"/>
      <w:marTop w:val="0"/>
      <w:marBottom w:val="0"/>
      <w:divBdr>
        <w:top w:val="none" w:sz="0" w:space="0" w:color="auto"/>
        <w:left w:val="none" w:sz="0" w:space="0" w:color="auto"/>
        <w:bottom w:val="none" w:sz="0" w:space="0" w:color="auto"/>
        <w:right w:val="none" w:sz="0" w:space="0" w:color="auto"/>
      </w:divBdr>
    </w:div>
    <w:div w:id="213123479">
      <w:marLeft w:val="0"/>
      <w:marRight w:val="0"/>
      <w:marTop w:val="0"/>
      <w:marBottom w:val="0"/>
      <w:divBdr>
        <w:top w:val="none" w:sz="0" w:space="0" w:color="auto"/>
        <w:left w:val="none" w:sz="0" w:space="0" w:color="auto"/>
        <w:bottom w:val="none" w:sz="0" w:space="0" w:color="auto"/>
        <w:right w:val="none" w:sz="0" w:space="0" w:color="auto"/>
      </w:divBdr>
    </w:div>
    <w:div w:id="213123480">
      <w:marLeft w:val="0"/>
      <w:marRight w:val="0"/>
      <w:marTop w:val="0"/>
      <w:marBottom w:val="0"/>
      <w:divBdr>
        <w:top w:val="none" w:sz="0" w:space="0" w:color="auto"/>
        <w:left w:val="none" w:sz="0" w:space="0" w:color="auto"/>
        <w:bottom w:val="none" w:sz="0" w:space="0" w:color="auto"/>
        <w:right w:val="none" w:sz="0" w:space="0" w:color="auto"/>
      </w:divBdr>
    </w:div>
    <w:div w:id="213123481">
      <w:marLeft w:val="0"/>
      <w:marRight w:val="0"/>
      <w:marTop w:val="0"/>
      <w:marBottom w:val="0"/>
      <w:divBdr>
        <w:top w:val="none" w:sz="0" w:space="0" w:color="auto"/>
        <w:left w:val="none" w:sz="0" w:space="0" w:color="auto"/>
        <w:bottom w:val="none" w:sz="0" w:space="0" w:color="auto"/>
        <w:right w:val="none" w:sz="0" w:space="0" w:color="auto"/>
      </w:divBdr>
    </w:div>
    <w:div w:id="213123482">
      <w:marLeft w:val="0"/>
      <w:marRight w:val="0"/>
      <w:marTop w:val="0"/>
      <w:marBottom w:val="0"/>
      <w:divBdr>
        <w:top w:val="none" w:sz="0" w:space="0" w:color="auto"/>
        <w:left w:val="none" w:sz="0" w:space="0" w:color="auto"/>
        <w:bottom w:val="none" w:sz="0" w:space="0" w:color="auto"/>
        <w:right w:val="none" w:sz="0" w:space="0" w:color="auto"/>
      </w:divBdr>
    </w:div>
    <w:div w:id="213123483">
      <w:marLeft w:val="0"/>
      <w:marRight w:val="0"/>
      <w:marTop w:val="0"/>
      <w:marBottom w:val="0"/>
      <w:divBdr>
        <w:top w:val="none" w:sz="0" w:space="0" w:color="auto"/>
        <w:left w:val="none" w:sz="0" w:space="0" w:color="auto"/>
        <w:bottom w:val="none" w:sz="0" w:space="0" w:color="auto"/>
        <w:right w:val="none" w:sz="0" w:space="0" w:color="auto"/>
      </w:divBdr>
    </w:div>
    <w:div w:id="213123484">
      <w:marLeft w:val="0"/>
      <w:marRight w:val="0"/>
      <w:marTop w:val="0"/>
      <w:marBottom w:val="0"/>
      <w:divBdr>
        <w:top w:val="none" w:sz="0" w:space="0" w:color="auto"/>
        <w:left w:val="none" w:sz="0" w:space="0" w:color="auto"/>
        <w:bottom w:val="none" w:sz="0" w:space="0" w:color="auto"/>
        <w:right w:val="none" w:sz="0" w:space="0" w:color="auto"/>
      </w:divBdr>
    </w:div>
    <w:div w:id="213123485">
      <w:marLeft w:val="0"/>
      <w:marRight w:val="0"/>
      <w:marTop w:val="0"/>
      <w:marBottom w:val="0"/>
      <w:divBdr>
        <w:top w:val="none" w:sz="0" w:space="0" w:color="auto"/>
        <w:left w:val="none" w:sz="0" w:space="0" w:color="auto"/>
        <w:bottom w:val="none" w:sz="0" w:space="0" w:color="auto"/>
        <w:right w:val="none" w:sz="0" w:space="0" w:color="auto"/>
      </w:divBdr>
    </w:div>
    <w:div w:id="213123486">
      <w:marLeft w:val="0"/>
      <w:marRight w:val="0"/>
      <w:marTop w:val="0"/>
      <w:marBottom w:val="0"/>
      <w:divBdr>
        <w:top w:val="none" w:sz="0" w:space="0" w:color="auto"/>
        <w:left w:val="none" w:sz="0" w:space="0" w:color="auto"/>
        <w:bottom w:val="none" w:sz="0" w:space="0" w:color="auto"/>
        <w:right w:val="none" w:sz="0" w:space="0" w:color="auto"/>
      </w:divBdr>
    </w:div>
    <w:div w:id="213123487">
      <w:marLeft w:val="0"/>
      <w:marRight w:val="0"/>
      <w:marTop w:val="0"/>
      <w:marBottom w:val="0"/>
      <w:divBdr>
        <w:top w:val="none" w:sz="0" w:space="0" w:color="auto"/>
        <w:left w:val="none" w:sz="0" w:space="0" w:color="auto"/>
        <w:bottom w:val="none" w:sz="0" w:space="0" w:color="auto"/>
        <w:right w:val="none" w:sz="0" w:space="0" w:color="auto"/>
      </w:divBdr>
    </w:div>
    <w:div w:id="213123488">
      <w:marLeft w:val="0"/>
      <w:marRight w:val="0"/>
      <w:marTop w:val="0"/>
      <w:marBottom w:val="0"/>
      <w:divBdr>
        <w:top w:val="none" w:sz="0" w:space="0" w:color="auto"/>
        <w:left w:val="none" w:sz="0" w:space="0" w:color="auto"/>
        <w:bottom w:val="none" w:sz="0" w:space="0" w:color="auto"/>
        <w:right w:val="none" w:sz="0" w:space="0" w:color="auto"/>
      </w:divBdr>
    </w:div>
    <w:div w:id="213123489">
      <w:marLeft w:val="0"/>
      <w:marRight w:val="0"/>
      <w:marTop w:val="0"/>
      <w:marBottom w:val="0"/>
      <w:divBdr>
        <w:top w:val="none" w:sz="0" w:space="0" w:color="auto"/>
        <w:left w:val="none" w:sz="0" w:space="0" w:color="auto"/>
        <w:bottom w:val="none" w:sz="0" w:space="0" w:color="auto"/>
        <w:right w:val="none" w:sz="0" w:space="0" w:color="auto"/>
      </w:divBdr>
    </w:div>
    <w:div w:id="213123490">
      <w:marLeft w:val="0"/>
      <w:marRight w:val="0"/>
      <w:marTop w:val="0"/>
      <w:marBottom w:val="0"/>
      <w:divBdr>
        <w:top w:val="none" w:sz="0" w:space="0" w:color="auto"/>
        <w:left w:val="none" w:sz="0" w:space="0" w:color="auto"/>
        <w:bottom w:val="none" w:sz="0" w:space="0" w:color="auto"/>
        <w:right w:val="none" w:sz="0" w:space="0" w:color="auto"/>
      </w:divBdr>
    </w:div>
    <w:div w:id="213123491">
      <w:marLeft w:val="0"/>
      <w:marRight w:val="0"/>
      <w:marTop w:val="0"/>
      <w:marBottom w:val="0"/>
      <w:divBdr>
        <w:top w:val="none" w:sz="0" w:space="0" w:color="auto"/>
        <w:left w:val="none" w:sz="0" w:space="0" w:color="auto"/>
        <w:bottom w:val="none" w:sz="0" w:space="0" w:color="auto"/>
        <w:right w:val="none" w:sz="0" w:space="0" w:color="auto"/>
      </w:divBdr>
    </w:div>
    <w:div w:id="213123492">
      <w:marLeft w:val="0"/>
      <w:marRight w:val="0"/>
      <w:marTop w:val="0"/>
      <w:marBottom w:val="0"/>
      <w:divBdr>
        <w:top w:val="none" w:sz="0" w:space="0" w:color="auto"/>
        <w:left w:val="none" w:sz="0" w:space="0" w:color="auto"/>
        <w:bottom w:val="none" w:sz="0" w:space="0" w:color="auto"/>
        <w:right w:val="none" w:sz="0" w:space="0" w:color="auto"/>
      </w:divBdr>
    </w:div>
    <w:div w:id="213123493">
      <w:marLeft w:val="0"/>
      <w:marRight w:val="0"/>
      <w:marTop w:val="0"/>
      <w:marBottom w:val="0"/>
      <w:divBdr>
        <w:top w:val="none" w:sz="0" w:space="0" w:color="auto"/>
        <w:left w:val="none" w:sz="0" w:space="0" w:color="auto"/>
        <w:bottom w:val="none" w:sz="0" w:space="0" w:color="auto"/>
        <w:right w:val="none" w:sz="0" w:space="0" w:color="auto"/>
      </w:divBdr>
    </w:div>
    <w:div w:id="213123494">
      <w:marLeft w:val="0"/>
      <w:marRight w:val="0"/>
      <w:marTop w:val="0"/>
      <w:marBottom w:val="0"/>
      <w:divBdr>
        <w:top w:val="none" w:sz="0" w:space="0" w:color="auto"/>
        <w:left w:val="none" w:sz="0" w:space="0" w:color="auto"/>
        <w:bottom w:val="none" w:sz="0" w:space="0" w:color="auto"/>
        <w:right w:val="none" w:sz="0" w:space="0" w:color="auto"/>
      </w:divBdr>
    </w:div>
    <w:div w:id="213123495">
      <w:marLeft w:val="0"/>
      <w:marRight w:val="0"/>
      <w:marTop w:val="0"/>
      <w:marBottom w:val="0"/>
      <w:divBdr>
        <w:top w:val="none" w:sz="0" w:space="0" w:color="auto"/>
        <w:left w:val="none" w:sz="0" w:space="0" w:color="auto"/>
        <w:bottom w:val="none" w:sz="0" w:space="0" w:color="auto"/>
        <w:right w:val="none" w:sz="0" w:space="0" w:color="auto"/>
      </w:divBdr>
    </w:div>
    <w:div w:id="213123496">
      <w:marLeft w:val="0"/>
      <w:marRight w:val="0"/>
      <w:marTop w:val="0"/>
      <w:marBottom w:val="0"/>
      <w:divBdr>
        <w:top w:val="none" w:sz="0" w:space="0" w:color="auto"/>
        <w:left w:val="none" w:sz="0" w:space="0" w:color="auto"/>
        <w:bottom w:val="none" w:sz="0" w:space="0" w:color="auto"/>
        <w:right w:val="none" w:sz="0" w:space="0" w:color="auto"/>
      </w:divBdr>
    </w:div>
    <w:div w:id="213123497">
      <w:marLeft w:val="0"/>
      <w:marRight w:val="0"/>
      <w:marTop w:val="0"/>
      <w:marBottom w:val="0"/>
      <w:divBdr>
        <w:top w:val="none" w:sz="0" w:space="0" w:color="auto"/>
        <w:left w:val="none" w:sz="0" w:space="0" w:color="auto"/>
        <w:bottom w:val="none" w:sz="0" w:space="0" w:color="auto"/>
        <w:right w:val="none" w:sz="0" w:space="0" w:color="auto"/>
      </w:divBdr>
    </w:div>
    <w:div w:id="213123498">
      <w:marLeft w:val="0"/>
      <w:marRight w:val="0"/>
      <w:marTop w:val="0"/>
      <w:marBottom w:val="0"/>
      <w:divBdr>
        <w:top w:val="none" w:sz="0" w:space="0" w:color="auto"/>
        <w:left w:val="none" w:sz="0" w:space="0" w:color="auto"/>
        <w:bottom w:val="none" w:sz="0" w:space="0" w:color="auto"/>
        <w:right w:val="none" w:sz="0" w:space="0" w:color="auto"/>
      </w:divBdr>
    </w:div>
    <w:div w:id="213123499">
      <w:marLeft w:val="0"/>
      <w:marRight w:val="0"/>
      <w:marTop w:val="0"/>
      <w:marBottom w:val="0"/>
      <w:divBdr>
        <w:top w:val="none" w:sz="0" w:space="0" w:color="auto"/>
        <w:left w:val="none" w:sz="0" w:space="0" w:color="auto"/>
        <w:bottom w:val="none" w:sz="0" w:space="0" w:color="auto"/>
        <w:right w:val="none" w:sz="0" w:space="0" w:color="auto"/>
      </w:divBdr>
    </w:div>
    <w:div w:id="213123500">
      <w:marLeft w:val="0"/>
      <w:marRight w:val="0"/>
      <w:marTop w:val="0"/>
      <w:marBottom w:val="0"/>
      <w:divBdr>
        <w:top w:val="none" w:sz="0" w:space="0" w:color="auto"/>
        <w:left w:val="none" w:sz="0" w:space="0" w:color="auto"/>
        <w:bottom w:val="none" w:sz="0" w:space="0" w:color="auto"/>
        <w:right w:val="none" w:sz="0" w:space="0" w:color="auto"/>
      </w:divBdr>
    </w:div>
    <w:div w:id="213123501">
      <w:marLeft w:val="0"/>
      <w:marRight w:val="0"/>
      <w:marTop w:val="0"/>
      <w:marBottom w:val="0"/>
      <w:divBdr>
        <w:top w:val="none" w:sz="0" w:space="0" w:color="auto"/>
        <w:left w:val="none" w:sz="0" w:space="0" w:color="auto"/>
        <w:bottom w:val="none" w:sz="0" w:space="0" w:color="auto"/>
        <w:right w:val="none" w:sz="0" w:space="0" w:color="auto"/>
      </w:divBdr>
    </w:div>
    <w:div w:id="213123502">
      <w:marLeft w:val="0"/>
      <w:marRight w:val="0"/>
      <w:marTop w:val="0"/>
      <w:marBottom w:val="0"/>
      <w:divBdr>
        <w:top w:val="none" w:sz="0" w:space="0" w:color="auto"/>
        <w:left w:val="none" w:sz="0" w:space="0" w:color="auto"/>
        <w:bottom w:val="none" w:sz="0" w:space="0" w:color="auto"/>
        <w:right w:val="none" w:sz="0" w:space="0" w:color="auto"/>
      </w:divBdr>
    </w:div>
    <w:div w:id="213123503">
      <w:marLeft w:val="0"/>
      <w:marRight w:val="0"/>
      <w:marTop w:val="0"/>
      <w:marBottom w:val="0"/>
      <w:divBdr>
        <w:top w:val="none" w:sz="0" w:space="0" w:color="auto"/>
        <w:left w:val="none" w:sz="0" w:space="0" w:color="auto"/>
        <w:bottom w:val="none" w:sz="0" w:space="0" w:color="auto"/>
        <w:right w:val="none" w:sz="0" w:space="0" w:color="auto"/>
      </w:divBdr>
    </w:div>
    <w:div w:id="213123504">
      <w:marLeft w:val="0"/>
      <w:marRight w:val="0"/>
      <w:marTop w:val="0"/>
      <w:marBottom w:val="0"/>
      <w:divBdr>
        <w:top w:val="none" w:sz="0" w:space="0" w:color="auto"/>
        <w:left w:val="none" w:sz="0" w:space="0" w:color="auto"/>
        <w:bottom w:val="none" w:sz="0" w:space="0" w:color="auto"/>
        <w:right w:val="none" w:sz="0" w:space="0" w:color="auto"/>
      </w:divBdr>
    </w:div>
    <w:div w:id="213123505">
      <w:marLeft w:val="0"/>
      <w:marRight w:val="0"/>
      <w:marTop w:val="0"/>
      <w:marBottom w:val="0"/>
      <w:divBdr>
        <w:top w:val="none" w:sz="0" w:space="0" w:color="auto"/>
        <w:left w:val="none" w:sz="0" w:space="0" w:color="auto"/>
        <w:bottom w:val="none" w:sz="0" w:space="0" w:color="auto"/>
        <w:right w:val="none" w:sz="0" w:space="0" w:color="auto"/>
      </w:divBdr>
    </w:div>
    <w:div w:id="213123506">
      <w:marLeft w:val="0"/>
      <w:marRight w:val="0"/>
      <w:marTop w:val="0"/>
      <w:marBottom w:val="0"/>
      <w:divBdr>
        <w:top w:val="none" w:sz="0" w:space="0" w:color="auto"/>
        <w:left w:val="none" w:sz="0" w:space="0" w:color="auto"/>
        <w:bottom w:val="none" w:sz="0" w:space="0" w:color="auto"/>
        <w:right w:val="none" w:sz="0" w:space="0" w:color="auto"/>
      </w:divBdr>
    </w:div>
    <w:div w:id="213123507">
      <w:marLeft w:val="0"/>
      <w:marRight w:val="0"/>
      <w:marTop w:val="0"/>
      <w:marBottom w:val="0"/>
      <w:divBdr>
        <w:top w:val="none" w:sz="0" w:space="0" w:color="auto"/>
        <w:left w:val="none" w:sz="0" w:space="0" w:color="auto"/>
        <w:bottom w:val="none" w:sz="0" w:space="0" w:color="auto"/>
        <w:right w:val="none" w:sz="0" w:space="0" w:color="auto"/>
      </w:divBdr>
    </w:div>
    <w:div w:id="213123508">
      <w:marLeft w:val="0"/>
      <w:marRight w:val="0"/>
      <w:marTop w:val="0"/>
      <w:marBottom w:val="0"/>
      <w:divBdr>
        <w:top w:val="none" w:sz="0" w:space="0" w:color="auto"/>
        <w:left w:val="none" w:sz="0" w:space="0" w:color="auto"/>
        <w:bottom w:val="none" w:sz="0" w:space="0" w:color="auto"/>
        <w:right w:val="none" w:sz="0" w:space="0" w:color="auto"/>
      </w:divBdr>
    </w:div>
    <w:div w:id="213123509">
      <w:marLeft w:val="0"/>
      <w:marRight w:val="0"/>
      <w:marTop w:val="0"/>
      <w:marBottom w:val="0"/>
      <w:divBdr>
        <w:top w:val="none" w:sz="0" w:space="0" w:color="auto"/>
        <w:left w:val="none" w:sz="0" w:space="0" w:color="auto"/>
        <w:bottom w:val="none" w:sz="0" w:space="0" w:color="auto"/>
        <w:right w:val="none" w:sz="0" w:space="0" w:color="auto"/>
      </w:divBdr>
    </w:div>
    <w:div w:id="213123510">
      <w:marLeft w:val="0"/>
      <w:marRight w:val="0"/>
      <w:marTop w:val="0"/>
      <w:marBottom w:val="0"/>
      <w:divBdr>
        <w:top w:val="none" w:sz="0" w:space="0" w:color="auto"/>
        <w:left w:val="none" w:sz="0" w:space="0" w:color="auto"/>
        <w:bottom w:val="none" w:sz="0" w:space="0" w:color="auto"/>
        <w:right w:val="none" w:sz="0" w:space="0" w:color="auto"/>
      </w:divBdr>
    </w:div>
    <w:div w:id="213123511">
      <w:marLeft w:val="0"/>
      <w:marRight w:val="0"/>
      <w:marTop w:val="0"/>
      <w:marBottom w:val="0"/>
      <w:divBdr>
        <w:top w:val="none" w:sz="0" w:space="0" w:color="auto"/>
        <w:left w:val="none" w:sz="0" w:space="0" w:color="auto"/>
        <w:bottom w:val="none" w:sz="0" w:space="0" w:color="auto"/>
        <w:right w:val="none" w:sz="0" w:space="0" w:color="auto"/>
      </w:divBdr>
    </w:div>
    <w:div w:id="213123512">
      <w:marLeft w:val="0"/>
      <w:marRight w:val="0"/>
      <w:marTop w:val="0"/>
      <w:marBottom w:val="0"/>
      <w:divBdr>
        <w:top w:val="none" w:sz="0" w:space="0" w:color="auto"/>
        <w:left w:val="none" w:sz="0" w:space="0" w:color="auto"/>
        <w:bottom w:val="none" w:sz="0" w:space="0" w:color="auto"/>
        <w:right w:val="none" w:sz="0" w:space="0" w:color="auto"/>
      </w:divBdr>
    </w:div>
    <w:div w:id="213123513">
      <w:marLeft w:val="0"/>
      <w:marRight w:val="0"/>
      <w:marTop w:val="0"/>
      <w:marBottom w:val="0"/>
      <w:divBdr>
        <w:top w:val="none" w:sz="0" w:space="0" w:color="auto"/>
        <w:left w:val="none" w:sz="0" w:space="0" w:color="auto"/>
        <w:bottom w:val="none" w:sz="0" w:space="0" w:color="auto"/>
        <w:right w:val="none" w:sz="0" w:space="0" w:color="auto"/>
      </w:divBdr>
    </w:div>
    <w:div w:id="213123514">
      <w:marLeft w:val="0"/>
      <w:marRight w:val="0"/>
      <w:marTop w:val="0"/>
      <w:marBottom w:val="0"/>
      <w:divBdr>
        <w:top w:val="none" w:sz="0" w:space="0" w:color="auto"/>
        <w:left w:val="none" w:sz="0" w:space="0" w:color="auto"/>
        <w:bottom w:val="none" w:sz="0" w:space="0" w:color="auto"/>
        <w:right w:val="none" w:sz="0" w:space="0" w:color="auto"/>
      </w:divBdr>
    </w:div>
    <w:div w:id="213123515">
      <w:marLeft w:val="0"/>
      <w:marRight w:val="0"/>
      <w:marTop w:val="0"/>
      <w:marBottom w:val="0"/>
      <w:divBdr>
        <w:top w:val="none" w:sz="0" w:space="0" w:color="auto"/>
        <w:left w:val="none" w:sz="0" w:space="0" w:color="auto"/>
        <w:bottom w:val="none" w:sz="0" w:space="0" w:color="auto"/>
        <w:right w:val="none" w:sz="0" w:space="0" w:color="auto"/>
      </w:divBdr>
    </w:div>
    <w:div w:id="213123516">
      <w:marLeft w:val="0"/>
      <w:marRight w:val="0"/>
      <w:marTop w:val="0"/>
      <w:marBottom w:val="0"/>
      <w:divBdr>
        <w:top w:val="none" w:sz="0" w:space="0" w:color="auto"/>
        <w:left w:val="none" w:sz="0" w:space="0" w:color="auto"/>
        <w:bottom w:val="none" w:sz="0" w:space="0" w:color="auto"/>
        <w:right w:val="none" w:sz="0" w:space="0" w:color="auto"/>
      </w:divBdr>
    </w:div>
    <w:div w:id="213123517">
      <w:marLeft w:val="0"/>
      <w:marRight w:val="0"/>
      <w:marTop w:val="0"/>
      <w:marBottom w:val="0"/>
      <w:divBdr>
        <w:top w:val="none" w:sz="0" w:space="0" w:color="auto"/>
        <w:left w:val="none" w:sz="0" w:space="0" w:color="auto"/>
        <w:bottom w:val="none" w:sz="0" w:space="0" w:color="auto"/>
        <w:right w:val="none" w:sz="0" w:space="0" w:color="auto"/>
      </w:divBdr>
    </w:div>
    <w:div w:id="213123518">
      <w:marLeft w:val="0"/>
      <w:marRight w:val="0"/>
      <w:marTop w:val="0"/>
      <w:marBottom w:val="0"/>
      <w:divBdr>
        <w:top w:val="none" w:sz="0" w:space="0" w:color="auto"/>
        <w:left w:val="none" w:sz="0" w:space="0" w:color="auto"/>
        <w:bottom w:val="none" w:sz="0" w:space="0" w:color="auto"/>
        <w:right w:val="none" w:sz="0" w:space="0" w:color="auto"/>
      </w:divBdr>
    </w:div>
    <w:div w:id="213123519">
      <w:marLeft w:val="0"/>
      <w:marRight w:val="0"/>
      <w:marTop w:val="0"/>
      <w:marBottom w:val="0"/>
      <w:divBdr>
        <w:top w:val="none" w:sz="0" w:space="0" w:color="auto"/>
        <w:left w:val="none" w:sz="0" w:space="0" w:color="auto"/>
        <w:bottom w:val="none" w:sz="0" w:space="0" w:color="auto"/>
        <w:right w:val="none" w:sz="0" w:space="0" w:color="auto"/>
      </w:divBdr>
    </w:div>
    <w:div w:id="213123520">
      <w:marLeft w:val="0"/>
      <w:marRight w:val="0"/>
      <w:marTop w:val="0"/>
      <w:marBottom w:val="0"/>
      <w:divBdr>
        <w:top w:val="none" w:sz="0" w:space="0" w:color="auto"/>
        <w:left w:val="none" w:sz="0" w:space="0" w:color="auto"/>
        <w:bottom w:val="none" w:sz="0" w:space="0" w:color="auto"/>
        <w:right w:val="none" w:sz="0" w:space="0" w:color="auto"/>
      </w:divBdr>
    </w:div>
    <w:div w:id="213123521">
      <w:marLeft w:val="0"/>
      <w:marRight w:val="0"/>
      <w:marTop w:val="0"/>
      <w:marBottom w:val="0"/>
      <w:divBdr>
        <w:top w:val="none" w:sz="0" w:space="0" w:color="auto"/>
        <w:left w:val="none" w:sz="0" w:space="0" w:color="auto"/>
        <w:bottom w:val="none" w:sz="0" w:space="0" w:color="auto"/>
        <w:right w:val="none" w:sz="0" w:space="0" w:color="auto"/>
      </w:divBdr>
    </w:div>
    <w:div w:id="213123522">
      <w:marLeft w:val="0"/>
      <w:marRight w:val="0"/>
      <w:marTop w:val="0"/>
      <w:marBottom w:val="0"/>
      <w:divBdr>
        <w:top w:val="none" w:sz="0" w:space="0" w:color="auto"/>
        <w:left w:val="none" w:sz="0" w:space="0" w:color="auto"/>
        <w:bottom w:val="none" w:sz="0" w:space="0" w:color="auto"/>
        <w:right w:val="none" w:sz="0" w:space="0" w:color="auto"/>
      </w:divBdr>
    </w:div>
    <w:div w:id="213123523">
      <w:marLeft w:val="0"/>
      <w:marRight w:val="0"/>
      <w:marTop w:val="0"/>
      <w:marBottom w:val="0"/>
      <w:divBdr>
        <w:top w:val="none" w:sz="0" w:space="0" w:color="auto"/>
        <w:left w:val="none" w:sz="0" w:space="0" w:color="auto"/>
        <w:bottom w:val="none" w:sz="0" w:space="0" w:color="auto"/>
        <w:right w:val="none" w:sz="0" w:space="0" w:color="auto"/>
      </w:divBdr>
    </w:div>
    <w:div w:id="213123525">
      <w:marLeft w:val="0"/>
      <w:marRight w:val="0"/>
      <w:marTop w:val="0"/>
      <w:marBottom w:val="0"/>
      <w:divBdr>
        <w:top w:val="none" w:sz="0" w:space="0" w:color="auto"/>
        <w:left w:val="none" w:sz="0" w:space="0" w:color="auto"/>
        <w:bottom w:val="none" w:sz="0" w:space="0" w:color="auto"/>
        <w:right w:val="none" w:sz="0" w:space="0" w:color="auto"/>
      </w:divBdr>
    </w:div>
    <w:div w:id="213123526">
      <w:marLeft w:val="0"/>
      <w:marRight w:val="0"/>
      <w:marTop w:val="0"/>
      <w:marBottom w:val="0"/>
      <w:divBdr>
        <w:top w:val="none" w:sz="0" w:space="0" w:color="auto"/>
        <w:left w:val="none" w:sz="0" w:space="0" w:color="auto"/>
        <w:bottom w:val="none" w:sz="0" w:space="0" w:color="auto"/>
        <w:right w:val="none" w:sz="0" w:space="0" w:color="auto"/>
      </w:divBdr>
    </w:div>
    <w:div w:id="213123527">
      <w:marLeft w:val="0"/>
      <w:marRight w:val="0"/>
      <w:marTop w:val="0"/>
      <w:marBottom w:val="0"/>
      <w:divBdr>
        <w:top w:val="none" w:sz="0" w:space="0" w:color="auto"/>
        <w:left w:val="none" w:sz="0" w:space="0" w:color="auto"/>
        <w:bottom w:val="none" w:sz="0" w:space="0" w:color="auto"/>
        <w:right w:val="none" w:sz="0" w:space="0" w:color="auto"/>
      </w:divBdr>
    </w:div>
    <w:div w:id="213123528">
      <w:marLeft w:val="0"/>
      <w:marRight w:val="0"/>
      <w:marTop w:val="0"/>
      <w:marBottom w:val="0"/>
      <w:divBdr>
        <w:top w:val="none" w:sz="0" w:space="0" w:color="auto"/>
        <w:left w:val="none" w:sz="0" w:space="0" w:color="auto"/>
        <w:bottom w:val="none" w:sz="0" w:space="0" w:color="auto"/>
        <w:right w:val="none" w:sz="0" w:space="0" w:color="auto"/>
      </w:divBdr>
    </w:div>
    <w:div w:id="213123529">
      <w:marLeft w:val="0"/>
      <w:marRight w:val="0"/>
      <w:marTop w:val="0"/>
      <w:marBottom w:val="0"/>
      <w:divBdr>
        <w:top w:val="none" w:sz="0" w:space="0" w:color="auto"/>
        <w:left w:val="none" w:sz="0" w:space="0" w:color="auto"/>
        <w:bottom w:val="none" w:sz="0" w:space="0" w:color="auto"/>
        <w:right w:val="none" w:sz="0" w:space="0" w:color="auto"/>
      </w:divBdr>
    </w:div>
    <w:div w:id="213123530">
      <w:marLeft w:val="0"/>
      <w:marRight w:val="0"/>
      <w:marTop w:val="0"/>
      <w:marBottom w:val="0"/>
      <w:divBdr>
        <w:top w:val="none" w:sz="0" w:space="0" w:color="auto"/>
        <w:left w:val="none" w:sz="0" w:space="0" w:color="auto"/>
        <w:bottom w:val="none" w:sz="0" w:space="0" w:color="auto"/>
        <w:right w:val="none" w:sz="0" w:space="0" w:color="auto"/>
      </w:divBdr>
    </w:div>
    <w:div w:id="213123531">
      <w:marLeft w:val="0"/>
      <w:marRight w:val="0"/>
      <w:marTop w:val="0"/>
      <w:marBottom w:val="0"/>
      <w:divBdr>
        <w:top w:val="none" w:sz="0" w:space="0" w:color="auto"/>
        <w:left w:val="none" w:sz="0" w:space="0" w:color="auto"/>
        <w:bottom w:val="none" w:sz="0" w:space="0" w:color="auto"/>
        <w:right w:val="none" w:sz="0" w:space="0" w:color="auto"/>
      </w:divBdr>
    </w:div>
    <w:div w:id="213123532">
      <w:marLeft w:val="0"/>
      <w:marRight w:val="0"/>
      <w:marTop w:val="0"/>
      <w:marBottom w:val="0"/>
      <w:divBdr>
        <w:top w:val="none" w:sz="0" w:space="0" w:color="auto"/>
        <w:left w:val="none" w:sz="0" w:space="0" w:color="auto"/>
        <w:bottom w:val="none" w:sz="0" w:space="0" w:color="auto"/>
        <w:right w:val="none" w:sz="0" w:space="0" w:color="auto"/>
      </w:divBdr>
    </w:div>
    <w:div w:id="213123533">
      <w:marLeft w:val="0"/>
      <w:marRight w:val="0"/>
      <w:marTop w:val="0"/>
      <w:marBottom w:val="0"/>
      <w:divBdr>
        <w:top w:val="none" w:sz="0" w:space="0" w:color="auto"/>
        <w:left w:val="none" w:sz="0" w:space="0" w:color="auto"/>
        <w:bottom w:val="none" w:sz="0" w:space="0" w:color="auto"/>
        <w:right w:val="none" w:sz="0" w:space="0" w:color="auto"/>
      </w:divBdr>
    </w:div>
    <w:div w:id="213123534">
      <w:marLeft w:val="0"/>
      <w:marRight w:val="0"/>
      <w:marTop w:val="0"/>
      <w:marBottom w:val="0"/>
      <w:divBdr>
        <w:top w:val="none" w:sz="0" w:space="0" w:color="auto"/>
        <w:left w:val="none" w:sz="0" w:space="0" w:color="auto"/>
        <w:bottom w:val="none" w:sz="0" w:space="0" w:color="auto"/>
        <w:right w:val="none" w:sz="0" w:space="0" w:color="auto"/>
      </w:divBdr>
    </w:div>
    <w:div w:id="213123535">
      <w:marLeft w:val="0"/>
      <w:marRight w:val="0"/>
      <w:marTop w:val="0"/>
      <w:marBottom w:val="0"/>
      <w:divBdr>
        <w:top w:val="none" w:sz="0" w:space="0" w:color="auto"/>
        <w:left w:val="none" w:sz="0" w:space="0" w:color="auto"/>
        <w:bottom w:val="none" w:sz="0" w:space="0" w:color="auto"/>
        <w:right w:val="none" w:sz="0" w:space="0" w:color="auto"/>
      </w:divBdr>
    </w:div>
    <w:div w:id="213123537">
      <w:marLeft w:val="0"/>
      <w:marRight w:val="0"/>
      <w:marTop w:val="0"/>
      <w:marBottom w:val="0"/>
      <w:divBdr>
        <w:top w:val="none" w:sz="0" w:space="0" w:color="auto"/>
        <w:left w:val="none" w:sz="0" w:space="0" w:color="auto"/>
        <w:bottom w:val="none" w:sz="0" w:space="0" w:color="auto"/>
        <w:right w:val="none" w:sz="0" w:space="0" w:color="auto"/>
      </w:divBdr>
    </w:div>
    <w:div w:id="213123538">
      <w:marLeft w:val="0"/>
      <w:marRight w:val="0"/>
      <w:marTop w:val="0"/>
      <w:marBottom w:val="0"/>
      <w:divBdr>
        <w:top w:val="none" w:sz="0" w:space="0" w:color="auto"/>
        <w:left w:val="none" w:sz="0" w:space="0" w:color="auto"/>
        <w:bottom w:val="none" w:sz="0" w:space="0" w:color="auto"/>
        <w:right w:val="none" w:sz="0" w:space="0" w:color="auto"/>
      </w:divBdr>
    </w:div>
    <w:div w:id="213123539">
      <w:marLeft w:val="0"/>
      <w:marRight w:val="0"/>
      <w:marTop w:val="0"/>
      <w:marBottom w:val="0"/>
      <w:divBdr>
        <w:top w:val="none" w:sz="0" w:space="0" w:color="auto"/>
        <w:left w:val="none" w:sz="0" w:space="0" w:color="auto"/>
        <w:bottom w:val="none" w:sz="0" w:space="0" w:color="auto"/>
        <w:right w:val="none" w:sz="0" w:space="0" w:color="auto"/>
      </w:divBdr>
    </w:div>
    <w:div w:id="213123540">
      <w:marLeft w:val="0"/>
      <w:marRight w:val="0"/>
      <w:marTop w:val="0"/>
      <w:marBottom w:val="0"/>
      <w:divBdr>
        <w:top w:val="none" w:sz="0" w:space="0" w:color="auto"/>
        <w:left w:val="none" w:sz="0" w:space="0" w:color="auto"/>
        <w:bottom w:val="none" w:sz="0" w:space="0" w:color="auto"/>
        <w:right w:val="none" w:sz="0" w:space="0" w:color="auto"/>
      </w:divBdr>
    </w:div>
    <w:div w:id="213123541">
      <w:marLeft w:val="0"/>
      <w:marRight w:val="0"/>
      <w:marTop w:val="0"/>
      <w:marBottom w:val="0"/>
      <w:divBdr>
        <w:top w:val="none" w:sz="0" w:space="0" w:color="auto"/>
        <w:left w:val="none" w:sz="0" w:space="0" w:color="auto"/>
        <w:bottom w:val="none" w:sz="0" w:space="0" w:color="auto"/>
        <w:right w:val="none" w:sz="0" w:space="0" w:color="auto"/>
      </w:divBdr>
    </w:div>
    <w:div w:id="213123542">
      <w:marLeft w:val="0"/>
      <w:marRight w:val="0"/>
      <w:marTop w:val="0"/>
      <w:marBottom w:val="0"/>
      <w:divBdr>
        <w:top w:val="none" w:sz="0" w:space="0" w:color="auto"/>
        <w:left w:val="none" w:sz="0" w:space="0" w:color="auto"/>
        <w:bottom w:val="none" w:sz="0" w:space="0" w:color="auto"/>
        <w:right w:val="none" w:sz="0" w:space="0" w:color="auto"/>
      </w:divBdr>
    </w:div>
    <w:div w:id="213123543">
      <w:marLeft w:val="0"/>
      <w:marRight w:val="0"/>
      <w:marTop w:val="0"/>
      <w:marBottom w:val="0"/>
      <w:divBdr>
        <w:top w:val="none" w:sz="0" w:space="0" w:color="auto"/>
        <w:left w:val="none" w:sz="0" w:space="0" w:color="auto"/>
        <w:bottom w:val="none" w:sz="0" w:space="0" w:color="auto"/>
        <w:right w:val="none" w:sz="0" w:space="0" w:color="auto"/>
      </w:divBdr>
    </w:div>
    <w:div w:id="213123544">
      <w:marLeft w:val="0"/>
      <w:marRight w:val="0"/>
      <w:marTop w:val="0"/>
      <w:marBottom w:val="0"/>
      <w:divBdr>
        <w:top w:val="none" w:sz="0" w:space="0" w:color="auto"/>
        <w:left w:val="none" w:sz="0" w:space="0" w:color="auto"/>
        <w:bottom w:val="none" w:sz="0" w:space="0" w:color="auto"/>
        <w:right w:val="none" w:sz="0" w:space="0" w:color="auto"/>
      </w:divBdr>
    </w:div>
    <w:div w:id="213123545">
      <w:marLeft w:val="0"/>
      <w:marRight w:val="0"/>
      <w:marTop w:val="0"/>
      <w:marBottom w:val="0"/>
      <w:divBdr>
        <w:top w:val="none" w:sz="0" w:space="0" w:color="auto"/>
        <w:left w:val="none" w:sz="0" w:space="0" w:color="auto"/>
        <w:bottom w:val="none" w:sz="0" w:space="0" w:color="auto"/>
        <w:right w:val="none" w:sz="0" w:space="0" w:color="auto"/>
      </w:divBdr>
    </w:div>
    <w:div w:id="213123546">
      <w:marLeft w:val="0"/>
      <w:marRight w:val="0"/>
      <w:marTop w:val="0"/>
      <w:marBottom w:val="0"/>
      <w:divBdr>
        <w:top w:val="none" w:sz="0" w:space="0" w:color="auto"/>
        <w:left w:val="none" w:sz="0" w:space="0" w:color="auto"/>
        <w:bottom w:val="none" w:sz="0" w:space="0" w:color="auto"/>
        <w:right w:val="none" w:sz="0" w:space="0" w:color="auto"/>
      </w:divBdr>
    </w:div>
    <w:div w:id="213123547">
      <w:marLeft w:val="0"/>
      <w:marRight w:val="0"/>
      <w:marTop w:val="0"/>
      <w:marBottom w:val="0"/>
      <w:divBdr>
        <w:top w:val="none" w:sz="0" w:space="0" w:color="auto"/>
        <w:left w:val="none" w:sz="0" w:space="0" w:color="auto"/>
        <w:bottom w:val="none" w:sz="0" w:space="0" w:color="auto"/>
        <w:right w:val="none" w:sz="0" w:space="0" w:color="auto"/>
      </w:divBdr>
    </w:div>
    <w:div w:id="213123548">
      <w:marLeft w:val="0"/>
      <w:marRight w:val="0"/>
      <w:marTop w:val="0"/>
      <w:marBottom w:val="0"/>
      <w:divBdr>
        <w:top w:val="none" w:sz="0" w:space="0" w:color="auto"/>
        <w:left w:val="none" w:sz="0" w:space="0" w:color="auto"/>
        <w:bottom w:val="none" w:sz="0" w:space="0" w:color="auto"/>
        <w:right w:val="none" w:sz="0" w:space="0" w:color="auto"/>
      </w:divBdr>
    </w:div>
    <w:div w:id="213123549">
      <w:marLeft w:val="0"/>
      <w:marRight w:val="0"/>
      <w:marTop w:val="0"/>
      <w:marBottom w:val="0"/>
      <w:divBdr>
        <w:top w:val="none" w:sz="0" w:space="0" w:color="auto"/>
        <w:left w:val="none" w:sz="0" w:space="0" w:color="auto"/>
        <w:bottom w:val="none" w:sz="0" w:space="0" w:color="auto"/>
        <w:right w:val="none" w:sz="0" w:space="0" w:color="auto"/>
      </w:divBdr>
    </w:div>
    <w:div w:id="213123550">
      <w:marLeft w:val="0"/>
      <w:marRight w:val="0"/>
      <w:marTop w:val="0"/>
      <w:marBottom w:val="0"/>
      <w:divBdr>
        <w:top w:val="none" w:sz="0" w:space="0" w:color="auto"/>
        <w:left w:val="none" w:sz="0" w:space="0" w:color="auto"/>
        <w:bottom w:val="none" w:sz="0" w:space="0" w:color="auto"/>
        <w:right w:val="none" w:sz="0" w:space="0" w:color="auto"/>
      </w:divBdr>
    </w:div>
    <w:div w:id="213123551">
      <w:marLeft w:val="0"/>
      <w:marRight w:val="0"/>
      <w:marTop w:val="0"/>
      <w:marBottom w:val="0"/>
      <w:divBdr>
        <w:top w:val="none" w:sz="0" w:space="0" w:color="auto"/>
        <w:left w:val="none" w:sz="0" w:space="0" w:color="auto"/>
        <w:bottom w:val="none" w:sz="0" w:space="0" w:color="auto"/>
        <w:right w:val="none" w:sz="0" w:space="0" w:color="auto"/>
      </w:divBdr>
    </w:div>
    <w:div w:id="213123552">
      <w:marLeft w:val="0"/>
      <w:marRight w:val="0"/>
      <w:marTop w:val="0"/>
      <w:marBottom w:val="0"/>
      <w:divBdr>
        <w:top w:val="none" w:sz="0" w:space="0" w:color="auto"/>
        <w:left w:val="none" w:sz="0" w:space="0" w:color="auto"/>
        <w:bottom w:val="none" w:sz="0" w:space="0" w:color="auto"/>
        <w:right w:val="none" w:sz="0" w:space="0" w:color="auto"/>
      </w:divBdr>
    </w:div>
    <w:div w:id="213123553">
      <w:marLeft w:val="0"/>
      <w:marRight w:val="0"/>
      <w:marTop w:val="0"/>
      <w:marBottom w:val="0"/>
      <w:divBdr>
        <w:top w:val="none" w:sz="0" w:space="0" w:color="auto"/>
        <w:left w:val="none" w:sz="0" w:space="0" w:color="auto"/>
        <w:bottom w:val="none" w:sz="0" w:space="0" w:color="auto"/>
        <w:right w:val="none" w:sz="0" w:space="0" w:color="auto"/>
      </w:divBdr>
    </w:div>
    <w:div w:id="213123554">
      <w:marLeft w:val="0"/>
      <w:marRight w:val="0"/>
      <w:marTop w:val="0"/>
      <w:marBottom w:val="0"/>
      <w:divBdr>
        <w:top w:val="none" w:sz="0" w:space="0" w:color="auto"/>
        <w:left w:val="none" w:sz="0" w:space="0" w:color="auto"/>
        <w:bottom w:val="none" w:sz="0" w:space="0" w:color="auto"/>
        <w:right w:val="none" w:sz="0" w:space="0" w:color="auto"/>
      </w:divBdr>
    </w:div>
    <w:div w:id="213123555">
      <w:marLeft w:val="0"/>
      <w:marRight w:val="0"/>
      <w:marTop w:val="0"/>
      <w:marBottom w:val="0"/>
      <w:divBdr>
        <w:top w:val="none" w:sz="0" w:space="0" w:color="auto"/>
        <w:left w:val="none" w:sz="0" w:space="0" w:color="auto"/>
        <w:bottom w:val="none" w:sz="0" w:space="0" w:color="auto"/>
        <w:right w:val="none" w:sz="0" w:space="0" w:color="auto"/>
      </w:divBdr>
    </w:div>
    <w:div w:id="213123556">
      <w:marLeft w:val="0"/>
      <w:marRight w:val="0"/>
      <w:marTop w:val="0"/>
      <w:marBottom w:val="0"/>
      <w:divBdr>
        <w:top w:val="none" w:sz="0" w:space="0" w:color="auto"/>
        <w:left w:val="none" w:sz="0" w:space="0" w:color="auto"/>
        <w:bottom w:val="none" w:sz="0" w:space="0" w:color="auto"/>
        <w:right w:val="none" w:sz="0" w:space="0" w:color="auto"/>
      </w:divBdr>
    </w:div>
    <w:div w:id="213123557">
      <w:marLeft w:val="0"/>
      <w:marRight w:val="0"/>
      <w:marTop w:val="0"/>
      <w:marBottom w:val="0"/>
      <w:divBdr>
        <w:top w:val="none" w:sz="0" w:space="0" w:color="auto"/>
        <w:left w:val="none" w:sz="0" w:space="0" w:color="auto"/>
        <w:bottom w:val="none" w:sz="0" w:space="0" w:color="auto"/>
        <w:right w:val="none" w:sz="0" w:space="0" w:color="auto"/>
      </w:divBdr>
    </w:div>
    <w:div w:id="213123558">
      <w:marLeft w:val="0"/>
      <w:marRight w:val="0"/>
      <w:marTop w:val="0"/>
      <w:marBottom w:val="0"/>
      <w:divBdr>
        <w:top w:val="none" w:sz="0" w:space="0" w:color="auto"/>
        <w:left w:val="none" w:sz="0" w:space="0" w:color="auto"/>
        <w:bottom w:val="none" w:sz="0" w:space="0" w:color="auto"/>
        <w:right w:val="none" w:sz="0" w:space="0" w:color="auto"/>
      </w:divBdr>
    </w:div>
    <w:div w:id="213123559">
      <w:marLeft w:val="0"/>
      <w:marRight w:val="0"/>
      <w:marTop w:val="0"/>
      <w:marBottom w:val="0"/>
      <w:divBdr>
        <w:top w:val="none" w:sz="0" w:space="0" w:color="auto"/>
        <w:left w:val="none" w:sz="0" w:space="0" w:color="auto"/>
        <w:bottom w:val="none" w:sz="0" w:space="0" w:color="auto"/>
        <w:right w:val="none" w:sz="0" w:space="0" w:color="auto"/>
      </w:divBdr>
    </w:div>
    <w:div w:id="213123560">
      <w:marLeft w:val="0"/>
      <w:marRight w:val="0"/>
      <w:marTop w:val="0"/>
      <w:marBottom w:val="0"/>
      <w:divBdr>
        <w:top w:val="none" w:sz="0" w:space="0" w:color="auto"/>
        <w:left w:val="none" w:sz="0" w:space="0" w:color="auto"/>
        <w:bottom w:val="none" w:sz="0" w:space="0" w:color="auto"/>
        <w:right w:val="none" w:sz="0" w:space="0" w:color="auto"/>
      </w:divBdr>
    </w:div>
    <w:div w:id="213123561">
      <w:marLeft w:val="0"/>
      <w:marRight w:val="0"/>
      <w:marTop w:val="0"/>
      <w:marBottom w:val="0"/>
      <w:divBdr>
        <w:top w:val="none" w:sz="0" w:space="0" w:color="auto"/>
        <w:left w:val="none" w:sz="0" w:space="0" w:color="auto"/>
        <w:bottom w:val="none" w:sz="0" w:space="0" w:color="auto"/>
        <w:right w:val="none" w:sz="0" w:space="0" w:color="auto"/>
      </w:divBdr>
    </w:div>
    <w:div w:id="213123562">
      <w:marLeft w:val="0"/>
      <w:marRight w:val="0"/>
      <w:marTop w:val="0"/>
      <w:marBottom w:val="0"/>
      <w:divBdr>
        <w:top w:val="none" w:sz="0" w:space="0" w:color="auto"/>
        <w:left w:val="none" w:sz="0" w:space="0" w:color="auto"/>
        <w:bottom w:val="none" w:sz="0" w:space="0" w:color="auto"/>
        <w:right w:val="none" w:sz="0" w:space="0" w:color="auto"/>
      </w:divBdr>
    </w:div>
    <w:div w:id="213123563">
      <w:marLeft w:val="0"/>
      <w:marRight w:val="0"/>
      <w:marTop w:val="0"/>
      <w:marBottom w:val="0"/>
      <w:divBdr>
        <w:top w:val="none" w:sz="0" w:space="0" w:color="auto"/>
        <w:left w:val="none" w:sz="0" w:space="0" w:color="auto"/>
        <w:bottom w:val="none" w:sz="0" w:space="0" w:color="auto"/>
        <w:right w:val="none" w:sz="0" w:space="0" w:color="auto"/>
      </w:divBdr>
    </w:div>
    <w:div w:id="213123564">
      <w:marLeft w:val="0"/>
      <w:marRight w:val="0"/>
      <w:marTop w:val="0"/>
      <w:marBottom w:val="0"/>
      <w:divBdr>
        <w:top w:val="none" w:sz="0" w:space="0" w:color="auto"/>
        <w:left w:val="none" w:sz="0" w:space="0" w:color="auto"/>
        <w:bottom w:val="none" w:sz="0" w:space="0" w:color="auto"/>
        <w:right w:val="none" w:sz="0" w:space="0" w:color="auto"/>
      </w:divBdr>
    </w:div>
    <w:div w:id="213123565">
      <w:marLeft w:val="0"/>
      <w:marRight w:val="0"/>
      <w:marTop w:val="0"/>
      <w:marBottom w:val="0"/>
      <w:divBdr>
        <w:top w:val="none" w:sz="0" w:space="0" w:color="auto"/>
        <w:left w:val="none" w:sz="0" w:space="0" w:color="auto"/>
        <w:bottom w:val="none" w:sz="0" w:space="0" w:color="auto"/>
        <w:right w:val="none" w:sz="0" w:space="0" w:color="auto"/>
      </w:divBdr>
    </w:div>
    <w:div w:id="213123566">
      <w:marLeft w:val="0"/>
      <w:marRight w:val="0"/>
      <w:marTop w:val="0"/>
      <w:marBottom w:val="0"/>
      <w:divBdr>
        <w:top w:val="none" w:sz="0" w:space="0" w:color="auto"/>
        <w:left w:val="none" w:sz="0" w:space="0" w:color="auto"/>
        <w:bottom w:val="none" w:sz="0" w:space="0" w:color="auto"/>
        <w:right w:val="none" w:sz="0" w:space="0" w:color="auto"/>
      </w:divBdr>
    </w:div>
    <w:div w:id="213123567">
      <w:marLeft w:val="0"/>
      <w:marRight w:val="0"/>
      <w:marTop w:val="0"/>
      <w:marBottom w:val="0"/>
      <w:divBdr>
        <w:top w:val="none" w:sz="0" w:space="0" w:color="auto"/>
        <w:left w:val="none" w:sz="0" w:space="0" w:color="auto"/>
        <w:bottom w:val="none" w:sz="0" w:space="0" w:color="auto"/>
        <w:right w:val="none" w:sz="0" w:space="0" w:color="auto"/>
      </w:divBdr>
    </w:div>
    <w:div w:id="213123568">
      <w:marLeft w:val="0"/>
      <w:marRight w:val="0"/>
      <w:marTop w:val="0"/>
      <w:marBottom w:val="0"/>
      <w:divBdr>
        <w:top w:val="none" w:sz="0" w:space="0" w:color="auto"/>
        <w:left w:val="none" w:sz="0" w:space="0" w:color="auto"/>
        <w:bottom w:val="none" w:sz="0" w:space="0" w:color="auto"/>
        <w:right w:val="none" w:sz="0" w:space="0" w:color="auto"/>
      </w:divBdr>
    </w:div>
    <w:div w:id="213123569">
      <w:marLeft w:val="0"/>
      <w:marRight w:val="0"/>
      <w:marTop w:val="0"/>
      <w:marBottom w:val="0"/>
      <w:divBdr>
        <w:top w:val="none" w:sz="0" w:space="0" w:color="auto"/>
        <w:left w:val="none" w:sz="0" w:space="0" w:color="auto"/>
        <w:bottom w:val="none" w:sz="0" w:space="0" w:color="auto"/>
        <w:right w:val="none" w:sz="0" w:space="0" w:color="auto"/>
      </w:divBdr>
    </w:div>
    <w:div w:id="213123570">
      <w:marLeft w:val="0"/>
      <w:marRight w:val="0"/>
      <w:marTop w:val="0"/>
      <w:marBottom w:val="0"/>
      <w:divBdr>
        <w:top w:val="none" w:sz="0" w:space="0" w:color="auto"/>
        <w:left w:val="none" w:sz="0" w:space="0" w:color="auto"/>
        <w:bottom w:val="none" w:sz="0" w:space="0" w:color="auto"/>
        <w:right w:val="none" w:sz="0" w:space="0" w:color="auto"/>
      </w:divBdr>
    </w:div>
    <w:div w:id="213123571">
      <w:marLeft w:val="0"/>
      <w:marRight w:val="0"/>
      <w:marTop w:val="0"/>
      <w:marBottom w:val="0"/>
      <w:divBdr>
        <w:top w:val="none" w:sz="0" w:space="0" w:color="auto"/>
        <w:left w:val="none" w:sz="0" w:space="0" w:color="auto"/>
        <w:bottom w:val="none" w:sz="0" w:space="0" w:color="auto"/>
        <w:right w:val="none" w:sz="0" w:space="0" w:color="auto"/>
      </w:divBdr>
    </w:div>
    <w:div w:id="213123572">
      <w:marLeft w:val="0"/>
      <w:marRight w:val="0"/>
      <w:marTop w:val="0"/>
      <w:marBottom w:val="0"/>
      <w:divBdr>
        <w:top w:val="none" w:sz="0" w:space="0" w:color="auto"/>
        <w:left w:val="none" w:sz="0" w:space="0" w:color="auto"/>
        <w:bottom w:val="none" w:sz="0" w:space="0" w:color="auto"/>
        <w:right w:val="none" w:sz="0" w:space="0" w:color="auto"/>
      </w:divBdr>
    </w:div>
    <w:div w:id="213123573">
      <w:marLeft w:val="0"/>
      <w:marRight w:val="0"/>
      <w:marTop w:val="0"/>
      <w:marBottom w:val="0"/>
      <w:divBdr>
        <w:top w:val="none" w:sz="0" w:space="0" w:color="auto"/>
        <w:left w:val="none" w:sz="0" w:space="0" w:color="auto"/>
        <w:bottom w:val="none" w:sz="0" w:space="0" w:color="auto"/>
        <w:right w:val="none" w:sz="0" w:space="0" w:color="auto"/>
      </w:divBdr>
    </w:div>
    <w:div w:id="213123574">
      <w:marLeft w:val="0"/>
      <w:marRight w:val="0"/>
      <w:marTop w:val="0"/>
      <w:marBottom w:val="0"/>
      <w:divBdr>
        <w:top w:val="none" w:sz="0" w:space="0" w:color="auto"/>
        <w:left w:val="none" w:sz="0" w:space="0" w:color="auto"/>
        <w:bottom w:val="none" w:sz="0" w:space="0" w:color="auto"/>
        <w:right w:val="none" w:sz="0" w:space="0" w:color="auto"/>
      </w:divBdr>
    </w:div>
    <w:div w:id="213123575">
      <w:marLeft w:val="0"/>
      <w:marRight w:val="0"/>
      <w:marTop w:val="0"/>
      <w:marBottom w:val="0"/>
      <w:divBdr>
        <w:top w:val="none" w:sz="0" w:space="0" w:color="auto"/>
        <w:left w:val="none" w:sz="0" w:space="0" w:color="auto"/>
        <w:bottom w:val="none" w:sz="0" w:space="0" w:color="auto"/>
        <w:right w:val="none" w:sz="0" w:space="0" w:color="auto"/>
      </w:divBdr>
    </w:div>
    <w:div w:id="213123576">
      <w:marLeft w:val="0"/>
      <w:marRight w:val="0"/>
      <w:marTop w:val="0"/>
      <w:marBottom w:val="0"/>
      <w:divBdr>
        <w:top w:val="none" w:sz="0" w:space="0" w:color="auto"/>
        <w:left w:val="none" w:sz="0" w:space="0" w:color="auto"/>
        <w:bottom w:val="none" w:sz="0" w:space="0" w:color="auto"/>
        <w:right w:val="none" w:sz="0" w:space="0" w:color="auto"/>
      </w:divBdr>
    </w:div>
    <w:div w:id="213123577">
      <w:marLeft w:val="0"/>
      <w:marRight w:val="0"/>
      <w:marTop w:val="0"/>
      <w:marBottom w:val="0"/>
      <w:divBdr>
        <w:top w:val="none" w:sz="0" w:space="0" w:color="auto"/>
        <w:left w:val="none" w:sz="0" w:space="0" w:color="auto"/>
        <w:bottom w:val="none" w:sz="0" w:space="0" w:color="auto"/>
        <w:right w:val="none" w:sz="0" w:space="0" w:color="auto"/>
      </w:divBdr>
    </w:div>
    <w:div w:id="213123578">
      <w:marLeft w:val="0"/>
      <w:marRight w:val="0"/>
      <w:marTop w:val="0"/>
      <w:marBottom w:val="0"/>
      <w:divBdr>
        <w:top w:val="none" w:sz="0" w:space="0" w:color="auto"/>
        <w:left w:val="none" w:sz="0" w:space="0" w:color="auto"/>
        <w:bottom w:val="none" w:sz="0" w:space="0" w:color="auto"/>
        <w:right w:val="none" w:sz="0" w:space="0" w:color="auto"/>
      </w:divBdr>
    </w:div>
    <w:div w:id="213123579">
      <w:marLeft w:val="0"/>
      <w:marRight w:val="0"/>
      <w:marTop w:val="0"/>
      <w:marBottom w:val="0"/>
      <w:divBdr>
        <w:top w:val="none" w:sz="0" w:space="0" w:color="auto"/>
        <w:left w:val="none" w:sz="0" w:space="0" w:color="auto"/>
        <w:bottom w:val="none" w:sz="0" w:space="0" w:color="auto"/>
        <w:right w:val="none" w:sz="0" w:space="0" w:color="auto"/>
      </w:divBdr>
    </w:div>
    <w:div w:id="213123580">
      <w:marLeft w:val="0"/>
      <w:marRight w:val="0"/>
      <w:marTop w:val="0"/>
      <w:marBottom w:val="0"/>
      <w:divBdr>
        <w:top w:val="none" w:sz="0" w:space="0" w:color="auto"/>
        <w:left w:val="none" w:sz="0" w:space="0" w:color="auto"/>
        <w:bottom w:val="none" w:sz="0" w:space="0" w:color="auto"/>
        <w:right w:val="none" w:sz="0" w:space="0" w:color="auto"/>
      </w:divBdr>
    </w:div>
    <w:div w:id="213123581">
      <w:marLeft w:val="0"/>
      <w:marRight w:val="0"/>
      <w:marTop w:val="0"/>
      <w:marBottom w:val="0"/>
      <w:divBdr>
        <w:top w:val="none" w:sz="0" w:space="0" w:color="auto"/>
        <w:left w:val="none" w:sz="0" w:space="0" w:color="auto"/>
        <w:bottom w:val="none" w:sz="0" w:space="0" w:color="auto"/>
        <w:right w:val="none" w:sz="0" w:space="0" w:color="auto"/>
      </w:divBdr>
    </w:div>
    <w:div w:id="213123582">
      <w:marLeft w:val="0"/>
      <w:marRight w:val="0"/>
      <w:marTop w:val="0"/>
      <w:marBottom w:val="0"/>
      <w:divBdr>
        <w:top w:val="none" w:sz="0" w:space="0" w:color="auto"/>
        <w:left w:val="none" w:sz="0" w:space="0" w:color="auto"/>
        <w:bottom w:val="none" w:sz="0" w:space="0" w:color="auto"/>
        <w:right w:val="none" w:sz="0" w:space="0" w:color="auto"/>
      </w:divBdr>
    </w:div>
    <w:div w:id="213123583">
      <w:marLeft w:val="0"/>
      <w:marRight w:val="0"/>
      <w:marTop w:val="0"/>
      <w:marBottom w:val="0"/>
      <w:divBdr>
        <w:top w:val="none" w:sz="0" w:space="0" w:color="auto"/>
        <w:left w:val="none" w:sz="0" w:space="0" w:color="auto"/>
        <w:bottom w:val="none" w:sz="0" w:space="0" w:color="auto"/>
        <w:right w:val="none" w:sz="0" w:space="0" w:color="auto"/>
      </w:divBdr>
    </w:div>
    <w:div w:id="213123584">
      <w:marLeft w:val="0"/>
      <w:marRight w:val="0"/>
      <w:marTop w:val="0"/>
      <w:marBottom w:val="0"/>
      <w:divBdr>
        <w:top w:val="none" w:sz="0" w:space="0" w:color="auto"/>
        <w:left w:val="none" w:sz="0" w:space="0" w:color="auto"/>
        <w:bottom w:val="none" w:sz="0" w:space="0" w:color="auto"/>
        <w:right w:val="none" w:sz="0" w:space="0" w:color="auto"/>
      </w:divBdr>
    </w:div>
    <w:div w:id="213123585">
      <w:marLeft w:val="0"/>
      <w:marRight w:val="0"/>
      <w:marTop w:val="0"/>
      <w:marBottom w:val="0"/>
      <w:divBdr>
        <w:top w:val="none" w:sz="0" w:space="0" w:color="auto"/>
        <w:left w:val="none" w:sz="0" w:space="0" w:color="auto"/>
        <w:bottom w:val="none" w:sz="0" w:space="0" w:color="auto"/>
        <w:right w:val="none" w:sz="0" w:space="0" w:color="auto"/>
      </w:divBdr>
    </w:div>
    <w:div w:id="213123586">
      <w:marLeft w:val="0"/>
      <w:marRight w:val="0"/>
      <w:marTop w:val="0"/>
      <w:marBottom w:val="0"/>
      <w:divBdr>
        <w:top w:val="none" w:sz="0" w:space="0" w:color="auto"/>
        <w:left w:val="none" w:sz="0" w:space="0" w:color="auto"/>
        <w:bottom w:val="none" w:sz="0" w:space="0" w:color="auto"/>
        <w:right w:val="none" w:sz="0" w:space="0" w:color="auto"/>
      </w:divBdr>
    </w:div>
    <w:div w:id="213123587">
      <w:marLeft w:val="0"/>
      <w:marRight w:val="0"/>
      <w:marTop w:val="0"/>
      <w:marBottom w:val="0"/>
      <w:divBdr>
        <w:top w:val="none" w:sz="0" w:space="0" w:color="auto"/>
        <w:left w:val="none" w:sz="0" w:space="0" w:color="auto"/>
        <w:bottom w:val="none" w:sz="0" w:space="0" w:color="auto"/>
        <w:right w:val="none" w:sz="0" w:space="0" w:color="auto"/>
      </w:divBdr>
      <w:divsChild>
        <w:div w:id="213123524">
          <w:marLeft w:val="0"/>
          <w:marRight w:val="0"/>
          <w:marTop w:val="0"/>
          <w:marBottom w:val="0"/>
          <w:divBdr>
            <w:top w:val="none" w:sz="0" w:space="0" w:color="auto"/>
            <w:left w:val="none" w:sz="0" w:space="0" w:color="auto"/>
            <w:bottom w:val="none" w:sz="0" w:space="0" w:color="auto"/>
            <w:right w:val="none" w:sz="0" w:space="0" w:color="auto"/>
          </w:divBdr>
        </w:div>
      </w:divsChild>
    </w:div>
    <w:div w:id="213123588">
      <w:marLeft w:val="0"/>
      <w:marRight w:val="0"/>
      <w:marTop w:val="0"/>
      <w:marBottom w:val="0"/>
      <w:divBdr>
        <w:top w:val="none" w:sz="0" w:space="0" w:color="auto"/>
        <w:left w:val="none" w:sz="0" w:space="0" w:color="auto"/>
        <w:bottom w:val="none" w:sz="0" w:space="0" w:color="auto"/>
        <w:right w:val="none" w:sz="0" w:space="0" w:color="auto"/>
      </w:divBdr>
    </w:div>
    <w:div w:id="213123589">
      <w:marLeft w:val="0"/>
      <w:marRight w:val="0"/>
      <w:marTop w:val="0"/>
      <w:marBottom w:val="0"/>
      <w:divBdr>
        <w:top w:val="none" w:sz="0" w:space="0" w:color="auto"/>
        <w:left w:val="none" w:sz="0" w:space="0" w:color="auto"/>
        <w:bottom w:val="none" w:sz="0" w:space="0" w:color="auto"/>
        <w:right w:val="none" w:sz="0" w:space="0" w:color="auto"/>
      </w:divBdr>
    </w:div>
    <w:div w:id="213123590">
      <w:marLeft w:val="0"/>
      <w:marRight w:val="0"/>
      <w:marTop w:val="0"/>
      <w:marBottom w:val="0"/>
      <w:divBdr>
        <w:top w:val="none" w:sz="0" w:space="0" w:color="auto"/>
        <w:left w:val="none" w:sz="0" w:space="0" w:color="auto"/>
        <w:bottom w:val="none" w:sz="0" w:space="0" w:color="auto"/>
        <w:right w:val="none" w:sz="0" w:space="0" w:color="auto"/>
      </w:divBdr>
    </w:div>
    <w:div w:id="213123591">
      <w:marLeft w:val="0"/>
      <w:marRight w:val="0"/>
      <w:marTop w:val="0"/>
      <w:marBottom w:val="0"/>
      <w:divBdr>
        <w:top w:val="none" w:sz="0" w:space="0" w:color="auto"/>
        <w:left w:val="none" w:sz="0" w:space="0" w:color="auto"/>
        <w:bottom w:val="none" w:sz="0" w:space="0" w:color="auto"/>
        <w:right w:val="none" w:sz="0" w:space="0" w:color="auto"/>
      </w:divBdr>
    </w:div>
    <w:div w:id="213123592">
      <w:marLeft w:val="0"/>
      <w:marRight w:val="0"/>
      <w:marTop w:val="0"/>
      <w:marBottom w:val="0"/>
      <w:divBdr>
        <w:top w:val="none" w:sz="0" w:space="0" w:color="auto"/>
        <w:left w:val="none" w:sz="0" w:space="0" w:color="auto"/>
        <w:bottom w:val="none" w:sz="0" w:space="0" w:color="auto"/>
        <w:right w:val="none" w:sz="0" w:space="0" w:color="auto"/>
      </w:divBdr>
    </w:div>
    <w:div w:id="213123593">
      <w:marLeft w:val="0"/>
      <w:marRight w:val="0"/>
      <w:marTop w:val="0"/>
      <w:marBottom w:val="0"/>
      <w:divBdr>
        <w:top w:val="none" w:sz="0" w:space="0" w:color="auto"/>
        <w:left w:val="none" w:sz="0" w:space="0" w:color="auto"/>
        <w:bottom w:val="none" w:sz="0" w:space="0" w:color="auto"/>
        <w:right w:val="none" w:sz="0" w:space="0" w:color="auto"/>
      </w:divBdr>
    </w:div>
    <w:div w:id="213123594">
      <w:marLeft w:val="0"/>
      <w:marRight w:val="0"/>
      <w:marTop w:val="0"/>
      <w:marBottom w:val="0"/>
      <w:divBdr>
        <w:top w:val="none" w:sz="0" w:space="0" w:color="auto"/>
        <w:left w:val="none" w:sz="0" w:space="0" w:color="auto"/>
        <w:bottom w:val="none" w:sz="0" w:space="0" w:color="auto"/>
        <w:right w:val="none" w:sz="0" w:space="0" w:color="auto"/>
      </w:divBdr>
    </w:div>
    <w:div w:id="213123595">
      <w:marLeft w:val="0"/>
      <w:marRight w:val="0"/>
      <w:marTop w:val="0"/>
      <w:marBottom w:val="0"/>
      <w:divBdr>
        <w:top w:val="none" w:sz="0" w:space="0" w:color="auto"/>
        <w:left w:val="none" w:sz="0" w:space="0" w:color="auto"/>
        <w:bottom w:val="none" w:sz="0" w:space="0" w:color="auto"/>
        <w:right w:val="none" w:sz="0" w:space="0" w:color="auto"/>
      </w:divBdr>
    </w:div>
    <w:div w:id="213123596">
      <w:marLeft w:val="0"/>
      <w:marRight w:val="0"/>
      <w:marTop w:val="0"/>
      <w:marBottom w:val="0"/>
      <w:divBdr>
        <w:top w:val="none" w:sz="0" w:space="0" w:color="auto"/>
        <w:left w:val="none" w:sz="0" w:space="0" w:color="auto"/>
        <w:bottom w:val="none" w:sz="0" w:space="0" w:color="auto"/>
        <w:right w:val="none" w:sz="0" w:space="0" w:color="auto"/>
      </w:divBdr>
    </w:div>
    <w:div w:id="213123597">
      <w:marLeft w:val="0"/>
      <w:marRight w:val="0"/>
      <w:marTop w:val="0"/>
      <w:marBottom w:val="0"/>
      <w:divBdr>
        <w:top w:val="none" w:sz="0" w:space="0" w:color="auto"/>
        <w:left w:val="none" w:sz="0" w:space="0" w:color="auto"/>
        <w:bottom w:val="none" w:sz="0" w:space="0" w:color="auto"/>
        <w:right w:val="none" w:sz="0" w:space="0" w:color="auto"/>
      </w:divBdr>
    </w:div>
    <w:div w:id="213123598">
      <w:marLeft w:val="0"/>
      <w:marRight w:val="0"/>
      <w:marTop w:val="0"/>
      <w:marBottom w:val="0"/>
      <w:divBdr>
        <w:top w:val="none" w:sz="0" w:space="0" w:color="auto"/>
        <w:left w:val="none" w:sz="0" w:space="0" w:color="auto"/>
        <w:bottom w:val="none" w:sz="0" w:space="0" w:color="auto"/>
        <w:right w:val="none" w:sz="0" w:space="0" w:color="auto"/>
      </w:divBdr>
    </w:div>
    <w:div w:id="213123599">
      <w:marLeft w:val="0"/>
      <w:marRight w:val="0"/>
      <w:marTop w:val="0"/>
      <w:marBottom w:val="0"/>
      <w:divBdr>
        <w:top w:val="none" w:sz="0" w:space="0" w:color="auto"/>
        <w:left w:val="none" w:sz="0" w:space="0" w:color="auto"/>
        <w:bottom w:val="none" w:sz="0" w:space="0" w:color="auto"/>
        <w:right w:val="none" w:sz="0" w:space="0" w:color="auto"/>
      </w:divBdr>
    </w:div>
    <w:div w:id="213123600">
      <w:marLeft w:val="0"/>
      <w:marRight w:val="0"/>
      <w:marTop w:val="0"/>
      <w:marBottom w:val="0"/>
      <w:divBdr>
        <w:top w:val="none" w:sz="0" w:space="0" w:color="auto"/>
        <w:left w:val="none" w:sz="0" w:space="0" w:color="auto"/>
        <w:bottom w:val="none" w:sz="0" w:space="0" w:color="auto"/>
        <w:right w:val="none" w:sz="0" w:space="0" w:color="auto"/>
      </w:divBdr>
    </w:div>
    <w:div w:id="213123601">
      <w:marLeft w:val="0"/>
      <w:marRight w:val="0"/>
      <w:marTop w:val="0"/>
      <w:marBottom w:val="0"/>
      <w:divBdr>
        <w:top w:val="none" w:sz="0" w:space="0" w:color="auto"/>
        <w:left w:val="none" w:sz="0" w:space="0" w:color="auto"/>
        <w:bottom w:val="none" w:sz="0" w:space="0" w:color="auto"/>
        <w:right w:val="none" w:sz="0" w:space="0" w:color="auto"/>
      </w:divBdr>
    </w:div>
    <w:div w:id="213123602">
      <w:marLeft w:val="0"/>
      <w:marRight w:val="0"/>
      <w:marTop w:val="0"/>
      <w:marBottom w:val="0"/>
      <w:divBdr>
        <w:top w:val="none" w:sz="0" w:space="0" w:color="auto"/>
        <w:left w:val="none" w:sz="0" w:space="0" w:color="auto"/>
        <w:bottom w:val="none" w:sz="0" w:space="0" w:color="auto"/>
        <w:right w:val="none" w:sz="0" w:space="0" w:color="auto"/>
      </w:divBdr>
    </w:div>
    <w:div w:id="213123603">
      <w:marLeft w:val="0"/>
      <w:marRight w:val="0"/>
      <w:marTop w:val="0"/>
      <w:marBottom w:val="0"/>
      <w:divBdr>
        <w:top w:val="none" w:sz="0" w:space="0" w:color="auto"/>
        <w:left w:val="none" w:sz="0" w:space="0" w:color="auto"/>
        <w:bottom w:val="none" w:sz="0" w:space="0" w:color="auto"/>
        <w:right w:val="none" w:sz="0" w:space="0" w:color="auto"/>
      </w:divBdr>
    </w:div>
    <w:div w:id="213123604">
      <w:marLeft w:val="0"/>
      <w:marRight w:val="0"/>
      <w:marTop w:val="0"/>
      <w:marBottom w:val="0"/>
      <w:divBdr>
        <w:top w:val="none" w:sz="0" w:space="0" w:color="auto"/>
        <w:left w:val="none" w:sz="0" w:space="0" w:color="auto"/>
        <w:bottom w:val="none" w:sz="0" w:space="0" w:color="auto"/>
        <w:right w:val="none" w:sz="0" w:space="0" w:color="auto"/>
      </w:divBdr>
    </w:div>
    <w:div w:id="213123605">
      <w:marLeft w:val="0"/>
      <w:marRight w:val="0"/>
      <w:marTop w:val="0"/>
      <w:marBottom w:val="0"/>
      <w:divBdr>
        <w:top w:val="none" w:sz="0" w:space="0" w:color="auto"/>
        <w:left w:val="none" w:sz="0" w:space="0" w:color="auto"/>
        <w:bottom w:val="none" w:sz="0" w:space="0" w:color="auto"/>
        <w:right w:val="none" w:sz="0" w:space="0" w:color="auto"/>
      </w:divBdr>
    </w:div>
    <w:div w:id="213123606">
      <w:marLeft w:val="0"/>
      <w:marRight w:val="0"/>
      <w:marTop w:val="0"/>
      <w:marBottom w:val="0"/>
      <w:divBdr>
        <w:top w:val="none" w:sz="0" w:space="0" w:color="auto"/>
        <w:left w:val="none" w:sz="0" w:space="0" w:color="auto"/>
        <w:bottom w:val="none" w:sz="0" w:space="0" w:color="auto"/>
        <w:right w:val="none" w:sz="0" w:space="0" w:color="auto"/>
      </w:divBdr>
    </w:div>
    <w:div w:id="213123607">
      <w:marLeft w:val="0"/>
      <w:marRight w:val="0"/>
      <w:marTop w:val="0"/>
      <w:marBottom w:val="0"/>
      <w:divBdr>
        <w:top w:val="none" w:sz="0" w:space="0" w:color="auto"/>
        <w:left w:val="none" w:sz="0" w:space="0" w:color="auto"/>
        <w:bottom w:val="none" w:sz="0" w:space="0" w:color="auto"/>
        <w:right w:val="none" w:sz="0" w:space="0" w:color="auto"/>
      </w:divBdr>
    </w:div>
    <w:div w:id="213123608">
      <w:marLeft w:val="0"/>
      <w:marRight w:val="0"/>
      <w:marTop w:val="0"/>
      <w:marBottom w:val="0"/>
      <w:divBdr>
        <w:top w:val="none" w:sz="0" w:space="0" w:color="auto"/>
        <w:left w:val="none" w:sz="0" w:space="0" w:color="auto"/>
        <w:bottom w:val="none" w:sz="0" w:space="0" w:color="auto"/>
        <w:right w:val="none" w:sz="0" w:space="0" w:color="auto"/>
      </w:divBdr>
    </w:div>
    <w:div w:id="213123609">
      <w:marLeft w:val="0"/>
      <w:marRight w:val="0"/>
      <w:marTop w:val="0"/>
      <w:marBottom w:val="0"/>
      <w:divBdr>
        <w:top w:val="none" w:sz="0" w:space="0" w:color="auto"/>
        <w:left w:val="none" w:sz="0" w:space="0" w:color="auto"/>
        <w:bottom w:val="none" w:sz="0" w:space="0" w:color="auto"/>
        <w:right w:val="none" w:sz="0" w:space="0" w:color="auto"/>
      </w:divBdr>
    </w:div>
    <w:div w:id="213123610">
      <w:marLeft w:val="0"/>
      <w:marRight w:val="0"/>
      <w:marTop w:val="0"/>
      <w:marBottom w:val="0"/>
      <w:divBdr>
        <w:top w:val="none" w:sz="0" w:space="0" w:color="auto"/>
        <w:left w:val="none" w:sz="0" w:space="0" w:color="auto"/>
        <w:bottom w:val="none" w:sz="0" w:space="0" w:color="auto"/>
        <w:right w:val="none" w:sz="0" w:space="0" w:color="auto"/>
      </w:divBdr>
    </w:div>
    <w:div w:id="213123611">
      <w:marLeft w:val="0"/>
      <w:marRight w:val="0"/>
      <w:marTop w:val="0"/>
      <w:marBottom w:val="0"/>
      <w:divBdr>
        <w:top w:val="none" w:sz="0" w:space="0" w:color="auto"/>
        <w:left w:val="none" w:sz="0" w:space="0" w:color="auto"/>
        <w:bottom w:val="none" w:sz="0" w:space="0" w:color="auto"/>
        <w:right w:val="none" w:sz="0" w:space="0" w:color="auto"/>
      </w:divBdr>
    </w:div>
    <w:div w:id="213123612">
      <w:marLeft w:val="0"/>
      <w:marRight w:val="0"/>
      <w:marTop w:val="0"/>
      <w:marBottom w:val="0"/>
      <w:divBdr>
        <w:top w:val="none" w:sz="0" w:space="0" w:color="auto"/>
        <w:left w:val="none" w:sz="0" w:space="0" w:color="auto"/>
        <w:bottom w:val="none" w:sz="0" w:space="0" w:color="auto"/>
        <w:right w:val="none" w:sz="0" w:space="0" w:color="auto"/>
      </w:divBdr>
    </w:div>
    <w:div w:id="213123613">
      <w:marLeft w:val="0"/>
      <w:marRight w:val="0"/>
      <w:marTop w:val="0"/>
      <w:marBottom w:val="0"/>
      <w:divBdr>
        <w:top w:val="none" w:sz="0" w:space="0" w:color="auto"/>
        <w:left w:val="none" w:sz="0" w:space="0" w:color="auto"/>
        <w:bottom w:val="none" w:sz="0" w:space="0" w:color="auto"/>
        <w:right w:val="none" w:sz="0" w:space="0" w:color="auto"/>
      </w:divBdr>
    </w:div>
    <w:div w:id="213123614">
      <w:marLeft w:val="0"/>
      <w:marRight w:val="0"/>
      <w:marTop w:val="0"/>
      <w:marBottom w:val="0"/>
      <w:divBdr>
        <w:top w:val="none" w:sz="0" w:space="0" w:color="auto"/>
        <w:left w:val="none" w:sz="0" w:space="0" w:color="auto"/>
        <w:bottom w:val="none" w:sz="0" w:space="0" w:color="auto"/>
        <w:right w:val="none" w:sz="0" w:space="0" w:color="auto"/>
      </w:divBdr>
    </w:div>
    <w:div w:id="213123615">
      <w:marLeft w:val="0"/>
      <w:marRight w:val="0"/>
      <w:marTop w:val="0"/>
      <w:marBottom w:val="0"/>
      <w:divBdr>
        <w:top w:val="none" w:sz="0" w:space="0" w:color="auto"/>
        <w:left w:val="none" w:sz="0" w:space="0" w:color="auto"/>
        <w:bottom w:val="none" w:sz="0" w:space="0" w:color="auto"/>
        <w:right w:val="none" w:sz="0" w:space="0" w:color="auto"/>
      </w:divBdr>
    </w:div>
    <w:div w:id="213123616">
      <w:marLeft w:val="0"/>
      <w:marRight w:val="0"/>
      <w:marTop w:val="0"/>
      <w:marBottom w:val="0"/>
      <w:divBdr>
        <w:top w:val="none" w:sz="0" w:space="0" w:color="auto"/>
        <w:left w:val="none" w:sz="0" w:space="0" w:color="auto"/>
        <w:bottom w:val="none" w:sz="0" w:space="0" w:color="auto"/>
        <w:right w:val="none" w:sz="0" w:space="0" w:color="auto"/>
      </w:divBdr>
    </w:div>
    <w:div w:id="213123617">
      <w:marLeft w:val="0"/>
      <w:marRight w:val="0"/>
      <w:marTop w:val="0"/>
      <w:marBottom w:val="0"/>
      <w:divBdr>
        <w:top w:val="none" w:sz="0" w:space="0" w:color="auto"/>
        <w:left w:val="none" w:sz="0" w:space="0" w:color="auto"/>
        <w:bottom w:val="none" w:sz="0" w:space="0" w:color="auto"/>
        <w:right w:val="none" w:sz="0" w:space="0" w:color="auto"/>
      </w:divBdr>
    </w:div>
    <w:div w:id="213123618">
      <w:marLeft w:val="0"/>
      <w:marRight w:val="0"/>
      <w:marTop w:val="0"/>
      <w:marBottom w:val="0"/>
      <w:divBdr>
        <w:top w:val="none" w:sz="0" w:space="0" w:color="auto"/>
        <w:left w:val="none" w:sz="0" w:space="0" w:color="auto"/>
        <w:bottom w:val="none" w:sz="0" w:space="0" w:color="auto"/>
        <w:right w:val="none" w:sz="0" w:space="0" w:color="auto"/>
      </w:divBdr>
    </w:div>
    <w:div w:id="213123619">
      <w:marLeft w:val="0"/>
      <w:marRight w:val="0"/>
      <w:marTop w:val="0"/>
      <w:marBottom w:val="0"/>
      <w:divBdr>
        <w:top w:val="none" w:sz="0" w:space="0" w:color="auto"/>
        <w:left w:val="none" w:sz="0" w:space="0" w:color="auto"/>
        <w:bottom w:val="none" w:sz="0" w:space="0" w:color="auto"/>
        <w:right w:val="none" w:sz="0" w:space="0" w:color="auto"/>
      </w:divBdr>
    </w:div>
    <w:div w:id="213123620">
      <w:marLeft w:val="0"/>
      <w:marRight w:val="0"/>
      <w:marTop w:val="0"/>
      <w:marBottom w:val="0"/>
      <w:divBdr>
        <w:top w:val="none" w:sz="0" w:space="0" w:color="auto"/>
        <w:left w:val="none" w:sz="0" w:space="0" w:color="auto"/>
        <w:bottom w:val="none" w:sz="0" w:space="0" w:color="auto"/>
        <w:right w:val="none" w:sz="0" w:space="0" w:color="auto"/>
      </w:divBdr>
    </w:div>
    <w:div w:id="213123621">
      <w:marLeft w:val="0"/>
      <w:marRight w:val="0"/>
      <w:marTop w:val="0"/>
      <w:marBottom w:val="0"/>
      <w:divBdr>
        <w:top w:val="none" w:sz="0" w:space="0" w:color="auto"/>
        <w:left w:val="none" w:sz="0" w:space="0" w:color="auto"/>
        <w:bottom w:val="none" w:sz="0" w:space="0" w:color="auto"/>
        <w:right w:val="none" w:sz="0" w:space="0" w:color="auto"/>
      </w:divBdr>
    </w:div>
    <w:div w:id="213123622">
      <w:marLeft w:val="0"/>
      <w:marRight w:val="0"/>
      <w:marTop w:val="0"/>
      <w:marBottom w:val="0"/>
      <w:divBdr>
        <w:top w:val="none" w:sz="0" w:space="0" w:color="auto"/>
        <w:left w:val="none" w:sz="0" w:space="0" w:color="auto"/>
        <w:bottom w:val="none" w:sz="0" w:space="0" w:color="auto"/>
        <w:right w:val="none" w:sz="0" w:space="0" w:color="auto"/>
      </w:divBdr>
    </w:div>
    <w:div w:id="213123623">
      <w:marLeft w:val="0"/>
      <w:marRight w:val="0"/>
      <w:marTop w:val="0"/>
      <w:marBottom w:val="0"/>
      <w:divBdr>
        <w:top w:val="none" w:sz="0" w:space="0" w:color="auto"/>
        <w:left w:val="none" w:sz="0" w:space="0" w:color="auto"/>
        <w:bottom w:val="none" w:sz="0" w:space="0" w:color="auto"/>
        <w:right w:val="none" w:sz="0" w:space="0" w:color="auto"/>
      </w:divBdr>
    </w:div>
    <w:div w:id="213123624">
      <w:marLeft w:val="0"/>
      <w:marRight w:val="0"/>
      <w:marTop w:val="0"/>
      <w:marBottom w:val="0"/>
      <w:divBdr>
        <w:top w:val="none" w:sz="0" w:space="0" w:color="auto"/>
        <w:left w:val="none" w:sz="0" w:space="0" w:color="auto"/>
        <w:bottom w:val="none" w:sz="0" w:space="0" w:color="auto"/>
        <w:right w:val="none" w:sz="0" w:space="0" w:color="auto"/>
      </w:divBdr>
    </w:div>
    <w:div w:id="213123625">
      <w:marLeft w:val="0"/>
      <w:marRight w:val="0"/>
      <w:marTop w:val="0"/>
      <w:marBottom w:val="0"/>
      <w:divBdr>
        <w:top w:val="none" w:sz="0" w:space="0" w:color="auto"/>
        <w:left w:val="none" w:sz="0" w:space="0" w:color="auto"/>
        <w:bottom w:val="none" w:sz="0" w:space="0" w:color="auto"/>
        <w:right w:val="none" w:sz="0" w:space="0" w:color="auto"/>
      </w:divBdr>
    </w:div>
    <w:div w:id="213123626">
      <w:marLeft w:val="0"/>
      <w:marRight w:val="0"/>
      <w:marTop w:val="0"/>
      <w:marBottom w:val="0"/>
      <w:divBdr>
        <w:top w:val="none" w:sz="0" w:space="0" w:color="auto"/>
        <w:left w:val="none" w:sz="0" w:space="0" w:color="auto"/>
        <w:bottom w:val="none" w:sz="0" w:space="0" w:color="auto"/>
        <w:right w:val="none" w:sz="0" w:space="0" w:color="auto"/>
      </w:divBdr>
    </w:div>
    <w:div w:id="213123627">
      <w:marLeft w:val="0"/>
      <w:marRight w:val="0"/>
      <w:marTop w:val="0"/>
      <w:marBottom w:val="0"/>
      <w:divBdr>
        <w:top w:val="none" w:sz="0" w:space="0" w:color="auto"/>
        <w:left w:val="none" w:sz="0" w:space="0" w:color="auto"/>
        <w:bottom w:val="none" w:sz="0" w:space="0" w:color="auto"/>
        <w:right w:val="none" w:sz="0" w:space="0" w:color="auto"/>
      </w:divBdr>
    </w:div>
    <w:div w:id="213123628">
      <w:marLeft w:val="0"/>
      <w:marRight w:val="0"/>
      <w:marTop w:val="0"/>
      <w:marBottom w:val="0"/>
      <w:divBdr>
        <w:top w:val="none" w:sz="0" w:space="0" w:color="auto"/>
        <w:left w:val="none" w:sz="0" w:space="0" w:color="auto"/>
        <w:bottom w:val="none" w:sz="0" w:space="0" w:color="auto"/>
        <w:right w:val="none" w:sz="0" w:space="0" w:color="auto"/>
      </w:divBdr>
    </w:div>
    <w:div w:id="213123629">
      <w:marLeft w:val="0"/>
      <w:marRight w:val="0"/>
      <w:marTop w:val="0"/>
      <w:marBottom w:val="0"/>
      <w:divBdr>
        <w:top w:val="none" w:sz="0" w:space="0" w:color="auto"/>
        <w:left w:val="none" w:sz="0" w:space="0" w:color="auto"/>
        <w:bottom w:val="none" w:sz="0" w:space="0" w:color="auto"/>
        <w:right w:val="none" w:sz="0" w:space="0" w:color="auto"/>
      </w:divBdr>
    </w:div>
    <w:div w:id="213123630">
      <w:marLeft w:val="0"/>
      <w:marRight w:val="0"/>
      <w:marTop w:val="0"/>
      <w:marBottom w:val="0"/>
      <w:divBdr>
        <w:top w:val="none" w:sz="0" w:space="0" w:color="auto"/>
        <w:left w:val="none" w:sz="0" w:space="0" w:color="auto"/>
        <w:bottom w:val="none" w:sz="0" w:space="0" w:color="auto"/>
        <w:right w:val="none" w:sz="0" w:space="0" w:color="auto"/>
      </w:divBdr>
    </w:div>
    <w:div w:id="213123631">
      <w:marLeft w:val="0"/>
      <w:marRight w:val="0"/>
      <w:marTop w:val="0"/>
      <w:marBottom w:val="0"/>
      <w:divBdr>
        <w:top w:val="none" w:sz="0" w:space="0" w:color="auto"/>
        <w:left w:val="none" w:sz="0" w:space="0" w:color="auto"/>
        <w:bottom w:val="none" w:sz="0" w:space="0" w:color="auto"/>
        <w:right w:val="none" w:sz="0" w:space="0" w:color="auto"/>
      </w:divBdr>
    </w:div>
    <w:div w:id="213123632">
      <w:marLeft w:val="0"/>
      <w:marRight w:val="0"/>
      <w:marTop w:val="0"/>
      <w:marBottom w:val="0"/>
      <w:divBdr>
        <w:top w:val="none" w:sz="0" w:space="0" w:color="auto"/>
        <w:left w:val="none" w:sz="0" w:space="0" w:color="auto"/>
        <w:bottom w:val="none" w:sz="0" w:space="0" w:color="auto"/>
        <w:right w:val="none" w:sz="0" w:space="0" w:color="auto"/>
      </w:divBdr>
    </w:div>
    <w:div w:id="213123633">
      <w:marLeft w:val="0"/>
      <w:marRight w:val="0"/>
      <w:marTop w:val="0"/>
      <w:marBottom w:val="0"/>
      <w:divBdr>
        <w:top w:val="none" w:sz="0" w:space="0" w:color="auto"/>
        <w:left w:val="none" w:sz="0" w:space="0" w:color="auto"/>
        <w:bottom w:val="none" w:sz="0" w:space="0" w:color="auto"/>
        <w:right w:val="none" w:sz="0" w:space="0" w:color="auto"/>
      </w:divBdr>
    </w:div>
    <w:div w:id="213123634">
      <w:marLeft w:val="0"/>
      <w:marRight w:val="0"/>
      <w:marTop w:val="0"/>
      <w:marBottom w:val="0"/>
      <w:divBdr>
        <w:top w:val="none" w:sz="0" w:space="0" w:color="auto"/>
        <w:left w:val="none" w:sz="0" w:space="0" w:color="auto"/>
        <w:bottom w:val="none" w:sz="0" w:space="0" w:color="auto"/>
        <w:right w:val="none" w:sz="0" w:space="0" w:color="auto"/>
      </w:divBdr>
    </w:div>
    <w:div w:id="213123635">
      <w:marLeft w:val="0"/>
      <w:marRight w:val="0"/>
      <w:marTop w:val="0"/>
      <w:marBottom w:val="0"/>
      <w:divBdr>
        <w:top w:val="none" w:sz="0" w:space="0" w:color="auto"/>
        <w:left w:val="none" w:sz="0" w:space="0" w:color="auto"/>
        <w:bottom w:val="none" w:sz="0" w:space="0" w:color="auto"/>
        <w:right w:val="none" w:sz="0" w:space="0" w:color="auto"/>
      </w:divBdr>
    </w:div>
    <w:div w:id="213123636">
      <w:marLeft w:val="0"/>
      <w:marRight w:val="0"/>
      <w:marTop w:val="0"/>
      <w:marBottom w:val="0"/>
      <w:divBdr>
        <w:top w:val="none" w:sz="0" w:space="0" w:color="auto"/>
        <w:left w:val="none" w:sz="0" w:space="0" w:color="auto"/>
        <w:bottom w:val="none" w:sz="0" w:space="0" w:color="auto"/>
        <w:right w:val="none" w:sz="0" w:space="0" w:color="auto"/>
      </w:divBdr>
    </w:div>
    <w:div w:id="213123637">
      <w:marLeft w:val="0"/>
      <w:marRight w:val="0"/>
      <w:marTop w:val="0"/>
      <w:marBottom w:val="0"/>
      <w:divBdr>
        <w:top w:val="none" w:sz="0" w:space="0" w:color="auto"/>
        <w:left w:val="none" w:sz="0" w:space="0" w:color="auto"/>
        <w:bottom w:val="none" w:sz="0" w:space="0" w:color="auto"/>
        <w:right w:val="none" w:sz="0" w:space="0" w:color="auto"/>
      </w:divBdr>
    </w:div>
    <w:div w:id="213123638">
      <w:marLeft w:val="0"/>
      <w:marRight w:val="0"/>
      <w:marTop w:val="0"/>
      <w:marBottom w:val="0"/>
      <w:divBdr>
        <w:top w:val="none" w:sz="0" w:space="0" w:color="auto"/>
        <w:left w:val="none" w:sz="0" w:space="0" w:color="auto"/>
        <w:bottom w:val="none" w:sz="0" w:space="0" w:color="auto"/>
        <w:right w:val="none" w:sz="0" w:space="0" w:color="auto"/>
      </w:divBdr>
    </w:div>
    <w:div w:id="322703213">
      <w:bodyDiv w:val="1"/>
      <w:marLeft w:val="0"/>
      <w:marRight w:val="0"/>
      <w:marTop w:val="0"/>
      <w:marBottom w:val="0"/>
      <w:divBdr>
        <w:top w:val="none" w:sz="0" w:space="0" w:color="auto"/>
        <w:left w:val="none" w:sz="0" w:space="0" w:color="auto"/>
        <w:bottom w:val="none" w:sz="0" w:space="0" w:color="auto"/>
        <w:right w:val="none" w:sz="0" w:space="0" w:color="auto"/>
      </w:divBdr>
    </w:div>
    <w:div w:id="562915101">
      <w:bodyDiv w:val="1"/>
      <w:marLeft w:val="0"/>
      <w:marRight w:val="0"/>
      <w:marTop w:val="0"/>
      <w:marBottom w:val="0"/>
      <w:divBdr>
        <w:top w:val="none" w:sz="0" w:space="0" w:color="auto"/>
        <w:left w:val="none" w:sz="0" w:space="0" w:color="auto"/>
        <w:bottom w:val="none" w:sz="0" w:space="0" w:color="auto"/>
        <w:right w:val="none" w:sz="0" w:space="0" w:color="auto"/>
      </w:divBdr>
    </w:div>
    <w:div w:id="698895605">
      <w:bodyDiv w:val="1"/>
      <w:marLeft w:val="0"/>
      <w:marRight w:val="0"/>
      <w:marTop w:val="0"/>
      <w:marBottom w:val="0"/>
      <w:divBdr>
        <w:top w:val="none" w:sz="0" w:space="0" w:color="auto"/>
        <w:left w:val="none" w:sz="0" w:space="0" w:color="auto"/>
        <w:bottom w:val="none" w:sz="0" w:space="0" w:color="auto"/>
        <w:right w:val="none" w:sz="0" w:space="0" w:color="auto"/>
      </w:divBdr>
    </w:div>
    <w:div w:id="720399437">
      <w:bodyDiv w:val="1"/>
      <w:marLeft w:val="0"/>
      <w:marRight w:val="0"/>
      <w:marTop w:val="0"/>
      <w:marBottom w:val="0"/>
      <w:divBdr>
        <w:top w:val="none" w:sz="0" w:space="0" w:color="auto"/>
        <w:left w:val="none" w:sz="0" w:space="0" w:color="auto"/>
        <w:bottom w:val="none" w:sz="0" w:space="0" w:color="auto"/>
        <w:right w:val="none" w:sz="0" w:space="0" w:color="auto"/>
      </w:divBdr>
    </w:div>
    <w:div w:id="956254617">
      <w:bodyDiv w:val="1"/>
      <w:marLeft w:val="0"/>
      <w:marRight w:val="0"/>
      <w:marTop w:val="0"/>
      <w:marBottom w:val="0"/>
      <w:divBdr>
        <w:top w:val="none" w:sz="0" w:space="0" w:color="auto"/>
        <w:left w:val="none" w:sz="0" w:space="0" w:color="auto"/>
        <w:bottom w:val="none" w:sz="0" w:space="0" w:color="auto"/>
        <w:right w:val="none" w:sz="0" w:space="0" w:color="auto"/>
      </w:divBdr>
    </w:div>
    <w:div w:id="967516304">
      <w:bodyDiv w:val="1"/>
      <w:marLeft w:val="0"/>
      <w:marRight w:val="0"/>
      <w:marTop w:val="0"/>
      <w:marBottom w:val="0"/>
      <w:divBdr>
        <w:top w:val="none" w:sz="0" w:space="0" w:color="auto"/>
        <w:left w:val="none" w:sz="0" w:space="0" w:color="auto"/>
        <w:bottom w:val="none" w:sz="0" w:space="0" w:color="auto"/>
        <w:right w:val="none" w:sz="0" w:space="0" w:color="auto"/>
      </w:divBdr>
    </w:div>
    <w:div w:id="1005747553">
      <w:bodyDiv w:val="1"/>
      <w:marLeft w:val="0"/>
      <w:marRight w:val="0"/>
      <w:marTop w:val="0"/>
      <w:marBottom w:val="0"/>
      <w:divBdr>
        <w:top w:val="none" w:sz="0" w:space="0" w:color="auto"/>
        <w:left w:val="none" w:sz="0" w:space="0" w:color="auto"/>
        <w:bottom w:val="none" w:sz="0" w:space="0" w:color="auto"/>
        <w:right w:val="none" w:sz="0" w:space="0" w:color="auto"/>
      </w:divBdr>
    </w:div>
    <w:div w:id="1114250943">
      <w:bodyDiv w:val="1"/>
      <w:marLeft w:val="0"/>
      <w:marRight w:val="0"/>
      <w:marTop w:val="0"/>
      <w:marBottom w:val="0"/>
      <w:divBdr>
        <w:top w:val="none" w:sz="0" w:space="0" w:color="auto"/>
        <w:left w:val="none" w:sz="0" w:space="0" w:color="auto"/>
        <w:bottom w:val="none" w:sz="0" w:space="0" w:color="auto"/>
        <w:right w:val="none" w:sz="0" w:space="0" w:color="auto"/>
      </w:divBdr>
    </w:div>
    <w:div w:id="1227111839">
      <w:bodyDiv w:val="1"/>
      <w:marLeft w:val="0"/>
      <w:marRight w:val="0"/>
      <w:marTop w:val="0"/>
      <w:marBottom w:val="0"/>
      <w:divBdr>
        <w:top w:val="none" w:sz="0" w:space="0" w:color="auto"/>
        <w:left w:val="none" w:sz="0" w:space="0" w:color="auto"/>
        <w:bottom w:val="none" w:sz="0" w:space="0" w:color="auto"/>
        <w:right w:val="none" w:sz="0" w:space="0" w:color="auto"/>
      </w:divBdr>
    </w:div>
    <w:div w:id="1288048704">
      <w:bodyDiv w:val="1"/>
      <w:marLeft w:val="0"/>
      <w:marRight w:val="0"/>
      <w:marTop w:val="0"/>
      <w:marBottom w:val="0"/>
      <w:divBdr>
        <w:top w:val="none" w:sz="0" w:space="0" w:color="auto"/>
        <w:left w:val="none" w:sz="0" w:space="0" w:color="auto"/>
        <w:bottom w:val="none" w:sz="0" w:space="0" w:color="auto"/>
        <w:right w:val="none" w:sz="0" w:space="0" w:color="auto"/>
      </w:divBdr>
    </w:div>
    <w:div w:id="1293101599">
      <w:bodyDiv w:val="1"/>
      <w:marLeft w:val="0"/>
      <w:marRight w:val="0"/>
      <w:marTop w:val="0"/>
      <w:marBottom w:val="0"/>
      <w:divBdr>
        <w:top w:val="none" w:sz="0" w:space="0" w:color="auto"/>
        <w:left w:val="none" w:sz="0" w:space="0" w:color="auto"/>
        <w:bottom w:val="none" w:sz="0" w:space="0" w:color="auto"/>
        <w:right w:val="none" w:sz="0" w:space="0" w:color="auto"/>
      </w:divBdr>
    </w:div>
    <w:div w:id="1514418409">
      <w:bodyDiv w:val="1"/>
      <w:marLeft w:val="0"/>
      <w:marRight w:val="0"/>
      <w:marTop w:val="0"/>
      <w:marBottom w:val="0"/>
      <w:divBdr>
        <w:top w:val="none" w:sz="0" w:space="0" w:color="auto"/>
        <w:left w:val="none" w:sz="0" w:space="0" w:color="auto"/>
        <w:bottom w:val="none" w:sz="0" w:space="0" w:color="auto"/>
        <w:right w:val="none" w:sz="0" w:space="0" w:color="auto"/>
      </w:divBdr>
    </w:div>
    <w:div w:id="1530484841">
      <w:bodyDiv w:val="1"/>
      <w:marLeft w:val="0"/>
      <w:marRight w:val="0"/>
      <w:marTop w:val="0"/>
      <w:marBottom w:val="0"/>
      <w:divBdr>
        <w:top w:val="none" w:sz="0" w:space="0" w:color="auto"/>
        <w:left w:val="none" w:sz="0" w:space="0" w:color="auto"/>
        <w:bottom w:val="none" w:sz="0" w:space="0" w:color="auto"/>
        <w:right w:val="none" w:sz="0" w:space="0" w:color="auto"/>
      </w:divBdr>
    </w:div>
    <w:div w:id="1594321813">
      <w:bodyDiv w:val="1"/>
      <w:marLeft w:val="0"/>
      <w:marRight w:val="0"/>
      <w:marTop w:val="0"/>
      <w:marBottom w:val="0"/>
      <w:divBdr>
        <w:top w:val="none" w:sz="0" w:space="0" w:color="auto"/>
        <w:left w:val="none" w:sz="0" w:space="0" w:color="auto"/>
        <w:bottom w:val="none" w:sz="0" w:space="0" w:color="auto"/>
        <w:right w:val="none" w:sz="0" w:space="0" w:color="auto"/>
      </w:divBdr>
    </w:div>
    <w:div w:id="1669871307">
      <w:bodyDiv w:val="1"/>
      <w:marLeft w:val="0"/>
      <w:marRight w:val="0"/>
      <w:marTop w:val="0"/>
      <w:marBottom w:val="0"/>
      <w:divBdr>
        <w:top w:val="none" w:sz="0" w:space="0" w:color="auto"/>
        <w:left w:val="none" w:sz="0" w:space="0" w:color="auto"/>
        <w:bottom w:val="none" w:sz="0" w:space="0" w:color="auto"/>
        <w:right w:val="none" w:sz="0" w:space="0" w:color="auto"/>
      </w:divBdr>
    </w:div>
    <w:div w:id="1723404359">
      <w:bodyDiv w:val="1"/>
      <w:marLeft w:val="0"/>
      <w:marRight w:val="0"/>
      <w:marTop w:val="0"/>
      <w:marBottom w:val="0"/>
      <w:divBdr>
        <w:top w:val="none" w:sz="0" w:space="0" w:color="auto"/>
        <w:left w:val="none" w:sz="0" w:space="0" w:color="auto"/>
        <w:bottom w:val="none" w:sz="0" w:space="0" w:color="auto"/>
        <w:right w:val="none" w:sz="0" w:space="0" w:color="auto"/>
      </w:divBdr>
    </w:div>
    <w:div w:id="1782407786">
      <w:bodyDiv w:val="1"/>
      <w:marLeft w:val="180"/>
      <w:marRight w:val="180"/>
      <w:marTop w:val="180"/>
      <w:marBottom w:val="180"/>
      <w:divBdr>
        <w:top w:val="none" w:sz="0" w:space="0" w:color="auto"/>
        <w:left w:val="none" w:sz="0" w:space="0" w:color="auto"/>
        <w:bottom w:val="none" w:sz="0" w:space="0" w:color="auto"/>
        <w:right w:val="none" w:sz="0" w:space="0" w:color="auto"/>
      </w:divBdr>
      <w:divsChild>
        <w:div w:id="776758508">
          <w:marLeft w:val="0"/>
          <w:marRight w:val="0"/>
          <w:marTop w:val="0"/>
          <w:marBottom w:val="0"/>
          <w:divBdr>
            <w:top w:val="none" w:sz="0" w:space="0" w:color="auto"/>
            <w:left w:val="none" w:sz="0" w:space="0" w:color="auto"/>
            <w:bottom w:val="none" w:sz="0" w:space="0" w:color="auto"/>
            <w:right w:val="none" w:sz="0" w:space="0" w:color="auto"/>
          </w:divBdr>
        </w:div>
      </w:divsChild>
    </w:div>
    <w:div w:id="1805808638">
      <w:bodyDiv w:val="1"/>
      <w:marLeft w:val="0"/>
      <w:marRight w:val="0"/>
      <w:marTop w:val="0"/>
      <w:marBottom w:val="0"/>
      <w:divBdr>
        <w:top w:val="none" w:sz="0" w:space="0" w:color="auto"/>
        <w:left w:val="none" w:sz="0" w:space="0" w:color="auto"/>
        <w:bottom w:val="none" w:sz="0" w:space="0" w:color="auto"/>
        <w:right w:val="none" w:sz="0" w:space="0" w:color="auto"/>
      </w:divBdr>
    </w:div>
    <w:div w:id="1872569358">
      <w:bodyDiv w:val="1"/>
      <w:marLeft w:val="0"/>
      <w:marRight w:val="0"/>
      <w:marTop w:val="0"/>
      <w:marBottom w:val="0"/>
      <w:divBdr>
        <w:top w:val="none" w:sz="0" w:space="0" w:color="auto"/>
        <w:left w:val="none" w:sz="0" w:space="0" w:color="auto"/>
        <w:bottom w:val="none" w:sz="0" w:space="0" w:color="auto"/>
        <w:right w:val="none" w:sz="0" w:space="0" w:color="auto"/>
      </w:divBdr>
    </w:div>
    <w:div w:id="2042583160">
      <w:bodyDiv w:val="1"/>
      <w:marLeft w:val="0"/>
      <w:marRight w:val="0"/>
      <w:marTop w:val="0"/>
      <w:marBottom w:val="0"/>
      <w:divBdr>
        <w:top w:val="none" w:sz="0" w:space="0" w:color="auto"/>
        <w:left w:val="none" w:sz="0" w:space="0" w:color="auto"/>
        <w:bottom w:val="none" w:sz="0" w:space="0" w:color="auto"/>
        <w:right w:val="none" w:sz="0" w:space="0" w:color="auto"/>
      </w:divBdr>
    </w:div>
    <w:div w:id="214514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20E30-4F96-4197-9D38-ACAAB350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6105</Words>
  <Characters>34804</Characters>
  <Application>Microsoft Office Word</Application>
  <DocSecurity>0</DocSecurity>
  <Lines>290</Lines>
  <Paragraphs>81</Paragraphs>
  <ScaleCrop>false</ScaleCrop>
  <Company/>
  <LinksUpToDate>false</LinksUpToDate>
  <CharactersWithSpaces>40828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2020-08-17T12:20:00Z</dcterms:created>
  <dcterms:modified xsi:type="dcterms:W3CDTF">2020-08-18T06:47:00Z</dcterms:modified>
</cp:coreProperties>
</file>