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A5D" w:rsidRPr="00862636" w:rsidRDefault="008A5A5D" w:rsidP="006D141C">
      <w:pPr>
        <w:autoSpaceDE w:val="0"/>
        <w:autoSpaceDN w:val="0"/>
        <w:adjustRightInd w:val="0"/>
        <w:spacing w:line="360" w:lineRule="auto"/>
        <w:jc w:val="left"/>
        <w:rPr>
          <w:rFonts w:eastAsiaTheme="minorEastAsia"/>
          <w:color w:val="000000"/>
          <w:kern w:val="0"/>
          <w:szCs w:val="21"/>
        </w:rPr>
      </w:pPr>
      <w:bookmarkStart w:id="0" w:name="_GoBack"/>
    </w:p>
    <w:p w:rsidR="008A5A5D" w:rsidRPr="00862636" w:rsidRDefault="008A5A5D" w:rsidP="006D141C">
      <w:pPr>
        <w:autoSpaceDE w:val="0"/>
        <w:autoSpaceDN w:val="0"/>
        <w:adjustRightInd w:val="0"/>
        <w:spacing w:line="360" w:lineRule="auto"/>
        <w:jc w:val="left"/>
        <w:rPr>
          <w:rFonts w:eastAsiaTheme="minorEastAsia"/>
          <w:color w:val="000000"/>
          <w:kern w:val="0"/>
          <w:szCs w:val="21"/>
        </w:rPr>
      </w:pPr>
    </w:p>
    <w:p w:rsidR="006A28BF" w:rsidRPr="00862636" w:rsidRDefault="006A28BF" w:rsidP="006D141C">
      <w:pPr>
        <w:autoSpaceDE w:val="0"/>
        <w:autoSpaceDN w:val="0"/>
        <w:adjustRightInd w:val="0"/>
        <w:spacing w:line="360" w:lineRule="auto"/>
        <w:jc w:val="left"/>
        <w:rPr>
          <w:rFonts w:eastAsiaTheme="minorEastAsia"/>
          <w:color w:val="000000"/>
          <w:kern w:val="0"/>
          <w:szCs w:val="21"/>
        </w:rPr>
      </w:pPr>
    </w:p>
    <w:p w:rsidR="008A5A5D" w:rsidRPr="00862636" w:rsidRDefault="008A5A5D" w:rsidP="006D141C">
      <w:pPr>
        <w:autoSpaceDE w:val="0"/>
        <w:autoSpaceDN w:val="0"/>
        <w:adjustRightInd w:val="0"/>
        <w:spacing w:line="360" w:lineRule="auto"/>
        <w:jc w:val="left"/>
        <w:rPr>
          <w:rStyle w:val="af8"/>
          <w:rFonts w:eastAsiaTheme="minorEastAsia"/>
          <w:szCs w:val="21"/>
        </w:rPr>
      </w:pPr>
    </w:p>
    <w:p w:rsidR="008A5A5D" w:rsidRPr="00307E35" w:rsidRDefault="008A5A5D" w:rsidP="00F07EDE">
      <w:pPr>
        <w:spacing w:line="360" w:lineRule="auto"/>
        <w:jc w:val="center"/>
        <w:rPr>
          <w:b/>
          <w:sz w:val="44"/>
          <w:szCs w:val="44"/>
        </w:rPr>
      </w:pPr>
      <w:bookmarkStart w:id="1" w:name="_Toc352254876"/>
      <w:bookmarkStart w:id="2" w:name="_Toc352255956"/>
      <w:bookmarkStart w:id="3" w:name="_Toc352256024"/>
      <w:bookmarkStart w:id="4" w:name="_Toc352256201"/>
      <w:bookmarkStart w:id="5" w:name="_Toc352331202"/>
      <w:r w:rsidRPr="00307E35">
        <w:rPr>
          <w:b/>
          <w:sz w:val="44"/>
          <w:szCs w:val="44"/>
        </w:rPr>
        <w:t>易方达中短期美元债债券型证券投资基金（</w:t>
      </w:r>
      <w:r w:rsidRPr="00307E35">
        <w:rPr>
          <w:b/>
          <w:sz w:val="44"/>
          <w:szCs w:val="44"/>
        </w:rPr>
        <w:t>QDII</w:t>
      </w:r>
      <w:r w:rsidRPr="00307E35">
        <w:rPr>
          <w:b/>
          <w:sz w:val="44"/>
          <w:szCs w:val="44"/>
        </w:rPr>
        <w:t>）</w:t>
      </w:r>
      <w:bookmarkEnd w:id="1"/>
      <w:bookmarkEnd w:id="2"/>
      <w:bookmarkEnd w:id="3"/>
      <w:bookmarkEnd w:id="4"/>
      <w:bookmarkEnd w:id="5"/>
    </w:p>
    <w:p w:rsidR="008A5A5D" w:rsidRPr="00307E35" w:rsidRDefault="008A5A5D" w:rsidP="00F07EDE">
      <w:pPr>
        <w:spacing w:line="360" w:lineRule="auto"/>
        <w:jc w:val="center"/>
        <w:rPr>
          <w:b/>
          <w:sz w:val="44"/>
          <w:szCs w:val="44"/>
        </w:rPr>
      </w:pPr>
      <w:bookmarkStart w:id="6" w:name="_Toc352254877"/>
      <w:bookmarkStart w:id="7" w:name="_Toc352255957"/>
      <w:bookmarkStart w:id="8" w:name="_Toc352256025"/>
      <w:bookmarkStart w:id="9" w:name="_Toc352256202"/>
      <w:bookmarkStart w:id="10" w:name="_Toc352331203"/>
      <w:r w:rsidRPr="00307E35">
        <w:rPr>
          <w:b/>
          <w:sz w:val="44"/>
          <w:szCs w:val="44"/>
        </w:rPr>
        <w:t>2020</w:t>
      </w:r>
      <w:r w:rsidRPr="00307E35">
        <w:rPr>
          <w:b/>
          <w:sz w:val="44"/>
          <w:szCs w:val="44"/>
        </w:rPr>
        <w:t>年中期报告</w:t>
      </w:r>
      <w:bookmarkEnd w:id="6"/>
      <w:bookmarkEnd w:id="7"/>
      <w:bookmarkEnd w:id="8"/>
      <w:bookmarkEnd w:id="9"/>
      <w:bookmarkEnd w:id="10"/>
    </w:p>
    <w:p w:rsidR="008A5A5D" w:rsidRPr="00307E35" w:rsidRDefault="00146FBA" w:rsidP="00F07EDE">
      <w:pPr>
        <w:spacing w:line="360" w:lineRule="auto"/>
        <w:jc w:val="center"/>
        <w:rPr>
          <w:b/>
          <w:sz w:val="44"/>
          <w:szCs w:val="44"/>
        </w:rPr>
      </w:pPr>
      <w:r w:rsidRPr="00307E35">
        <w:rPr>
          <w:b/>
          <w:sz w:val="44"/>
          <w:szCs w:val="44"/>
        </w:rPr>
        <w:t>2020</w:t>
      </w:r>
      <w:r w:rsidRPr="00307E35">
        <w:rPr>
          <w:b/>
          <w:sz w:val="44"/>
          <w:szCs w:val="44"/>
        </w:rPr>
        <w:t>年</w:t>
      </w:r>
      <w:r w:rsidRPr="00307E35">
        <w:rPr>
          <w:b/>
          <w:sz w:val="44"/>
          <w:szCs w:val="44"/>
        </w:rPr>
        <w:t>6</w:t>
      </w:r>
      <w:r w:rsidRPr="00307E35">
        <w:rPr>
          <w:b/>
          <w:sz w:val="44"/>
          <w:szCs w:val="44"/>
        </w:rPr>
        <w:t>月</w:t>
      </w:r>
      <w:r w:rsidRPr="00307E35">
        <w:rPr>
          <w:b/>
          <w:sz w:val="44"/>
          <w:szCs w:val="44"/>
        </w:rPr>
        <w:t>30</w:t>
      </w:r>
      <w:r w:rsidRPr="00307E35">
        <w:rPr>
          <w:b/>
          <w:sz w:val="44"/>
          <w:szCs w:val="44"/>
        </w:rPr>
        <w:t>日</w:t>
      </w:r>
    </w:p>
    <w:p w:rsidR="008A5A5D" w:rsidRPr="008134C7" w:rsidRDefault="008A5A5D" w:rsidP="006D141C">
      <w:pPr>
        <w:spacing w:line="360" w:lineRule="auto"/>
        <w:jc w:val="center"/>
        <w:rPr>
          <w:rStyle w:val="af8"/>
          <w:rFonts w:eastAsiaTheme="minorEastAsia"/>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rPr>
          <w:rFonts w:eastAsiaTheme="minorEastAsia"/>
          <w:b/>
          <w:color w:val="000000"/>
          <w:sz w:val="24"/>
        </w:rPr>
      </w:pP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基金管理人：易方达基金管理有限公司</w:t>
      </w: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基金托管人：招商银行股份有限公司</w:t>
      </w:r>
    </w:p>
    <w:p w:rsidR="008A5A5D" w:rsidRPr="00862636"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送出日期：二〇二〇年八月二十八日</w:t>
      </w:r>
    </w:p>
    <w:p w:rsidR="008A5A5D" w:rsidRPr="00862636" w:rsidRDefault="008A5A5D" w:rsidP="00F07EDE">
      <w:pPr>
        <w:spacing w:line="288" w:lineRule="auto"/>
        <w:ind w:firstLineChars="900" w:firstLine="1897"/>
        <w:rPr>
          <w:rFonts w:eastAsiaTheme="minorEastAsia"/>
          <w:b/>
          <w:color w:val="000000"/>
          <w:szCs w:val="21"/>
        </w:rPr>
        <w:sectPr w:rsidR="008A5A5D" w:rsidRPr="00862636">
          <w:headerReference w:type="default" r:id="rId8"/>
          <w:footerReference w:type="default" r:id="rId9"/>
          <w:pgSz w:w="11926" w:h="15840"/>
          <w:pgMar w:top="1418" w:right="1418" w:bottom="851" w:left="1418" w:header="851" w:footer="992" w:gutter="0"/>
          <w:cols w:space="720"/>
        </w:sectPr>
      </w:pPr>
    </w:p>
    <w:p w:rsidR="00937FC6" w:rsidRPr="00A432E9" w:rsidRDefault="00937FC6"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1" w:name="_Toc225498243"/>
      <w:bookmarkStart w:id="12" w:name="_Toc352255958"/>
      <w:bookmarkStart w:id="13" w:name="_Toc352256026"/>
      <w:bookmarkStart w:id="14" w:name="_Toc352331204"/>
      <w:bookmarkStart w:id="15" w:name="_Toc48659767"/>
      <w:r w:rsidRPr="000C6CCD">
        <w:rPr>
          <w:rFonts w:ascii="宋体" w:hAnsi="宋体"/>
          <w:bCs w:val="0"/>
          <w:color w:val="000000"/>
          <w:sz w:val="21"/>
          <w:szCs w:val="21"/>
        </w:rPr>
        <w:lastRenderedPageBreak/>
        <w:t>1</w:t>
      </w:r>
      <w:r w:rsidR="000C6CCD">
        <w:rPr>
          <w:rFonts w:ascii="Times New Roman" w:hAnsi="Times New Roman"/>
          <w:bCs w:val="0"/>
          <w:color w:val="000000"/>
          <w:sz w:val="21"/>
          <w:szCs w:val="21"/>
        </w:rPr>
        <w:t xml:space="preserve">    </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重要提示及目录</w:t>
      </w:r>
      <w:bookmarkEnd w:id="11"/>
      <w:bookmarkEnd w:id="12"/>
      <w:bookmarkEnd w:id="13"/>
      <w:bookmarkEnd w:id="14"/>
      <w:bookmarkEnd w:id="15"/>
    </w:p>
    <w:p w:rsidR="00C24ACA" w:rsidRPr="00A432E9" w:rsidRDefault="00C24ACA" w:rsidP="00732F5C">
      <w:pPr>
        <w:pStyle w:val="20"/>
        <w:spacing w:beforeLines="100" w:before="312" w:after="0"/>
        <w:rPr>
          <w:rFonts w:ascii="Times New Roman" w:eastAsiaTheme="minorEastAsia" w:hAnsi="Times New Roman"/>
          <w:kern w:val="0"/>
          <w:sz w:val="21"/>
          <w:szCs w:val="21"/>
        </w:rPr>
      </w:pPr>
      <w:bookmarkStart w:id="16" w:name="_Toc352255959"/>
      <w:bookmarkStart w:id="17" w:name="_Toc352256027"/>
      <w:bookmarkStart w:id="18" w:name="_Toc352331205"/>
      <w:bookmarkStart w:id="19" w:name="_Toc48659768"/>
      <w:r w:rsidRPr="0087359D">
        <w:rPr>
          <w:rFonts w:ascii="宋体" w:hAnsi="宋体"/>
          <w:kern w:val="0"/>
          <w:sz w:val="21"/>
          <w:szCs w:val="21"/>
        </w:rPr>
        <w:t>1.1</w:t>
      </w:r>
      <w:r w:rsidR="009A2157" w:rsidRPr="009A2157">
        <w:rPr>
          <w:rFonts w:ascii="Times New Roman" w:eastAsiaTheme="minorEastAsia" w:hAnsi="Times New Roman"/>
          <w:kern w:val="0"/>
          <w:sz w:val="21"/>
          <w:szCs w:val="21"/>
        </w:rPr>
        <w:t xml:space="preserve">   </w:t>
      </w:r>
      <w:r w:rsidRPr="00A432E9">
        <w:rPr>
          <w:rFonts w:ascii="Times New Roman" w:eastAsiaTheme="minorEastAsia" w:hAnsi="Times New Roman" w:hint="eastAsia"/>
          <w:kern w:val="0"/>
          <w:sz w:val="21"/>
          <w:szCs w:val="21"/>
        </w:rPr>
        <w:t>重要提示</w:t>
      </w:r>
      <w:bookmarkEnd w:id="16"/>
      <w:bookmarkEnd w:id="17"/>
      <w:bookmarkEnd w:id="18"/>
      <w:bookmarkEnd w:id="19"/>
    </w:p>
    <w:p w:rsidR="008E5B30" w:rsidRDefault="00013397">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8E5B30" w:rsidRDefault="00013397">
      <w:pPr>
        <w:spacing w:line="360" w:lineRule="auto"/>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8E5B30" w:rsidRDefault="00013397">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8E5B30" w:rsidRDefault="00013397">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8E5B30" w:rsidRDefault="00013397">
      <w:pPr>
        <w:spacing w:line="360" w:lineRule="auto"/>
        <w:ind w:firstLineChars="200" w:firstLine="420"/>
        <w:rPr>
          <w:szCs w:val="21"/>
        </w:rPr>
      </w:pPr>
      <w:r>
        <w:rPr>
          <w:color w:val="000000"/>
          <w:szCs w:val="21"/>
        </w:rPr>
        <w:t>本报告中财务资料未经审计。</w:t>
      </w:r>
      <w:r>
        <w:rPr>
          <w:color w:val="000000"/>
          <w:szCs w:val="21"/>
        </w:rPr>
        <w:t xml:space="preserve"> </w:t>
      </w:r>
    </w:p>
    <w:p w:rsidR="00C24ACA" w:rsidRPr="00C24ACA" w:rsidRDefault="00C24ACA" w:rsidP="001412CA">
      <w:pPr>
        <w:spacing w:line="360" w:lineRule="auto"/>
        <w:ind w:firstLineChars="200" w:firstLine="420"/>
        <w:rPr>
          <w:szCs w:val="21"/>
        </w:rPr>
      </w:pPr>
      <w:r w:rsidRPr="00C24ACA">
        <w:rPr>
          <w:color w:val="000000"/>
          <w:szCs w:val="21"/>
        </w:rPr>
        <w:t>本报告期自</w:t>
      </w:r>
      <w:r w:rsidRPr="00C24ACA">
        <w:rPr>
          <w:color w:val="000000"/>
          <w:szCs w:val="21"/>
        </w:rPr>
        <w:t>2020</w:t>
      </w:r>
      <w:r w:rsidRPr="00C24ACA">
        <w:rPr>
          <w:color w:val="000000"/>
          <w:szCs w:val="21"/>
        </w:rPr>
        <w:t>年</w:t>
      </w:r>
      <w:r w:rsidRPr="00C24ACA">
        <w:rPr>
          <w:color w:val="000000"/>
          <w:szCs w:val="21"/>
        </w:rPr>
        <w:t>1</w:t>
      </w:r>
      <w:r w:rsidRPr="00C24ACA">
        <w:rPr>
          <w:color w:val="000000"/>
          <w:szCs w:val="21"/>
        </w:rPr>
        <w:t>月</w:t>
      </w:r>
      <w:r w:rsidRPr="00C24ACA">
        <w:rPr>
          <w:color w:val="000000"/>
          <w:szCs w:val="21"/>
        </w:rPr>
        <w:t>1</w:t>
      </w:r>
      <w:r w:rsidRPr="00C24ACA">
        <w:rPr>
          <w:color w:val="000000"/>
          <w:szCs w:val="21"/>
        </w:rPr>
        <w:t>日起至</w:t>
      </w:r>
      <w:r w:rsidRPr="00C24ACA">
        <w:rPr>
          <w:color w:val="000000"/>
          <w:szCs w:val="21"/>
        </w:rPr>
        <w:t>6</w:t>
      </w:r>
      <w:r w:rsidRPr="00C24ACA">
        <w:rPr>
          <w:color w:val="000000"/>
          <w:szCs w:val="21"/>
        </w:rPr>
        <w:t>月</w:t>
      </w:r>
      <w:r w:rsidRPr="00C24ACA">
        <w:rPr>
          <w:color w:val="000000"/>
          <w:szCs w:val="21"/>
        </w:rPr>
        <w:t>30</w:t>
      </w:r>
      <w:r w:rsidRPr="00C24ACA">
        <w:rPr>
          <w:color w:val="000000"/>
          <w:szCs w:val="21"/>
        </w:rPr>
        <w:t>日止。</w:t>
      </w:r>
    </w:p>
    <w:p w:rsidR="00937FC6" w:rsidRPr="00C24ACA" w:rsidRDefault="00871A0D" w:rsidP="00732F5C">
      <w:pPr>
        <w:pStyle w:val="20"/>
        <w:spacing w:beforeLines="100" w:before="312" w:after="0"/>
        <w:rPr>
          <w:rFonts w:eastAsiaTheme="minorEastAsia"/>
          <w:b w:val="0"/>
          <w:szCs w:val="21"/>
        </w:rPr>
      </w:pPr>
      <w:r w:rsidRPr="00C24ACA">
        <w:rPr>
          <w:rFonts w:eastAsiaTheme="minorEastAsia"/>
          <w:szCs w:val="21"/>
        </w:rPr>
        <w:br w:type="page"/>
      </w:r>
      <w:bookmarkStart w:id="20" w:name="_Toc48659769"/>
      <w:r w:rsidR="00937FC6" w:rsidRPr="00E141AF">
        <w:rPr>
          <w:rFonts w:ascii="宋体" w:hAnsi="宋体"/>
          <w:kern w:val="0"/>
          <w:sz w:val="21"/>
          <w:szCs w:val="21"/>
        </w:rPr>
        <w:lastRenderedPageBreak/>
        <w:t>1.2</w:t>
      </w:r>
      <w:r w:rsidR="00257CCE" w:rsidRPr="00257CCE">
        <w:rPr>
          <w:rFonts w:ascii="宋体" w:hAnsi="宋体"/>
          <w:kern w:val="0"/>
          <w:sz w:val="21"/>
          <w:szCs w:val="21"/>
        </w:rPr>
        <w:t xml:space="preserve">   </w:t>
      </w:r>
      <w:r w:rsidR="00937FC6" w:rsidRPr="00E141AF">
        <w:rPr>
          <w:rFonts w:ascii="宋体" w:hAnsi="宋体"/>
          <w:kern w:val="0"/>
          <w:sz w:val="21"/>
          <w:szCs w:val="21"/>
        </w:rPr>
        <w:t>目录</w:t>
      </w:r>
      <w:bookmarkEnd w:id="20"/>
    </w:p>
    <w:p w:rsidR="00133AD5" w:rsidRDefault="00955B17">
      <w:pPr>
        <w:pStyle w:val="22"/>
        <w:ind w:left="420"/>
        <w:rPr>
          <w:rFonts w:asciiTheme="minorHAnsi" w:eastAsiaTheme="minorEastAsia" w:hAnsiTheme="minorHAnsi" w:cstheme="minorBidi"/>
          <w:noProof/>
          <w:kern w:val="2"/>
          <w:szCs w:val="22"/>
        </w:rPr>
      </w:pPr>
      <w:r w:rsidRPr="006F3222">
        <w:rPr>
          <w:rFonts w:eastAsiaTheme="minorEastAsia"/>
        </w:rPr>
        <w:fldChar w:fldCharType="begin"/>
      </w:r>
      <w:r w:rsidR="00937FC6" w:rsidRPr="006F3222">
        <w:rPr>
          <w:rFonts w:eastAsiaTheme="minorEastAsia"/>
        </w:rPr>
        <w:instrText xml:space="preserve"> TOC \o "1-3" \h \z \u </w:instrText>
      </w:r>
      <w:r w:rsidRPr="006F3222">
        <w:rPr>
          <w:rFonts w:eastAsiaTheme="minorEastAsia"/>
        </w:rPr>
        <w:fldChar w:fldCharType="separate"/>
      </w:r>
      <w:hyperlink w:anchor="_Toc48659767" w:history="1">
        <w:r w:rsidR="00133AD5" w:rsidRPr="00152EF8">
          <w:rPr>
            <w:rStyle w:val="a9"/>
            <w:rFonts w:ascii="宋体" w:hAnsi="宋体"/>
            <w:noProof/>
          </w:rPr>
          <w:t>1</w:t>
        </w:r>
        <w:r w:rsidR="00133AD5" w:rsidRPr="00152EF8">
          <w:rPr>
            <w:rStyle w:val="a9"/>
            <w:noProof/>
          </w:rPr>
          <w:t xml:space="preserve">     </w:t>
        </w:r>
        <w:r w:rsidR="00133AD5" w:rsidRPr="00152EF8">
          <w:rPr>
            <w:rStyle w:val="a9"/>
            <w:rFonts w:hint="eastAsia"/>
            <w:noProof/>
          </w:rPr>
          <w:t>重要提示及目录</w:t>
        </w:r>
        <w:r w:rsidR="00133AD5">
          <w:rPr>
            <w:noProof/>
            <w:webHidden/>
          </w:rPr>
          <w:tab/>
        </w:r>
        <w:r w:rsidR="00133AD5">
          <w:rPr>
            <w:noProof/>
            <w:webHidden/>
          </w:rPr>
          <w:fldChar w:fldCharType="begin"/>
        </w:r>
        <w:r w:rsidR="00133AD5">
          <w:rPr>
            <w:noProof/>
            <w:webHidden/>
          </w:rPr>
          <w:instrText xml:space="preserve"> PAGEREF _Toc48659767 \h </w:instrText>
        </w:r>
        <w:r w:rsidR="00133AD5">
          <w:rPr>
            <w:noProof/>
            <w:webHidden/>
          </w:rPr>
        </w:r>
        <w:r w:rsidR="00133AD5">
          <w:rPr>
            <w:noProof/>
            <w:webHidden/>
          </w:rPr>
          <w:fldChar w:fldCharType="separate"/>
        </w:r>
        <w:r w:rsidR="00133AD5">
          <w:rPr>
            <w:noProof/>
            <w:webHidden/>
          </w:rPr>
          <w:t>2</w:t>
        </w:r>
        <w:r w:rsidR="00133AD5">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68" w:history="1">
        <w:r w:rsidRPr="00152EF8">
          <w:rPr>
            <w:rStyle w:val="a9"/>
            <w:rFonts w:ascii="宋体" w:hAnsi="宋体"/>
            <w:noProof/>
          </w:rPr>
          <w:t>1.1</w:t>
        </w:r>
        <w:r w:rsidRPr="00152EF8">
          <w:rPr>
            <w:rStyle w:val="a9"/>
            <w:noProof/>
          </w:rPr>
          <w:t xml:space="preserve">   </w:t>
        </w:r>
        <w:r w:rsidRPr="00152EF8">
          <w:rPr>
            <w:rStyle w:val="a9"/>
            <w:rFonts w:hint="eastAsia"/>
            <w:noProof/>
          </w:rPr>
          <w:t>重要提示</w:t>
        </w:r>
        <w:r>
          <w:rPr>
            <w:noProof/>
            <w:webHidden/>
          </w:rPr>
          <w:tab/>
        </w:r>
        <w:r>
          <w:rPr>
            <w:noProof/>
            <w:webHidden/>
          </w:rPr>
          <w:fldChar w:fldCharType="begin"/>
        </w:r>
        <w:r>
          <w:rPr>
            <w:noProof/>
            <w:webHidden/>
          </w:rPr>
          <w:instrText xml:space="preserve"> PAGEREF _Toc48659768 \h </w:instrText>
        </w:r>
        <w:r>
          <w:rPr>
            <w:noProof/>
            <w:webHidden/>
          </w:rPr>
        </w:r>
        <w:r>
          <w:rPr>
            <w:noProof/>
            <w:webHidden/>
          </w:rPr>
          <w:fldChar w:fldCharType="separate"/>
        </w:r>
        <w:r>
          <w:rPr>
            <w:noProof/>
            <w:webHidden/>
          </w:rPr>
          <w:t>2</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69" w:history="1">
        <w:r w:rsidRPr="00152EF8">
          <w:rPr>
            <w:rStyle w:val="a9"/>
            <w:rFonts w:ascii="宋体" w:hAnsi="宋体"/>
            <w:noProof/>
          </w:rPr>
          <w:t xml:space="preserve">1.2   </w:t>
        </w:r>
        <w:r w:rsidRPr="00152EF8">
          <w:rPr>
            <w:rStyle w:val="a9"/>
            <w:rFonts w:ascii="宋体" w:hAnsi="宋体" w:hint="eastAsia"/>
            <w:noProof/>
          </w:rPr>
          <w:t>目录</w:t>
        </w:r>
        <w:r>
          <w:rPr>
            <w:noProof/>
            <w:webHidden/>
          </w:rPr>
          <w:tab/>
        </w:r>
        <w:r>
          <w:rPr>
            <w:noProof/>
            <w:webHidden/>
          </w:rPr>
          <w:fldChar w:fldCharType="begin"/>
        </w:r>
        <w:r>
          <w:rPr>
            <w:noProof/>
            <w:webHidden/>
          </w:rPr>
          <w:instrText xml:space="preserve"> PAGEREF _Toc48659769 \h </w:instrText>
        </w:r>
        <w:r>
          <w:rPr>
            <w:noProof/>
            <w:webHidden/>
          </w:rPr>
        </w:r>
        <w:r>
          <w:rPr>
            <w:noProof/>
            <w:webHidden/>
          </w:rPr>
          <w:fldChar w:fldCharType="separate"/>
        </w:r>
        <w:r>
          <w:rPr>
            <w:noProof/>
            <w:webHidden/>
          </w:rPr>
          <w:t>3</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70" w:history="1">
        <w:r w:rsidRPr="00152EF8">
          <w:rPr>
            <w:rStyle w:val="a9"/>
            <w:rFonts w:ascii="宋体" w:hAnsi="宋体"/>
            <w:noProof/>
          </w:rPr>
          <w:t>2</w:t>
        </w:r>
        <w:r w:rsidRPr="00152EF8">
          <w:rPr>
            <w:rStyle w:val="a9"/>
            <w:noProof/>
          </w:rPr>
          <w:t xml:space="preserve">     </w:t>
        </w:r>
        <w:r w:rsidRPr="00152EF8">
          <w:rPr>
            <w:rStyle w:val="a9"/>
            <w:rFonts w:hint="eastAsia"/>
            <w:noProof/>
          </w:rPr>
          <w:t>基金简介</w:t>
        </w:r>
        <w:r>
          <w:rPr>
            <w:noProof/>
            <w:webHidden/>
          </w:rPr>
          <w:tab/>
        </w:r>
        <w:r>
          <w:rPr>
            <w:noProof/>
            <w:webHidden/>
          </w:rPr>
          <w:fldChar w:fldCharType="begin"/>
        </w:r>
        <w:r>
          <w:rPr>
            <w:noProof/>
            <w:webHidden/>
          </w:rPr>
          <w:instrText xml:space="preserve"> PAGEREF _Toc48659770 \h </w:instrText>
        </w:r>
        <w:r>
          <w:rPr>
            <w:noProof/>
            <w:webHidden/>
          </w:rPr>
        </w:r>
        <w:r>
          <w:rPr>
            <w:noProof/>
            <w:webHidden/>
          </w:rPr>
          <w:fldChar w:fldCharType="separate"/>
        </w:r>
        <w:r>
          <w:rPr>
            <w:noProof/>
            <w:webHidden/>
          </w:rPr>
          <w:t>5</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71" w:history="1">
        <w:r w:rsidRPr="00152EF8">
          <w:rPr>
            <w:rStyle w:val="a9"/>
            <w:rFonts w:ascii="宋体" w:hAnsi="宋体"/>
            <w:noProof/>
          </w:rPr>
          <w:t>2.1</w:t>
        </w:r>
        <w:r w:rsidRPr="00152EF8">
          <w:rPr>
            <w:rStyle w:val="a9"/>
            <w:noProof/>
          </w:rPr>
          <w:t xml:space="preserve">   </w:t>
        </w:r>
        <w:r w:rsidRPr="00152EF8">
          <w:rPr>
            <w:rStyle w:val="a9"/>
            <w:rFonts w:hint="eastAsia"/>
            <w:noProof/>
          </w:rPr>
          <w:t>基金基本情况</w:t>
        </w:r>
        <w:r>
          <w:rPr>
            <w:noProof/>
            <w:webHidden/>
          </w:rPr>
          <w:tab/>
        </w:r>
        <w:r>
          <w:rPr>
            <w:noProof/>
            <w:webHidden/>
          </w:rPr>
          <w:fldChar w:fldCharType="begin"/>
        </w:r>
        <w:r>
          <w:rPr>
            <w:noProof/>
            <w:webHidden/>
          </w:rPr>
          <w:instrText xml:space="preserve"> PAGEREF _Toc48659771 \h </w:instrText>
        </w:r>
        <w:r>
          <w:rPr>
            <w:noProof/>
            <w:webHidden/>
          </w:rPr>
        </w:r>
        <w:r>
          <w:rPr>
            <w:noProof/>
            <w:webHidden/>
          </w:rPr>
          <w:fldChar w:fldCharType="separate"/>
        </w:r>
        <w:r>
          <w:rPr>
            <w:noProof/>
            <w:webHidden/>
          </w:rPr>
          <w:t>5</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72" w:history="1">
        <w:r w:rsidRPr="00152EF8">
          <w:rPr>
            <w:rStyle w:val="a9"/>
            <w:rFonts w:ascii="宋体" w:hAnsi="宋体"/>
            <w:noProof/>
          </w:rPr>
          <w:t>2.2</w:t>
        </w:r>
        <w:r w:rsidRPr="00152EF8">
          <w:rPr>
            <w:rStyle w:val="a9"/>
            <w:noProof/>
          </w:rPr>
          <w:t xml:space="preserve">   </w:t>
        </w:r>
        <w:r w:rsidRPr="00152EF8">
          <w:rPr>
            <w:rStyle w:val="a9"/>
            <w:rFonts w:hint="eastAsia"/>
            <w:noProof/>
          </w:rPr>
          <w:t>基金产品说明</w:t>
        </w:r>
        <w:r>
          <w:rPr>
            <w:noProof/>
            <w:webHidden/>
          </w:rPr>
          <w:tab/>
        </w:r>
        <w:r>
          <w:rPr>
            <w:noProof/>
            <w:webHidden/>
          </w:rPr>
          <w:fldChar w:fldCharType="begin"/>
        </w:r>
        <w:r>
          <w:rPr>
            <w:noProof/>
            <w:webHidden/>
          </w:rPr>
          <w:instrText xml:space="preserve"> PAGEREF _Toc48659772 \h </w:instrText>
        </w:r>
        <w:r>
          <w:rPr>
            <w:noProof/>
            <w:webHidden/>
          </w:rPr>
        </w:r>
        <w:r>
          <w:rPr>
            <w:noProof/>
            <w:webHidden/>
          </w:rPr>
          <w:fldChar w:fldCharType="separate"/>
        </w:r>
        <w:r>
          <w:rPr>
            <w:noProof/>
            <w:webHidden/>
          </w:rPr>
          <w:t>5</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73" w:history="1">
        <w:r w:rsidRPr="00152EF8">
          <w:rPr>
            <w:rStyle w:val="a9"/>
            <w:rFonts w:ascii="宋体" w:hAnsi="宋体"/>
            <w:noProof/>
          </w:rPr>
          <w:t>2.3</w:t>
        </w:r>
        <w:r w:rsidRPr="00152EF8">
          <w:rPr>
            <w:rStyle w:val="a9"/>
            <w:noProof/>
          </w:rPr>
          <w:t xml:space="preserve">   </w:t>
        </w:r>
        <w:r w:rsidRPr="00152EF8">
          <w:rPr>
            <w:rStyle w:val="a9"/>
            <w:rFonts w:hint="eastAsia"/>
            <w:noProof/>
          </w:rPr>
          <w:t>基金管理人和基金托管人</w:t>
        </w:r>
        <w:r>
          <w:rPr>
            <w:noProof/>
            <w:webHidden/>
          </w:rPr>
          <w:tab/>
        </w:r>
        <w:r>
          <w:rPr>
            <w:noProof/>
            <w:webHidden/>
          </w:rPr>
          <w:fldChar w:fldCharType="begin"/>
        </w:r>
        <w:r>
          <w:rPr>
            <w:noProof/>
            <w:webHidden/>
          </w:rPr>
          <w:instrText xml:space="preserve"> PAGEREF _Toc48659773 \h </w:instrText>
        </w:r>
        <w:r>
          <w:rPr>
            <w:noProof/>
            <w:webHidden/>
          </w:rPr>
        </w:r>
        <w:r>
          <w:rPr>
            <w:noProof/>
            <w:webHidden/>
          </w:rPr>
          <w:fldChar w:fldCharType="separate"/>
        </w:r>
        <w:r>
          <w:rPr>
            <w:noProof/>
            <w:webHidden/>
          </w:rPr>
          <w:t>5</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74" w:history="1">
        <w:r w:rsidRPr="00152EF8">
          <w:rPr>
            <w:rStyle w:val="a9"/>
            <w:rFonts w:ascii="宋体" w:hAnsi="宋体"/>
            <w:noProof/>
          </w:rPr>
          <w:t>2.4</w:t>
        </w:r>
        <w:r w:rsidRPr="00152EF8">
          <w:rPr>
            <w:rStyle w:val="a9"/>
            <w:noProof/>
          </w:rPr>
          <w:t xml:space="preserve">   </w:t>
        </w:r>
        <w:r w:rsidRPr="00152EF8">
          <w:rPr>
            <w:rStyle w:val="a9"/>
            <w:rFonts w:hint="eastAsia"/>
            <w:noProof/>
          </w:rPr>
          <w:t>境外投资顾问和境外资产托管人</w:t>
        </w:r>
        <w:r>
          <w:rPr>
            <w:noProof/>
            <w:webHidden/>
          </w:rPr>
          <w:tab/>
        </w:r>
        <w:r>
          <w:rPr>
            <w:noProof/>
            <w:webHidden/>
          </w:rPr>
          <w:fldChar w:fldCharType="begin"/>
        </w:r>
        <w:r>
          <w:rPr>
            <w:noProof/>
            <w:webHidden/>
          </w:rPr>
          <w:instrText xml:space="preserve"> PAGEREF _Toc48659774 \h </w:instrText>
        </w:r>
        <w:r>
          <w:rPr>
            <w:noProof/>
            <w:webHidden/>
          </w:rPr>
        </w:r>
        <w:r>
          <w:rPr>
            <w:noProof/>
            <w:webHidden/>
          </w:rPr>
          <w:fldChar w:fldCharType="separate"/>
        </w:r>
        <w:r>
          <w:rPr>
            <w:noProof/>
            <w:webHidden/>
          </w:rPr>
          <w:t>6</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75" w:history="1">
        <w:r w:rsidRPr="00152EF8">
          <w:rPr>
            <w:rStyle w:val="a9"/>
            <w:rFonts w:ascii="宋体" w:hAnsi="宋体"/>
            <w:noProof/>
          </w:rPr>
          <w:t>2.5</w:t>
        </w:r>
        <w:r w:rsidRPr="00152EF8">
          <w:rPr>
            <w:rStyle w:val="a9"/>
            <w:noProof/>
          </w:rPr>
          <w:t xml:space="preserve">   </w:t>
        </w:r>
        <w:r w:rsidRPr="00152EF8">
          <w:rPr>
            <w:rStyle w:val="a9"/>
            <w:rFonts w:hint="eastAsia"/>
            <w:noProof/>
          </w:rPr>
          <w:t>信息披露方式</w:t>
        </w:r>
        <w:r>
          <w:rPr>
            <w:noProof/>
            <w:webHidden/>
          </w:rPr>
          <w:tab/>
        </w:r>
        <w:r>
          <w:rPr>
            <w:noProof/>
            <w:webHidden/>
          </w:rPr>
          <w:fldChar w:fldCharType="begin"/>
        </w:r>
        <w:r>
          <w:rPr>
            <w:noProof/>
            <w:webHidden/>
          </w:rPr>
          <w:instrText xml:space="preserve"> PAGEREF _Toc48659775 \h </w:instrText>
        </w:r>
        <w:r>
          <w:rPr>
            <w:noProof/>
            <w:webHidden/>
          </w:rPr>
        </w:r>
        <w:r>
          <w:rPr>
            <w:noProof/>
            <w:webHidden/>
          </w:rPr>
          <w:fldChar w:fldCharType="separate"/>
        </w:r>
        <w:r>
          <w:rPr>
            <w:noProof/>
            <w:webHidden/>
          </w:rPr>
          <w:t>6</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76" w:history="1">
        <w:r w:rsidRPr="00152EF8">
          <w:rPr>
            <w:rStyle w:val="a9"/>
            <w:rFonts w:ascii="宋体" w:hAnsi="宋体"/>
            <w:noProof/>
          </w:rPr>
          <w:t>2.6</w:t>
        </w:r>
        <w:r w:rsidRPr="00152EF8">
          <w:rPr>
            <w:rStyle w:val="a9"/>
            <w:noProof/>
          </w:rPr>
          <w:t xml:space="preserve">   </w:t>
        </w:r>
        <w:r w:rsidRPr="00152EF8">
          <w:rPr>
            <w:rStyle w:val="a9"/>
            <w:rFonts w:hint="eastAsia"/>
            <w:noProof/>
          </w:rPr>
          <w:t>其他相关资料</w:t>
        </w:r>
        <w:r>
          <w:rPr>
            <w:noProof/>
            <w:webHidden/>
          </w:rPr>
          <w:tab/>
        </w:r>
        <w:r>
          <w:rPr>
            <w:noProof/>
            <w:webHidden/>
          </w:rPr>
          <w:fldChar w:fldCharType="begin"/>
        </w:r>
        <w:r>
          <w:rPr>
            <w:noProof/>
            <w:webHidden/>
          </w:rPr>
          <w:instrText xml:space="preserve"> PAGEREF _Toc48659776 \h </w:instrText>
        </w:r>
        <w:r>
          <w:rPr>
            <w:noProof/>
            <w:webHidden/>
          </w:rPr>
        </w:r>
        <w:r>
          <w:rPr>
            <w:noProof/>
            <w:webHidden/>
          </w:rPr>
          <w:fldChar w:fldCharType="separate"/>
        </w:r>
        <w:r>
          <w:rPr>
            <w:noProof/>
            <w:webHidden/>
          </w:rPr>
          <w:t>6</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77" w:history="1">
        <w:r w:rsidRPr="00152EF8">
          <w:rPr>
            <w:rStyle w:val="a9"/>
            <w:rFonts w:ascii="宋体" w:hAnsi="宋体"/>
            <w:noProof/>
          </w:rPr>
          <w:t>3</w:t>
        </w:r>
        <w:r w:rsidRPr="00152EF8">
          <w:rPr>
            <w:rStyle w:val="a9"/>
            <w:noProof/>
          </w:rPr>
          <w:t xml:space="preserve">     </w:t>
        </w:r>
        <w:r w:rsidRPr="00152EF8">
          <w:rPr>
            <w:rStyle w:val="a9"/>
            <w:rFonts w:hint="eastAsia"/>
            <w:noProof/>
          </w:rPr>
          <w:t>主要财务指标和基金净值表现</w:t>
        </w:r>
        <w:r>
          <w:rPr>
            <w:noProof/>
            <w:webHidden/>
          </w:rPr>
          <w:tab/>
        </w:r>
        <w:r>
          <w:rPr>
            <w:noProof/>
            <w:webHidden/>
          </w:rPr>
          <w:fldChar w:fldCharType="begin"/>
        </w:r>
        <w:r>
          <w:rPr>
            <w:noProof/>
            <w:webHidden/>
          </w:rPr>
          <w:instrText xml:space="preserve"> PAGEREF _Toc48659777 \h </w:instrText>
        </w:r>
        <w:r>
          <w:rPr>
            <w:noProof/>
            <w:webHidden/>
          </w:rPr>
        </w:r>
        <w:r>
          <w:rPr>
            <w:noProof/>
            <w:webHidden/>
          </w:rPr>
          <w:fldChar w:fldCharType="separate"/>
        </w:r>
        <w:r>
          <w:rPr>
            <w:noProof/>
            <w:webHidden/>
          </w:rPr>
          <w:t>7</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78" w:history="1">
        <w:r w:rsidRPr="00152EF8">
          <w:rPr>
            <w:rStyle w:val="a9"/>
            <w:rFonts w:ascii="宋体" w:hAnsi="宋体"/>
            <w:noProof/>
          </w:rPr>
          <w:t>3.1</w:t>
        </w:r>
        <w:r w:rsidRPr="00152EF8">
          <w:rPr>
            <w:rStyle w:val="a9"/>
            <w:noProof/>
          </w:rPr>
          <w:t xml:space="preserve">   </w:t>
        </w:r>
        <w:r w:rsidRPr="00152EF8">
          <w:rPr>
            <w:rStyle w:val="a9"/>
            <w:rFonts w:hint="eastAsia"/>
            <w:noProof/>
          </w:rPr>
          <w:t>主要会计数据和财务指标</w:t>
        </w:r>
        <w:r>
          <w:rPr>
            <w:noProof/>
            <w:webHidden/>
          </w:rPr>
          <w:tab/>
        </w:r>
        <w:r>
          <w:rPr>
            <w:noProof/>
            <w:webHidden/>
          </w:rPr>
          <w:fldChar w:fldCharType="begin"/>
        </w:r>
        <w:r>
          <w:rPr>
            <w:noProof/>
            <w:webHidden/>
          </w:rPr>
          <w:instrText xml:space="preserve"> PAGEREF _Toc48659778 \h </w:instrText>
        </w:r>
        <w:r>
          <w:rPr>
            <w:noProof/>
            <w:webHidden/>
          </w:rPr>
        </w:r>
        <w:r>
          <w:rPr>
            <w:noProof/>
            <w:webHidden/>
          </w:rPr>
          <w:fldChar w:fldCharType="separate"/>
        </w:r>
        <w:r>
          <w:rPr>
            <w:noProof/>
            <w:webHidden/>
          </w:rPr>
          <w:t>7</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79" w:history="1">
        <w:r w:rsidRPr="00152EF8">
          <w:rPr>
            <w:rStyle w:val="a9"/>
            <w:rFonts w:ascii="宋体" w:hAnsi="宋体"/>
            <w:noProof/>
          </w:rPr>
          <w:t>3.2</w:t>
        </w:r>
        <w:r w:rsidRPr="00152EF8">
          <w:rPr>
            <w:rStyle w:val="a9"/>
            <w:noProof/>
          </w:rPr>
          <w:t xml:space="preserve">   </w:t>
        </w:r>
        <w:r w:rsidRPr="00152EF8">
          <w:rPr>
            <w:rStyle w:val="a9"/>
            <w:rFonts w:hint="eastAsia"/>
            <w:noProof/>
          </w:rPr>
          <w:t>基金净值表现</w:t>
        </w:r>
        <w:r>
          <w:rPr>
            <w:noProof/>
            <w:webHidden/>
          </w:rPr>
          <w:tab/>
        </w:r>
        <w:r>
          <w:rPr>
            <w:noProof/>
            <w:webHidden/>
          </w:rPr>
          <w:fldChar w:fldCharType="begin"/>
        </w:r>
        <w:r>
          <w:rPr>
            <w:noProof/>
            <w:webHidden/>
          </w:rPr>
          <w:instrText xml:space="preserve"> PAGEREF _Toc48659779 \h </w:instrText>
        </w:r>
        <w:r>
          <w:rPr>
            <w:noProof/>
            <w:webHidden/>
          </w:rPr>
        </w:r>
        <w:r>
          <w:rPr>
            <w:noProof/>
            <w:webHidden/>
          </w:rPr>
          <w:fldChar w:fldCharType="separate"/>
        </w:r>
        <w:r>
          <w:rPr>
            <w:noProof/>
            <w:webHidden/>
          </w:rPr>
          <w:t>7</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80" w:history="1">
        <w:r w:rsidRPr="00152EF8">
          <w:rPr>
            <w:rStyle w:val="a9"/>
            <w:rFonts w:ascii="宋体" w:hAnsi="宋体"/>
            <w:noProof/>
          </w:rPr>
          <w:t>4</w:t>
        </w:r>
        <w:r w:rsidRPr="00152EF8">
          <w:rPr>
            <w:rStyle w:val="a9"/>
            <w:noProof/>
          </w:rPr>
          <w:t xml:space="preserve">     </w:t>
        </w:r>
        <w:r w:rsidRPr="00152EF8">
          <w:rPr>
            <w:rStyle w:val="a9"/>
            <w:rFonts w:hint="eastAsia"/>
            <w:noProof/>
          </w:rPr>
          <w:t>管理人报告</w:t>
        </w:r>
        <w:r>
          <w:rPr>
            <w:noProof/>
            <w:webHidden/>
          </w:rPr>
          <w:tab/>
        </w:r>
        <w:r>
          <w:rPr>
            <w:noProof/>
            <w:webHidden/>
          </w:rPr>
          <w:fldChar w:fldCharType="begin"/>
        </w:r>
        <w:r>
          <w:rPr>
            <w:noProof/>
            <w:webHidden/>
          </w:rPr>
          <w:instrText xml:space="preserve"> PAGEREF _Toc48659780 \h </w:instrText>
        </w:r>
        <w:r>
          <w:rPr>
            <w:noProof/>
            <w:webHidden/>
          </w:rPr>
        </w:r>
        <w:r>
          <w:rPr>
            <w:noProof/>
            <w:webHidden/>
          </w:rPr>
          <w:fldChar w:fldCharType="separate"/>
        </w:r>
        <w:r>
          <w:rPr>
            <w:noProof/>
            <w:webHidden/>
          </w:rPr>
          <w:t>9</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81" w:history="1">
        <w:r w:rsidRPr="00152EF8">
          <w:rPr>
            <w:rStyle w:val="a9"/>
            <w:rFonts w:ascii="宋体" w:hAnsi="宋体"/>
            <w:noProof/>
          </w:rPr>
          <w:t>4.1</w:t>
        </w:r>
        <w:r w:rsidRPr="00152EF8">
          <w:rPr>
            <w:rStyle w:val="a9"/>
            <w:noProof/>
          </w:rPr>
          <w:t xml:space="preserve">   </w:t>
        </w:r>
        <w:r w:rsidRPr="00152EF8">
          <w:rPr>
            <w:rStyle w:val="a9"/>
            <w:rFonts w:hint="eastAsia"/>
            <w:noProof/>
          </w:rPr>
          <w:t>基金管理人及基金经理情况</w:t>
        </w:r>
        <w:r>
          <w:rPr>
            <w:noProof/>
            <w:webHidden/>
          </w:rPr>
          <w:tab/>
        </w:r>
        <w:r>
          <w:rPr>
            <w:noProof/>
            <w:webHidden/>
          </w:rPr>
          <w:fldChar w:fldCharType="begin"/>
        </w:r>
        <w:r>
          <w:rPr>
            <w:noProof/>
            <w:webHidden/>
          </w:rPr>
          <w:instrText xml:space="preserve"> PAGEREF _Toc48659781 \h </w:instrText>
        </w:r>
        <w:r>
          <w:rPr>
            <w:noProof/>
            <w:webHidden/>
          </w:rPr>
        </w:r>
        <w:r>
          <w:rPr>
            <w:noProof/>
            <w:webHidden/>
          </w:rPr>
          <w:fldChar w:fldCharType="separate"/>
        </w:r>
        <w:r>
          <w:rPr>
            <w:noProof/>
            <w:webHidden/>
          </w:rPr>
          <w:t>9</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82" w:history="1">
        <w:r w:rsidRPr="00152EF8">
          <w:rPr>
            <w:rStyle w:val="a9"/>
            <w:rFonts w:ascii="宋体" w:hAnsi="宋体"/>
            <w:noProof/>
          </w:rPr>
          <w:t>4.2</w:t>
        </w:r>
        <w:r w:rsidRPr="00152EF8">
          <w:rPr>
            <w:rStyle w:val="a9"/>
            <w:noProof/>
          </w:rPr>
          <w:t xml:space="preserve">   </w:t>
        </w:r>
        <w:r w:rsidRPr="00152EF8">
          <w:rPr>
            <w:rStyle w:val="a9"/>
            <w:rFonts w:hint="eastAsia"/>
            <w:noProof/>
          </w:rPr>
          <w:t>境外投资顾问为本基金提供投资建议的主要成员简介</w:t>
        </w:r>
        <w:r>
          <w:rPr>
            <w:noProof/>
            <w:webHidden/>
          </w:rPr>
          <w:tab/>
        </w:r>
        <w:r>
          <w:rPr>
            <w:noProof/>
            <w:webHidden/>
          </w:rPr>
          <w:fldChar w:fldCharType="begin"/>
        </w:r>
        <w:r>
          <w:rPr>
            <w:noProof/>
            <w:webHidden/>
          </w:rPr>
          <w:instrText xml:space="preserve"> PAGEREF _Toc48659782 \h </w:instrText>
        </w:r>
        <w:r>
          <w:rPr>
            <w:noProof/>
            <w:webHidden/>
          </w:rPr>
        </w:r>
        <w:r>
          <w:rPr>
            <w:noProof/>
            <w:webHidden/>
          </w:rPr>
          <w:fldChar w:fldCharType="separate"/>
        </w:r>
        <w:r>
          <w:rPr>
            <w:noProof/>
            <w:webHidden/>
          </w:rPr>
          <w:t>11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83" w:history="1">
        <w:r w:rsidRPr="00152EF8">
          <w:rPr>
            <w:rStyle w:val="a9"/>
            <w:rFonts w:ascii="宋体" w:hAnsi="宋体"/>
            <w:noProof/>
          </w:rPr>
          <w:t>4.3</w:t>
        </w:r>
        <w:r w:rsidRPr="00152EF8">
          <w:rPr>
            <w:rStyle w:val="a9"/>
            <w:noProof/>
          </w:rPr>
          <w:t xml:space="preserve">   </w:t>
        </w:r>
        <w:r w:rsidRPr="00152EF8">
          <w:rPr>
            <w:rStyle w:val="a9"/>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_Toc48659783 \h </w:instrText>
        </w:r>
        <w:r>
          <w:rPr>
            <w:noProof/>
            <w:webHidden/>
          </w:rPr>
        </w:r>
        <w:r>
          <w:rPr>
            <w:noProof/>
            <w:webHidden/>
          </w:rPr>
          <w:fldChar w:fldCharType="separate"/>
        </w:r>
        <w:r>
          <w:rPr>
            <w:noProof/>
            <w:webHidden/>
          </w:rPr>
          <w:t>11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84" w:history="1">
        <w:r w:rsidRPr="00152EF8">
          <w:rPr>
            <w:rStyle w:val="a9"/>
            <w:rFonts w:ascii="宋体" w:hAnsi="宋体"/>
            <w:noProof/>
          </w:rPr>
          <w:t>4.4</w:t>
        </w:r>
        <w:r w:rsidRPr="00152EF8">
          <w:rPr>
            <w:rStyle w:val="a9"/>
            <w:noProof/>
          </w:rPr>
          <w:t xml:space="preserve">   </w:t>
        </w:r>
        <w:r w:rsidRPr="00152EF8">
          <w:rPr>
            <w:rStyle w:val="a9"/>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_Toc48659784 \h </w:instrText>
        </w:r>
        <w:r>
          <w:rPr>
            <w:noProof/>
            <w:webHidden/>
          </w:rPr>
        </w:r>
        <w:r>
          <w:rPr>
            <w:noProof/>
            <w:webHidden/>
          </w:rPr>
          <w:fldChar w:fldCharType="separate"/>
        </w:r>
        <w:r>
          <w:rPr>
            <w:noProof/>
            <w:webHidden/>
          </w:rPr>
          <w:t>11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85" w:history="1">
        <w:r w:rsidRPr="00152EF8">
          <w:rPr>
            <w:rStyle w:val="a9"/>
            <w:rFonts w:ascii="宋体" w:hAnsi="宋体"/>
            <w:noProof/>
          </w:rPr>
          <w:t>4.5</w:t>
        </w:r>
        <w:r w:rsidRPr="00152EF8">
          <w:rPr>
            <w:rStyle w:val="a9"/>
            <w:noProof/>
          </w:rPr>
          <w:t xml:space="preserve">   </w:t>
        </w:r>
        <w:r w:rsidRPr="00152EF8">
          <w:rPr>
            <w:rStyle w:val="a9"/>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_Toc48659785 \h </w:instrText>
        </w:r>
        <w:r>
          <w:rPr>
            <w:noProof/>
            <w:webHidden/>
          </w:rPr>
        </w:r>
        <w:r>
          <w:rPr>
            <w:noProof/>
            <w:webHidden/>
          </w:rPr>
          <w:fldChar w:fldCharType="separate"/>
        </w:r>
        <w:r>
          <w:rPr>
            <w:noProof/>
            <w:webHidden/>
          </w:rPr>
          <w:t>11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86" w:history="1">
        <w:r w:rsidRPr="00152EF8">
          <w:rPr>
            <w:rStyle w:val="a9"/>
            <w:rFonts w:ascii="宋体" w:hAnsi="宋体"/>
            <w:noProof/>
          </w:rPr>
          <w:t>4.6</w:t>
        </w:r>
        <w:r w:rsidRPr="00152EF8">
          <w:rPr>
            <w:rStyle w:val="a9"/>
            <w:noProof/>
          </w:rPr>
          <w:t xml:space="preserve">   </w:t>
        </w:r>
        <w:r w:rsidRPr="00152EF8">
          <w:rPr>
            <w:rStyle w:val="a9"/>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_Toc48659786 \h </w:instrText>
        </w:r>
        <w:r>
          <w:rPr>
            <w:noProof/>
            <w:webHidden/>
          </w:rPr>
        </w:r>
        <w:r>
          <w:rPr>
            <w:noProof/>
            <w:webHidden/>
          </w:rPr>
          <w:fldChar w:fldCharType="separate"/>
        </w:r>
        <w:r>
          <w:rPr>
            <w:noProof/>
            <w:webHidden/>
          </w:rPr>
          <w:t>12</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87" w:history="1">
        <w:r w:rsidRPr="00152EF8">
          <w:rPr>
            <w:rStyle w:val="a9"/>
            <w:rFonts w:ascii="宋体" w:hAnsi="宋体"/>
            <w:noProof/>
          </w:rPr>
          <w:t>4.7</w:t>
        </w:r>
        <w:r w:rsidRPr="00152EF8">
          <w:rPr>
            <w:rStyle w:val="a9"/>
            <w:noProof/>
          </w:rPr>
          <w:t xml:space="preserve">   </w:t>
        </w:r>
        <w:r w:rsidRPr="00152EF8">
          <w:rPr>
            <w:rStyle w:val="a9"/>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_Toc48659787 \h </w:instrText>
        </w:r>
        <w:r>
          <w:rPr>
            <w:noProof/>
            <w:webHidden/>
          </w:rPr>
        </w:r>
        <w:r>
          <w:rPr>
            <w:noProof/>
            <w:webHidden/>
          </w:rPr>
          <w:fldChar w:fldCharType="separate"/>
        </w:r>
        <w:r>
          <w:rPr>
            <w:noProof/>
            <w:webHidden/>
          </w:rPr>
          <w:t>12</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88" w:history="1">
        <w:r w:rsidRPr="00152EF8">
          <w:rPr>
            <w:rStyle w:val="a9"/>
            <w:rFonts w:ascii="宋体" w:hAnsi="宋体"/>
            <w:noProof/>
          </w:rPr>
          <w:t>4.8</w:t>
        </w:r>
        <w:r w:rsidRPr="00152EF8">
          <w:rPr>
            <w:rStyle w:val="a9"/>
            <w:noProof/>
          </w:rPr>
          <w:t xml:space="preserve">   </w:t>
        </w:r>
        <w:r w:rsidRPr="00152EF8">
          <w:rPr>
            <w:rStyle w:val="a9"/>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_Toc48659788 \h </w:instrText>
        </w:r>
        <w:r>
          <w:rPr>
            <w:noProof/>
            <w:webHidden/>
          </w:rPr>
        </w:r>
        <w:r>
          <w:rPr>
            <w:noProof/>
            <w:webHidden/>
          </w:rPr>
          <w:fldChar w:fldCharType="separate"/>
        </w:r>
        <w:r>
          <w:rPr>
            <w:noProof/>
            <w:webHidden/>
          </w:rPr>
          <w:t>12</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89" w:history="1">
        <w:r w:rsidRPr="00152EF8">
          <w:rPr>
            <w:rStyle w:val="a9"/>
            <w:rFonts w:ascii="宋体" w:hAnsi="宋体"/>
            <w:noProof/>
          </w:rPr>
          <w:t>5</w:t>
        </w:r>
        <w:r w:rsidRPr="00152EF8">
          <w:rPr>
            <w:rStyle w:val="a9"/>
            <w:noProof/>
          </w:rPr>
          <w:t xml:space="preserve">     </w:t>
        </w:r>
        <w:r w:rsidRPr="00152EF8">
          <w:rPr>
            <w:rStyle w:val="a9"/>
            <w:rFonts w:hint="eastAsia"/>
            <w:noProof/>
          </w:rPr>
          <w:t>托管人报告</w:t>
        </w:r>
        <w:r>
          <w:rPr>
            <w:noProof/>
            <w:webHidden/>
          </w:rPr>
          <w:tab/>
        </w:r>
        <w:r>
          <w:rPr>
            <w:noProof/>
            <w:webHidden/>
          </w:rPr>
          <w:fldChar w:fldCharType="begin"/>
        </w:r>
        <w:r>
          <w:rPr>
            <w:noProof/>
            <w:webHidden/>
          </w:rPr>
          <w:instrText xml:space="preserve"> PAGEREF _Toc48659789 \h </w:instrText>
        </w:r>
        <w:r>
          <w:rPr>
            <w:noProof/>
            <w:webHidden/>
          </w:rPr>
        </w:r>
        <w:r>
          <w:rPr>
            <w:noProof/>
            <w:webHidden/>
          </w:rPr>
          <w:fldChar w:fldCharType="separate"/>
        </w:r>
        <w:r>
          <w:rPr>
            <w:noProof/>
            <w:webHidden/>
          </w:rPr>
          <w:t>13</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90" w:history="1">
        <w:r w:rsidRPr="00152EF8">
          <w:rPr>
            <w:rStyle w:val="a9"/>
            <w:rFonts w:ascii="宋体" w:hAnsi="宋体"/>
            <w:noProof/>
          </w:rPr>
          <w:t>5.1</w:t>
        </w:r>
        <w:r w:rsidRPr="00152EF8">
          <w:rPr>
            <w:rStyle w:val="a9"/>
            <w:noProof/>
          </w:rPr>
          <w:t xml:space="preserve">   </w:t>
        </w:r>
        <w:r w:rsidRPr="00152EF8">
          <w:rPr>
            <w:rStyle w:val="a9"/>
            <w:rFonts w:hint="eastAsia"/>
            <w:noProof/>
          </w:rPr>
          <w:t>报告期内本基金托管人遵规守信情况声明</w:t>
        </w:r>
        <w:r>
          <w:rPr>
            <w:noProof/>
            <w:webHidden/>
          </w:rPr>
          <w:tab/>
        </w:r>
        <w:r>
          <w:rPr>
            <w:noProof/>
            <w:webHidden/>
          </w:rPr>
          <w:fldChar w:fldCharType="begin"/>
        </w:r>
        <w:r>
          <w:rPr>
            <w:noProof/>
            <w:webHidden/>
          </w:rPr>
          <w:instrText xml:space="preserve"> PAGEREF _Toc48659790 \h </w:instrText>
        </w:r>
        <w:r>
          <w:rPr>
            <w:noProof/>
            <w:webHidden/>
          </w:rPr>
        </w:r>
        <w:r>
          <w:rPr>
            <w:noProof/>
            <w:webHidden/>
          </w:rPr>
          <w:fldChar w:fldCharType="separate"/>
        </w:r>
        <w:r>
          <w:rPr>
            <w:noProof/>
            <w:webHidden/>
          </w:rPr>
          <w:t>13</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91" w:history="1">
        <w:r w:rsidRPr="00152EF8">
          <w:rPr>
            <w:rStyle w:val="a9"/>
            <w:rFonts w:ascii="宋体" w:hAnsi="宋体"/>
            <w:noProof/>
          </w:rPr>
          <w:t>5.2</w:t>
        </w:r>
        <w:r w:rsidRPr="00152EF8">
          <w:rPr>
            <w:rStyle w:val="a9"/>
            <w:noProof/>
          </w:rPr>
          <w:t xml:space="preserve">   </w:t>
        </w:r>
        <w:r w:rsidRPr="00152EF8">
          <w:rPr>
            <w:rStyle w:val="a9"/>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_Toc48659791 \h </w:instrText>
        </w:r>
        <w:r>
          <w:rPr>
            <w:noProof/>
            <w:webHidden/>
          </w:rPr>
        </w:r>
        <w:r>
          <w:rPr>
            <w:noProof/>
            <w:webHidden/>
          </w:rPr>
          <w:fldChar w:fldCharType="separate"/>
        </w:r>
        <w:r>
          <w:rPr>
            <w:noProof/>
            <w:webHidden/>
          </w:rPr>
          <w:t>13</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92" w:history="1">
        <w:r w:rsidRPr="00152EF8">
          <w:rPr>
            <w:rStyle w:val="a9"/>
            <w:rFonts w:ascii="宋体" w:hAnsi="宋体"/>
            <w:noProof/>
          </w:rPr>
          <w:t>5.3</w:t>
        </w:r>
        <w:r w:rsidRPr="00152EF8">
          <w:rPr>
            <w:rStyle w:val="a9"/>
            <w:noProof/>
          </w:rPr>
          <w:t xml:space="preserve">   </w:t>
        </w:r>
        <w:r w:rsidRPr="00152EF8">
          <w:rPr>
            <w:rStyle w:val="a9"/>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_Toc48659792 \h </w:instrText>
        </w:r>
        <w:r>
          <w:rPr>
            <w:noProof/>
            <w:webHidden/>
          </w:rPr>
        </w:r>
        <w:r>
          <w:rPr>
            <w:noProof/>
            <w:webHidden/>
          </w:rPr>
          <w:fldChar w:fldCharType="separate"/>
        </w:r>
        <w:r>
          <w:rPr>
            <w:noProof/>
            <w:webHidden/>
          </w:rPr>
          <w:t>13</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93" w:history="1">
        <w:r w:rsidRPr="00152EF8">
          <w:rPr>
            <w:rStyle w:val="a9"/>
            <w:rFonts w:ascii="宋体" w:hAnsi="宋体"/>
            <w:noProof/>
          </w:rPr>
          <w:t>6</w:t>
        </w:r>
        <w:r w:rsidRPr="00152EF8">
          <w:rPr>
            <w:rStyle w:val="a9"/>
            <w:noProof/>
          </w:rPr>
          <w:t xml:space="preserve">     </w:t>
        </w:r>
        <w:r w:rsidRPr="00152EF8">
          <w:rPr>
            <w:rStyle w:val="a9"/>
            <w:rFonts w:hint="eastAsia"/>
            <w:noProof/>
          </w:rPr>
          <w:t>半年度财务会计报告（未经审计）</w:t>
        </w:r>
        <w:r>
          <w:rPr>
            <w:noProof/>
            <w:webHidden/>
          </w:rPr>
          <w:tab/>
        </w:r>
        <w:r>
          <w:rPr>
            <w:noProof/>
            <w:webHidden/>
          </w:rPr>
          <w:fldChar w:fldCharType="begin"/>
        </w:r>
        <w:r>
          <w:rPr>
            <w:noProof/>
            <w:webHidden/>
          </w:rPr>
          <w:instrText xml:space="preserve"> PAGEREF _Toc48659793 \h </w:instrText>
        </w:r>
        <w:r>
          <w:rPr>
            <w:noProof/>
            <w:webHidden/>
          </w:rPr>
        </w:r>
        <w:r>
          <w:rPr>
            <w:noProof/>
            <w:webHidden/>
          </w:rPr>
          <w:fldChar w:fldCharType="separate"/>
        </w:r>
        <w:r>
          <w:rPr>
            <w:noProof/>
            <w:webHidden/>
          </w:rPr>
          <w:t>13</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94" w:history="1">
        <w:r w:rsidRPr="00152EF8">
          <w:rPr>
            <w:rStyle w:val="a9"/>
            <w:rFonts w:ascii="宋体" w:hAnsi="宋体"/>
            <w:noProof/>
          </w:rPr>
          <w:t>6.1</w:t>
        </w:r>
        <w:r w:rsidRPr="00152EF8">
          <w:rPr>
            <w:rStyle w:val="a9"/>
            <w:noProof/>
          </w:rPr>
          <w:t xml:space="preserve">   </w:t>
        </w:r>
        <w:r w:rsidRPr="00152EF8">
          <w:rPr>
            <w:rStyle w:val="a9"/>
            <w:rFonts w:hint="eastAsia"/>
            <w:noProof/>
          </w:rPr>
          <w:t>资产负债表</w:t>
        </w:r>
        <w:r>
          <w:rPr>
            <w:noProof/>
            <w:webHidden/>
          </w:rPr>
          <w:tab/>
        </w:r>
        <w:r>
          <w:rPr>
            <w:noProof/>
            <w:webHidden/>
          </w:rPr>
          <w:fldChar w:fldCharType="begin"/>
        </w:r>
        <w:r>
          <w:rPr>
            <w:noProof/>
            <w:webHidden/>
          </w:rPr>
          <w:instrText xml:space="preserve"> PAGEREF _Toc48659794 \h </w:instrText>
        </w:r>
        <w:r>
          <w:rPr>
            <w:noProof/>
            <w:webHidden/>
          </w:rPr>
        </w:r>
        <w:r>
          <w:rPr>
            <w:noProof/>
            <w:webHidden/>
          </w:rPr>
          <w:fldChar w:fldCharType="separate"/>
        </w:r>
        <w:r>
          <w:rPr>
            <w:noProof/>
            <w:webHidden/>
          </w:rPr>
          <w:t>13</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95" w:history="1">
        <w:r w:rsidRPr="00152EF8">
          <w:rPr>
            <w:rStyle w:val="a9"/>
            <w:rFonts w:ascii="宋体" w:hAnsi="宋体"/>
            <w:noProof/>
          </w:rPr>
          <w:t>6.2</w:t>
        </w:r>
        <w:r w:rsidRPr="00152EF8">
          <w:rPr>
            <w:rStyle w:val="a9"/>
            <w:noProof/>
          </w:rPr>
          <w:t xml:space="preserve">   </w:t>
        </w:r>
        <w:r w:rsidRPr="00152EF8">
          <w:rPr>
            <w:rStyle w:val="a9"/>
            <w:rFonts w:hint="eastAsia"/>
            <w:noProof/>
          </w:rPr>
          <w:t>利润表</w:t>
        </w:r>
        <w:r>
          <w:rPr>
            <w:noProof/>
            <w:webHidden/>
          </w:rPr>
          <w:tab/>
        </w:r>
        <w:r>
          <w:rPr>
            <w:noProof/>
            <w:webHidden/>
          </w:rPr>
          <w:fldChar w:fldCharType="begin"/>
        </w:r>
        <w:r>
          <w:rPr>
            <w:noProof/>
            <w:webHidden/>
          </w:rPr>
          <w:instrText xml:space="preserve"> PAGEREF _Toc48659795 \h </w:instrText>
        </w:r>
        <w:r>
          <w:rPr>
            <w:noProof/>
            <w:webHidden/>
          </w:rPr>
        </w:r>
        <w:r>
          <w:rPr>
            <w:noProof/>
            <w:webHidden/>
          </w:rPr>
          <w:fldChar w:fldCharType="separate"/>
        </w:r>
        <w:r>
          <w:rPr>
            <w:noProof/>
            <w:webHidden/>
          </w:rPr>
          <w:t>15</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96" w:history="1">
        <w:r w:rsidRPr="00152EF8">
          <w:rPr>
            <w:rStyle w:val="a9"/>
            <w:rFonts w:ascii="宋体" w:hAnsi="宋体"/>
            <w:noProof/>
          </w:rPr>
          <w:t>6.3</w:t>
        </w:r>
        <w:r w:rsidRPr="00152EF8">
          <w:rPr>
            <w:rStyle w:val="a9"/>
            <w:noProof/>
          </w:rPr>
          <w:t xml:space="preserve">   </w:t>
        </w:r>
        <w:r w:rsidRPr="00152EF8">
          <w:rPr>
            <w:rStyle w:val="a9"/>
            <w:rFonts w:hint="eastAsia"/>
            <w:noProof/>
          </w:rPr>
          <w:t>所有者权益（基金净值）变动表</w:t>
        </w:r>
        <w:r>
          <w:rPr>
            <w:noProof/>
            <w:webHidden/>
          </w:rPr>
          <w:tab/>
        </w:r>
        <w:r>
          <w:rPr>
            <w:noProof/>
            <w:webHidden/>
          </w:rPr>
          <w:fldChar w:fldCharType="begin"/>
        </w:r>
        <w:r>
          <w:rPr>
            <w:noProof/>
            <w:webHidden/>
          </w:rPr>
          <w:instrText xml:space="preserve"> PAGEREF _Toc48659796 \h </w:instrText>
        </w:r>
        <w:r>
          <w:rPr>
            <w:noProof/>
            <w:webHidden/>
          </w:rPr>
        </w:r>
        <w:r>
          <w:rPr>
            <w:noProof/>
            <w:webHidden/>
          </w:rPr>
          <w:fldChar w:fldCharType="separate"/>
        </w:r>
        <w:r>
          <w:rPr>
            <w:noProof/>
            <w:webHidden/>
          </w:rPr>
          <w:t>16</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97" w:history="1">
        <w:r w:rsidRPr="00152EF8">
          <w:rPr>
            <w:rStyle w:val="a9"/>
            <w:rFonts w:ascii="宋体" w:hAnsi="宋体"/>
            <w:noProof/>
          </w:rPr>
          <w:t>6.4</w:t>
        </w:r>
        <w:r w:rsidRPr="00152EF8">
          <w:rPr>
            <w:rStyle w:val="a9"/>
            <w:noProof/>
          </w:rPr>
          <w:t xml:space="preserve">   </w:t>
        </w:r>
        <w:r w:rsidRPr="00152EF8">
          <w:rPr>
            <w:rStyle w:val="a9"/>
            <w:rFonts w:hint="eastAsia"/>
            <w:noProof/>
          </w:rPr>
          <w:t>报表附注</w:t>
        </w:r>
        <w:r>
          <w:rPr>
            <w:noProof/>
            <w:webHidden/>
          </w:rPr>
          <w:tab/>
        </w:r>
        <w:r>
          <w:rPr>
            <w:noProof/>
            <w:webHidden/>
          </w:rPr>
          <w:fldChar w:fldCharType="begin"/>
        </w:r>
        <w:r>
          <w:rPr>
            <w:noProof/>
            <w:webHidden/>
          </w:rPr>
          <w:instrText xml:space="preserve"> PAGEREF _Toc48659797 \h </w:instrText>
        </w:r>
        <w:r>
          <w:rPr>
            <w:noProof/>
            <w:webHidden/>
          </w:rPr>
        </w:r>
        <w:r>
          <w:rPr>
            <w:noProof/>
            <w:webHidden/>
          </w:rPr>
          <w:fldChar w:fldCharType="separate"/>
        </w:r>
        <w:r>
          <w:rPr>
            <w:noProof/>
            <w:webHidden/>
          </w:rPr>
          <w:t>17</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98" w:history="1">
        <w:r w:rsidRPr="00152EF8">
          <w:rPr>
            <w:rStyle w:val="a9"/>
            <w:rFonts w:ascii="宋体" w:hAnsi="宋体"/>
            <w:noProof/>
          </w:rPr>
          <w:t>7</w:t>
        </w:r>
        <w:r w:rsidRPr="00152EF8">
          <w:rPr>
            <w:rStyle w:val="a9"/>
            <w:noProof/>
          </w:rPr>
          <w:t xml:space="preserve">     </w:t>
        </w:r>
        <w:r w:rsidRPr="00152EF8">
          <w:rPr>
            <w:rStyle w:val="a9"/>
            <w:rFonts w:hint="eastAsia"/>
            <w:noProof/>
          </w:rPr>
          <w:t>投资组合报告</w:t>
        </w:r>
        <w:r>
          <w:rPr>
            <w:noProof/>
            <w:webHidden/>
          </w:rPr>
          <w:tab/>
        </w:r>
        <w:r>
          <w:rPr>
            <w:noProof/>
            <w:webHidden/>
          </w:rPr>
          <w:fldChar w:fldCharType="begin"/>
        </w:r>
        <w:r>
          <w:rPr>
            <w:noProof/>
            <w:webHidden/>
          </w:rPr>
          <w:instrText xml:space="preserve"> PAGEREF _Toc48659798 \h </w:instrText>
        </w:r>
        <w:r>
          <w:rPr>
            <w:noProof/>
            <w:webHidden/>
          </w:rPr>
        </w:r>
        <w:r>
          <w:rPr>
            <w:noProof/>
            <w:webHidden/>
          </w:rPr>
          <w:fldChar w:fldCharType="separate"/>
        </w:r>
        <w:r>
          <w:rPr>
            <w:noProof/>
            <w:webHidden/>
          </w:rPr>
          <w:t>36</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799" w:history="1">
        <w:r w:rsidRPr="00152EF8">
          <w:rPr>
            <w:rStyle w:val="a9"/>
            <w:rFonts w:ascii="宋体" w:hAnsi="宋体"/>
            <w:noProof/>
          </w:rPr>
          <w:t>7.1</w:t>
        </w:r>
        <w:r w:rsidRPr="00152EF8">
          <w:rPr>
            <w:rStyle w:val="a9"/>
            <w:noProof/>
          </w:rPr>
          <w:t xml:space="preserve">   </w:t>
        </w:r>
        <w:r w:rsidRPr="00152EF8">
          <w:rPr>
            <w:rStyle w:val="a9"/>
            <w:rFonts w:hint="eastAsia"/>
            <w:noProof/>
          </w:rPr>
          <w:t>期末基金资产组合情况</w:t>
        </w:r>
        <w:r>
          <w:rPr>
            <w:noProof/>
            <w:webHidden/>
          </w:rPr>
          <w:tab/>
        </w:r>
        <w:r>
          <w:rPr>
            <w:noProof/>
            <w:webHidden/>
          </w:rPr>
          <w:fldChar w:fldCharType="begin"/>
        </w:r>
        <w:r>
          <w:rPr>
            <w:noProof/>
            <w:webHidden/>
          </w:rPr>
          <w:instrText xml:space="preserve"> PAGEREF _Toc48659799 \h </w:instrText>
        </w:r>
        <w:r>
          <w:rPr>
            <w:noProof/>
            <w:webHidden/>
          </w:rPr>
        </w:r>
        <w:r>
          <w:rPr>
            <w:noProof/>
            <w:webHidden/>
          </w:rPr>
          <w:fldChar w:fldCharType="separate"/>
        </w:r>
        <w:r>
          <w:rPr>
            <w:noProof/>
            <w:webHidden/>
          </w:rPr>
          <w:t>36</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00" w:history="1">
        <w:r w:rsidRPr="00152EF8">
          <w:rPr>
            <w:rStyle w:val="a9"/>
            <w:rFonts w:ascii="宋体" w:hAnsi="宋体"/>
            <w:noProof/>
          </w:rPr>
          <w:t>7.2</w:t>
        </w:r>
        <w:r w:rsidRPr="00152EF8">
          <w:rPr>
            <w:rStyle w:val="a9"/>
            <w:noProof/>
          </w:rPr>
          <w:t xml:space="preserve">   </w:t>
        </w:r>
        <w:r w:rsidRPr="00152EF8">
          <w:rPr>
            <w:rStyle w:val="a9"/>
            <w:rFonts w:hint="eastAsia"/>
            <w:noProof/>
          </w:rPr>
          <w:t>期末在各个国家（地区）证券市场的权益投资分布</w:t>
        </w:r>
        <w:r>
          <w:rPr>
            <w:noProof/>
            <w:webHidden/>
          </w:rPr>
          <w:tab/>
        </w:r>
        <w:r>
          <w:rPr>
            <w:noProof/>
            <w:webHidden/>
          </w:rPr>
          <w:fldChar w:fldCharType="begin"/>
        </w:r>
        <w:r>
          <w:rPr>
            <w:noProof/>
            <w:webHidden/>
          </w:rPr>
          <w:instrText xml:space="preserve"> PAGEREF _Toc48659800 \h </w:instrText>
        </w:r>
        <w:r>
          <w:rPr>
            <w:noProof/>
            <w:webHidden/>
          </w:rPr>
        </w:r>
        <w:r>
          <w:rPr>
            <w:noProof/>
            <w:webHidden/>
          </w:rPr>
          <w:fldChar w:fldCharType="separate"/>
        </w:r>
        <w:r>
          <w:rPr>
            <w:noProof/>
            <w:webHidden/>
          </w:rPr>
          <w:t>37</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01" w:history="1">
        <w:r w:rsidRPr="00152EF8">
          <w:rPr>
            <w:rStyle w:val="a9"/>
            <w:rFonts w:ascii="宋体" w:hAnsi="宋体"/>
            <w:noProof/>
          </w:rPr>
          <w:t>7.3</w:t>
        </w:r>
        <w:r w:rsidRPr="00152EF8">
          <w:rPr>
            <w:rStyle w:val="a9"/>
            <w:noProof/>
          </w:rPr>
          <w:t xml:space="preserve">   </w:t>
        </w:r>
        <w:r w:rsidRPr="00152EF8">
          <w:rPr>
            <w:rStyle w:val="a9"/>
            <w:rFonts w:hint="eastAsia"/>
            <w:noProof/>
          </w:rPr>
          <w:t>期末按行业分类的权益投资组合</w:t>
        </w:r>
        <w:r>
          <w:rPr>
            <w:noProof/>
            <w:webHidden/>
          </w:rPr>
          <w:tab/>
        </w:r>
        <w:r>
          <w:rPr>
            <w:noProof/>
            <w:webHidden/>
          </w:rPr>
          <w:fldChar w:fldCharType="begin"/>
        </w:r>
        <w:r>
          <w:rPr>
            <w:noProof/>
            <w:webHidden/>
          </w:rPr>
          <w:instrText xml:space="preserve"> PAGEREF _Toc48659801 \h </w:instrText>
        </w:r>
        <w:r>
          <w:rPr>
            <w:noProof/>
            <w:webHidden/>
          </w:rPr>
        </w:r>
        <w:r>
          <w:rPr>
            <w:noProof/>
            <w:webHidden/>
          </w:rPr>
          <w:fldChar w:fldCharType="separate"/>
        </w:r>
        <w:r>
          <w:rPr>
            <w:noProof/>
            <w:webHidden/>
          </w:rPr>
          <w:t>37</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02" w:history="1">
        <w:r w:rsidRPr="00152EF8">
          <w:rPr>
            <w:rStyle w:val="a9"/>
            <w:rFonts w:ascii="宋体" w:hAnsi="宋体"/>
            <w:noProof/>
          </w:rPr>
          <w:t>7.4</w:t>
        </w:r>
        <w:r w:rsidRPr="00152EF8">
          <w:rPr>
            <w:rStyle w:val="a9"/>
            <w:noProof/>
          </w:rPr>
          <w:t xml:space="preserve">   </w:t>
        </w:r>
        <w:r w:rsidRPr="00152EF8">
          <w:rPr>
            <w:rStyle w:val="a9"/>
            <w:rFonts w:hint="eastAsia"/>
            <w:noProof/>
          </w:rPr>
          <w:t>期末按公允价值占基金资产净值比例大小排序的所有权益投资明细</w:t>
        </w:r>
        <w:r>
          <w:rPr>
            <w:noProof/>
            <w:webHidden/>
          </w:rPr>
          <w:tab/>
        </w:r>
        <w:r>
          <w:rPr>
            <w:noProof/>
            <w:webHidden/>
          </w:rPr>
          <w:fldChar w:fldCharType="begin"/>
        </w:r>
        <w:r>
          <w:rPr>
            <w:noProof/>
            <w:webHidden/>
          </w:rPr>
          <w:instrText xml:space="preserve"> PAGEREF _Toc48659802 \h </w:instrText>
        </w:r>
        <w:r>
          <w:rPr>
            <w:noProof/>
            <w:webHidden/>
          </w:rPr>
        </w:r>
        <w:r>
          <w:rPr>
            <w:noProof/>
            <w:webHidden/>
          </w:rPr>
          <w:fldChar w:fldCharType="separate"/>
        </w:r>
        <w:r>
          <w:rPr>
            <w:noProof/>
            <w:webHidden/>
          </w:rPr>
          <w:t>37</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03" w:history="1">
        <w:r w:rsidRPr="00152EF8">
          <w:rPr>
            <w:rStyle w:val="a9"/>
            <w:rFonts w:ascii="宋体" w:hAnsi="宋体"/>
            <w:noProof/>
          </w:rPr>
          <w:t>7.5</w:t>
        </w:r>
        <w:r w:rsidRPr="00152EF8">
          <w:rPr>
            <w:rStyle w:val="a9"/>
            <w:noProof/>
          </w:rPr>
          <w:t xml:space="preserve">   </w:t>
        </w:r>
        <w:r w:rsidRPr="00152EF8">
          <w:rPr>
            <w:rStyle w:val="a9"/>
            <w:rFonts w:hint="eastAsia"/>
            <w:noProof/>
          </w:rPr>
          <w:t>报告期内</w:t>
        </w:r>
        <w:r w:rsidRPr="00152EF8">
          <w:rPr>
            <w:rStyle w:val="a9"/>
            <w:rFonts w:ascii="宋体" w:hAnsi="宋体" w:hint="eastAsia"/>
            <w:noProof/>
          </w:rPr>
          <w:t>权益</w:t>
        </w:r>
        <w:r w:rsidRPr="00152EF8">
          <w:rPr>
            <w:rStyle w:val="a9"/>
            <w:rFonts w:hint="eastAsia"/>
            <w:noProof/>
          </w:rPr>
          <w:t>投资组合的重大变动</w:t>
        </w:r>
        <w:r>
          <w:rPr>
            <w:noProof/>
            <w:webHidden/>
          </w:rPr>
          <w:tab/>
        </w:r>
        <w:r>
          <w:rPr>
            <w:noProof/>
            <w:webHidden/>
          </w:rPr>
          <w:fldChar w:fldCharType="begin"/>
        </w:r>
        <w:r>
          <w:rPr>
            <w:noProof/>
            <w:webHidden/>
          </w:rPr>
          <w:instrText xml:space="preserve"> PAGEREF _Toc48659803 \h </w:instrText>
        </w:r>
        <w:r>
          <w:rPr>
            <w:noProof/>
            <w:webHidden/>
          </w:rPr>
        </w:r>
        <w:r>
          <w:rPr>
            <w:noProof/>
            <w:webHidden/>
          </w:rPr>
          <w:fldChar w:fldCharType="separate"/>
        </w:r>
        <w:r>
          <w:rPr>
            <w:noProof/>
            <w:webHidden/>
          </w:rPr>
          <w:t>37</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04" w:history="1">
        <w:r w:rsidRPr="00152EF8">
          <w:rPr>
            <w:rStyle w:val="a9"/>
            <w:rFonts w:ascii="宋体" w:hAnsi="宋体"/>
            <w:noProof/>
          </w:rPr>
          <w:t>7.6</w:t>
        </w:r>
        <w:r w:rsidRPr="00152EF8">
          <w:rPr>
            <w:rStyle w:val="a9"/>
            <w:noProof/>
          </w:rPr>
          <w:t xml:space="preserve">   </w:t>
        </w:r>
        <w:r w:rsidRPr="00152EF8">
          <w:rPr>
            <w:rStyle w:val="a9"/>
            <w:rFonts w:hint="eastAsia"/>
            <w:noProof/>
          </w:rPr>
          <w:t>期末按债券信用等级分类的债券投资组合</w:t>
        </w:r>
        <w:r>
          <w:rPr>
            <w:noProof/>
            <w:webHidden/>
          </w:rPr>
          <w:tab/>
        </w:r>
        <w:r>
          <w:rPr>
            <w:noProof/>
            <w:webHidden/>
          </w:rPr>
          <w:fldChar w:fldCharType="begin"/>
        </w:r>
        <w:r>
          <w:rPr>
            <w:noProof/>
            <w:webHidden/>
          </w:rPr>
          <w:instrText xml:space="preserve"> PAGEREF _Toc48659804 \h </w:instrText>
        </w:r>
        <w:r>
          <w:rPr>
            <w:noProof/>
            <w:webHidden/>
          </w:rPr>
        </w:r>
        <w:r>
          <w:rPr>
            <w:noProof/>
            <w:webHidden/>
          </w:rPr>
          <w:fldChar w:fldCharType="separate"/>
        </w:r>
        <w:r>
          <w:rPr>
            <w:noProof/>
            <w:webHidden/>
          </w:rPr>
          <w:t>38</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05" w:history="1">
        <w:r w:rsidRPr="00152EF8">
          <w:rPr>
            <w:rStyle w:val="a9"/>
            <w:rFonts w:ascii="宋体" w:hAnsi="宋体"/>
            <w:noProof/>
          </w:rPr>
          <w:t>7.7</w:t>
        </w:r>
        <w:r w:rsidRPr="00152EF8">
          <w:rPr>
            <w:rStyle w:val="a9"/>
            <w:noProof/>
          </w:rPr>
          <w:t xml:space="preserve">   </w:t>
        </w:r>
        <w:r w:rsidRPr="00152EF8">
          <w:rPr>
            <w:rStyle w:val="a9"/>
            <w:rFonts w:hint="eastAsia"/>
            <w:noProof/>
          </w:rPr>
          <w:t>期末按公允价值占基金资产净值比例大小排名的前五名债券投资明细</w:t>
        </w:r>
        <w:r>
          <w:rPr>
            <w:noProof/>
            <w:webHidden/>
          </w:rPr>
          <w:tab/>
        </w:r>
        <w:r>
          <w:rPr>
            <w:noProof/>
            <w:webHidden/>
          </w:rPr>
          <w:fldChar w:fldCharType="begin"/>
        </w:r>
        <w:r>
          <w:rPr>
            <w:noProof/>
            <w:webHidden/>
          </w:rPr>
          <w:instrText xml:space="preserve"> PAGEREF _Toc48659805 \h </w:instrText>
        </w:r>
        <w:r>
          <w:rPr>
            <w:noProof/>
            <w:webHidden/>
          </w:rPr>
        </w:r>
        <w:r>
          <w:rPr>
            <w:noProof/>
            <w:webHidden/>
          </w:rPr>
          <w:fldChar w:fldCharType="separate"/>
        </w:r>
        <w:r>
          <w:rPr>
            <w:noProof/>
            <w:webHidden/>
          </w:rPr>
          <w:t>38</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06" w:history="1">
        <w:r w:rsidRPr="00152EF8">
          <w:rPr>
            <w:rStyle w:val="a9"/>
            <w:rFonts w:ascii="宋体" w:hAnsi="宋体"/>
            <w:noProof/>
          </w:rPr>
          <w:t>7.8</w:t>
        </w:r>
        <w:r w:rsidRPr="00152EF8">
          <w:rPr>
            <w:rStyle w:val="a9"/>
            <w:noProof/>
          </w:rPr>
          <w:t xml:space="preserve">   </w:t>
        </w:r>
        <w:r w:rsidRPr="00152EF8">
          <w:rPr>
            <w:rStyle w:val="a9"/>
            <w:rFonts w:hint="eastAsia"/>
            <w:noProof/>
          </w:rPr>
          <w:t>期末按公允价值占基金资产净值比例大小排名的所有资产支持证券投资明细</w:t>
        </w:r>
        <w:r>
          <w:rPr>
            <w:noProof/>
            <w:webHidden/>
          </w:rPr>
          <w:tab/>
        </w:r>
        <w:r>
          <w:rPr>
            <w:noProof/>
            <w:webHidden/>
          </w:rPr>
          <w:fldChar w:fldCharType="begin"/>
        </w:r>
        <w:r>
          <w:rPr>
            <w:noProof/>
            <w:webHidden/>
          </w:rPr>
          <w:instrText xml:space="preserve"> PAGEREF _Toc48659806 \h </w:instrText>
        </w:r>
        <w:r>
          <w:rPr>
            <w:noProof/>
            <w:webHidden/>
          </w:rPr>
        </w:r>
        <w:r>
          <w:rPr>
            <w:noProof/>
            <w:webHidden/>
          </w:rPr>
          <w:fldChar w:fldCharType="separate"/>
        </w:r>
        <w:r>
          <w:rPr>
            <w:noProof/>
            <w:webHidden/>
          </w:rPr>
          <w:t>38</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07" w:history="1">
        <w:r w:rsidRPr="00152EF8">
          <w:rPr>
            <w:rStyle w:val="a9"/>
            <w:rFonts w:ascii="宋体" w:hAnsi="宋体"/>
            <w:noProof/>
          </w:rPr>
          <w:t>7.9</w:t>
        </w:r>
        <w:r w:rsidRPr="00152EF8">
          <w:rPr>
            <w:rStyle w:val="a9"/>
            <w:noProof/>
          </w:rPr>
          <w:t xml:space="preserve">   </w:t>
        </w:r>
        <w:r w:rsidRPr="00152EF8">
          <w:rPr>
            <w:rStyle w:val="a9"/>
            <w:rFonts w:hint="eastAsia"/>
            <w:noProof/>
          </w:rPr>
          <w:t>期末按公允价值占基金资产净值比例大小排名的前五名金融衍生品投资明细</w:t>
        </w:r>
        <w:r>
          <w:rPr>
            <w:noProof/>
            <w:webHidden/>
          </w:rPr>
          <w:tab/>
        </w:r>
        <w:r>
          <w:rPr>
            <w:noProof/>
            <w:webHidden/>
          </w:rPr>
          <w:fldChar w:fldCharType="begin"/>
        </w:r>
        <w:r>
          <w:rPr>
            <w:noProof/>
            <w:webHidden/>
          </w:rPr>
          <w:instrText xml:space="preserve"> PAGEREF _Toc48659807 \h </w:instrText>
        </w:r>
        <w:r>
          <w:rPr>
            <w:noProof/>
            <w:webHidden/>
          </w:rPr>
        </w:r>
        <w:r>
          <w:rPr>
            <w:noProof/>
            <w:webHidden/>
          </w:rPr>
          <w:fldChar w:fldCharType="separate"/>
        </w:r>
        <w:r>
          <w:rPr>
            <w:noProof/>
            <w:webHidden/>
          </w:rPr>
          <w:t>38</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08" w:history="1">
        <w:r w:rsidRPr="00152EF8">
          <w:rPr>
            <w:rStyle w:val="a9"/>
            <w:rFonts w:ascii="宋体" w:hAnsi="宋体"/>
            <w:noProof/>
          </w:rPr>
          <w:t>7.10</w:t>
        </w:r>
        <w:r w:rsidRPr="00152EF8">
          <w:rPr>
            <w:rStyle w:val="a9"/>
            <w:noProof/>
          </w:rPr>
          <w:t xml:space="preserve">   </w:t>
        </w:r>
        <w:r w:rsidRPr="00152EF8">
          <w:rPr>
            <w:rStyle w:val="a9"/>
            <w:rFonts w:hint="eastAsia"/>
            <w:noProof/>
          </w:rPr>
          <w:t>期末按公允价值占基金资产净值比例大小排序的前十名基金投资明细</w:t>
        </w:r>
        <w:r>
          <w:rPr>
            <w:noProof/>
            <w:webHidden/>
          </w:rPr>
          <w:tab/>
        </w:r>
        <w:r>
          <w:rPr>
            <w:noProof/>
            <w:webHidden/>
          </w:rPr>
          <w:fldChar w:fldCharType="begin"/>
        </w:r>
        <w:r>
          <w:rPr>
            <w:noProof/>
            <w:webHidden/>
          </w:rPr>
          <w:instrText xml:space="preserve"> PAGEREF _Toc48659808 \h </w:instrText>
        </w:r>
        <w:r>
          <w:rPr>
            <w:noProof/>
            <w:webHidden/>
          </w:rPr>
        </w:r>
        <w:r>
          <w:rPr>
            <w:noProof/>
            <w:webHidden/>
          </w:rPr>
          <w:fldChar w:fldCharType="separate"/>
        </w:r>
        <w:r>
          <w:rPr>
            <w:noProof/>
            <w:webHidden/>
          </w:rPr>
          <w:t>39</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09" w:history="1">
        <w:r w:rsidRPr="00152EF8">
          <w:rPr>
            <w:rStyle w:val="a9"/>
            <w:rFonts w:ascii="宋体" w:hAnsi="宋体"/>
            <w:noProof/>
          </w:rPr>
          <w:t>7.11</w:t>
        </w:r>
        <w:r w:rsidRPr="00152EF8">
          <w:rPr>
            <w:rStyle w:val="a9"/>
            <w:noProof/>
          </w:rPr>
          <w:t xml:space="preserve">   </w:t>
        </w:r>
        <w:r w:rsidRPr="00152EF8">
          <w:rPr>
            <w:rStyle w:val="a9"/>
            <w:rFonts w:hint="eastAsia"/>
            <w:noProof/>
          </w:rPr>
          <w:t>投资组合报告附注</w:t>
        </w:r>
        <w:r>
          <w:rPr>
            <w:noProof/>
            <w:webHidden/>
          </w:rPr>
          <w:tab/>
        </w:r>
        <w:r>
          <w:rPr>
            <w:noProof/>
            <w:webHidden/>
          </w:rPr>
          <w:fldChar w:fldCharType="begin"/>
        </w:r>
        <w:r>
          <w:rPr>
            <w:noProof/>
            <w:webHidden/>
          </w:rPr>
          <w:instrText xml:space="preserve"> PAGEREF _Toc48659809 \h </w:instrText>
        </w:r>
        <w:r>
          <w:rPr>
            <w:noProof/>
            <w:webHidden/>
          </w:rPr>
        </w:r>
        <w:r>
          <w:rPr>
            <w:noProof/>
            <w:webHidden/>
          </w:rPr>
          <w:fldChar w:fldCharType="separate"/>
        </w:r>
        <w:r>
          <w:rPr>
            <w:noProof/>
            <w:webHidden/>
          </w:rPr>
          <w:t>39</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10" w:history="1">
        <w:r w:rsidRPr="00152EF8">
          <w:rPr>
            <w:rStyle w:val="a9"/>
            <w:rFonts w:ascii="宋体" w:hAnsi="宋体"/>
            <w:noProof/>
          </w:rPr>
          <w:t>8</w:t>
        </w:r>
        <w:r w:rsidRPr="00152EF8">
          <w:rPr>
            <w:rStyle w:val="a9"/>
            <w:noProof/>
          </w:rPr>
          <w:t xml:space="preserve">     </w:t>
        </w:r>
        <w:r w:rsidRPr="00152EF8">
          <w:rPr>
            <w:rStyle w:val="a9"/>
            <w:rFonts w:hint="eastAsia"/>
            <w:noProof/>
          </w:rPr>
          <w:t>基金份额持有人信息</w:t>
        </w:r>
        <w:r>
          <w:rPr>
            <w:noProof/>
            <w:webHidden/>
          </w:rPr>
          <w:tab/>
        </w:r>
        <w:r>
          <w:rPr>
            <w:noProof/>
            <w:webHidden/>
          </w:rPr>
          <w:fldChar w:fldCharType="begin"/>
        </w:r>
        <w:r>
          <w:rPr>
            <w:noProof/>
            <w:webHidden/>
          </w:rPr>
          <w:instrText xml:space="preserve"> PAGEREF _Toc48659810 \h </w:instrText>
        </w:r>
        <w:r>
          <w:rPr>
            <w:noProof/>
            <w:webHidden/>
          </w:rPr>
        </w:r>
        <w:r>
          <w:rPr>
            <w:noProof/>
            <w:webHidden/>
          </w:rPr>
          <w:fldChar w:fldCharType="separate"/>
        </w:r>
        <w:r>
          <w:rPr>
            <w:noProof/>
            <w:webHidden/>
          </w:rPr>
          <w:t>39</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11" w:history="1">
        <w:r w:rsidRPr="00152EF8">
          <w:rPr>
            <w:rStyle w:val="a9"/>
            <w:rFonts w:ascii="宋体" w:hAnsi="宋体"/>
            <w:noProof/>
          </w:rPr>
          <w:t>8.1</w:t>
        </w:r>
        <w:r w:rsidRPr="00152EF8">
          <w:rPr>
            <w:rStyle w:val="a9"/>
            <w:noProof/>
          </w:rPr>
          <w:t xml:space="preserve">   </w:t>
        </w:r>
        <w:r w:rsidRPr="00152EF8">
          <w:rPr>
            <w:rStyle w:val="a9"/>
            <w:rFonts w:hint="eastAsia"/>
            <w:noProof/>
          </w:rPr>
          <w:t>期末基金份额持有人户数及持有人结构</w:t>
        </w:r>
        <w:r>
          <w:rPr>
            <w:noProof/>
            <w:webHidden/>
          </w:rPr>
          <w:tab/>
        </w:r>
        <w:r>
          <w:rPr>
            <w:noProof/>
            <w:webHidden/>
          </w:rPr>
          <w:fldChar w:fldCharType="begin"/>
        </w:r>
        <w:r>
          <w:rPr>
            <w:noProof/>
            <w:webHidden/>
          </w:rPr>
          <w:instrText xml:space="preserve"> PAGEREF _Toc48659811 \h </w:instrText>
        </w:r>
        <w:r>
          <w:rPr>
            <w:noProof/>
            <w:webHidden/>
          </w:rPr>
        </w:r>
        <w:r>
          <w:rPr>
            <w:noProof/>
            <w:webHidden/>
          </w:rPr>
          <w:fldChar w:fldCharType="separate"/>
        </w:r>
        <w:r>
          <w:rPr>
            <w:noProof/>
            <w:webHidden/>
          </w:rPr>
          <w:t>39</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12" w:history="1">
        <w:r w:rsidRPr="00152EF8">
          <w:rPr>
            <w:rStyle w:val="a9"/>
            <w:rFonts w:ascii="宋体" w:hAnsi="宋体"/>
            <w:noProof/>
          </w:rPr>
          <w:t>8.2</w:t>
        </w:r>
        <w:r w:rsidRPr="00152EF8">
          <w:rPr>
            <w:rStyle w:val="a9"/>
            <w:noProof/>
          </w:rPr>
          <w:t xml:space="preserve">   </w:t>
        </w:r>
        <w:r w:rsidRPr="00152EF8">
          <w:rPr>
            <w:rStyle w:val="a9"/>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_Toc48659812 \h </w:instrText>
        </w:r>
        <w:r>
          <w:rPr>
            <w:noProof/>
            <w:webHidden/>
          </w:rPr>
        </w:r>
        <w:r>
          <w:rPr>
            <w:noProof/>
            <w:webHidden/>
          </w:rPr>
          <w:fldChar w:fldCharType="separate"/>
        </w:r>
        <w:r>
          <w:rPr>
            <w:noProof/>
            <w:webHidden/>
          </w:rPr>
          <w:t>40</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13" w:history="1">
        <w:r w:rsidRPr="00152EF8">
          <w:rPr>
            <w:rStyle w:val="a9"/>
            <w:rFonts w:ascii="宋体" w:hAnsi="宋体"/>
            <w:noProof/>
          </w:rPr>
          <w:t>8.3</w:t>
        </w:r>
        <w:r w:rsidRPr="00152EF8">
          <w:rPr>
            <w:rStyle w:val="a9"/>
            <w:noProof/>
          </w:rPr>
          <w:t xml:space="preserve">   </w:t>
        </w:r>
        <w:r w:rsidRPr="00152EF8">
          <w:rPr>
            <w:rStyle w:val="a9"/>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_Toc48659813 \h </w:instrText>
        </w:r>
        <w:r>
          <w:rPr>
            <w:noProof/>
            <w:webHidden/>
          </w:rPr>
        </w:r>
        <w:r>
          <w:rPr>
            <w:noProof/>
            <w:webHidden/>
          </w:rPr>
          <w:fldChar w:fldCharType="separate"/>
        </w:r>
        <w:r>
          <w:rPr>
            <w:noProof/>
            <w:webHidden/>
          </w:rPr>
          <w:t>40</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14" w:history="1">
        <w:r w:rsidRPr="00152EF8">
          <w:rPr>
            <w:rStyle w:val="a9"/>
            <w:noProof/>
          </w:rPr>
          <w:t xml:space="preserve">9     </w:t>
        </w:r>
        <w:r w:rsidRPr="00152EF8">
          <w:rPr>
            <w:rStyle w:val="a9"/>
            <w:rFonts w:hint="eastAsia"/>
            <w:noProof/>
          </w:rPr>
          <w:t>开放式基金份额变动</w:t>
        </w:r>
        <w:r>
          <w:rPr>
            <w:noProof/>
            <w:webHidden/>
          </w:rPr>
          <w:tab/>
        </w:r>
        <w:r>
          <w:rPr>
            <w:noProof/>
            <w:webHidden/>
          </w:rPr>
          <w:fldChar w:fldCharType="begin"/>
        </w:r>
        <w:r>
          <w:rPr>
            <w:noProof/>
            <w:webHidden/>
          </w:rPr>
          <w:instrText xml:space="preserve"> PAGEREF _Toc48659814 \h </w:instrText>
        </w:r>
        <w:r>
          <w:rPr>
            <w:noProof/>
            <w:webHidden/>
          </w:rPr>
        </w:r>
        <w:r>
          <w:rPr>
            <w:noProof/>
            <w:webHidden/>
          </w:rPr>
          <w:fldChar w:fldCharType="separate"/>
        </w:r>
        <w:r>
          <w:rPr>
            <w:noProof/>
            <w:webHidden/>
          </w:rPr>
          <w:t>41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15" w:history="1">
        <w:r w:rsidRPr="00152EF8">
          <w:rPr>
            <w:rStyle w:val="a9"/>
            <w:rFonts w:ascii="宋体" w:hAnsi="宋体"/>
            <w:noProof/>
          </w:rPr>
          <w:t>10</w:t>
        </w:r>
        <w:r w:rsidRPr="00152EF8">
          <w:rPr>
            <w:rStyle w:val="a9"/>
            <w:noProof/>
          </w:rPr>
          <w:t xml:space="preserve">     </w:t>
        </w:r>
        <w:r w:rsidRPr="00152EF8">
          <w:rPr>
            <w:rStyle w:val="a9"/>
            <w:rFonts w:hint="eastAsia"/>
            <w:noProof/>
          </w:rPr>
          <w:t>重大事件揭示</w:t>
        </w:r>
        <w:r>
          <w:rPr>
            <w:noProof/>
            <w:webHidden/>
          </w:rPr>
          <w:tab/>
        </w:r>
        <w:r>
          <w:rPr>
            <w:noProof/>
            <w:webHidden/>
          </w:rPr>
          <w:fldChar w:fldCharType="begin"/>
        </w:r>
        <w:r>
          <w:rPr>
            <w:noProof/>
            <w:webHidden/>
          </w:rPr>
          <w:instrText xml:space="preserve"> PAGEREF _Toc48659815 \h </w:instrText>
        </w:r>
        <w:r>
          <w:rPr>
            <w:noProof/>
            <w:webHidden/>
          </w:rPr>
        </w:r>
        <w:r>
          <w:rPr>
            <w:noProof/>
            <w:webHidden/>
          </w:rPr>
          <w:fldChar w:fldCharType="separate"/>
        </w:r>
        <w:r>
          <w:rPr>
            <w:noProof/>
            <w:webHidden/>
          </w:rPr>
          <w:t>41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16" w:history="1">
        <w:r w:rsidRPr="00152EF8">
          <w:rPr>
            <w:rStyle w:val="a9"/>
            <w:rFonts w:ascii="宋体" w:hAnsi="宋体"/>
            <w:noProof/>
          </w:rPr>
          <w:t>10.1</w:t>
        </w:r>
        <w:r w:rsidRPr="00152EF8">
          <w:rPr>
            <w:rStyle w:val="a9"/>
            <w:noProof/>
          </w:rPr>
          <w:t xml:space="preserve">   </w:t>
        </w:r>
        <w:r w:rsidRPr="00152EF8">
          <w:rPr>
            <w:rStyle w:val="a9"/>
            <w:rFonts w:hint="eastAsia"/>
            <w:noProof/>
          </w:rPr>
          <w:t>基金份额持有人大会决议</w:t>
        </w:r>
        <w:r>
          <w:rPr>
            <w:noProof/>
            <w:webHidden/>
          </w:rPr>
          <w:tab/>
        </w:r>
        <w:r>
          <w:rPr>
            <w:noProof/>
            <w:webHidden/>
          </w:rPr>
          <w:fldChar w:fldCharType="begin"/>
        </w:r>
        <w:r>
          <w:rPr>
            <w:noProof/>
            <w:webHidden/>
          </w:rPr>
          <w:instrText xml:space="preserve"> PAGEREF _Toc48659816 \h </w:instrText>
        </w:r>
        <w:r>
          <w:rPr>
            <w:noProof/>
            <w:webHidden/>
          </w:rPr>
        </w:r>
        <w:r>
          <w:rPr>
            <w:noProof/>
            <w:webHidden/>
          </w:rPr>
          <w:fldChar w:fldCharType="separate"/>
        </w:r>
        <w:r>
          <w:rPr>
            <w:noProof/>
            <w:webHidden/>
          </w:rPr>
          <w:t>41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17" w:history="1">
        <w:r w:rsidRPr="00152EF8">
          <w:rPr>
            <w:rStyle w:val="a9"/>
            <w:rFonts w:ascii="宋体" w:hAnsi="宋体"/>
            <w:noProof/>
          </w:rPr>
          <w:t>10.2</w:t>
        </w:r>
        <w:r w:rsidRPr="00152EF8">
          <w:rPr>
            <w:rStyle w:val="a9"/>
            <w:noProof/>
          </w:rPr>
          <w:t xml:space="preserve">   </w:t>
        </w:r>
        <w:r w:rsidRPr="00152EF8">
          <w:rPr>
            <w:rStyle w:val="a9"/>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_Toc48659817 \h </w:instrText>
        </w:r>
        <w:r>
          <w:rPr>
            <w:noProof/>
            <w:webHidden/>
          </w:rPr>
        </w:r>
        <w:r>
          <w:rPr>
            <w:noProof/>
            <w:webHidden/>
          </w:rPr>
          <w:fldChar w:fldCharType="separate"/>
        </w:r>
        <w:r>
          <w:rPr>
            <w:noProof/>
            <w:webHidden/>
          </w:rPr>
          <w:t>41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18" w:history="1">
        <w:r w:rsidRPr="00152EF8">
          <w:rPr>
            <w:rStyle w:val="a9"/>
            <w:rFonts w:ascii="宋体" w:hAnsi="宋体"/>
            <w:noProof/>
          </w:rPr>
          <w:t>10.3</w:t>
        </w:r>
        <w:r w:rsidRPr="00152EF8">
          <w:rPr>
            <w:rStyle w:val="a9"/>
            <w:noProof/>
          </w:rPr>
          <w:t xml:space="preserve">   </w:t>
        </w:r>
        <w:r w:rsidRPr="00152EF8">
          <w:rPr>
            <w:rStyle w:val="a9"/>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_Toc48659818 \h </w:instrText>
        </w:r>
        <w:r>
          <w:rPr>
            <w:noProof/>
            <w:webHidden/>
          </w:rPr>
        </w:r>
        <w:r>
          <w:rPr>
            <w:noProof/>
            <w:webHidden/>
          </w:rPr>
          <w:fldChar w:fldCharType="separate"/>
        </w:r>
        <w:r>
          <w:rPr>
            <w:noProof/>
            <w:webHidden/>
          </w:rPr>
          <w:t>41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19" w:history="1">
        <w:r w:rsidRPr="00152EF8">
          <w:rPr>
            <w:rStyle w:val="a9"/>
            <w:rFonts w:ascii="宋体" w:hAnsi="宋体"/>
            <w:noProof/>
          </w:rPr>
          <w:t>10.4</w:t>
        </w:r>
        <w:r w:rsidRPr="00152EF8">
          <w:rPr>
            <w:rStyle w:val="a9"/>
            <w:noProof/>
          </w:rPr>
          <w:t xml:space="preserve">   </w:t>
        </w:r>
        <w:r w:rsidRPr="00152EF8">
          <w:rPr>
            <w:rStyle w:val="a9"/>
            <w:rFonts w:hint="eastAsia"/>
            <w:noProof/>
          </w:rPr>
          <w:t>基金投资策略的改变</w:t>
        </w:r>
        <w:r>
          <w:rPr>
            <w:noProof/>
            <w:webHidden/>
          </w:rPr>
          <w:tab/>
        </w:r>
        <w:r>
          <w:rPr>
            <w:noProof/>
            <w:webHidden/>
          </w:rPr>
          <w:fldChar w:fldCharType="begin"/>
        </w:r>
        <w:r>
          <w:rPr>
            <w:noProof/>
            <w:webHidden/>
          </w:rPr>
          <w:instrText xml:space="preserve"> PAGEREF _Toc48659819 \h </w:instrText>
        </w:r>
        <w:r>
          <w:rPr>
            <w:noProof/>
            <w:webHidden/>
          </w:rPr>
        </w:r>
        <w:r>
          <w:rPr>
            <w:noProof/>
            <w:webHidden/>
          </w:rPr>
          <w:fldChar w:fldCharType="separate"/>
        </w:r>
        <w:r>
          <w:rPr>
            <w:noProof/>
            <w:webHidden/>
          </w:rPr>
          <w:t>41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20" w:history="1">
        <w:r w:rsidRPr="00152EF8">
          <w:rPr>
            <w:rStyle w:val="a9"/>
            <w:rFonts w:ascii="宋体" w:hAnsi="宋体"/>
            <w:noProof/>
          </w:rPr>
          <w:t>10.5</w:t>
        </w:r>
        <w:r w:rsidRPr="00152EF8">
          <w:rPr>
            <w:rStyle w:val="a9"/>
            <w:noProof/>
          </w:rPr>
          <w:t xml:space="preserve">  </w:t>
        </w:r>
        <w:r w:rsidRPr="00152EF8">
          <w:rPr>
            <w:rStyle w:val="a9"/>
            <w:rFonts w:ascii="宋体" w:hAnsi="宋体" w:hint="eastAsia"/>
            <w:noProof/>
          </w:rPr>
          <w:t>为基金进行审计的会计师事务所情况</w:t>
        </w:r>
        <w:r>
          <w:rPr>
            <w:noProof/>
            <w:webHidden/>
          </w:rPr>
          <w:tab/>
        </w:r>
        <w:r>
          <w:rPr>
            <w:noProof/>
            <w:webHidden/>
          </w:rPr>
          <w:fldChar w:fldCharType="begin"/>
        </w:r>
        <w:r>
          <w:rPr>
            <w:noProof/>
            <w:webHidden/>
          </w:rPr>
          <w:instrText xml:space="preserve"> PAGEREF _Toc48659820 \h </w:instrText>
        </w:r>
        <w:r>
          <w:rPr>
            <w:noProof/>
            <w:webHidden/>
          </w:rPr>
        </w:r>
        <w:r>
          <w:rPr>
            <w:noProof/>
            <w:webHidden/>
          </w:rPr>
          <w:fldChar w:fldCharType="separate"/>
        </w:r>
        <w:r>
          <w:rPr>
            <w:noProof/>
            <w:webHidden/>
          </w:rPr>
          <w:t>41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21" w:history="1">
        <w:r w:rsidRPr="00152EF8">
          <w:rPr>
            <w:rStyle w:val="a9"/>
            <w:rFonts w:ascii="宋体" w:hAnsi="宋体"/>
            <w:noProof/>
          </w:rPr>
          <w:t>10.6</w:t>
        </w:r>
        <w:r w:rsidRPr="00152EF8">
          <w:rPr>
            <w:rStyle w:val="a9"/>
            <w:noProof/>
          </w:rPr>
          <w:t xml:space="preserve">  </w:t>
        </w:r>
        <w:r w:rsidRPr="00152EF8">
          <w:rPr>
            <w:rStyle w:val="a9"/>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_Toc48659821 \h </w:instrText>
        </w:r>
        <w:r>
          <w:rPr>
            <w:noProof/>
            <w:webHidden/>
          </w:rPr>
        </w:r>
        <w:r>
          <w:rPr>
            <w:noProof/>
            <w:webHidden/>
          </w:rPr>
          <w:fldChar w:fldCharType="separate"/>
        </w:r>
        <w:r>
          <w:rPr>
            <w:noProof/>
            <w:webHidden/>
          </w:rPr>
          <w:t>42</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22" w:history="1">
        <w:r w:rsidRPr="00152EF8">
          <w:rPr>
            <w:rStyle w:val="a9"/>
            <w:rFonts w:ascii="宋体" w:hAnsi="宋体"/>
            <w:noProof/>
          </w:rPr>
          <w:t>10.7</w:t>
        </w:r>
        <w:r w:rsidRPr="00152EF8">
          <w:rPr>
            <w:rStyle w:val="a9"/>
            <w:noProof/>
          </w:rPr>
          <w:t xml:space="preserve">  </w:t>
        </w:r>
        <w:r w:rsidRPr="00152EF8">
          <w:rPr>
            <w:rStyle w:val="a9"/>
            <w:rFonts w:hint="eastAsia"/>
            <w:noProof/>
          </w:rPr>
          <w:t>基金租用证券公司交易单元的有关情况</w:t>
        </w:r>
        <w:r>
          <w:rPr>
            <w:noProof/>
            <w:webHidden/>
          </w:rPr>
          <w:tab/>
        </w:r>
        <w:r>
          <w:rPr>
            <w:noProof/>
            <w:webHidden/>
          </w:rPr>
          <w:fldChar w:fldCharType="begin"/>
        </w:r>
        <w:r>
          <w:rPr>
            <w:noProof/>
            <w:webHidden/>
          </w:rPr>
          <w:instrText xml:space="preserve"> PAGEREF _Toc48659822 \h </w:instrText>
        </w:r>
        <w:r>
          <w:rPr>
            <w:noProof/>
            <w:webHidden/>
          </w:rPr>
        </w:r>
        <w:r>
          <w:rPr>
            <w:noProof/>
            <w:webHidden/>
          </w:rPr>
          <w:fldChar w:fldCharType="separate"/>
        </w:r>
        <w:r>
          <w:rPr>
            <w:noProof/>
            <w:webHidden/>
          </w:rPr>
          <w:t>42</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23" w:history="1">
        <w:r w:rsidRPr="00152EF8">
          <w:rPr>
            <w:rStyle w:val="a9"/>
            <w:rFonts w:ascii="宋体" w:hAnsi="宋体"/>
            <w:noProof/>
          </w:rPr>
          <w:t>10.8</w:t>
        </w:r>
        <w:r w:rsidRPr="00152EF8">
          <w:rPr>
            <w:rStyle w:val="a9"/>
            <w:noProof/>
          </w:rPr>
          <w:t xml:space="preserve">   </w:t>
        </w:r>
        <w:r w:rsidRPr="00152EF8">
          <w:rPr>
            <w:rStyle w:val="a9"/>
            <w:rFonts w:hint="eastAsia"/>
            <w:noProof/>
          </w:rPr>
          <w:t>其他重大事件</w:t>
        </w:r>
        <w:r>
          <w:rPr>
            <w:noProof/>
            <w:webHidden/>
          </w:rPr>
          <w:tab/>
        </w:r>
        <w:r>
          <w:rPr>
            <w:noProof/>
            <w:webHidden/>
          </w:rPr>
          <w:fldChar w:fldCharType="begin"/>
        </w:r>
        <w:r>
          <w:rPr>
            <w:noProof/>
            <w:webHidden/>
          </w:rPr>
          <w:instrText xml:space="preserve"> PAGEREF _Toc48659823 \h </w:instrText>
        </w:r>
        <w:r>
          <w:rPr>
            <w:noProof/>
            <w:webHidden/>
          </w:rPr>
        </w:r>
        <w:r>
          <w:rPr>
            <w:noProof/>
            <w:webHidden/>
          </w:rPr>
          <w:fldChar w:fldCharType="separate"/>
        </w:r>
        <w:r>
          <w:rPr>
            <w:noProof/>
            <w:webHidden/>
          </w:rPr>
          <w:t>49</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24" w:history="1">
        <w:r w:rsidRPr="00152EF8">
          <w:rPr>
            <w:rStyle w:val="a9"/>
            <w:rFonts w:ascii="宋体" w:hAnsi="宋体"/>
            <w:noProof/>
          </w:rPr>
          <w:t>11</w:t>
        </w:r>
        <w:r w:rsidRPr="00152EF8">
          <w:rPr>
            <w:rStyle w:val="a9"/>
            <w:noProof/>
          </w:rPr>
          <w:t xml:space="preserve">     </w:t>
        </w:r>
        <w:r w:rsidRPr="00152EF8">
          <w:rPr>
            <w:rStyle w:val="a9"/>
            <w:rFonts w:hint="eastAsia"/>
            <w:noProof/>
          </w:rPr>
          <w:t>备查文件目录</w:t>
        </w:r>
        <w:r>
          <w:rPr>
            <w:noProof/>
            <w:webHidden/>
          </w:rPr>
          <w:tab/>
        </w:r>
        <w:r>
          <w:rPr>
            <w:noProof/>
            <w:webHidden/>
          </w:rPr>
          <w:fldChar w:fldCharType="begin"/>
        </w:r>
        <w:r>
          <w:rPr>
            <w:noProof/>
            <w:webHidden/>
          </w:rPr>
          <w:instrText xml:space="preserve"> PAGEREF _Toc48659824 \h </w:instrText>
        </w:r>
        <w:r>
          <w:rPr>
            <w:noProof/>
            <w:webHidden/>
          </w:rPr>
        </w:r>
        <w:r>
          <w:rPr>
            <w:noProof/>
            <w:webHidden/>
          </w:rPr>
          <w:fldChar w:fldCharType="separate"/>
        </w:r>
        <w:r>
          <w:rPr>
            <w:noProof/>
            <w:webHidden/>
          </w:rPr>
          <w:t>51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25" w:history="1">
        <w:r w:rsidRPr="00152EF8">
          <w:rPr>
            <w:rStyle w:val="a9"/>
            <w:rFonts w:ascii="宋体" w:hAnsi="宋体"/>
            <w:noProof/>
          </w:rPr>
          <w:t>11.1</w:t>
        </w:r>
        <w:r w:rsidRPr="00152EF8">
          <w:rPr>
            <w:rStyle w:val="a9"/>
            <w:noProof/>
          </w:rPr>
          <w:t xml:space="preserve">   </w:t>
        </w:r>
        <w:r w:rsidRPr="00152EF8">
          <w:rPr>
            <w:rStyle w:val="a9"/>
            <w:rFonts w:hint="eastAsia"/>
            <w:noProof/>
          </w:rPr>
          <w:t>备查文件目录</w:t>
        </w:r>
        <w:r>
          <w:rPr>
            <w:noProof/>
            <w:webHidden/>
          </w:rPr>
          <w:tab/>
        </w:r>
        <w:r>
          <w:rPr>
            <w:noProof/>
            <w:webHidden/>
          </w:rPr>
          <w:fldChar w:fldCharType="begin"/>
        </w:r>
        <w:r>
          <w:rPr>
            <w:noProof/>
            <w:webHidden/>
          </w:rPr>
          <w:instrText xml:space="preserve"> PAGEREF _Toc48659825 \h </w:instrText>
        </w:r>
        <w:r>
          <w:rPr>
            <w:noProof/>
            <w:webHidden/>
          </w:rPr>
        </w:r>
        <w:r>
          <w:rPr>
            <w:noProof/>
            <w:webHidden/>
          </w:rPr>
          <w:fldChar w:fldCharType="separate"/>
        </w:r>
        <w:r>
          <w:rPr>
            <w:noProof/>
            <w:webHidden/>
          </w:rPr>
          <w:t>51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26" w:history="1">
        <w:r w:rsidRPr="00152EF8">
          <w:rPr>
            <w:rStyle w:val="a9"/>
            <w:rFonts w:ascii="宋体" w:hAnsi="宋体"/>
            <w:noProof/>
          </w:rPr>
          <w:t>11.2</w:t>
        </w:r>
        <w:r w:rsidRPr="00152EF8">
          <w:rPr>
            <w:rStyle w:val="a9"/>
            <w:noProof/>
          </w:rPr>
          <w:t xml:space="preserve">   </w:t>
        </w:r>
        <w:r w:rsidRPr="00152EF8">
          <w:rPr>
            <w:rStyle w:val="a9"/>
            <w:rFonts w:hint="eastAsia"/>
            <w:noProof/>
          </w:rPr>
          <w:t>存放地点</w:t>
        </w:r>
        <w:r>
          <w:rPr>
            <w:noProof/>
            <w:webHidden/>
          </w:rPr>
          <w:tab/>
        </w:r>
        <w:r>
          <w:rPr>
            <w:noProof/>
            <w:webHidden/>
          </w:rPr>
          <w:fldChar w:fldCharType="begin"/>
        </w:r>
        <w:r>
          <w:rPr>
            <w:noProof/>
            <w:webHidden/>
          </w:rPr>
          <w:instrText xml:space="preserve"> PAGEREF _Toc48659826 \h </w:instrText>
        </w:r>
        <w:r>
          <w:rPr>
            <w:noProof/>
            <w:webHidden/>
          </w:rPr>
        </w:r>
        <w:r>
          <w:rPr>
            <w:noProof/>
            <w:webHidden/>
          </w:rPr>
          <w:fldChar w:fldCharType="separate"/>
        </w:r>
        <w:r>
          <w:rPr>
            <w:noProof/>
            <w:webHidden/>
          </w:rPr>
          <w:t>51</w:t>
        </w:r>
        <w:r>
          <w:rPr>
            <w:noProof/>
            <w:webHidden/>
          </w:rPr>
          <w:fldChar w:fldCharType="end"/>
        </w:r>
      </w:hyperlink>
    </w:p>
    <w:p w:rsidR="00133AD5" w:rsidRDefault="00133AD5">
      <w:pPr>
        <w:pStyle w:val="22"/>
        <w:ind w:left="420"/>
        <w:rPr>
          <w:rFonts w:asciiTheme="minorHAnsi" w:eastAsiaTheme="minorEastAsia" w:hAnsiTheme="minorHAnsi" w:cstheme="minorBidi"/>
          <w:noProof/>
          <w:kern w:val="2"/>
          <w:szCs w:val="22"/>
        </w:rPr>
      </w:pPr>
      <w:hyperlink w:anchor="_Toc48659827" w:history="1">
        <w:r w:rsidRPr="00152EF8">
          <w:rPr>
            <w:rStyle w:val="a9"/>
            <w:rFonts w:ascii="宋体" w:hAnsi="宋体"/>
            <w:noProof/>
          </w:rPr>
          <w:t>11.3</w:t>
        </w:r>
        <w:r w:rsidRPr="00152EF8">
          <w:rPr>
            <w:rStyle w:val="a9"/>
            <w:noProof/>
          </w:rPr>
          <w:t xml:space="preserve">   </w:t>
        </w:r>
        <w:r w:rsidRPr="00152EF8">
          <w:rPr>
            <w:rStyle w:val="a9"/>
            <w:rFonts w:hint="eastAsia"/>
            <w:noProof/>
          </w:rPr>
          <w:t>查阅方式</w:t>
        </w:r>
        <w:r>
          <w:rPr>
            <w:noProof/>
            <w:webHidden/>
          </w:rPr>
          <w:tab/>
        </w:r>
        <w:r>
          <w:rPr>
            <w:noProof/>
            <w:webHidden/>
          </w:rPr>
          <w:fldChar w:fldCharType="begin"/>
        </w:r>
        <w:r>
          <w:rPr>
            <w:noProof/>
            <w:webHidden/>
          </w:rPr>
          <w:instrText xml:space="preserve"> PAGEREF _Toc48659827 \h </w:instrText>
        </w:r>
        <w:r>
          <w:rPr>
            <w:noProof/>
            <w:webHidden/>
          </w:rPr>
        </w:r>
        <w:r>
          <w:rPr>
            <w:noProof/>
            <w:webHidden/>
          </w:rPr>
          <w:fldChar w:fldCharType="separate"/>
        </w:r>
        <w:r>
          <w:rPr>
            <w:noProof/>
            <w:webHidden/>
          </w:rPr>
          <w:t>51</w:t>
        </w:r>
        <w:r>
          <w:rPr>
            <w:noProof/>
            <w:webHidden/>
          </w:rPr>
          <w:fldChar w:fldCharType="end"/>
        </w:r>
      </w:hyperlink>
    </w:p>
    <w:p w:rsidR="00871A0D" w:rsidRPr="00C24ACA" w:rsidRDefault="00955B17" w:rsidP="00DB02ED">
      <w:pPr>
        <w:pStyle w:val="22"/>
        <w:tabs>
          <w:tab w:val="clear" w:pos="9072"/>
          <w:tab w:val="right" w:leader="dot" w:pos="8834"/>
        </w:tabs>
        <w:ind w:left="420"/>
        <w:rPr>
          <w:rFonts w:eastAsiaTheme="minorEastAsia"/>
        </w:rPr>
      </w:pPr>
      <w:r w:rsidRPr="006F3222">
        <w:rPr>
          <w:rFonts w:eastAsiaTheme="minorEastAsia"/>
          <w:color w:val="000000"/>
        </w:rPr>
        <w:fldChar w:fldCharType="end"/>
      </w:r>
      <w:r w:rsidR="00871A0D" w:rsidRPr="00C24ACA">
        <w:rPr>
          <w:rFonts w:eastAsiaTheme="minorEastAsia"/>
        </w:rPr>
        <w:br w:type="page"/>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1" w:name="_Toc225498244"/>
      <w:bookmarkStart w:id="22" w:name="_Toc352255960"/>
      <w:bookmarkStart w:id="23" w:name="_Toc352256028"/>
      <w:bookmarkStart w:id="24" w:name="_Toc352331206"/>
      <w:bookmarkStart w:id="25" w:name="_Toc390164792"/>
      <w:bookmarkStart w:id="26" w:name="_Toc48659770"/>
      <w:r w:rsidRPr="000C6CCD">
        <w:rPr>
          <w:rFonts w:ascii="宋体" w:hAnsi="宋体"/>
          <w:bCs w:val="0"/>
          <w:color w:val="000000"/>
          <w:sz w:val="21"/>
          <w:szCs w:val="21"/>
        </w:rPr>
        <w:t>2</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基金简介</w:t>
      </w:r>
      <w:bookmarkEnd w:id="21"/>
      <w:bookmarkEnd w:id="22"/>
      <w:bookmarkEnd w:id="23"/>
      <w:bookmarkEnd w:id="24"/>
      <w:bookmarkEnd w:id="25"/>
      <w:bookmarkEnd w:id="26"/>
    </w:p>
    <w:p w:rsidR="008A5A5D" w:rsidRPr="00A317EA" w:rsidRDefault="008A5A5D" w:rsidP="00732F5C">
      <w:pPr>
        <w:pStyle w:val="20"/>
        <w:spacing w:beforeLines="100" w:before="312" w:after="0"/>
        <w:rPr>
          <w:rFonts w:ascii="Times New Roman" w:eastAsiaTheme="minorEastAsia" w:hAnsi="Times New Roman"/>
          <w:kern w:val="0"/>
          <w:sz w:val="21"/>
          <w:szCs w:val="21"/>
        </w:rPr>
      </w:pPr>
      <w:bookmarkStart w:id="27" w:name="_Toc352255961"/>
      <w:bookmarkStart w:id="28" w:name="_Toc352256029"/>
      <w:bookmarkStart w:id="29" w:name="_Toc352331207"/>
      <w:bookmarkStart w:id="30" w:name="_Toc390164793"/>
      <w:bookmarkStart w:id="31" w:name="_Toc48659771"/>
      <w:r w:rsidRPr="0087359D">
        <w:rPr>
          <w:rFonts w:ascii="宋体" w:hAnsi="宋体"/>
          <w:kern w:val="0"/>
          <w:sz w:val="21"/>
          <w:szCs w:val="21"/>
        </w:rPr>
        <w:t>2.1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基金基本情况</w:t>
      </w:r>
      <w:bookmarkEnd w:id="27"/>
      <w:bookmarkEnd w:id="28"/>
      <w:bookmarkEnd w:id="29"/>
      <w:bookmarkEnd w:id="30"/>
      <w:bookmarkEnd w:id="3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58"/>
        <w:gridCol w:w="2580"/>
        <w:gridCol w:w="2637"/>
      </w:tblGrid>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基金名称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易方达中短期美元债债券型证券投资基金（</w:t>
            </w:r>
            <w:r w:rsidRPr="00C24ACA">
              <w:rPr>
                <w:rFonts w:eastAsiaTheme="minorEastAsia"/>
                <w:szCs w:val="21"/>
              </w:rPr>
              <w:t>QDII</w:t>
            </w:r>
            <w:r w:rsidRPr="00C24ACA">
              <w:rPr>
                <w:rFonts w:eastAsiaTheme="minorEastAsia"/>
                <w:szCs w:val="21"/>
              </w:rPr>
              <w:t>）</w:t>
            </w:r>
          </w:p>
        </w:tc>
      </w:tr>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基金简称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易方达中短期美元债债券（</w:t>
            </w:r>
            <w:r w:rsidRPr="00C24ACA">
              <w:rPr>
                <w:rFonts w:eastAsiaTheme="minorEastAsia"/>
                <w:szCs w:val="21"/>
              </w:rPr>
              <w:t>QDII</w:t>
            </w:r>
            <w:r w:rsidRPr="00C24ACA">
              <w:rPr>
                <w:rFonts w:eastAsiaTheme="minorEastAsia"/>
                <w:szCs w:val="21"/>
              </w:rPr>
              <w:t>）</w:t>
            </w:r>
          </w:p>
        </w:tc>
      </w:tr>
      <w:tr w:rsidR="008A5A5D" w:rsidRPr="00C24ACA" w:rsidTr="00862636">
        <w:tc>
          <w:tcPr>
            <w:tcW w:w="3258" w:type="dxa"/>
            <w:vAlign w:val="center"/>
          </w:tcPr>
          <w:p w:rsidR="008A5A5D" w:rsidRPr="00C24ACA" w:rsidRDefault="008A5A5D" w:rsidP="008F4C10">
            <w:pPr>
              <w:rPr>
                <w:rFonts w:eastAsiaTheme="minorEastAsia"/>
                <w:color w:val="000000"/>
                <w:kern w:val="0"/>
                <w:szCs w:val="21"/>
              </w:rPr>
            </w:pPr>
            <w:r w:rsidRPr="00C24ACA">
              <w:rPr>
                <w:rFonts w:eastAsiaTheme="minorEastAsia"/>
                <w:szCs w:val="21"/>
              </w:rPr>
              <w:t>基金主代码</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007360</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基金运作方式</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契约型开放式</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基金合同生效日</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2019</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5</w:t>
            </w:r>
            <w:r w:rsidRPr="00C24ACA">
              <w:rPr>
                <w:rFonts w:eastAsiaTheme="minorEastAsia"/>
                <w:szCs w:val="21"/>
              </w:rPr>
              <w:t>日</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基金管理人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易方达基金管理有限公司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基金托管人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招商银行股份有限公司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报告期末基金份额总额</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490,024,152.24</w:t>
            </w:r>
            <w:r w:rsidRPr="00C24ACA">
              <w:rPr>
                <w:rFonts w:eastAsiaTheme="minorEastAsia"/>
                <w:szCs w:val="21"/>
              </w:rPr>
              <w:t>份</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基金合同存续期</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不定期</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下属分级基金的基金简称</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易方达中短期美元债债券（</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易方达中短期美元债债券（</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下属分级基金的交易代码</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007360</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007361</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报告期末下属分级基金的份额总额</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330,931,113.34</w:t>
            </w:r>
            <w:r w:rsidRPr="00C24ACA">
              <w:rPr>
                <w:rFonts w:eastAsiaTheme="minorEastAsia"/>
                <w:szCs w:val="21"/>
              </w:rPr>
              <w:t>份</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159,093,038.90</w:t>
            </w:r>
            <w:r w:rsidRPr="00C24ACA">
              <w:rPr>
                <w:rFonts w:eastAsiaTheme="minorEastAsia"/>
                <w:szCs w:val="21"/>
              </w:rPr>
              <w:t>份</w:t>
            </w:r>
          </w:p>
        </w:tc>
      </w:tr>
    </w:tbl>
    <w:p w:rsidR="008A5A5D" w:rsidRPr="00C24ACA" w:rsidRDefault="008A5A5D" w:rsidP="001412CA">
      <w:pPr>
        <w:tabs>
          <w:tab w:val="left" w:pos="426"/>
        </w:tabs>
        <w:spacing w:line="360" w:lineRule="auto"/>
        <w:ind w:firstLineChars="200" w:firstLine="420"/>
        <w:jc w:val="left"/>
        <w:rPr>
          <w:rFonts w:eastAsiaTheme="minorEastAsia"/>
          <w:color w:val="000000"/>
          <w:szCs w:val="21"/>
        </w:rPr>
      </w:pPr>
      <w:r w:rsidRPr="00C24ACA">
        <w:rPr>
          <w:rFonts w:eastAsiaTheme="minorEastAsia"/>
          <w:kern w:val="0"/>
          <w:szCs w:val="21"/>
        </w:rPr>
        <w:tab/>
      </w:r>
      <w:r w:rsidRPr="00C24ACA">
        <w:rPr>
          <w:rFonts w:eastAsiaTheme="minorEastAsia"/>
          <w:kern w:val="0"/>
          <w:szCs w:val="21"/>
        </w:rPr>
        <w:t>注：易方达中短期美元债债券（</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含</w:t>
      </w:r>
      <w:r w:rsidRPr="00C24ACA">
        <w:rPr>
          <w:rFonts w:eastAsiaTheme="minorEastAsia"/>
          <w:kern w:val="0"/>
          <w:szCs w:val="21"/>
        </w:rPr>
        <w:t>A</w:t>
      </w:r>
      <w:r w:rsidRPr="00C24ACA">
        <w:rPr>
          <w:rFonts w:eastAsiaTheme="minorEastAsia"/>
          <w:kern w:val="0"/>
          <w:szCs w:val="21"/>
        </w:rPr>
        <w:t>类人民币份额（份额代码：</w:t>
      </w:r>
      <w:r w:rsidRPr="00C24ACA">
        <w:rPr>
          <w:rFonts w:eastAsiaTheme="minorEastAsia"/>
          <w:kern w:val="0"/>
          <w:szCs w:val="21"/>
        </w:rPr>
        <w:t>007360</w:t>
      </w:r>
      <w:r w:rsidRPr="00C24ACA">
        <w:rPr>
          <w:rFonts w:eastAsiaTheme="minorEastAsia"/>
          <w:kern w:val="0"/>
          <w:szCs w:val="21"/>
        </w:rPr>
        <w:t>）及</w:t>
      </w:r>
      <w:r w:rsidRPr="00C24ACA">
        <w:rPr>
          <w:rFonts w:eastAsiaTheme="minorEastAsia"/>
          <w:kern w:val="0"/>
          <w:szCs w:val="21"/>
        </w:rPr>
        <w:t>A</w:t>
      </w:r>
      <w:r w:rsidRPr="00C24ACA">
        <w:rPr>
          <w:rFonts w:eastAsiaTheme="minorEastAsia"/>
          <w:kern w:val="0"/>
          <w:szCs w:val="21"/>
        </w:rPr>
        <w:t>类美元现汇份额（份额代码：</w:t>
      </w:r>
      <w:r w:rsidRPr="00C24ACA">
        <w:rPr>
          <w:rFonts w:eastAsiaTheme="minorEastAsia"/>
          <w:kern w:val="0"/>
          <w:szCs w:val="21"/>
        </w:rPr>
        <w:t>007362</w:t>
      </w:r>
      <w:r w:rsidRPr="00C24ACA">
        <w:rPr>
          <w:rFonts w:eastAsiaTheme="minorEastAsia"/>
          <w:kern w:val="0"/>
          <w:szCs w:val="21"/>
        </w:rPr>
        <w:t>）</w:t>
      </w:r>
      <w:r w:rsidRPr="00C24ACA">
        <w:rPr>
          <w:rFonts w:eastAsiaTheme="minorEastAsia"/>
          <w:kern w:val="0"/>
          <w:szCs w:val="21"/>
        </w:rPr>
        <w:t>,</w:t>
      </w:r>
      <w:r w:rsidRPr="00C24ACA">
        <w:rPr>
          <w:rFonts w:eastAsiaTheme="minorEastAsia"/>
          <w:kern w:val="0"/>
          <w:szCs w:val="21"/>
        </w:rPr>
        <w:t>交易代码仅列示</w:t>
      </w:r>
      <w:r w:rsidRPr="00C24ACA">
        <w:rPr>
          <w:rFonts w:eastAsiaTheme="minorEastAsia"/>
          <w:kern w:val="0"/>
          <w:szCs w:val="21"/>
        </w:rPr>
        <w:t>A</w:t>
      </w:r>
      <w:r w:rsidRPr="00C24ACA">
        <w:rPr>
          <w:rFonts w:eastAsiaTheme="minorEastAsia"/>
          <w:kern w:val="0"/>
          <w:szCs w:val="21"/>
        </w:rPr>
        <w:t>类人民币份额代码；易方达中短期美元债债券（</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含</w:t>
      </w:r>
      <w:r w:rsidRPr="00C24ACA">
        <w:rPr>
          <w:rFonts w:eastAsiaTheme="minorEastAsia"/>
          <w:kern w:val="0"/>
          <w:szCs w:val="21"/>
        </w:rPr>
        <w:t>C</w:t>
      </w:r>
      <w:r w:rsidRPr="00C24ACA">
        <w:rPr>
          <w:rFonts w:eastAsiaTheme="minorEastAsia"/>
          <w:kern w:val="0"/>
          <w:szCs w:val="21"/>
        </w:rPr>
        <w:t>类人民币份额（份额代码：</w:t>
      </w:r>
      <w:r w:rsidRPr="00C24ACA">
        <w:rPr>
          <w:rFonts w:eastAsiaTheme="minorEastAsia"/>
          <w:kern w:val="0"/>
          <w:szCs w:val="21"/>
        </w:rPr>
        <w:t>007361</w:t>
      </w:r>
      <w:r w:rsidRPr="00C24ACA">
        <w:rPr>
          <w:rFonts w:eastAsiaTheme="minorEastAsia"/>
          <w:kern w:val="0"/>
          <w:szCs w:val="21"/>
        </w:rPr>
        <w:t>）及</w:t>
      </w:r>
      <w:r w:rsidRPr="00C24ACA">
        <w:rPr>
          <w:rFonts w:eastAsiaTheme="minorEastAsia"/>
          <w:kern w:val="0"/>
          <w:szCs w:val="21"/>
        </w:rPr>
        <w:t>C</w:t>
      </w:r>
      <w:r w:rsidRPr="00C24ACA">
        <w:rPr>
          <w:rFonts w:eastAsiaTheme="minorEastAsia"/>
          <w:kern w:val="0"/>
          <w:szCs w:val="21"/>
        </w:rPr>
        <w:t>类美元现汇份额（份额代码：</w:t>
      </w:r>
      <w:r w:rsidRPr="00C24ACA">
        <w:rPr>
          <w:rFonts w:eastAsiaTheme="minorEastAsia"/>
          <w:kern w:val="0"/>
          <w:szCs w:val="21"/>
        </w:rPr>
        <w:t>007363</w:t>
      </w:r>
      <w:r w:rsidRPr="00C24ACA">
        <w:rPr>
          <w:rFonts w:eastAsiaTheme="minorEastAsia"/>
          <w:kern w:val="0"/>
          <w:szCs w:val="21"/>
        </w:rPr>
        <w:t>）</w:t>
      </w:r>
      <w:r w:rsidRPr="00C24ACA">
        <w:rPr>
          <w:rFonts w:eastAsiaTheme="minorEastAsia"/>
          <w:kern w:val="0"/>
          <w:szCs w:val="21"/>
        </w:rPr>
        <w:t>,</w:t>
      </w:r>
      <w:r w:rsidRPr="00C24ACA">
        <w:rPr>
          <w:rFonts w:eastAsiaTheme="minorEastAsia"/>
          <w:kern w:val="0"/>
          <w:szCs w:val="21"/>
        </w:rPr>
        <w:t>交易代码仅列示</w:t>
      </w:r>
      <w:r w:rsidRPr="00C24ACA">
        <w:rPr>
          <w:rFonts w:eastAsiaTheme="minorEastAsia"/>
          <w:kern w:val="0"/>
          <w:szCs w:val="21"/>
        </w:rPr>
        <w:t>C</w:t>
      </w:r>
      <w:r w:rsidRPr="00C24ACA">
        <w:rPr>
          <w:rFonts w:eastAsiaTheme="minorEastAsia"/>
          <w:kern w:val="0"/>
          <w:szCs w:val="21"/>
        </w:rPr>
        <w:t>类人民币份额代码。</w:t>
      </w:r>
    </w:p>
    <w:p w:rsidR="008A5A5D" w:rsidRPr="00A317EA" w:rsidRDefault="008A5A5D" w:rsidP="00732F5C">
      <w:pPr>
        <w:pStyle w:val="20"/>
        <w:spacing w:beforeLines="100" w:before="312" w:after="0"/>
        <w:rPr>
          <w:rFonts w:ascii="Times New Roman" w:eastAsiaTheme="minorEastAsia" w:hAnsi="Times New Roman"/>
          <w:kern w:val="0"/>
          <w:sz w:val="21"/>
          <w:szCs w:val="21"/>
        </w:rPr>
      </w:pPr>
      <w:bookmarkStart w:id="32" w:name="_Toc352255962"/>
      <w:bookmarkStart w:id="33" w:name="_Toc352256030"/>
      <w:bookmarkStart w:id="34" w:name="_Toc352331208"/>
      <w:bookmarkStart w:id="35" w:name="_Toc390164794"/>
      <w:bookmarkStart w:id="36" w:name="_Toc48659772"/>
      <w:r w:rsidRPr="0087359D">
        <w:rPr>
          <w:rFonts w:ascii="宋体" w:hAnsi="宋体"/>
          <w:kern w:val="0"/>
          <w:sz w:val="21"/>
          <w:szCs w:val="21"/>
        </w:rPr>
        <w:t>2.2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基金产品说明</w:t>
      </w:r>
      <w:bookmarkEnd w:id="32"/>
      <w:bookmarkEnd w:id="33"/>
      <w:bookmarkEnd w:id="34"/>
      <w:bookmarkEnd w:id="35"/>
      <w:bookmarkEnd w:id="3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投资目标</w:t>
            </w:r>
          </w:p>
        </w:tc>
        <w:tc>
          <w:tcPr>
            <w:tcW w:w="6873" w:type="dxa"/>
            <w:vAlign w:val="bottom"/>
          </w:tcPr>
          <w:p w:rsidR="008A5A5D" w:rsidRPr="00C24ACA" w:rsidRDefault="008A5A5D">
            <w:pPr>
              <w:rPr>
                <w:rFonts w:eastAsiaTheme="minorEastAsia"/>
                <w:szCs w:val="21"/>
              </w:rPr>
            </w:pPr>
            <w:r w:rsidRPr="00C24ACA">
              <w:rPr>
                <w:rFonts w:eastAsiaTheme="minorEastAsia"/>
                <w:szCs w:val="21"/>
              </w:rPr>
              <w:t>本基金主要投资中短期美元债券，在严格控制风险和保持较高流动性的基础上，力求获得超越业绩比较基准的投资回报。</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投资策略</w:t>
            </w:r>
          </w:p>
        </w:tc>
        <w:tc>
          <w:tcPr>
            <w:tcW w:w="6873" w:type="dxa"/>
            <w:vAlign w:val="bottom"/>
          </w:tcPr>
          <w:p w:rsidR="008A5A5D" w:rsidRPr="00C24ACA" w:rsidRDefault="008A5A5D">
            <w:pPr>
              <w:rPr>
                <w:rFonts w:eastAsiaTheme="minorEastAsia"/>
                <w:szCs w:val="21"/>
              </w:rPr>
            </w:pPr>
            <w:r w:rsidRPr="00C24ACA">
              <w:rPr>
                <w:rFonts w:eastAsiaTheme="minorEastAsia"/>
                <w:szCs w:val="21"/>
              </w:rPr>
              <w:t>本基金基于对宏观形势和信用主体的深入研究，有选择地在国别与地域间灵活配置，通过久期策略、期限结构策略、个券精选策略进行债券配置，并根据其他固收资产的相对价值，在投资范围允许的范围内，对存款、存单、基金、资产支持证券及衍生品间进行固收资产的配置。</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业绩比较基准</w:t>
            </w:r>
          </w:p>
        </w:tc>
        <w:tc>
          <w:tcPr>
            <w:tcW w:w="6873" w:type="dxa"/>
            <w:vAlign w:val="bottom"/>
          </w:tcPr>
          <w:p w:rsidR="008A5A5D" w:rsidRPr="00C24ACA" w:rsidRDefault="008A5A5D">
            <w:pPr>
              <w:rPr>
                <w:rFonts w:eastAsiaTheme="minorEastAsia"/>
                <w:szCs w:val="21"/>
              </w:rPr>
            </w:pPr>
            <w:r w:rsidRPr="00C24ACA">
              <w:rPr>
                <w:rFonts w:eastAsiaTheme="minorEastAsia"/>
                <w:szCs w:val="21"/>
              </w:rPr>
              <w:t>摩根大通</w:t>
            </w:r>
            <w:r w:rsidRPr="00C24ACA">
              <w:rPr>
                <w:rFonts w:eastAsiaTheme="minorEastAsia"/>
                <w:szCs w:val="21"/>
              </w:rPr>
              <w:t>1-3</w:t>
            </w:r>
            <w:r w:rsidRPr="00C24ACA">
              <w:rPr>
                <w:rFonts w:eastAsiaTheme="minorEastAsia"/>
                <w:szCs w:val="21"/>
              </w:rPr>
              <w:t>年全球投资级美元债总回报指数（</w:t>
            </w:r>
            <w:r w:rsidRPr="00C24ACA">
              <w:rPr>
                <w:rFonts w:eastAsiaTheme="minorEastAsia"/>
                <w:szCs w:val="21"/>
              </w:rPr>
              <w:t xml:space="preserve">J.P. Morgan Global Aggregate US IG 1-3 Total Return Index </w:t>
            </w:r>
            <w:r w:rsidRPr="00C24ACA">
              <w:rPr>
                <w:rFonts w:eastAsiaTheme="minorEastAsia"/>
                <w:szCs w:val="21"/>
              </w:rPr>
              <w:t>）（按照估值汇率折算）收益率</w:t>
            </w:r>
            <w:r w:rsidRPr="00C24ACA">
              <w:rPr>
                <w:rFonts w:eastAsiaTheme="minorEastAsia"/>
                <w:szCs w:val="21"/>
              </w:rPr>
              <w:t>×90%+</w:t>
            </w:r>
            <w:r w:rsidRPr="00C24ACA">
              <w:rPr>
                <w:rFonts w:eastAsiaTheme="minorEastAsia"/>
                <w:szCs w:val="21"/>
              </w:rPr>
              <w:t>人民币活期存款利率（税后）</w:t>
            </w:r>
            <w:r w:rsidRPr="00C24ACA">
              <w:rPr>
                <w:rFonts w:eastAsiaTheme="minorEastAsia"/>
                <w:szCs w:val="21"/>
              </w:rPr>
              <w:t>×10%</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风险收益特征</w:t>
            </w:r>
          </w:p>
        </w:tc>
        <w:tc>
          <w:tcPr>
            <w:tcW w:w="6873" w:type="dxa"/>
            <w:vAlign w:val="bottom"/>
          </w:tcPr>
          <w:p w:rsidR="008E5B30" w:rsidRDefault="00013397">
            <w:pPr>
              <w:rPr>
                <w:rFonts w:eastAsiaTheme="minorEastAsia"/>
                <w:szCs w:val="21"/>
              </w:rPr>
            </w:pPr>
            <w:r>
              <w:rPr>
                <w:rFonts w:eastAsiaTheme="minorEastAsia"/>
                <w:szCs w:val="21"/>
              </w:rPr>
              <w:t>本基金为债券基金，理论上其预期风险与预期收益水平低于股票基金、混合基金，高于货币市场基金。</w:t>
            </w:r>
          </w:p>
          <w:p w:rsidR="008A5A5D" w:rsidRPr="00C24ACA" w:rsidRDefault="008A5A5D">
            <w:pPr>
              <w:rPr>
                <w:rFonts w:eastAsiaTheme="minorEastAsia"/>
                <w:szCs w:val="21"/>
              </w:rPr>
            </w:pPr>
            <w:r w:rsidRPr="00C24ACA">
              <w:rPr>
                <w:rFonts w:eastAsiaTheme="minorEastAsia"/>
                <w:szCs w:val="21"/>
              </w:rPr>
              <w:t>本基金投资境外市场，除了需要承担与境内证券投资基金类似的市场波动风险等一般投资风险之外，本基金还面临汇率风险、国家</w:t>
            </w:r>
            <w:r w:rsidRPr="00C24ACA">
              <w:rPr>
                <w:rFonts w:eastAsiaTheme="minorEastAsia"/>
                <w:szCs w:val="21"/>
              </w:rPr>
              <w:t>/</w:t>
            </w:r>
            <w:r w:rsidRPr="00C24ACA">
              <w:rPr>
                <w:rFonts w:eastAsiaTheme="minorEastAsia"/>
                <w:szCs w:val="21"/>
              </w:rPr>
              <w:t>地区风险等境外投资面临的特有风险。</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 w:name="_Toc225498247"/>
      <w:bookmarkStart w:id="38" w:name="_Toc352255963"/>
      <w:bookmarkStart w:id="39" w:name="_Toc352256031"/>
      <w:bookmarkStart w:id="40" w:name="_Toc352331209"/>
      <w:bookmarkStart w:id="41" w:name="_Toc390164795"/>
      <w:bookmarkStart w:id="42" w:name="_Toc48659773"/>
      <w:r w:rsidRPr="0087359D">
        <w:rPr>
          <w:rFonts w:ascii="宋体" w:hAnsi="宋体"/>
          <w:kern w:val="0"/>
          <w:sz w:val="21"/>
          <w:szCs w:val="21"/>
        </w:rPr>
        <w:t>2.3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w:t>
      </w:r>
      <w:r w:rsidRPr="00A317EA">
        <w:rPr>
          <w:rFonts w:ascii="Times New Roman" w:eastAsiaTheme="minorEastAsia" w:hAnsi="Times New Roman"/>
          <w:kern w:val="0"/>
          <w:sz w:val="21"/>
          <w:szCs w:val="21"/>
        </w:rPr>
        <w:t>管理</w:t>
      </w:r>
      <w:r w:rsidRPr="00C24ACA">
        <w:rPr>
          <w:rFonts w:ascii="Times New Roman" w:eastAsiaTheme="minorEastAsia" w:hAnsi="Times New Roman"/>
          <w:kern w:val="0"/>
          <w:sz w:val="21"/>
          <w:szCs w:val="21"/>
        </w:rPr>
        <w:t>人和基金托管人</w:t>
      </w:r>
      <w:bookmarkEnd w:id="37"/>
      <w:bookmarkEnd w:id="38"/>
      <w:bookmarkEnd w:id="39"/>
      <w:bookmarkEnd w:id="40"/>
      <w:bookmarkEnd w:id="41"/>
      <w:bookmarkEnd w:id="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项目</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基金管理人</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基金托管人</w:t>
            </w:r>
          </w:p>
        </w:tc>
      </w:tr>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rPr>
                <w:rFonts w:eastAsiaTheme="minorEastAsia"/>
                <w:color w:val="000000"/>
                <w:kern w:val="0"/>
                <w:szCs w:val="21"/>
              </w:rPr>
            </w:pPr>
            <w:r w:rsidRPr="00C24ACA">
              <w:rPr>
                <w:rFonts w:eastAsiaTheme="minorEastAsia"/>
                <w:color w:val="000000"/>
                <w:kern w:val="0"/>
                <w:szCs w:val="21"/>
              </w:rPr>
              <w:t>名称</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易方达基金管理有限公司</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招商银行股份有限公司</w:t>
            </w:r>
          </w:p>
        </w:tc>
      </w:tr>
      <w:tr w:rsidR="008A5A5D" w:rsidRPr="00C24ACA" w:rsidTr="006D141C">
        <w:tc>
          <w:tcPr>
            <w:tcW w:w="1260" w:type="dxa"/>
            <w:vMerge w:val="restart"/>
            <w:vAlign w:val="center"/>
          </w:tcPr>
          <w:p w:rsidR="008A5A5D" w:rsidRPr="00C24ACA" w:rsidRDefault="008A5A5D">
            <w:pPr>
              <w:autoSpaceDE w:val="0"/>
              <w:autoSpaceDN w:val="0"/>
              <w:adjustRightInd w:val="0"/>
              <w:spacing w:before="29" w:line="360" w:lineRule="auto"/>
              <w:ind w:left="15"/>
              <w:rPr>
                <w:rFonts w:eastAsiaTheme="minorEastAsia"/>
                <w:color w:val="000000"/>
                <w:kern w:val="0"/>
                <w:szCs w:val="21"/>
              </w:rPr>
            </w:pPr>
            <w:r w:rsidRPr="00C24ACA">
              <w:rPr>
                <w:rFonts w:eastAsiaTheme="minorEastAsia"/>
                <w:color w:val="000000"/>
                <w:szCs w:val="21"/>
              </w:rPr>
              <w:t>信息披露负责人</w:t>
            </w:r>
          </w:p>
        </w:tc>
        <w:tc>
          <w:tcPr>
            <w:tcW w:w="1371" w:type="dxa"/>
            <w:vAlign w:val="center"/>
          </w:tcPr>
          <w:p w:rsidR="008A5A5D" w:rsidRPr="00C24ACA" w:rsidRDefault="008A5A5D">
            <w:pPr>
              <w:jc w:val="center"/>
              <w:rPr>
                <w:rFonts w:eastAsiaTheme="minorEastAsia"/>
                <w:color w:val="000000"/>
                <w:szCs w:val="21"/>
              </w:rPr>
            </w:pPr>
            <w:r w:rsidRPr="00C24ACA">
              <w:rPr>
                <w:rFonts w:eastAsiaTheme="minorEastAsia"/>
                <w:color w:val="000000"/>
                <w:szCs w:val="21"/>
              </w:rPr>
              <w:t>姓名</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张南</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张燕</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联系电话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020-85102688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0755-83199084</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电子邮箱</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service@efunds.com.cn</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yan_zhang@cmbchina.com</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客户服务电话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400 881 8088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95555</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传真</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020-85104666</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0755-83195201</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注册地址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广东省珠海市横琴新区宝华路</w:t>
            </w:r>
            <w:r w:rsidRPr="00C24ACA">
              <w:rPr>
                <w:rFonts w:eastAsiaTheme="minorEastAsia"/>
                <w:color w:val="000000"/>
                <w:kern w:val="0"/>
                <w:szCs w:val="21"/>
              </w:rPr>
              <w:t>6</w:t>
            </w:r>
            <w:r w:rsidRPr="00C24ACA">
              <w:rPr>
                <w:rFonts w:eastAsiaTheme="minorEastAsia"/>
                <w:color w:val="000000"/>
                <w:kern w:val="0"/>
                <w:szCs w:val="21"/>
              </w:rPr>
              <w:t>号</w:t>
            </w:r>
            <w:r w:rsidRPr="00C24ACA">
              <w:rPr>
                <w:rFonts w:eastAsiaTheme="minorEastAsia"/>
                <w:color w:val="000000"/>
                <w:kern w:val="0"/>
                <w:szCs w:val="21"/>
              </w:rPr>
              <w:t>105</w:t>
            </w:r>
            <w:r w:rsidRPr="00C24ACA">
              <w:rPr>
                <w:rFonts w:eastAsiaTheme="minorEastAsia"/>
                <w:color w:val="000000"/>
                <w:kern w:val="0"/>
                <w:szCs w:val="21"/>
              </w:rPr>
              <w:t>室－</w:t>
            </w:r>
            <w:r w:rsidRPr="00C24ACA">
              <w:rPr>
                <w:rFonts w:eastAsiaTheme="minorEastAsia"/>
                <w:color w:val="000000"/>
                <w:kern w:val="0"/>
                <w:szCs w:val="21"/>
              </w:rPr>
              <w:t>42891</w:t>
            </w:r>
            <w:r w:rsidRPr="00C24ACA">
              <w:rPr>
                <w:rFonts w:eastAsiaTheme="minorEastAsia"/>
                <w:color w:val="000000"/>
                <w:kern w:val="0"/>
                <w:szCs w:val="21"/>
              </w:rPr>
              <w:t>（集中办公区）</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深圳市深南大道</w:t>
            </w:r>
            <w:r w:rsidRPr="00C24ACA">
              <w:rPr>
                <w:rFonts w:eastAsiaTheme="minorEastAsia"/>
                <w:color w:val="000000"/>
                <w:kern w:val="0"/>
                <w:szCs w:val="21"/>
              </w:rPr>
              <w:t>7088</w:t>
            </w:r>
            <w:r w:rsidRPr="00C24ACA">
              <w:rPr>
                <w:rFonts w:eastAsiaTheme="minorEastAsia"/>
                <w:color w:val="000000"/>
                <w:kern w:val="0"/>
                <w:szCs w:val="21"/>
              </w:rPr>
              <w:t>号招商银行大厦</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办公地址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广州市天河区珠江新城珠江东路</w:t>
            </w:r>
            <w:r w:rsidRPr="00C24ACA">
              <w:rPr>
                <w:rFonts w:eastAsiaTheme="minorEastAsia"/>
                <w:color w:val="000000"/>
                <w:kern w:val="0"/>
                <w:szCs w:val="21"/>
              </w:rPr>
              <w:t>30</w:t>
            </w:r>
            <w:r w:rsidRPr="00C24ACA">
              <w:rPr>
                <w:rFonts w:eastAsiaTheme="minorEastAsia"/>
                <w:color w:val="000000"/>
                <w:kern w:val="0"/>
                <w:szCs w:val="21"/>
              </w:rPr>
              <w:t>号广州银行大厦</w:t>
            </w:r>
            <w:r w:rsidRPr="00C24ACA">
              <w:rPr>
                <w:rFonts w:eastAsiaTheme="minorEastAsia"/>
                <w:color w:val="000000"/>
                <w:kern w:val="0"/>
                <w:szCs w:val="21"/>
              </w:rPr>
              <w:t>40-43</w:t>
            </w:r>
            <w:r w:rsidRPr="00C24ACA">
              <w:rPr>
                <w:rFonts w:eastAsiaTheme="minorEastAsia"/>
                <w:color w:val="000000"/>
                <w:kern w:val="0"/>
                <w:szCs w:val="21"/>
              </w:rPr>
              <w:t>楼</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深圳市深南大道</w:t>
            </w:r>
            <w:r w:rsidRPr="00C24ACA">
              <w:rPr>
                <w:rFonts w:eastAsiaTheme="minorEastAsia"/>
                <w:color w:val="000000"/>
                <w:kern w:val="0"/>
                <w:szCs w:val="21"/>
              </w:rPr>
              <w:t>7088</w:t>
            </w:r>
            <w:r w:rsidRPr="00C24ACA">
              <w:rPr>
                <w:rFonts w:eastAsiaTheme="minorEastAsia"/>
                <w:color w:val="000000"/>
                <w:kern w:val="0"/>
                <w:szCs w:val="21"/>
              </w:rPr>
              <w:t>号招商银行大厦</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邮政编码</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510620</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518040</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法定代表人</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刘晓艳</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李建红</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43" w:name="_Toc224618346"/>
      <w:bookmarkStart w:id="44" w:name="_Toc235605676"/>
      <w:bookmarkStart w:id="45" w:name="_Toc286929724"/>
      <w:bookmarkStart w:id="46" w:name="_Toc352255964"/>
      <w:bookmarkStart w:id="47" w:name="_Toc352256032"/>
      <w:bookmarkStart w:id="48" w:name="_Toc352331210"/>
      <w:bookmarkStart w:id="49" w:name="_Toc390164796"/>
      <w:bookmarkStart w:id="50" w:name="_Toc48659774"/>
      <w:r w:rsidRPr="0087359D">
        <w:rPr>
          <w:rFonts w:ascii="宋体" w:hAnsi="宋体"/>
          <w:kern w:val="0"/>
          <w:sz w:val="21"/>
          <w:szCs w:val="21"/>
        </w:rPr>
        <w:t>2.4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境外投资顾问和境外资产托管人</w:t>
      </w:r>
      <w:bookmarkEnd w:id="43"/>
      <w:bookmarkEnd w:id="44"/>
      <w:bookmarkEnd w:id="45"/>
      <w:bookmarkEnd w:id="46"/>
      <w:bookmarkEnd w:id="47"/>
      <w:bookmarkEnd w:id="48"/>
      <w:bookmarkEnd w:id="49"/>
      <w:bookmarkEnd w:id="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项目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境外投资顾问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境外资产托管人</w:t>
            </w:r>
          </w:p>
        </w:tc>
      </w:tr>
      <w:tr w:rsidR="008A5A5D" w:rsidRPr="00C24ACA" w:rsidTr="004B68EC">
        <w:trPr>
          <w:trHeight w:val="370"/>
        </w:trPr>
        <w:tc>
          <w:tcPr>
            <w:tcW w:w="900" w:type="dxa"/>
            <w:vMerge w:val="restart"/>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名称</w:t>
            </w: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英文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The Hongkong and Shanghai Banking Corporation Limited</w:t>
            </w:r>
          </w:p>
        </w:tc>
      </w:tr>
      <w:tr w:rsidR="008A5A5D" w:rsidRPr="00C24ACA" w:rsidTr="004B68EC">
        <w:trPr>
          <w:trHeight w:val="335"/>
        </w:trPr>
        <w:tc>
          <w:tcPr>
            <w:tcW w:w="900" w:type="dxa"/>
            <w:vMerge/>
            <w:vAlign w:val="center"/>
          </w:tcPr>
          <w:p w:rsidR="008A5A5D" w:rsidRPr="00C24ACA" w:rsidRDefault="008A5A5D" w:rsidP="004B68EC">
            <w:pPr>
              <w:jc w:val="center"/>
              <w:rPr>
                <w:rFonts w:eastAsiaTheme="minorEastAsia"/>
                <w:color w:val="000000"/>
                <w:szCs w:val="21"/>
              </w:rPr>
            </w:pP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中文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香港上海汇丰银行有限公司</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注册地址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香港皇后大道中一号</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办公地址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香港九龙深旺道</w:t>
            </w:r>
            <w:r w:rsidRPr="00C24ACA">
              <w:rPr>
                <w:rFonts w:eastAsiaTheme="minorEastAsia"/>
                <w:szCs w:val="21"/>
              </w:rPr>
              <w:t>1</w:t>
            </w:r>
            <w:r w:rsidRPr="00C24ACA">
              <w:rPr>
                <w:rFonts w:eastAsiaTheme="minorEastAsia"/>
                <w:szCs w:val="21"/>
              </w:rPr>
              <w:t>号汇丰中心</w:t>
            </w:r>
            <w:r w:rsidRPr="00C24ACA">
              <w:rPr>
                <w:rFonts w:eastAsiaTheme="minorEastAsia"/>
                <w:szCs w:val="21"/>
              </w:rPr>
              <w:t>1</w:t>
            </w:r>
            <w:r w:rsidRPr="00C24ACA">
              <w:rPr>
                <w:rFonts w:eastAsiaTheme="minorEastAsia"/>
                <w:szCs w:val="21"/>
              </w:rPr>
              <w:t>座</w:t>
            </w:r>
            <w:r w:rsidRPr="00C24ACA">
              <w:rPr>
                <w:rFonts w:eastAsiaTheme="minorEastAsia"/>
                <w:szCs w:val="21"/>
              </w:rPr>
              <w:t>6</w:t>
            </w:r>
            <w:r w:rsidRPr="00C24ACA">
              <w:rPr>
                <w:rFonts w:eastAsiaTheme="minorEastAsia"/>
                <w:szCs w:val="21"/>
              </w:rPr>
              <w:t>楼</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邮政编码</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51" w:name="_Toc225498248"/>
      <w:bookmarkStart w:id="52" w:name="_Toc352255965"/>
      <w:bookmarkStart w:id="53" w:name="_Toc352256033"/>
      <w:bookmarkStart w:id="54" w:name="_Toc352331211"/>
      <w:bookmarkStart w:id="55" w:name="_Toc390164797"/>
      <w:bookmarkStart w:id="56" w:name="_Toc48659775"/>
      <w:r w:rsidRPr="0087359D">
        <w:rPr>
          <w:rFonts w:ascii="宋体" w:hAnsi="宋体"/>
          <w:kern w:val="0"/>
          <w:sz w:val="21"/>
          <w:szCs w:val="21"/>
        </w:rPr>
        <w:t>2.5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信息披露方式</w:t>
      </w:r>
      <w:bookmarkEnd w:id="51"/>
      <w:bookmarkEnd w:id="52"/>
      <w:bookmarkEnd w:id="53"/>
      <w:bookmarkEnd w:id="54"/>
      <w:bookmarkEnd w:id="55"/>
      <w:bookmarkEnd w:id="5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本基金选定的信息披露报纸名称</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上海证券报</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登载基金</w:t>
            </w:r>
            <w:r w:rsidR="00930E85">
              <w:rPr>
                <w:rFonts w:eastAsiaTheme="minorEastAsia"/>
                <w:color w:val="000000"/>
                <w:szCs w:val="21"/>
              </w:rPr>
              <w:t>中期</w:t>
            </w:r>
            <w:r w:rsidRPr="00C24ACA">
              <w:rPr>
                <w:rFonts w:eastAsiaTheme="minorEastAsia"/>
                <w:color w:val="000000"/>
                <w:szCs w:val="21"/>
              </w:rPr>
              <w:t>报告正文的管理人互联网网址</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http://www.efunds.com.cn</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基金</w:t>
            </w:r>
            <w:r w:rsidR="00930E85">
              <w:rPr>
                <w:rFonts w:eastAsiaTheme="minorEastAsia"/>
                <w:color w:val="000000"/>
                <w:szCs w:val="21"/>
              </w:rPr>
              <w:t>中期</w:t>
            </w:r>
            <w:r w:rsidRPr="00C24ACA">
              <w:rPr>
                <w:rFonts w:eastAsiaTheme="minorEastAsia"/>
                <w:color w:val="000000"/>
                <w:szCs w:val="21"/>
              </w:rPr>
              <w:t>报告备置地点</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43</w:t>
            </w:r>
            <w:r w:rsidRPr="00C24ACA">
              <w:rPr>
                <w:rFonts w:eastAsiaTheme="minorEastAsia"/>
                <w:color w:val="000000"/>
                <w:szCs w:val="21"/>
              </w:rPr>
              <w:t>楼</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57" w:name="_Toc225498249"/>
      <w:bookmarkStart w:id="58" w:name="_Toc352255966"/>
      <w:bookmarkStart w:id="59" w:name="_Toc352256034"/>
      <w:bookmarkStart w:id="60" w:name="_Toc352331212"/>
      <w:bookmarkStart w:id="61" w:name="_Toc390164798"/>
      <w:bookmarkStart w:id="62" w:name="_Toc48659776"/>
      <w:r w:rsidRPr="0087359D">
        <w:rPr>
          <w:rFonts w:ascii="宋体" w:hAnsi="宋体"/>
          <w:kern w:val="0"/>
          <w:sz w:val="21"/>
          <w:szCs w:val="21"/>
        </w:rPr>
        <w:t>2.6</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其他相关资料</w:t>
      </w:r>
      <w:bookmarkEnd w:id="57"/>
      <w:bookmarkEnd w:id="58"/>
      <w:bookmarkEnd w:id="59"/>
      <w:bookmarkEnd w:id="60"/>
      <w:bookmarkEnd w:id="61"/>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8A5A5D" w:rsidRPr="00C24ACA" w:rsidTr="00862636">
        <w:tc>
          <w:tcPr>
            <w:tcW w:w="1951"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项目</w:t>
            </w:r>
          </w:p>
        </w:tc>
        <w:tc>
          <w:tcPr>
            <w:tcW w:w="3260"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名称</w:t>
            </w:r>
          </w:p>
        </w:tc>
        <w:tc>
          <w:tcPr>
            <w:tcW w:w="4075"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办公地址</w:t>
            </w:r>
          </w:p>
        </w:tc>
      </w:tr>
      <w:tr w:rsidR="008A5A5D" w:rsidRPr="00C24ACA" w:rsidTr="00862636">
        <w:tc>
          <w:tcPr>
            <w:tcW w:w="1951" w:type="dxa"/>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注册登记机构</w:t>
            </w:r>
          </w:p>
        </w:tc>
        <w:tc>
          <w:tcPr>
            <w:tcW w:w="3260" w:type="dxa"/>
            <w:vAlign w:val="bottom"/>
          </w:tcPr>
          <w:p w:rsidR="008A5A5D" w:rsidRPr="00C24ACA" w:rsidRDefault="008A5A5D" w:rsidP="00EC549A">
            <w:pPr>
              <w:tabs>
                <w:tab w:val="left" w:pos="1740"/>
              </w:tabs>
              <w:jc w:val="left"/>
              <w:rPr>
                <w:rFonts w:eastAsiaTheme="minorEastAsia"/>
                <w:color w:val="000000"/>
                <w:szCs w:val="21"/>
              </w:rPr>
            </w:pPr>
            <w:r w:rsidRPr="00C24ACA">
              <w:rPr>
                <w:rFonts w:eastAsiaTheme="minorEastAsia"/>
                <w:color w:val="000000"/>
                <w:szCs w:val="21"/>
              </w:rPr>
              <w:t>易方达基金管理有限公司</w:t>
            </w:r>
          </w:p>
        </w:tc>
        <w:tc>
          <w:tcPr>
            <w:tcW w:w="4075" w:type="dxa"/>
            <w:vAlign w:val="bottom"/>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40-43</w:t>
            </w:r>
            <w:r w:rsidRPr="00C24ACA">
              <w:rPr>
                <w:rFonts w:eastAsiaTheme="minorEastAsia"/>
                <w:color w:val="000000"/>
                <w:szCs w:val="21"/>
              </w:rPr>
              <w:t>楼</w:t>
            </w:r>
          </w:p>
        </w:tc>
      </w:tr>
    </w:tbl>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63" w:name="_Toc352255967"/>
      <w:bookmarkStart w:id="64" w:name="_Toc352256035"/>
      <w:bookmarkStart w:id="65" w:name="_Toc352331213"/>
      <w:bookmarkStart w:id="66" w:name="_Toc390164799"/>
      <w:bookmarkStart w:id="67" w:name="_Toc48659777"/>
      <w:r w:rsidRPr="000C6CCD">
        <w:rPr>
          <w:rFonts w:ascii="宋体" w:hAnsi="宋体"/>
          <w:bCs w:val="0"/>
          <w:color w:val="000000"/>
          <w:sz w:val="21"/>
          <w:szCs w:val="21"/>
        </w:rPr>
        <w:t>3</w:t>
      </w:r>
      <w:r w:rsidR="00643DBD">
        <w:rPr>
          <w:rFonts w:ascii="Times New Roman" w:hAnsi="Times New Roman"/>
          <w:bCs w:val="0"/>
          <w:color w:val="000000"/>
          <w:sz w:val="21"/>
          <w:szCs w:val="21"/>
        </w:rPr>
        <w:t xml:space="preserve">     </w:t>
      </w:r>
      <w:r w:rsidR="004C753B" w:rsidRPr="00A432E9">
        <w:rPr>
          <w:rFonts w:ascii="Times New Roman" w:hAnsi="Times New Roman"/>
          <w:bCs w:val="0"/>
          <w:color w:val="000000"/>
          <w:sz w:val="21"/>
          <w:szCs w:val="21"/>
        </w:rPr>
        <w:t>主要财务指标和</w:t>
      </w:r>
      <w:r w:rsidRPr="00A432E9">
        <w:rPr>
          <w:rFonts w:ascii="Times New Roman" w:hAnsi="Times New Roman"/>
          <w:bCs w:val="0"/>
          <w:color w:val="000000"/>
          <w:sz w:val="21"/>
          <w:szCs w:val="21"/>
        </w:rPr>
        <w:t>基金净值表现</w:t>
      </w:r>
      <w:bookmarkEnd w:id="63"/>
      <w:bookmarkEnd w:id="64"/>
      <w:bookmarkEnd w:id="65"/>
      <w:bookmarkEnd w:id="66"/>
      <w:bookmarkEnd w:id="67"/>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68" w:name="_Toc286996129"/>
      <w:bookmarkStart w:id="69" w:name="_Toc352255968"/>
      <w:bookmarkStart w:id="70" w:name="_Toc352256036"/>
      <w:bookmarkStart w:id="71" w:name="_Toc352331214"/>
      <w:bookmarkStart w:id="72" w:name="_Toc390164800"/>
      <w:bookmarkStart w:id="73" w:name="_Toc48659778"/>
      <w:r w:rsidRPr="0087359D">
        <w:rPr>
          <w:rFonts w:ascii="宋体" w:hAnsi="宋体"/>
          <w:kern w:val="0"/>
          <w:sz w:val="21"/>
          <w:szCs w:val="21"/>
        </w:rPr>
        <w:t>3.1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主要会计数据和财务指标</w:t>
      </w:r>
      <w:bookmarkEnd w:id="68"/>
      <w:bookmarkEnd w:id="69"/>
      <w:bookmarkEnd w:id="70"/>
      <w:bookmarkEnd w:id="71"/>
      <w:bookmarkEnd w:id="72"/>
      <w:bookmarkEnd w:id="73"/>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金额单位：人民币元</w:t>
      </w:r>
    </w:p>
    <w:tbl>
      <w:tblPr>
        <w:tblW w:w="93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D2230" w:rsidRPr="00C24ACA" w:rsidTr="005C3575">
        <w:trPr>
          <w:trHeight w:val="487"/>
        </w:trPr>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3.1.1</w:t>
            </w:r>
            <w:r w:rsidRPr="00C24ACA">
              <w:rPr>
                <w:rFonts w:eastAsiaTheme="minorEastAsia"/>
                <w:b/>
                <w:color w:val="000000"/>
                <w:szCs w:val="21"/>
              </w:rPr>
              <w:t>期间数据和指标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w:t>
            </w:r>
            <w:r w:rsidRPr="00C24ACA">
              <w:rPr>
                <w:rFonts w:eastAsiaTheme="minorEastAsia"/>
                <w:b/>
                <w:szCs w:val="21"/>
              </w:rPr>
              <w:t>2020</w:t>
            </w:r>
            <w:r w:rsidRPr="00C24ACA">
              <w:rPr>
                <w:rFonts w:eastAsiaTheme="minorEastAsia"/>
                <w:b/>
                <w:szCs w:val="21"/>
              </w:rPr>
              <w:t>年</w:t>
            </w:r>
            <w:r w:rsidRPr="00C24ACA">
              <w:rPr>
                <w:rFonts w:eastAsiaTheme="minorEastAsia"/>
                <w:b/>
                <w:szCs w:val="21"/>
              </w:rPr>
              <w:t>1</w:t>
            </w:r>
            <w:r w:rsidRPr="00C24ACA">
              <w:rPr>
                <w:rFonts w:eastAsiaTheme="minorEastAsia"/>
                <w:b/>
                <w:szCs w:val="21"/>
              </w:rPr>
              <w:t>月</w:t>
            </w:r>
            <w:r w:rsidRPr="00C24ACA">
              <w:rPr>
                <w:rFonts w:eastAsiaTheme="minorEastAsia"/>
                <w:b/>
                <w:szCs w:val="21"/>
              </w:rPr>
              <w:t>1</w:t>
            </w:r>
            <w:r w:rsidRPr="00C24ACA">
              <w:rPr>
                <w:rFonts w:eastAsiaTheme="minorEastAsia"/>
                <w:b/>
                <w:szCs w:val="21"/>
              </w:rPr>
              <w:t>日至</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1D2230" w:rsidRPr="00C24ACA" w:rsidTr="005C3575">
        <w:trPr>
          <w:trHeight w:val="487"/>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易方达中短期美元债债券（</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易方达中短期美元债债券（</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本期已实现收益</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9,344,547.98</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4,733,399.42</w:t>
            </w:r>
          </w:p>
        </w:tc>
      </w:tr>
      <w:tr w:rsidR="001D2230" w:rsidRPr="00C24ACA" w:rsidTr="005C3575">
        <w:trPr>
          <w:trHeight w:val="754"/>
        </w:trPr>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12,965,122.87</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5,839,819.01</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加权平均基金份额本期利润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0.0328</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0.0275</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本期加权平均净值利润率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3.13%</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2.63%</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本期基金份额净值增长率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3.57%</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3.42%</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3.1.2</w:t>
            </w:r>
            <w:r w:rsidRPr="00C24ACA">
              <w:rPr>
                <w:rFonts w:eastAsiaTheme="minorEastAsia"/>
                <w:b/>
                <w:color w:val="000000"/>
                <w:szCs w:val="21"/>
              </w:rPr>
              <w:t>期末数据和指标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rPr>
          <w:trHeight w:val="373"/>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易方达中短期美元债债券（</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A</w:t>
            </w:r>
          </w:p>
        </w:tc>
        <w:tc>
          <w:tcPr>
            <w:tcW w:w="2558"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易方达中短期美元债债券（</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17,332,590.32</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7,870,235.89</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期末可供分配基金份额利润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0.0524</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0.0495</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期末基金资产净值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355,365,165.80</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170,362,694.20</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期末基金份额净值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1.0738</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1.0708</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3.1.3</w:t>
            </w:r>
            <w:r w:rsidRPr="00C24ACA">
              <w:rPr>
                <w:rFonts w:eastAsiaTheme="minorEastAsia"/>
                <w:b/>
                <w:color w:val="000000"/>
                <w:szCs w:val="21"/>
              </w:rPr>
              <w:t>累计期末指标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易方达中短期美元债债券（</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易方达中短期美元债债券（</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基金份额累计净值增长率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7.38%</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7.08%</w:t>
            </w:r>
          </w:p>
        </w:tc>
      </w:tr>
    </w:tbl>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所述基金业绩指标不包括持有人认购或交易基金的各项费用，计入费用后实际收益水平要低于所列数字。</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本期已实现收益指基金本期利息收入、投资收益、其他收入（不含公允价值变动收益）扣除相关费用后的余额，本期利润为本期已实现收益加上本期公允价值变动收益。</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3.</w:t>
      </w:r>
      <w:r w:rsidRPr="00C24ACA">
        <w:rPr>
          <w:rFonts w:eastAsiaTheme="minorEastAsia"/>
          <w:kern w:val="0"/>
          <w:szCs w:val="21"/>
        </w:rPr>
        <w:t>期末可供分配利润，为期末资产负债表中未分配利润与未分配利润中已实现部分的孰低数。</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74" w:name="_Toc225498252"/>
      <w:bookmarkStart w:id="75" w:name="_Toc352255969"/>
      <w:bookmarkStart w:id="76" w:name="_Toc352256037"/>
      <w:bookmarkStart w:id="77" w:name="_Toc352331215"/>
      <w:bookmarkStart w:id="78" w:name="_Toc390164801"/>
      <w:bookmarkStart w:id="79" w:name="_Toc48659779"/>
      <w:r w:rsidRPr="0087359D">
        <w:rPr>
          <w:rFonts w:ascii="宋体" w:hAnsi="宋体"/>
          <w:kern w:val="0"/>
          <w:sz w:val="21"/>
          <w:szCs w:val="21"/>
        </w:rPr>
        <w:t>3.2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基金净值表现</w:t>
      </w:r>
      <w:bookmarkEnd w:id="74"/>
      <w:bookmarkEnd w:id="75"/>
      <w:bookmarkEnd w:id="76"/>
      <w:bookmarkEnd w:id="77"/>
      <w:bookmarkEnd w:id="78"/>
      <w:bookmarkEnd w:id="79"/>
    </w:p>
    <w:p w:rsidR="008A5A5D" w:rsidRPr="00C24ACA" w:rsidRDefault="008A5A5D" w:rsidP="00635EA5">
      <w:pPr>
        <w:autoSpaceDE w:val="0"/>
        <w:autoSpaceDN w:val="0"/>
        <w:adjustRightInd w:val="0"/>
        <w:spacing w:line="360" w:lineRule="auto"/>
        <w:jc w:val="left"/>
        <w:rPr>
          <w:rFonts w:eastAsiaTheme="minorEastAsia"/>
          <w:b/>
          <w:color w:val="000000"/>
          <w:kern w:val="0"/>
          <w:szCs w:val="21"/>
        </w:rPr>
      </w:pPr>
      <w:r w:rsidRPr="00C24ACA">
        <w:rPr>
          <w:rFonts w:eastAsiaTheme="minorEastAsia"/>
          <w:b/>
          <w:color w:val="000000"/>
          <w:kern w:val="0"/>
          <w:szCs w:val="21"/>
        </w:rPr>
        <w:t xml:space="preserve">3.2.1 </w:t>
      </w:r>
      <w:r w:rsidRPr="00C24ACA">
        <w:rPr>
          <w:rFonts w:eastAsiaTheme="minorEastAsia"/>
          <w:b/>
          <w:color w:val="000000"/>
          <w:kern w:val="0"/>
          <w:szCs w:val="21"/>
        </w:rPr>
        <w:t>基金份额净值增长率及其与同期业绩比较基准收益率的比较</w:t>
      </w:r>
    </w:p>
    <w:p w:rsidR="00FC6E91" w:rsidRPr="00C24ACA" w:rsidRDefault="00FC6E91" w:rsidP="00FC6E91">
      <w:pPr>
        <w:pStyle w:val="21"/>
        <w:spacing w:line="360"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易方达中短期美元债债券（</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8E5B30">
        <w:tc>
          <w:tcPr>
            <w:tcW w:w="1620" w:type="dxa"/>
            <w:vAlign w:val="center"/>
          </w:tcPr>
          <w:p w:rsidR="008E5B30" w:rsidRDefault="00013397">
            <w:pPr>
              <w:jc w:val="left"/>
            </w:pPr>
            <w:r>
              <w:rPr>
                <w:rFonts w:eastAsiaTheme="minorEastAsia"/>
                <w:color w:val="000000"/>
                <w:szCs w:val="21"/>
              </w:rPr>
              <w:t>过去一个月</w:t>
            </w:r>
          </w:p>
        </w:tc>
        <w:tc>
          <w:tcPr>
            <w:tcW w:w="1350" w:type="dxa"/>
            <w:vAlign w:val="center"/>
          </w:tcPr>
          <w:p w:rsidR="008E5B30" w:rsidRDefault="00013397">
            <w:pPr>
              <w:jc w:val="center"/>
            </w:pPr>
            <w:r>
              <w:rPr>
                <w:rFonts w:eastAsiaTheme="minorEastAsia"/>
                <w:color w:val="000000"/>
                <w:szCs w:val="21"/>
              </w:rPr>
              <w:t>0.36%</w:t>
            </w:r>
          </w:p>
        </w:tc>
        <w:tc>
          <w:tcPr>
            <w:tcW w:w="1350" w:type="dxa"/>
            <w:vAlign w:val="center"/>
          </w:tcPr>
          <w:p w:rsidR="008E5B30" w:rsidRDefault="00013397">
            <w:pPr>
              <w:jc w:val="center"/>
            </w:pPr>
            <w:r>
              <w:rPr>
                <w:rFonts w:eastAsiaTheme="minorEastAsia"/>
                <w:color w:val="000000"/>
                <w:szCs w:val="21"/>
              </w:rPr>
              <w:t>0.18%</w:t>
            </w:r>
          </w:p>
        </w:tc>
        <w:tc>
          <w:tcPr>
            <w:tcW w:w="1350" w:type="dxa"/>
            <w:vAlign w:val="center"/>
          </w:tcPr>
          <w:p w:rsidR="008E5B30" w:rsidRDefault="00013397">
            <w:pPr>
              <w:jc w:val="center"/>
            </w:pPr>
            <w:r>
              <w:rPr>
                <w:rFonts w:eastAsiaTheme="minorEastAsia"/>
                <w:color w:val="000000"/>
                <w:szCs w:val="21"/>
              </w:rPr>
              <w:t>-0.37%</w:t>
            </w:r>
          </w:p>
        </w:tc>
        <w:tc>
          <w:tcPr>
            <w:tcW w:w="1350" w:type="dxa"/>
            <w:vAlign w:val="center"/>
          </w:tcPr>
          <w:p w:rsidR="008E5B30" w:rsidRDefault="00013397">
            <w:pPr>
              <w:jc w:val="center"/>
            </w:pPr>
            <w:r>
              <w:rPr>
                <w:rFonts w:eastAsiaTheme="minorEastAsia"/>
                <w:color w:val="000000"/>
                <w:szCs w:val="21"/>
              </w:rPr>
              <w:t>0.16%</w:t>
            </w:r>
          </w:p>
        </w:tc>
        <w:tc>
          <w:tcPr>
            <w:tcW w:w="1350" w:type="dxa"/>
            <w:vAlign w:val="center"/>
          </w:tcPr>
          <w:p w:rsidR="008E5B30" w:rsidRDefault="00013397">
            <w:pPr>
              <w:jc w:val="center"/>
            </w:pPr>
            <w:r>
              <w:rPr>
                <w:rFonts w:eastAsiaTheme="minorEastAsia"/>
                <w:color w:val="000000"/>
                <w:szCs w:val="21"/>
              </w:rPr>
              <w:t>0.73%</w:t>
            </w:r>
          </w:p>
        </w:tc>
        <w:tc>
          <w:tcPr>
            <w:tcW w:w="1350" w:type="dxa"/>
            <w:vAlign w:val="center"/>
          </w:tcPr>
          <w:p w:rsidR="008E5B30" w:rsidRDefault="00013397">
            <w:pPr>
              <w:jc w:val="center"/>
            </w:pPr>
            <w:r>
              <w:rPr>
                <w:rFonts w:eastAsiaTheme="minorEastAsia"/>
                <w:color w:val="000000"/>
                <w:szCs w:val="21"/>
              </w:rPr>
              <w:t>0.02%</w:t>
            </w:r>
          </w:p>
        </w:tc>
      </w:tr>
      <w:tr w:rsidR="008E5B30">
        <w:tc>
          <w:tcPr>
            <w:tcW w:w="1620" w:type="dxa"/>
            <w:vAlign w:val="center"/>
          </w:tcPr>
          <w:p w:rsidR="008E5B30" w:rsidRDefault="00013397">
            <w:pPr>
              <w:jc w:val="left"/>
            </w:pPr>
            <w:r>
              <w:rPr>
                <w:rFonts w:eastAsiaTheme="minorEastAsia"/>
                <w:color w:val="000000"/>
                <w:szCs w:val="21"/>
              </w:rPr>
              <w:t>过去三个月</w:t>
            </w:r>
          </w:p>
        </w:tc>
        <w:tc>
          <w:tcPr>
            <w:tcW w:w="1350" w:type="dxa"/>
            <w:vAlign w:val="center"/>
          </w:tcPr>
          <w:p w:rsidR="008E5B30" w:rsidRDefault="00013397">
            <w:pPr>
              <w:jc w:val="center"/>
            </w:pPr>
            <w:r>
              <w:rPr>
                <w:rFonts w:eastAsiaTheme="minorEastAsia"/>
                <w:color w:val="000000"/>
                <w:szCs w:val="21"/>
              </w:rPr>
              <w:t>3.29%</w:t>
            </w:r>
          </w:p>
        </w:tc>
        <w:tc>
          <w:tcPr>
            <w:tcW w:w="1350" w:type="dxa"/>
            <w:vAlign w:val="center"/>
          </w:tcPr>
          <w:p w:rsidR="008E5B30" w:rsidRDefault="00013397">
            <w:pPr>
              <w:jc w:val="center"/>
            </w:pPr>
            <w:r>
              <w:rPr>
                <w:rFonts w:eastAsiaTheme="minorEastAsia"/>
                <w:color w:val="000000"/>
                <w:szCs w:val="21"/>
              </w:rPr>
              <w:t>0.21%</w:t>
            </w:r>
          </w:p>
        </w:tc>
        <w:tc>
          <w:tcPr>
            <w:tcW w:w="1350" w:type="dxa"/>
            <w:vAlign w:val="center"/>
          </w:tcPr>
          <w:p w:rsidR="008E5B30" w:rsidRDefault="00013397">
            <w:pPr>
              <w:jc w:val="center"/>
            </w:pPr>
            <w:r>
              <w:rPr>
                <w:rFonts w:eastAsiaTheme="minorEastAsia"/>
                <w:color w:val="000000"/>
                <w:szCs w:val="21"/>
              </w:rPr>
              <w:t>1.41%</w:t>
            </w:r>
          </w:p>
        </w:tc>
        <w:tc>
          <w:tcPr>
            <w:tcW w:w="1350" w:type="dxa"/>
            <w:vAlign w:val="center"/>
          </w:tcPr>
          <w:p w:rsidR="008E5B30" w:rsidRDefault="00013397">
            <w:pPr>
              <w:jc w:val="center"/>
            </w:pPr>
            <w:r>
              <w:rPr>
                <w:rFonts w:eastAsiaTheme="minorEastAsia"/>
                <w:color w:val="000000"/>
                <w:szCs w:val="21"/>
              </w:rPr>
              <w:t>0.19%</w:t>
            </w:r>
          </w:p>
        </w:tc>
        <w:tc>
          <w:tcPr>
            <w:tcW w:w="1350" w:type="dxa"/>
            <w:vAlign w:val="center"/>
          </w:tcPr>
          <w:p w:rsidR="008E5B30" w:rsidRDefault="00013397">
            <w:pPr>
              <w:jc w:val="center"/>
            </w:pPr>
            <w:r>
              <w:rPr>
                <w:rFonts w:eastAsiaTheme="minorEastAsia"/>
                <w:color w:val="000000"/>
                <w:szCs w:val="21"/>
              </w:rPr>
              <w:t>1.88%</w:t>
            </w:r>
          </w:p>
        </w:tc>
        <w:tc>
          <w:tcPr>
            <w:tcW w:w="1350" w:type="dxa"/>
            <w:vAlign w:val="center"/>
          </w:tcPr>
          <w:p w:rsidR="008E5B30" w:rsidRDefault="00013397">
            <w:pPr>
              <w:jc w:val="center"/>
            </w:pPr>
            <w:r>
              <w:rPr>
                <w:rFonts w:eastAsiaTheme="minorEastAsia"/>
                <w:color w:val="000000"/>
                <w:szCs w:val="21"/>
              </w:rPr>
              <w:t>0.02%</w:t>
            </w:r>
          </w:p>
        </w:tc>
      </w:tr>
      <w:tr w:rsidR="008E5B30">
        <w:tc>
          <w:tcPr>
            <w:tcW w:w="1620" w:type="dxa"/>
            <w:vAlign w:val="center"/>
          </w:tcPr>
          <w:p w:rsidR="008E5B30" w:rsidRDefault="00013397">
            <w:pPr>
              <w:jc w:val="left"/>
            </w:pPr>
            <w:r>
              <w:rPr>
                <w:rFonts w:eastAsiaTheme="minorEastAsia"/>
                <w:color w:val="000000"/>
                <w:szCs w:val="21"/>
              </w:rPr>
              <w:t>过去六个月</w:t>
            </w:r>
          </w:p>
        </w:tc>
        <w:tc>
          <w:tcPr>
            <w:tcW w:w="1350" w:type="dxa"/>
            <w:vAlign w:val="center"/>
          </w:tcPr>
          <w:p w:rsidR="008E5B30" w:rsidRDefault="00013397">
            <w:pPr>
              <w:jc w:val="center"/>
            </w:pPr>
            <w:r>
              <w:rPr>
                <w:rFonts w:eastAsiaTheme="minorEastAsia"/>
                <w:color w:val="000000"/>
                <w:szCs w:val="21"/>
              </w:rPr>
              <w:t>3.57%</w:t>
            </w:r>
          </w:p>
        </w:tc>
        <w:tc>
          <w:tcPr>
            <w:tcW w:w="1350" w:type="dxa"/>
            <w:vAlign w:val="center"/>
          </w:tcPr>
          <w:p w:rsidR="008E5B30" w:rsidRDefault="00013397">
            <w:pPr>
              <w:jc w:val="center"/>
            </w:pPr>
            <w:r>
              <w:rPr>
                <w:rFonts w:eastAsiaTheme="minorEastAsia"/>
                <w:color w:val="000000"/>
                <w:szCs w:val="21"/>
              </w:rPr>
              <w:t>0.25%</w:t>
            </w:r>
          </w:p>
        </w:tc>
        <w:tc>
          <w:tcPr>
            <w:tcW w:w="1350" w:type="dxa"/>
            <w:vAlign w:val="center"/>
          </w:tcPr>
          <w:p w:rsidR="008E5B30" w:rsidRDefault="00013397">
            <w:pPr>
              <w:jc w:val="center"/>
            </w:pPr>
            <w:r>
              <w:rPr>
                <w:rFonts w:eastAsiaTheme="minorEastAsia"/>
                <w:color w:val="000000"/>
                <w:szCs w:val="21"/>
              </w:rPr>
              <w:t>3.69%</w:t>
            </w:r>
          </w:p>
        </w:tc>
        <w:tc>
          <w:tcPr>
            <w:tcW w:w="1350" w:type="dxa"/>
            <w:vAlign w:val="center"/>
          </w:tcPr>
          <w:p w:rsidR="008E5B30" w:rsidRDefault="00013397">
            <w:pPr>
              <w:jc w:val="center"/>
            </w:pPr>
            <w:r>
              <w:rPr>
                <w:rFonts w:eastAsiaTheme="minorEastAsia"/>
                <w:color w:val="000000"/>
                <w:szCs w:val="21"/>
              </w:rPr>
              <w:t>0.22%</w:t>
            </w:r>
          </w:p>
        </w:tc>
        <w:tc>
          <w:tcPr>
            <w:tcW w:w="1350" w:type="dxa"/>
            <w:vAlign w:val="center"/>
          </w:tcPr>
          <w:p w:rsidR="008E5B30" w:rsidRDefault="00013397">
            <w:pPr>
              <w:jc w:val="center"/>
            </w:pPr>
            <w:r>
              <w:rPr>
                <w:rFonts w:eastAsiaTheme="minorEastAsia"/>
                <w:color w:val="000000"/>
                <w:szCs w:val="21"/>
              </w:rPr>
              <w:t>-0.12%</w:t>
            </w:r>
          </w:p>
        </w:tc>
        <w:tc>
          <w:tcPr>
            <w:tcW w:w="1350" w:type="dxa"/>
            <w:vAlign w:val="center"/>
          </w:tcPr>
          <w:p w:rsidR="008E5B30" w:rsidRDefault="00013397">
            <w:pPr>
              <w:jc w:val="center"/>
            </w:pPr>
            <w:r>
              <w:rPr>
                <w:rFonts w:eastAsiaTheme="minorEastAsia"/>
                <w:color w:val="000000"/>
                <w:szCs w:val="21"/>
              </w:rPr>
              <w:t>0.03%</w:t>
            </w:r>
          </w:p>
        </w:tc>
      </w:tr>
      <w:tr w:rsidR="008E5B30">
        <w:tc>
          <w:tcPr>
            <w:tcW w:w="1620" w:type="dxa"/>
            <w:vAlign w:val="center"/>
          </w:tcPr>
          <w:p w:rsidR="008E5B30" w:rsidRDefault="00013397">
            <w:pPr>
              <w:jc w:val="left"/>
            </w:pPr>
            <w:r>
              <w:rPr>
                <w:rFonts w:eastAsiaTheme="minorEastAsia"/>
                <w:color w:val="000000"/>
                <w:szCs w:val="21"/>
              </w:rPr>
              <w:t>过去一年</w:t>
            </w:r>
          </w:p>
        </w:tc>
        <w:tc>
          <w:tcPr>
            <w:tcW w:w="1350" w:type="dxa"/>
            <w:vAlign w:val="center"/>
          </w:tcPr>
          <w:p w:rsidR="008E5B30" w:rsidRDefault="00013397">
            <w:pPr>
              <w:jc w:val="center"/>
            </w:pPr>
            <w:r>
              <w:rPr>
                <w:rFonts w:eastAsiaTheme="minorEastAsia"/>
                <w:color w:val="000000"/>
                <w:szCs w:val="21"/>
              </w:rPr>
              <w:t>7.60%</w:t>
            </w:r>
          </w:p>
        </w:tc>
        <w:tc>
          <w:tcPr>
            <w:tcW w:w="1350" w:type="dxa"/>
            <w:vAlign w:val="center"/>
          </w:tcPr>
          <w:p w:rsidR="008E5B30" w:rsidRDefault="00013397">
            <w:pPr>
              <w:jc w:val="center"/>
            </w:pPr>
            <w:r>
              <w:rPr>
                <w:rFonts w:eastAsiaTheme="minorEastAsia"/>
                <w:color w:val="000000"/>
                <w:szCs w:val="21"/>
              </w:rPr>
              <w:t>0.20%</w:t>
            </w:r>
          </w:p>
        </w:tc>
        <w:tc>
          <w:tcPr>
            <w:tcW w:w="1350" w:type="dxa"/>
            <w:vAlign w:val="center"/>
          </w:tcPr>
          <w:p w:rsidR="008E5B30" w:rsidRDefault="00013397">
            <w:pPr>
              <w:jc w:val="center"/>
            </w:pPr>
            <w:r>
              <w:rPr>
                <w:rFonts w:eastAsiaTheme="minorEastAsia"/>
                <w:color w:val="000000"/>
                <w:szCs w:val="21"/>
              </w:rPr>
              <w:t>6.39%</w:t>
            </w:r>
          </w:p>
        </w:tc>
        <w:tc>
          <w:tcPr>
            <w:tcW w:w="1350" w:type="dxa"/>
            <w:vAlign w:val="center"/>
          </w:tcPr>
          <w:p w:rsidR="008E5B30" w:rsidRDefault="00013397">
            <w:pPr>
              <w:jc w:val="center"/>
            </w:pPr>
            <w:r>
              <w:rPr>
                <w:rFonts w:eastAsiaTheme="minorEastAsia"/>
                <w:color w:val="000000"/>
                <w:szCs w:val="21"/>
              </w:rPr>
              <w:t>0.19%</w:t>
            </w:r>
          </w:p>
        </w:tc>
        <w:tc>
          <w:tcPr>
            <w:tcW w:w="1350" w:type="dxa"/>
            <w:vAlign w:val="center"/>
          </w:tcPr>
          <w:p w:rsidR="008E5B30" w:rsidRDefault="00013397">
            <w:pPr>
              <w:jc w:val="center"/>
            </w:pPr>
            <w:r>
              <w:rPr>
                <w:rFonts w:eastAsiaTheme="minorEastAsia"/>
                <w:color w:val="000000"/>
                <w:szCs w:val="21"/>
              </w:rPr>
              <w:t>1.21%</w:t>
            </w:r>
          </w:p>
        </w:tc>
        <w:tc>
          <w:tcPr>
            <w:tcW w:w="1350" w:type="dxa"/>
            <w:vAlign w:val="center"/>
          </w:tcPr>
          <w:p w:rsidR="008E5B30" w:rsidRDefault="00013397">
            <w:pPr>
              <w:jc w:val="center"/>
            </w:pPr>
            <w:r>
              <w:rPr>
                <w:rFonts w:eastAsiaTheme="minorEastAsia"/>
                <w:color w:val="000000"/>
                <w:szCs w:val="21"/>
              </w:rPr>
              <w:t>0.01%</w:t>
            </w:r>
          </w:p>
        </w:tc>
      </w:tr>
      <w:tr w:rsidR="008E5B30">
        <w:tc>
          <w:tcPr>
            <w:tcW w:w="1620" w:type="dxa"/>
            <w:vAlign w:val="center"/>
          </w:tcPr>
          <w:p w:rsidR="008E5B30" w:rsidRDefault="00013397">
            <w:pPr>
              <w:jc w:val="left"/>
            </w:pPr>
            <w:r>
              <w:rPr>
                <w:rFonts w:eastAsiaTheme="minorEastAsia"/>
                <w:color w:val="000000"/>
                <w:szCs w:val="21"/>
              </w:rPr>
              <w:t>过去三年</w:t>
            </w:r>
          </w:p>
        </w:tc>
        <w:tc>
          <w:tcPr>
            <w:tcW w:w="1350" w:type="dxa"/>
            <w:vAlign w:val="center"/>
          </w:tcPr>
          <w:p w:rsidR="008E5B30" w:rsidRDefault="00013397">
            <w:pPr>
              <w:jc w:val="center"/>
            </w:pPr>
            <w:r>
              <w:rPr>
                <w:rFonts w:eastAsiaTheme="minorEastAsia"/>
                <w:color w:val="000000"/>
                <w:szCs w:val="21"/>
              </w:rPr>
              <w:t>-</w:t>
            </w:r>
          </w:p>
        </w:tc>
        <w:tc>
          <w:tcPr>
            <w:tcW w:w="1350" w:type="dxa"/>
            <w:vAlign w:val="center"/>
          </w:tcPr>
          <w:p w:rsidR="008E5B30" w:rsidRDefault="00013397">
            <w:pPr>
              <w:jc w:val="center"/>
            </w:pPr>
            <w:r>
              <w:rPr>
                <w:rFonts w:eastAsiaTheme="minorEastAsia"/>
                <w:color w:val="000000"/>
                <w:szCs w:val="21"/>
              </w:rPr>
              <w:t>-</w:t>
            </w:r>
          </w:p>
        </w:tc>
        <w:tc>
          <w:tcPr>
            <w:tcW w:w="1350" w:type="dxa"/>
            <w:vAlign w:val="center"/>
          </w:tcPr>
          <w:p w:rsidR="008E5B30" w:rsidRDefault="00013397">
            <w:pPr>
              <w:jc w:val="center"/>
            </w:pPr>
            <w:r>
              <w:rPr>
                <w:rFonts w:eastAsiaTheme="minorEastAsia"/>
                <w:color w:val="000000"/>
                <w:szCs w:val="21"/>
              </w:rPr>
              <w:t>-</w:t>
            </w:r>
          </w:p>
        </w:tc>
        <w:tc>
          <w:tcPr>
            <w:tcW w:w="1350" w:type="dxa"/>
            <w:vAlign w:val="center"/>
          </w:tcPr>
          <w:p w:rsidR="008E5B30" w:rsidRDefault="00013397">
            <w:pPr>
              <w:jc w:val="center"/>
            </w:pPr>
            <w:r>
              <w:rPr>
                <w:rFonts w:eastAsiaTheme="minorEastAsia"/>
                <w:color w:val="000000"/>
                <w:szCs w:val="21"/>
              </w:rPr>
              <w:t>-</w:t>
            </w:r>
          </w:p>
        </w:tc>
        <w:tc>
          <w:tcPr>
            <w:tcW w:w="1350" w:type="dxa"/>
            <w:vAlign w:val="center"/>
          </w:tcPr>
          <w:p w:rsidR="008E5B30" w:rsidRDefault="00013397">
            <w:pPr>
              <w:jc w:val="center"/>
            </w:pPr>
            <w:r>
              <w:rPr>
                <w:rFonts w:eastAsiaTheme="minorEastAsia"/>
                <w:color w:val="000000"/>
                <w:szCs w:val="21"/>
              </w:rPr>
              <w:t>-</w:t>
            </w:r>
          </w:p>
        </w:tc>
        <w:tc>
          <w:tcPr>
            <w:tcW w:w="1350" w:type="dxa"/>
            <w:vAlign w:val="center"/>
          </w:tcPr>
          <w:p w:rsidR="008E5B30" w:rsidRDefault="00013397">
            <w:pPr>
              <w:jc w:val="center"/>
            </w:pPr>
            <w:r>
              <w:rPr>
                <w:rFonts w:eastAsiaTheme="minorEastAsia"/>
                <w:color w:val="000000"/>
                <w:szCs w:val="21"/>
              </w:rPr>
              <w:t>-</w:t>
            </w:r>
          </w:p>
        </w:tc>
      </w:tr>
      <w:tr w:rsidR="008E5B30">
        <w:tc>
          <w:tcPr>
            <w:tcW w:w="1620" w:type="dxa"/>
            <w:vAlign w:val="center"/>
          </w:tcPr>
          <w:p w:rsidR="008E5B30" w:rsidRDefault="00013397">
            <w:pPr>
              <w:jc w:val="left"/>
            </w:pPr>
            <w:r>
              <w:rPr>
                <w:rFonts w:eastAsiaTheme="minorEastAsia"/>
                <w:color w:val="000000"/>
                <w:szCs w:val="21"/>
              </w:rPr>
              <w:t>自基金合同生效起至今</w:t>
            </w:r>
          </w:p>
        </w:tc>
        <w:tc>
          <w:tcPr>
            <w:tcW w:w="1350" w:type="dxa"/>
            <w:vAlign w:val="center"/>
          </w:tcPr>
          <w:p w:rsidR="008E5B30" w:rsidRDefault="00013397">
            <w:pPr>
              <w:jc w:val="center"/>
            </w:pPr>
            <w:r>
              <w:rPr>
                <w:rFonts w:eastAsiaTheme="minorEastAsia"/>
                <w:color w:val="000000"/>
                <w:szCs w:val="21"/>
              </w:rPr>
              <w:t>7.38%</w:t>
            </w:r>
          </w:p>
        </w:tc>
        <w:tc>
          <w:tcPr>
            <w:tcW w:w="1350" w:type="dxa"/>
            <w:vAlign w:val="center"/>
          </w:tcPr>
          <w:p w:rsidR="008E5B30" w:rsidRDefault="00013397">
            <w:pPr>
              <w:jc w:val="center"/>
            </w:pPr>
            <w:r>
              <w:rPr>
                <w:rFonts w:eastAsiaTheme="minorEastAsia"/>
                <w:color w:val="000000"/>
                <w:szCs w:val="21"/>
              </w:rPr>
              <w:t>0.20%</w:t>
            </w:r>
          </w:p>
        </w:tc>
        <w:tc>
          <w:tcPr>
            <w:tcW w:w="1350" w:type="dxa"/>
            <w:vAlign w:val="center"/>
          </w:tcPr>
          <w:p w:rsidR="008E5B30" w:rsidRDefault="00013397">
            <w:pPr>
              <w:jc w:val="center"/>
            </w:pPr>
            <w:r>
              <w:rPr>
                <w:rFonts w:eastAsiaTheme="minorEastAsia"/>
                <w:color w:val="000000"/>
                <w:szCs w:val="21"/>
              </w:rPr>
              <w:t>6.75%</w:t>
            </w:r>
          </w:p>
        </w:tc>
        <w:tc>
          <w:tcPr>
            <w:tcW w:w="1350" w:type="dxa"/>
            <w:vAlign w:val="center"/>
          </w:tcPr>
          <w:p w:rsidR="008E5B30" w:rsidRDefault="00013397">
            <w:pPr>
              <w:jc w:val="center"/>
            </w:pPr>
            <w:r>
              <w:rPr>
                <w:rFonts w:eastAsiaTheme="minorEastAsia"/>
                <w:color w:val="000000"/>
                <w:szCs w:val="21"/>
              </w:rPr>
              <w:t>0.18%</w:t>
            </w:r>
          </w:p>
        </w:tc>
        <w:tc>
          <w:tcPr>
            <w:tcW w:w="1350" w:type="dxa"/>
            <w:vAlign w:val="center"/>
          </w:tcPr>
          <w:p w:rsidR="008E5B30" w:rsidRDefault="00013397">
            <w:pPr>
              <w:jc w:val="center"/>
            </w:pPr>
            <w:r>
              <w:rPr>
                <w:rFonts w:eastAsiaTheme="minorEastAsia"/>
                <w:color w:val="000000"/>
                <w:szCs w:val="21"/>
              </w:rPr>
              <w:t>0.63%</w:t>
            </w:r>
          </w:p>
        </w:tc>
        <w:tc>
          <w:tcPr>
            <w:tcW w:w="1350" w:type="dxa"/>
            <w:vAlign w:val="center"/>
          </w:tcPr>
          <w:p w:rsidR="008E5B30" w:rsidRDefault="00013397">
            <w:pPr>
              <w:jc w:val="center"/>
            </w:pPr>
            <w:r>
              <w:rPr>
                <w:rFonts w:eastAsiaTheme="minorEastAsia"/>
                <w:color w:val="000000"/>
                <w:szCs w:val="21"/>
              </w:rPr>
              <w:t>0.02%</w:t>
            </w:r>
          </w:p>
        </w:tc>
      </w:tr>
    </w:tbl>
    <w:p w:rsidR="00FC6E91" w:rsidRPr="00C24ACA" w:rsidRDefault="00FC6E91" w:rsidP="00FC6E91">
      <w:pPr>
        <w:pStyle w:val="21"/>
        <w:spacing w:line="288"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易方达中短期美元债债券（</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8E5B30">
        <w:tc>
          <w:tcPr>
            <w:tcW w:w="1620" w:type="dxa"/>
            <w:vAlign w:val="center"/>
          </w:tcPr>
          <w:p w:rsidR="008E5B30" w:rsidRDefault="00013397">
            <w:pPr>
              <w:jc w:val="left"/>
            </w:pPr>
            <w:r>
              <w:rPr>
                <w:rFonts w:eastAsiaTheme="minorEastAsia"/>
                <w:color w:val="000000"/>
                <w:szCs w:val="21"/>
              </w:rPr>
              <w:t>过去一个月</w:t>
            </w:r>
          </w:p>
        </w:tc>
        <w:tc>
          <w:tcPr>
            <w:tcW w:w="1350" w:type="dxa"/>
            <w:vAlign w:val="center"/>
          </w:tcPr>
          <w:p w:rsidR="008E5B30" w:rsidRDefault="00013397">
            <w:pPr>
              <w:jc w:val="center"/>
            </w:pPr>
            <w:r>
              <w:rPr>
                <w:rFonts w:eastAsiaTheme="minorEastAsia"/>
                <w:color w:val="000000"/>
                <w:szCs w:val="21"/>
              </w:rPr>
              <w:t>0.34%</w:t>
            </w:r>
          </w:p>
        </w:tc>
        <w:tc>
          <w:tcPr>
            <w:tcW w:w="1350" w:type="dxa"/>
            <w:vAlign w:val="center"/>
          </w:tcPr>
          <w:p w:rsidR="008E5B30" w:rsidRDefault="00013397">
            <w:pPr>
              <w:jc w:val="center"/>
            </w:pPr>
            <w:r>
              <w:rPr>
                <w:rFonts w:eastAsiaTheme="minorEastAsia"/>
                <w:color w:val="000000"/>
                <w:szCs w:val="21"/>
              </w:rPr>
              <w:t>0.18%</w:t>
            </w:r>
          </w:p>
        </w:tc>
        <w:tc>
          <w:tcPr>
            <w:tcW w:w="1350" w:type="dxa"/>
            <w:vAlign w:val="center"/>
          </w:tcPr>
          <w:p w:rsidR="008E5B30" w:rsidRDefault="00013397">
            <w:pPr>
              <w:jc w:val="center"/>
            </w:pPr>
            <w:r>
              <w:rPr>
                <w:rFonts w:eastAsiaTheme="minorEastAsia"/>
                <w:color w:val="000000"/>
                <w:szCs w:val="21"/>
              </w:rPr>
              <w:t>-0.37%</w:t>
            </w:r>
          </w:p>
        </w:tc>
        <w:tc>
          <w:tcPr>
            <w:tcW w:w="1350" w:type="dxa"/>
            <w:vAlign w:val="center"/>
          </w:tcPr>
          <w:p w:rsidR="008E5B30" w:rsidRDefault="00013397">
            <w:pPr>
              <w:jc w:val="center"/>
            </w:pPr>
            <w:r>
              <w:rPr>
                <w:rFonts w:eastAsiaTheme="minorEastAsia"/>
                <w:color w:val="000000"/>
                <w:szCs w:val="21"/>
              </w:rPr>
              <w:t>0.16%</w:t>
            </w:r>
          </w:p>
        </w:tc>
        <w:tc>
          <w:tcPr>
            <w:tcW w:w="1350" w:type="dxa"/>
            <w:vAlign w:val="center"/>
          </w:tcPr>
          <w:p w:rsidR="008E5B30" w:rsidRDefault="00013397">
            <w:pPr>
              <w:jc w:val="center"/>
            </w:pPr>
            <w:r>
              <w:rPr>
                <w:rFonts w:eastAsiaTheme="minorEastAsia"/>
                <w:color w:val="000000"/>
                <w:szCs w:val="21"/>
              </w:rPr>
              <w:t>0.71%</w:t>
            </w:r>
          </w:p>
        </w:tc>
        <w:tc>
          <w:tcPr>
            <w:tcW w:w="1350" w:type="dxa"/>
            <w:vAlign w:val="center"/>
          </w:tcPr>
          <w:p w:rsidR="008E5B30" w:rsidRDefault="00013397">
            <w:pPr>
              <w:jc w:val="center"/>
            </w:pPr>
            <w:r>
              <w:rPr>
                <w:rFonts w:eastAsiaTheme="minorEastAsia"/>
                <w:color w:val="000000"/>
                <w:szCs w:val="21"/>
              </w:rPr>
              <w:t>0.02%</w:t>
            </w:r>
          </w:p>
        </w:tc>
      </w:tr>
      <w:tr w:rsidR="008E5B30">
        <w:tc>
          <w:tcPr>
            <w:tcW w:w="1620" w:type="dxa"/>
            <w:vAlign w:val="center"/>
          </w:tcPr>
          <w:p w:rsidR="008E5B30" w:rsidRDefault="00013397">
            <w:pPr>
              <w:jc w:val="left"/>
            </w:pPr>
            <w:r>
              <w:rPr>
                <w:rFonts w:eastAsiaTheme="minorEastAsia"/>
                <w:color w:val="000000"/>
                <w:szCs w:val="21"/>
              </w:rPr>
              <w:t>过去三个月</w:t>
            </w:r>
          </w:p>
        </w:tc>
        <w:tc>
          <w:tcPr>
            <w:tcW w:w="1350" w:type="dxa"/>
            <w:vAlign w:val="center"/>
          </w:tcPr>
          <w:p w:rsidR="008E5B30" w:rsidRDefault="00013397">
            <w:pPr>
              <w:jc w:val="center"/>
            </w:pPr>
            <w:r>
              <w:rPr>
                <w:rFonts w:eastAsiaTheme="minorEastAsia"/>
                <w:color w:val="000000"/>
                <w:szCs w:val="21"/>
              </w:rPr>
              <w:t>3.21%</w:t>
            </w:r>
          </w:p>
        </w:tc>
        <w:tc>
          <w:tcPr>
            <w:tcW w:w="1350" w:type="dxa"/>
            <w:vAlign w:val="center"/>
          </w:tcPr>
          <w:p w:rsidR="008E5B30" w:rsidRDefault="00013397">
            <w:pPr>
              <w:jc w:val="center"/>
            </w:pPr>
            <w:r>
              <w:rPr>
                <w:rFonts w:eastAsiaTheme="minorEastAsia"/>
                <w:color w:val="000000"/>
                <w:szCs w:val="21"/>
              </w:rPr>
              <w:t>0.21%</w:t>
            </w:r>
          </w:p>
        </w:tc>
        <w:tc>
          <w:tcPr>
            <w:tcW w:w="1350" w:type="dxa"/>
            <w:vAlign w:val="center"/>
          </w:tcPr>
          <w:p w:rsidR="008E5B30" w:rsidRDefault="00013397">
            <w:pPr>
              <w:jc w:val="center"/>
            </w:pPr>
            <w:r>
              <w:rPr>
                <w:rFonts w:eastAsiaTheme="minorEastAsia"/>
                <w:color w:val="000000"/>
                <w:szCs w:val="21"/>
              </w:rPr>
              <w:t>1.41%</w:t>
            </w:r>
          </w:p>
        </w:tc>
        <w:tc>
          <w:tcPr>
            <w:tcW w:w="1350" w:type="dxa"/>
            <w:vAlign w:val="center"/>
          </w:tcPr>
          <w:p w:rsidR="008E5B30" w:rsidRDefault="00013397">
            <w:pPr>
              <w:jc w:val="center"/>
            </w:pPr>
            <w:r>
              <w:rPr>
                <w:rFonts w:eastAsiaTheme="minorEastAsia"/>
                <w:color w:val="000000"/>
                <w:szCs w:val="21"/>
              </w:rPr>
              <w:t>0.19%</w:t>
            </w:r>
          </w:p>
        </w:tc>
        <w:tc>
          <w:tcPr>
            <w:tcW w:w="1350" w:type="dxa"/>
            <w:vAlign w:val="center"/>
          </w:tcPr>
          <w:p w:rsidR="008E5B30" w:rsidRDefault="00013397">
            <w:pPr>
              <w:jc w:val="center"/>
            </w:pPr>
            <w:r>
              <w:rPr>
                <w:rFonts w:eastAsiaTheme="minorEastAsia"/>
                <w:color w:val="000000"/>
                <w:szCs w:val="21"/>
              </w:rPr>
              <w:t>1.80%</w:t>
            </w:r>
          </w:p>
        </w:tc>
        <w:tc>
          <w:tcPr>
            <w:tcW w:w="1350" w:type="dxa"/>
            <w:vAlign w:val="center"/>
          </w:tcPr>
          <w:p w:rsidR="008E5B30" w:rsidRDefault="00013397">
            <w:pPr>
              <w:jc w:val="center"/>
            </w:pPr>
            <w:r>
              <w:rPr>
                <w:rFonts w:eastAsiaTheme="minorEastAsia"/>
                <w:color w:val="000000"/>
                <w:szCs w:val="21"/>
              </w:rPr>
              <w:t>0.02%</w:t>
            </w:r>
          </w:p>
        </w:tc>
      </w:tr>
      <w:tr w:rsidR="008E5B30">
        <w:tc>
          <w:tcPr>
            <w:tcW w:w="1620" w:type="dxa"/>
            <w:vAlign w:val="center"/>
          </w:tcPr>
          <w:p w:rsidR="008E5B30" w:rsidRDefault="00013397">
            <w:pPr>
              <w:jc w:val="left"/>
            </w:pPr>
            <w:r>
              <w:rPr>
                <w:rFonts w:eastAsiaTheme="minorEastAsia"/>
                <w:color w:val="000000"/>
                <w:szCs w:val="21"/>
              </w:rPr>
              <w:t>过去六个月</w:t>
            </w:r>
          </w:p>
        </w:tc>
        <w:tc>
          <w:tcPr>
            <w:tcW w:w="1350" w:type="dxa"/>
            <w:vAlign w:val="center"/>
          </w:tcPr>
          <w:p w:rsidR="008E5B30" w:rsidRDefault="00013397">
            <w:pPr>
              <w:jc w:val="center"/>
            </w:pPr>
            <w:r>
              <w:rPr>
                <w:rFonts w:eastAsiaTheme="minorEastAsia"/>
                <w:color w:val="000000"/>
                <w:szCs w:val="21"/>
              </w:rPr>
              <w:t>3.42%</w:t>
            </w:r>
          </w:p>
        </w:tc>
        <w:tc>
          <w:tcPr>
            <w:tcW w:w="1350" w:type="dxa"/>
            <w:vAlign w:val="center"/>
          </w:tcPr>
          <w:p w:rsidR="008E5B30" w:rsidRDefault="00013397">
            <w:pPr>
              <w:jc w:val="center"/>
            </w:pPr>
            <w:r>
              <w:rPr>
                <w:rFonts w:eastAsiaTheme="minorEastAsia"/>
                <w:color w:val="000000"/>
                <w:szCs w:val="21"/>
              </w:rPr>
              <w:t>0.25%</w:t>
            </w:r>
          </w:p>
        </w:tc>
        <w:tc>
          <w:tcPr>
            <w:tcW w:w="1350" w:type="dxa"/>
            <w:vAlign w:val="center"/>
          </w:tcPr>
          <w:p w:rsidR="008E5B30" w:rsidRDefault="00013397">
            <w:pPr>
              <w:jc w:val="center"/>
            </w:pPr>
            <w:r>
              <w:rPr>
                <w:rFonts w:eastAsiaTheme="minorEastAsia"/>
                <w:color w:val="000000"/>
                <w:szCs w:val="21"/>
              </w:rPr>
              <w:t>3.69%</w:t>
            </w:r>
          </w:p>
        </w:tc>
        <w:tc>
          <w:tcPr>
            <w:tcW w:w="1350" w:type="dxa"/>
            <w:vAlign w:val="center"/>
          </w:tcPr>
          <w:p w:rsidR="008E5B30" w:rsidRDefault="00013397">
            <w:pPr>
              <w:jc w:val="center"/>
            </w:pPr>
            <w:r>
              <w:rPr>
                <w:rFonts w:eastAsiaTheme="minorEastAsia"/>
                <w:color w:val="000000"/>
                <w:szCs w:val="21"/>
              </w:rPr>
              <w:t>0.22%</w:t>
            </w:r>
          </w:p>
        </w:tc>
        <w:tc>
          <w:tcPr>
            <w:tcW w:w="1350" w:type="dxa"/>
            <w:vAlign w:val="center"/>
          </w:tcPr>
          <w:p w:rsidR="008E5B30" w:rsidRDefault="00013397">
            <w:pPr>
              <w:jc w:val="center"/>
            </w:pPr>
            <w:r>
              <w:rPr>
                <w:rFonts w:eastAsiaTheme="minorEastAsia"/>
                <w:color w:val="000000"/>
                <w:szCs w:val="21"/>
              </w:rPr>
              <w:t>-0.27%</w:t>
            </w:r>
          </w:p>
        </w:tc>
        <w:tc>
          <w:tcPr>
            <w:tcW w:w="1350" w:type="dxa"/>
            <w:vAlign w:val="center"/>
          </w:tcPr>
          <w:p w:rsidR="008E5B30" w:rsidRDefault="00013397">
            <w:pPr>
              <w:jc w:val="center"/>
            </w:pPr>
            <w:r>
              <w:rPr>
                <w:rFonts w:eastAsiaTheme="minorEastAsia"/>
                <w:color w:val="000000"/>
                <w:szCs w:val="21"/>
              </w:rPr>
              <w:t>0.03%</w:t>
            </w:r>
          </w:p>
        </w:tc>
      </w:tr>
      <w:tr w:rsidR="008E5B30">
        <w:tc>
          <w:tcPr>
            <w:tcW w:w="1620" w:type="dxa"/>
            <w:vAlign w:val="center"/>
          </w:tcPr>
          <w:p w:rsidR="008E5B30" w:rsidRDefault="00013397">
            <w:pPr>
              <w:jc w:val="left"/>
            </w:pPr>
            <w:r>
              <w:rPr>
                <w:rFonts w:eastAsiaTheme="minorEastAsia"/>
                <w:color w:val="000000"/>
                <w:szCs w:val="21"/>
              </w:rPr>
              <w:t>过去一年</w:t>
            </w:r>
          </w:p>
        </w:tc>
        <w:tc>
          <w:tcPr>
            <w:tcW w:w="1350" w:type="dxa"/>
            <w:vAlign w:val="center"/>
          </w:tcPr>
          <w:p w:rsidR="008E5B30" w:rsidRDefault="00013397">
            <w:pPr>
              <w:jc w:val="center"/>
            </w:pPr>
            <w:r>
              <w:rPr>
                <w:rFonts w:eastAsiaTheme="minorEastAsia"/>
                <w:color w:val="000000"/>
                <w:szCs w:val="21"/>
              </w:rPr>
              <w:t>7.29%</w:t>
            </w:r>
          </w:p>
        </w:tc>
        <w:tc>
          <w:tcPr>
            <w:tcW w:w="1350" w:type="dxa"/>
            <w:vAlign w:val="center"/>
          </w:tcPr>
          <w:p w:rsidR="008E5B30" w:rsidRDefault="00013397">
            <w:pPr>
              <w:jc w:val="center"/>
            </w:pPr>
            <w:r>
              <w:rPr>
                <w:rFonts w:eastAsiaTheme="minorEastAsia"/>
                <w:color w:val="000000"/>
                <w:szCs w:val="21"/>
              </w:rPr>
              <w:t>0.20%</w:t>
            </w:r>
          </w:p>
        </w:tc>
        <w:tc>
          <w:tcPr>
            <w:tcW w:w="1350" w:type="dxa"/>
            <w:vAlign w:val="center"/>
          </w:tcPr>
          <w:p w:rsidR="008E5B30" w:rsidRDefault="00013397">
            <w:pPr>
              <w:jc w:val="center"/>
            </w:pPr>
            <w:r>
              <w:rPr>
                <w:rFonts w:eastAsiaTheme="minorEastAsia"/>
                <w:color w:val="000000"/>
                <w:szCs w:val="21"/>
              </w:rPr>
              <w:t>6.39%</w:t>
            </w:r>
          </w:p>
        </w:tc>
        <w:tc>
          <w:tcPr>
            <w:tcW w:w="1350" w:type="dxa"/>
            <w:vAlign w:val="center"/>
          </w:tcPr>
          <w:p w:rsidR="008E5B30" w:rsidRDefault="00013397">
            <w:pPr>
              <w:jc w:val="center"/>
            </w:pPr>
            <w:r>
              <w:rPr>
                <w:rFonts w:eastAsiaTheme="minorEastAsia"/>
                <w:color w:val="000000"/>
                <w:szCs w:val="21"/>
              </w:rPr>
              <w:t>0.19%</w:t>
            </w:r>
          </w:p>
        </w:tc>
        <w:tc>
          <w:tcPr>
            <w:tcW w:w="1350" w:type="dxa"/>
            <w:vAlign w:val="center"/>
          </w:tcPr>
          <w:p w:rsidR="008E5B30" w:rsidRDefault="00013397">
            <w:pPr>
              <w:jc w:val="center"/>
            </w:pPr>
            <w:r>
              <w:rPr>
                <w:rFonts w:eastAsiaTheme="minorEastAsia"/>
                <w:color w:val="000000"/>
                <w:szCs w:val="21"/>
              </w:rPr>
              <w:t>0.90%</w:t>
            </w:r>
          </w:p>
        </w:tc>
        <w:tc>
          <w:tcPr>
            <w:tcW w:w="1350" w:type="dxa"/>
            <w:vAlign w:val="center"/>
          </w:tcPr>
          <w:p w:rsidR="008E5B30" w:rsidRDefault="00013397">
            <w:pPr>
              <w:jc w:val="center"/>
            </w:pPr>
            <w:r>
              <w:rPr>
                <w:rFonts w:eastAsiaTheme="minorEastAsia"/>
                <w:color w:val="000000"/>
                <w:szCs w:val="21"/>
              </w:rPr>
              <w:t>0.01%</w:t>
            </w:r>
          </w:p>
        </w:tc>
      </w:tr>
      <w:tr w:rsidR="008E5B30">
        <w:tc>
          <w:tcPr>
            <w:tcW w:w="1620" w:type="dxa"/>
            <w:vAlign w:val="center"/>
          </w:tcPr>
          <w:p w:rsidR="008E5B30" w:rsidRDefault="00013397">
            <w:pPr>
              <w:jc w:val="left"/>
            </w:pPr>
            <w:r>
              <w:rPr>
                <w:rFonts w:eastAsiaTheme="minorEastAsia"/>
                <w:color w:val="000000"/>
                <w:szCs w:val="21"/>
              </w:rPr>
              <w:t>过去三年</w:t>
            </w:r>
          </w:p>
        </w:tc>
        <w:tc>
          <w:tcPr>
            <w:tcW w:w="1350" w:type="dxa"/>
            <w:vAlign w:val="center"/>
          </w:tcPr>
          <w:p w:rsidR="008E5B30" w:rsidRDefault="00013397">
            <w:pPr>
              <w:jc w:val="center"/>
            </w:pPr>
            <w:r>
              <w:rPr>
                <w:rFonts w:eastAsiaTheme="minorEastAsia"/>
                <w:color w:val="000000"/>
                <w:szCs w:val="21"/>
              </w:rPr>
              <w:t>-</w:t>
            </w:r>
          </w:p>
        </w:tc>
        <w:tc>
          <w:tcPr>
            <w:tcW w:w="1350" w:type="dxa"/>
            <w:vAlign w:val="center"/>
          </w:tcPr>
          <w:p w:rsidR="008E5B30" w:rsidRDefault="00013397">
            <w:pPr>
              <w:jc w:val="center"/>
            </w:pPr>
            <w:r>
              <w:rPr>
                <w:rFonts w:eastAsiaTheme="minorEastAsia"/>
                <w:color w:val="000000"/>
                <w:szCs w:val="21"/>
              </w:rPr>
              <w:t>-</w:t>
            </w:r>
          </w:p>
        </w:tc>
        <w:tc>
          <w:tcPr>
            <w:tcW w:w="1350" w:type="dxa"/>
            <w:vAlign w:val="center"/>
          </w:tcPr>
          <w:p w:rsidR="008E5B30" w:rsidRDefault="00013397">
            <w:pPr>
              <w:jc w:val="center"/>
            </w:pPr>
            <w:r>
              <w:rPr>
                <w:rFonts w:eastAsiaTheme="minorEastAsia"/>
                <w:color w:val="000000"/>
                <w:szCs w:val="21"/>
              </w:rPr>
              <w:t>-</w:t>
            </w:r>
          </w:p>
        </w:tc>
        <w:tc>
          <w:tcPr>
            <w:tcW w:w="1350" w:type="dxa"/>
            <w:vAlign w:val="center"/>
          </w:tcPr>
          <w:p w:rsidR="008E5B30" w:rsidRDefault="00013397">
            <w:pPr>
              <w:jc w:val="center"/>
            </w:pPr>
            <w:r>
              <w:rPr>
                <w:rFonts w:eastAsiaTheme="minorEastAsia"/>
                <w:color w:val="000000"/>
                <w:szCs w:val="21"/>
              </w:rPr>
              <w:t>-</w:t>
            </w:r>
          </w:p>
        </w:tc>
        <w:tc>
          <w:tcPr>
            <w:tcW w:w="1350" w:type="dxa"/>
            <w:vAlign w:val="center"/>
          </w:tcPr>
          <w:p w:rsidR="008E5B30" w:rsidRDefault="00013397">
            <w:pPr>
              <w:jc w:val="center"/>
            </w:pPr>
            <w:r>
              <w:rPr>
                <w:rFonts w:eastAsiaTheme="minorEastAsia"/>
                <w:color w:val="000000"/>
                <w:szCs w:val="21"/>
              </w:rPr>
              <w:t>-</w:t>
            </w:r>
          </w:p>
        </w:tc>
        <w:tc>
          <w:tcPr>
            <w:tcW w:w="1350" w:type="dxa"/>
            <w:vAlign w:val="center"/>
          </w:tcPr>
          <w:p w:rsidR="008E5B30" w:rsidRDefault="00013397">
            <w:pPr>
              <w:jc w:val="center"/>
            </w:pPr>
            <w:r>
              <w:rPr>
                <w:rFonts w:eastAsiaTheme="minorEastAsia"/>
                <w:color w:val="000000"/>
                <w:szCs w:val="21"/>
              </w:rPr>
              <w:t>-</w:t>
            </w:r>
          </w:p>
        </w:tc>
      </w:tr>
      <w:tr w:rsidR="008E5B30">
        <w:tc>
          <w:tcPr>
            <w:tcW w:w="1620" w:type="dxa"/>
            <w:vAlign w:val="center"/>
          </w:tcPr>
          <w:p w:rsidR="008E5B30" w:rsidRDefault="00013397">
            <w:pPr>
              <w:jc w:val="left"/>
            </w:pPr>
            <w:r>
              <w:rPr>
                <w:rFonts w:eastAsiaTheme="minorEastAsia"/>
                <w:color w:val="000000"/>
                <w:szCs w:val="21"/>
              </w:rPr>
              <w:t>自基金合同生效起至今</w:t>
            </w:r>
          </w:p>
        </w:tc>
        <w:tc>
          <w:tcPr>
            <w:tcW w:w="1350" w:type="dxa"/>
            <w:vAlign w:val="center"/>
          </w:tcPr>
          <w:p w:rsidR="008E5B30" w:rsidRDefault="00013397">
            <w:pPr>
              <w:jc w:val="center"/>
            </w:pPr>
            <w:r>
              <w:rPr>
                <w:rFonts w:eastAsiaTheme="minorEastAsia"/>
                <w:color w:val="000000"/>
                <w:szCs w:val="21"/>
              </w:rPr>
              <w:t>7.08%</w:t>
            </w:r>
          </w:p>
        </w:tc>
        <w:tc>
          <w:tcPr>
            <w:tcW w:w="1350" w:type="dxa"/>
            <w:vAlign w:val="center"/>
          </w:tcPr>
          <w:p w:rsidR="008E5B30" w:rsidRDefault="00013397">
            <w:pPr>
              <w:jc w:val="center"/>
            </w:pPr>
            <w:r>
              <w:rPr>
                <w:rFonts w:eastAsiaTheme="minorEastAsia"/>
                <w:color w:val="000000"/>
                <w:szCs w:val="21"/>
              </w:rPr>
              <w:t>0.20%</w:t>
            </w:r>
          </w:p>
        </w:tc>
        <w:tc>
          <w:tcPr>
            <w:tcW w:w="1350" w:type="dxa"/>
            <w:vAlign w:val="center"/>
          </w:tcPr>
          <w:p w:rsidR="008E5B30" w:rsidRDefault="00013397">
            <w:pPr>
              <w:jc w:val="center"/>
            </w:pPr>
            <w:r>
              <w:rPr>
                <w:rFonts w:eastAsiaTheme="minorEastAsia"/>
                <w:color w:val="000000"/>
                <w:szCs w:val="21"/>
              </w:rPr>
              <w:t>6.75%</w:t>
            </w:r>
          </w:p>
        </w:tc>
        <w:tc>
          <w:tcPr>
            <w:tcW w:w="1350" w:type="dxa"/>
            <w:vAlign w:val="center"/>
          </w:tcPr>
          <w:p w:rsidR="008E5B30" w:rsidRDefault="00013397">
            <w:pPr>
              <w:jc w:val="center"/>
            </w:pPr>
            <w:r>
              <w:rPr>
                <w:rFonts w:eastAsiaTheme="minorEastAsia"/>
                <w:color w:val="000000"/>
                <w:szCs w:val="21"/>
              </w:rPr>
              <w:t>0.18%</w:t>
            </w:r>
          </w:p>
        </w:tc>
        <w:tc>
          <w:tcPr>
            <w:tcW w:w="1350" w:type="dxa"/>
            <w:vAlign w:val="center"/>
          </w:tcPr>
          <w:p w:rsidR="008E5B30" w:rsidRDefault="00013397">
            <w:pPr>
              <w:jc w:val="center"/>
            </w:pPr>
            <w:r>
              <w:rPr>
                <w:rFonts w:eastAsiaTheme="minorEastAsia"/>
                <w:color w:val="000000"/>
                <w:szCs w:val="21"/>
              </w:rPr>
              <w:t>0.33%</w:t>
            </w:r>
          </w:p>
        </w:tc>
        <w:tc>
          <w:tcPr>
            <w:tcW w:w="1350" w:type="dxa"/>
            <w:vAlign w:val="center"/>
          </w:tcPr>
          <w:p w:rsidR="008E5B30" w:rsidRDefault="00013397">
            <w:pPr>
              <w:jc w:val="center"/>
            </w:pPr>
            <w:r>
              <w:rPr>
                <w:rFonts w:eastAsiaTheme="minorEastAsia"/>
                <w:color w:val="000000"/>
                <w:szCs w:val="21"/>
              </w:rPr>
              <w:t>0.02%</w:t>
            </w:r>
          </w:p>
        </w:tc>
      </w:tr>
    </w:tbl>
    <w:p w:rsidR="00FC6E91" w:rsidRPr="00C24ACA" w:rsidRDefault="00FC6E91" w:rsidP="00732F5C">
      <w:pPr>
        <w:spacing w:beforeLines="100" w:before="312" w:line="360" w:lineRule="auto"/>
        <w:rPr>
          <w:rFonts w:eastAsiaTheme="minorEastAsia"/>
          <w:b/>
          <w:kern w:val="0"/>
          <w:szCs w:val="21"/>
        </w:rPr>
      </w:pPr>
      <w:r w:rsidRPr="00C24ACA">
        <w:rPr>
          <w:rFonts w:eastAsiaTheme="minorEastAsia"/>
          <w:b/>
          <w:kern w:val="0"/>
          <w:szCs w:val="21"/>
        </w:rPr>
        <w:t>3.2.2</w:t>
      </w:r>
      <w:r w:rsidRPr="00C24ACA">
        <w:rPr>
          <w:rStyle w:val="af8"/>
          <w:rFonts w:eastAsiaTheme="minorEastAsia"/>
          <w:color w:val="000000"/>
          <w:szCs w:val="21"/>
          <w:shd w:val="clear" w:color="auto" w:fill="FFFFFF"/>
        </w:rPr>
        <w:t>自基金合同生效以来</w:t>
      </w:r>
      <w:r w:rsidRPr="00C24ACA">
        <w:rPr>
          <w:rFonts w:eastAsiaTheme="minorEastAsia"/>
          <w:b/>
          <w:kern w:val="0"/>
          <w:szCs w:val="21"/>
        </w:rPr>
        <w:t>基金份额累计净值增长率变动及其与同期业绩比较基准收益率变动的比较</w:t>
      </w:r>
    </w:p>
    <w:p w:rsidR="001A19C2" w:rsidRDefault="001A19C2" w:rsidP="00E039F9">
      <w:pPr>
        <w:spacing w:line="360" w:lineRule="auto"/>
        <w:ind w:firstLine="420"/>
        <w:jc w:val="center"/>
        <w:rPr>
          <w:rFonts w:eastAsiaTheme="minorEastAsia"/>
          <w:color w:val="000000"/>
          <w:kern w:val="0"/>
          <w:szCs w:val="21"/>
        </w:rPr>
      </w:pPr>
      <w:r w:rsidRPr="00D749D4">
        <w:rPr>
          <w:color w:val="000000"/>
          <w:szCs w:val="21"/>
        </w:rPr>
        <w:t>易方达中短期美元债债券型证券投资基金（</w:t>
      </w:r>
      <w:r w:rsidRPr="00D749D4">
        <w:rPr>
          <w:color w:val="000000"/>
          <w:szCs w:val="21"/>
        </w:rPr>
        <w:t>QDII</w:t>
      </w:r>
      <w:r w:rsidRPr="00D749D4">
        <w:rPr>
          <w:color w:val="000000"/>
          <w:szCs w:val="21"/>
        </w:rPr>
        <w:t>）</w:t>
      </w:r>
    </w:p>
    <w:p w:rsidR="00301185" w:rsidRDefault="001A19C2" w:rsidP="00301185">
      <w:pPr>
        <w:pStyle w:val="a6"/>
        <w:snapToGrid w:val="0"/>
        <w:spacing w:line="360" w:lineRule="auto"/>
        <w:jc w:val="center"/>
        <w:rPr>
          <w:rFonts w:ascii="Times New Roman" w:eastAsiaTheme="minorEastAsia" w:hAnsi="Times New Roman"/>
          <w:color w:val="000000" w:themeColor="text1"/>
          <w:sz w:val="24"/>
          <w:szCs w:val="24"/>
        </w:rPr>
      </w:pPr>
      <w:r w:rsidRPr="00D749D4">
        <w:rPr>
          <w:rFonts w:hint="eastAsia"/>
          <w:color w:val="000000"/>
        </w:rPr>
        <w:t>份额累计净值增长率与业绩比较基准收益率历史走势对比图</w:t>
      </w:r>
    </w:p>
    <w:p w:rsidR="00E039F9" w:rsidRPr="00576423" w:rsidRDefault="00301185" w:rsidP="00301185">
      <w:pPr>
        <w:spacing w:line="360" w:lineRule="auto"/>
        <w:jc w:val="center"/>
        <w:rPr>
          <w:rFonts w:eastAsiaTheme="minorEastAsia"/>
          <w:color w:val="000000"/>
          <w:szCs w:val="21"/>
        </w:rPr>
      </w:pPr>
      <w:r w:rsidRPr="00576423">
        <w:rPr>
          <w:szCs w:val="21"/>
        </w:rPr>
        <w:t>（</w:t>
      </w:r>
      <w:r w:rsidRPr="00576423">
        <w:rPr>
          <w:szCs w:val="21"/>
        </w:rPr>
        <w:t>2019</w:t>
      </w:r>
      <w:r w:rsidRPr="00576423">
        <w:rPr>
          <w:szCs w:val="21"/>
        </w:rPr>
        <w:t>年</w:t>
      </w:r>
      <w:r w:rsidRPr="00576423">
        <w:rPr>
          <w:szCs w:val="21"/>
        </w:rPr>
        <w:t>6</w:t>
      </w:r>
      <w:r w:rsidRPr="00576423">
        <w:rPr>
          <w:szCs w:val="21"/>
        </w:rPr>
        <w:t>月</w:t>
      </w:r>
      <w:r w:rsidRPr="00576423">
        <w:rPr>
          <w:szCs w:val="21"/>
        </w:rPr>
        <w:t>5</w:t>
      </w:r>
      <w:r w:rsidRPr="00576423">
        <w:rPr>
          <w:szCs w:val="21"/>
        </w:rPr>
        <w:t>日至</w:t>
      </w:r>
      <w:r w:rsidRPr="00576423">
        <w:rPr>
          <w:szCs w:val="21"/>
        </w:rPr>
        <w:t>2020</w:t>
      </w:r>
      <w:r w:rsidRPr="00576423">
        <w:rPr>
          <w:szCs w:val="21"/>
        </w:rPr>
        <w:t>年</w:t>
      </w:r>
      <w:r w:rsidRPr="00576423">
        <w:rPr>
          <w:szCs w:val="21"/>
        </w:rPr>
        <w:t>6</w:t>
      </w:r>
      <w:r w:rsidRPr="00576423">
        <w:rPr>
          <w:szCs w:val="21"/>
        </w:rPr>
        <w:t>月</w:t>
      </w:r>
      <w:r w:rsidRPr="00576423">
        <w:rPr>
          <w:szCs w:val="21"/>
        </w:rPr>
        <w:t>30</w:t>
      </w:r>
      <w:r w:rsidRPr="00576423">
        <w:rPr>
          <w:szCs w:val="21"/>
        </w:rPr>
        <w:t>日）</w:t>
      </w:r>
    </w:p>
    <w:p w:rsidR="00301185" w:rsidRDefault="00A34426" w:rsidP="00301185">
      <w:pPr>
        <w:pStyle w:val="21"/>
        <w:spacing w:line="288" w:lineRule="auto"/>
        <w:ind w:firstLineChars="0" w:firstLine="0"/>
        <w:jc w:val="left"/>
        <w:rPr>
          <w:rFonts w:ascii="Times New Roman" w:hAnsi="Times New Roman"/>
          <w:color w:val="000000"/>
        </w:rPr>
      </w:pPr>
      <w:r w:rsidRPr="00C24ACA">
        <w:rPr>
          <w:rFonts w:ascii="Times New Roman" w:eastAsiaTheme="minorEastAsia" w:hAnsi="Times New Roman"/>
          <w:color w:val="auto"/>
          <w:sz w:val="21"/>
          <w:szCs w:val="21"/>
        </w:rPr>
        <w:t>易方达中短期美元债债券（</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p w:rsidR="00A34426" w:rsidRPr="00C24ACA" w:rsidRDefault="00A34426" w:rsidP="00E039F9">
      <w:pPr>
        <w:pStyle w:val="a6"/>
        <w:snapToGrid w:val="0"/>
        <w:spacing w:line="360" w:lineRule="auto"/>
        <w:ind w:firstLine="48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301185" w:rsidRDefault="000902FA" w:rsidP="00301185">
      <w:pPr>
        <w:pStyle w:val="21"/>
        <w:spacing w:line="288" w:lineRule="auto"/>
        <w:ind w:firstLineChars="0" w:firstLine="0"/>
        <w:jc w:val="left"/>
        <w:rPr>
          <w:rFonts w:ascii="Times New Roman" w:hAnsi="Times New Roman"/>
          <w:color w:val="000000"/>
        </w:rPr>
      </w:pPr>
      <w:r w:rsidRPr="00C24ACA">
        <w:rPr>
          <w:rFonts w:ascii="Times New Roman" w:eastAsiaTheme="minorEastAsia" w:hAnsi="Times New Roman"/>
          <w:color w:val="auto"/>
          <w:sz w:val="21"/>
          <w:szCs w:val="21"/>
        </w:rPr>
        <w:t>易方达中短期美元债债券（</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p>
    <w:p w:rsidR="000902FA" w:rsidRPr="00C24ACA" w:rsidRDefault="000902FA" w:rsidP="001F489E">
      <w:pPr>
        <w:pStyle w:val="a6"/>
        <w:snapToGrid w:val="0"/>
        <w:spacing w:line="360" w:lineRule="auto"/>
        <w:ind w:firstLine="48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本基金的业绩比较基准已经转换为以人民币计价。</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按基金合同和招募说明书的约定，本基金的建仓期为六个月，建仓期结束时各项资产配置比例符合基金合同（第十二部分二、投资范围，三、投资策略和四、投资限制）的有关约定。</w:t>
      </w:r>
    </w:p>
    <w:p w:rsidR="00FC6E91" w:rsidRPr="00C24ACA" w:rsidRDefault="00FC6E91"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3.</w:t>
      </w:r>
      <w:r w:rsidRPr="00C24ACA">
        <w:rPr>
          <w:rFonts w:eastAsiaTheme="minorEastAsia"/>
          <w:kern w:val="0"/>
          <w:szCs w:val="21"/>
        </w:rPr>
        <w:t>自基金合同生效至报告期末，</w:t>
      </w:r>
      <w:r w:rsidRPr="00C24ACA">
        <w:rPr>
          <w:rFonts w:eastAsiaTheme="minorEastAsia"/>
          <w:kern w:val="0"/>
          <w:szCs w:val="21"/>
        </w:rPr>
        <w:t>A</w:t>
      </w:r>
      <w:r w:rsidRPr="00C24ACA">
        <w:rPr>
          <w:rFonts w:eastAsiaTheme="minorEastAsia"/>
          <w:kern w:val="0"/>
          <w:szCs w:val="21"/>
        </w:rPr>
        <w:t>类基金份额净值增长率为</w:t>
      </w:r>
      <w:r w:rsidRPr="00C24ACA">
        <w:rPr>
          <w:rFonts w:eastAsiaTheme="minorEastAsia"/>
          <w:kern w:val="0"/>
          <w:szCs w:val="21"/>
        </w:rPr>
        <w:t>7.38%</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类基金份额净值增长率为</w:t>
      </w:r>
      <w:r w:rsidRPr="00C24ACA">
        <w:rPr>
          <w:rFonts w:eastAsiaTheme="minorEastAsia"/>
          <w:kern w:val="0"/>
          <w:szCs w:val="21"/>
        </w:rPr>
        <w:t>7.08%</w:t>
      </w:r>
      <w:r w:rsidRPr="00C24ACA">
        <w:rPr>
          <w:rFonts w:eastAsiaTheme="minorEastAsia"/>
          <w:kern w:val="0"/>
          <w:szCs w:val="21"/>
        </w:rPr>
        <w:t>，同期业绩比较基准收益率为</w:t>
      </w:r>
      <w:r w:rsidRPr="00C24ACA">
        <w:rPr>
          <w:rFonts w:eastAsiaTheme="minorEastAsia"/>
          <w:kern w:val="0"/>
          <w:szCs w:val="21"/>
        </w:rPr>
        <w:t>6.75%</w:t>
      </w:r>
      <w:r w:rsidRPr="00C24ACA">
        <w:rPr>
          <w:rFonts w:eastAsiaTheme="minorEastAsia"/>
          <w:kern w:val="0"/>
          <w:szCs w:val="21"/>
        </w:rPr>
        <w:t>。</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80" w:name="_Toc225498254"/>
      <w:bookmarkStart w:id="81" w:name="_Toc352255971"/>
      <w:bookmarkStart w:id="82" w:name="_Toc352256039"/>
      <w:bookmarkStart w:id="83" w:name="_Toc352331217"/>
      <w:bookmarkStart w:id="84" w:name="_Toc390164802"/>
      <w:bookmarkStart w:id="85" w:name="_Toc48659780"/>
      <w:r w:rsidRPr="000C6CCD">
        <w:rPr>
          <w:rFonts w:ascii="宋体" w:hAnsi="宋体"/>
          <w:bCs w:val="0"/>
          <w:color w:val="000000"/>
          <w:sz w:val="21"/>
          <w:szCs w:val="21"/>
        </w:rPr>
        <w:t>4</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管理人报告</w:t>
      </w:r>
      <w:bookmarkEnd w:id="80"/>
      <w:bookmarkEnd w:id="81"/>
      <w:bookmarkEnd w:id="82"/>
      <w:bookmarkEnd w:id="83"/>
      <w:bookmarkEnd w:id="84"/>
      <w:bookmarkEnd w:id="85"/>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86" w:name="_Toc352255972"/>
      <w:bookmarkStart w:id="87" w:name="_Toc352256040"/>
      <w:bookmarkStart w:id="88" w:name="_Toc352331218"/>
      <w:bookmarkStart w:id="89" w:name="_Toc362423996"/>
      <w:bookmarkStart w:id="90" w:name="_Toc374459258"/>
      <w:bookmarkStart w:id="91" w:name="_Toc48659781"/>
      <w:r w:rsidRPr="0087359D">
        <w:rPr>
          <w:rFonts w:ascii="宋体" w:hAnsi="宋体"/>
          <w:kern w:val="0"/>
          <w:sz w:val="21"/>
          <w:szCs w:val="21"/>
        </w:rPr>
        <w:t>4.1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基金管理人及基金经理情况</w:t>
      </w:r>
      <w:bookmarkEnd w:id="86"/>
      <w:bookmarkEnd w:id="87"/>
      <w:bookmarkEnd w:id="88"/>
      <w:bookmarkEnd w:id="89"/>
      <w:bookmarkEnd w:id="90"/>
      <w:bookmarkEnd w:id="91"/>
    </w:p>
    <w:p w:rsidR="00FC5407" w:rsidRPr="00C24ACA" w:rsidRDefault="00FC5407" w:rsidP="00FC5407">
      <w:pPr>
        <w:autoSpaceDE w:val="0"/>
        <w:autoSpaceDN w:val="0"/>
        <w:adjustRightInd w:val="0"/>
        <w:spacing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4.1.1 </w:t>
      </w:r>
      <w:r w:rsidRPr="00C24ACA">
        <w:rPr>
          <w:rFonts w:eastAsiaTheme="minorEastAsia"/>
          <w:b/>
          <w:color w:val="000000" w:themeColor="text1"/>
          <w:kern w:val="0"/>
          <w:szCs w:val="21"/>
        </w:rPr>
        <w:t>基金管理人及其管理基金的经验</w:t>
      </w:r>
    </w:p>
    <w:p w:rsidR="00FC5407" w:rsidRPr="00C24ACA" w:rsidRDefault="00FC5407" w:rsidP="008134C7">
      <w:pPr>
        <w:spacing w:line="360" w:lineRule="auto"/>
        <w:ind w:firstLineChars="200" w:firstLine="420"/>
        <w:rPr>
          <w:rFonts w:eastAsiaTheme="minorEastAsia"/>
          <w:color w:val="000000" w:themeColor="text1"/>
          <w:szCs w:val="21"/>
        </w:rPr>
      </w:pPr>
      <w:r w:rsidRPr="00C24ACA">
        <w:rPr>
          <w:rFonts w:eastAsiaTheme="minorEastAsia"/>
          <w:color w:val="000000" w:themeColor="text1"/>
          <w:szCs w:val="21"/>
        </w:rPr>
        <w:t>经中国证监会证监基金字</w:t>
      </w:r>
      <w:r w:rsidRPr="00C24ACA">
        <w:rPr>
          <w:rFonts w:eastAsiaTheme="minorEastAsia"/>
          <w:color w:val="000000" w:themeColor="text1"/>
          <w:szCs w:val="21"/>
        </w:rPr>
        <w:t>[2001]4</w:t>
      </w:r>
      <w:r w:rsidRPr="00C24ACA">
        <w:rPr>
          <w:rFonts w:eastAsiaTheme="minorEastAsia"/>
          <w:color w:val="000000" w:themeColor="text1"/>
          <w:szCs w:val="21"/>
        </w:rPr>
        <w:t>号文批准，本基金管理人成立于</w:t>
      </w:r>
      <w:r w:rsidRPr="00C24ACA">
        <w:rPr>
          <w:rFonts w:eastAsiaTheme="minorEastAsia"/>
          <w:color w:val="000000" w:themeColor="text1"/>
          <w:szCs w:val="21"/>
        </w:rPr>
        <w:t>2001</w:t>
      </w:r>
      <w:r w:rsidRPr="00C24ACA">
        <w:rPr>
          <w:rFonts w:eastAsiaTheme="minorEastAsia"/>
          <w:color w:val="000000" w:themeColor="text1"/>
          <w:szCs w:val="21"/>
        </w:rPr>
        <w:t>年</w:t>
      </w:r>
      <w:r w:rsidRPr="00C24ACA">
        <w:rPr>
          <w:rFonts w:eastAsiaTheme="minorEastAsia"/>
          <w:color w:val="000000" w:themeColor="text1"/>
          <w:szCs w:val="21"/>
        </w:rPr>
        <w:t>4</w:t>
      </w:r>
      <w:r w:rsidRPr="00C24ACA">
        <w:rPr>
          <w:rFonts w:eastAsiaTheme="minorEastAsia"/>
          <w:color w:val="000000" w:themeColor="text1"/>
          <w:szCs w:val="21"/>
        </w:rPr>
        <w:t>月</w:t>
      </w:r>
      <w:r w:rsidRPr="00C24ACA">
        <w:rPr>
          <w:rFonts w:eastAsiaTheme="minorEastAsia"/>
          <w:color w:val="000000" w:themeColor="text1"/>
          <w:szCs w:val="21"/>
        </w:rPr>
        <w:t>17</w:t>
      </w:r>
      <w:r w:rsidRPr="00C24ACA">
        <w:rPr>
          <w:rFonts w:eastAsiaTheme="minorEastAsia"/>
          <w:color w:val="000000" w:themeColor="text1"/>
          <w:szCs w:val="21"/>
        </w:rPr>
        <w:t>日，总部设在广州，在北京、上海、香港等地设有分公司或子公司。本基金管理人拥有公募、社保、年金、特定客户资产管理、</w:t>
      </w:r>
      <w:r w:rsidRPr="00C24ACA">
        <w:rPr>
          <w:rFonts w:eastAsiaTheme="minorEastAsia"/>
          <w:color w:val="000000" w:themeColor="text1"/>
          <w:szCs w:val="21"/>
        </w:rPr>
        <w:t>QDII</w:t>
      </w:r>
      <w:r w:rsidRPr="00C24ACA">
        <w:rPr>
          <w:rFonts w:eastAsiaTheme="minorEastAsia"/>
          <w:color w:val="000000" w:themeColor="text1"/>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4.1.2 </w:t>
      </w:r>
      <w:r w:rsidRPr="00C24ACA">
        <w:rPr>
          <w:rFonts w:eastAsiaTheme="minorEastAsia"/>
          <w:b/>
          <w:color w:val="000000" w:themeColor="text1"/>
          <w:kern w:val="0"/>
          <w:szCs w:val="21"/>
        </w:rPr>
        <w:t>基金经理（或基金经理小组）及基金经理助理的简介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9"/>
        <w:gridCol w:w="1568"/>
        <w:gridCol w:w="1292"/>
        <w:gridCol w:w="1294"/>
        <w:gridCol w:w="1200"/>
        <w:gridCol w:w="2625"/>
      </w:tblGrid>
      <w:tr w:rsidR="00FC5407" w:rsidRPr="00C24ACA" w:rsidTr="008F4C10">
        <w:tc>
          <w:tcPr>
            <w:tcW w:w="653"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姓名</w:t>
            </w:r>
          </w:p>
        </w:tc>
        <w:tc>
          <w:tcPr>
            <w:tcW w:w="8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职务</w:t>
            </w:r>
          </w:p>
        </w:tc>
        <w:tc>
          <w:tcPr>
            <w:tcW w:w="1409" w:type="pct"/>
            <w:gridSpan w:val="2"/>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任本基金的基金经理（助理）期限</w:t>
            </w:r>
          </w:p>
        </w:tc>
        <w:tc>
          <w:tcPr>
            <w:tcW w:w="6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证券从业年限</w:t>
            </w:r>
          </w:p>
        </w:tc>
        <w:tc>
          <w:tcPr>
            <w:tcW w:w="1431"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说明</w:t>
            </w:r>
          </w:p>
        </w:tc>
      </w:tr>
      <w:tr w:rsidR="00FC5407" w:rsidRPr="00C24ACA" w:rsidTr="008F4C10">
        <w:tc>
          <w:tcPr>
            <w:tcW w:w="653"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8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任职日期</w:t>
            </w: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离任日期</w:t>
            </w:r>
          </w:p>
        </w:tc>
        <w:tc>
          <w:tcPr>
            <w:tcW w:w="6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1431"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r>
      <w:tr w:rsidR="008E5B30">
        <w:tc>
          <w:tcPr>
            <w:tcW w:w="0" w:type="auto"/>
            <w:vAlign w:val="center"/>
          </w:tcPr>
          <w:p w:rsidR="008E5B30" w:rsidRDefault="00013397">
            <w:pPr>
              <w:jc w:val="center"/>
            </w:pPr>
            <w:r>
              <w:rPr>
                <w:rFonts w:eastAsiaTheme="minorEastAsia"/>
                <w:color w:val="000000" w:themeColor="text1"/>
                <w:szCs w:val="21"/>
              </w:rPr>
              <w:t>祁广东</w:t>
            </w:r>
          </w:p>
        </w:tc>
        <w:tc>
          <w:tcPr>
            <w:tcW w:w="0" w:type="auto"/>
            <w:vAlign w:val="center"/>
          </w:tcPr>
          <w:p w:rsidR="008E5B30" w:rsidRDefault="00013397">
            <w:pPr>
              <w:jc w:val="left"/>
            </w:pPr>
            <w:r>
              <w:rPr>
                <w:rFonts w:eastAsiaTheme="minorEastAsia"/>
                <w:color w:val="000000" w:themeColor="text1"/>
                <w:szCs w:val="21"/>
              </w:rPr>
              <w:t>本基金的基金经理、投资经理、固定收益投资决策委员会委员、境外投资决策委员会委员，易方达资产管理（香港）有限公司国际固定收益部总经理、基金经理、就证券提供意见负责人员（</w:t>
            </w:r>
            <w:r>
              <w:rPr>
                <w:rFonts w:eastAsiaTheme="minorEastAsia"/>
                <w:color w:val="000000" w:themeColor="text1"/>
                <w:szCs w:val="21"/>
              </w:rPr>
              <w:t>RO</w:t>
            </w:r>
            <w:r>
              <w:rPr>
                <w:rFonts w:eastAsiaTheme="minorEastAsia"/>
                <w:color w:val="000000" w:themeColor="text1"/>
                <w:szCs w:val="21"/>
              </w:rPr>
              <w:t>）、提供资产管理负责人员（</w:t>
            </w:r>
            <w:r>
              <w:rPr>
                <w:rFonts w:eastAsiaTheme="minorEastAsia"/>
                <w:color w:val="000000" w:themeColor="text1"/>
                <w:szCs w:val="21"/>
              </w:rPr>
              <w:t>RO</w:t>
            </w:r>
            <w:r>
              <w:rPr>
                <w:rFonts w:eastAsiaTheme="minorEastAsia"/>
                <w:color w:val="000000" w:themeColor="text1"/>
                <w:szCs w:val="21"/>
              </w:rPr>
              <w:t>）、固定收益投资决策委员会委员</w:t>
            </w:r>
          </w:p>
        </w:tc>
        <w:tc>
          <w:tcPr>
            <w:tcW w:w="0" w:type="auto"/>
            <w:vAlign w:val="center"/>
          </w:tcPr>
          <w:p w:rsidR="008E5B30" w:rsidRDefault="00013397">
            <w:pPr>
              <w:jc w:val="center"/>
            </w:pPr>
            <w:r>
              <w:rPr>
                <w:rFonts w:eastAsiaTheme="minorEastAsia"/>
                <w:color w:val="000000" w:themeColor="text1"/>
                <w:szCs w:val="21"/>
              </w:rPr>
              <w:t>2019-06-05</w:t>
            </w:r>
          </w:p>
        </w:tc>
        <w:tc>
          <w:tcPr>
            <w:tcW w:w="0" w:type="auto"/>
            <w:vAlign w:val="center"/>
          </w:tcPr>
          <w:p w:rsidR="008E5B30" w:rsidRDefault="00013397">
            <w:pPr>
              <w:jc w:val="center"/>
            </w:pPr>
            <w:r>
              <w:rPr>
                <w:rFonts w:eastAsiaTheme="minorEastAsia"/>
                <w:color w:val="000000" w:themeColor="text1"/>
                <w:szCs w:val="21"/>
              </w:rPr>
              <w:t>-</w:t>
            </w:r>
          </w:p>
        </w:tc>
        <w:tc>
          <w:tcPr>
            <w:tcW w:w="0" w:type="auto"/>
            <w:vAlign w:val="center"/>
          </w:tcPr>
          <w:p w:rsidR="008E5B30" w:rsidRDefault="00013397">
            <w:pPr>
              <w:jc w:val="center"/>
            </w:pPr>
            <w:r>
              <w:rPr>
                <w:rFonts w:eastAsiaTheme="minorEastAsia"/>
                <w:color w:val="000000" w:themeColor="text1"/>
                <w:szCs w:val="21"/>
              </w:rPr>
              <w:t>11</w:t>
            </w:r>
            <w:r>
              <w:rPr>
                <w:rFonts w:eastAsiaTheme="minorEastAsia"/>
                <w:color w:val="000000" w:themeColor="text1"/>
                <w:szCs w:val="21"/>
              </w:rPr>
              <w:t>年</w:t>
            </w:r>
          </w:p>
        </w:tc>
        <w:tc>
          <w:tcPr>
            <w:tcW w:w="0" w:type="auto"/>
            <w:vAlign w:val="center"/>
          </w:tcPr>
          <w:p w:rsidR="008E5B30" w:rsidRDefault="00013397">
            <w:pPr>
              <w:jc w:val="left"/>
            </w:pPr>
            <w:r>
              <w:rPr>
                <w:rFonts w:eastAsiaTheme="minorEastAsia"/>
                <w:color w:val="000000" w:themeColor="text1"/>
                <w:szCs w:val="21"/>
              </w:rPr>
              <w:t>硕士研究生，具有基金从业资格。曾任申银万国证券固定收益总部助理分析师、交易员、助理投资经理，申银万国投资管理（亚洲）有限公司基金经理，易方达资产管理（香港）有限公司固定收益部主管、投资经理。</w:t>
            </w:r>
          </w:p>
        </w:tc>
      </w:tr>
      <w:tr w:rsidR="008E5B30">
        <w:tc>
          <w:tcPr>
            <w:tcW w:w="0" w:type="auto"/>
            <w:vAlign w:val="center"/>
          </w:tcPr>
          <w:p w:rsidR="008E5B30" w:rsidRDefault="00013397">
            <w:pPr>
              <w:jc w:val="center"/>
            </w:pPr>
            <w:r>
              <w:rPr>
                <w:rFonts w:eastAsiaTheme="minorEastAsia"/>
                <w:color w:val="000000" w:themeColor="text1"/>
                <w:szCs w:val="21"/>
              </w:rPr>
              <w:t>周怡</w:t>
            </w:r>
          </w:p>
        </w:tc>
        <w:tc>
          <w:tcPr>
            <w:tcW w:w="0" w:type="auto"/>
            <w:vAlign w:val="center"/>
          </w:tcPr>
          <w:p w:rsidR="008E5B30" w:rsidRDefault="00013397">
            <w:pPr>
              <w:jc w:val="left"/>
            </w:pPr>
            <w:r>
              <w:rPr>
                <w:rFonts w:eastAsiaTheme="minorEastAsia"/>
                <w:color w:val="000000" w:themeColor="text1"/>
                <w:szCs w:val="21"/>
              </w:rPr>
              <w:t>本基金的基金经理、易方达资产管理（香港）有限公司国际投资部基金经理</w:t>
            </w:r>
          </w:p>
        </w:tc>
        <w:tc>
          <w:tcPr>
            <w:tcW w:w="0" w:type="auto"/>
            <w:vAlign w:val="center"/>
          </w:tcPr>
          <w:p w:rsidR="008E5B30" w:rsidRDefault="00013397">
            <w:pPr>
              <w:jc w:val="center"/>
            </w:pPr>
            <w:r>
              <w:rPr>
                <w:rFonts w:eastAsiaTheme="minorEastAsia"/>
                <w:color w:val="000000" w:themeColor="text1"/>
                <w:szCs w:val="21"/>
              </w:rPr>
              <w:t>2019-06-05</w:t>
            </w:r>
          </w:p>
        </w:tc>
        <w:tc>
          <w:tcPr>
            <w:tcW w:w="0" w:type="auto"/>
            <w:vAlign w:val="center"/>
          </w:tcPr>
          <w:p w:rsidR="008E5B30" w:rsidRDefault="00013397">
            <w:pPr>
              <w:jc w:val="center"/>
            </w:pPr>
            <w:r>
              <w:rPr>
                <w:rFonts w:eastAsiaTheme="minorEastAsia"/>
                <w:color w:val="000000" w:themeColor="text1"/>
                <w:szCs w:val="21"/>
              </w:rPr>
              <w:t>-</w:t>
            </w:r>
          </w:p>
        </w:tc>
        <w:tc>
          <w:tcPr>
            <w:tcW w:w="0" w:type="auto"/>
            <w:vAlign w:val="center"/>
          </w:tcPr>
          <w:p w:rsidR="008E5B30" w:rsidRDefault="00013397">
            <w:pPr>
              <w:jc w:val="center"/>
            </w:pPr>
            <w:r>
              <w:rPr>
                <w:rFonts w:eastAsiaTheme="minorEastAsia"/>
                <w:color w:val="000000" w:themeColor="text1"/>
                <w:szCs w:val="21"/>
              </w:rPr>
              <w:t>10</w:t>
            </w:r>
            <w:r>
              <w:rPr>
                <w:rFonts w:eastAsiaTheme="minorEastAsia"/>
                <w:color w:val="000000" w:themeColor="text1"/>
                <w:szCs w:val="21"/>
              </w:rPr>
              <w:t>年</w:t>
            </w:r>
          </w:p>
        </w:tc>
        <w:tc>
          <w:tcPr>
            <w:tcW w:w="0" w:type="auto"/>
            <w:vAlign w:val="center"/>
          </w:tcPr>
          <w:p w:rsidR="008E5B30" w:rsidRDefault="00013397">
            <w:pPr>
              <w:jc w:val="left"/>
            </w:pPr>
            <w:r>
              <w:rPr>
                <w:rFonts w:eastAsiaTheme="minorEastAsia"/>
                <w:color w:val="000000" w:themeColor="text1"/>
                <w:szCs w:val="21"/>
              </w:rPr>
              <w:t>硕士研究生，具有基金从业资格。曾任平安银行总行对公业务企划部管理培训生，招商银行总行金融市场部风险经理、资产管理部外币理财团队负责人、资产管理部投资经理，易方达资产管理（香港）有限公司国际投资部投资经理。</w:t>
            </w:r>
          </w:p>
        </w:tc>
      </w:tr>
    </w:tbl>
    <w:p w:rsidR="008E5B30" w:rsidRDefault="00013397">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E519A7" w:rsidRDefault="00FC5407" w:rsidP="00E519A7">
      <w:pPr>
        <w:tabs>
          <w:tab w:val="left" w:pos="426"/>
        </w:tabs>
        <w:spacing w:line="360" w:lineRule="auto"/>
        <w:ind w:firstLineChars="200" w:firstLine="420"/>
        <w:rPr>
          <w:kern w:val="0"/>
          <w:szCs w:val="21"/>
        </w:rPr>
      </w:pPr>
      <w:r w:rsidRPr="001412CA">
        <w:rPr>
          <w:rFonts w:eastAsiaTheme="minorEastAsia"/>
          <w:kern w:val="0"/>
          <w:szCs w:val="21"/>
        </w:rPr>
        <w:t>2.</w:t>
      </w:r>
      <w:r w:rsidRPr="001412CA">
        <w:rPr>
          <w:rFonts w:eastAsiaTheme="minorEastAsia"/>
          <w:kern w:val="0"/>
          <w:szCs w:val="21"/>
        </w:rPr>
        <w:t>证券从业的含义遵从《证券业从业人员资格管理办法》的相关规定。</w:t>
      </w:r>
    </w:p>
    <w:p w:rsidR="00DD36B0" w:rsidRPr="00DD36B0" w:rsidRDefault="007B6A73" w:rsidP="00DD36B0">
      <w:pPr>
        <w:autoSpaceDE w:val="0"/>
        <w:autoSpaceDN w:val="0"/>
        <w:adjustRightInd w:val="0"/>
        <w:spacing w:beforeLines="100" w:before="312" w:line="360" w:lineRule="auto"/>
        <w:jc w:val="left"/>
        <w:rPr>
          <w:rFonts w:eastAsiaTheme="minorEastAsia"/>
          <w:color w:val="000000" w:themeColor="text1"/>
          <w:kern w:val="0"/>
          <w:szCs w:val="21"/>
        </w:rPr>
      </w:pPr>
      <w:bookmarkStart w:id="92" w:name="_Hlk44921484"/>
      <w:r w:rsidRPr="00DD36B0">
        <w:rPr>
          <w:rFonts w:eastAsiaTheme="minorEastAsia"/>
          <w:color w:val="000000" w:themeColor="text1"/>
          <w:kern w:val="0"/>
          <w:szCs w:val="21"/>
        </w:rPr>
        <w:t>4.1.3</w:t>
      </w:r>
      <w:r w:rsidR="00E519A7" w:rsidRPr="00DD36B0">
        <w:rPr>
          <w:rFonts w:eastAsiaTheme="minorEastAsia" w:hint="eastAsia"/>
          <w:color w:val="000000" w:themeColor="text1"/>
          <w:kern w:val="0"/>
          <w:szCs w:val="21"/>
        </w:rPr>
        <w:t xml:space="preserve"> </w:t>
      </w:r>
      <w:r w:rsidR="00E519A7" w:rsidRPr="00DD36B0">
        <w:rPr>
          <w:rFonts w:eastAsiaTheme="minorEastAsia" w:hint="eastAsia"/>
          <w:color w:val="000000" w:themeColor="text1"/>
          <w:kern w:val="0"/>
          <w:szCs w:val="21"/>
        </w:rPr>
        <w:t>期末兼任私募资产管理计划投资经理的基金经理同时管理的产品情况</w:t>
      </w:r>
      <w:bookmarkEnd w:id="92"/>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2410"/>
        <w:gridCol w:w="2693"/>
        <w:gridCol w:w="1843"/>
        <w:gridCol w:w="1381"/>
      </w:tblGrid>
      <w:tr w:rsidR="00DD36B0" w:rsidTr="008819A3">
        <w:tc>
          <w:tcPr>
            <w:tcW w:w="959" w:type="dxa"/>
            <w:vAlign w:val="center"/>
            <w:hideMark/>
          </w:tcPr>
          <w:p w:rsidR="00DD36B0" w:rsidRDefault="00DD36B0"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vAlign w:val="center"/>
            <w:hideMark/>
          </w:tcPr>
          <w:p w:rsidR="00DD36B0" w:rsidRDefault="00DD36B0"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vAlign w:val="center"/>
            <w:hideMark/>
          </w:tcPr>
          <w:p w:rsidR="00DD36B0" w:rsidRDefault="00DD36B0"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vAlign w:val="center"/>
            <w:hideMark/>
          </w:tcPr>
          <w:p w:rsidR="00DD36B0" w:rsidRDefault="00DD36B0"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vAlign w:val="center"/>
            <w:hideMark/>
          </w:tcPr>
          <w:p w:rsidR="00DD36B0" w:rsidRDefault="00DD36B0" w:rsidP="008819A3">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DD36B0" w:rsidTr="00106A87">
        <w:tc>
          <w:tcPr>
            <w:tcW w:w="959" w:type="dxa"/>
            <w:vMerge w:val="restart"/>
            <w:vAlign w:val="center"/>
            <w:hideMark/>
          </w:tcPr>
          <w:p w:rsidR="00DD36B0" w:rsidRDefault="00DD36B0" w:rsidP="008819A3">
            <w:pPr>
              <w:widowControl/>
              <w:jc w:val="center"/>
              <w:rPr>
                <w:rFonts w:eastAsiaTheme="minorEastAsia"/>
                <w:color w:val="000000" w:themeColor="text1"/>
                <w:kern w:val="0"/>
                <w:szCs w:val="21"/>
              </w:rPr>
            </w:pPr>
            <w:r>
              <w:rPr>
                <w:rFonts w:eastAsiaTheme="minorEastAsia"/>
                <w:color w:val="000000" w:themeColor="text1"/>
                <w:szCs w:val="21"/>
              </w:rPr>
              <w:t>祁广东</w:t>
            </w:r>
          </w:p>
        </w:tc>
        <w:tc>
          <w:tcPr>
            <w:tcW w:w="2410" w:type="dxa"/>
            <w:hideMark/>
          </w:tcPr>
          <w:p w:rsidR="00DD36B0" w:rsidRDefault="00DD36B0" w:rsidP="008819A3">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vAlign w:val="center"/>
            <w:hideMark/>
          </w:tcPr>
          <w:p w:rsidR="00DD36B0" w:rsidRDefault="00DD36B0" w:rsidP="008819A3">
            <w:pPr>
              <w:widowControl/>
              <w:jc w:val="center"/>
              <w:rPr>
                <w:rFonts w:eastAsiaTheme="minorEastAsia"/>
                <w:color w:val="000000" w:themeColor="text1"/>
                <w:kern w:val="0"/>
                <w:szCs w:val="21"/>
              </w:rPr>
            </w:pPr>
            <w:r>
              <w:rPr>
                <w:rFonts w:eastAsiaTheme="minorEastAsia"/>
                <w:color w:val="000000" w:themeColor="text1"/>
                <w:szCs w:val="21"/>
              </w:rPr>
              <w:t>1</w:t>
            </w:r>
          </w:p>
        </w:tc>
        <w:tc>
          <w:tcPr>
            <w:tcW w:w="1843" w:type="dxa"/>
            <w:vAlign w:val="center"/>
            <w:hideMark/>
          </w:tcPr>
          <w:p w:rsidR="00DD36B0" w:rsidRDefault="00DD36B0" w:rsidP="008819A3">
            <w:pPr>
              <w:widowControl/>
              <w:jc w:val="right"/>
              <w:rPr>
                <w:rFonts w:eastAsiaTheme="minorEastAsia"/>
                <w:color w:val="000000" w:themeColor="text1"/>
                <w:kern w:val="0"/>
                <w:szCs w:val="21"/>
              </w:rPr>
            </w:pPr>
            <w:r>
              <w:rPr>
                <w:rFonts w:eastAsiaTheme="minorEastAsia"/>
                <w:color w:val="000000" w:themeColor="text1"/>
                <w:szCs w:val="21"/>
              </w:rPr>
              <w:t>525,727,860.00</w:t>
            </w:r>
          </w:p>
        </w:tc>
        <w:tc>
          <w:tcPr>
            <w:tcW w:w="1381" w:type="dxa"/>
            <w:vAlign w:val="center"/>
            <w:hideMark/>
          </w:tcPr>
          <w:p w:rsidR="00DD36B0" w:rsidRDefault="00DD36B0" w:rsidP="00106A87">
            <w:pPr>
              <w:widowControl/>
              <w:jc w:val="center"/>
              <w:rPr>
                <w:rFonts w:eastAsiaTheme="minorEastAsia"/>
                <w:color w:val="000000" w:themeColor="text1"/>
                <w:kern w:val="0"/>
                <w:szCs w:val="21"/>
              </w:rPr>
            </w:pPr>
            <w:r>
              <w:rPr>
                <w:rFonts w:eastAsiaTheme="minorEastAsia"/>
                <w:color w:val="000000" w:themeColor="text1"/>
                <w:szCs w:val="21"/>
              </w:rPr>
              <w:t>2019-06-05</w:t>
            </w:r>
          </w:p>
        </w:tc>
      </w:tr>
      <w:tr w:rsidR="00DD36B0" w:rsidTr="00106A87">
        <w:tc>
          <w:tcPr>
            <w:tcW w:w="9286" w:type="dxa"/>
            <w:vMerge/>
            <w:vAlign w:val="center"/>
            <w:hideMark/>
          </w:tcPr>
          <w:p w:rsidR="00DD36B0" w:rsidRDefault="00DD36B0" w:rsidP="008819A3">
            <w:pPr>
              <w:widowControl/>
              <w:jc w:val="left"/>
              <w:rPr>
                <w:rFonts w:eastAsiaTheme="minorEastAsia"/>
                <w:color w:val="000000" w:themeColor="text1"/>
                <w:kern w:val="0"/>
                <w:szCs w:val="21"/>
              </w:rPr>
            </w:pPr>
          </w:p>
        </w:tc>
        <w:tc>
          <w:tcPr>
            <w:tcW w:w="2410" w:type="dxa"/>
            <w:hideMark/>
          </w:tcPr>
          <w:p w:rsidR="00DD36B0" w:rsidRDefault="00DD36B0" w:rsidP="008819A3">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vAlign w:val="center"/>
            <w:hideMark/>
          </w:tcPr>
          <w:p w:rsidR="00DD36B0" w:rsidRDefault="00DD36B0" w:rsidP="008819A3">
            <w:pPr>
              <w:widowControl/>
              <w:jc w:val="center"/>
              <w:rPr>
                <w:rFonts w:eastAsiaTheme="minorEastAsia"/>
                <w:color w:val="000000" w:themeColor="text1"/>
                <w:kern w:val="0"/>
                <w:szCs w:val="21"/>
              </w:rPr>
            </w:pPr>
            <w:r>
              <w:rPr>
                <w:rFonts w:eastAsiaTheme="minorEastAsia"/>
                <w:color w:val="000000" w:themeColor="text1"/>
                <w:szCs w:val="21"/>
              </w:rPr>
              <w:t>1</w:t>
            </w:r>
          </w:p>
        </w:tc>
        <w:tc>
          <w:tcPr>
            <w:tcW w:w="1843" w:type="dxa"/>
            <w:vAlign w:val="center"/>
            <w:hideMark/>
          </w:tcPr>
          <w:p w:rsidR="00DD36B0" w:rsidRDefault="00DD36B0" w:rsidP="008819A3">
            <w:pPr>
              <w:widowControl/>
              <w:jc w:val="right"/>
              <w:rPr>
                <w:rFonts w:eastAsiaTheme="minorEastAsia"/>
                <w:color w:val="000000" w:themeColor="text1"/>
                <w:kern w:val="0"/>
                <w:szCs w:val="21"/>
              </w:rPr>
            </w:pPr>
            <w:r>
              <w:rPr>
                <w:rFonts w:eastAsiaTheme="minorEastAsia"/>
                <w:color w:val="000000" w:themeColor="text1"/>
                <w:szCs w:val="21"/>
              </w:rPr>
              <w:t>10,005,898.65</w:t>
            </w:r>
          </w:p>
        </w:tc>
        <w:tc>
          <w:tcPr>
            <w:tcW w:w="1381" w:type="dxa"/>
            <w:vAlign w:val="center"/>
            <w:hideMark/>
          </w:tcPr>
          <w:p w:rsidR="00DD36B0" w:rsidRDefault="00DD36B0" w:rsidP="00106A87">
            <w:pPr>
              <w:widowControl/>
              <w:jc w:val="center"/>
              <w:rPr>
                <w:rFonts w:eastAsiaTheme="minorEastAsia"/>
                <w:color w:val="000000" w:themeColor="text1"/>
                <w:kern w:val="0"/>
                <w:szCs w:val="21"/>
              </w:rPr>
            </w:pPr>
            <w:r>
              <w:rPr>
                <w:rFonts w:eastAsiaTheme="minorEastAsia"/>
                <w:color w:val="000000" w:themeColor="text1"/>
                <w:szCs w:val="21"/>
              </w:rPr>
              <w:t>2020-05-25</w:t>
            </w:r>
          </w:p>
        </w:tc>
      </w:tr>
      <w:tr w:rsidR="00DD36B0" w:rsidTr="00106A87">
        <w:tc>
          <w:tcPr>
            <w:tcW w:w="9286" w:type="dxa"/>
            <w:vMerge/>
            <w:vAlign w:val="center"/>
            <w:hideMark/>
          </w:tcPr>
          <w:p w:rsidR="00DD36B0" w:rsidRDefault="00DD36B0" w:rsidP="008819A3">
            <w:pPr>
              <w:widowControl/>
              <w:jc w:val="left"/>
              <w:rPr>
                <w:rFonts w:eastAsiaTheme="minorEastAsia"/>
                <w:color w:val="000000" w:themeColor="text1"/>
                <w:kern w:val="0"/>
                <w:szCs w:val="21"/>
              </w:rPr>
            </w:pPr>
          </w:p>
        </w:tc>
        <w:tc>
          <w:tcPr>
            <w:tcW w:w="2410" w:type="dxa"/>
            <w:hideMark/>
          </w:tcPr>
          <w:p w:rsidR="00DD36B0" w:rsidRDefault="00DD36B0" w:rsidP="008819A3">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vAlign w:val="center"/>
            <w:hideMark/>
          </w:tcPr>
          <w:p w:rsidR="00DD36B0" w:rsidRDefault="00DD36B0" w:rsidP="008819A3">
            <w:pPr>
              <w:jc w:val="center"/>
              <w:rPr>
                <w:rFonts w:eastAsiaTheme="minorEastAsia"/>
                <w:color w:val="000000" w:themeColor="text1"/>
                <w:szCs w:val="21"/>
              </w:rPr>
            </w:pPr>
            <w:r>
              <w:rPr>
                <w:rFonts w:eastAsiaTheme="minorEastAsia"/>
                <w:color w:val="000000" w:themeColor="text1"/>
                <w:szCs w:val="21"/>
              </w:rPr>
              <w:t>0</w:t>
            </w:r>
          </w:p>
        </w:tc>
        <w:tc>
          <w:tcPr>
            <w:tcW w:w="1843" w:type="dxa"/>
            <w:vAlign w:val="center"/>
            <w:hideMark/>
          </w:tcPr>
          <w:p w:rsidR="00DD36B0" w:rsidRDefault="00DD36B0" w:rsidP="008819A3">
            <w:pPr>
              <w:jc w:val="right"/>
              <w:rPr>
                <w:rFonts w:eastAsiaTheme="minorEastAsia"/>
                <w:color w:val="000000" w:themeColor="text1"/>
                <w:szCs w:val="21"/>
              </w:rPr>
            </w:pPr>
            <w:r>
              <w:rPr>
                <w:rFonts w:eastAsiaTheme="minorEastAsia"/>
                <w:color w:val="000000" w:themeColor="text1"/>
                <w:szCs w:val="21"/>
              </w:rPr>
              <w:t>0.00</w:t>
            </w:r>
          </w:p>
        </w:tc>
        <w:tc>
          <w:tcPr>
            <w:tcW w:w="1381" w:type="dxa"/>
            <w:vAlign w:val="center"/>
            <w:hideMark/>
          </w:tcPr>
          <w:p w:rsidR="00DD36B0" w:rsidRDefault="00DD36B0" w:rsidP="00106A87">
            <w:pPr>
              <w:jc w:val="center"/>
              <w:rPr>
                <w:rFonts w:eastAsiaTheme="minorEastAsia"/>
                <w:color w:val="000000" w:themeColor="text1"/>
                <w:szCs w:val="21"/>
              </w:rPr>
            </w:pPr>
            <w:r>
              <w:rPr>
                <w:rFonts w:eastAsiaTheme="minorEastAsia"/>
                <w:color w:val="000000" w:themeColor="text1"/>
                <w:szCs w:val="21"/>
              </w:rPr>
              <w:t>-</w:t>
            </w:r>
          </w:p>
        </w:tc>
      </w:tr>
      <w:tr w:rsidR="00DD36B0" w:rsidTr="00106A87">
        <w:tc>
          <w:tcPr>
            <w:tcW w:w="9286" w:type="dxa"/>
            <w:vMerge/>
            <w:vAlign w:val="center"/>
            <w:hideMark/>
          </w:tcPr>
          <w:p w:rsidR="00DD36B0" w:rsidRDefault="00DD36B0" w:rsidP="008819A3">
            <w:pPr>
              <w:widowControl/>
              <w:jc w:val="left"/>
              <w:rPr>
                <w:rFonts w:eastAsiaTheme="minorEastAsia"/>
                <w:color w:val="000000" w:themeColor="text1"/>
                <w:kern w:val="0"/>
                <w:szCs w:val="21"/>
              </w:rPr>
            </w:pPr>
          </w:p>
        </w:tc>
        <w:tc>
          <w:tcPr>
            <w:tcW w:w="2410" w:type="dxa"/>
            <w:hideMark/>
          </w:tcPr>
          <w:p w:rsidR="00DD36B0" w:rsidRDefault="00DD36B0" w:rsidP="008819A3">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vAlign w:val="center"/>
            <w:hideMark/>
          </w:tcPr>
          <w:p w:rsidR="00DD36B0" w:rsidRDefault="00DD36B0" w:rsidP="008819A3">
            <w:pPr>
              <w:jc w:val="center"/>
              <w:rPr>
                <w:rFonts w:eastAsiaTheme="minorEastAsia"/>
                <w:color w:val="000000" w:themeColor="text1"/>
                <w:szCs w:val="21"/>
              </w:rPr>
            </w:pPr>
            <w:r>
              <w:rPr>
                <w:rFonts w:eastAsiaTheme="minorEastAsia"/>
                <w:color w:val="000000" w:themeColor="text1"/>
                <w:szCs w:val="21"/>
              </w:rPr>
              <w:t>2</w:t>
            </w:r>
          </w:p>
        </w:tc>
        <w:tc>
          <w:tcPr>
            <w:tcW w:w="1843" w:type="dxa"/>
            <w:vAlign w:val="center"/>
            <w:hideMark/>
          </w:tcPr>
          <w:p w:rsidR="00DD36B0" w:rsidRDefault="00DD36B0" w:rsidP="008819A3">
            <w:pPr>
              <w:jc w:val="right"/>
              <w:rPr>
                <w:rFonts w:eastAsiaTheme="minorEastAsia"/>
                <w:color w:val="000000" w:themeColor="text1"/>
                <w:szCs w:val="21"/>
              </w:rPr>
            </w:pPr>
            <w:r>
              <w:rPr>
                <w:rFonts w:eastAsiaTheme="minorEastAsia"/>
                <w:color w:val="000000" w:themeColor="text1"/>
                <w:szCs w:val="21"/>
              </w:rPr>
              <w:t>535,733,758.65</w:t>
            </w:r>
          </w:p>
        </w:tc>
        <w:tc>
          <w:tcPr>
            <w:tcW w:w="1381" w:type="dxa"/>
            <w:vAlign w:val="center"/>
          </w:tcPr>
          <w:p w:rsidR="00DD36B0" w:rsidRDefault="00DD36B0" w:rsidP="00106A87">
            <w:pPr>
              <w:jc w:val="center"/>
              <w:rPr>
                <w:rFonts w:eastAsiaTheme="minorEastAsia"/>
                <w:color w:val="000000" w:themeColor="text1"/>
                <w:szCs w:val="21"/>
              </w:rPr>
            </w:pPr>
            <w:r w:rsidRPr="00E07C57">
              <w:rPr>
                <w:rFonts w:ascii="宋体" w:hAnsi="宋体"/>
                <w:color w:val="0000FF"/>
                <w:kern w:val="0"/>
                <w:sz w:val="18"/>
              </w:rPr>
              <w:t>-</w:t>
            </w:r>
          </w:p>
        </w:tc>
      </w:tr>
    </w:tbl>
    <w:p w:rsidR="00FC5407" w:rsidRPr="001412CA" w:rsidRDefault="00DD36B0" w:rsidP="00DD36B0">
      <w:pPr>
        <w:tabs>
          <w:tab w:val="left" w:pos="426"/>
        </w:tabs>
        <w:spacing w:line="360" w:lineRule="auto"/>
        <w:ind w:firstLineChars="200" w:firstLine="420"/>
        <w:rPr>
          <w:rFonts w:eastAsiaTheme="minorEastAsia"/>
          <w:kern w:val="0"/>
          <w:szCs w:val="21"/>
        </w:rPr>
      </w:pPr>
      <w:r w:rsidRPr="00DD36B0">
        <w:rPr>
          <w:rFonts w:eastAsiaTheme="minorEastAsia"/>
          <w:kern w:val="0"/>
          <w:szCs w:val="21"/>
        </w:rPr>
        <w:t>注：</w:t>
      </w:r>
      <w:r w:rsidRPr="00DD36B0">
        <w:rPr>
          <w:rFonts w:eastAsiaTheme="minorEastAsia"/>
          <w:kern w:val="0"/>
          <w:szCs w:val="21"/>
        </w:rPr>
        <w:t>“</w:t>
      </w:r>
      <w:r w:rsidRPr="00DD36B0">
        <w:rPr>
          <w:rFonts w:eastAsiaTheme="minorEastAsia"/>
          <w:kern w:val="0"/>
          <w:szCs w:val="21"/>
        </w:rPr>
        <w:t>任职时间</w:t>
      </w:r>
      <w:r w:rsidRPr="00DD36B0">
        <w:rPr>
          <w:rFonts w:eastAsiaTheme="minorEastAsia"/>
          <w:kern w:val="0"/>
          <w:szCs w:val="21"/>
        </w:rPr>
        <w:t>”</w:t>
      </w:r>
      <w:r w:rsidRPr="00DD36B0">
        <w:rPr>
          <w:rFonts w:eastAsiaTheme="minorEastAsia"/>
          <w:kern w:val="0"/>
          <w:szCs w:val="21"/>
        </w:rPr>
        <w:t>为首次开始管理上表中本类产品的时间。</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93" w:name="_Toc224618356"/>
      <w:bookmarkStart w:id="94" w:name="_Toc235605685"/>
      <w:bookmarkStart w:id="95" w:name="_Toc286929733"/>
      <w:bookmarkStart w:id="96" w:name="_Toc352255973"/>
      <w:bookmarkStart w:id="97" w:name="_Toc352256041"/>
      <w:bookmarkStart w:id="98" w:name="_Toc352331219"/>
      <w:bookmarkStart w:id="99" w:name="_Toc362423997"/>
      <w:bookmarkStart w:id="100" w:name="_Toc374459259"/>
      <w:bookmarkStart w:id="101" w:name="_Toc48659782"/>
      <w:r w:rsidRPr="0087359D">
        <w:rPr>
          <w:rFonts w:ascii="宋体" w:hAnsi="宋体"/>
          <w:kern w:val="0"/>
          <w:sz w:val="21"/>
          <w:szCs w:val="21"/>
        </w:rPr>
        <w:t>4.2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境外投资顾问为本基金提供投资建议的主要成员简介</w:t>
      </w:r>
      <w:bookmarkEnd w:id="93"/>
      <w:bookmarkEnd w:id="94"/>
      <w:bookmarkEnd w:id="95"/>
      <w:bookmarkEnd w:id="96"/>
      <w:bookmarkEnd w:id="97"/>
      <w:bookmarkEnd w:id="98"/>
      <w:bookmarkEnd w:id="99"/>
      <w:bookmarkEnd w:id="100"/>
      <w:bookmarkEnd w:id="101"/>
    </w:p>
    <w:p w:rsidR="00FC5407" w:rsidRPr="001412CA" w:rsidRDefault="00FC5407" w:rsidP="008134C7">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本基金未聘请境外投资顾问。</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02" w:name="_Toc225498256"/>
      <w:bookmarkStart w:id="103" w:name="_Toc352255974"/>
      <w:bookmarkStart w:id="104" w:name="_Toc352256042"/>
      <w:bookmarkStart w:id="105" w:name="_Toc352331220"/>
      <w:bookmarkStart w:id="106" w:name="_Toc362423998"/>
      <w:bookmarkStart w:id="107" w:name="_Toc374459260"/>
      <w:bookmarkStart w:id="108" w:name="_Toc48659783"/>
      <w:r w:rsidRPr="0087359D">
        <w:rPr>
          <w:rFonts w:ascii="宋体" w:hAnsi="宋体"/>
          <w:kern w:val="0"/>
          <w:sz w:val="21"/>
          <w:szCs w:val="21"/>
        </w:rPr>
        <w:t>4.3</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管理人对报告期内本基金运作遵规守信情况的说明</w:t>
      </w:r>
      <w:bookmarkEnd w:id="102"/>
      <w:bookmarkEnd w:id="103"/>
      <w:bookmarkEnd w:id="104"/>
      <w:bookmarkEnd w:id="105"/>
      <w:bookmarkEnd w:id="106"/>
      <w:bookmarkEnd w:id="107"/>
      <w:bookmarkEnd w:id="108"/>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09" w:name="_Toc225498257"/>
      <w:bookmarkStart w:id="110" w:name="_Toc352255975"/>
      <w:bookmarkStart w:id="111" w:name="_Toc352256043"/>
      <w:bookmarkStart w:id="112" w:name="_Toc352331221"/>
      <w:bookmarkStart w:id="113" w:name="_Toc362423999"/>
      <w:bookmarkStart w:id="114" w:name="_Toc374459261"/>
      <w:bookmarkStart w:id="115" w:name="_Toc48659784"/>
      <w:r w:rsidRPr="0087359D">
        <w:rPr>
          <w:rFonts w:ascii="宋体" w:hAnsi="宋体"/>
          <w:kern w:val="0"/>
          <w:sz w:val="21"/>
          <w:szCs w:val="21"/>
        </w:rPr>
        <w:t>4.4</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管理人对报告期内公平交易情况的专项说明</w:t>
      </w:r>
      <w:bookmarkEnd w:id="109"/>
      <w:bookmarkEnd w:id="110"/>
      <w:bookmarkEnd w:id="111"/>
      <w:bookmarkEnd w:id="112"/>
      <w:bookmarkEnd w:id="113"/>
      <w:bookmarkEnd w:id="114"/>
      <w:bookmarkEnd w:id="115"/>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4.4.1 </w:t>
      </w:r>
      <w:r w:rsidRPr="00C24ACA">
        <w:rPr>
          <w:rFonts w:eastAsiaTheme="minorEastAsia"/>
          <w:b/>
          <w:color w:val="000000" w:themeColor="text1"/>
          <w:kern w:val="0"/>
          <w:szCs w:val="21"/>
        </w:rPr>
        <w:t>公平交易制度的执行情况</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4.4.2 </w:t>
      </w:r>
      <w:r w:rsidRPr="00C24ACA">
        <w:rPr>
          <w:rFonts w:eastAsiaTheme="minorEastAsia"/>
          <w:b/>
          <w:color w:val="000000" w:themeColor="text1"/>
          <w:kern w:val="0"/>
          <w:szCs w:val="21"/>
        </w:rPr>
        <w:t>异常交易行为的专项说明</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本报告期内，公司旗下所有投资组合参与的交易所公开竞价交易中，同日反向交易成交较少的单边交易量超过该证券当日成交量的</w:t>
      </w:r>
      <w:r>
        <w:rPr>
          <w:rFonts w:eastAsiaTheme="minorEastAsia"/>
          <w:kern w:val="0"/>
          <w:szCs w:val="21"/>
        </w:rPr>
        <w:t>5%</w:t>
      </w:r>
      <w:r>
        <w:rPr>
          <w:rFonts w:eastAsiaTheme="minorEastAsia"/>
          <w:kern w:val="0"/>
          <w:szCs w:val="21"/>
        </w:rPr>
        <w:t>的交易共</w:t>
      </w:r>
      <w:r>
        <w:rPr>
          <w:rFonts w:eastAsiaTheme="minorEastAsia"/>
          <w:kern w:val="0"/>
          <w:szCs w:val="21"/>
        </w:rPr>
        <w:t>59</w:t>
      </w:r>
      <w:r>
        <w:rPr>
          <w:rFonts w:eastAsiaTheme="minorEastAsia"/>
          <w:kern w:val="0"/>
          <w:szCs w:val="21"/>
        </w:rPr>
        <w:t>次，均为指数量化投资组合因投资策略需要和其他组合发生的反向交易。</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本报告期内，未发现本基金有可能导致不公平交易和利益输送的异常交易。</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16" w:name="_Toc225498258"/>
      <w:bookmarkStart w:id="117" w:name="_Toc352255976"/>
      <w:bookmarkStart w:id="118" w:name="_Toc352256044"/>
      <w:bookmarkStart w:id="119" w:name="_Toc352331222"/>
      <w:bookmarkStart w:id="120" w:name="_Toc362424000"/>
      <w:bookmarkStart w:id="121" w:name="_Toc374459262"/>
      <w:bookmarkStart w:id="122" w:name="_Toc48659785"/>
      <w:r w:rsidRPr="0087359D">
        <w:rPr>
          <w:rFonts w:ascii="宋体" w:hAnsi="宋体"/>
          <w:kern w:val="0"/>
          <w:sz w:val="21"/>
          <w:szCs w:val="21"/>
        </w:rPr>
        <w:t>4.5</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管理人对报告期内基金的投资策略和业绩表现的说明</w:t>
      </w:r>
      <w:bookmarkEnd w:id="116"/>
      <w:bookmarkEnd w:id="117"/>
      <w:bookmarkEnd w:id="118"/>
      <w:bookmarkEnd w:id="119"/>
      <w:bookmarkEnd w:id="120"/>
      <w:bookmarkEnd w:id="121"/>
      <w:bookmarkEnd w:id="122"/>
    </w:p>
    <w:p w:rsidR="00FC5407" w:rsidRPr="00C24ACA" w:rsidRDefault="00FC5407" w:rsidP="00FC5407">
      <w:pPr>
        <w:spacing w:line="360" w:lineRule="auto"/>
        <w:rPr>
          <w:rFonts w:eastAsiaTheme="minorEastAsia"/>
          <w:b/>
          <w:color w:val="000000" w:themeColor="text1"/>
          <w:szCs w:val="21"/>
        </w:rPr>
      </w:pPr>
      <w:r w:rsidRPr="00C24ACA">
        <w:rPr>
          <w:rFonts w:eastAsiaTheme="minorEastAsia"/>
          <w:b/>
          <w:color w:val="000000" w:themeColor="text1"/>
          <w:szCs w:val="21"/>
        </w:rPr>
        <w:t>4.5.1</w:t>
      </w:r>
      <w:r w:rsidRPr="00C24ACA">
        <w:rPr>
          <w:rFonts w:eastAsiaTheme="minorEastAsia"/>
          <w:b/>
          <w:color w:val="000000" w:themeColor="text1"/>
          <w:szCs w:val="21"/>
        </w:rPr>
        <w:t>报告期内基金投资策略和运作分析</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2020</w:t>
      </w:r>
      <w:r w:rsidRPr="001412CA">
        <w:rPr>
          <w:rFonts w:eastAsiaTheme="minorEastAsia"/>
          <w:kern w:val="0"/>
          <w:szCs w:val="21"/>
        </w:rPr>
        <w:t>年上半年全球宏观情绪主要受新冠疫情的影响，年初新冠疫情打断了本已处于微弱复苏的全球经济，并因为石油需求大幅收缩触发了全球风险资产因流动性紧缺带来的重定价，美元债券市场出现剧烈调整。在美联储</w:t>
      </w:r>
      <w:r w:rsidRPr="001412CA">
        <w:rPr>
          <w:rFonts w:eastAsiaTheme="minorEastAsia"/>
          <w:kern w:val="0"/>
          <w:szCs w:val="21"/>
        </w:rPr>
        <w:t>“</w:t>
      </w:r>
      <w:r w:rsidRPr="001412CA">
        <w:rPr>
          <w:rFonts w:eastAsiaTheme="minorEastAsia"/>
          <w:kern w:val="0"/>
          <w:szCs w:val="21"/>
        </w:rPr>
        <w:t>有力、主动、积极</w:t>
      </w:r>
      <w:r w:rsidRPr="001412CA">
        <w:rPr>
          <w:rFonts w:eastAsiaTheme="minorEastAsia"/>
          <w:kern w:val="0"/>
          <w:szCs w:val="21"/>
        </w:rPr>
        <w:t>”</w:t>
      </w:r>
      <w:r w:rsidRPr="001412CA">
        <w:rPr>
          <w:rFonts w:eastAsiaTheme="minorEastAsia"/>
          <w:kern w:val="0"/>
          <w:szCs w:val="21"/>
        </w:rPr>
        <w:t>的货币政策支持下，全球美元债券市场从前期流动性危机中迅速缓解。目前疫情控制较为理想的国家经济活动逐渐恢复，市场进入财政、货币政策积极，经济基本面复苏的最佳环境，风险情绪大幅好转。今年上半年，基金维持了中短期、投资级的配置思路，三月初卖出部分长久期债券实现浮盈，在三月份流动性危机造成的美元债券调整后，在维持分散度的前提下，适度提高了超跌的高收益债券占比，抓住了二季度市场反弹和恢复的机会。</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szCs w:val="21"/>
        </w:rPr>
      </w:pPr>
      <w:r w:rsidRPr="00C24ACA">
        <w:rPr>
          <w:rFonts w:eastAsiaTheme="minorEastAsia"/>
          <w:b/>
          <w:color w:val="000000" w:themeColor="text1"/>
          <w:szCs w:val="21"/>
        </w:rPr>
        <w:t xml:space="preserve">4.5.2 </w:t>
      </w:r>
      <w:r w:rsidRPr="00C24ACA">
        <w:rPr>
          <w:rFonts w:eastAsiaTheme="minorEastAsia"/>
          <w:b/>
          <w:color w:val="000000" w:themeColor="text1"/>
          <w:szCs w:val="21"/>
        </w:rPr>
        <w:t>报告期内基金的业绩表现</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截至报告期末，本基金</w:t>
      </w:r>
      <w:r w:rsidRPr="001412CA">
        <w:rPr>
          <w:rFonts w:eastAsiaTheme="minorEastAsia"/>
          <w:kern w:val="0"/>
          <w:szCs w:val="21"/>
        </w:rPr>
        <w:t>A</w:t>
      </w:r>
      <w:r w:rsidRPr="001412CA">
        <w:rPr>
          <w:rFonts w:eastAsiaTheme="minorEastAsia"/>
          <w:kern w:val="0"/>
          <w:szCs w:val="21"/>
        </w:rPr>
        <w:t>类基金份额净值为</w:t>
      </w:r>
      <w:r w:rsidRPr="001412CA">
        <w:rPr>
          <w:rFonts w:eastAsiaTheme="minorEastAsia"/>
          <w:kern w:val="0"/>
          <w:szCs w:val="21"/>
        </w:rPr>
        <w:t>1.0738</w:t>
      </w:r>
      <w:r w:rsidRPr="001412CA">
        <w:rPr>
          <w:rFonts w:eastAsiaTheme="minorEastAsia"/>
          <w:kern w:val="0"/>
          <w:szCs w:val="21"/>
        </w:rPr>
        <w:t>元，本报告期份额净值增长率为</w:t>
      </w:r>
      <w:r w:rsidRPr="001412CA">
        <w:rPr>
          <w:rFonts w:eastAsiaTheme="minorEastAsia"/>
          <w:kern w:val="0"/>
          <w:szCs w:val="21"/>
        </w:rPr>
        <w:t>3.57%</w:t>
      </w:r>
      <w:r w:rsidRPr="001412CA">
        <w:rPr>
          <w:rFonts w:eastAsiaTheme="minorEastAsia"/>
          <w:kern w:val="0"/>
          <w:szCs w:val="21"/>
        </w:rPr>
        <w:t>，同期业绩比较基准收益率为</w:t>
      </w:r>
      <w:r w:rsidRPr="001412CA">
        <w:rPr>
          <w:rFonts w:eastAsiaTheme="minorEastAsia"/>
          <w:kern w:val="0"/>
          <w:szCs w:val="21"/>
        </w:rPr>
        <w:t>3.69%</w:t>
      </w:r>
      <w:r w:rsidRPr="001412CA">
        <w:rPr>
          <w:rFonts w:eastAsiaTheme="minorEastAsia"/>
          <w:kern w:val="0"/>
          <w:szCs w:val="21"/>
        </w:rPr>
        <w:t>；</w:t>
      </w:r>
      <w:r w:rsidRPr="001412CA">
        <w:rPr>
          <w:rFonts w:eastAsiaTheme="minorEastAsia"/>
          <w:kern w:val="0"/>
          <w:szCs w:val="21"/>
        </w:rPr>
        <w:t>C</w:t>
      </w:r>
      <w:r w:rsidRPr="001412CA">
        <w:rPr>
          <w:rFonts w:eastAsiaTheme="minorEastAsia"/>
          <w:kern w:val="0"/>
          <w:szCs w:val="21"/>
        </w:rPr>
        <w:t>类基金份额净值为</w:t>
      </w:r>
      <w:r w:rsidRPr="001412CA">
        <w:rPr>
          <w:rFonts w:eastAsiaTheme="minorEastAsia"/>
          <w:kern w:val="0"/>
          <w:szCs w:val="21"/>
        </w:rPr>
        <w:t>1.0708</w:t>
      </w:r>
      <w:r w:rsidRPr="001412CA">
        <w:rPr>
          <w:rFonts w:eastAsiaTheme="minorEastAsia"/>
          <w:kern w:val="0"/>
          <w:szCs w:val="21"/>
        </w:rPr>
        <w:t>元，本报告期份额净值增长率为</w:t>
      </w:r>
      <w:r w:rsidRPr="001412CA">
        <w:rPr>
          <w:rFonts w:eastAsiaTheme="minorEastAsia"/>
          <w:kern w:val="0"/>
          <w:szCs w:val="21"/>
        </w:rPr>
        <w:t>3.42%</w:t>
      </w:r>
      <w:r w:rsidRPr="001412CA">
        <w:rPr>
          <w:rFonts w:eastAsiaTheme="minorEastAsia"/>
          <w:kern w:val="0"/>
          <w:szCs w:val="21"/>
        </w:rPr>
        <w:t>，同期业绩比较基准收益率为</w:t>
      </w:r>
      <w:r w:rsidRPr="001412CA">
        <w:rPr>
          <w:rFonts w:eastAsiaTheme="minorEastAsia"/>
          <w:kern w:val="0"/>
          <w:szCs w:val="21"/>
        </w:rPr>
        <w:t>3.69%</w:t>
      </w:r>
      <w:r w:rsidRPr="001412CA">
        <w:rPr>
          <w:rFonts w:eastAsiaTheme="minorEastAsia"/>
          <w:kern w:val="0"/>
          <w:szCs w:val="21"/>
        </w:rPr>
        <w:t>。</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23" w:name="_Toc225498259"/>
      <w:bookmarkStart w:id="124" w:name="_Toc352255977"/>
      <w:bookmarkStart w:id="125" w:name="_Toc352256045"/>
      <w:bookmarkStart w:id="126" w:name="_Toc352331223"/>
      <w:bookmarkStart w:id="127" w:name="_Toc362424001"/>
      <w:bookmarkStart w:id="128" w:name="_Toc374459263"/>
      <w:bookmarkStart w:id="129" w:name="_Toc48659786"/>
      <w:r w:rsidRPr="0087359D">
        <w:rPr>
          <w:rFonts w:ascii="宋体" w:hAnsi="宋体"/>
          <w:kern w:val="0"/>
          <w:sz w:val="21"/>
          <w:szCs w:val="21"/>
        </w:rPr>
        <w:t>4.6</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管理人对宏观经济、证券市场及行业走势的简要展望</w:t>
      </w:r>
      <w:bookmarkEnd w:id="123"/>
      <w:bookmarkEnd w:id="124"/>
      <w:bookmarkEnd w:id="125"/>
      <w:bookmarkEnd w:id="126"/>
      <w:bookmarkEnd w:id="127"/>
      <w:bookmarkEnd w:id="128"/>
      <w:bookmarkEnd w:id="129"/>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w:t>
      </w:r>
      <w:r w:rsidRPr="001412CA">
        <w:rPr>
          <w:rFonts w:eastAsiaTheme="minorEastAsia"/>
          <w:kern w:val="0"/>
          <w:szCs w:val="21"/>
        </w:rPr>
        <w:t>疫情是最大的基本面</w:t>
      </w:r>
      <w:r w:rsidRPr="001412CA">
        <w:rPr>
          <w:rFonts w:eastAsiaTheme="minorEastAsia"/>
          <w:kern w:val="0"/>
          <w:szCs w:val="21"/>
        </w:rPr>
        <w:t>”</w:t>
      </w:r>
      <w:r w:rsidRPr="001412CA">
        <w:rPr>
          <w:rFonts w:eastAsiaTheme="minorEastAsia"/>
          <w:kern w:val="0"/>
          <w:szCs w:val="21"/>
        </w:rPr>
        <w:t>，鲍威尔的议息会议讲话高度概括了今年上半年的宏观经济和金融市场的走势。疫情最初爆发时导致的流动性冲击、供应链冲击、居民收入冲击在货币政策和财政政策的大力呵护下得到了缓解，在流动性泛滥的零利率环境下，各类风险资产均大幅上涨，未来宏观经济与证券市场的走势也与疫情下一步发展休戚相关。对于美元债市场来说，联储点阵图显示联储成员预期在</w:t>
      </w:r>
      <w:r w:rsidRPr="001412CA">
        <w:rPr>
          <w:rFonts w:eastAsiaTheme="minorEastAsia"/>
          <w:kern w:val="0"/>
          <w:szCs w:val="21"/>
        </w:rPr>
        <w:t>2022</w:t>
      </w:r>
      <w:r w:rsidRPr="001412CA">
        <w:rPr>
          <w:rFonts w:eastAsiaTheme="minorEastAsia"/>
          <w:kern w:val="0"/>
          <w:szCs w:val="21"/>
        </w:rPr>
        <w:t>年底前都保持短端利率在目前</w:t>
      </w:r>
      <w:r w:rsidRPr="001412CA">
        <w:rPr>
          <w:rFonts w:eastAsiaTheme="minorEastAsia"/>
          <w:kern w:val="0"/>
          <w:szCs w:val="21"/>
        </w:rPr>
        <w:t>0-0.25%</w:t>
      </w:r>
      <w:r w:rsidRPr="001412CA">
        <w:rPr>
          <w:rFonts w:eastAsiaTheme="minorEastAsia"/>
          <w:kern w:val="0"/>
          <w:szCs w:val="21"/>
        </w:rPr>
        <w:t>的水平，同时为了配合财政政策，联储将通过前瞻指引控制中长端利率，并保持对通胀相当的容忍度。在宽松的货币政策短期基本明朗的环境下，美元债市场预计以持有到期的收益为主，投资级债券利差有望稳定中小幅收窄。</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30" w:name="_Toc247959457"/>
      <w:bookmarkStart w:id="131" w:name="_Toc225570083"/>
      <w:bookmarkStart w:id="132" w:name="_Toc352255979"/>
      <w:bookmarkStart w:id="133" w:name="_Toc352256047"/>
      <w:bookmarkStart w:id="134" w:name="_Toc352331225"/>
      <w:bookmarkStart w:id="135" w:name="_Toc362424003"/>
      <w:bookmarkStart w:id="136" w:name="_Toc374459265"/>
      <w:bookmarkStart w:id="137" w:name="_Toc48659787"/>
      <w:r w:rsidRPr="0087359D">
        <w:rPr>
          <w:rFonts w:ascii="宋体" w:hAnsi="宋体"/>
          <w:kern w:val="0"/>
          <w:sz w:val="21"/>
          <w:szCs w:val="21"/>
        </w:rPr>
        <w:t>4.7</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管理人对报告期内基金估值程序等事项的说明</w:t>
      </w:r>
      <w:bookmarkEnd w:id="130"/>
      <w:bookmarkEnd w:id="131"/>
      <w:bookmarkEnd w:id="132"/>
      <w:bookmarkEnd w:id="133"/>
      <w:bookmarkEnd w:id="134"/>
      <w:bookmarkEnd w:id="135"/>
      <w:bookmarkEnd w:id="136"/>
      <w:bookmarkEnd w:id="137"/>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本报告期内，参与估值流程各方之间不存在任何重大利益冲突。</w:t>
      </w:r>
      <w:r>
        <w:rPr>
          <w:rFonts w:eastAsiaTheme="minorEastAsia"/>
          <w:kern w:val="0"/>
          <w:szCs w:val="21"/>
        </w:rPr>
        <w:t xml:space="preserve"> </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38" w:name="_Toc247959458"/>
      <w:bookmarkStart w:id="139" w:name="_Toc225570084"/>
      <w:bookmarkStart w:id="140" w:name="_Toc352255980"/>
      <w:bookmarkStart w:id="141" w:name="_Toc352256048"/>
      <w:bookmarkStart w:id="142" w:name="_Toc352331226"/>
      <w:bookmarkStart w:id="143" w:name="_Toc362424004"/>
      <w:bookmarkStart w:id="144" w:name="_Toc374459266"/>
      <w:bookmarkStart w:id="145" w:name="_Toc48659788"/>
      <w:r w:rsidRPr="0087359D">
        <w:rPr>
          <w:rFonts w:ascii="宋体" w:hAnsi="宋体"/>
          <w:kern w:val="0"/>
          <w:sz w:val="21"/>
          <w:szCs w:val="21"/>
        </w:rPr>
        <w:t>4.8</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管理人对报告期内基金利润分配情况的说明</w:t>
      </w:r>
      <w:bookmarkEnd w:id="138"/>
      <w:bookmarkEnd w:id="139"/>
      <w:bookmarkEnd w:id="140"/>
      <w:bookmarkEnd w:id="141"/>
      <w:bookmarkEnd w:id="142"/>
      <w:bookmarkEnd w:id="143"/>
      <w:bookmarkEnd w:id="144"/>
      <w:bookmarkEnd w:id="145"/>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易方达中短期美元债债券</w:t>
      </w:r>
      <w:r>
        <w:rPr>
          <w:rFonts w:eastAsiaTheme="minorEastAsia"/>
          <w:kern w:val="0"/>
          <w:szCs w:val="21"/>
        </w:rPr>
        <w:t>(QDII)A:</w:t>
      </w:r>
      <w:r>
        <w:rPr>
          <w:rFonts w:eastAsiaTheme="minorEastAsia"/>
          <w:kern w:val="0"/>
          <w:szCs w:val="21"/>
        </w:rPr>
        <w:t>本报告期内未实施利润分配。</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易方达中短期美元债债券</w:t>
      </w:r>
      <w:r w:rsidRPr="001412CA">
        <w:rPr>
          <w:rFonts w:eastAsiaTheme="minorEastAsia"/>
          <w:kern w:val="0"/>
          <w:szCs w:val="21"/>
        </w:rPr>
        <w:t>(QDII)C:</w:t>
      </w:r>
      <w:r w:rsidRPr="001412CA">
        <w:rPr>
          <w:rFonts w:eastAsiaTheme="minorEastAsia"/>
          <w:kern w:val="0"/>
          <w:szCs w:val="21"/>
        </w:rPr>
        <w:t>本报告期内未实施利润分配。</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46" w:name="_Toc225498263"/>
      <w:bookmarkStart w:id="147" w:name="_Toc352255982"/>
      <w:bookmarkStart w:id="148" w:name="_Toc352256050"/>
      <w:bookmarkStart w:id="149" w:name="_Toc352331228"/>
      <w:bookmarkStart w:id="150" w:name="_Toc390164811"/>
      <w:bookmarkStart w:id="151" w:name="_Toc48659789"/>
      <w:r w:rsidRPr="000C6CCD">
        <w:rPr>
          <w:rFonts w:ascii="宋体" w:hAnsi="宋体"/>
          <w:bCs w:val="0"/>
          <w:color w:val="000000"/>
          <w:sz w:val="21"/>
          <w:szCs w:val="21"/>
        </w:rPr>
        <w:t>5</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托管人报告</w:t>
      </w:r>
      <w:bookmarkEnd w:id="146"/>
      <w:bookmarkEnd w:id="147"/>
      <w:bookmarkEnd w:id="148"/>
      <w:bookmarkEnd w:id="149"/>
      <w:bookmarkEnd w:id="150"/>
      <w:bookmarkEnd w:id="151"/>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52" w:name="_Toc225498264"/>
      <w:bookmarkStart w:id="153" w:name="_Toc352255983"/>
      <w:bookmarkStart w:id="154" w:name="_Toc352256051"/>
      <w:bookmarkStart w:id="155" w:name="_Toc352331229"/>
      <w:bookmarkStart w:id="156" w:name="_Toc390164812"/>
      <w:bookmarkStart w:id="157" w:name="_Toc48659790"/>
      <w:r w:rsidRPr="0087359D">
        <w:rPr>
          <w:rFonts w:ascii="宋体" w:hAnsi="宋体"/>
          <w:kern w:val="0"/>
          <w:sz w:val="21"/>
          <w:szCs w:val="21"/>
        </w:rPr>
        <w:t>5.1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报告期内本基金托管人遵规守信情况声明</w:t>
      </w:r>
      <w:bookmarkEnd w:id="152"/>
      <w:bookmarkEnd w:id="153"/>
      <w:bookmarkEnd w:id="154"/>
      <w:bookmarkEnd w:id="155"/>
      <w:bookmarkEnd w:id="156"/>
      <w:bookmarkEnd w:id="157"/>
    </w:p>
    <w:p w:rsidR="002716B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58" w:name="_Toc225498265"/>
      <w:bookmarkStart w:id="159" w:name="_Toc352255984"/>
      <w:bookmarkStart w:id="160" w:name="_Toc352256052"/>
      <w:bookmarkStart w:id="161" w:name="_Toc352331230"/>
      <w:bookmarkStart w:id="162" w:name="_Toc390164813"/>
      <w:bookmarkStart w:id="163" w:name="_Toc48659791"/>
      <w:r w:rsidRPr="0087359D">
        <w:rPr>
          <w:rFonts w:ascii="宋体" w:hAnsi="宋体"/>
          <w:kern w:val="0"/>
          <w:sz w:val="21"/>
          <w:szCs w:val="21"/>
        </w:rPr>
        <w:t>5.2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托管人对报告期内本基金投资运作遵规守信、净值计算、利润分配等情况的</w:t>
      </w:r>
      <w:bookmarkEnd w:id="158"/>
      <w:r w:rsidRPr="00C24ACA">
        <w:rPr>
          <w:rFonts w:ascii="Times New Roman" w:eastAsiaTheme="minorEastAsia" w:hAnsi="Times New Roman"/>
          <w:kern w:val="0"/>
          <w:sz w:val="21"/>
          <w:szCs w:val="21"/>
        </w:rPr>
        <w:t>说明</w:t>
      </w:r>
      <w:bookmarkEnd w:id="159"/>
      <w:bookmarkEnd w:id="160"/>
      <w:bookmarkEnd w:id="161"/>
      <w:bookmarkEnd w:id="162"/>
      <w:bookmarkEnd w:id="163"/>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招商银行根据法律法规、托管协议约定的投资监督条款，对托管产品的投资行为进行监督，并根据监管要求履行报告义务。</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招商银行按照托管协议约定的统一记账方法和会计处理原则，独立地设置、登录和保管本产品的全套账册，进行会计核算和资产估值并与管理人建立对账机制。</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本年度中期报告中利润分配情况真实、准确。</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64" w:name="_Toc225498266"/>
      <w:bookmarkStart w:id="165" w:name="_Toc352255985"/>
      <w:bookmarkStart w:id="166" w:name="_Toc352256053"/>
      <w:bookmarkStart w:id="167" w:name="_Toc352331231"/>
      <w:bookmarkStart w:id="168" w:name="_Toc390164814"/>
      <w:bookmarkStart w:id="169" w:name="_Toc48659792"/>
      <w:r w:rsidRPr="0087359D">
        <w:rPr>
          <w:rFonts w:ascii="宋体" w:hAnsi="宋体"/>
          <w:kern w:val="0"/>
          <w:sz w:val="21"/>
          <w:szCs w:val="21"/>
        </w:rPr>
        <w:t>5.3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托管人对本</w:t>
      </w:r>
      <w:r w:rsidR="00930E85">
        <w:rPr>
          <w:rFonts w:ascii="Times New Roman" w:eastAsiaTheme="minorEastAsia" w:hAnsi="Times New Roman"/>
          <w:kern w:val="0"/>
          <w:sz w:val="21"/>
          <w:szCs w:val="21"/>
        </w:rPr>
        <w:t>中期</w:t>
      </w:r>
      <w:r w:rsidRPr="00C24ACA">
        <w:rPr>
          <w:rFonts w:ascii="Times New Roman" w:eastAsiaTheme="minorEastAsia" w:hAnsi="Times New Roman"/>
          <w:kern w:val="0"/>
          <w:sz w:val="21"/>
          <w:szCs w:val="21"/>
        </w:rPr>
        <w:t>报告中财务信息等内容的真实、准确和完整发表意见</w:t>
      </w:r>
      <w:bookmarkEnd w:id="164"/>
      <w:bookmarkEnd w:id="165"/>
      <w:bookmarkEnd w:id="166"/>
      <w:bookmarkEnd w:id="167"/>
      <w:bookmarkEnd w:id="168"/>
      <w:bookmarkEnd w:id="169"/>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本年度中期报告中财务指标、净值表现、财务会计报告、投资组合报告内容真实、准确，不存在虚假记载、误导性陈述或者重大遗漏。</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70" w:name="_Toc331410096"/>
      <w:bookmarkStart w:id="171" w:name="_Toc390164815"/>
      <w:bookmarkStart w:id="172" w:name="_Toc48659793"/>
      <w:r w:rsidRPr="000C6CCD">
        <w:rPr>
          <w:rFonts w:ascii="宋体" w:hAnsi="宋体"/>
          <w:bCs w:val="0"/>
          <w:color w:val="000000"/>
          <w:sz w:val="21"/>
          <w:szCs w:val="21"/>
        </w:rPr>
        <w:t>6</w:t>
      </w:r>
      <w:bookmarkEnd w:id="170"/>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半年度财务会计报告（未经审计）</w:t>
      </w:r>
      <w:bookmarkEnd w:id="171"/>
      <w:bookmarkEnd w:id="172"/>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73" w:name="_Toc225498268"/>
      <w:bookmarkStart w:id="174" w:name="_Toc352255991"/>
      <w:bookmarkStart w:id="175" w:name="_Toc352256059"/>
      <w:bookmarkStart w:id="176" w:name="_Toc352331237"/>
      <w:bookmarkStart w:id="177" w:name="_Toc390164816"/>
      <w:bookmarkStart w:id="178" w:name="_Toc48659794"/>
      <w:r w:rsidRPr="0087359D">
        <w:rPr>
          <w:rFonts w:ascii="宋体" w:hAnsi="宋体"/>
          <w:kern w:val="0"/>
          <w:sz w:val="21"/>
          <w:szCs w:val="21"/>
        </w:rPr>
        <w:t>6.1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资产负债表</w:t>
      </w:r>
      <w:bookmarkEnd w:id="173"/>
      <w:bookmarkEnd w:id="174"/>
      <w:bookmarkEnd w:id="175"/>
      <w:bookmarkEnd w:id="176"/>
      <w:bookmarkEnd w:id="177"/>
      <w:bookmarkEnd w:id="178"/>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会计主体：易方达中短期美元债债券型证券投资基金（</w:t>
      </w:r>
      <w:r w:rsidRPr="00C24ACA">
        <w:rPr>
          <w:rFonts w:eastAsiaTheme="minorEastAsia"/>
          <w:color w:val="000000"/>
          <w:szCs w:val="21"/>
        </w:rPr>
        <w:t>QDII</w:t>
      </w:r>
      <w:r w:rsidRPr="00C24ACA">
        <w:rPr>
          <w:rFonts w:eastAsiaTheme="minorEastAsia"/>
          <w:color w:val="000000"/>
          <w:szCs w:val="21"/>
        </w:rPr>
        <w:t>）</w:t>
      </w:r>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报告截止日：</w:t>
      </w:r>
      <w:r w:rsidR="00AC4A34" w:rsidRPr="00C24ACA">
        <w:rPr>
          <w:rFonts w:eastAsiaTheme="minorEastAsia"/>
          <w:color w:val="000000"/>
          <w:szCs w:val="21"/>
        </w:rPr>
        <w:t>2020</w:t>
      </w:r>
      <w:r w:rsidR="00AC4A34" w:rsidRPr="00C24ACA">
        <w:rPr>
          <w:rFonts w:eastAsiaTheme="minorEastAsia"/>
          <w:color w:val="000000"/>
          <w:szCs w:val="21"/>
        </w:rPr>
        <w:t>年</w:t>
      </w:r>
      <w:r w:rsidR="00AC4A34" w:rsidRPr="00C24ACA">
        <w:rPr>
          <w:rFonts w:eastAsiaTheme="minorEastAsia"/>
          <w:color w:val="000000"/>
          <w:szCs w:val="21"/>
        </w:rPr>
        <w:t>6</w:t>
      </w:r>
      <w:r w:rsidR="00AC4A34" w:rsidRPr="00C24ACA">
        <w:rPr>
          <w:rFonts w:eastAsiaTheme="minorEastAsia"/>
          <w:color w:val="000000"/>
          <w:szCs w:val="21"/>
        </w:rPr>
        <w:t>月</w:t>
      </w:r>
      <w:r w:rsidR="00AC4A34" w:rsidRPr="00C24ACA">
        <w:rPr>
          <w:rFonts w:eastAsiaTheme="minorEastAsia"/>
          <w:color w:val="000000"/>
          <w:szCs w:val="21"/>
        </w:rPr>
        <w:t>30</w:t>
      </w:r>
      <w:r w:rsidR="00AC4A34" w:rsidRPr="00C24ACA">
        <w:rPr>
          <w:rFonts w:eastAsiaTheme="minorEastAsia"/>
          <w:color w:val="00000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8A5A5D" w:rsidRPr="00C24ACA" w:rsidTr="006D141C">
        <w:tc>
          <w:tcPr>
            <w:tcW w:w="288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资产</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资产：</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银行存款</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r w:rsidRPr="00C24ACA">
              <w:rPr>
                <w:rFonts w:eastAsiaTheme="minorEastAsia"/>
                <w:color w:val="000000"/>
                <w:szCs w:val="21"/>
              </w:rPr>
              <w:t>6.4.7.1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26,262,477.20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41,755,708.71</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结算备付金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存出保证金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交易性金融资产</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494,648,669.62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675,986,954.29</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其中：股票投资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vAlign w:val="center"/>
          </w:tcPr>
          <w:p w:rsidR="00AE103C" w:rsidRPr="00C24ACA" w:rsidRDefault="00AE103C" w:rsidP="008134C7">
            <w:pPr>
              <w:pStyle w:val="af6"/>
              <w:ind w:firstLineChars="300" w:firstLine="630"/>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基金投资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494,648,669.62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675,986,954.29</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742218">
        <w:tc>
          <w:tcPr>
            <w:tcW w:w="2880" w:type="dxa"/>
            <w:vAlign w:val="center"/>
          </w:tcPr>
          <w:p w:rsidR="0076511D" w:rsidRPr="00390233" w:rsidRDefault="0076511D" w:rsidP="00742218">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6511D" w:rsidRPr="00390233" w:rsidRDefault="0076511D" w:rsidP="00742218">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衍生金融资产</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买入返售金融资产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6.4.7.4</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应收证券清算款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3,627,394.21</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应收利息</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6.4.7.5</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5,921,145.87</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6,970,994.11</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应收股利</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应收申购款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88,608.29</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7,283,348.17</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递延所得税资产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其他资产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6.4.7.6</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b/>
                <w:color w:val="000000"/>
                <w:szCs w:val="21"/>
              </w:rPr>
            </w:pPr>
            <w:r w:rsidRPr="00C24ACA">
              <w:rPr>
                <w:rFonts w:eastAsiaTheme="minorEastAsia"/>
                <w:b/>
                <w:color w:val="000000"/>
                <w:szCs w:val="21"/>
              </w:rPr>
              <w:t>资产总计</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530,548,295.19</w:t>
            </w: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731,997,005.28</w:t>
            </w:r>
          </w:p>
        </w:tc>
      </w:tr>
      <w:tr w:rsidR="008A5A5D" w:rsidRPr="00C24ACA" w:rsidTr="006D141C">
        <w:tc>
          <w:tcPr>
            <w:tcW w:w="28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负债和所有者权益</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短期借款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衍生金融负债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卖出回购金融资产款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应付证券清算款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7,041,119.33</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应付赎回款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4,344,777.89</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6,203,483.53</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应付管理人报酬</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217,976.17</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303,644.31</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应付托管费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65,392.85</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91,093.30</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应付销售服务费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42,215.02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65,011.78</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应付交易费用</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6.4.7.7</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应交税费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60,530.55</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77,936.62</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应付利息</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递延所得税负债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其他负债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89,542.71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62,130.02</w:t>
            </w:r>
          </w:p>
        </w:tc>
      </w:tr>
      <w:tr w:rsidR="00AE103C" w:rsidRPr="00C24ACA" w:rsidTr="006D141C">
        <w:tc>
          <w:tcPr>
            <w:tcW w:w="2880" w:type="dxa"/>
            <w:vAlign w:val="center"/>
          </w:tcPr>
          <w:p w:rsidR="00AE103C" w:rsidRPr="00C24ACA" w:rsidRDefault="00AE103C">
            <w:pPr>
              <w:pStyle w:val="af6"/>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4,820,435.19</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13,844,418.89</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实收基金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6.4.7.9</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490,024,152.24</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693,007,981.27</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未分配利润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35,703,707.76</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25,144,605.12</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525,727,860.00</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718,152,586.39</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负债和所有者权益总计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530,548,295.19</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731,997,005.28</w:t>
            </w:r>
          </w:p>
        </w:tc>
      </w:tr>
    </w:tbl>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本基金合同生效日为</w:t>
      </w:r>
      <w:r>
        <w:rPr>
          <w:rFonts w:eastAsiaTheme="minorEastAsia"/>
          <w:kern w:val="0"/>
          <w:szCs w:val="21"/>
        </w:rPr>
        <w:t>2019</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5</w:t>
      </w:r>
      <w:r>
        <w:rPr>
          <w:rFonts w:eastAsiaTheme="minorEastAsia"/>
          <w:kern w:val="0"/>
          <w:szCs w:val="21"/>
        </w:rPr>
        <w:t>日，</w:t>
      </w:r>
      <w:r>
        <w:rPr>
          <w:rFonts w:eastAsiaTheme="minorEastAsia"/>
          <w:kern w:val="0"/>
          <w:szCs w:val="21"/>
        </w:rPr>
        <w:t>2019</w:t>
      </w:r>
      <w:r>
        <w:rPr>
          <w:rFonts w:eastAsiaTheme="minorEastAsia"/>
          <w:kern w:val="0"/>
          <w:szCs w:val="21"/>
        </w:rPr>
        <w:t>年度实际报告期间为</w:t>
      </w:r>
      <w:r>
        <w:rPr>
          <w:rFonts w:eastAsiaTheme="minorEastAsia"/>
          <w:kern w:val="0"/>
          <w:szCs w:val="21"/>
        </w:rPr>
        <w:t>2019</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5</w:t>
      </w:r>
      <w:r>
        <w:rPr>
          <w:rFonts w:eastAsiaTheme="minorEastAsia"/>
          <w:kern w:val="0"/>
          <w:szCs w:val="21"/>
        </w:rPr>
        <w:t>日至</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报告截止日</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w:t>
      </w:r>
      <w:r w:rsidRPr="00C24ACA">
        <w:rPr>
          <w:rFonts w:eastAsiaTheme="minorEastAsia"/>
          <w:kern w:val="0"/>
          <w:szCs w:val="21"/>
        </w:rPr>
        <w:t>A</w:t>
      </w:r>
      <w:r w:rsidRPr="00C24ACA">
        <w:rPr>
          <w:rFonts w:eastAsiaTheme="minorEastAsia"/>
          <w:kern w:val="0"/>
          <w:szCs w:val="21"/>
        </w:rPr>
        <w:t>类基金份额净值</w:t>
      </w:r>
      <w:r w:rsidRPr="00C24ACA">
        <w:rPr>
          <w:rFonts w:eastAsiaTheme="minorEastAsia"/>
          <w:kern w:val="0"/>
          <w:szCs w:val="21"/>
        </w:rPr>
        <w:t>1.0738</w:t>
      </w:r>
      <w:r w:rsidRPr="00C24ACA">
        <w:rPr>
          <w:rFonts w:eastAsiaTheme="minorEastAsia"/>
          <w:kern w:val="0"/>
          <w:szCs w:val="21"/>
        </w:rPr>
        <w:t>元，</w:t>
      </w:r>
      <w:r w:rsidRPr="00C24ACA">
        <w:rPr>
          <w:rFonts w:eastAsiaTheme="minorEastAsia"/>
          <w:kern w:val="0"/>
          <w:szCs w:val="21"/>
        </w:rPr>
        <w:t>C</w:t>
      </w:r>
      <w:r w:rsidRPr="00C24ACA">
        <w:rPr>
          <w:rFonts w:eastAsiaTheme="minorEastAsia"/>
          <w:kern w:val="0"/>
          <w:szCs w:val="21"/>
        </w:rPr>
        <w:t>类基金份额净值</w:t>
      </w:r>
      <w:r w:rsidRPr="00C24ACA">
        <w:rPr>
          <w:rFonts w:eastAsiaTheme="minorEastAsia"/>
          <w:kern w:val="0"/>
          <w:szCs w:val="21"/>
        </w:rPr>
        <w:t>1.0708</w:t>
      </w:r>
      <w:r w:rsidRPr="00C24ACA">
        <w:rPr>
          <w:rFonts w:eastAsiaTheme="minorEastAsia"/>
          <w:kern w:val="0"/>
          <w:szCs w:val="21"/>
        </w:rPr>
        <w:t>元；基金份额总额</w:t>
      </w:r>
      <w:r w:rsidRPr="00C24ACA">
        <w:rPr>
          <w:rFonts w:eastAsiaTheme="minorEastAsia"/>
          <w:kern w:val="0"/>
          <w:szCs w:val="21"/>
        </w:rPr>
        <w:t>490,024,152.24</w:t>
      </w:r>
      <w:r w:rsidRPr="00C24ACA">
        <w:rPr>
          <w:rFonts w:eastAsiaTheme="minorEastAsia"/>
          <w:kern w:val="0"/>
          <w:szCs w:val="21"/>
        </w:rPr>
        <w:t>份，下属分级基金的份额总额分别为：</w:t>
      </w:r>
      <w:r w:rsidRPr="00C24ACA">
        <w:rPr>
          <w:rFonts w:eastAsiaTheme="minorEastAsia"/>
          <w:kern w:val="0"/>
          <w:szCs w:val="21"/>
        </w:rPr>
        <w:t>A</w:t>
      </w:r>
      <w:r w:rsidRPr="00C24ACA">
        <w:rPr>
          <w:rFonts w:eastAsiaTheme="minorEastAsia"/>
          <w:kern w:val="0"/>
          <w:szCs w:val="21"/>
        </w:rPr>
        <w:t>类基金份额总额</w:t>
      </w:r>
      <w:r w:rsidRPr="00C24ACA">
        <w:rPr>
          <w:rFonts w:eastAsiaTheme="minorEastAsia"/>
          <w:kern w:val="0"/>
          <w:szCs w:val="21"/>
        </w:rPr>
        <w:t>330,931,113.34</w:t>
      </w:r>
      <w:r w:rsidRPr="00C24ACA">
        <w:rPr>
          <w:rFonts w:eastAsiaTheme="minorEastAsia"/>
          <w:kern w:val="0"/>
          <w:szCs w:val="21"/>
        </w:rPr>
        <w:t>份，</w:t>
      </w:r>
      <w:r w:rsidRPr="00C24ACA">
        <w:rPr>
          <w:rFonts w:eastAsiaTheme="minorEastAsia"/>
          <w:kern w:val="0"/>
          <w:szCs w:val="21"/>
        </w:rPr>
        <w:t>C</w:t>
      </w:r>
      <w:r w:rsidRPr="00C24ACA">
        <w:rPr>
          <w:rFonts w:eastAsiaTheme="minorEastAsia"/>
          <w:kern w:val="0"/>
          <w:szCs w:val="21"/>
        </w:rPr>
        <w:t>类基金份额总额</w:t>
      </w:r>
      <w:r w:rsidRPr="00C24ACA">
        <w:rPr>
          <w:rFonts w:eastAsiaTheme="minorEastAsia"/>
          <w:kern w:val="0"/>
          <w:szCs w:val="21"/>
        </w:rPr>
        <w:t>159,093,038.90</w:t>
      </w:r>
      <w:r w:rsidRPr="00C24ACA">
        <w:rPr>
          <w:rFonts w:eastAsiaTheme="minorEastAsia"/>
          <w:kern w:val="0"/>
          <w:szCs w:val="21"/>
        </w:rPr>
        <w:t>份。</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79" w:name="_Toc225498269"/>
      <w:bookmarkStart w:id="180" w:name="_Toc352255992"/>
      <w:bookmarkStart w:id="181" w:name="_Toc352256060"/>
      <w:bookmarkStart w:id="182" w:name="_Toc352331238"/>
      <w:bookmarkStart w:id="183" w:name="_Toc390164817"/>
      <w:bookmarkStart w:id="184" w:name="_Toc48659795"/>
      <w:r w:rsidRPr="0087359D">
        <w:rPr>
          <w:rFonts w:ascii="宋体" w:hAnsi="宋体"/>
          <w:kern w:val="0"/>
          <w:sz w:val="21"/>
          <w:szCs w:val="21"/>
        </w:rPr>
        <w:t>6.2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利润表</w:t>
      </w:r>
      <w:bookmarkEnd w:id="179"/>
      <w:bookmarkEnd w:id="180"/>
      <w:bookmarkEnd w:id="181"/>
      <w:bookmarkEnd w:id="182"/>
      <w:bookmarkEnd w:id="183"/>
      <w:bookmarkEnd w:id="184"/>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易方达中短期美元债债券型证券投资基金（</w:t>
      </w:r>
      <w:r w:rsidRPr="00C24ACA">
        <w:rPr>
          <w:rFonts w:eastAsiaTheme="minorEastAsia"/>
          <w:kern w:val="0"/>
          <w:szCs w:val="21"/>
        </w:rPr>
        <w:t>QDII</w:t>
      </w:r>
      <w:r w:rsidRPr="00C24ACA">
        <w:rPr>
          <w:rFonts w:eastAsiaTheme="minorEastAsia"/>
          <w:kern w:val="0"/>
          <w:szCs w:val="21"/>
        </w:rPr>
        <w:t>）</w:t>
      </w:r>
    </w:p>
    <w:p w:rsidR="008A5A5D" w:rsidRPr="00C24ACA" w:rsidRDefault="008A5A5D" w:rsidP="00316012">
      <w:pPr>
        <w:spacing w:line="360" w:lineRule="auto"/>
        <w:rPr>
          <w:rFonts w:eastAsiaTheme="minorEastAsia"/>
          <w:color w:val="000000"/>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8A5A5D" w:rsidRPr="00C24ACA" w:rsidTr="0014666D">
        <w:tc>
          <w:tcPr>
            <w:tcW w:w="342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项目</w:t>
            </w:r>
          </w:p>
        </w:tc>
        <w:tc>
          <w:tcPr>
            <w:tcW w:w="108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w:t>
            </w:r>
          </w:p>
          <w:p w:rsidR="008A5A5D" w:rsidRPr="00C24ACA" w:rsidRDefault="00AC4A34"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上年度可比期间</w:t>
            </w:r>
          </w:p>
          <w:p w:rsidR="008A5A5D" w:rsidRPr="00C24ACA" w:rsidRDefault="00BD0707"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5</w:t>
            </w:r>
            <w:r w:rsidRPr="00C24ACA">
              <w:rPr>
                <w:rFonts w:ascii="Times New Roman" w:eastAsiaTheme="minorEastAsia" w:hAnsi="Times New Roman"/>
                <w:b/>
                <w:color w:val="000000"/>
                <w:sz w:val="21"/>
                <w:szCs w:val="21"/>
              </w:rPr>
              <w:t>日（基金合同生效日）至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AE103C" w:rsidRPr="00C24ACA" w:rsidTr="0014666D">
        <w:tc>
          <w:tcPr>
            <w:tcW w:w="3420" w:type="dxa"/>
          </w:tcPr>
          <w:p w:rsidR="00AE103C" w:rsidRPr="00C24ACA" w:rsidRDefault="00AE103C">
            <w:pPr>
              <w:rPr>
                <w:rFonts w:eastAsiaTheme="minorEastAsia"/>
                <w:b/>
                <w:color w:val="000000"/>
                <w:szCs w:val="21"/>
              </w:rPr>
            </w:pPr>
            <w:r w:rsidRPr="00C24ACA">
              <w:rPr>
                <w:rFonts w:eastAsiaTheme="minorEastAsia"/>
                <w:b/>
                <w:color w:val="000000"/>
                <w:szCs w:val="21"/>
              </w:rPr>
              <w:t>一、收入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21,342,804.05</w:t>
            </w: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-264,944.34</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12,886,126.04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915,124.98</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其中：存款利息收入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6.4.7.11</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26,783.55</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204,947.46</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12,859,342.49</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710,177.52</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买入返售金融资产收入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其他利息收入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投资收益（损失以</w:t>
            </w:r>
            <w:r w:rsidRPr="00C24ACA">
              <w:rPr>
                <w:rFonts w:eastAsiaTheme="minorEastAsia"/>
                <w:color w:val="000000"/>
                <w:szCs w:val="21"/>
              </w:rPr>
              <w:t>“-”</w:t>
            </w:r>
            <w:r w:rsidRPr="00C24ACA">
              <w:rPr>
                <w:rFonts w:eastAsiaTheme="minorEastAsia"/>
                <w:color w:val="000000"/>
                <w:szCs w:val="21"/>
              </w:rPr>
              <w:t>填列）</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3,196,707.64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127,496.53</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其中：股票投资收益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6.4.7.12</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vAlign w:val="center"/>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基金投资收益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6.4.7.13</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3,196,707.64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127,496.53</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224952">
              <w:rPr>
                <w:rFonts w:hint="eastAsia"/>
              </w:rPr>
              <w:t>贵金属投资收益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衍生工具收益</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6.4.7.15</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股利收益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6.4.7.16</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公允价值变动收益（损失以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6.4.7.17</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4,726,994.48</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-768,685.70</w:t>
            </w:r>
          </w:p>
        </w:tc>
      </w:tr>
      <w:tr w:rsidR="0076511D" w:rsidRPr="00C24ACA" w:rsidTr="0014666D">
        <w:tc>
          <w:tcPr>
            <w:tcW w:w="3420" w:type="dxa"/>
            <w:vAlign w:val="center"/>
          </w:tcPr>
          <w:p w:rsidR="0076511D" w:rsidRPr="00C24ACA" w:rsidRDefault="0076511D">
            <w:pPr>
              <w:pStyle w:val="af6"/>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4.</w:t>
            </w:r>
            <w:r w:rsidRPr="00C24ACA">
              <w:rPr>
                <w:rFonts w:ascii="Times New Roman" w:eastAsiaTheme="minorEastAsia" w:hAnsi="Times New Roman"/>
                <w:color w:val="000000"/>
                <w:sz w:val="21"/>
                <w:szCs w:val="21"/>
              </w:rPr>
              <w:t>汇兑收益（损失以</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520,437.93</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-538,917.49</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其他收入（损失以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6.4.7.18</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12,537.96</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37.34</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减：二、费用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2,537,862.17</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286,650.07</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．管理人报酬</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1,583,849.00</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176,403.92</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．托管费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475,154.72</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52,921.16</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．销售服务费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331,170.31</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45,733.44</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4</w:t>
            </w:r>
            <w:r w:rsidRPr="00C24ACA">
              <w:rPr>
                <w:rFonts w:eastAsiaTheme="minorEastAsia"/>
                <w:color w:val="000000"/>
                <w:szCs w:val="21"/>
              </w:rPr>
              <w:t>．交易费用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6.4.7.19</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-0.04</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．利息支出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其中：卖出回购金融资产支出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FB3D98" w:rsidRPr="00C24ACA" w:rsidTr="0014666D">
        <w:tc>
          <w:tcPr>
            <w:tcW w:w="3420" w:type="dxa"/>
          </w:tcPr>
          <w:p w:rsidR="00FB3D98" w:rsidRDefault="00FB3D98">
            <w:pPr>
              <w:rPr>
                <w:rFonts w:eastAsiaTheme="minorEastAsia"/>
                <w:color w:val="000000"/>
                <w:szCs w:val="21"/>
              </w:rPr>
            </w:pPr>
            <w:r>
              <w:rPr>
                <w:rFonts w:eastAsiaTheme="minorEastAsia"/>
                <w:color w:val="000000"/>
                <w:szCs w:val="21"/>
              </w:rPr>
              <w:t>6</w:t>
            </w:r>
            <w:r>
              <w:rPr>
                <w:rFonts w:eastAsiaTheme="minorEastAsia" w:hint="eastAsia"/>
                <w:color w:val="000000"/>
                <w:szCs w:val="21"/>
              </w:rPr>
              <w:t>．税金及附加</w:t>
            </w:r>
          </w:p>
        </w:tc>
        <w:tc>
          <w:tcPr>
            <w:tcW w:w="1080" w:type="dxa"/>
            <w:vAlign w:val="center"/>
          </w:tcPr>
          <w:p w:rsidR="00FB3D98" w:rsidRDefault="00FB3D98">
            <w:pPr>
              <w:pStyle w:val="af6"/>
              <w:jc w:val="center"/>
              <w:rPr>
                <w:rFonts w:ascii="Times New Roman" w:eastAsiaTheme="minorEastAsia" w:hAnsi="Times New Roman"/>
                <w:color w:val="000000"/>
                <w:sz w:val="21"/>
                <w:szCs w:val="21"/>
              </w:rPr>
            </w:pP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47,331.19</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2,357.23</w:t>
            </w:r>
          </w:p>
        </w:tc>
      </w:tr>
      <w:tr w:rsidR="00FB3D98" w:rsidRPr="00C24ACA" w:rsidTr="0014666D">
        <w:tc>
          <w:tcPr>
            <w:tcW w:w="3420" w:type="dxa"/>
          </w:tcPr>
          <w:p w:rsidR="00FB3D98" w:rsidRDefault="00FB3D98">
            <w:pPr>
              <w:rPr>
                <w:rFonts w:eastAsiaTheme="minorEastAsia"/>
                <w:color w:val="000000"/>
                <w:szCs w:val="21"/>
              </w:rPr>
            </w:pPr>
            <w:r>
              <w:rPr>
                <w:rFonts w:eastAsiaTheme="minorEastAsia"/>
                <w:color w:val="000000"/>
                <w:szCs w:val="21"/>
              </w:rPr>
              <w:t>7</w:t>
            </w:r>
            <w:r>
              <w:rPr>
                <w:rFonts w:eastAsiaTheme="minorEastAsia" w:hint="eastAsia"/>
                <w:color w:val="000000"/>
                <w:szCs w:val="21"/>
              </w:rPr>
              <w:t>．其他费用</w:t>
            </w:r>
          </w:p>
        </w:tc>
        <w:tc>
          <w:tcPr>
            <w:tcW w:w="1080" w:type="dxa"/>
            <w:vAlign w:val="center"/>
          </w:tcPr>
          <w:p w:rsidR="00FB3D98" w:rsidRDefault="00FB3D98">
            <w:pPr>
              <w:pStyle w:val="af6"/>
              <w:jc w:val="center"/>
              <w:rPr>
                <w:rFonts w:ascii="Times New Roman" w:eastAsiaTheme="minorEastAsia" w:hAnsi="Times New Roman"/>
                <w:color w:val="000000"/>
                <w:sz w:val="21"/>
                <w:szCs w:val="21"/>
              </w:rPr>
            </w:pPr>
            <w:r>
              <w:rPr>
                <w:rFonts w:ascii="Times New Roman" w:eastAsiaTheme="minorEastAsia" w:hAnsi="Times New Roman"/>
                <w:color w:val="000000"/>
                <w:sz w:val="21"/>
                <w:szCs w:val="21"/>
              </w:rPr>
              <w:t>6.4.7.20</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100,356.95</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9,234.36</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三、利润总额（亏损总额以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18,804,941.88</w:t>
            </w: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-551,594.41</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szCs w:val="21"/>
              </w:rPr>
              <w:t>减：所得税费用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四、净利润（净亏损以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18,804,941.88</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-551,594.41</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注：本基金合同生效日为</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5</w:t>
      </w:r>
      <w:r w:rsidRPr="00C24ACA">
        <w:rPr>
          <w:rFonts w:eastAsiaTheme="minorEastAsia"/>
          <w:kern w:val="0"/>
          <w:szCs w:val="21"/>
        </w:rPr>
        <w:t>日，上年度可比期间为</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5</w:t>
      </w:r>
      <w:r w:rsidRPr="00C24ACA">
        <w:rPr>
          <w:rFonts w:eastAsiaTheme="minorEastAsia"/>
          <w:kern w:val="0"/>
          <w:szCs w:val="21"/>
        </w:rPr>
        <w:t>日至</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85" w:name="_Toc225498270"/>
      <w:bookmarkStart w:id="186" w:name="_Toc352255993"/>
      <w:bookmarkStart w:id="187" w:name="_Toc352256061"/>
      <w:bookmarkStart w:id="188" w:name="_Toc352331239"/>
      <w:bookmarkStart w:id="189" w:name="_Toc390164818"/>
      <w:bookmarkStart w:id="190" w:name="_Toc48659796"/>
      <w:r w:rsidRPr="0087359D">
        <w:rPr>
          <w:rFonts w:ascii="宋体" w:hAnsi="宋体"/>
          <w:kern w:val="0"/>
          <w:sz w:val="21"/>
          <w:szCs w:val="21"/>
        </w:rPr>
        <w:t>6.3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所有者权益（基金净值）变动表</w:t>
      </w:r>
      <w:bookmarkEnd w:id="185"/>
      <w:bookmarkEnd w:id="186"/>
      <w:bookmarkEnd w:id="187"/>
      <w:bookmarkEnd w:id="188"/>
      <w:bookmarkEnd w:id="189"/>
      <w:bookmarkEnd w:id="190"/>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易方达中短期美元债债券型证券投资基金（</w:t>
      </w:r>
      <w:r w:rsidRPr="00C24ACA">
        <w:rPr>
          <w:rFonts w:eastAsiaTheme="minorEastAsia"/>
          <w:kern w:val="0"/>
          <w:szCs w:val="21"/>
        </w:rPr>
        <w:t>QDII</w:t>
      </w:r>
      <w:r w:rsidRPr="00C24ACA">
        <w:rPr>
          <w:rFonts w:eastAsiaTheme="minorEastAsia"/>
          <w:kern w:val="0"/>
          <w:szCs w:val="21"/>
        </w:rPr>
        <w:t>）</w:t>
      </w:r>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8A5A5D" w:rsidRPr="00C24ACA" w:rsidTr="006D141C">
        <w:tc>
          <w:tcPr>
            <w:tcW w:w="2835" w:type="dxa"/>
            <w:vMerge w:val="restart"/>
            <w:vAlign w:val="center"/>
          </w:tcPr>
          <w:p w:rsidR="008A5A5D" w:rsidRPr="00C24ACA" w:rsidRDefault="008A5A5D" w:rsidP="00C96D24">
            <w:pPr>
              <w:jc w:val="center"/>
              <w:rPr>
                <w:rFonts w:eastAsiaTheme="minorEastAsia"/>
                <w:b/>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本期</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r>
      <w:tr w:rsidR="008A5A5D" w:rsidRPr="00C24ACA" w:rsidTr="006D141C">
        <w:tc>
          <w:tcPr>
            <w:tcW w:w="2835" w:type="dxa"/>
            <w:vMerge/>
            <w:vAlign w:val="center"/>
          </w:tcPr>
          <w:p w:rsidR="008A5A5D" w:rsidRPr="00C24ACA" w:rsidRDefault="008A5A5D">
            <w:pPr>
              <w:widowControl/>
              <w:jc w:val="left"/>
              <w:rPr>
                <w:rFonts w:eastAsiaTheme="minorEastAsia"/>
                <w:b/>
                <w:color w:val="000000"/>
                <w:szCs w:val="21"/>
              </w:rPr>
            </w:pPr>
          </w:p>
        </w:tc>
        <w:tc>
          <w:tcPr>
            <w:tcW w:w="2127"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693,007,981.27</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25,144,605.12</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718,152,586.39</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18,804,941.88</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18,804,941.88</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-202,983,829.03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-8,245,839.24</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-211,229,668.27</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125,358,417.40</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5,707,393.29</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131,065,810.69</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-328,342,246.43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-13,953,232.53</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-342,295,478.96</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490,024,152.24</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35,703,707.76</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525,727,860.00</w:t>
            </w:r>
          </w:p>
        </w:tc>
      </w:tr>
      <w:tr w:rsidR="008A5A5D" w:rsidRPr="00C24ACA" w:rsidTr="006D141C">
        <w:tc>
          <w:tcPr>
            <w:tcW w:w="2835" w:type="dxa"/>
            <w:vMerge w:val="restart"/>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上年度可比期间</w:t>
            </w:r>
          </w:p>
          <w:p w:rsidR="008A5A5D" w:rsidRPr="00C24ACA" w:rsidRDefault="00BD0707">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5</w:t>
            </w:r>
            <w:r w:rsidRPr="00C24ACA">
              <w:rPr>
                <w:rFonts w:ascii="Times New Roman" w:eastAsiaTheme="minorEastAsia" w:hAnsi="Times New Roman"/>
                <w:b/>
                <w:color w:val="000000"/>
                <w:sz w:val="21"/>
                <w:szCs w:val="21"/>
              </w:rPr>
              <w:t>日（基金合同生效日）至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8A5A5D" w:rsidRPr="00C24ACA" w:rsidTr="008964A8">
        <w:tc>
          <w:tcPr>
            <w:tcW w:w="2835" w:type="dxa"/>
            <w:vMerge/>
            <w:vAlign w:val="center"/>
          </w:tcPr>
          <w:p w:rsidR="008A5A5D" w:rsidRPr="00C24ACA" w:rsidRDefault="008A5A5D">
            <w:pPr>
              <w:widowControl/>
              <w:jc w:val="left"/>
              <w:rPr>
                <w:rFonts w:eastAsiaTheme="minorEastAsia"/>
                <w:color w:val="000000"/>
                <w:szCs w:val="21"/>
              </w:rPr>
            </w:pPr>
          </w:p>
        </w:tc>
        <w:tc>
          <w:tcPr>
            <w:tcW w:w="2127" w:type="dxa"/>
            <w:vAlign w:val="center"/>
          </w:tcPr>
          <w:p w:rsidR="008A5A5D" w:rsidRPr="00C24ACA" w:rsidRDefault="008A5A5D" w:rsidP="00E069E3">
            <w:pPr>
              <w:jc w:val="center"/>
              <w:rPr>
                <w:rFonts w:eastAsiaTheme="minorEastAsia"/>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rsidP="008964A8">
            <w:pPr>
              <w:jc w:val="center"/>
              <w:rPr>
                <w:rFonts w:eastAsiaTheme="minorEastAsia"/>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rsidP="008964A8">
            <w:pPr>
              <w:jc w:val="center"/>
              <w:rPr>
                <w:rFonts w:eastAsiaTheme="minorEastAsia"/>
                <w:b/>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516,680,018.64</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516,680,018.64</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-551,594.41</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-551,594.41</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-486,375.99</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-486,375.99</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-486,375.99</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-486,375.99</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516,680,018.64</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-1,037,970.40</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515,642,048.24</w:t>
            </w:r>
          </w:p>
        </w:tc>
      </w:tr>
    </w:tbl>
    <w:p w:rsidR="0035753E"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注：本基金合同生效日为</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5</w:t>
      </w:r>
      <w:r w:rsidRPr="00C24ACA">
        <w:rPr>
          <w:rFonts w:eastAsiaTheme="minorEastAsia"/>
          <w:kern w:val="0"/>
          <w:szCs w:val="21"/>
        </w:rPr>
        <w:t>日，上年度可比期间为</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5</w:t>
      </w:r>
      <w:r w:rsidRPr="00C24ACA">
        <w:rPr>
          <w:rFonts w:eastAsiaTheme="minorEastAsia"/>
          <w:kern w:val="0"/>
          <w:szCs w:val="21"/>
        </w:rPr>
        <w:t>日至</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w:t>
      </w:r>
    </w:p>
    <w:p w:rsidR="0035753E" w:rsidRPr="00C24ACA" w:rsidRDefault="0035753E" w:rsidP="00732F5C">
      <w:pPr>
        <w:spacing w:beforeLines="100" w:before="312" w:line="360" w:lineRule="auto"/>
        <w:rPr>
          <w:rFonts w:eastAsiaTheme="minorEastAsia"/>
          <w:szCs w:val="21"/>
        </w:rPr>
      </w:pPr>
      <w:r w:rsidRPr="00C24ACA">
        <w:rPr>
          <w:rFonts w:eastAsiaTheme="minorEastAsia"/>
          <w:szCs w:val="21"/>
        </w:rPr>
        <w:t>报表附注为财务报表的组成部分。</w:t>
      </w:r>
    </w:p>
    <w:p w:rsidR="0035753E" w:rsidRPr="00C24ACA" w:rsidRDefault="0035753E" w:rsidP="00316012">
      <w:pPr>
        <w:spacing w:line="360" w:lineRule="auto"/>
        <w:rPr>
          <w:rFonts w:eastAsiaTheme="minorEastAsia"/>
          <w:szCs w:val="21"/>
        </w:rPr>
      </w:pPr>
      <w:r w:rsidRPr="00C24ACA">
        <w:rPr>
          <w:rFonts w:eastAsiaTheme="minorEastAsia"/>
          <w:szCs w:val="21"/>
        </w:rPr>
        <w:t>本报告</w:t>
      </w:r>
      <w:r w:rsidRPr="00C24ACA">
        <w:rPr>
          <w:rFonts w:eastAsiaTheme="minorEastAsia"/>
          <w:szCs w:val="21"/>
        </w:rPr>
        <w:t>6.1</w:t>
      </w:r>
      <w:r w:rsidRPr="00C24ACA">
        <w:rPr>
          <w:rFonts w:eastAsiaTheme="minorEastAsia"/>
          <w:szCs w:val="21"/>
        </w:rPr>
        <w:t>至</w:t>
      </w:r>
      <w:r w:rsidRPr="00C24ACA">
        <w:rPr>
          <w:rFonts w:eastAsiaTheme="minorEastAsia"/>
          <w:szCs w:val="21"/>
        </w:rPr>
        <w:t>6.4</w:t>
      </w:r>
      <w:r w:rsidRPr="00C24ACA">
        <w:rPr>
          <w:rFonts w:eastAsiaTheme="minorEastAsia"/>
          <w:szCs w:val="21"/>
        </w:rPr>
        <w:t>，财务报表由下列负责人签署：</w:t>
      </w:r>
    </w:p>
    <w:p w:rsidR="008A5A5D" w:rsidRPr="00C24ACA" w:rsidRDefault="00787FF8" w:rsidP="00862636">
      <w:pPr>
        <w:spacing w:line="360" w:lineRule="auto"/>
        <w:rPr>
          <w:rFonts w:eastAsiaTheme="minorEastAsia"/>
          <w:szCs w:val="21"/>
        </w:rPr>
      </w:pPr>
      <w:r w:rsidRPr="00C24ACA">
        <w:rPr>
          <w:rFonts w:eastAsiaTheme="minorEastAsia"/>
          <w:szCs w:val="21"/>
        </w:rPr>
        <w:t>基金管理人</w:t>
      </w:r>
      <w:r w:rsidR="0035753E" w:rsidRPr="00C24ACA">
        <w:rPr>
          <w:rFonts w:eastAsiaTheme="minorEastAsia"/>
          <w:szCs w:val="21"/>
        </w:rPr>
        <w:t>负责人：刘晓艳，主管会计工作负责人：陈荣，会计机构负责人：邱毅华</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91" w:name="_Toc225498271"/>
      <w:bookmarkStart w:id="192" w:name="_Toc352255994"/>
      <w:bookmarkStart w:id="193" w:name="_Toc352256062"/>
      <w:bookmarkStart w:id="194" w:name="_Toc352331240"/>
      <w:bookmarkStart w:id="195" w:name="_Toc390164819"/>
      <w:bookmarkStart w:id="196" w:name="_Toc48659797"/>
      <w:r w:rsidRPr="0087359D">
        <w:rPr>
          <w:rFonts w:ascii="宋体" w:hAnsi="宋体"/>
          <w:kern w:val="0"/>
          <w:sz w:val="21"/>
          <w:szCs w:val="21"/>
        </w:rPr>
        <w:t>6.4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报表附注</w:t>
      </w:r>
      <w:bookmarkEnd w:id="191"/>
      <w:bookmarkEnd w:id="192"/>
      <w:bookmarkEnd w:id="193"/>
      <w:bookmarkEnd w:id="194"/>
      <w:bookmarkEnd w:id="195"/>
      <w:bookmarkEnd w:id="196"/>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w:t>
      </w:r>
      <w:r w:rsidR="004F3E31" w:rsidRPr="00C24ACA">
        <w:rPr>
          <w:rFonts w:eastAsiaTheme="minorEastAsia"/>
          <w:b/>
          <w:bCs/>
          <w:color w:val="000000"/>
          <w:kern w:val="0"/>
          <w:szCs w:val="21"/>
        </w:rPr>
        <w:t xml:space="preserve"> </w:t>
      </w:r>
      <w:r w:rsidRPr="00C24ACA">
        <w:rPr>
          <w:rFonts w:eastAsiaTheme="minorEastAsia"/>
          <w:b/>
          <w:color w:val="000000"/>
          <w:kern w:val="0"/>
          <w:szCs w:val="21"/>
        </w:rPr>
        <w:t>基金基本情况</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易方达中短期美元债债券型证券投资基金（</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w:t>
      </w:r>
      <w:r w:rsidRPr="00C24ACA">
        <w:rPr>
          <w:rFonts w:eastAsiaTheme="minorEastAsia"/>
          <w:kern w:val="0"/>
          <w:szCs w:val="21"/>
        </w:rPr>
        <w:t>以下简称</w:t>
      </w:r>
      <w:r w:rsidRPr="00C24ACA">
        <w:rPr>
          <w:rFonts w:eastAsiaTheme="minorEastAsia"/>
          <w:kern w:val="0"/>
          <w:szCs w:val="21"/>
        </w:rPr>
        <w:t>“</w:t>
      </w:r>
      <w:r w:rsidRPr="00C24ACA">
        <w:rPr>
          <w:rFonts w:eastAsiaTheme="minorEastAsia"/>
          <w:kern w:val="0"/>
          <w:szCs w:val="21"/>
        </w:rPr>
        <w:t>本基金</w:t>
      </w:r>
      <w:r w:rsidRPr="00C24ACA">
        <w:rPr>
          <w:rFonts w:eastAsiaTheme="minorEastAsia"/>
          <w:kern w:val="0"/>
          <w:szCs w:val="21"/>
        </w:rPr>
        <w:t>”)</w:t>
      </w:r>
      <w:r w:rsidRPr="00C24ACA">
        <w:rPr>
          <w:rFonts w:eastAsiaTheme="minorEastAsia"/>
          <w:kern w:val="0"/>
          <w:szCs w:val="21"/>
        </w:rPr>
        <w:t>根据中国证券监督管理委员会</w:t>
      </w:r>
      <w:r w:rsidRPr="00C24ACA">
        <w:rPr>
          <w:rFonts w:eastAsiaTheme="minorEastAsia"/>
          <w:kern w:val="0"/>
          <w:szCs w:val="21"/>
        </w:rPr>
        <w:t>(</w:t>
      </w:r>
      <w:r w:rsidRPr="00C24ACA">
        <w:rPr>
          <w:rFonts w:eastAsiaTheme="minorEastAsia"/>
          <w:kern w:val="0"/>
          <w:szCs w:val="21"/>
        </w:rPr>
        <w:t>以下简称</w:t>
      </w:r>
      <w:r w:rsidRPr="00C24ACA">
        <w:rPr>
          <w:rFonts w:eastAsiaTheme="minorEastAsia"/>
          <w:kern w:val="0"/>
          <w:szCs w:val="21"/>
        </w:rPr>
        <w:t>“</w:t>
      </w:r>
      <w:r w:rsidRPr="00C24ACA">
        <w:rPr>
          <w:rFonts w:eastAsiaTheme="minorEastAsia"/>
          <w:kern w:val="0"/>
          <w:szCs w:val="21"/>
        </w:rPr>
        <w:t>中国证监会</w:t>
      </w:r>
      <w:r w:rsidRPr="00C24ACA">
        <w:rPr>
          <w:rFonts w:eastAsiaTheme="minorEastAsia"/>
          <w:kern w:val="0"/>
          <w:szCs w:val="21"/>
        </w:rPr>
        <w:t>”)</w:t>
      </w:r>
      <w:r w:rsidRPr="00C24ACA">
        <w:rPr>
          <w:rFonts w:eastAsiaTheme="minorEastAsia"/>
          <w:kern w:val="0"/>
          <w:szCs w:val="21"/>
        </w:rPr>
        <w:t>证监许可</w:t>
      </w:r>
      <w:r w:rsidRPr="00C24ACA">
        <w:rPr>
          <w:rFonts w:eastAsiaTheme="minorEastAsia"/>
          <w:kern w:val="0"/>
          <w:szCs w:val="21"/>
        </w:rPr>
        <w:t>[2019]716</w:t>
      </w:r>
      <w:r w:rsidRPr="00C24ACA">
        <w:rPr>
          <w:rFonts w:eastAsiaTheme="minorEastAsia"/>
          <w:kern w:val="0"/>
          <w:szCs w:val="21"/>
        </w:rPr>
        <w:t>号《关于准予易方达中短期美元债债券型证券投资基金（</w:t>
      </w:r>
      <w:r w:rsidRPr="00C24ACA">
        <w:rPr>
          <w:rFonts w:eastAsiaTheme="minorEastAsia"/>
          <w:kern w:val="0"/>
          <w:szCs w:val="21"/>
        </w:rPr>
        <w:t>QDII</w:t>
      </w:r>
      <w:r w:rsidRPr="00C24ACA">
        <w:rPr>
          <w:rFonts w:eastAsiaTheme="minorEastAsia"/>
          <w:kern w:val="0"/>
          <w:szCs w:val="21"/>
        </w:rPr>
        <w:t>）注册的批复》进行募集，由易方达基金管理有限公司依照《中华人民共和国证券投资基金法》和《易方达中短期美元债债券型证券投资基金（</w:t>
      </w:r>
      <w:r w:rsidRPr="00C24ACA">
        <w:rPr>
          <w:rFonts w:eastAsiaTheme="minorEastAsia"/>
          <w:kern w:val="0"/>
          <w:szCs w:val="21"/>
        </w:rPr>
        <w:t>QDII</w:t>
      </w:r>
      <w:r w:rsidRPr="00C24ACA">
        <w:rPr>
          <w:rFonts w:eastAsiaTheme="minorEastAsia"/>
          <w:kern w:val="0"/>
          <w:szCs w:val="21"/>
        </w:rPr>
        <w:t>）基金合同》公开募集。经向中国证监会备案，《易方达中短期美元债债券型证券投资基金（</w:t>
      </w:r>
      <w:r w:rsidRPr="00C24ACA">
        <w:rPr>
          <w:rFonts w:eastAsiaTheme="minorEastAsia"/>
          <w:kern w:val="0"/>
          <w:szCs w:val="21"/>
        </w:rPr>
        <w:t>QDII</w:t>
      </w:r>
      <w:r w:rsidRPr="00C24ACA">
        <w:rPr>
          <w:rFonts w:eastAsiaTheme="minorEastAsia"/>
          <w:kern w:val="0"/>
          <w:szCs w:val="21"/>
        </w:rPr>
        <w:t>）基金合同》于</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5</w:t>
      </w:r>
      <w:r w:rsidRPr="00C24ACA">
        <w:rPr>
          <w:rFonts w:eastAsiaTheme="minorEastAsia"/>
          <w:kern w:val="0"/>
          <w:szCs w:val="21"/>
        </w:rPr>
        <w:t>日正式生效，基金合同生效日的基金份额总额为</w:t>
      </w:r>
      <w:r w:rsidRPr="00C24ACA">
        <w:rPr>
          <w:rFonts w:eastAsiaTheme="minorEastAsia"/>
          <w:kern w:val="0"/>
          <w:szCs w:val="21"/>
        </w:rPr>
        <w:t>516,680,018.64</w:t>
      </w:r>
      <w:r w:rsidRPr="00C24ACA">
        <w:rPr>
          <w:rFonts w:eastAsiaTheme="minorEastAsia"/>
          <w:kern w:val="0"/>
          <w:szCs w:val="21"/>
        </w:rPr>
        <w:t>份基金份额，其中认购资金利息折合</w:t>
      </w:r>
      <w:r w:rsidRPr="00C24ACA">
        <w:rPr>
          <w:rFonts w:eastAsiaTheme="minorEastAsia"/>
          <w:kern w:val="0"/>
          <w:szCs w:val="21"/>
        </w:rPr>
        <w:t>32,395.06</w:t>
      </w:r>
      <w:r w:rsidRPr="00C24ACA">
        <w:rPr>
          <w:rFonts w:eastAsiaTheme="minorEastAsia"/>
          <w:kern w:val="0"/>
          <w:szCs w:val="21"/>
        </w:rPr>
        <w:t>份基金份额。本基金为契约型开放式基金，存续期限不定。本基金的基金管理人为易方达基金管理有限公司，基金托管人为招商银行股份有限公司，境外托管人为香港上海汇丰银行有限公司。</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6.4.2</w:t>
      </w:r>
      <w:r w:rsidR="004F3E31" w:rsidRPr="00C24ACA">
        <w:rPr>
          <w:rFonts w:eastAsiaTheme="minorEastAsia"/>
          <w:b/>
          <w:bCs/>
          <w:color w:val="000000"/>
          <w:kern w:val="0"/>
          <w:szCs w:val="21"/>
        </w:rPr>
        <w:t xml:space="preserve"> </w:t>
      </w:r>
      <w:r w:rsidRPr="00C24ACA">
        <w:rPr>
          <w:rFonts w:eastAsiaTheme="minorEastAsia"/>
          <w:b/>
          <w:color w:val="000000"/>
          <w:kern w:val="0"/>
          <w:szCs w:val="21"/>
        </w:rPr>
        <w:t>会计报表的编制基础</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本基金的财务报表按照财政部于</w:t>
      </w:r>
      <w:r w:rsidRPr="00C24ACA">
        <w:rPr>
          <w:rFonts w:eastAsiaTheme="minorEastAsia"/>
          <w:kern w:val="0"/>
          <w:szCs w:val="21"/>
        </w:rPr>
        <w:t>2006</w:t>
      </w:r>
      <w:r w:rsidRPr="00C24ACA">
        <w:rPr>
          <w:rFonts w:eastAsiaTheme="minorEastAsia"/>
          <w:kern w:val="0"/>
          <w:szCs w:val="21"/>
        </w:rPr>
        <w:t>年</w:t>
      </w:r>
      <w:r w:rsidRPr="00C24ACA">
        <w:rPr>
          <w:rFonts w:eastAsiaTheme="minorEastAsia"/>
          <w:kern w:val="0"/>
          <w:szCs w:val="21"/>
        </w:rPr>
        <w:t>2</w:t>
      </w:r>
      <w:r w:rsidRPr="00C24ACA">
        <w:rPr>
          <w:rFonts w:eastAsiaTheme="minorEastAsia"/>
          <w:kern w:val="0"/>
          <w:szCs w:val="21"/>
        </w:rPr>
        <w:t>月</w:t>
      </w:r>
      <w:r w:rsidRPr="00C24ACA">
        <w:rPr>
          <w:rFonts w:eastAsiaTheme="minorEastAsia"/>
          <w:kern w:val="0"/>
          <w:szCs w:val="21"/>
        </w:rPr>
        <w:t>15</w:t>
      </w:r>
      <w:r w:rsidRPr="00C24ACA">
        <w:rPr>
          <w:rFonts w:eastAsiaTheme="minorEastAsia"/>
          <w:kern w:val="0"/>
          <w:szCs w:val="21"/>
        </w:rPr>
        <w:t>日及以后期间颁布的《企业会计准则</w:t>
      </w:r>
      <w:r w:rsidRPr="00C24ACA">
        <w:rPr>
          <w:rFonts w:eastAsiaTheme="minorEastAsia"/>
          <w:kern w:val="0"/>
          <w:szCs w:val="21"/>
        </w:rPr>
        <w:t>-</w:t>
      </w:r>
      <w:r w:rsidRPr="00C24ACA">
        <w:rPr>
          <w:rFonts w:eastAsiaTheme="minorEastAsia"/>
          <w:kern w:val="0"/>
          <w:szCs w:val="21"/>
        </w:rPr>
        <w:t>基本准则》、各项具体会计准则及相关规定</w:t>
      </w:r>
      <w:r w:rsidRPr="00C24ACA">
        <w:rPr>
          <w:rFonts w:eastAsiaTheme="minorEastAsia"/>
          <w:kern w:val="0"/>
          <w:szCs w:val="21"/>
        </w:rPr>
        <w:t>(</w:t>
      </w:r>
      <w:r w:rsidRPr="00C24ACA">
        <w:rPr>
          <w:rFonts w:eastAsiaTheme="minorEastAsia"/>
          <w:kern w:val="0"/>
          <w:szCs w:val="21"/>
        </w:rPr>
        <w:t>以下合称</w:t>
      </w:r>
      <w:r w:rsidRPr="00C24ACA">
        <w:rPr>
          <w:rFonts w:eastAsiaTheme="minorEastAsia"/>
          <w:kern w:val="0"/>
          <w:szCs w:val="21"/>
        </w:rPr>
        <w:t>“</w:t>
      </w:r>
      <w:r w:rsidRPr="00C24ACA">
        <w:rPr>
          <w:rFonts w:eastAsiaTheme="minorEastAsia"/>
          <w:kern w:val="0"/>
          <w:szCs w:val="21"/>
        </w:rPr>
        <w:t>企业会计准则</w:t>
      </w:r>
      <w:r w:rsidRPr="00C24ACA">
        <w:rPr>
          <w:rFonts w:eastAsiaTheme="minorEastAsia"/>
          <w:kern w:val="0"/>
          <w:szCs w:val="21"/>
        </w:rPr>
        <w:t>”)</w:t>
      </w:r>
      <w:r w:rsidRPr="00C24ACA">
        <w:rPr>
          <w:rFonts w:eastAsiaTheme="minorEastAsia"/>
          <w:kern w:val="0"/>
          <w:szCs w:val="21"/>
        </w:rPr>
        <w:t>、中国证监会颁布的《证券投资基金信息披露</w:t>
      </w:r>
      <w:r w:rsidRPr="00C24ACA">
        <w:rPr>
          <w:rFonts w:eastAsiaTheme="minorEastAsia"/>
          <w:kern w:val="0"/>
          <w:szCs w:val="21"/>
        </w:rPr>
        <w:t>XBRL</w:t>
      </w:r>
      <w:r w:rsidRPr="00C24ACA">
        <w:rPr>
          <w:rFonts w:eastAsiaTheme="minorEastAsia"/>
          <w:kern w:val="0"/>
          <w:szCs w:val="21"/>
        </w:rPr>
        <w:t>模板第</w:t>
      </w:r>
      <w:r w:rsidRPr="00C24ACA">
        <w:rPr>
          <w:rFonts w:eastAsiaTheme="minorEastAsia"/>
          <w:kern w:val="0"/>
          <w:szCs w:val="21"/>
        </w:rPr>
        <w:t>3</w:t>
      </w:r>
      <w:r w:rsidRPr="00C24ACA">
        <w:rPr>
          <w:rFonts w:eastAsiaTheme="minorEastAsia"/>
          <w:kern w:val="0"/>
          <w:szCs w:val="21"/>
        </w:rPr>
        <w:t>号</w:t>
      </w:r>
      <w:r w:rsidRPr="00C24ACA">
        <w:rPr>
          <w:rFonts w:eastAsiaTheme="minorEastAsia"/>
          <w:kern w:val="0"/>
          <w:szCs w:val="21"/>
        </w:rPr>
        <w:t>&lt;</w:t>
      </w:r>
      <w:r w:rsidRPr="00C24ACA">
        <w:rPr>
          <w:rFonts w:eastAsiaTheme="minorEastAsia"/>
          <w:kern w:val="0"/>
          <w:szCs w:val="21"/>
        </w:rPr>
        <w:t>年度报告和中期报告</w:t>
      </w:r>
      <w:r w:rsidRPr="00C24ACA">
        <w:rPr>
          <w:rFonts w:eastAsiaTheme="minorEastAsia"/>
          <w:kern w:val="0"/>
          <w:szCs w:val="21"/>
        </w:rPr>
        <w:t>&gt;</w:t>
      </w:r>
      <w:r w:rsidRPr="00C24ACA">
        <w:rPr>
          <w:rFonts w:eastAsiaTheme="minorEastAsia"/>
          <w:kern w:val="0"/>
          <w:szCs w:val="21"/>
        </w:rPr>
        <w:t>》、中国证券投资基金业协会</w:t>
      </w:r>
      <w:r w:rsidRPr="00C24ACA">
        <w:rPr>
          <w:rFonts w:eastAsiaTheme="minorEastAsia"/>
          <w:kern w:val="0"/>
          <w:szCs w:val="21"/>
        </w:rPr>
        <w:t>(</w:t>
      </w:r>
      <w:r w:rsidRPr="00C24ACA">
        <w:rPr>
          <w:rFonts w:eastAsiaTheme="minorEastAsia"/>
          <w:kern w:val="0"/>
          <w:szCs w:val="21"/>
        </w:rPr>
        <w:t>以下简称</w:t>
      </w:r>
      <w:r w:rsidRPr="00C24ACA">
        <w:rPr>
          <w:rFonts w:eastAsiaTheme="minorEastAsia"/>
          <w:kern w:val="0"/>
          <w:szCs w:val="21"/>
        </w:rPr>
        <w:t>“</w:t>
      </w:r>
      <w:r w:rsidRPr="00C24ACA">
        <w:rPr>
          <w:rFonts w:eastAsiaTheme="minorEastAsia"/>
          <w:kern w:val="0"/>
          <w:szCs w:val="21"/>
        </w:rPr>
        <w:t>中国基金业协会</w:t>
      </w:r>
      <w:r w:rsidRPr="00C24ACA">
        <w:rPr>
          <w:rFonts w:eastAsiaTheme="minorEastAsia"/>
          <w:kern w:val="0"/>
          <w:szCs w:val="21"/>
        </w:rPr>
        <w:t>”)</w:t>
      </w:r>
      <w:r w:rsidRPr="00C24ACA">
        <w:rPr>
          <w:rFonts w:eastAsiaTheme="minorEastAsia"/>
          <w:kern w:val="0"/>
          <w:szCs w:val="21"/>
        </w:rPr>
        <w:t>颁布的《证券投资基金会计核算业务指引》、《易方达中短期美元债债券型证券投资基金</w:t>
      </w:r>
      <w:r w:rsidRPr="00C24ACA">
        <w:rPr>
          <w:rFonts w:eastAsiaTheme="minorEastAsia"/>
          <w:kern w:val="0"/>
          <w:szCs w:val="21"/>
        </w:rPr>
        <w:t xml:space="preserve">(QDII) </w:t>
      </w:r>
      <w:r w:rsidRPr="00C24ACA">
        <w:rPr>
          <w:rFonts w:eastAsiaTheme="minorEastAsia"/>
          <w:kern w:val="0"/>
          <w:szCs w:val="21"/>
        </w:rPr>
        <w:t>基金合同》和财务报表附注所列示的中国证监会、中国基金业协会发布的有关规定及允许的基金行业实务操作编制。本财务报表以持续经营为基础编制。</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6.4.3</w:t>
      </w:r>
      <w:r w:rsidR="004F3E31" w:rsidRPr="00C24ACA">
        <w:rPr>
          <w:rFonts w:eastAsiaTheme="minorEastAsia"/>
          <w:b/>
          <w:bCs/>
          <w:color w:val="000000"/>
          <w:kern w:val="0"/>
          <w:szCs w:val="21"/>
        </w:rPr>
        <w:t xml:space="preserve"> </w:t>
      </w:r>
      <w:r w:rsidRPr="00C24ACA">
        <w:rPr>
          <w:rFonts w:eastAsiaTheme="minorEastAsia"/>
          <w:b/>
          <w:color w:val="000000"/>
          <w:kern w:val="0"/>
          <w:szCs w:val="21"/>
        </w:rPr>
        <w:t>遵循企业会计准则及其他有关规定的声明</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本财务报表符合企业会计准则的要求，真实、完整地反映了本基金本报告期末的财务状况以及本报告期间的经营成果和基金净值变动情况等有关信息。</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6.4.4</w:t>
      </w:r>
      <w:r w:rsidR="004F3E31" w:rsidRPr="00C24ACA">
        <w:rPr>
          <w:rFonts w:eastAsiaTheme="minorEastAsia"/>
          <w:b/>
          <w:bCs/>
          <w:color w:val="000000"/>
          <w:kern w:val="0"/>
          <w:szCs w:val="21"/>
        </w:rPr>
        <w:t xml:space="preserve"> </w:t>
      </w:r>
      <w:r w:rsidR="004F3E31" w:rsidRPr="00C24ACA">
        <w:rPr>
          <w:rFonts w:eastAsiaTheme="minorEastAsia"/>
          <w:b/>
          <w:kern w:val="0"/>
          <w:szCs w:val="21"/>
        </w:rPr>
        <w:t>本报告期所采用的会计政策、会计估计与最近一期年度报告相一致的说明</w:t>
      </w:r>
    </w:p>
    <w:p w:rsidR="006E59EA"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本报告期所采用的会计政策、会计估计与最近一期年度报告相一致。</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6.4.5</w:t>
      </w:r>
      <w:r w:rsidRPr="00C24ACA">
        <w:rPr>
          <w:rFonts w:eastAsiaTheme="minorEastAsia"/>
          <w:b/>
          <w:color w:val="000000"/>
          <w:kern w:val="0"/>
          <w:szCs w:val="21"/>
        </w:rPr>
        <w:t xml:space="preserve"> </w:t>
      </w:r>
      <w:r w:rsidRPr="00C24ACA">
        <w:rPr>
          <w:rFonts w:eastAsiaTheme="minorEastAsia"/>
          <w:b/>
          <w:color w:val="000000"/>
          <w:kern w:val="0"/>
          <w:szCs w:val="21"/>
        </w:rPr>
        <w:t>差错更正的说明</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本基金本报告期无会计差错更正。</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6.4.6</w:t>
      </w:r>
      <w:r w:rsidRPr="00C24ACA">
        <w:rPr>
          <w:rFonts w:eastAsiaTheme="minorEastAsia"/>
          <w:b/>
          <w:color w:val="000000"/>
          <w:kern w:val="0"/>
          <w:szCs w:val="21"/>
        </w:rPr>
        <w:t>税项</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根据财政部、国家税务总局财税</w:t>
      </w:r>
      <w:r>
        <w:rPr>
          <w:rFonts w:eastAsiaTheme="minorEastAsia"/>
          <w:kern w:val="0"/>
          <w:szCs w:val="21"/>
        </w:rPr>
        <w:t>[2002]128</w:t>
      </w:r>
      <w:r>
        <w:rPr>
          <w:rFonts w:eastAsiaTheme="minorEastAsia"/>
          <w:kern w:val="0"/>
          <w:szCs w:val="21"/>
        </w:rPr>
        <w:t>号《关于开放式证券投资基金有关税收问题的通知》、财税</w:t>
      </w:r>
      <w:r>
        <w:rPr>
          <w:rFonts w:eastAsiaTheme="minorEastAsia"/>
          <w:kern w:val="0"/>
          <w:szCs w:val="21"/>
        </w:rPr>
        <w:t>[2008]1</w:t>
      </w:r>
      <w:r>
        <w:rPr>
          <w:rFonts w:eastAsiaTheme="minorEastAsia"/>
          <w:kern w:val="0"/>
          <w:szCs w:val="21"/>
        </w:rPr>
        <w:t>号《关于企业所得税若干优惠政策的通知》、财税</w:t>
      </w:r>
      <w:r>
        <w:rPr>
          <w:rFonts w:eastAsiaTheme="minorEastAsia"/>
          <w:kern w:val="0"/>
          <w:szCs w:val="21"/>
        </w:rPr>
        <w:t>[2016]36</w:t>
      </w:r>
      <w:r>
        <w:rPr>
          <w:rFonts w:eastAsiaTheme="minorEastAsia"/>
          <w:kern w:val="0"/>
          <w:szCs w:val="21"/>
        </w:rPr>
        <w:t>号《关于全面推开营业税改征增值税试点的通知》、财税</w:t>
      </w:r>
      <w:r>
        <w:rPr>
          <w:rFonts w:eastAsiaTheme="minorEastAsia"/>
          <w:kern w:val="0"/>
          <w:szCs w:val="21"/>
        </w:rPr>
        <w:t>[2016]46</w:t>
      </w:r>
      <w:r>
        <w:rPr>
          <w:rFonts w:eastAsiaTheme="minorEastAsia"/>
          <w:kern w:val="0"/>
          <w:szCs w:val="21"/>
        </w:rPr>
        <w:t>号《关于进一步明确全面推开营改增试点金融业有关政策的通知》、财税</w:t>
      </w:r>
      <w:r>
        <w:rPr>
          <w:rFonts w:eastAsiaTheme="minorEastAsia"/>
          <w:kern w:val="0"/>
          <w:szCs w:val="21"/>
        </w:rPr>
        <w:t>[2016]70</w:t>
      </w:r>
      <w:r>
        <w:rPr>
          <w:rFonts w:eastAsiaTheme="minorEastAsia"/>
          <w:kern w:val="0"/>
          <w:szCs w:val="21"/>
        </w:rPr>
        <w:t>号《关于金融机构同业往来等增值税政策的补充通知》、财税</w:t>
      </w:r>
      <w:r>
        <w:rPr>
          <w:rFonts w:eastAsiaTheme="minorEastAsia"/>
          <w:kern w:val="0"/>
          <w:szCs w:val="21"/>
        </w:rPr>
        <w:t>[2016]140</w:t>
      </w:r>
      <w:r>
        <w:rPr>
          <w:rFonts w:eastAsiaTheme="minorEastAsia"/>
          <w:kern w:val="0"/>
          <w:szCs w:val="21"/>
        </w:rPr>
        <w:t>号《关于明确金融房地产开发教育辅助服务等增值税政策的通知》、财税</w:t>
      </w:r>
      <w:r>
        <w:rPr>
          <w:rFonts w:eastAsiaTheme="minorEastAsia"/>
          <w:kern w:val="0"/>
          <w:szCs w:val="21"/>
        </w:rPr>
        <w:t>[2017]2</w:t>
      </w:r>
      <w:r>
        <w:rPr>
          <w:rFonts w:eastAsiaTheme="minorEastAsia"/>
          <w:kern w:val="0"/>
          <w:szCs w:val="21"/>
        </w:rPr>
        <w:t>号《关于资管产品增值税政策有关问题的补充通知》、财税</w:t>
      </w:r>
      <w:r>
        <w:rPr>
          <w:rFonts w:eastAsiaTheme="minorEastAsia"/>
          <w:kern w:val="0"/>
          <w:szCs w:val="21"/>
        </w:rPr>
        <w:t>[2017]56</w:t>
      </w:r>
      <w:r>
        <w:rPr>
          <w:rFonts w:eastAsiaTheme="minorEastAsia"/>
          <w:kern w:val="0"/>
          <w:szCs w:val="21"/>
        </w:rPr>
        <w:t>号《关于资管产品增值税有关问题的通知》、财税</w:t>
      </w:r>
      <w:r>
        <w:rPr>
          <w:rFonts w:eastAsiaTheme="minorEastAsia"/>
          <w:kern w:val="0"/>
          <w:szCs w:val="21"/>
        </w:rPr>
        <w:t>[2017]90</w:t>
      </w:r>
      <w:r>
        <w:rPr>
          <w:rFonts w:eastAsiaTheme="minorEastAsia"/>
          <w:kern w:val="0"/>
          <w:szCs w:val="21"/>
        </w:rPr>
        <w:t>号《关于租入固定资产进项税额抵扣等增值税政策的通知》及其他相关境内外财税法规和实务操作，主要税项列示如下：</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资管产品运营过程中发生的增值税应税行为，以资管产品管理人为增值税纳税人。资管产品管理人运营资管产品过程中发生的增值税应税行为，暂适用简易计税方法，按照</w:t>
      </w:r>
      <w:r>
        <w:rPr>
          <w:rFonts w:eastAsiaTheme="minorEastAsia"/>
          <w:kern w:val="0"/>
          <w:szCs w:val="21"/>
        </w:rPr>
        <w:t>3%</w:t>
      </w:r>
      <w:r>
        <w:rPr>
          <w:rFonts w:eastAsiaTheme="minorEastAsia"/>
          <w:kern w:val="0"/>
          <w:szCs w:val="21"/>
        </w:rPr>
        <w:t>的征收率缴纳增值税。对资管产品在</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日前运营过程中发生的增值税应税行为，未缴纳增值税的，不再缴纳；已缴纳增值税的，已纳税额从资管产品管理人以后月份的增值税应纳税额中抵减。</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对证券投资基金管理人运用基金买卖股票、债券的转让收入免征增值税，对国债、地方政府债以及金融同业往来利息收入亦免征增值税。资管产品管理人运营资管产品提供的贷款服务，以</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日起产生的利息及利息性质的收入为销售额。资管产品管理人运营资管产品转让</w:t>
      </w:r>
      <w:r>
        <w:rPr>
          <w:rFonts w:eastAsiaTheme="minorEastAsia"/>
          <w:kern w:val="0"/>
          <w:szCs w:val="21"/>
        </w:rPr>
        <w:t>2017</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日前取得的基金、非货物期货，可以选择按照实际买入价计算销售额，或者以</w:t>
      </w:r>
      <w:r>
        <w:rPr>
          <w:rFonts w:eastAsiaTheme="minorEastAsia"/>
          <w:kern w:val="0"/>
          <w:szCs w:val="21"/>
        </w:rPr>
        <w:t xml:space="preserve"> 2017</w:t>
      </w:r>
      <w:r>
        <w:rPr>
          <w:rFonts w:eastAsiaTheme="minorEastAsia"/>
          <w:kern w:val="0"/>
          <w:szCs w:val="21"/>
        </w:rPr>
        <w:t>年最后一个交易日的基金份额净值、非货物期货结算价格作为买入价计算销售额。</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(2)  </w:t>
      </w:r>
      <w:r>
        <w:rPr>
          <w:rFonts w:eastAsiaTheme="minorEastAsia"/>
          <w:kern w:val="0"/>
          <w:szCs w:val="21"/>
        </w:rPr>
        <w:t>目前基金取得的源自境外的差价收入，其涉及的境外所得税税收政策，按照相关国家或地区税收法律和法规执行，在境内暂不征收企业所得税。</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(3) </w:t>
      </w:r>
      <w:r>
        <w:rPr>
          <w:rFonts w:eastAsiaTheme="minorEastAsia"/>
          <w:kern w:val="0"/>
          <w:szCs w:val="21"/>
        </w:rPr>
        <w:t>目前基金取得的源自境外的股利收益，其涉及的境外所得税税收政策，按照相关国家或地区税收法律和法规执行，在境内暂不征收个人所得税和企业所得税。</w:t>
      </w:r>
      <w:r>
        <w:rPr>
          <w:rFonts w:eastAsiaTheme="minorEastAsia"/>
          <w:kern w:val="0"/>
          <w:szCs w:val="21"/>
        </w:rPr>
        <w:t xml:space="preserve"> </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 xml:space="preserve">(4) </w:t>
      </w:r>
      <w:r w:rsidRPr="00C24ACA">
        <w:rPr>
          <w:rFonts w:eastAsiaTheme="minorEastAsia"/>
          <w:kern w:val="0"/>
          <w:szCs w:val="21"/>
        </w:rPr>
        <w:t>本基金的城市维护建设税、教育费附加和地方教育附加等税费按照实际缴纳增值税额的适用比例计算缴纳。</w:t>
      </w:r>
      <w:r w:rsidRPr="00C24ACA">
        <w:rPr>
          <w:rFonts w:eastAsiaTheme="minorEastAsia"/>
          <w:kern w:val="0"/>
          <w:szCs w:val="21"/>
        </w:rPr>
        <w:t xml:space="preserve"> </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6.4.7</w:t>
      </w:r>
      <w:r w:rsidRPr="00C24ACA">
        <w:rPr>
          <w:rFonts w:eastAsiaTheme="minorEastAsia"/>
          <w:b/>
          <w:color w:val="000000"/>
          <w:kern w:val="0"/>
          <w:szCs w:val="21"/>
        </w:rPr>
        <w:t>重要财务报表项目的说明</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6.4.7.1</w:t>
      </w:r>
      <w:r w:rsidRPr="00C24ACA">
        <w:rPr>
          <w:rFonts w:eastAsiaTheme="minorEastAsia"/>
          <w:b/>
          <w:color w:val="000000"/>
          <w:szCs w:val="21"/>
        </w:rPr>
        <w:t>银行存款</w:t>
      </w:r>
    </w:p>
    <w:p w:rsidR="00FB3D98" w:rsidRDefault="00FB3D98" w:rsidP="00FB3D9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FB3D98" w:rsidTr="00AD6EE3">
        <w:trPr>
          <w:trHeight w:val="345"/>
          <w:jc w:val="center"/>
        </w:trPr>
        <w:tc>
          <w:tcPr>
            <w:tcW w:w="3766" w:type="dxa"/>
            <w:tcMar>
              <w:top w:w="15" w:type="dxa"/>
              <w:left w:w="15" w:type="dxa"/>
              <w:bottom w:w="0" w:type="dxa"/>
              <w:right w:w="15" w:type="dxa"/>
            </w:tcMar>
            <w:vAlign w:val="center"/>
            <w:hideMark/>
          </w:tcPr>
          <w:p w:rsidR="00FB3D98" w:rsidRDefault="00FB3D9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FB3D98" w:rsidRDefault="00FB3D98">
            <w:pPr>
              <w:jc w:val="center"/>
              <w:rPr>
                <w:kern w:val="0"/>
                <w:szCs w:val="21"/>
              </w:rPr>
            </w:pPr>
            <w:r>
              <w:rPr>
                <w:rFonts w:hAnsi="宋体" w:hint="eastAsia"/>
                <w:kern w:val="0"/>
                <w:szCs w:val="21"/>
              </w:rPr>
              <w:t>本期末</w:t>
            </w:r>
          </w:p>
          <w:p w:rsidR="00FB3D98" w:rsidRDefault="00FB3D9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26,262,477.20</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26,262,477.20</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6.4.7.2</w:t>
      </w:r>
      <w:r w:rsidRPr="00C24ACA">
        <w:rPr>
          <w:rFonts w:eastAsiaTheme="minorEastAsia"/>
          <w:b/>
          <w:color w:val="000000"/>
          <w:szCs w:val="21"/>
        </w:rPr>
        <w:t>交易性金融资产</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bCs/>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8A5A5D" w:rsidRPr="00C24ACA" w:rsidTr="00614C5C">
        <w:trPr>
          <w:trHeight w:val="255"/>
        </w:trPr>
        <w:tc>
          <w:tcPr>
            <w:tcW w:w="2268" w:type="dxa"/>
            <w:gridSpan w:val="2"/>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项目</w:t>
            </w:r>
          </w:p>
        </w:tc>
        <w:tc>
          <w:tcPr>
            <w:tcW w:w="7018" w:type="dxa"/>
            <w:gridSpan w:val="3"/>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本期末</w:t>
            </w:r>
          </w:p>
          <w:p w:rsidR="008A5A5D" w:rsidRPr="00C24ACA" w:rsidRDefault="00AC4A34" w:rsidP="004A4847">
            <w:pPr>
              <w:jc w:val="center"/>
              <w:rPr>
                <w:rFonts w:eastAsiaTheme="minorEastAsia"/>
                <w:color w:val="000000"/>
                <w:kern w:val="0"/>
                <w:szCs w:val="21"/>
              </w:rPr>
            </w:pPr>
            <w:r w:rsidRPr="00C24ACA">
              <w:rPr>
                <w:rFonts w:eastAsiaTheme="minorEastAsia"/>
                <w:color w:val="000000"/>
                <w:kern w:val="0"/>
                <w:szCs w:val="21"/>
              </w:rPr>
              <w:t>2020</w:t>
            </w:r>
            <w:r w:rsidRPr="00C24ACA">
              <w:rPr>
                <w:rFonts w:eastAsiaTheme="minorEastAsia"/>
                <w:color w:val="000000"/>
                <w:kern w:val="0"/>
                <w:szCs w:val="21"/>
              </w:rPr>
              <w:t>年</w:t>
            </w:r>
            <w:r w:rsidRPr="00C24ACA">
              <w:rPr>
                <w:rFonts w:eastAsiaTheme="minorEastAsia"/>
                <w:color w:val="000000"/>
                <w:kern w:val="0"/>
                <w:szCs w:val="21"/>
              </w:rPr>
              <w:t>6</w:t>
            </w:r>
            <w:r w:rsidRPr="00C24ACA">
              <w:rPr>
                <w:rFonts w:eastAsiaTheme="minorEastAsia"/>
                <w:color w:val="000000"/>
                <w:kern w:val="0"/>
                <w:szCs w:val="21"/>
              </w:rPr>
              <w:t>月</w:t>
            </w:r>
            <w:r w:rsidRPr="00C24ACA">
              <w:rPr>
                <w:rFonts w:eastAsiaTheme="minorEastAsia"/>
                <w:color w:val="000000"/>
                <w:kern w:val="0"/>
                <w:szCs w:val="21"/>
              </w:rPr>
              <w:t>30</w:t>
            </w:r>
            <w:r w:rsidRPr="00C24ACA">
              <w:rPr>
                <w:rFonts w:eastAsiaTheme="minorEastAsia"/>
                <w:color w:val="000000"/>
                <w:kern w:val="0"/>
                <w:szCs w:val="21"/>
              </w:rPr>
              <w:t>日</w:t>
            </w:r>
          </w:p>
        </w:tc>
      </w:tr>
      <w:tr w:rsidR="008A5A5D" w:rsidRPr="00C24ACA" w:rsidTr="00614C5C">
        <w:trPr>
          <w:trHeight w:val="270"/>
        </w:trPr>
        <w:tc>
          <w:tcPr>
            <w:tcW w:w="2268" w:type="dxa"/>
            <w:gridSpan w:val="2"/>
            <w:vMerge/>
            <w:vAlign w:val="center"/>
          </w:tcPr>
          <w:p w:rsidR="008A5A5D" w:rsidRPr="00C24ACA" w:rsidRDefault="008A5A5D" w:rsidP="004A4847">
            <w:pPr>
              <w:widowControl/>
              <w:jc w:val="left"/>
              <w:rPr>
                <w:rFonts w:eastAsiaTheme="minorEastAsia"/>
                <w:color w:val="000000"/>
                <w:kern w:val="0"/>
                <w:szCs w:val="21"/>
              </w:rPr>
            </w:pP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成本</w:t>
            </w: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w:t>
            </w:r>
          </w:p>
        </w:tc>
        <w:tc>
          <w:tcPr>
            <w:tcW w:w="234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公允价值变动</w:t>
            </w:r>
          </w:p>
        </w:tc>
      </w:tr>
      <w:tr w:rsidR="008A5A5D" w:rsidRPr="00C24ACA" w:rsidTr="00614C5C">
        <w:trPr>
          <w:trHeight w:val="270"/>
        </w:trPr>
        <w:tc>
          <w:tcPr>
            <w:tcW w:w="2268" w:type="dxa"/>
            <w:gridSpan w:val="2"/>
            <w:vAlign w:val="center"/>
          </w:tcPr>
          <w:p w:rsidR="008A5A5D" w:rsidRPr="00C24ACA" w:rsidRDefault="008A5A5D" w:rsidP="004A4847">
            <w:pPr>
              <w:widowControl/>
              <w:rPr>
                <w:rFonts w:eastAsiaTheme="minorEastAsia"/>
                <w:color w:val="000000"/>
                <w:kern w:val="0"/>
                <w:szCs w:val="21"/>
              </w:rPr>
            </w:pPr>
            <w:r w:rsidRPr="00C24ACA">
              <w:rPr>
                <w:rFonts w:eastAsiaTheme="minorEastAsia"/>
                <w:color w:val="000000"/>
                <w:kern w:val="0"/>
                <w:szCs w:val="21"/>
              </w:rPr>
              <w:t>股票</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270"/>
        </w:trPr>
        <w:tc>
          <w:tcPr>
            <w:tcW w:w="2268" w:type="dxa"/>
            <w:gridSpan w:val="2"/>
            <w:vAlign w:val="center"/>
          </w:tcPr>
          <w:p w:rsidR="00614C5C" w:rsidRPr="00224952" w:rsidRDefault="00614C5C" w:rsidP="00614C5C">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40"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r>
      <w:tr w:rsidR="00614C5C" w:rsidRPr="00C24ACA" w:rsidTr="00614C5C">
        <w:trPr>
          <w:trHeight w:val="285"/>
        </w:trPr>
        <w:tc>
          <w:tcPr>
            <w:tcW w:w="828" w:type="dxa"/>
            <w:vMerge w:val="restart"/>
            <w:vAlign w:val="center"/>
          </w:tcPr>
          <w:p w:rsidR="00614C5C" w:rsidRPr="00C24ACA" w:rsidRDefault="00614C5C" w:rsidP="00614C5C">
            <w:pPr>
              <w:jc w:val="center"/>
              <w:rPr>
                <w:rFonts w:eastAsiaTheme="minorEastAsia"/>
                <w:color w:val="000000"/>
                <w:kern w:val="0"/>
                <w:szCs w:val="21"/>
              </w:rPr>
            </w:pPr>
            <w:r w:rsidRPr="00C24ACA">
              <w:rPr>
                <w:rFonts w:eastAsiaTheme="minorEastAsia"/>
                <w:color w:val="000000"/>
                <w:kern w:val="0"/>
                <w:szCs w:val="21"/>
              </w:rPr>
              <w:t>债券</w:t>
            </w:r>
          </w:p>
        </w:tc>
        <w:tc>
          <w:tcPr>
            <w:tcW w:w="1440" w:type="dxa"/>
            <w:vAlign w:val="center"/>
          </w:tcPr>
          <w:p w:rsidR="00614C5C" w:rsidRPr="00C24ACA" w:rsidRDefault="00614C5C" w:rsidP="00614C5C">
            <w:pPr>
              <w:jc w:val="left"/>
              <w:rPr>
                <w:rFonts w:eastAsiaTheme="minorEastAsia"/>
                <w:color w:val="000000"/>
                <w:kern w:val="0"/>
                <w:szCs w:val="21"/>
              </w:rPr>
            </w:pPr>
            <w:r w:rsidRPr="00C24ACA">
              <w:rPr>
                <w:rFonts w:eastAsiaTheme="minorEastAsia"/>
                <w:color w:val="000000"/>
                <w:kern w:val="0"/>
                <w:szCs w:val="21"/>
              </w:rPr>
              <w:t>交易所市场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jc w:val="left"/>
              <w:rPr>
                <w:rFonts w:eastAsiaTheme="minorEastAsia"/>
                <w:color w:val="000000"/>
                <w:kern w:val="0"/>
                <w:szCs w:val="21"/>
              </w:rPr>
            </w:pPr>
            <w:r w:rsidRPr="00C24ACA">
              <w:rPr>
                <w:rFonts w:eastAsiaTheme="minorEastAsia"/>
                <w:color w:val="000000"/>
                <w:kern w:val="0"/>
                <w:szCs w:val="21"/>
              </w:rPr>
              <w:t>银行间市场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8E5B30">
        <w:tc>
          <w:tcPr>
            <w:tcW w:w="828" w:type="dxa"/>
            <w:vMerge/>
          </w:tcPr>
          <w:p w:rsidR="008E5B30" w:rsidRDefault="008E5B30"/>
        </w:tc>
        <w:tc>
          <w:tcPr>
            <w:tcW w:w="1440" w:type="dxa"/>
            <w:vAlign w:val="center"/>
          </w:tcPr>
          <w:p w:rsidR="008E5B30" w:rsidRDefault="00013397">
            <w:pPr>
              <w:jc w:val="left"/>
            </w:pPr>
            <w:r>
              <w:rPr>
                <w:rFonts w:eastAsiaTheme="minorEastAsia"/>
                <w:color w:val="000000"/>
                <w:kern w:val="0"/>
                <w:szCs w:val="21"/>
              </w:rPr>
              <w:t>柜台交易市场</w:t>
            </w:r>
          </w:p>
        </w:tc>
        <w:tc>
          <w:tcPr>
            <w:tcW w:w="2339" w:type="dxa"/>
            <w:vAlign w:val="center"/>
          </w:tcPr>
          <w:p w:rsidR="008E5B30" w:rsidRDefault="00013397">
            <w:pPr>
              <w:jc w:val="right"/>
            </w:pPr>
            <w:r>
              <w:rPr>
                <w:rFonts w:eastAsiaTheme="minorEastAsia"/>
                <w:color w:val="000000"/>
                <w:kern w:val="0"/>
                <w:szCs w:val="21"/>
              </w:rPr>
              <w:t>487,878,832.48</w:t>
            </w:r>
          </w:p>
        </w:tc>
        <w:tc>
          <w:tcPr>
            <w:tcW w:w="2339" w:type="dxa"/>
            <w:vAlign w:val="center"/>
          </w:tcPr>
          <w:p w:rsidR="008E5B30" w:rsidRDefault="00013397">
            <w:pPr>
              <w:jc w:val="right"/>
            </w:pPr>
            <w:r>
              <w:rPr>
                <w:rFonts w:eastAsiaTheme="minorEastAsia"/>
                <w:color w:val="000000"/>
                <w:kern w:val="0"/>
                <w:szCs w:val="21"/>
              </w:rPr>
              <w:t>494,648,669.62</w:t>
            </w:r>
          </w:p>
        </w:tc>
        <w:tc>
          <w:tcPr>
            <w:tcW w:w="2340" w:type="dxa"/>
            <w:vAlign w:val="center"/>
          </w:tcPr>
          <w:p w:rsidR="008E5B30" w:rsidRDefault="00013397">
            <w:pPr>
              <w:jc w:val="right"/>
            </w:pPr>
            <w:r>
              <w:rPr>
                <w:rFonts w:eastAsiaTheme="minorEastAsia"/>
                <w:color w:val="000000"/>
                <w:kern w:val="0"/>
                <w:szCs w:val="21"/>
              </w:rPr>
              <w:t>6,769,837.14</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合计</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487,878,832.48</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494,648,669.62</w:t>
            </w:r>
          </w:p>
        </w:tc>
        <w:tc>
          <w:tcPr>
            <w:tcW w:w="2340"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6,769,837.14</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资产支持证券</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基金</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其他</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jc w:val="center"/>
              <w:rPr>
                <w:rFonts w:eastAsiaTheme="minorEastAsia"/>
                <w:color w:val="000000"/>
                <w:kern w:val="0"/>
                <w:szCs w:val="21"/>
              </w:rPr>
            </w:pPr>
            <w:r w:rsidRPr="00C24ACA">
              <w:rPr>
                <w:rFonts w:eastAsiaTheme="minorEastAsia"/>
                <w:color w:val="000000"/>
                <w:kern w:val="0"/>
                <w:szCs w:val="21"/>
              </w:rPr>
              <w:t>合计</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487,878,832.48</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494,648,669.62</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6,769,837.14</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w:t>
      </w:r>
      <w:r w:rsidRPr="00C24ACA">
        <w:rPr>
          <w:rFonts w:eastAsiaTheme="minorEastAsia"/>
          <w:kern w:val="0"/>
          <w:szCs w:val="21"/>
        </w:rPr>
        <w:t>“</w:t>
      </w:r>
      <w:r w:rsidRPr="00C24ACA">
        <w:rPr>
          <w:rFonts w:eastAsiaTheme="minorEastAsia"/>
          <w:kern w:val="0"/>
          <w:szCs w:val="21"/>
        </w:rPr>
        <w:t>股票</w:t>
      </w:r>
      <w:r w:rsidRPr="00C24ACA">
        <w:rPr>
          <w:rFonts w:eastAsiaTheme="minorEastAsia"/>
          <w:kern w:val="0"/>
          <w:szCs w:val="21"/>
        </w:rPr>
        <w:t>”</w:t>
      </w:r>
      <w:r w:rsidRPr="00C24ACA">
        <w:rPr>
          <w:rFonts w:eastAsiaTheme="minorEastAsia"/>
          <w:kern w:val="0"/>
          <w:szCs w:val="21"/>
        </w:rPr>
        <w:t>包括普通股、存托凭证和优先股等。</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6.4.7.3</w:t>
      </w:r>
      <w:r w:rsidRPr="00C24ACA">
        <w:rPr>
          <w:rFonts w:eastAsiaTheme="minorEastAsia"/>
          <w:b/>
          <w:color w:val="000000"/>
          <w:szCs w:val="21"/>
        </w:rPr>
        <w:t>衍生金融资产</w:t>
      </w:r>
      <w:r w:rsidRPr="00C24ACA">
        <w:rPr>
          <w:rFonts w:eastAsiaTheme="minorEastAsia"/>
          <w:b/>
          <w:color w:val="000000"/>
          <w:szCs w:val="21"/>
        </w:rPr>
        <w:t>/</w:t>
      </w:r>
      <w:r w:rsidRPr="00C24ACA">
        <w:rPr>
          <w:rFonts w:eastAsiaTheme="minorEastAsia"/>
          <w:b/>
          <w:color w:val="000000"/>
          <w:szCs w:val="21"/>
        </w:rPr>
        <w:t>负债</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本基金本报告期末无衍生金融资产</w:t>
      </w:r>
      <w:r w:rsidRPr="00C24ACA">
        <w:rPr>
          <w:rFonts w:eastAsiaTheme="minorEastAsia"/>
          <w:kern w:val="0"/>
          <w:szCs w:val="21"/>
        </w:rPr>
        <w:t>/</w:t>
      </w:r>
      <w:r w:rsidRPr="00C24ACA">
        <w:rPr>
          <w:rFonts w:eastAsiaTheme="minorEastAsia"/>
          <w:kern w:val="0"/>
          <w:szCs w:val="21"/>
        </w:rPr>
        <w:t>负债。</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6.4.7.4</w:t>
      </w:r>
      <w:r w:rsidRPr="00C24ACA">
        <w:rPr>
          <w:rFonts w:eastAsiaTheme="minorEastAsia"/>
          <w:b/>
          <w:color w:val="000000"/>
          <w:szCs w:val="21"/>
        </w:rPr>
        <w:t>买入返售金融资产</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6.4.7.4.1</w:t>
      </w:r>
      <w:r w:rsidRPr="00C24ACA">
        <w:rPr>
          <w:rFonts w:eastAsiaTheme="minorEastAsia"/>
          <w:b/>
          <w:color w:val="000000"/>
          <w:szCs w:val="21"/>
        </w:rPr>
        <w:t>各项买入返售金融资产期末余额</w:t>
      </w:r>
    </w:p>
    <w:p w:rsidR="00245F01" w:rsidRDefault="00245F01" w:rsidP="00245F01">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6.4.7.4.2</w:t>
      </w:r>
      <w:r w:rsidRPr="00C24ACA">
        <w:rPr>
          <w:rFonts w:eastAsiaTheme="minorEastAsia"/>
          <w:b/>
          <w:color w:val="000000"/>
          <w:szCs w:val="21"/>
        </w:rPr>
        <w:t>期末买断式逆回购交易中取得的债券</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本基金本报告期末无买断式逆回购交易中取得的债券。</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6.4.7.5</w:t>
      </w:r>
      <w:r w:rsidRPr="00C24ACA">
        <w:rPr>
          <w:rFonts w:eastAsiaTheme="minorEastAsia"/>
          <w:b/>
          <w:color w:val="000000"/>
          <w:szCs w:val="21"/>
        </w:rPr>
        <w:t>应收利息</w:t>
      </w:r>
    </w:p>
    <w:p w:rsidR="008D191C" w:rsidRDefault="008D191C" w:rsidP="008D191C">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8D191C" w:rsidTr="00AD6EE3">
        <w:trPr>
          <w:trHeight w:val="330"/>
        </w:trPr>
        <w:tc>
          <w:tcPr>
            <w:tcW w:w="3701" w:type="dxa"/>
            <w:vAlign w:val="center"/>
            <w:hideMark/>
          </w:tcPr>
          <w:p w:rsidR="008D191C" w:rsidRDefault="008D191C">
            <w:pPr>
              <w:jc w:val="center"/>
              <w:rPr>
                <w:szCs w:val="21"/>
              </w:rPr>
            </w:pPr>
            <w:r>
              <w:rPr>
                <w:rFonts w:hint="eastAsia"/>
                <w:szCs w:val="21"/>
              </w:rPr>
              <w:t>项目</w:t>
            </w:r>
          </w:p>
        </w:tc>
        <w:tc>
          <w:tcPr>
            <w:tcW w:w="5528" w:type="dxa"/>
            <w:vAlign w:val="center"/>
            <w:hideMark/>
          </w:tcPr>
          <w:p w:rsidR="008D191C" w:rsidRDefault="008D191C">
            <w:pPr>
              <w:jc w:val="center"/>
              <w:rPr>
                <w:kern w:val="0"/>
                <w:szCs w:val="21"/>
              </w:rPr>
            </w:pPr>
            <w:r>
              <w:rPr>
                <w:rFonts w:hint="eastAsia"/>
                <w:kern w:val="0"/>
                <w:szCs w:val="21"/>
              </w:rPr>
              <w:t>本期末</w:t>
            </w:r>
          </w:p>
          <w:p w:rsidR="008D191C" w:rsidRDefault="008D191C">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8D191C" w:rsidTr="00AD6EE3">
        <w:trPr>
          <w:trHeight w:val="257"/>
        </w:trPr>
        <w:tc>
          <w:tcPr>
            <w:tcW w:w="3701" w:type="dxa"/>
            <w:vAlign w:val="center"/>
            <w:hideMark/>
          </w:tcPr>
          <w:p w:rsidR="008D191C" w:rsidRDefault="008D191C">
            <w:pPr>
              <w:rPr>
                <w:szCs w:val="21"/>
              </w:rPr>
            </w:pPr>
            <w:r>
              <w:rPr>
                <w:rFonts w:hint="eastAsia"/>
                <w:szCs w:val="21"/>
              </w:rPr>
              <w:t>应收活期存款利息</w:t>
            </w:r>
          </w:p>
        </w:tc>
        <w:tc>
          <w:tcPr>
            <w:tcW w:w="5528" w:type="dxa"/>
            <w:vAlign w:val="center"/>
            <w:hideMark/>
          </w:tcPr>
          <w:p w:rsidR="008D191C" w:rsidRDefault="008D191C">
            <w:pPr>
              <w:jc w:val="right"/>
              <w:rPr>
                <w:szCs w:val="21"/>
              </w:rPr>
            </w:pPr>
            <w:r>
              <w:rPr>
                <w:szCs w:val="21"/>
              </w:rPr>
              <w:t>92.71</w:t>
            </w:r>
          </w:p>
        </w:tc>
      </w:tr>
      <w:tr w:rsidR="008D191C" w:rsidTr="00AD6EE3">
        <w:trPr>
          <w:trHeight w:val="223"/>
        </w:trPr>
        <w:tc>
          <w:tcPr>
            <w:tcW w:w="3701" w:type="dxa"/>
            <w:vAlign w:val="center"/>
            <w:hideMark/>
          </w:tcPr>
          <w:p w:rsidR="008D191C" w:rsidRDefault="008D191C">
            <w:pPr>
              <w:rPr>
                <w:szCs w:val="21"/>
              </w:rPr>
            </w:pPr>
            <w:r>
              <w:rPr>
                <w:rFonts w:hint="eastAsia"/>
                <w:szCs w:val="21"/>
              </w:rPr>
              <w:t>应收定期存款利息</w:t>
            </w:r>
          </w:p>
        </w:tc>
        <w:tc>
          <w:tcPr>
            <w:tcW w:w="5528" w:type="dxa"/>
            <w:vAlign w:val="center"/>
            <w:hideMark/>
          </w:tcPr>
          <w:p w:rsidR="008D191C" w:rsidRDefault="008D191C">
            <w:pPr>
              <w:jc w:val="right"/>
              <w:rPr>
                <w:szCs w:val="21"/>
              </w:rPr>
            </w:pPr>
            <w:r>
              <w:rPr>
                <w:szCs w:val="21"/>
              </w:rPr>
              <w:t>-</w:t>
            </w:r>
          </w:p>
        </w:tc>
      </w:tr>
      <w:tr w:rsidR="008D191C" w:rsidTr="00AD6EE3">
        <w:trPr>
          <w:trHeight w:val="223"/>
        </w:trPr>
        <w:tc>
          <w:tcPr>
            <w:tcW w:w="3701" w:type="dxa"/>
            <w:vAlign w:val="center"/>
            <w:hideMark/>
          </w:tcPr>
          <w:p w:rsidR="008D191C" w:rsidRDefault="008D191C">
            <w:pPr>
              <w:rPr>
                <w:szCs w:val="21"/>
              </w:rPr>
            </w:pPr>
            <w:r>
              <w:rPr>
                <w:rFonts w:hint="eastAsia"/>
                <w:szCs w:val="21"/>
              </w:rPr>
              <w:t>应收其他存款利息</w:t>
            </w:r>
          </w:p>
        </w:tc>
        <w:tc>
          <w:tcPr>
            <w:tcW w:w="5528" w:type="dxa"/>
            <w:vAlign w:val="center"/>
            <w:hideMark/>
          </w:tcPr>
          <w:p w:rsidR="008D191C" w:rsidRDefault="008D191C">
            <w:pPr>
              <w:jc w:val="right"/>
              <w:rPr>
                <w:szCs w:val="21"/>
              </w:rPr>
            </w:pPr>
            <w:r>
              <w:rPr>
                <w:szCs w:val="21"/>
              </w:rPr>
              <w:t>-</w:t>
            </w:r>
          </w:p>
        </w:tc>
      </w:tr>
      <w:tr w:rsidR="008D191C" w:rsidTr="00AD6EE3">
        <w:trPr>
          <w:trHeight w:val="223"/>
        </w:trPr>
        <w:tc>
          <w:tcPr>
            <w:tcW w:w="3701" w:type="dxa"/>
            <w:vAlign w:val="center"/>
            <w:hideMark/>
          </w:tcPr>
          <w:p w:rsidR="008D191C" w:rsidRDefault="008D191C">
            <w:pPr>
              <w:rPr>
                <w:szCs w:val="21"/>
              </w:rPr>
            </w:pPr>
            <w:r>
              <w:rPr>
                <w:rFonts w:hint="eastAsia"/>
                <w:szCs w:val="21"/>
              </w:rPr>
              <w:t>应收结算备付金利息</w:t>
            </w:r>
          </w:p>
        </w:tc>
        <w:tc>
          <w:tcPr>
            <w:tcW w:w="5528" w:type="dxa"/>
            <w:vAlign w:val="center"/>
            <w:hideMark/>
          </w:tcPr>
          <w:p w:rsidR="008D191C" w:rsidRDefault="008D191C">
            <w:pPr>
              <w:jc w:val="right"/>
              <w:rPr>
                <w:szCs w:val="21"/>
              </w:rPr>
            </w:pPr>
            <w:r>
              <w:rPr>
                <w:szCs w:val="21"/>
              </w:rPr>
              <w:t>-</w:t>
            </w:r>
          </w:p>
        </w:tc>
      </w:tr>
      <w:tr w:rsidR="008D191C" w:rsidTr="00AD6EE3">
        <w:trPr>
          <w:trHeight w:val="269"/>
        </w:trPr>
        <w:tc>
          <w:tcPr>
            <w:tcW w:w="3701" w:type="dxa"/>
            <w:vAlign w:val="center"/>
            <w:hideMark/>
          </w:tcPr>
          <w:p w:rsidR="008D191C" w:rsidRDefault="008D191C">
            <w:pPr>
              <w:rPr>
                <w:szCs w:val="21"/>
              </w:rPr>
            </w:pPr>
            <w:r>
              <w:rPr>
                <w:rFonts w:hint="eastAsia"/>
                <w:szCs w:val="21"/>
              </w:rPr>
              <w:t>应收债券利息</w:t>
            </w:r>
          </w:p>
        </w:tc>
        <w:tc>
          <w:tcPr>
            <w:tcW w:w="5528" w:type="dxa"/>
            <w:vAlign w:val="center"/>
            <w:hideMark/>
          </w:tcPr>
          <w:p w:rsidR="008D191C" w:rsidRDefault="008D191C">
            <w:pPr>
              <w:jc w:val="right"/>
              <w:rPr>
                <w:szCs w:val="21"/>
              </w:rPr>
            </w:pPr>
            <w:r>
              <w:rPr>
                <w:szCs w:val="21"/>
              </w:rPr>
              <w:t>5,921,053.16</w:t>
            </w:r>
          </w:p>
        </w:tc>
      </w:tr>
      <w:tr w:rsidR="008D191C" w:rsidTr="00AD6EE3">
        <w:trPr>
          <w:trHeight w:val="287"/>
        </w:trPr>
        <w:tc>
          <w:tcPr>
            <w:tcW w:w="3701" w:type="dxa"/>
            <w:vAlign w:val="bottom"/>
            <w:hideMark/>
          </w:tcPr>
          <w:p w:rsidR="008D191C" w:rsidRDefault="008D191C">
            <w:pPr>
              <w:rPr>
                <w:rFonts w:eastAsiaTheme="minorEastAsia"/>
                <w:szCs w:val="21"/>
              </w:rPr>
            </w:pPr>
            <w:r>
              <w:rPr>
                <w:rFonts w:eastAsiaTheme="minorEastAsia" w:hint="eastAsia"/>
                <w:szCs w:val="21"/>
              </w:rPr>
              <w:t>应收资产支持证券利息</w:t>
            </w:r>
          </w:p>
        </w:tc>
        <w:tc>
          <w:tcPr>
            <w:tcW w:w="5528" w:type="dxa"/>
            <w:hideMark/>
          </w:tcPr>
          <w:p w:rsidR="008D191C" w:rsidRDefault="008D191C">
            <w:pPr>
              <w:jc w:val="right"/>
              <w:rPr>
                <w:rFonts w:eastAsiaTheme="minorEastAsia"/>
                <w:szCs w:val="21"/>
              </w:rPr>
            </w:pPr>
            <w:r>
              <w:rPr>
                <w:rFonts w:eastAsiaTheme="minorEastAsia"/>
                <w:szCs w:val="21"/>
              </w:rPr>
              <w:t>-</w:t>
            </w:r>
          </w:p>
        </w:tc>
      </w:tr>
      <w:tr w:rsidR="008D191C" w:rsidTr="00AD6EE3">
        <w:trPr>
          <w:trHeight w:val="287"/>
        </w:trPr>
        <w:tc>
          <w:tcPr>
            <w:tcW w:w="3701" w:type="dxa"/>
            <w:vAlign w:val="center"/>
            <w:hideMark/>
          </w:tcPr>
          <w:p w:rsidR="008D191C" w:rsidRDefault="008D191C">
            <w:pPr>
              <w:rPr>
                <w:szCs w:val="21"/>
              </w:rPr>
            </w:pPr>
            <w:r>
              <w:rPr>
                <w:rFonts w:hint="eastAsia"/>
                <w:szCs w:val="21"/>
              </w:rPr>
              <w:t>应收买入返售证券利息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应收申购款利息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应收黄金合约拆借孳息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其他</w:t>
            </w:r>
          </w:p>
        </w:tc>
        <w:tc>
          <w:tcPr>
            <w:tcW w:w="5528" w:type="dxa"/>
            <w:vAlign w:val="center"/>
            <w:hideMark/>
          </w:tcPr>
          <w:p w:rsidR="008D191C" w:rsidRDefault="008D191C">
            <w:pPr>
              <w:jc w:val="right"/>
              <w:rPr>
                <w:szCs w:val="21"/>
              </w:rPr>
            </w:pPr>
            <w:r>
              <w:rPr>
                <w:szCs w:val="21"/>
              </w:rPr>
              <w:t>-</w:t>
            </w:r>
          </w:p>
        </w:tc>
      </w:tr>
      <w:tr w:rsidR="008D191C" w:rsidTr="00AD6EE3">
        <w:trPr>
          <w:trHeight w:val="330"/>
        </w:trPr>
        <w:tc>
          <w:tcPr>
            <w:tcW w:w="3701" w:type="dxa"/>
            <w:vAlign w:val="center"/>
            <w:hideMark/>
          </w:tcPr>
          <w:p w:rsidR="008D191C" w:rsidRDefault="008D191C">
            <w:pPr>
              <w:jc w:val="center"/>
              <w:rPr>
                <w:szCs w:val="21"/>
              </w:rPr>
            </w:pPr>
            <w:r>
              <w:rPr>
                <w:rFonts w:hint="eastAsia"/>
                <w:szCs w:val="21"/>
              </w:rPr>
              <w:t>合计</w:t>
            </w:r>
          </w:p>
        </w:tc>
        <w:tc>
          <w:tcPr>
            <w:tcW w:w="5528" w:type="dxa"/>
            <w:vAlign w:val="center"/>
            <w:hideMark/>
          </w:tcPr>
          <w:p w:rsidR="008D191C" w:rsidRDefault="008D191C">
            <w:pPr>
              <w:jc w:val="right"/>
              <w:rPr>
                <w:szCs w:val="21"/>
              </w:rPr>
            </w:pPr>
            <w:r>
              <w:rPr>
                <w:szCs w:val="21"/>
              </w:rPr>
              <w:t>5,921,145.87</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6.4.7.6</w:t>
      </w:r>
      <w:r w:rsidRPr="00C24ACA">
        <w:rPr>
          <w:rFonts w:eastAsiaTheme="minorEastAsia"/>
          <w:b/>
          <w:color w:val="000000"/>
          <w:szCs w:val="21"/>
        </w:rPr>
        <w:t>其他资产</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本基金本报告期末无其他资产。</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6.4.7.7</w:t>
      </w:r>
      <w:r w:rsidRPr="00C24ACA">
        <w:rPr>
          <w:rFonts w:eastAsiaTheme="minorEastAsia"/>
          <w:b/>
          <w:color w:val="000000"/>
          <w:szCs w:val="21"/>
        </w:rPr>
        <w:t>应付交易费用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本基金本报告期末无应付交易费用。</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6.4.7.8</w:t>
      </w:r>
      <w:r w:rsidRPr="00C24ACA">
        <w:rPr>
          <w:rFonts w:eastAsiaTheme="minorEastAsia"/>
          <w:b/>
          <w:color w:val="000000"/>
          <w:szCs w:val="21"/>
        </w:rPr>
        <w:t>其他负债</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8A5A5D" w:rsidRPr="00C24ACA" w:rsidTr="00862636">
        <w:trPr>
          <w:trHeight w:val="330"/>
        </w:trPr>
        <w:tc>
          <w:tcPr>
            <w:tcW w:w="3701"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528" w:type="dxa"/>
            <w:vAlign w:val="center"/>
          </w:tcPr>
          <w:p w:rsidR="008A5A5D" w:rsidRPr="00C24ACA" w:rsidRDefault="008A5A5D" w:rsidP="004A4847">
            <w:pPr>
              <w:jc w:val="center"/>
              <w:rPr>
                <w:rFonts w:eastAsiaTheme="minorEastAsia"/>
                <w:kern w:val="0"/>
                <w:szCs w:val="21"/>
              </w:rPr>
            </w:pPr>
            <w:r w:rsidRPr="00C24ACA">
              <w:rPr>
                <w:rFonts w:eastAsiaTheme="minorEastAsia"/>
                <w:kern w:val="0"/>
                <w:szCs w:val="21"/>
              </w:rPr>
              <w:t>本期末</w:t>
            </w:r>
          </w:p>
          <w:p w:rsidR="008A5A5D" w:rsidRPr="00C24ACA" w:rsidRDefault="00AC4A34" w:rsidP="004A4847">
            <w:pPr>
              <w:jc w:val="center"/>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应付券商交易单元保证金</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应付赎回费</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35.11</w:t>
            </w:r>
          </w:p>
        </w:tc>
      </w:tr>
      <w:tr w:rsidR="008E5B30">
        <w:tc>
          <w:tcPr>
            <w:tcW w:w="3701" w:type="dxa"/>
            <w:vAlign w:val="center"/>
          </w:tcPr>
          <w:p w:rsidR="008E5B30" w:rsidRDefault="00013397">
            <w:pPr>
              <w:jc w:val="left"/>
            </w:pPr>
            <w:r>
              <w:rPr>
                <w:rFonts w:eastAsiaTheme="minorEastAsia"/>
                <w:szCs w:val="21"/>
              </w:rPr>
              <w:t>预提费用</w:t>
            </w:r>
          </w:p>
        </w:tc>
        <w:tc>
          <w:tcPr>
            <w:tcW w:w="5528" w:type="dxa"/>
            <w:vAlign w:val="center"/>
          </w:tcPr>
          <w:p w:rsidR="008E5B30" w:rsidRDefault="00013397">
            <w:pPr>
              <w:jc w:val="right"/>
            </w:pPr>
            <w:r>
              <w:rPr>
                <w:rFonts w:eastAsiaTheme="minorEastAsia"/>
                <w:szCs w:val="21"/>
              </w:rPr>
              <w:t>89,507.60</w:t>
            </w:r>
          </w:p>
        </w:tc>
      </w:tr>
      <w:tr w:rsidR="008A5A5D" w:rsidRPr="00C24ACA" w:rsidTr="00862636">
        <w:trPr>
          <w:trHeight w:val="325"/>
        </w:trPr>
        <w:tc>
          <w:tcPr>
            <w:tcW w:w="3701" w:type="dxa"/>
            <w:vAlign w:val="center"/>
          </w:tcPr>
          <w:p w:rsidR="008A5A5D" w:rsidRPr="00C24ACA" w:rsidRDefault="008A5A5D" w:rsidP="00052E9B">
            <w:pPr>
              <w:rPr>
                <w:rFonts w:eastAsiaTheme="minorEastAsia"/>
                <w:szCs w:val="21"/>
              </w:rPr>
            </w:pPr>
            <w:r w:rsidRPr="00C24ACA">
              <w:rPr>
                <w:rFonts w:eastAsiaTheme="minorEastAsia"/>
                <w:szCs w:val="21"/>
              </w:rPr>
              <w:t>合计</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89,542.71</w:t>
            </w:r>
          </w:p>
        </w:tc>
      </w:tr>
    </w:tbl>
    <w:p w:rsidR="00471935" w:rsidRDefault="008A5A5D" w:rsidP="00471935">
      <w:pPr>
        <w:spacing w:beforeLines="100" w:before="312" w:line="360" w:lineRule="auto"/>
        <w:rPr>
          <w:rFonts w:eastAsiaTheme="minorEastAsia"/>
          <w:b/>
          <w:color w:val="000000"/>
          <w:szCs w:val="21"/>
        </w:rPr>
      </w:pPr>
      <w:r w:rsidRPr="00C24ACA">
        <w:rPr>
          <w:rFonts w:eastAsiaTheme="minorEastAsia"/>
          <w:b/>
          <w:bCs/>
          <w:color w:val="000000"/>
          <w:kern w:val="0"/>
          <w:szCs w:val="21"/>
        </w:rPr>
        <w:t>6.4.7.9</w:t>
      </w:r>
      <w:r w:rsidRPr="00C24ACA">
        <w:rPr>
          <w:rFonts w:eastAsiaTheme="minorEastAsia"/>
          <w:b/>
          <w:color w:val="000000"/>
          <w:szCs w:val="21"/>
        </w:rPr>
        <w:t>实收基金</w:t>
      </w:r>
    </w:p>
    <w:p w:rsidR="00471935" w:rsidRPr="00896265" w:rsidRDefault="00471935" w:rsidP="00471935">
      <w:pPr>
        <w:adjustRightInd w:val="0"/>
        <w:snapToGrid w:val="0"/>
        <w:spacing w:line="360" w:lineRule="auto"/>
        <w:rPr>
          <w:rFonts w:eastAsiaTheme="minorEastAsia"/>
          <w:b/>
          <w:color w:val="000000"/>
          <w:szCs w:val="21"/>
        </w:rPr>
      </w:pPr>
      <w:r w:rsidRPr="00896265">
        <w:rPr>
          <w:rFonts w:eastAsiaTheme="minorEastAsia"/>
          <w:szCs w:val="21"/>
        </w:rPr>
        <w:t>易方达中短期美元债债券（</w:t>
      </w:r>
      <w:r w:rsidRPr="00896265">
        <w:rPr>
          <w:rFonts w:eastAsiaTheme="minorEastAsia"/>
          <w:szCs w:val="21"/>
        </w:rPr>
        <w:t>QDII</w:t>
      </w:r>
      <w:r w:rsidRPr="00896265">
        <w:rPr>
          <w:rFonts w:eastAsiaTheme="minorEastAsia"/>
          <w:szCs w:val="21"/>
        </w:rPr>
        <w:t>）</w:t>
      </w:r>
      <w:r w:rsidRPr="00896265">
        <w:rPr>
          <w:rFonts w:eastAsiaTheme="minorEastAsia"/>
          <w:szCs w:val="21"/>
        </w:rPr>
        <w:t>A</w:t>
      </w:r>
    </w:p>
    <w:p w:rsidR="00471935" w:rsidRPr="00C24ACA" w:rsidRDefault="00471935" w:rsidP="00471935">
      <w:pPr>
        <w:wordWrap w:val="0"/>
        <w:spacing w:line="360" w:lineRule="auto"/>
        <w:jc w:val="right"/>
        <w:rPr>
          <w:rFonts w:eastAsiaTheme="minorEastAsia"/>
          <w:szCs w:val="21"/>
        </w:rPr>
      </w:pPr>
      <w:r w:rsidRPr="00C24ACA">
        <w:rPr>
          <w:rFonts w:eastAsiaTheme="minorEastAsia"/>
          <w:szCs w:val="21"/>
        </w:rPr>
        <w:t>金额单位：人民币元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471935" w:rsidRPr="00C24ACA" w:rsidTr="00CC7CAD">
        <w:tc>
          <w:tcPr>
            <w:tcW w:w="3120" w:type="dxa"/>
            <w:vMerge w:val="restart"/>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471935" w:rsidRPr="00C24ACA" w:rsidRDefault="00471935" w:rsidP="00CC7CAD">
            <w:pPr>
              <w:spacing w:line="360" w:lineRule="auto"/>
              <w:jc w:val="center"/>
              <w:rPr>
                <w:rFonts w:eastAsiaTheme="minorEastAsia"/>
                <w:color w:val="000000"/>
                <w:szCs w:val="21"/>
              </w:rPr>
            </w:pPr>
            <w:r w:rsidRPr="00C24ACA">
              <w:rPr>
                <w:rFonts w:eastAsiaTheme="minorEastAsia"/>
                <w:color w:val="000000"/>
                <w:szCs w:val="21"/>
              </w:rPr>
              <w:t>本期</w:t>
            </w:r>
          </w:p>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471935" w:rsidRPr="00C24ACA" w:rsidTr="00CC7CAD">
        <w:tc>
          <w:tcPr>
            <w:tcW w:w="3120" w:type="dxa"/>
            <w:vMerge/>
            <w:vAlign w:val="center"/>
          </w:tcPr>
          <w:p w:rsidR="00471935" w:rsidRPr="00C24ACA" w:rsidRDefault="00471935" w:rsidP="00CC7CAD">
            <w:pPr>
              <w:widowControl/>
              <w:spacing w:line="360" w:lineRule="auto"/>
              <w:jc w:val="left"/>
              <w:rPr>
                <w:rFonts w:eastAsiaTheme="minorEastAsia"/>
                <w:color w:val="000000"/>
                <w:szCs w:val="21"/>
              </w:rPr>
            </w:pP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447,549,649.63</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447,549,649.63</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70,086,526.12</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70,086,526.12</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-186,705,062.41</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-186,705,062.41</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330,931,113.34</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330,931,113.34</w:t>
            </w:r>
          </w:p>
        </w:tc>
      </w:tr>
    </w:tbl>
    <w:p w:rsidR="00471935" w:rsidRPr="00896265" w:rsidRDefault="00471935" w:rsidP="00471935">
      <w:pPr>
        <w:adjustRightInd w:val="0"/>
        <w:snapToGrid w:val="0"/>
        <w:spacing w:line="360" w:lineRule="auto"/>
        <w:rPr>
          <w:rFonts w:eastAsiaTheme="minorEastAsia"/>
          <w:szCs w:val="21"/>
        </w:rPr>
      </w:pPr>
      <w:r w:rsidRPr="00896265">
        <w:rPr>
          <w:rFonts w:eastAsiaTheme="minorEastAsia"/>
          <w:szCs w:val="21"/>
        </w:rPr>
        <w:t>易方达中短期美元债债券（</w:t>
      </w:r>
      <w:r w:rsidRPr="00896265">
        <w:rPr>
          <w:rFonts w:eastAsiaTheme="minorEastAsia"/>
          <w:szCs w:val="21"/>
        </w:rPr>
        <w:t>QDII</w:t>
      </w:r>
      <w:r w:rsidRPr="00896265">
        <w:rPr>
          <w:rFonts w:eastAsiaTheme="minorEastAsia"/>
          <w:szCs w:val="21"/>
        </w:rPr>
        <w:t>）</w:t>
      </w:r>
      <w:r w:rsidRPr="00896265">
        <w:rPr>
          <w:rFonts w:eastAsiaTheme="minorEastAsia"/>
          <w:szCs w:val="21"/>
        </w:rPr>
        <w:t>C</w:t>
      </w:r>
    </w:p>
    <w:p w:rsidR="00471935" w:rsidRPr="00C24ACA" w:rsidRDefault="00471935" w:rsidP="00471935">
      <w:pPr>
        <w:adjustRightInd w:val="0"/>
        <w:snapToGrid w:val="0"/>
        <w:spacing w:line="360" w:lineRule="auto"/>
        <w:jc w:val="right"/>
        <w:rPr>
          <w:rFonts w:eastAsiaTheme="minorEastAsia"/>
          <w:color w:val="000000"/>
          <w:szCs w:val="21"/>
        </w:rPr>
      </w:pPr>
      <w:r w:rsidRPr="00C24ACA">
        <w:rPr>
          <w:rFonts w:eastAsiaTheme="minorEastAsia"/>
          <w:color w:val="000000"/>
          <w:szCs w:val="21"/>
        </w:rPr>
        <w:t>金额单位：人民币元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471935" w:rsidRPr="00C24ACA" w:rsidTr="00CC7CAD">
        <w:tc>
          <w:tcPr>
            <w:tcW w:w="3120" w:type="dxa"/>
            <w:vMerge w:val="restart"/>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本期</w:t>
            </w:r>
          </w:p>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471935" w:rsidRPr="00C24ACA" w:rsidTr="00CC7CAD">
        <w:tc>
          <w:tcPr>
            <w:tcW w:w="3120" w:type="dxa"/>
            <w:vMerge/>
            <w:vAlign w:val="center"/>
          </w:tcPr>
          <w:p w:rsidR="00471935" w:rsidRPr="00C24ACA" w:rsidRDefault="00471935" w:rsidP="00CC7CAD">
            <w:pPr>
              <w:widowControl/>
              <w:spacing w:line="360" w:lineRule="auto"/>
              <w:jc w:val="left"/>
              <w:rPr>
                <w:rFonts w:eastAsiaTheme="minorEastAsia"/>
                <w:color w:val="000000"/>
                <w:szCs w:val="21"/>
              </w:rPr>
            </w:pP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245,458,331.64</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245,458,331.64</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55,271,891.28</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55,271,891.28</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-141,637,184.02</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-141,637,184.02</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159,093,038.90</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159,093,038.90</w:t>
            </w:r>
          </w:p>
        </w:tc>
      </w:tr>
    </w:tbl>
    <w:p w:rsidR="008A5A5D" w:rsidRPr="00C24ACA" w:rsidRDefault="008A5A5D" w:rsidP="00471935">
      <w:pPr>
        <w:spacing w:beforeLines="100" w:before="312" w:line="360" w:lineRule="auto"/>
        <w:rPr>
          <w:rFonts w:eastAsiaTheme="minorEastAsia"/>
          <w:b/>
          <w:color w:val="000000"/>
          <w:szCs w:val="21"/>
        </w:rPr>
      </w:pPr>
      <w:r w:rsidRPr="00C24ACA">
        <w:rPr>
          <w:rFonts w:eastAsiaTheme="minorEastAsia"/>
          <w:b/>
          <w:bCs/>
          <w:color w:val="000000"/>
          <w:kern w:val="0"/>
          <w:szCs w:val="21"/>
        </w:rPr>
        <w:t>6.4.7.10</w:t>
      </w:r>
      <w:r w:rsidRPr="00C24ACA">
        <w:rPr>
          <w:rFonts w:eastAsiaTheme="minorEastAsia"/>
          <w:b/>
          <w:color w:val="000000"/>
          <w:szCs w:val="21"/>
        </w:rPr>
        <w:t>未分配利润</w:t>
      </w:r>
    </w:p>
    <w:p w:rsidR="008A5A5D" w:rsidRPr="00C24ACA" w:rsidRDefault="008A5A5D" w:rsidP="002116B9">
      <w:pPr>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2915FE" w:rsidRPr="00C24ACA" w:rsidTr="005C3575">
        <w:tc>
          <w:tcPr>
            <w:tcW w:w="9415" w:type="dxa"/>
            <w:gridSpan w:val="4"/>
          </w:tcPr>
          <w:p w:rsidR="002915FE" w:rsidRPr="00C24ACA" w:rsidRDefault="002915FE" w:rsidP="002915FE">
            <w:pPr>
              <w:tabs>
                <w:tab w:val="left" w:pos="3015"/>
              </w:tabs>
              <w:jc w:val="center"/>
              <w:rPr>
                <w:rFonts w:eastAsiaTheme="minorEastAsia"/>
                <w:color w:val="000000"/>
                <w:szCs w:val="21"/>
              </w:rPr>
            </w:pPr>
            <w:r w:rsidRPr="00C24ACA">
              <w:rPr>
                <w:rFonts w:eastAsiaTheme="minorEastAsia"/>
                <w:color w:val="000000"/>
                <w:szCs w:val="21"/>
              </w:rPr>
              <w:t>易方达中短期美元债债券（</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A</w:t>
            </w:r>
          </w:p>
        </w:tc>
      </w:tr>
      <w:tr w:rsidR="002915FE" w:rsidRPr="00C24ACA" w:rsidTr="002915FE">
        <w:tc>
          <w:tcPr>
            <w:tcW w:w="2706" w:type="dxa"/>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未分配利润合计</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13,038,695.91</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3,423,909.28</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16,462,605.19</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9,344,547.98</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3,620,574.89</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12,965,122.87</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-5,050,653.57</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56,977.97</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-4,993,675.60</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2,375,789.11</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741,605.74</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3,117,394.85</w:t>
            </w:r>
          </w:p>
        </w:tc>
      </w:tr>
      <w:tr w:rsidR="002915FE" w:rsidRPr="00C24ACA" w:rsidTr="002915FE">
        <w:tc>
          <w:tcPr>
            <w:tcW w:w="2706" w:type="dxa"/>
            <w:vAlign w:val="center"/>
          </w:tcPr>
          <w:p w:rsidR="002915FE" w:rsidRPr="00C24ACA" w:rsidRDefault="002915FE"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-7,426,442.68</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-684,627.77</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-8,111,070.45</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17,332,590.32</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7,101,462.14</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24,434,052.46</w:t>
            </w:r>
          </w:p>
        </w:tc>
      </w:tr>
    </w:tbl>
    <w:p w:rsidR="0057216B" w:rsidRPr="00C24ACA" w:rsidRDefault="0057216B" w:rsidP="002915FE">
      <w:pPr>
        <w:adjustRightInd w:val="0"/>
        <w:snapToGrid w:val="0"/>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57216B" w:rsidRPr="00C24ACA" w:rsidTr="005C3575">
        <w:tc>
          <w:tcPr>
            <w:tcW w:w="9415" w:type="dxa"/>
            <w:gridSpan w:val="4"/>
          </w:tcPr>
          <w:p w:rsidR="002915FE" w:rsidRPr="00C24ACA" w:rsidRDefault="002915FE" w:rsidP="002915FE">
            <w:pPr>
              <w:jc w:val="center"/>
              <w:rPr>
                <w:rFonts w:eastAsiaTheme="minorEastAsia"/>
                <w:color w:val="000000"/>
                <w:szCs w:val="21"/>
              </w:rPr>
            </w:pPr>
            <w:r w:rsidRPr="00C24ACA">
              <w:rPr>
                <w:rFonts w:eastAsiaTheme="minorEastAsia"/>
                <w:color w:val="000000"/>
                <w:szCs w:val="21"/>
              </w:rPr>
              <w:t>易方达中短期美元债债券（</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C</w:t>
            </w:r>
          </w:p>
        </w:tc>
      </w:tr>
      <w:tr w:rsidR="0057216B" w:rsidRPr="00C24ACA" w:rsidTr="00AD6EE3">
        <w:tc>
          <w:tcPr>
            <w:tcW w:w="2706" w:type="dxa"/>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未分配利润合计</w:t>
            </w:r>
          </w:p>
        </w:tc>
      </w:tr>
      <w:tr w:rsidR="0057216B" w:rsidRPr="00C24ACA" w:rsidTr="00AD6EE3">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6,817,851.97</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1,864,147.96</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8,681,999.93</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4,733,399.42</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1,106,419.59</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5,839,819.01</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-3,681,015.50</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428,851.86</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-3,252,163.64</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1,813,957.00</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776,041.44</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2,589,998.44</w:t>
            </w:r>
          </w:p>
        </w:tc>
      </w:tr>
      <w:tr w:rsidR="0057216B" w:rsidRPr="00C24ACA" w:rsidTr="0057216B">
        <w:tc>
          <w:tcPr>
            <w:tcW w:w="2706" w:type="dxa"/>
            <w:vAlign w:val="center"/>
          </w:tcPr>
          <w:p w:rsidR="0057216B" w:rsidRPr="00C24ACA" w:rsidRDefault="0057216B"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-5,494,972.50</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-347,189.58</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-5,842,162.08</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7,870,235.89</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3,399,419.41</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11,269,655.30</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6.4.7.11</w:t>
      </w:r>
      <w:r w:rsidRPr="00C24ACA">
        <w:rPr>
          <w:rFonts w:eastAsiaTheme="minorEastAsia"/>
          <w:b/>
          <w:color w:val="000000"/>
          <w:szCs w:val="21"/>
        </w:rPr>
        <w:t>存款利息收入</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8A5A5D" w:rsidRPr="00C24ACA" w:rsidTr="000869C6">
        <w:tc>
          <w:tcPr>
            <w:tcW w:w="3828"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86" w:type="dxa"/>
            <w:vAlign w:val="center"/>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jc w:val="center"/>
              <w:rPr>
                <w:rFonts w:eastAsiaTheme="minorEastAsia"/>
                <w:b/>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活期存款利息收入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26,452.77</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定期存款利息收入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结算备付金利息收入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330.78</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合计</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26,783.55</w:t>
            </w:r>
          </w:p>
        </w:tc>
      </w:tr>
    </w:tbl>
    <w:p w:rsidR="004D0FA5" w:rsidRPr="00C24ACA" w:rsidRDefault="004D0FA5" w:rsidP="004D0FA5">
      <w:pPr>
        <w:spacing w:line="360" w:lineRule="auto"/>
        <w:rPr>
          <w:rFonts w:eastAsiaTheme="minorEastAsia"/>
          <w:b/>
          <w:bCs/>
          <w:color w:val="000000"/>
          <w:szCs w:val="21"/>
        </w:rPr>
      </w:pPr>
      <w:r w:rsidRPr="00C24ACA">
        <w:rPr>
          <w:rFonts w:eastAsiaTheme="minorEastAsia"/>
          <w:b/>
          <w:bCs/>
          <w:color w:val="000000"/>
          <w:kern w:val="0"/>
          <w:szCs w:val="21"/>
        </w:rPr>
        <w:t xml:space="preserve">6.4.7.12 </w:t>
      </w:r>
      <w:r w:rsidR="00601974" w:rsidRPr="00C24ACA">
        <w:rPr>
          <w:rFonts w:eastAsiaTheme="minorEastAsia"/>
          <w:b/>
          <w:color w:val="000000"/>
          <w:szCs w:val="21"/>
        </w:rPr>
        <w:t>股票投资收益</w:t>
      </w:r>
      <w:r w:rsidRPr="00C24ACA">
        <w:rPr>
          <w:rFonts w:eastAsiaTheme="minorEastAsia"/>
          <w:b/>
          <w:color w:val="000000"/>
          <w:szCs w:val="21"/>
        </w:rPr>
        <w:t>——</w:t>
      </w:r>
      <w:r w:rsidRPr="00C24ACA">
        <w:rPr>
          <w:rFonts w:eastAsiaTheme="minorEastAsia"/>
          <w:b/>
          <w:color w:val="000000"/>
          <w:szCs w:val="21"/>
        </w:rPr>
        <w:t>买卖股票差价收入</w:t>
      </w:r>
    </w:p>
    <w:p w:rsidR="004D0FA5" w:rsidRPr="00C24ACA" w:rsidRDefault="004D0FA5"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本基金本报告期无股票投资收益。</w:t>
      </w:r>
    </w:p>
    <w:p w:rsidR="00D85D98" w:rsidRPr="00C24ACA" w:rsidRDefault="00D85D98"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 xml:space="preserve">6.4.7.13 </w:t>
      </w:r>
      <w:r w:rsidRPr="00C24ACA">
        <w:rPr>
          <w:rFonts w:eastAsiaTheme="minorEastAsia"/>
          <w:b/>
          <w:color w:val="000000"/>
          <w:szCs w:val="21"/>
        </w:rPr>
        <w:t>基金投资收益</w:t>
      </w:r>
    </w:p>
    <w:p w:rsidR="00D85D98" w:rsidRPr="00C24ACA" w:rsidRDefault="00D85D98"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本基金本报告期无基金投资收益。</w:t>
      </w:r>
    </w:p>
    <w:p w:rsidR="00005C09" w:rsidRPr="00C24ACA" w:rsidRDefault="00005C09" w:rsidP="00005C09">
      <w:pPr>
        <w:spacing w:line="360" w:lineRule="auto"/>
        <w:rPr>
          <w:rFonts w:eastAsiaTheme="minorEastAsia"/>
          <w:b/>
          <w:color w:val="000000" w:themeColor="text1"/>
          <w:szCs w:val="21"/>
        </w:rPr>
      </w:pPr>
      <w:r w:rsidRPr="00C24ACA">
        <w:rPr>
          <w:rFonts w:eastAsiaTheme="minorEastAsia"/>
          <w:b/>
          <w:bCs/>
          <w:color w:val="000000" w:themeColor="text1"/>
          <w:kern w:val="0"/>
          <w:szCs w:val="21"/>
        </w:rPr>
        <w:t>6.4.7.14</w:t>
      </w:r>
      <w:r w:rsidRPr="00C24ACA">
        <w:rPr>
          <w:rFonts w:eastAsiaTheme="minorEastAsia"/>
          <w:b/>
          <w:color w:val="000000" w:themeColor="text1"/>
          <w:szCs w:val="21"/>
        </w:rPr>
        <w:t>债券投资收益</w:t>
      </w:r>
      <w:r w:rsidRPr="00C24ACA">
        <w:rPr>
          <w:rFonts w:eastAsiaTheme="minorEastAsia"/>
          <w:b/>
          <w:color w:val="000000" w:themeColor="text1"/>
          <w:szCs w:val="21"/>
        </w:rPr>
        <w:t>——</w:t>
      </w:r>
      <w:r w:rsidRPr="00C24ACA">
        <w:rPr>
          <w:rFonts w:eastAsiaTheme="minorEastAsia"/>
          <w:b/>
          <w:color w:val="000000" w:themeColor="text1"/>
          <w:szCs w:val="21"/>
        </w:rPr>
        <w:t>买卖债券差价收入</w:t>
      </w:r>
    </w:p>
    <w:p w:rsidR="00005C09" w:rsidRPr="00C24ACA" w:rsidRDefault="00005C09" w:rsidP="00005C09">
      <w:pPr>
        <w:widowControl/>
        <w:tabs>
          <w:tab w:val="left" w:pos="1680"/>
        </w:tabs>
        <w:wordWrap w:val="0"/>
        <w:autoSpaceDE w:val="0"/>
        <w:autoSpaceDN w:val="0"/>
        <w:ind w:left="440"/>
        <w:jc w:val="right"/>
        <w:textAlignment w:val="bottom"/>
        <w:rPr>
          <w:rFonts w:eastAsiaTheme="minorEastAsia"/>
          <w:color w:val="000000" w:themeColor="text1"/>
          <w:kern w:val="0"/>
          <w:szCs w:val="21"/>
        </w:rPr>
      </w:pPr>
      <w:r w:rsidRPr="00C24ACA">
        <w:rPr>
          <w:rFonts w:eastAsiaTheme="minorEastAsia"/>
          <w:color w:val="000000" w:themeColor="text1"/>
          <w:szCs w:val="21"/>
          <w:lang w:val="en-AU"/>
        </w:rPr>
        <w:t xml:space="preserve">         </w:t>
      </w:r>
      <w:r w:rsidRPr="00C24ACA">
        <w:rPr>
          <w:rFonts w:eastAsiaTheme="minorEastAsia"/>
          <w:color w:val="000000" w:themeColor="text1"/>
          <w:szCs w:val="21"/>
        </w:rPr>
        <w:t>单位：人民币元</w:t>
      </w:r>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725"/>
        <w:gridCol w:w="5636"/>
      </w:tblGrid>
      <w:tr w:rsidR="00005C09" w:rsidRPr="00C24ACA" w:rsidTr="008F4C10">
        <w:trPr>
          <w:trHeight w:val="315"/>
        </w:trPr>
        <w:tc>
          <w:tcPr>
            <w:tcW w:w="3725" w:type="dxa"/>
            <w:vAlign w:val="center"/>
          </w:tcPr>
          <w:p w:rsidR="00005C09" w:rsidRPr="00C24ACA" w:rsidRDefault="00005C09" w:rsidP="008F4C10">
            <w:pPr>
              <w:autoSpaceDE w:val="0"/>
              <w:autoSpaceDN w:val="0"/>
              <w:ind w:left="440"/>
              <w:jc w:val="center"/>
              <w:textAlignment w:val="bottom"/>
              <w:rPr>
                <w:rFonts w:eastAsiaTheme="minorEastAsia"/>
                <w:color w:val="000000" w:themeColor="text1"/>
                <w:kern w:val="0"/>
                <w:szCs w:val="21"/>
              </w:rPr>
            </w:pPr>
            <w:r w:rsidRPr="00C24ACA">
              <w:rPr>
                <w:rFonts w:eastAsiaTheme="minorEastAsia"/>
                <w:color w:val="000000" w:themeColor="text1"/>
                <w:kern w:val="0"/>
                <w:szCs w:val="21"/>
              </w:rPr>
              <w:t>项目</w:t>
            </w:r>
          </w:p>
        </w:tc>
        <w:tc>
          <w:tcPr>
            <w:tcW w:w="5636" w:type="dxa"/>
            <w:vAlign w:val="center"/>
          </w:tcPr>
          <w:p w:rsidR="00005C09" w:rsidRPr="00C24ACA" w:rsidRDefault="00005C09"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本期</w:t>
            </w:r>
          </w:p>
          <w:p w:rsidR="00005C09" w:rsidRPr="00C24ACA" w:rsidRDefault="00005C09" w:rsidP="008F4C10">
            <w:pPr>
              <w:widowControl/>
              <w:autoSpaceDE w:val="0"/>
              <w:autoSpaceDN w:val="0"/>
              <w:spacing w:line="360" w:lineRule="auto"/>
              <w:ind w:right="-15"/>
              <w:jc w:val="center"/>
              <w:textAlignment w:val="bottom"/>
              <w:rPr>
                <w:rFonts w:eastAsiaTheme="minorEastAsia"/>
                <w:color w:val="000000" w:themeColor="text1"/>
                <w:kern w:val="0"/>
                <w:szCs w:val="21"/>
              </w:rPr>
            </w:pPr>
            <w:r w:rsidRPr="00C24ACA">
              <w:rPr>
                <w:rFonts w:eastAsiaTheme="minorEastAsia"/>
                <w:color w:val="000000" w:themeColor="text1"/>
                <w:szCs w:val="21"/>
              </w:rPr>
              <w:t>2020</w:t>
            </w:r>
            <w:r w:rsidRPr="00C24ACA">
              <w:rPr>
                <w:rFonts w:eastAsiaTheme="minorEastAsia"/>
                <w:color w:val="000000" w:themeColor="text1"/>
                <w:szCs w:val="21"/>
              </w:rPr>
              <w:t>年</w:t>
            </w:r>
            <w:r w:rsidRPr="00C24ACA">
              <w:rPr>
                <w:rFonts w:eastAsiaTheme="minorEastAsia"/>
                <w:color w:val="000000" w:themeColor="text1"/>
                <w:szCs w:val="21"/>
              </w:rPr>
              <w:t>1</w:t>
            </w:r>
            <w:r w:rsidRPr="00C24ACA">
              <w:rPr>
                <w:rFonts w:eastAsiaTheme="minorEastAsia"/>
                <w:color w:val="000000" w:themeColor="text1"/>
                <w:szCs w:val="21"/>
              </w:rPr>
              <w:t>月</w:t>
            </w:r>
            <w:r w:rsidRPr="00C24ACA">
              <w:rPr>
                <w:rFonts w:eastAsiaTheme="minorEastAsia"/>
                <w:color w:val="000000" w:themeColor="text1"/>
                <w:szCs w:val="21"/>
              </w:rPr>
              <w:t>1</w:t>
            </w:r>
            <w:r w:rsidRPr="00C24ACA">
              <w:rPr>
                <w:rFonts w:eastAsiaTheme="minorEastAsia"/>
                <w:color w:val="000000" w:themeColor="text1"/>
                <w:szCs w:val="21"/>
              </w:rPr>
              <w:t>日至</w:t>
            </w:r>
            <w:r w:rsidRPr="00C24ACA">
              <w:rPr>
                <w:rFonts w:eastAsiaTheme="minorEastAsia"/>
                <w:color w:val="000000" w:themeColor="text1"/>
                <w:szCs w:val="21"/>
              </w:rPr>
              <w:t>2020</w:t>
            </w:r>
            <w:r w:rsidRPr="00C24ACA">
              <w:rPr>
                <w:rFonts w:eastAsiaTheme="minorEastAsia"/>
                <w:color w:val="000000" w:themeColor="text1"/>
                <w:szCs w:val="21"/>
              </w:rPr>
              <w:t>年</w:t>
            </w:r>
            <w:r w:rsidRPr="00C24ACA">
              <w:rPr>
                <w:rFonts w:eastAsiaTheme="minorEastAsia"/>
                <w:color w:val="000000" w:themeColor="text1"/>
                <w:szCs w:val="21"/>
              </w:rPr>
              <w:t>6</w:t>
            </w:r>
            <w:r w:rsidRPr="00C24ACA">
              <w:rPr>
                <w:rFonts w:eastAsiaTheme="minorEastAsia"/>
                <w:color w:val="000000" w:themeColor="text1"/>
                <w:szCs w:val="21"/>
              </w:rPr>
              <w:t>月</w:t>
            </w:r>
            <w:r w:rsidRPr="00C24ACA">
              <w:rPr>
                <w:rFonts w:eastAsiaTheme="minorEastAsia"/>
                <w:color w:val="000000" w:themeColor="text1"/>
                <w:szCs w:val="21"/>
              </w:rPr>
              <w:t>30</w:t>
            </w:r>
            <w:r w:rsidRPr="00C24ACA">
              <w:rPr>
                <w:rFonts w:eastAsiaTheme="minorEastAsia"/>
                <w:color w:val="000000" w:themeColor="text1"/>
                <w:szCs w:val="21"/>
              </w:rPr>
              <w:t>日</w:t>
            </w:r>
          </w:p>
        </w:tc>
      </w:tr>
      <w:tr w:rsidR="00005C09" w:rsidRPr="00C24ACA" w:rsidTr="00AD6EE3">
        <w:trPr>
          <w:trHeight w:val="315"/>
        </w:trPr>
        <w:tc>
          <w:tcPr>
            <w:tcW w:w="3725" w:type="dxa"/>
            <w:shd w:val="clear" w:color="auto" w:fill="auto"/>
            <w:vAlign w:val="center"/>
          </w:tcPr>
          <w:p w:rsidR="00005C09" w:rsidRPr="00C24ACA" w:rsidRDefault="001A0AD5" w:rsidP="008F4C10">
            <w:pPr>
              <w:widowControl/>
              <w:autoSpaceDE w:val="0"/>
              <w:autoSpaceDN w:val="0"/>
              <w:ind w:leftChars="50" w:left="105"/>
              <w:textAlignment w:val="bottom"/>
              <w:rPr>
                <w:rFonts w:eastAsiaTheme="minorEastAsia"/>
                <w:color w:val="000000" w:themeColor="text1"/>
                <w:kern w:val="0"/>
                <w:szCs w:val="21"/>
              </w:rPr>
            </w:pPr>
            <w:r w:rsidRPr="00C24ACA">
              <w:rPr>
                <w:rFonts w:eastAsiaTheme="minorEastAsia"/>
                <w:color w:val="000000" w:themeColor="text1"/>
                <w:kern w:val="0"/>
                <w:szCs w:val="21"/>
              </w:rPr>
              <w:t>卖出债券（</w:t>
            </w:r>
            <w:r w:rsidR="00005C09" w:rsidRPr="00C24ACA">
              <w:rPr>
                <w:rFonts w:eastAsiaTheme="minorEastAsia"/>
                <w:color w:val="000000" w:themeColor="text1"/>
                <w:kern w:val="0"/>
                <w:szCs w:val="21"/>
              </w:rPr>
              <w:t>债转股及债券到期兑付）成交总额</w:t>
            </w:r>
          </w:p>
        </w:tc>
        <w:tc>
          <w:tcPr>
            <w:tcW w:w="5636" w:type="dxa"/>
            <w:vAlign w:val="center"/>
          </w:tcPr>
          <w:p w:rsidR="00005C09" w:rsidRPr="00C24ACA" w:rsidRDefault="00005C09" w:rsidP="008F4C10">
            <w:pPr>
              <w:ind w:left="440"/>
              <w:jc w:val="right"/>
              <w:rPr>
                <w:rFonts w:eastAsiaTheme="minorEastAsia"/>
                <w:color w:val="000000" w:themeColor="text1"/>
                <w:szCs w:val="21"/>
              </w:rPr>
            </w:pPr>
            <w:r w:rsidRPr="00C24ACA">
              <w:rPr>
                <w:rFonts w:eastAsiaTheme="minorEastAsia"/>
                <w:color w:val="000000" w:themeColor="text1"/>
                <w:szCs w:val="21"/>
              </w:rPr>
              <w:t>910,680,436.33</w:t>
            </w:r>
          </w:p>
        </w:tc>
      </w:tr>
      <w:tr w:rsidR="00005C09" w:rsidRPr="00C24ACA" w:rsidTr="00AD6EE3">
        <w:trPr>
          <w:trHeight w:val="315"/>
        </w:trPr>
        <w:tc>
          <w:tcPr>
            <w:tcW w:w="3725" w:type="dxa"/>
            <w:shd w:val="clear" w:color="auto" w:fill="auto"/>
            <w:vAlign w:val="center"/>
          </w:tcPr>
          <w:p w:rsidR="00005C09" w:rsidRPr="00C24ACA" w:rsidRDefault="00005C09" w:rsidP="008F4C10">
            <w:pPr>
              <w:widowControl/>
              <w:autoSpaceDE w:val="0"/>
              <w:autoSpaceDN w:val="0"/>
              <w:ind w:leftChars="50" w:left="105"/>
              <w:textAlignment w:val="bottom"/>
              <w:rPr>
                <w:rFonts w:eastAsiaTheme="minorEastAsia"/>
                <w:color w:val="000000" w:themeColor="text1"/>
                <w:kern w:val="0"/>
                <w:szCs w:val="21"/>
              </w:rPr>
            </w:pPr>
            <w:r w:rsidRPr="00C24ACA">
              <w:rPr>
                <w:rFonts w:eastAsiaTheme="minorEastAsia"/>
                <w:color w:val="000000" w:themeColor="text1"/>
                <w:szCs w:val="21"/>
              </w:rPr>
              <w:t>减：</w:t>
            </w:r>
            <w:r w:rsidR="001A0AD5" w:rsidRPr="00C24ACA">
              <w:rPr>
                <w:rFonts w:eastAsiaTheme="minorEastAsia"/>
                <w:color w:val="000000" w:themeColor="text1"/>
                <w:kern w:val="0"/>
                <w:szCs w:val="21"/>
              </w:rPr>
              <w:t>卖出债券（</w:t>
            </w:r>
            <w:r w:rsidRPr="00C24ACA">
              <w:rPr>
                <w:rFonts w:eastAsiaTheme="minorEastAsia"/>
                <w:color w:val="000000" w:themeColor="text1"/>
                <w:kern w:val="0"/>
                <w:szCs w:val="21"/>
              </w:rPr>
              <w:t>债转股及债券到期兑付）成本总额</w:t>
            </w:r>
          </w:p>
        </w:tc>
        <w:tc>
          <w:tcPr>
            <w:tcW w:w="5636" w:type="dxa"/>
            <w:vAlign w:val="center"/>
          </w:tcPr>
          <w:p w:rsidR="00005C09" w:rsidRPr="00C24ACA" w:rsidRDefault="00005C09" w:rsidP="008F4C10">
            <w:pPr>
              <w:ind w:left="440"/>
              <w:jc w:val="right"/>
              <w:rPr>
                <w:rFonts w:eastAsiaTheme="minorEastAsia"/>
                <w:color w:val="000000" w:themeColor="text1"/>
                <w:szCs w:val="21"/>
              </w:rPr>
            </w:pPr>
            <w:r w:rsidRPr="00C24ACA">
              <w:rPr>
                <w:rFonts w:eastAsiaTheme="minorEastAsia"/>
                <w:color w:val="000000" w:themeColor="text1"/>
                <w:szCs w:val="21"/>
              </w:rPr>
              <w:t>902,587,685.00</w:t>
            </w:r>
          </w:p>
        </w:tc>
      </w:tr>
      <w:tr w:rsidR="00005C09" w:rsidRPr="00C24ACA" w:rsidTr="00AD6EE3">
        <w:trPr>
          <w:trHeight w:val="315"/>
        </w:trPr>
        <w:tc>
          <w:tcPr>
            <w:tcW w:w="3725" w:type="dxa"/>
            <w:shd w:val="clear" w:color="auto" w:fill="auto"/>
            <w:vAlign w:val="center"/>
          </w:tcPr>
          <w:p w:rsidR="00005C09" w:rsidRPr="00C24ACA" w:rsidRDefault="00005C09" w:rsidP="008134C7">
            <w:pPr>
              <w:widowControl/>
              <w:autoSpaceDE w:val="0"/>
              <w:autoSpaceDN w:val="0"/>
              <w:ind w:firstLineChars="50" w:firstLine="105"/>
              <w:textAlignment w:val="bottom"/>
              <w:rPr>
                <w:rFonts w:eastAsiaTheme="minorEastAsia"/>
                <w:color w:val="000000" w:themeColor="text1"/>
                <w:kern w:val="0"/>
                <w:szCs w:val="21"/>
              </w:rPr>
            </w:pPr>
            <w:r w:rsidRPr="00C24ACA">
              <w:rPr>
                <w:rFonts w:eastAsiaTheme="minorEastAsia"/>
                <w:color w:val="000000" w:themeColor="text1"/>
                <w:szCs w:val="21"/>
              </w:rPr>
              <w:t>减：</w:t>
            </w:r>
            <w:r w:rsidRPr="00C24ACA">
              <w:rPr>
                <w:rFonts w:eastAsiaTheme="minorEastAsia"/>
                <w:color w:val="000000" w:themeColor="text1"/>
                <w:kern w:val="0"/>
                <w:szCs w:val="21"/>
              </w:rPr>
              <w:t>应收利息总额</w:t>
            </w:r>
          </w:p>
        </w:tc>
        <w:tc>
          <w:tcPr>
            <w:tcW w:w="5636" w:type="dxa"/>
            <w:vAlign w:val="center"/>
          </w:tcPr>
          <w:p w:rsidR="00005C09" w:rsidRPr="00C24ACA" w:rsidRDefault="00005C09" w:rsidP="008F4C10">
            <w:pPr>
              <w:ind w:left="440"/>
              <w:jc w:val="right"/>
              <w:rPr>
                <w:rFonts w:eastAsiaTheme="minorEastAsia"/>
                <w:color w:val="000000" w:themeColor="text1"/>
                <w:szCs w:val="21"/>
              </w:rPr>
            </w:pPr>
            <w:r w:rsidRPr="00C24ACA">
              <w:rPr>
                <w:rFonts w:eastAsiaTheme="minorEastAsia"/>
                <w:color w:val="000000" w:themeColor="text1"/>
                <w:szCs w:val="21"/>
              </w:rPr>
              <w:t>4,896,043.69</w:t>
            </w:r>
          </w:p>
        </w:tc>
      </w:tr>
      <w:tr w:rsidR="00005C09" w:rsidRPr="00C24ACA" w:rsidTr="00AD6EE3">
        <w:trPr>
          <w:trHeight w:val="315"/>
        </w:trPr>
        <w:tc>
          <w:tcPr>
            <w:tcW w:w="3725" w:type="dxa"/>
            <w:shd w:val="clear" w:color="auto" w:fill="auto"/>
            <w:vAlign w:val="center"/>
          </w:tcPr>
          <w:p w:rsidR="00005C09" w:rsidRPr="00C24ACA" w:rsidRDefault="00390DDD" w:rsidP="008F4C10">
            <w:pPr>
              <w:widowControl/>
              <w:autoSpaceDE w:val="0"/>
              <w:autoSpaceDN w:val="0"/>
              <w:ind w:leftChars="50" w:left="105"/>
              <w:textAlignment w:val="bottom"/>
              <w:rPr>
                <w:rFonts w:eastAsiaTheme="minorEastAsia"/>
                <w:color w:val="000000" w:themeColor="text1"/>
                <w:kern w:val="0"/>
                <w:szCs w:val="21"/>
              </w:rPr>
            </w:pPr>
            <w:r w:rsidRPr="00C24ACA">
              <w:rPr>
                <w:rFonts w:eastAsiaTheme="minorEastAsia"/>
                <w:color w:val="000000"/>
                <w:kern w:val="0"/>
                <w:szCs w:val="21"/>
              </w:rPr>
              <w:t>买卖债券差价收入</w:t>
            </w:r>
          </w:p>
        </w:tc>
        <w:tc>
          <w:tcPr>
            <w:tcW w:w="5636" w:type="dxa"/>
            <w:vAlign w:val="center"/>
          </w:tcPr>
          <w:p w:rsidR="00005C09" w:rsidRPr="00C24ACA" w:rsidRDefault="00005C09" w:rsidP="008F4C10">
            <w:pPr>
              <w:ind w:left="440"/>
              <w:jc w:val="right"/>
              <w:rPr>
                <w:rFonts w:eastAsiaTheme="minorEastAsia"/>
                <w:color w:val="000000" w:themeColor="text1"/>
                <w:szCs w:val="21"/>
              </w:rPr>
            </w:pPr>
            <w:r w:rsidRPr="00C24ACA">
              <w:rPr>
                <w:rFonts w:eastAsiaTheme="minorEastAsia"/>
                <w:color w:val="000000" w:themeColor="text1"/>
                <w:szCs w:val="21"/>
              </w:rPr>
              <w:t>3,196,707.64</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6.4.7.15</w:t>
      </w:r>
      <w:r w:rsidRPr="00C24ACA">
        <w:rPr>
          <w:rFonts w:eastAsiaTheme="minorEastAsia"/>
          <w:b/>
          <w:color w:val="000000"/>
          <w:szCs w:val="21"/>
        </w:rPr>
        <w:t>衍生工具收益</w:t>
      </w:r>
    </w:p>
    <w:p w:rsidR="00806635" w:rsidRDefault="00806635" w:rsidP="00806635">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本基金本报告期无衍生工具收益。</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6.4.7.16</w:t>
      </w:r>
      <w:r w:rsidRPr="00C24ACA">
        <w:rPr>
          <w:rFonts w:eastAsiaTheme="minorEastAsia"/>
          <w:b/>
          <w:color w:val="000000"/>
          <w:szCs w:val="21"/>
        </w:rPr>
        <w:t>股利收益</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本基金本报告期无股利收益。</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6.4.7.17</w:t>
      </w:r>
      <w:r w:rsidRPr="00C24ACA">
        <w:rPr>
          <w:rFonts w:eastAsiaTheme="minorEastAsia"/>
          <w:b/>
          <w:color w:val="000000"/>
          <w:szCs w:val="21"/>
        </w:rPr>
        <w:t>公允价值变动收益</w:t>
      </w:r>
    </w:p>
    <w:p w:rsidR="008F7328" w:rsidRDefault="008F7328" w:rsidP="008F7328">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F7328" w:rsidTr="00AD6EE3">
        <w:trPr>
          <w:trHeight w:val="285"/>
        </w:trPr>
        <w:tc>
          <w:tcPr>
            <w:tcW w:w="3794" w:type="dxa"/>
            <w:vAlign w:val="center"/>
            <w:hideMark/>
          </w:tcPr>
          <w:p w:rsidR="008F7328" w:rsidRDefault="008F7328">
            <w:pPr>
              <w:jc w:val="center"/>
              <w:rPr>
                <w:szCs w:val="21"/>
              </w:rPr>
            </w:pPr>
            <w:r>
              <w:rPr>
                <w:rFonts w:hint="eastAsia"/>
                <w:kern w:val="0"/>
                <w:szCs w:val="21"/>
              </w:rPr>
              <w:t>项目名称</w:t>
            </w:r>
          </w:p>
        </w:tc>
        <w:tc>
          <w:tcPr>
            <w:tcW w:w="5528" w:type="dxa"/>
            <w:vAlign w:val="center"/>
            <w:hideMark/>
          </w:tcPr>
          <w:p w:rsidR="008F7328" w:rsidRDefault="008F7328">
            <w:pPr>
              <w:jc w:val="center"/>
              <w:rPr>
                <w:szCs w:val="21"/>
              </w:rPr>
            </w:pPr>
            <w:r>
              <w:rPr>
                <w:rFonts w:hint="eastAsia"/>
                <w:szCs w:val="21"/>
              </w:rPr>
              <w:t>本期</w:t>
            </w:r>
          </w:p>
          <w:p w:rsidR="008F7328" w:rsidRDefault="008F7328">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F7328" w:rsidRDefault="008F7328">
            <w:pPr>
              <w:jc w:val="right"/>
              <w:rPr>
                <w:szCs w:val="21"/>
              </w:rPr>
            </w:pPr>
            <w:r>
              <w:rPr>
                <w:szCs w:val="21"/>
              </w:rPr>
              <w:t>4,726,994.48</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w:t>
            </w:r>
            <w:r>
              <w:rPr>
                <w:rFonts w:hint="eastAsia"/>
                <w:kern w:val="0"/>
                <w:szCs w:val="21"/>
              </w:rPr>
              <w:t>股票投资</w:t>
            </w:r>
          </w:p>
        </w:tc>
        <w:tc>
          <w:tcPr>
            <w:tcW w:w="5528" w:type="dxa"/>
            <w:vAlign w:val="center"/>
            <w:hideMark/>
          </w:tcPr>
          <w:p w:rsidR="008F7328" w:rsidRDefault="008F7328">
            <w:pPr>
              <w:jc w:val="right"/>
              <w:rPr>
                <w:szCs w:val="21"/>
              </w:rPr>
            </w:pPr>
            <w:r>
              <w:rPr>
                <w:szCs w:val="21"/>
              </w:rPr>
              <w:t>-</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w:t>
            </w:r>
            <w:r>
              <w:rPr>
                <w:rFonts w:hint="eastAsia"/>
                <w:kern w:val="0"/>
                <w:szCs w:val="21"/>
              </w:rPr>
              <w:t>债券投资</w:t>
            </w:r>
          </w:p>
        </w:tc>
        <w:tc>
          <w:tcPr>
            <w:tcW w:w="5528" w:type="dxa"/>
            <w:vAlign w:val="center"/>
            <w:hideMark/>
          </w:tcPr>
          <w:p w:rsidR="008F7328" w:rsidRDefault="008F7328">
            <w:pPr>
              <w:jc w:val="right"/>
              <w:rPr>
                <w:szCs w:val="21"/>
              </w:rPr>
            </w:pPr>
            <w:r>
              <w:rPr>
                <w:szCs w:val="21"/>
              </w:rPr>
              <w:t>4,726,994.48</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F7328" w:rsidRDefault="008F7328">
            <w:pPr>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F7328" w:rsidRDefault="008F7328">
            <w:pPr>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F7328" w:rsidRDefault="008F7328">
            <w:pPr>
              <w:widowControl/>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F7328" w:rsidRDefault="008F7328">
            <w:pPr>
              <w:widowControl/>
              <w:jc w:val="right"/>
              <w:rPr>
                <w:kern w:val="0"/>
                <w:szCs w:val="21"/>
              </w:rPr>
            </w:pPr>
            <w:r>
              <w:rPr>
                <w:rFonts w:eastAsiaTheme="minorEastAsia"/>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F7328" w:rsidRDefault="008F7328">
            <w:pPr>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F7328" w:rsidRDefault="008F7328">
            <w:pPr>
              <w:jc w:val="right"/>
              <w:rPr>
                <w:kern w:val="0"/>
                <w:szCs w:val="21"/>
              </w:rPr>
            </w:pPr>
            <w:r>
              <w:rPr>
                <w:kern w:val="0"/>
                <w:szCs w:val="21"/>
              </w:rPr>
              <w:t>-</w:t>
            </w:r>
          </w:p>
        </w:tc>
      </w:tr>
      <w:tr w:rsidR="008E5B30">
        <w:tc>
          <w:tcPr>
            <w:tcW w:w="3794" w:type="dxa"/>
            <w:vAlign w:val="center"/>
          </w:tcPr>
          <w:p w:rsidR="008E5B30" w:rsidRDefault="00013397">
            <w:pPr>
              <w:jc w:val="left"/>
            </w:pPr>
            <w:r>
              <w:rPr>
                <w:kern w:val="0"/>
                <w:szCs w:val="21"/>
              </w:rPr>
              <w:t>——</w:t>
            </w:r>
            <w:r>
              <w:rPr>
                <w:kern w:val="0"/>
                <w:szCs w:val="21"/>
              </w:rPr>
              <w:t>期货投资</w:t>
            </w:r>
          </w:p>
        </w:tc>
        <w:tc>
          <w:tcPr>
            <w:tcW w:w="5529" w:type="dxa"/>
            <w:vAlign w:val="center"/>
          </w:tcPr>
          <w:p w:rsidR="008E5B30" w:rsidRDefault="00013397">
            <w:pPr>
              <w:jc w:val="right"/>
            </w:pPr>
            <w:r>
              <w:rPr>
                <w:kern w:val="0"/>
                <w:szCs w:val="21"/>
              </w:rPr>
              <w:t>-</w:t>
            </w:r>
          </w:p>
        </w:tc>
      </w:tr>
      <w:tr w:rsidR="008E5B30">
        <w:tc>
          <w:tcPr>
            <w:tcW w:w="3794" w:type="dxa"/>
            <w:vAlign w:val="center"/>
          </w:tcPr>
          <w:p w:rsidR="008E5B30" w:rsidRDefault="00013397">
            <w:pPr>
              <w:jc w:val="left"/>
            </w:pPr>
            <w:r>
              <w:rPr>
                <w:kern w:val="0"/>
                <w:szCs w:val="21"/>
              </w:rPr>
              <w:t>——</w:t>
            </w:r>
            <w:r>
              <w:rPr>
                <w:kern w:val="0"/>
                <w:szCs w:val="21"/>
              </w:rPr>
              <w:t>期权投资</w:t>
            </w:r>
          </w:p>
        </w:tc>
        <w:tc>
          <w:tcPr>
            <w:tcW w:w="5529" w:type="dxa"/>
            <w:vAlign w:val="center"/>
          </w:tcPr>
          <w:p w:rsidR="008E5B30" w:rsidRDefault="00013397">
            <w:pPr>
              <w:jc w:val="right"/>
            </w:pPr>
            <w:r>
              <w:rPr>
                <w:kern w:val="0"/>
                <w:szCs w:val="21"/>
              </w:rPr>
              <w:t>-</w:t>
            </w:r>
          </w:p>
        </w:tc>
      </w:tr>
      <w:tr w:rsidR="008F7328" w:rsidTr="00AD6EE3">
        <w:trPr>
          <w:trHeight w:val="285"/>
        </w:trPr>
        <w:tc>
          <w:tcPr>
            <w:tcW w:w="3794" w:type="dxa"/>
            <w:vAlign w:val="center"/>
            <w:hideMark/>
          </w:tcPr>
          <w:p w:rsidR="008F7328" w:rsidRDefault="008F7328">
            <w:pPr>
              <w:widowControl/>
              <w:rPr>
                <w:szCs w:val="21"/>
              </w:rPr>
            </w:pPr>
            <w:r>
              <w:rPr>
                <w:kern w:val="0"/>
                <w:szCs w:val="21"/>
              </w:rPr>
              <w:t>3.</w:t>
            </w:r>
            <w:r>
              <w:rPr>
                <w:rFonts w:hint="eastAsia"/>
                <w:kern w:val="0"/>
                <w:szCs w:val="21"/>
              </w:rPr>
              <w:t>其他</w:t>
            </w:r>
          </w:p>
        </w:tc>
        <w:tc>
          <w:tcPr>
            <w:tcW w:w="5528" w:type="dxa"/>
            <w:vAlign w:val="center"/>
            <w:hideMark/>
          </w:tcPr>
          <w:p w:rsidR="008F7328" w:rsidRDefault="008F7328">
            <w:pPr>
              <w:jc w:val="right"/>
              <w:rPr>
                <w:szCs w:val="21"/>
              </w:rPr>
            </w:pPr>
            <w:r>
              <w:rPr>
                <w:szCs w:val="21"/>
              </w:rPr>
              <w:t>-</w:t>
            </w:r>
          </w:p>
        </w:tc>
      </w:tr>
      <w:tr w:rsidR="008F7328" w:rsidTr="00AD6EE3">
        <w:trPr>
          <w:trHeight w:val="285"/>
        </w:trPr>
        <w:tc>
          <w:tcPr>
            <w:tcW w:w="3794" w:type="dxa"/>
            <w:vAlign w:val="center"/>
            <w:hideMark/>
          </w:tcPr>
          <w:p w:rsidR="008F7328" w:rsidRDefault="008F7328">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F7328" w:rsidRDefault="008F7328">
            <w:pPr>
              <w:jc w:val="right"/>
              <w:rPr>
                <w:rFonts w:eastAsiaTheme="minorEastAsia"/>
                <w:szCs w:val="21"/>
              </w:rPr>
            </w:pPr>
            <w:r>
              <w:rPr>
                <w:rFonts w:eastAsiaTheme="minorEastAsia"/>
                <w:szCs w:val="21"/>
              </w:rPr>
              <w:t>-</w:t>
            </w:r>
          </w:p>
        </w:tc>
      </w:tr>
      <w:tr w:rsidR="008F7328" w:rsidTr="00AD6EE3">
        <w:trPr>
          <w:trHeight w:val="285"/>
        </w:trPr>
        <w:tc>
          <w:tcPr>
            <w:tcW w:w="3794" w:type="dxa"/>
            <w:vAlign w:val="center"/>
            <w:hideMark/>
          </w:tcPr>
          <w:p w:rsidR="008F7328" w:rsidRDefault="008F7328">
            <w:pPr>
              <w:widowControl/>
              <w:rPr>
                <w:szCs w:val="21"/>
              </w:rPr>
            </w:pPr>
            <w:r>
              <w:rPr>
                <w:rFonts w:hint="eastAsia"/>
                <w:kern w:val="0"/>
                <w:szCs w:val="21"/>
              </w:rPr>
              <w:t>合计</w:t>
            </w:r>
          </w:p>
        </w:tc>
        <w:tc>
          <w:tcPr>
            <w:tcW w:w="5528" w:type="dxa"/>
            <w:vAlign w:val="center"/>
            <w:hideMark/>
          </w:tcPr>
          <w:p w:rsidR="008F7328" w:rsidRDefault="008F7328">
            <w:pPr>
              <w:jc w:val="right"/>
              <w:rPr>
                <w:szCs w:val="21"/>
              </w:rPr>
            </w:pPr>
            <w:r>
              <w:rPr>
                <w:szCs w:val="21"/>
              </w:rPr>
              <w:t>4,726,994.48</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6.4.7.18</w:t>
      </w:r>
      <w:r w:rsidRPr="00C24ACA">
        <w:rPr>
          <w:rFonts w:eastAsiaTheme="minorEastAsia"/>
          <w:b/>
          <w:color w:val="000000"/>
          <w:szCs w:val="21"/>
        </w:rPr>
        <w:t>其他收入</w:t>
      </w:r>
    </w:p>
    <w:p w:rsidR="008A5A5D" w:rsidRPr="00C24ACA" w:rsidRDefault="008A5A5D" w:rsidP="003955D3">
      <w:pPr>
        <w:tabs>
          <w:tab w:val="left" w:pos="7200"/>
          <w:tab w:val="left" w:pos="8280"/>
        </w:tabs>
        <w:ind w:rightChars="-52" w:right="-109"/>
        <w:jc w:val="right"/>
        <w:rPr>
          <w:rFonts w:eastAsiaTheme="minorEastAsia"/>
          <w:szCs w:val="21"/>
          <w:lang w:val="en-AU"/>
        </w:rPr>
      </w:pPr>
      <w:r w:rsidRPr="00C24ACA">
        <w:rPr>
          <w:rFonts w:eastAsiaTheme="minorEastAsia"/>
          <w:color w:val="000000"/>
          <w:szCs w:val="21"/>
        </w:rPr>
        <w:t>单位：人民币元</w:t>
      </w:r>
    </w:p>
    <w:tbl>
      <w:tblPr>
        <w:tblW w:w="90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8A5A5D" w:rsidRPr="00C24ACA" w:rsidTr="00862636">
        <w:trPr>
          <w:trHeight w:val="255"/>
        </w:trPr>
        <w:tc>
          <w:tcPr>
            <w:tcW w:w="3833"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242"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基金赎回费收入</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12,537.96</w:t>
            </w:r>
          </w:p>
        </w:tc>
      </w:tr>
      <w:tr w:rsidR="008E5B30">
        <w:tc>
          <w:tcPr>
            <w:tcW w:w="3833" w:type="dxa"/>
            <w:vAlign w:val="center"/>
          </w:tcPr>
          <w:p w:rsidR="008E5B30" w:rsidRDefault="00013397">
            <w:pPr>
              <w:jc w:val="left"/>
            </w:pPr>
            <w:r>
              <w:rPr>
                <w:rFonts w:eastAsiaTheme="minorEastAsia"/>
                <w:szCs w:val="21"/>
              </w:rPr>
              <w:t>其他</w:t>
            </w:r>
          </w:p>
        </w:tc>
        <w:tc>
          <w:tcPr>
            <w:tcW w:w="5242" w:type="dxa"/>
            <w:vAlign w:val="center"/>
          </w:tcPr>
          <w:p w:rsidR="008E5B30" w:rsidRDefault="00013397">
            <w:pPr>
              <w:jc w:val="right"/>
            </w:pPr>
            <w:r>
              <w:rPr>
                <w:rFonts w:eastAsiaTheme="minorEastAsia"/>
                <w:szCs w:val="21"/>
              </w:rPr>
              <w:t>-</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12,537.96</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6.4.7.19</w:t>
      </w:r>
      <w:r w:rsidRPr="00C24ACA">
        <w:rPr>
          <w:rFonts w:eastAsiaTheme="minorEastAsia"/>
          <w:b/>
          <w:color w:val="000000"/>
          <w:szCs w:val="21"/>
        </w:rPr>
        <w:t>交易费用</w:t>
      </w:r>
    </w:p>
    <w:p w:rsidR="004D679F" w:rsidRPr="001412CA" w:rsidRDefault="004D679F"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本基金本报告期无交易费用。</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6.4.7.20</w:t>
      </w:r>
      <w:r w:rsidRPr="00C24ACA">
        <w:rPr>
          <w:rFonts w:eastAsiaTheme="minorEastAsia"/>
          <w:b/>
          <w:color w:val="000000"/>
          <w:szCs w:val="21"/>
        </w:rPr>
        <w:t>其他费用</w:t>
      </w:r>
    </w:p>
    <w:p w:rsidR="008A5A5D" w:rsidRPr="00C24ACA" w:rsidRDefault="008A5A5D" w:rsidP="003955D3">
      <w:pPr>
        <w:tabs>
          <w:tab w:val="left" w:pos="7200"/>
          <w:tab w:val="left" w:pos="8280"/>
          <w:tab w:val="left" w:pos="9000"/>
        </w:tabs>
        <w:ind w:rightChars="-52" w:right="-109"/>
        <w:jc w:val="right"/>
        <w:rPr>
          <w:rFonts w:eastAsiaTheme="minorEastAsia"/>
          <w:bCs/>
          <w:szCs w:val="21"/>
        </w:rPr>
      </w:pPr>
      <w:r w:rsidRPr="00C24ACA">
        <w:rPr>
          <w:rFonts w:eastAsiaTheme="minorEastAsia"/>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8A5A5D" w:rsidRPr="00C24ACA" w:rsidTr="00862636">
        <w:tc>
          <w:tcPr>
            <w:tcW w:w="3936"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50"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审计费用</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29,835.26</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信息披露费</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59,672.34</w:t>
            </w:r>
          </w:p>
        </w:tc>
      </w:tr>
      <w:tr w:rsidR="008E5B30">
        <w:tc>
          <w:tcPr>
            <w:tcW w:w="3936" w:type="dxa"/>
            <w:vAlign w:val="center"/>
          </w:tcPr>
          <w:p w:rsidR="008E5B30" w:rsidRDefault="00013397">
            <w:pPr>
              <w:jc w:val="left"/>
            </w:pPr>
            <w:r>
              <w:rPr>
                <w:rFonts w:eastAsiaTheme="minorEastAsia"/>
                <w:szCs w:val="21"/>
              </w:rPr>
              <w:t>银行汇划费</w:t>
            </w:r>
          </w:p>
        </w:tc>
        <w:tc>
          <w:tcPr>
            <w:tcW w:w="5350" w:type="dxa"/>
            <w:vAlign w:val="center"/>
          </w:tcPr>
          <w:p w:rsidR="008E5B30" w:rsidRDefault="00013397">
            <w:pPr>
              <w:jc w:val="right"/>
            </w:pPr>
            <w:r>
              <w:rPr>
                <w:rFonts w:eastAsiaTheme="minorEastAsia"/>
                <w:szCs w:val="21"/>
              </w:rPr>
              <w:t>10,849.35</w:t>
            </w:r>
          </w:p>
        </w:tc>
      </w:tr>
      <w:tr w:rsidR="008A5A5D" w:rsidRPr="00C24ACA" w:rsidTr="00862636">
        <w:tc>
          <w:tcPr>
            <w:tcW w:w="3936"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100,356.95</w:t>
            </w:r>
          </w:p>
        </w:tc>
      </w:tr>
    </w:tbl>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6.4.8 </w:t>
      </w:r>
      <w:r w:rsidRPr="00C24ACA">
        <w:rPr>
          <w:rFonts w:eastAsiaTheme="minorEastAsia"/>
          <w:b/>
          <w:color w:val="000000"/>
          <w:kern w:val="0"/>
          <w:szCs w:val="21"/>
        </w:rPr>
        <w:t>或有事项、资产负债表日后事项的说明</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6.4.8.1</w:t>
      </w:r>
      <w:r w:rsidRPr="00C24ACA">
        <w:rPr>
          <w:rFonts w:eastAsiaTheme="minorEastAsia"/>
          <w:b/>
          <w:color w:val="000000"/>
          <w:kern w:val="0"/>
          <w:szCs w:val="21"/>
        </w:rPr>
        <w:t xml:space="preserve"> </w:t>
      </w:r>
      <w:r w:rsidRPr="00C24ACA">
        <w:rPr>
          <w:rFonts w:eastAsiaTheme="minorEastAsia"/>
          <w:b/>
          <w:color w:val="000000"/>
          <w:kern w:val="0"/>
          <w:szCs w:val="21"/>
        </w:rPr>
        <w:t>或有事项</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截至资产负债表日，本基金无须作披露的或有事项。</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6.4.8.2</w:t>
      </w:r>
      <w:r w:rsidRPr="00C24ACA">
        <w:rPr>
          <w:rFonts w:eastAsiaTheme="minorEastAsia"/>
          <w:b/>
          <w:color w:val="000000"/>
          <w:kern w:val="0"/>
          <w:szCs w:val="21"/>
        </w:rPr>
        <w:t xml:space="preserve"> </w:t>
      </w:r>
      <w:r w:rsidRPr="00C24ACA">
        <w:rPr>
          <w:rFonts w:eastAsiaTheme="minorEastAsia"/>
          <w:b/>
          <w:color w:val="000000"/>
          <w:kern w:val="0"/>
          <w:szCs w:val="21"/>
        </w:rPr>
        <w:t>资产负债表日后事项</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截至本会计报表批准报出日，本基金无须作披露的资产负债表日后事项。</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6.4.9</w:t>
      </w:r>
      <w:r w:rsidRPr="00C24ACA">
        <w:rPr>
          <w:rFonts w:eastAsiaTheme="minorEastAsia"/>
          <w:b/>
          <w:color w:val="000000"/>
          <w:kern w:val="0"/>
          <w:szCs w:val="21"/>
        </w:rPr>
        <w:t>关联方关系</w:t>
      </w:r>
    </w:p>
    <w:p w:rsidR="008A5A5D" w:rsidRPr="00C24ACA" w:rsidRDefault="008A5A5D" w:rsidP="009967D7">
      <w:pPr>
        <w:spacing w:line="360" w:lineRule="auto"/>
        <w:rPr>
          <w:rFonts w:eastAsiaTheme="minorEastAsia"/>
          <w:b/>
          <w:kern w:val="0"/>
          <w:szCs w:val="21"/>
        </w:rPr>
      </w:pPr>
      <w:r w:rsidRPr="00C24ACA">
        <w:rPr>
          <w:rFonts w:eastAsiaTheme="minorEastAsia"/>
          <w:b/>
          <w:bCs/>
          <w:color w:val="000000"/>
          <w:kern w:val="0"/>
          <w:szCs w:val="21"/>
        </w:rPr>
        <w:t>6.4.9.1</w:t>
      </w:r>
      <w:r w:rsidRPr="00C24ACA">
        <w:rPr>
          <w:rFonts w:eastAsiaTheme="minorEastAsia"/>
          <w:b/>
          <w:kern w:val="0"/>
          <w:szCs w:val="21"/>
        </w:rPr>
        <w:t xml:space="preserve"> </w:t>
      </w:r>
      <w:r w:rsidRPr="00C24ACA">
        <w:rPr>
          <w:rFonts w:eastAsiaTheme="minorEastAsia"/>
          <w:b/>
          <w:kern w:val="0"/>
          <w:szCs w:val="21"/>
        </w:rPr>
        <w:t>本报告期存在控制关系或其他重大利害关系的关联方发生变化的情况</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本报告期内存在控制关系或其他重大利害关系的关联方未发生变化。</w:t>
      </w:r>
    </w:p>
    <w:p w:rsidR="008A5A5D" w:rsidRPr="00C24ACA" w:rsidRDefault="008A5A5D" w:rsidP="00732F5C">
      <w:pPr>
        <w:spacing w:beforeLines="100" w:before="312" w:line="360" w:lineRule="auto"/>
        <w:rPr>
          <w:rFonts w:eastAsiaTheme="minorEastAsia"/>
          <w:b/>
          <w:kern w:val="0"/>
          <w:szCs w:val="21"/>
        </w:rPr>
      </w:pPr>
      <w:r w:rsidRPr="00C24ACA">
        <w:rPr>
          <w:rFonts w:eastAsiaTheme="minorEastAsia"/>
          <w:b/>
          <w:bCs/>
          <w:color w:val="000000"/>
          <w:kern w:val="0"/>
          <w:szCs w:val="21"/>
        </w:rPr>
        <w:t>6.4.9.2</w:t>
      </w:r>
      <w:r w:rsidRPr="00C24ACA">
        <w:rPr>
          <w:rFonts w:eastAsiaTheme="minor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8A5A5D" w:rsidRPr="00C24ACA" w:rsidTr="004A4847">
        <w:tc>
          <w:tcPr>
            <w:tcW w:w="522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关联方名称</w:t>
            </w:r>
          </w:p>
        </w:tc>
        <w:tc>
          <w:tcPr>
            <w:tcW w:w="378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与本基金的关系</w:t>
            </w:r>
          </w:p>
        </w:tc>
      </w:tr>
      <w:tr w:rsidR="008E5B30">
        <w:tc>
          <w:tcPr>
            <w:tcW w:w="5220" w:type="dxa"/>
            <w:vAlign w:val="center"/>
          </w:tcPr>
          <w:p w:rsidR="008E5B30" w:rsidRDefault="00013397">
            <w:pPr>
              <w:jc w:val="left"/>
            </w:pPr>
            <w:r>
              <w:rPr>
                <w:rFonts w:eastAsiaTheme="minorEastAsia"/>
                <w:color w:val="000000"/>
                <w:szCs w:val="21"/>
              </w:rPr>
              <w:t>易方达基金管理有限公司</w:t>
            </w:r>
          </w:p>
        </w:tc>
        <w:tc>
          <w:tcPr>
            <w:tcW w:w="3780" w:type="dxa"/>
            <w:vAlign w:val="center"/>
          </w:tcPr>
          <w:p w:rsidR="008E5B30" w:rsidRDefault="00013397">
            <w:pPr>
              <w:jc w:val="left"/>
            </w:pPr>
            <w:r>
              <w:rPr>
                <w:rFonts w:eastAsiaTheme="minorEastAsia"/>
                <w:color w:val="000000"/>
                <w:szCs w:val="21"/>
              </w:rPr>
              <w:t>基金管理人、注册登记机构、基金销售机构</w:t>
            </w:r>
          </w:p>
        </w:tc>
      </w:tr>
      <w:tr w:rsidR="008E5B30">
        <w:tc>
          <w:tcPr>
            <w:tcW w:w="5220" w:type="dxa"/>
            <w:vAlign w:val="center"/>
          </w:tcPr>
          <w:p w:rsidR="008E5B30" w:rsidRDefault="00013397">
            <w:pPr>
              <w:jc w:val="left"/>
            </w:pPr>
            <w:r>
              <w:rPr>
                <w:rFonts w:eastAsiaTheme="minorEastAsia"/>
                <w:color w:val="000000"/>
                <w:szCs w:val="21"/>
              </w:rPr>
              <w:t>招商银行股份有限公司（以下简称</w:t>
            </w:r>
            <w:r>
              <w:rPr>
                <w:rFonts w:eastAsiaTheme="minorEastAsia"/>
                <w:color w:val="000000"/>
                <w:szCs w:val="21"/>
              </w:rPr>
              <w:t>“</w:t>
            </w:r>
            <w:r>
              <w:rPr>
                <w:rFonts w:eastAsiaTheme="minorEastAsia"/>
                <w:color w:val="000000"/>
                <w:szCs w:val="21"/>
              </w:rPr>
              <w:t>招商银行</w:t>
            </w:r>
            <w:r>
              <w:rPr>
                <w:rFonts w:eastAsiaTheme="minorEastAsia"/>
                <w:color w:val="000000"/>
                <w:szCs w:val="21"/>
              </w:rPr>
              <w:t>”</w:t>
            </w:r>
            <w:r>
              <w:rPr>
                <w:rFonts w:eastAsiaTheme="minorEastAsia"/>
                <w:color w:val="000000"/>
                <w:szCs w:val="21"/>
              </w:rPr>
              <w:t>）</w:t>
            </w:r>
            <w:r>
              <w:rPr>
                <w:rFonts w:eastAsiaTheme="minorEastAsia"/>
                <w:color w:val="000000"/>
                <w:szCs w:val="21"/>
              </w:rPr>
              <w:t xml:space="preserve"> </w:t>
            </w:r>
          </w:p>
        </w:tc>
        <w:tc>
          <w:tcPr>
            <w:tcW w:w="3780" w:type="dxa"/>
            <w:vAlign w:val="center"/>
          </w:tcPr>
          <w:p w:rsidR="008E5B30" w:rsidRDefault="00013397">
            <w:pPr>
              <w:jc w:val="left"/>
            </w:pPr>
            <w:r>
              <w:rPr>
                <w:rFonts w:eastAsiaTheme="minorEastAsia"/>
                <w:color w:val="000000"/>
                <w:szCs w:val="21"/>
              </w:rPr>
              <w:t>基金托管人、基金销售机构</w:t>
            </w:r>
          </w:p>
        </w:tc>
      </w:tr>
      <w:tr w:rsidR="008E5B30">
        <w:tc>
          <w:tcPr>
            <w:tcW w:w="5220" w:type="dxa"/>
            <w:vAlign w:val="center"/>
          </w:tcPr>
          <w:p w:rsidR="008E5B30" w:rsidRDefault="00013397">
            <w:pPr>
              <w:jc w:val="left"/>
            </w:pPr>
            <w:r>
              <w:rPr>
                <w:rFonts w:eastAsiaTheme="minorEastAsia"/>
                <w:color w:val="000000"/>
                <w:szCs w:val="21"/>
              </w:rPr>
              <w:t>香港上海汇丰银行有限公司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汇丰银行</w:t>
            </w:r>
            <w:r>
              <w:rPr>
                <w:rFonts w:eastAsiaTheme="minorEastAsia"/>
                <w:color w:val="000000"/>
                <w:szCs w:val="21"/>
              </w:rPr>
              <w:t>”)</w:t>
            </w:r>
          </w:p>
        </w:tc>
        <w:tc>
          <w:tcPr>
            <w:tcW w:w="3780" w:type="dxa"/>
            <w:vAlign w:val="center"/>
          </w:tcPr>
          <w:p w:rsidR="008E5B30" w:rsidRDefault="00013397">
            <w:pPr>
              <w:jc w:val="left"/>
            </w:pPr>
            <w:r>
              <w:rPr>
                <w:rFonts w:eastAsiaTheme="minorEastAsia"/>
                <w:color w:val="000000"/>
                <w:szCs w:val="21"/>
              </w:rPr>
              <w:t>境外资产托管人</w:t>
            </w:r>
          </w:p>
        </w:tc>
      </w:tr>
      <w:tr w:rsidR="008E5B30">
        <w:tc>
          <w:tcPr>
            <w:tcW w:w="5220" w:type="dxa"/>
            <w:vAlign w:val="center"/>
          </w:tcPr>
          <w:p w:rsidR="008E5B30" w:rsidRDefault="00013397">
            <w:pPr>
              <w:jc w:val="left"/>
            </w:pPr>
            <w:r>
              <w:rPr>
                <w:rFonts w:eastAsiaTheme="minorEastAsia"/>
                <w:color w:val="000000"/>
                <w:szCs w:val="21"/>
              </w:rPr>
              <w:t>广发证券股份有限公司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广发证券</w:t>
            </w:r>
            <w:r>
              <w:rPr>
                <w:rFonts w:eastAsiaTheme="minorEastAsia"/>
                <w:color w:val="000000"/>
                <w:szCs w:val="21"/>
              </w:rPr>
              <w:t>”)</w:t>
            </w:r>
          </w:p>
        </w:tc>
        <w:tc>
          <w:tcPr>
            <w:tcW w:w="3780" w:type="dxa"/>
            <w:vAlign w:val="center"/>
          </w:tcPr>
          <w:p w:rsidR="008E5B30" w:rsidRDefault="00013397">
            <w:pPr>
              <w:jc w:val="left"/>
            </w:pPr>
            <w:r>
              <w:rPr>
                <w:rFonts w:eastAsiaTheme="minorEastAsia"/>
                <w:color w:val="000000"/>
                <w:szCs w:val="21"/>
              </w:rPr>
              <w:t>基金管理人股东、基金销售机构</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注：以下关联交易均在正常业务范围内按一般商业条款订立。</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6.4.10 </w:t>
      </w:r>
      <w:r w:rsidRPr="00C24ACA">
        <w:rPr>
          <w:rFonts w:eastAsiaTheme="minorEastAsia"/>
          <w:b/>
          <w:color w:val="000000"/>
          <w:kern w:val="0"/>
          <w:szCs w:val="21"/>
        </w:rPr>
        <w:t>本报告期及上年度可比期间的关联方交易</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6.4.10.1</w:t>
      </w:r>
      <w:r w:rsidRPr="00C24ACA">
        <w:rPr>
          <w:rFonts w:eastAsiaTheme="minorEastAsia"/>
          <w:b/>
          <w:color w:val="000000"/>
          <w:kern w:val="0"/>
          <w:szCs w:val="21"/>
        </w:rPr>
        <w:t xml:space="preserve"> </w:t>
      </w:r>
      <w:r w:rsidRPr="00C24ACA">
        <w:rPr>
          <w:rFonts w:eastAsiaTheme="minorEastAsia"/>
          <w:b/>
          <w:color w:val="000000"/>
          <w:kern w:val="0"/>
          <w:szCs w:val="21"/>
        </w:rPr>
        <w:t>通过关联方交易单元进行的交易</w:t>
      </w:r>
    </w:p>
    <w:p w:rsidR="008A5A5D" w:rsidRPr="00C24ACA" w:rsidRDefault="008A5A5D" w:rsidP="009967D7">
      <w:pPr>
        <w:spacing w:line="360" w:lineRule="auto"/>
        <w:rPr>
          <w:rFonts w:eastAsiaTheme="minorEastAsia"/>
          <w:color w:val="000000"/>
          <w:szCs w:val="21"/>
        </w:rPr>
      </w:pPr>
      <w:r w:rsidRPr="00C24ACA">
        <w:rPr>
          <w:rFonts w:eastAsiaTheme="minorEastAsia"/>
          <w:b/>
          <w:bCs/>
          <w:color w:val="000000"/>
          <w:kern w:val="0"/>
          <w:szCs w:val="21"/>
        </w:rPr>
        <w:t>6.4.10.1.1</w:t>
      </w:r>
      <w:r w:rsidRPr="00C24ACA">
        <w:rPr>
          <w:rFonts w:eastAsiaTheme="minorEastAsia"/>
          <w:b/>
          <w:color w:val="000000"/>
          <w:szCs w:val="21"/>
        </w:rPr>
        <w:t>股票交易</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本基金本报告期及上年度可比期间未发生通过关联方交易单元进行的股票交易。</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6.4.10.1.2</w:t>
      </w:r>
      <w:r w:rsidRPr="00C24ACA">
        <w:rPr>
          <w:rFonts w:eastAsiaTheme="minorEastAsia"/>
          <w:b/>
          <w:color w:val="000000"/>
          <w:szCs w:val="21"/>
        </w:rPr>
        <w:t>权证交易</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本基金本报告期及上年度可比期间未发生通过关联方交易单元进行的权证交易。</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6.4.10.1.3</w:t>
      </w:r>
      <w:r w:rsidRPr="00C24ACA">
        <w:rPr>
          <w:rFonts w:eastAsiaTheme="minorEastAsia"/>
          <w:b/>
          <w:color w:val="000000"/>
          <w:szCs w:val="21"/>
        </w:rPr>
        <w:t>应支付关联方的佣金</w:t>
      </w:r>
    </w:p>
    <w:p w:rsidR="008A5A5D" w:rsidRPr="00C24ACA" w:rsidRDefault="00A97A4E"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本基金本报告期及上年度可比期间无应支付关联方的佣金。</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w:t>
      </w:r>
      <w:r w:rsidRPr="00C24ACA">
        <w:rPr>
          <w:rFonts w:eastAsiaTheme="minorEastAsia"/>
          <w:b/>
          <w:color w:val="000000"/>
          <w:kern w:val="0"/>
          <w:szCs w:val="21"/>
        </w:rPr>
        <w:t>关联方报酬</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6.4.10.2.1</w:t>
      </w:r>
      <w:r w:rsidRPr="00C24ACA">
        <w:rPr>
          <w:rFonts w:eastAsiaTheme="minorEastAsia"/>
          <w:b/>
          <w:color w:val="000000"/>
          <w:kern w:val="0"/>
          <w:szCs w:val="21"/>
        </w:rPr>
        <w:t>基金管理费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5</w:t>
            </w:r>
            <w:r w:rsidRPr="00C24ACA">
              <w:rPr>
                <w:rFonts w:eastAsiaTheme="minorEastAsia"/>
                <w:color w:val="000000"/>
                <w:szCs w:val="21"/>
              </w:rPr>
              <w:t>日（基金合同生效日）至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当期发生的基金应支付的管理费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1,583,849.00</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176,403.92</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其中：支付销售机构的客户维护费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677,299.95</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91,612.92</w:t>
            </w:r>
          </w:p>
        </w:tc>
      </w:tr>
    </w:tbl>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注：本基金的管理费按前一日基金资产净值的</w:t>
      </w:r>
      <w:r>
        <w:rPr>
          <w:rFonts w:eastAsiaTheme="minorEastAsia"/>
          <w:kern w:val="0"/>
          <w:szCs w:val="21"/>
        </w:rPr>
        <w:t>0.5%</w:t>
      </w:r>
      <w:r>
        <w:rPr>
          <w:rFonts w:eastAsiaTheme="minorEastAsia"/>
          <w:kern w:val="0"/>
          <w:szCs w:val="21"/>
        </w:rPr>
        <w:t>年费率计提。管理费的计算方法如下：</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E×0.5%÷</w:t>
      </w:r>
      <w:r>
        <w:rPr>
          <w:rFonts w:eastAsiaTheme="minorEastAsia"/>
          <w:kern w:val="0"/>
          <w:szCs w:val="21"/>
        </w:rPr>
        <w:t>当年天数</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为每日应计提的基金管理费</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E</w:t>
      </w:r>
      <w:r>
        <w:rPr>
          <w:rFonts w:eastAsiaTheme="minorEastAsia"/>
          <w:kern w:val="0"/>
          <w:szCs w:val="21"/>
        </w:rPr>
        <w:t>为前一日的基金资产净值</w:t>
      </w:r>
    </w:p>
    <w:p w:rsidR="00A97A4E" w:rsidRPr="00C24ACA" w:rsidRDefault="00A97A4E"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基金管理费每日计算，逐日累计至每月月末，按月支付，由基金管理人与基金托管人核对一致后，基金托管人按照与基金管理人协商一致的方式于次月前</w:t>
      </w:r>
      <w:r w:rsidRPr="00C24ACA">
        <w:rPr>
          <w:rFonts w:eastAsiaTheme="minorEastAsia"/>
          <w:kern w:val="0"/>
          <w:szCs w:val="21"/>
        </w:rPr>
        <w:t>5</w:t>
      </w:r>
      <w:r w:rsidRPr="00C24ACA">
        <w:rPr>
          <w:rFonts w:eastAsiaTheme="minorEastAsia"/>
          <w:kern w:val="0"/>
          <w:szCs w:val="21"/>
        </w:rPr>
        <w:t>个工作日内从基金财产中一次性支付给基金管理人。若遇法定节假日、公休假等，支付日期顺延。</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6.4.10.2.2</w:t>
      </w:r>
      <w:r w:rsidRPr="00C24ACA">
        <w:rPr>
          <w:rFonts w:eastAsiaTheme="minorEastAsia"/>
          <w:b/>
          <w:color w:val="000000"/>
          <w:kern w:val="0"/>
          <w:szCs w:val="21"/>
        </w:rPr>
        <w:t>基金托管费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5</w:t>
            </w:r>
            <w:r w:rsidRPr="00C24ACA">
              <w:rPr>
                <w:rFonts w:eastAsiaTheme="minorEastAsia"/>
                <w:color w:val="000000"/>
                <w:szCs w:val="21"/>
              </w:rPr>
              <w:t>日（基金合同生效日）至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当期发生的基金应支付的托管费</w:t>
            </w:r>
          </w:p>
        </w:tc>
        <w:tc>
          <w:tcPr>
            <w:tcW w:w="2657" w:type="dxa"/>
            <w:vAlign w:val="center"/>
          </w:tcPr>
          <w:p w:rsidR="00A97A4E" w:rsidRPr="00C24ACA" w:rsidRDefault="00A97A4E" w:rsidP="00A97A4E">
            <w:pPr>
              <w:jc w:val="right"/>
              <w:rPr>
                <w:rFonts w:eastAsiaTheme="minorEastAsia"/>
                <w:color w:val="000000"/>
                <w:kern w:val="0"/>
                <w:szCs w:val="21"/>
              </w:rPr>
            </w:pPr>
            <w:r w:rsidRPr="00C24ACA">
              <w:rPr>
                <w:rFonts w:eastAsiaTheme="minorEastAsia"/>
                <w:szCs w:val="21"/>
              </w:rPr>
              <w:t>475,154.72</w:t>
            </w:r>
          </w:p>
        </w:tc>
        <w:tc>
          <w:tcPr>
            <w:tcW w:w="2588" w:type="dxa"/>
            <w:vAlign w:val="center"/>
          </w:tcPr>
          <w:p w:rsidR="00A97A4E" w:rsidRPr="00C24ACA" w:rsidRDefault="00A97A4E" w:rsidP="00A97A4E">
            <w:pPr>
              <w:jc w:val="right"/>
              <w:rPr>
                <w:rFonts w:eastAsiaTheme="minorEastAsia"/>
                <w:color w:val="000000"/>
                <w:szCs w:val="21"/>
              </w:rPr>
            </w:pPr>
            <w:r w:rsidRPr="00C24ACA">
              <w:rPr>
                <w:rFonts w:eastAsiaTheme="minorEastAsia"/>
                <w:szCs w:val="21"/>
              </w:rPr>
              <w:t>52,921.16</w:t>
            </w:r>
          </w:p>
        </w:tc>
      </w:tr>
    </w:tbl>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注：本基金的托管费按前一日基金资产净值的</w:t>
      </w:r>
      <w:r>
        <w:rPr>
          <w:rFonts w:eastAsiaTheme="minorEastAsia"/>
          <w:kern w:val="0"/>
          <w:szCs w:val="21"/>
        </w:rPr>
        <w:t>0.15%</w:t>
      </w:r>
      <w:r>
        <w:rPr>
          <w:rFonts w:eastAsiaTheme="minorEastAsia"/>
          <w:kern w:val="0"/>
          <w:szCs w:val="21"/>
        </w:rPr>
        <w:t>的年费率计提。托管费的计算方法如下：</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E×0.15%÷</w:t>
      </w:r>
      <w:r>
        <w:rPr>
          <w:rFonts w:eastAsiaTheme="minorEastAsia"/>
          <w:kern w:val="0"/>
          <w:szCs w:val="21"/>
        </w:rPr>
        <w:t>当年天数</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为每日应计提的基金托管费</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E</w:t>
      </w:r>
      <w:r>
        <w:rPr>
          <w:rFonts w:eastAsiaTheme="minorEastAsia"/>
          <w:kern w:val="0"/>
          <w:szCs w:val="21"/>
        </w:rPr>
        <w:t>为前一日的基金资产净值</w:t>
      </w:r>
    </w:p>
    <w:p w:rsidR="00A97A4E" w:rsidRPr="00C24ACA" w:rsidRDefault="00A97A4E"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基金托管费每日计算，逐日累计至每月月末，按月支付，由基金管理人与基金托管人核对一致后，基金托管人按照约定的方式于次月前</w:t>
      </w:r>
      <w:r w:rsidRPr="00C24ACA">
        <w:rPr>
          <w:rFonts w:eastAsiaTheme="minorEastAsia"/>
          <w:kern w:val="0"/>
          <w:szCs w:val="21"/>
        </w:rPr>
        <w:t>5</w:t>
      </w:r>
      <w:r w:rsidRPr="00C24ACA">
        <w:rPr>
          <w:rFonts w:eastAsiaTheme="minorEastAsia"/>
          <w:kern w:val="0"/>
          <w:szCs w:val="21"/>
        </w:rPr>
        <w:t>个工作日内从基金财产中一次性支取。若遇法定节假日、公休日等，支付日期顺延。</w:t>
      </w:r>
    </w:p>
    <w:p w:rsidR="00871B95" w:rsidRPr="00C24ACA" w:rsidRDefault="00871B95"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6.4.10.2.3 </w:t>
      </w:r>
      <w:r w:rsidRPr="00C24ACA">
        <w:rPr>
          <w:rFonts w:eastAsiaTheme="minorEastAsia"/>
          <w:b/>
          <w:color w:val="000000"/>
          <w:kern w:val="0"/>
          <w:szCs w:val="21"/>
        </w:rPr>
        <w:t>销售服务费</w:t>
      </w:r>
    </w:p>
    <w:p w:rsidR="003921B9" w:rsidRPr="00325F8A" w:rsidRDefault="003921B9" w:rsidP="003921B9">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2287"/>
        <w:gridCol w:w="2409"/>
        <w:gridCol w:w="2691"/>
      </w:tblGrid>
      <w:tr w:rsidR="003921B9" w:rsidRPr="00325F8A" w:rsidTr="00A218AC">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A218AC">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A218AC">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易方达中短期美元债债券（</w:t>
            </w:r>
            <w:r w:rsidRPr="00325F8A">
              <w:rPr>
                <w:rFonts w:eastAsiaTheme="minorEastAsia"/>
                <w:szCs w:val="21"/>
              </w:rPr>
              <w:t>QDII</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易方达中短期美元债债券（</w:t>
            </w:r>
            <w:r w:rsidRPr="00325F8A">
              <w:rPr>
                <w:rFonts w:eastAsiaTheme="minorEastAsia"/>
                <w:szCs w:val="21"/>
              </w:rPr>
              <w:t>QDII</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8E5B30">
        <w:tc>
          <w:tcPr>
            <w:tcW w:w="2108" w:type="dxa"/>
            <w:vAlign w:val="center"/>
          </w:tcPr>
          <w:p w:rsidR="008E5B30" w:rsidRDefault="00013397">
            <w:pPr>
              <w:jc w:val="left"/>
            </w:pPr>
            <w:r>
              <w:rPr>
                <w:rFonts w:eastAsiaTheme="minorEastAsia"/>
                <w:szCs w:val="21"/>
              </w:rPr>
              <w:t>易方达基金管理有限公司</w:t>
            </w:r>
          </w:p>
        </w:tc>
        <w:tc>
          <w:tcPr>
            <w:tcW w:w="2287" w:type="dxa"/>
            <w:vAlign w:val="center"/>
          </w:tcPr>
          <w:p w:rsidR="008E5B30" w:rsidRDefault="00013397">
            <w:pPr>
              <w:jc w:val="right"/>
            </w:pPr>
            <w:r>
              <w:rPr>
                <w:rFonts w:eastAsiaTheme="minorEastAsia"/>
                <w:szCs w:val="21"/>
              </w:rPr>
              <w:t>-</w:t>
            </w:r>
          </w:p>
        </w:tc>
        <w:tc>
          <w:tcPr>
            <w:tcW w:w="2409" w:type="dxa"/>
            <w:vAlign w:val="center"/>
          </w:tcPr>
          <w:p w:rsidR="008E5B30" w:rsidRDefault="00013397">
            <w:pPr>
              <w:jc w:val="right"/>
            </w:pPr>
            <w:r>
              <w:rPr>
                <w:rFonts w:eastAsiaTheme="minorEastAsia"/>
                <w:szCs w:val="21"/>
              </w:rPr>
              <w:t>3,489.12</w:t>
            </w:r>
          </w:p>
        </w:tc>
        <w:tc>
          <w:tcPr>
            <w:tcW w:w="2691" w:type="dxa"/>
            <w:vAlign w:val="center"/>
          </w:tcPr>
          <w:p w:rsidR="008E5B30" w:rsidRDefault="00013397">
            <w:pPr>
              <w:jc w:val="right"/>
            </w:pPr>
            <w:r>
              <w:rPr>
                <w:rFonts w:eastAsiaTheme="minorEastAsia"/>
                <w:szCs w:val="21"/>
              </w:rPr>
              <w:t>3,489.12</w:t>
            </w:r>
          </w:p>
        </w:tc>
      </w:tr>
      <w:tr w:rsidR="008E5B30">
        <w:tc>
          <w:tcPr>
            <w:tcW w:w="2108" w:type="dxa"/>
            <w:vAlign w:val="center"/>
          </w:tcPr>
          <w:p w:rsidR="008E5B30" w:rsidRDefault="00013397">
            <w:pPr>
              <w:jc w:val="left"/>
            </w:pPr>
            <w:r>
              <w:rPr>
                <w:rFonts w:eastAsiaTheme="minorEastAsia"/>
                <w:szCs w:val="21"/>
              </w:rPr>
              <w:t>招商银行</w:t>
            </w:r>
          </w:p>
        </w:tc>
        <w:tc>
          <w:tcPr>
            <w:tcW w:w="2287" w:type="dxa"/>
            <w:vAlign w:val="center"/>
          </w:tcPr>
          <w:p w:rsidR="008E5B30" w:rsidRDefault="00013397">
            <w:pPr>
              <w:jc w:val="right"/>
            </w:pPr>
            <w:r>
              <w:rPr>
                <w:rFonts w:eastAsiaTheme="minorEastAsia"/>
                <w:szCs w:val="21"/>
              </w:rPr>
              <w:t>-</w:t>
            </w:r>
          </w:p>
        </w:tc>
        <w:tc>
          <w:tcPr>
            <w:tcW w:w="2409" w:type="dxa"/>
            <w:vAlign w:val="center"/>
          </w:tcPr>
          <w:p w:rsidR="008E5B30" w:rsidRDefault="00013397">
            <w:pPr>
              <w:jc w:val="right"/>
            </w:pPr>
            <w:r>
              <w:rPr>
                <w:rFonts w:eastAsiaTheme="minorEastAsia"/>
                <w:szCs w:val="21"/>
              </w:rPr>
              <w:t>285,969.69</w:t>
            </w:r>
          </w:p>
        </w:tc>
        <w:tc>
          <w:tcPr>
            <w:tcW w:w="2691" w:type="dxa"/>
            <w:vAlign w:val="center"/>
          </w:tcPr>
          <w:p w:rsidR="008E5B30" w:rsidRDefault="00013397">
            <w:pPr>
              <w:jc w:val="right"/>
            </w:pPr>
            <w:r>
              <w:rPr>
                <w:rFonts w:eastAsiaTheme="minorEastAsia"/>
                <w:szCs w:val="21"/>
              </w:rPr>
              <w:t>285,969.69</w:t>
            </w:r>
          </w:p>
        </w:tc>
      </w:tr>
      <w:tr w:rsidR="008E5B30">
        <w:tc>
          <w:tcPr>
            <w:tcW w:w="2108" w:type="dxa"/>
            <w:vAlign w:val="center"/>
          </w:tcPr>
          <w:p w:rsidR="008E5B30" w:rsidRDefault="00013397">
            <w:pPr>
              <w:jc w:val="left"/>
            </w:pPr>
            <w:r>
              <w:rPr>
                <w:rFonts w:eastAsiaTheme="minorEastAsia"/>
                <w:szCs w:val="21"/>
              </w:rPr>
              <w:t>广发证券</w:t>
            </w:r>
          </w:p>
        </w:tc>
        <w:tc>
          <w:tcPr>
            <w:tcW w:w="2287" w:type="dxa"/>
            <w:vAlign w:val="center"/>
          </w:tcPr>
          <w:p w:rsidR="008E5B30" w:rsidRDefault="00013397">
            <w:pPr>
              <w:jc w:val="right"/>
            </w:pPr>
            <w:r>
              <w:rPr>
                <w:rFonts w:eastAsiaTheme="minorEastAsia"/>
                <w:szCs w:val="21"/>
              </w:rPr>
              <w:t>-</w:t>
            </w:r>
          </w:p>
        </w:tc>
        <w:tc>
          <w:tcPr>
            <w:tcW w:w="2409" w:type="dxa"/>
            <w:vAlign w:val="center"/>
          </w:tcPr>
          <w:p w:rsidR="008E5B30" w:rsidRDefault="00013397">
            <w:pPr>
              <w:jc w:val="right"/>
            </w:pPr>
            <w:r>
              <w:rPr>
                <w:rFonts w:eastAsiaTheme="minorEastAsia"/>
                <w:szCs w:val="21"/>
              </w:rPr>
              <w:t>10.39</w:t>
            </w:r>
          </w:p>
        </w:tc>
        <w:tc>
          <w:tcPr>
            <w:tcW w:w="2691" w:type="dxa"/>
            <w:vAlign w:val="center"/>
          </w:tcPr>
          <w:p w:rsidR="008E5B30" w:rsidRDefault="00013397">
            <w:pPr>
              <w:jc w:val="right"/>
            </w:pPr>
            <w:r>
              <w:rPr>
                <w:rFonts w:eastAsiaTheme="minorEastAsia"/>
                <w:szCs w:val="21"/>
              </w:rPr>
              <w:t>10.39</w:t>
            </w:r>
          </w:p>
        </w:tc>
      </w:tr>
      <w:tr w:rsidR="003921B9" w:rsidRPr="00325F8A" w:rsidTr="00A218AC">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289,469.20</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289,469.20</w:t>
            </w:r>
          </w:p>
        </w:tc>
      </w:tr>
      <w:tr w:rsidR="003921B9" w:rsidRPr="00325F8A" w:rsidTr="00A218AC">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5</w:t>
            </w:r>
            <w:r w:rsidRPr="00325F8A">
              <w:rPr>
                <w:rFonts w:eastAsiaTheme="minorEastAsia"/>
                <w:szCs w:val="21"/>
              </w:rPr>
              <w:t>日（基金合同生效日）至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A218AC">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A218AC">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易方达中短期美元债债券（</w:t>
            </w:r>
            <w:r w:rsidRPr="00325F8A">
              <w:rPr>
                <w:rFonts w:eastAsiaTheme="minorEastAsia"/>
                <w:szCs w:val="21"/>
              </w:rPr>
              <w:t>QDII</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易方达中短期美元债债券（</w:t>
            </w:r>
            <w:r w:rsidRPr="00325F8A">
              <w:rPr>
                <w:rFonts w:eastAsiaTheme="minorEastAsia"/>
                <w:szCs w:val="21"/>
              </w:rPr>
              <w:t>QDII</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8E5B30">
        <w:tc>
          <w:tcPr>
            <w:tcW w:w="2108" w:type="dxa"/>
            <w:vAlign w:val="center"/>
          </w:tcPr>
          <w:p w:rsidR="008E5B30" w:rsidRDefault="00013397">
            <w:pPr>
              <w:jc w:val="left"/>
            </w:pPr>
            <w:r>
              <w:rPr>
                <w:rFonts w:eastAsiaTheme="minorEastAsia"/>
                <w:szCs w:val="21"/>
              </w:rPr>
              <w:t>易方达基金管理有限公司</w:t>
            </w:r>
          </w:p>
        </w:tc>
        <w:tc>
          <w:tcPr>
            <w:tcW w:w="2287" w:type="dxa"/>
            <w:vAlign w:val="center"/>
          </w:tcPr>
          <w:p w:rsidR="008E5B30" w:rsidRDefault="00013397">
            <w:pPr>
              <w:jc w:val="right"/>
            </w:pPr>
            <w:r>
              <w:rPr>
                <w:rFonts w:eastAsiaTheme="minorEastAsia"/>
                <w:szCs w:val="21"/>
              </w:rPr>
              <w:t>-</w:t>
            </w:r>
          </w:p>
        </w:tc>
        <w:tc>
          <w:tcPr>
            <w:tcW w:w="2409" w:type="dxa"/>
            <w:vAlign w:val="center"/>
          </w:tcPr>
          <w:p w:rsidR="008E5B30" w:rsidRDefault="00013397">
            <w:pPr>
              <w:jc w:val="right"/>
            </w:pPr>
            <w:r>
              <w:rPr>
                <w:rFonts w:eastAsiaTheme="minorEastAsia"/>
                <w:szCs w:val="21"/>
              </w:rPr>
              <w:t>223.81</w:t>
            </w:r>
          </w:p>
        </w:tc>
        <w:tc>
          <w:tcPr>
            <w:tcW w:w="2691" w:type="dxa"/>
            <w:vAlign w:val="center"/>
          </w:tcPr>
          <w:p w:rsidR="008E5B30" w:rsidRDefault="00013397">
            <w:pPr>
              <w:jc w:val="right"/>
            </w:pPr>
            <w:r>
              <w:rPr>
                <w:rFonts w:eastAsiaTheme="minorEastAsia"/>
                <w:szCs w:val="21"/>
              </w:rPr>
              <w:t>223.81</w:t>
            </w:r>
          </w:p>
        </w:tc>
      </w:tr>
      <w:tr w:rsidR="008E5B30">
        <w:tc>
          <w:tcPr>
            <w:tcW w:w="2108" w:type="dxa"/>
            <w:vAlign w:val="center"/>
          </w:tcPr>
          <w:p w:rsidR="008E5B30" w:rsidRDefault="00013397">
            <w:pPr>
              <w:jc w:val="left"/>
            </w:pPr>
            <w:r>
              <w:rPr>
                <w:rFonts w:eastAsiaTheme="minorEastAsia"/>
                <w:szCs w:val="21"/>
              </w:rPr>
              <w:t>招商银行</w:t>
            </w:r>
          </w:p>
        </w:tc>
        <w:tc>
          <w:tcPr>
            <w:tcW w:w="2287" w:type="dxa"/>
            <w:vAlign w:val="center"/>
          </w:tcPr>
          <w:p w:rsidR="008E5B30" w:rsidRDefault="00013397">
            <w:pPr>
              <w:jc w:val="right"/>
            </w:pPr>
            <w:r>
              <w:rPr>
                <w:rFonts w:eastAsiaTheme="minorEastAsia"/>
                <w:szCs w:val="21"/>
              </w:rPr>
              <w:t>-</w:t>
            </w:r>
          </w:p>
        </w:tc>
        <w:tc>
          <w:tcPr>
            <w:tcW w:w="2409" w:type="dxa"/>
            <w:vAlign w:val="center"/>
          </w:tcPr>
          <w:p w:rsidR="008E5B30" w:rsidRDefault="00013397">
            <w:pPr>
              <w:jc w:val="right"/>
            </w:pPr>
            <w:r>
              <w:rPr>
                <w:rFonts w:eastAsiaTheme="minorEastAsia"/>
                <w:szCs w:val="21"/>
              </w:rPr>
              <w:t>40,079.49</w:t>
            </w:r>
          </w:p>
        </w:tc>
        <w:tc>
          <w:tcPr>
            <w:tcW w:w="2691" w:type="dxa"/>
            <w:vAlign w:val="center"/>
          </w:tcPr>
          <w:p w:rsidR="008E5B30" w:rsidRDefault="00013397">
            <w:pPr>
              <w:jc w:val="right"/>
            </w:pPr>
            <w:r>
              <w:rPr>
                <w:rFonts w:eastAsiaTheme="minorEastAsia"/>
                <w:szCs w:val="21"/>
              </w:rPr>
              <w:t>40,079.49</w:t>
            </w:r>
          </w:p>
        </w:tc>
      </w:tr>
      <w:tr w:rsidR="003921B9" w:rsidRPr="00325F8A" w:rsidTr="00A218AC">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40,303.30</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40,303.30</w:t>
            </w:r>
          </w:p>
        </w:tc>
      </w:tr>
    </w:tbl>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注：本基金</w:t>
      </w:r>
      <w:r>
        <w:rPr>
          <w:rFonts w:eastAsiaTheme="minorEastAsia"/>
          <w:kern w:val="0"/>
          <w:szCs w:val="21"/>
        </w:rPr>
        <w:t>A</w:t>
      </w:r>
      <w:r>
        <w:rPr>
          <w:rFonts w:eastAsiaTheme="minorEastAsia"/>
          <w:kern w:val="0"/>
          <w:szCs w:val="21"/>
        </w:rPr>
        <w:t>类基金份额不收取销售服务费，</w:t>
      </w:r>
      <w:r>
        <w:rPr>
          <w:rFonts w:eastAsiaTheme="minorEastAsia"/>
          <w:kern w:val="0"/>
          <w:szCs w:val="21"/>
        </w:rPr>
        <w:t>C</w:t>
      </w:r>
      <w:r>
        <w:rPr>
          <w:rFonts w:eastAsiaTheme="minorEastAsia"/>
          <w:kern w:val="0"/>
          <w:szCs w:val="21"/>
        </w:rPr>
        <w:t>类基金份额的销售服务费年费率为</w:t>
      </w:r>
      <w:r>
        <w:rPr>
          <w:rFonts w:eastAsiaTheme="minorEastAsia"/>
          <w:kern w:val="0"/>
          <w:szCs w:val="21"/>
        </w:rPr>
        <w:t>0.3%</w:t>
      </w:r>
      <w:r>
        <w:rPr>
          <w:rFonts w:eastAsiaTheme="minorEastAsia"/>
          <w:kern w:val="0"/>
          <w:szCs w:val="21"/>
        </w:rPr>
        <w:t>，按前一日</w:t>
      </w:r>
      <w:r>
        <w:rPr>
          <w:rFonts w:eastAsiaTheme="minorEastAsia"/>
          <w:kern w:val="0"/>
          <w:szCs w:val="21"/>
        </w:rPr>
        <w:t>C</w:t>
      </w:r>
      <w:r>
        <w:rPr>
          <w:rFonts w:eastAsiaTheme="minorEastAsia"/>
          <w:kern w:val="0"/>
          <w:szCs w:val="21"/>
        </w:rPr>
        <w:t>类基金资产净值的</w:t>
      </w:r>
      <w:r>
        <w:rPr>
          <w:rFonts w:eastAsiaTheme="minorEastAsia"/>
          <w:kern w:val="0"/>
          <w:szCs w:val="21"/>
        </w:rPr>
        <w:t>0.3%</w:t>
      </w:r>
      <w:r>
        <w:rPr>
          <w:rFonts w:eastAsiaTheme="minorEastAsia"/>
          <w:kern w:val="0"/>
          <w:szCs w:val="21"/>
        </w:rPr>
        <w:t>年费率计提。</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销售服务费的计算方法如下：</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E×0.3%÷</w:t>
      </w:r>
      <w:r>
        <w:rPr>
          <w:rFonts w:eastAsiaTheme="minorEastAsia"/>
          <w:kern w:val="0"/>
          <w:szCs w:val="21"/>
        </w:rPr>
        <w:t>当年天数</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H </w:t>
      </w:r>
      <w:r>
        <w:rPr>
          <w:rFonts w:eastAsiaTheme="minorEastAsia"/>
          <w:kern w:val="0"/>
          <w:szCs w:val="21"/>
        </w:rPr>
        <w:t>为</w:t>
      </w:r>
      <w:r>
        <w:rPr>
          <w:rFonts w:eastAsiaTheme="minorEastAsia"/>
          <w:kern w:val="0"/>
          <w:szCs w:val="21"/>
        </w:rPr>
        <w:t>C</w:t>
      </w:r>
      <w:r>
        <w:rPr>
          <w:rFonts w:eastAsiaTheme="minorEastAsia"/>
          <w:kern w:val="0"/>
          <w:szCs w:val="21"/>
        </w:rPr>
        <w:t>类基金份额每日应计提的销售服务费</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E </w:t>
      </w:r>
      <w:r>
        <w:rPr>
          <w:rFonts w:eastAsiaTheme="minorEastAsia"/>
          <w:kern w:val="0"/>
          <w:szCs w:val="21"/>
        </w:rPr>
        <w:t>为</w:t>
      </w:r>
      <w:r>
        <w:rPr>
          <w:rFonts w:eastAsiaTheme="minorEastAsia"/>
          <w:kern w:val="0"/>
          <w:szCs w:val="21"/>
        </w:rPr>
        <w:t>C</w:t>
      </w:r>
      <w:r>
        <w:rPr>
          <w:rFonts w:eastAsiaTheme="minorEastAsia"/>
          <w:kern w:val="0"/>
          <w:szCs w:val="21"/>
        </w:rPr>
        <w:t>类基金份额前一日基金资产净值</w:t>
      </w:r>
    </w:p>
    <w:p w:rsidR="008A5A5D" w:rsidRPr="00C24ACA" w:rsidRDefault="003921B9" w:rsidP="008134C7">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销售服务费每日计算，逐日累计至每月月末，按月支付，由基金管理人与基金托管人核对一致后，基金托管人按照与基金管理人协商一致的方式于次月前</w:t>
      </w:r>
      <w:r w:rsidRPr="001412CA">
        <w:rPr>
          <w:rFonts w:eastAsiaTheme="minorEastAsia"/>
          <w:kern w:val="0"/>
          <w:szCs w:val="21"/>
        </w:rPr>
        <w:t>5</w:t>
      </w:r>
      <w:r w:rsidRPr="001412CA">
        <w:rPr>
          <w:rFonts w:eastAsiaTheme="minorEastAsia"/>
          <w:kern w:val="0"/>
          <w:szCs w:val="21"/>
        </w:rPr>
        <w:t>个工作日内从基金财产中一次性支付。若遇法定节假日、公休假等，支付日期顺延。</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6.4.10.3</w:t>
      </w:r>
      <w:r w:rsidRPr="00C24ACA">
        <w:rPr>
          <w:rFonts w:eastAsiaTheme="minorEastAsia"/>
          <w:b/>
          <w:bCs/>
          <w:color w:val="000000"/>
          <w:szCs w:val="21"/>
        </w:rPr>
        <w:t>与关联方进行银行间同业市场的债券</w:t>
      </w:r>
      <w:r w:rsidRPr="00C24ACA">
        <w:rPr>
          <w:rFonts w:eastAsiaTheme="minorEastAsia"/>
          <w:b/>
          <w:bCs/>
          <w:color w:val="000000"/>
          <w:szCs w:val="21"/>
        </w:rPr>
        <w:t>(</w:t>
      </w:r>
      <w:r w:rsidRPr="00C24ACA">
        <w:rPr>
          <w:rFonts w:eastAsiaTheme="minorEastAsia"/>
          <w:b/>
          <w:bCs/>
          <w:color w:val="000000"/>
          <w:szCs w:val="21"/>
        </w:rPr>
        <w:t>含回购</w:t>
      </w:r>
      <w:r w:rsidRPr="00C24ACA">
        <w:rPr>
          <w:rFonts w:eastAsiaTheme="minorEastAsia"/>
          <w:b/>
          <w:bCs/>
          <w:color w:val="000000"/>
          <w:szCs w:val="21"/>
        </w:rPr>
        <w:t>)</w:t>
      </w:r>
      <w:r w:rsidRPr="00C24ACA">
        <w:rPr>
          <w:rFonts w:eastAsiaTheme="minorEastAsia"/>
          <w:b/>
          <w:bCs/>
          <w:color w:val="000000"/>
          <w:szCs w:val="21"/>
        </w:rPr>
        <w:t>交易</w:t>
      </w:r>
    </w:p>
    <w:p w:rsidR="0096290F" w:rsidRPr="00C24ACA" w:rsidRDefault="0096290F"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本基金本报告期及上年度可比期间未与关联方进行银行间同业市场债券（含回购）交易。</w:t>
      </w:r>
    </w:p>
    <w:p w:rsidR="008A5A5D" w:rsidRPr="00C24ACA" w:rsidRDefault="008A5A5D" w:rsidP="00EC68BF">
      <w:pPr>
        <w:spacing w:line="360" w:lineRule="auto"/>
        <w:rPr>
          <w:rFonts w:eastAsiaTheme="minorEastAsia"/>
          <w:b/>
          <w:bCs/>
          <w:color w:val="000000"/>
          <w:szCs w:val="21"/>
        </w:rPr>
      </w:pPr>
      <w:r w:rsidRPr="00C24ACA">
        <w:rPr>
          <w:rFonts w:eastAsiaTheme="minorEastAsia"/>
          <w:b/>
          <w:bCs/>
          <w:color w:val="000000"/>
          <w:kern w:val="0"/>
          <w:szCs w:val="21"/>
        </w:rPr>
        <w:t>6.4.10.4</w:t>
      </w:r>
      <w:r w:rsidRPr="00C24ACA">
        <w:rPr>
          <w:rFonts w:eastAsiaTheme="minorEastAsia"/>
          <w:b/>
          <w:bCs/>
          <w:color w:val="000000"/>
          <w:szCs w:val="21"/>
        </w:rPr>
        <w:t>各关联方投资本基金的情况</w:t>
      </w:r>
    </w:p>
    <w:p w:rsidR="008A5A5D" w:rsidRPr="00C24ACA" w:rsidRDefault="008A5A5D" w:rsidP="00EC68BF">
      <w:pPr>
        <w:adjustRightInd w:val="0"/>
        <w:snapToGrid w:val="0"/>
        <w:spacing w:line="360" w:lineRule="auto"/>
        <w:rPr>
          <w:rFonts w:eastAsiaTheme="minorEastAsia"/>
          <w:b/>
          <w:bCs/>
          <w:color w:val="000000"/>
          <w:szCs w:val="21"/>
        </w:rPr>
      </w:pPr>
      <w:r w:rsidRPr="00C24ACA">
        <w:rPr>
          <w:rFonts w:eastAsiaTheme="minorEastAsia"/>
          <w:b/>
          <w:bCs/>
          <w:color w:val="000000"/>
          <w:kern w:val="0"/>
          <w:szCs w:val="21"/>
        </w:rPr>
        <w:t>6.4.10.4.1</w:t>
      </w:r>
      <w:r w:rsidRPr="00C24ACA">
        <w:rPr>
          <w:rFonts w:eastAsiaTheme="minorEastAsia"/>
          <w:b/>
          <w:bCs/>
          <w:color w:val="000000"/>
          <w:szCs w:val="21"/>
        </w:rPr>
        <w:t>报告期内基金管理人运用固有资金投资本基金的情况</w:t>
      </w:r>
    </w:p>
    <w:p w:rsidR="00732F5C" w:rsidRPr="00D77452" w:rsidRDefault="00732F5C" w:rsidP="00732F5C">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9B7B09" w:rsidRPr="007F6A4B" w:rsidRDefault="008A5A5D" w:rsidP="007F6A4B">
      <w:pPr>
        <w:adjustRightInd w:val="0"/>
        <w:snapToGrid w:val="0"/>
        <w:spacing w:line="360" w:lineRule="auto"/>
        <w:rPr>
          <w:rFonts w:eastAsiaTheme="minorEastAsia"/>
          <w:b/>
          <w:bCs/>
          <w:color w:val="000000"/>
          <w:kern w:val="0"/>
          <w:szCs w:val="21"/>
        </w:rPr>
      </w:pPr>
      <w:r w:rsidRPr="00C24ACA">
        <w:rPr>
          <w:rFonts w:eastAsiaTheme="minorEastAsia"/>
          <w:b/>
          <w:bCs/>
          <w:color w:val="000000"/>
          <w:kern w:val="0"/>
          <w:szCs w:val="21"/>
        </w:rPr>
        <w:t>6.4.10.4.2</w:t>
      </w:r>
      <w:r w:rsidRPr="007F6A4B">
        <w:rPr>
          <w:rFonts w:eastAsiaTheme="minorEastAsia"/>
          <w:b/>
          <w:bCs/>
          <w:color w:val="000000"/>
          <w:kern w:val="0"/>
          <w:szCs w:val="21"/>
        </w:rPr>
        <w:t>报告期末除基金管理人之外的其他关联方投资本基金的情况</w:t>
      </w:r>
    </w:p>
    <w:p w:rsidR="009B7B09" w:rsidRPr="003560D2" w:rsidRDefault="009B7B09" w:rsidP="009B7B09">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易方达中短期美元债债券（</w:t>
      </w:r>
      <w:r w:rsidRPr="003560D2">
        <w:rPr>
          <w:rFonts w:eastAsiaTheme="minorEastAsia" w:hint="eastAsia"/>
          <w:b/>
          <w:color w:val="000000"/>
          <w:szCs w:val="21"/>
        </w:rPr>
        <w:t>QDII</w:t>
      </w:r>
      <w:r w:rsidRPr="003560D2">
        <w:rPr>
          <w:rFonts w:eastAsiaTheme="minorEastAsia" w:hint="eastAsia"/>
          <w:b/>
          <w:color w:val="000000"/>
          <w:szCs w:val="21"/>
        </w:rPr>
        <w:t>）</w:t>
      </w:r>
      <w:r w:rsidRPr="003560D2">
        <w:rPr>
          <w:rFonts w:eastAsiaTheme="minorEastAsia" w:hint="eastAsia"/>
          <w:b/>
          <w:color w:val="000000"/>
          <w:szCs w:val="21"/>
        </w:rPr>
        <w:t>A</w:t>
      </w:r>
    </w:p>
    <w:p w:rsidR="009B7B09" w:rsidRPr="00325F8A" w:rsidRDefault="009B7B09" w:rsidP="009B7B09">
      <w:pPr>
        <w:tabs>
          <w:tab w:val="left" w:pos="426"/>
        </w:tabs>
        <w:spacing w:line="360" w:lineRule="auto"/>
        <w:ind w:firstLineChars="200" w:firstLine="420"/>
        <w:jc w:val="left"/>
        <w:rPr>
          <w:kern w:val="0"/>
          <w:szCs w:val="21"/>
        </w:rPr>
      </w:pPr>
      <w:r w:rsidRPr="00325F8A">
        <w:rPr>
          <w:kern w:val="0"/>
          <w:szCs w:val="21"/>
        </w:rPr>
        <w:t>无。</w:t>
      </w:r>
    </w:p>
    <w:p w:rsidR="009B7B09" w:rsidRPr="00325F8A" w:rsidRDefault="009B7B09" w:rsidP="009B7B09">
      <w:pPr>
        <w:adjustRightInd w:val="0"/>
        <w:snapToGrid w:val="0"/>
        <w:spacing w:line="288" w:lineRule="auto"/>
        <w:ind w:firstLineChars="200" w:firstLine="422"/>
        <w:rPr>
          <w:b/>
          <w:bCs/>
          <w:color w:val="000000"/>
          <w:szCs w:val="21"/>
        </w:rPr>
      </w:pPr>
      <w:r w:rsidRPr="00325F8A">
        <w:rPr>
          <w:rFonts w:eastAsiaTheme="minorEastAsia"/>
          <w:b/>
          <w:szCs w:val="21"/>
        </w:rPr>
        <w:t>易方达中短期美元债债券（</w:t>
      </w:r>
      <w:r w:rsidRPr="00325F8A">
        <w:rPr>
          <w:rFonts w:eastAsiaTheme="minorEastAsia"/>
          <w:b/>
          <w:szCs w:val="21"/>
        </w:rPr>
        <w:t>QDII</w:t>
      </w:r>
      <w:r w:rsidRPr="00325F8A">
        <w:rPr>
          <w:rFonts w:eastAsiaTheme="minorEastAsia"/>
          <w:b/>
          <w:szCs w:val="21"/>
        </w:rPr>
        <w:t>）</w:t>
      </w:r>
      <w:r w:rsidRPr="00325F8A">
        <w:rPr>
          <w:rFonts w:eastAsiaTheme="minorEastAsia"/>
          <w:b/>
          <w:szCs w:val="21"/>
        </w:rPr>
        <w:t>C</w:t>
      </w:r>
    </w:p>
    <w:p w:rsidR="009B7B09" w:rsidRPr="00683042" w:rsidRDefault="009B7B09" w:rsidP="009B7B09">
      <w:pPr>
        <w:tabs>
          <w:tab w:val="left" w:pos="426"/>
        </w:tabs>
        <w:spacing w:line="360" w:lineRule="auto"/>
        <w:ind w:firstLineChars="200" w:firstLine="420"/>
        <w:jc w:val="left"/>
        <w:rPr>
          <w:kern w:val="0"/>
          <w:szCs w:val="21"/>
        </w:rPr>
      </w:pPr>
      <w:r w:rsidRPr="00683042">
        <w:rPr>
          <w:rFonts w:hint="eastAsia"/>
          <w:kern w:val="0"/>
          <w:szCs w:val="21"/>
        </w:rPr>
        <w:t>无。</w:t>
      </w:r>
    </w:p>
    <w:p w:rsidR="008A5A5D" w:rsidRPr="00C24ACA" w:rsidRDefault="008A5A5D" w:rsidP="009B7B09">
      <w:pPr>
        <w:adjustRightInd w:val="0"/>
        <w:snapToGrid w:val="0"/>
        <w:spacing w:beforeLines="100" w:before="312" w:line="360" w:lineRule="auto"/>
        <w:rPr>
          <w:rFonts w:eastAsiaTheme="minorEastAsia"/>
          <w:b/>
          <w:bCs/>
          <w:color w:val="000000"/>
          <w:szCs w:val="21"/>
        </w:rPr>
      </w:pPr>
      <w:r w:rsidRPr="00C24ACA">
        <w:rPr>
          <w:rFonts w:eastAsiaTheme="minorEastAsia"/>
          <w:b/>
          <w:bCs/>
          <w:color w:val="000000"/>
          <w:kern w:val="0"/>
          <w:szCs w:val="21"/>
        </w:rPr>
        <w:t>6.4.10.5</w:t>
      </w:r>
      <w:r w:rsidRPr="00C24ACA">
        <w:rPr>
          <w:rFonts w:eastAsiaTheme="minorEastAsia"/>
          <w:b/>
          <w:bCs/>
          <w:color w:val="000000"/>
          <w:szCs w:val="21"/>
        </w:rPr>
        <w:t>由关联方保管的银行存款余额及当期产生的利息收入</w:t>
      </w:r>
    </w:p>
    <w:p w:rsidR="008A5A5D" w:rsidRPr="00C24ACA" w:rsidRDefault="008A5A5D" w:rsidP="002116B9">
      <w:pPr>
        <w:autoSpaceDE w:val="0"/>
        <w:autoSpaceDN w:val="0"/>
        <w:adjustRightInd w:val="0"/>
        <w:spacing w:before="29" w:line="288" w:lineRule="auto"/>
        <w:ind w:left="15" w:right="210"/>
        <w:jc w:val="right"/>
        <w:rPr>
          <w:rFonts w:eastAsiaTheme="minorEastAsia"/>
          <w:bCs/>
          <w:color w:val="000000"/>
          <w:szCs w:val="21"/>
        </w:rPr>
      </w:pPr>
      <w:r w:rsidRPr="00C24ACA">
        <w:rPr>
          <w:rFonts w:eastAsiaTheme="minorEastAsia"/>
          <w:bCs/>
          <w:color w:val="000000"/>
          <w:szCs w:val="21"/>
        </w:rPr>
        <w:t>单位：人民币元</w:t>
      </w:r>
    </w:p>
    <w:tbl>
      <w:tblPr>
        <w:tblStyle w:val="af7"/>
        <w:tblW w:w="0" w:type="auto"/>
        <w:tblInd w:w="108" w:type="dxa"/>
        <w:tblLayout w:type="fixed"/>
        <w:tblLook w:val="04A0" w:firstRow="1" w:lastRow="0" w:firstColumn="1" w:lastColumn="0" w:noHBand="0" w:noVBand="1"/>
      </w:tblPr>
      <w:tblGrid>
        <w:gridCol w:w="1526"/>
        <w:gridCol w:w="1851"/>
        <w:gridCol w:w="1851"/>
        <w:gridCol w:w="1851"/>
        <w:gridCol w:w="1851"/>
      </w:tblGrid>
      <w:tr w:rsidR="00B01102" w:rsidRPr="00C24ACA" w:rsidTr="004C02E0">
        <w:tc>
          <w:tcPr>
            <w:tcW w:w="1526" w:type="dxa"/>
            <w:vMerge w:val="restart"/>
            <w:vAlign w:val="center"/>
          </w:tcPr>
          <w:p w:rsidR="00B01102" w:rsidRPr="00C24ACA" w:rsidRDefault="00B01102" w:rsidP="00145CAE">
            <w:pPr>
              <w:jc w:val="center"/>
              <w:rPr>
                <w:rFonts w:eastAsiaTheme="minorEastAsia"/>
                <w:kern w:val="0"/>
                <w:szCs w:val="21"/>
              </w:rPr>
            </w:pPr>
            <w:r w:rsidRPr="00C24ACA">
              <w:rPr>
                <w:rFonts w:eastAsiaTheme="minorEastAsia"/>
                <w:color w:val="000000"/>
                <w:szCs w:val="21"/>
              </w:rPr>
              <w:t>关联方名称</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本期</w:t>
            </w:r>
          </w:p>
          <w:p w:rsidR="00B01102" w:rsidRPr="00C24ACA" w:rsidRDefault="00B01102" w:rsidP="00B01102">
            <w:pPr>
              <w:jc w:val="left"/>
              <w:rPr>
                <w:rFonts w:eastAsiaTheme="minorEastAsia"/>
                <w:kern w:val="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上年度可比期间</w:t>
            </w:r>
          </w:p>
          <w:p w:rsidR="00B01102" w:rsidRPr="00C24ACA" w:rsidRDefault="00B01102" w:rsidP="000E28C9">
            <w:pPr>
              <w:jc w:val="left"/>
              <w:rPr>
                <w:rFonts w:eastAsiaTheme="minorEastAsia"/>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5</w:t>
            </w:r>
            <w:r w:rsidRPr="00C24ACA">
              <w:rPr>
                <w:rFonts w:eastAsiaTheme="minorEastAsia"/>
                <w:color w:val="000000"/>
                <w:szCs w:val="21"/>
              </w:rPr>
              <w:t>日（基金合同生效日）至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B01102" w:rsidRPr="00C24ACA" w:rsidTr="004C02E0">
        <w:tc>
          <w:tcPr>
            <w:tcW w:w="1526" w:type="dxa"/>
            <w:vMerge/>
          </w:tcPr>
          <w:p w:rsidR="00B01102" w:rsidRPr="00C24ACA" w:rsidRDefault="00B01102" w:rsidP="002116B9">
            <w:pPr>
              <w:jc w:val="left"/>
              <w:rPr>
                <w:rFonts w:eastAsiaTheme="minorEastAsia"/>
                <w:kern w:val="0"/>
                <w:szCs w:val="21"/>
              </w:rPr>
            </w:pP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r>
      <w:tr w:rsidR="008E5B30">
        <w:tc>
          <w:tcPr>
            <w:tcW w:w="1526" w:type="dxa"/>
            <w:vAlign w:val="center"/>
          </w:tcPr>
          <w:p w:rsidR="008E5B30" w:rsidRDefault="00013397">
            <w:pPr>
              <w:jc w:val="left"/>
            </w:pPr>
            <w:r>
              <w:rPr>
                <w:rFonts w:eastAsiaTheme="minorEastAsia"/>
                <w:szCs w:val="21"/>
              </w:rPr>
              <w:t>招商银行</w:t>
            </w:r>
            <w:r>
              <w:rPr>
                <w:rFonts w:eastAsiaTheme="minorEastAsia"/>
                <w:szCs w:val="21"/>
              </w:rPr>
              <w:t>-</w:t>
            </w:r>
            <w:r>
              <w:rPr>
                <w:rFonts w:eastAsiaTheme="minorEastAsia"/>
                <w:szCs w:val="21"/>
              </w:rPr>
              <w:t>活期存款</w:t>
            </w:r>
          </w:p>
        </w:tc>
        <w:tc>
          <w:tcPr>
            <w:tcW w:w="1851" w:type="dxa"/>
            <w:vAlign w:val="center"/>
          </w:tcPr>
          <w:p w:rsidR="008E5B30" w:rsidRDefault="00013397">
            <w:pPr>
              <w:jc w:val="right"/>
            </w:pPr>
            <w:r>
              <w:rPr>
                <w:rFonts w:eastAsiaTheme="minorEastAsia"/>
                <w:szCs w:val="21"/>
              </w:rPr>
              <w:t>4,434,239.70</w:t>
            </w:r>
          </w:p>
        </w:tc>
        <w:tc>
          <w:tcPr>
            <w:tcW w:w="1851" w:type="dxa"/>
            <w:vAlign w:val="center"/>
          </w:tcPr>
          <w:p w:rsidR="008E5B30" w:rsidRDefault="00013397">
            <w:pPr>
              <w:jc w:val="right"/>
            </w:pPr>
            <w:r>
              <w:rPr>
                <w:rFonts w:eastAsiaTheme="minorEastAsia"/>
                <w:szCs w:val="21"/>
              </w:rPr>
              <w:t>10,962.96</w:t>
            </w:r>
          </w:p>
        </w:tc>
        <w:tc>
          <w:tcPr>
            <w:tcW w:w="1851" w:type="dxa"/>
            <w:vAlign w:val="center"/>
          </w:tcPr>
          <w:p w:rsidR="008E5B30" w:rsidRDefault="00013397">
            <w:pPr>
              <w:jc w:val="right"/>
            </w:pPr>
            <w:r>
              <w:rPr>
                <w:rFonts w:eastAsiaTheme="minorEastAsia"/>
                <w:szCs w:val="21"/>
              </w:rPr>
              <w:t>4,681,784.90</w:t>
            </w:r>
          </w:p>
        </w:tc>
        <w:tc>
          <w:tcPr>
            <w:tcW w:w="1851" w:type="dxa"/>
            <w:vAlign w:val="center"/>
          </w:tcPr>
          <w:p w:rsidR="008E5B30" w:rsidRDefault="00013397">
            <w:pPr>
              <w:jc w:val="right"/>
            </w:pPr>
            <w:r>
              <w:rPr>
                <w:rFonts w:eastAsiaTheme="minorEastAsia"/>
                <w:szCs w:val="21"/>
              </w:rPr>
              <w:t>11,034.35</w:t>
            </w:r>
          </w:p>
        </w:tc>
      </w:tr>
      <w:tr w:rsidR="008E5B30">
        <w:tc>
          <w:tcPr>
            <w:tcW w:w="1526" w:type="dxa"/>
            <w:vAlign w:val="center"/>
          </w:tcPr>
          <w:p w:rsidR="008E5B30" w:rsidRDefault="00013397">
            <w:pPr>
              <w:jc w:val="left"/>
            </w:pPr>
            <w:r>
              <w:rPr>
                <w:rFonts w:eastAsiaTheme="minorEastAsia"/>
                <w:szCs w:val="21"/>
              </w:rPr>
              <w:t>汇丰银行</w:t>
            </w:r>
            <w:r>
              <w:rPr>
                <w:rFonts w:eastAsiaTheme="minorEastAsia"/>
                <w:szCs w:val="21"/>
              </w:rPr>
              <w:t>-</w:t>
            </w:r>
            <w:r>
              <w:rPr>
                <w:rFonts w:eastAsiaTheme="minorEastAsia"/>
                <w:szCs w:val="21"/>
              </w:rPr>
              <w:t>活期存款</w:t>
            </w:r>
          </w:p>
        </w:tc>
        <w:tc>
          <w:tcPr>
            <w:tcW w:w="1851" w:type="dxa"/>
            <w:vAlign w:val="center"/>
          </w:tcPr>
          <w:p w:rsidR="008E5B30" w:rsidRDefault="00013397">
            <w:pPr>
              <w:jc w:val="right"/>
            </w:pPr>
            <w:r>
              <w:rPr>
                <w:rFonts w:eastAsiaTheme="minorEastAsia"/>
                <w:szCs w:val="21"/>
              </w:rPr>
              <w:t>21,828,237.50</w:t>
            </w:r>
          </w:p>
        </w:tc>
        <w:tc>
          <w:tcPr>
            <w:tcW w:w="1851" w:type="dxa"/>
            <w:vAlign w:val="center"/>
          </w:tcPr>
          <w:p w:rsidR="008E5B30" w:rsidRDefault="00013397">
            <w:pPr>
              <w:jc w:val="right"/>
            </w:pPr>
            <w:r>
              <w:rPr>
                <w:rFonts w:eastAsiaTheme="minorEastAsia"/>
                <w:szCs w:val="21"/>
              </w:rPr>
              <w:t>15,489.81</w:t>
            </w:r>
          </w:p>
        </w:tc>
        <w:tc>
          <w:tcPr>
            <w:tcW w:w="1851" w:type="dxa"/>
            <w:vAlign w:val="center"/>
          </w:tcPr>
          <w:p w:rsidR="008E5B30" w:rsidRDefault="00013397">
            <w:pPr>
              <w:jc w:val="right"/>
            </w:pPr>
            <w:r>
              <w:rPr>
                <w:rFonts w:eastAsiaTheme="minorEastAsia"/>
                <w:szCs w:val="21"/>
              </w:rPr>
              <w:t>16,782,822.53</w:t>
            </w:r>
          </w:p>
        </w:tc>
        <w:tc>
          <w:tcPr>
            <w:tcW w:w="1851" w:type="dxa"/>
            <w:vAlign w:val="center"/>
          </w:tcPr>
          <w:p w:rsidR="008E5B30" w:rsidRDefault="00013397">
            <w:pPr>
              <w:jc w:val="right"/>
            </w:pPr>
            <w:r>
              <w:rPr>
                <w:rFonts w:eastAsiaTheme="minorEastAsia"/>
                <w:szCs w:val="21"/>
              </w:rPr>
              <w:t>62,701.69</w:t>
            </w:r>
          </w:p>
        </w:tc>
      </w:tr>
      <w:tr w:rsidR="008E5B30">
        <w:tc>
          <w:tcPr>
            <w:tcW w:w="1526" w:type="dxa"/>
            <w:vAlign w:val="center"/>
          </w:tcPr>
          <w:p w:rsidR="008E5B30" w:rsidRDefault="00013397">
            <w:pPr>
              <w:jc w:val="left"/>
            </w:pPr>
            <w:r>
              <w:rPr>
                <w:rFonts w:eastAsiaTheme="minorEastAsia"/>
                <w:szCs w:val="21"/>
              </w:rPr>
              <w:t>汇丰银行</w:t>
            </w:r>
            <w:r>
              <w:rPr>
                <w:rFonts w:eastAsiaTheme="minorEastAsia"/>
                <w:szCs w:val="21"/>
              </w:rPr>
              <w:t>-</w:t>
            </w:r>
            <w:r>
              <w:rPr>
                <w:rFonts w:eastAsiaTheme="minorEastAsia"/>
                <w:szCs w:val="21"/>
              </w:rPr>
              <w:t>定期存款</w:t>
            </w:r>
          </w:p>
        </w:tc>
        <w:tc>
          <w:tcPr>
            <w:tcW w:w="1851" w:type="dxa"/>
            <w:vAlign w:val="center"/>
          </w:tcPr>
          <w:p w:rsidR="008E5B30" w:rsidRDefault="00013397">
            <w:pPr>
              <w:jc w:val="right"/>
            </w:pPr>
            <w:r>
              <w:rPr>
                <w:rFonts w:eastAsiaTheme="minorEastAsia"/>
                <w:szCs w:val="21"/>
              </w:rPr>
              <w:t>-</w:t>
            </w:r>
          </w:p>
        </w:tc>
        <w:tc>
          <w:tcPr>
            <w:tcW w:w="1851" w:type="dxa"/>
            <w:vAlign w:val="center"/>
          </w:tcPr>
          <w:p w:rsidR="008E5B30" w:rsidRDefault="00013397">
            <w:pPr>
              <w:jc w:val="right"/>
            </w:pPr>
            <w:r>
              <w:rPr>
                <w:rFonts w:eastAsiaTheme="minorEastAsia"/>
                <w:szCs w:val="21"/>
              </w:rPr>
              <w:t>-</w:t>
            </w:r>
          </w:p>
        </w:tc>
        <w:tc>
          <w:tcPr>
            <w:tcW w:w="1851" w:type="dxa"/>
            <w:vAlign w:val="center"/>
          </w:tcPr>
          <w:p w:rsidR="008E5B30" w:rsidRDefault="00013397">
            <w:pPr>
              <w:jc w:val="right"/>
            </w:pPr>
            <w:r>
              <w:rPr>
                <w:rFonts w:eastAsiaTheme="minorEastAsia"/>
                <w:szCs w:val="21"/>
              </w:rPr>
              <w:t>-</w:t>
            </w:r>
          </w:p>
        </w:tc>
        <w:tc>
          <w:tcPr>
            <w:tcW w:w="1851" w:type="dxa"/>
            <w:vAlign w:val="center"/>
          </w:tcPr>
          <w:p w:rsidR="008E5B30" w:rsidRDefault="00013397">
            <w:pPr>
              <w:jc w:val="right"/>
            </w:pPr>
            <w:r>
              <w:rPr>
                <w:rFonts w:eastAsiaTheme="minorEastAsia"/>
                <w:szCs w:val="21"/>
              </w:rPr>
              <w:t>131,211.42</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注：本基金的上述银行存款由基金托管人招商银行股份有限公司和香港上海汇丰银行有限公司保管，按银行同业利率或约定利率计息。</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6.4.10.6</w:t>
      </w:r>
      <w:r w:rsidRPr="00C24ACA">
        <w:rPr>
          <w:rFonts w:eastAsiaTheme="minorEastAsia"/>
          <w:b/>
          <w:bCs/>
          <w:color w:val="000000"/>
          <w:szCs w:val="21"/>
        </w:rPr>
        <w:t>本基金在承销期内参与关联方承销证券的情况</w:t>
      </w:r>
    </w:p>
    <w:p w:rsidR="008A5A5D" w:rsidRPr="00C24ACA" w:rsidRDefault="00EF6CFA"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本基金本报告期及上年度可比期间未在承销期内参与关联方承销证券。</w:t>
      </w:r>
    </w:p>
    <w:p w:rsidR="00AE3215" w:rsidRPr="00A73188" w:rsidRDefault="00AE3215" w:rsidP="00732F5C">
      <w:pPr>
        <w:adjustRightInd w:val="0"/>
        <w:snapToGrid w:val="0"/>
        <w:spacing w:beforeLines="100" w:before="312" w:line="360" w:lineRule="auto"/>
        <w:rPr>
          <w:rFonts w:eastAsiaTheme="minorEastAsia"/>
          <w:b/>
          <w:color w:val="000000" w:themeColor="text1"/>
          <w:szCs w:val="21"/>
        </w:rPr>
      </w:pPr>
      <w:r w:rsidRPr="00A73188">
        <w:rPr>
          <w:rFonts w:eastAsiaTheme="minorEastAsia"/>
          <w:b/>
          <w:bCs/>
          <w:color w:val="000000" w:themeColor="text1"/>
          <w:kern w:val="0"/>
          <w:szCs w:val="21"/>
        </w:rPr>
        <w:t xml:space="preserve">6.4.10.7 </w:t>
      </w:r>
      <w:r w:rsidRPr="00A73188">
        <w:rPr>
          <w:rFonts w:eastAsiaTheme="minorEastAsia"/>
          <w:b/>
          <w:color w:val="000000" w:themeColor="text1"/>
          <w:szCs w:val="21"/>
        </w:rPr>
        <w:t>其他关联交易事项的说明</w:t>
      </w:r>
    </w:p>
    <w:p w:rsidR="00AE3215" w:rsidRPr="00A73188" w:rsidRDefault="00AE3215" w:rsidP="00AE3215">
      <w:pPr>
        <w:adjustRightInd w:val="0"/>
        <w:snapToGrid w:val="0"/>
        <w:spacing w:line="360" w:lineRule="auto"/>
        <w:rPr>
          <w:rFonts w:eastAsiaTheme="minorEastAsia"/>
          <w:b/>
          <w:color w:val="000000" w:themeColor="text1"/>
          <w:szCs w:val="21"/>
        </w:rPr>
      </w:pPr>
      <w:r w:rsidRPr="00A73188">
        <w:rPr>
          <w:rFonts w:eastAsiaTheme="minorEastAsia"/>
          <w:b/>
          <w:bCs/>
          <w:color w:val="000000" w:themeColor="text1"/>
          <w:kern w:val="0"/>
          <w:szCs w:val="21"/>
        </w:rPr>
        <w:t>6.4.10.7</w:t>
      </w:r>
      <w:r w:rsidRPr="00A73188">
        <w:rPr>
          <w:rFonts w:eastAsiaTheme="minorEastAsia" w:hint="eastAsia"/>
          <w:b/>
          <w:bCs/>
          <w:color w:val="000000" w:themeColor="text1"/>
          <w:kern w:val="0"/>
          <w:szCs w:val="21"/>
        </w:rPr>
        <w:t xml:space="preserve">.1 </w:t>
      </w:r>
      <w:r w:rsidRPr="00A73188">
        <w:rPr>
          <w:rFonts w:eastAsiaTheme="minorEastAsia"/>
          <w:b/>
          <w:color w:val="000000" w:themeColor="text1"/>
          <w:szCs w:val="21"/>
        </w:rPr>
        <w:t>其他关联交易事项的说明</w:t>
      </w:r>
    </w:p>
    <w:p w:rsidR="00AE3215" w:rsidRPr="001412CA" w:rsidRDefault="00AE3215"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无。</w:t>
      </w:r>
    </w:p>
    <w:p w:rsidR="00CC3588" w:rsidRDefault="008A5A5D" w:rsidP="00CC3588">
      <w:pPr>
        <w:adjustRightInd w:val="0"/>
        <w:snapToGrid w:val="0"/>
        <w:spacing w:beforeLines="50" w:before="156" w:line="360" w:lineRule="auto"/>
        <w:rPr>
          <w:rFonts w:eastAsiaTheme="minorEastAsia"/>
          <w:b/>
          <w:bCs/>
          <w:color w:val="000000"/>
          <w:szCs w:val="21"/>
        </w:rPr>
      </w:pPr>
      <w:r w:rsidRPr="00C24ACA">
        <w:rPr>
          <w:rFonts w:eastAsiaTheme="minorEastAsia"/>
          <w:b/>
          <w:bCs/>
          <w:color w:val="000000"/>
          <w:kern w:val="0"/>
          <w:szCs w:val="21"/>
        </w:rPr>
        <w:t>6.4.11</w:t>
      </w:r>
      <w:r w:rsidRPr="00C24ACA">
        <w:rPr>
          <w:rFonts w:eastAsiaTheme="minorEastAsia"/>
          <w:b/>
          <w:bCs/>
          <w:color w:val="000000"/>
          <w:szCs w:val="21"/>
        </w:rPr>
        <w:t>利润分配情况</w:t>
      </w:r>
    </w:p>
    <w:p w:rsidR="00CC3588" w:rsidRDefault="00CC3588" w:rsidP="00CC3588">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易方达中短期美元债债券（</w:t>
      </w:r>
      <w:r>
        <w:rPr>
          <w:rFonts w:eastAsiaTheme="minorEastAsia"/>
          <w:b/>
          <w:color w:val="000000"/>
          <w:szCs w:val="21"/>
        </w:rPr>
        <w:t>QDII</w:t>
      </w:r>
      <w:r>
        <w:rPr>
          <w:rFonts w:eastAsiaTheme="minorEastAsia"/>
          <w:b/>
          <w:color w:val="000000"/>
          <w:szCs w:val="21"/>
        </w:rPr>
        <w:t>）</w:t>
      </w:r>
      <w:r>
        <w:rPr>
          <w:rFonts w:eastAsiaTheme="minorEastAsia"/>
          <w:b/>
          <w:color w:val="000000"/>
          <w:szCs w:val="21"/>
        </w:rPr>
        <w:t>A</w:t>
      </w:r>
    </w:p>
    <w:p w:rsidR="00CC3588" w:rsidRDefault="00CC3588" w:rsidP="00CC3588">
      <w:pPr>
        <w:tabs>
          <w:tab w:val="left" w:pos="426"/>
        </w:tabs>
        <w:spacing w:line="360" w:lineRule="auto"/>
        <w:ind w:firstLineChars="200" w:firstLine="420"/>
        <w:jc w:val="left"/>
        <w:rPr>
          <w:kern w:val="0"/>
          <w:szCs w:val="21"/>
        </w:rPr>
      </w:pPr>
      <w:r>
        <w:rPr>
          <w:kern w:val="0"/>
          <w:szCs w:val="21"/>
        </w:rPr>
        <w:t>本报告期内未发生利润分配。</w:t>
      </w:r>
    </w:p>
    <w:p w:rsidR="00CC3588" w:rsidRDefault="00CC3588" w:rsidP="00CC3588">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易方达中短期美元债债券（</w:t>
      </w:r>
      <w:r>
        <w:rPr>
          <w:rFonts w:eastAsiaTheme="minorEastAsia"/>
          <w:b/>
          <w:color w:val="000000"/>
          <w:szCs w:val="21"/>
        </w:rPr>
        <w:t>QDII</w:t>
      </w:r>
      <w:r>
        <w:rPr>
          <w:rFonts w:eastAsiaTheme="minorEastAsia"/>
          <w:b/>
          <w:color w:val="000000"/>
          <w:szCs w:val="21"/>
        </w:rPr>
        <w:t>）</w:t>
      </w:r>
      <w:r>
        <w:rPr>
          <w:rFonts w:eastAsiaTheme="minorEastAsia"/>
          <w:b/>
          <w:color w:val="000000"/>
          <w:szCs w:val="21"/>
        </w:rPr>
        <w:t>C</w:t>
      </w:r>
    </w:p>
    <w:p w:rsidR="00CC3588" w:rsidRDefault="00CC3588" w:rsidP="00CC3588">
      <w:pPr>
        <w:tabs>
          <w:tab w:val="left" w:pos="426"/>
        </w:tabs>
        <w:spacing w:line="360" w:lineRule="auto"/>
        <w:ind w:firstLineChars="200" w:firstLine="420"/>
        <w:rPr>
          <w:rFonts w:eastAsiaTheme="minorEastAsia"/>
          <w:kern w:val="0"/>
          <w:szCs w:val="21"/>
        </w:rPr>
      </w:pPr>
      <w:r>
        <w:rPr>
          <w:kern w:val="0"/>
          <w:szCs w:val="21"/>
        </w:rPr>
        <w:t>本报告期内未发生利润分配。</w:t>
      </w:r>
    </w:p>
    <w:p w:rsidR="008A5A5D" w:rsidRPr="00C24ACA" w:rsidRDefault="008A5A5D" w:rsidP="00CC3588">
      <w:pPr>
        <w:adjustRightInd w:val="0"/>
        <w:snapToGrid w:val="0"/>
        <w:spacing w:beforeLines="50" w:before="156" w:line="360" w:lineRule="auto"/>
        <w:rPr>
          <w:rFonts w:eastAsiaTheme="minorEastAsia"/>
          <w:b/>
          <w:bCs/>
          <w:color w:val="000000"/>
          <w:szCs w:val="21"/>
        </w:rPr>
      </w:pPr>
      <w:r w:rsidRPr="00C24ACA">
        <w:rPr>
          <w:rFonts w:eastAsiaTheme="minorEastAsia"/>
          <w:b/>
          <w:bCs/>
          <w:color w:val="000000"/>
          <w:kern w:val="0"/>
          <w:szCs w:val="21"/>
        </w:rPr>
        <w:t>6.4.12</w:t>
      </w:r>
      <w:r w:rsidRPr="00C24ACA">
        <w:rPr>
          <w:rFonts w:eastAsiaTheme="minorEastAsia"/>
          <w:b/>
          <w:bCs/>
          <w:color w:val="000000"/>
          <w:szCs w:val="21"/>
        </w:rPr>
        <w:t>期末（</w:t>
      </w:r>
      <w:r w:rsidR="00AC4A34" w:rsidRPr="00C24ACA">
        <w:rPr>
          <w:rFonts w:eastAsiaTheme="minorEastAsia"/>
          <w:b/>
          <w:bCs/>
          <w:color w:val="000000"/>
          <w:szCs w:val="21"/>
        </w:rPr>
        <w:t>2020</w:t>
      </w:r>
      <w:r w:rsidR="00AC4A34" w:rsidRPr="00C24ACA">
        <w:rPr>
          <w:rFonts w:eastAsiaTheme="minorEastAsia"/>
          <w:b/>
          <w:bCs/>
          <w:color w:val="000000"/>
          <w:szCs w:val="21"/>
        </w:rPr>
        <w:t>年</w:t>
      </w:r>
      <w:r w:rsidR="00AC4A34" w:rsidRPr="00C24ACA">
        <w:rPr>
          <w:rFonts w:eastAsiaTheme="minorEastAsia"/>
          <w:b/>
          <w:bCs/>
          <w:color w:val="000000"/>
          <w:szCs w:val="21"/>
        </w:rPr>
        <w:t>6</w:t>
      </w:r>
      <w:r w:rsidR="00AC4A34" w:rsidRPr="00C24ACA">
        <w:rPr>
          <w:rFonts w:eastAsiaTheme="minorEastAsia"/>
          <w:b/>
          <w:bCs/>
          <w:color w:val="000000"/>
          <w:szCs w:val="21"/>
        </w:rPr>
        <w:t>月</w:t>
      </w:r>
      <w:r w:rsidR="00AC4A34" w:rsidRPr="00C24ACA">
        <w:rPr>
          <w:rFonts w:eastAsiaTheme="minorEastAsia"/>
          <w:b/>
          <w:bCs/>
          <w:color w:val="000000"/>
          <w:szCs w:val="21"/>
        </w:rPr>
        <w:t>30</w:t>
      </w:r>
      <w:r w:rsidR="00AC4A34" w:rsidRPr="00C24ACA">
        <w:rPr>
          <w:rFonts w:eastAsiaTheme="minorEastAsia"/>
          <w:b/>
          <w:bCs/>
          <w:color w:val="000000"/>
          <w:szCs w:val="21"/>
        </w:rPr>
        <w:t>日</w:t>
      </w:r>
      <w:r w:rsidRPr="00C24ACA">
        <w:rPr>
          <w:rFonts w:eastAsiaTheme="minorEastAsia"/>
          <w:b/>
          <w:bCs/>
          <w:color w:val="000000"/>
          <w:szCs w:val="21"/>
        </w:rPr>
        <w:t>）本基金持有的流通受限证券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6.4.12.1</w:t>
      </w:r>
      <w:r w:rsidRPr="00C24ACA">
        <w:rPr>
          <w:rFonts w:eastAsiaTheme="minorEastAsia"/>
          <w:b/>
          <w:bCs/>
          <w:color w:val="000000"/>
          <w:szCs w:val="21"/>
        </w:rPr>
        <w:t>因认购新发</w:t>
      </w:r>
      <w:r w:rsidRPr="00C24ACA">
        <w:rPr>
          <w:rFonts w:eastAsiaTheme="minorEastAsia"/>
          <w:b/>
          <w:bCs/>
          <w:color w:val="000000"/>
          <w:szCs w:val="21"/>
        </w:rPr>
        <w:t>/</w:t>
      </w:r>
      <w:r w:rsidRPr="00C24ACA">
        <w:rPr>
          <w:rFonts w:eastAsiaTheme="minorEastAsia"/>
          <w:b/>
          <w:bCs/>
          <w:color w:val="000000"/>
          <w:szCs w:val="21"/>
        </w:rPr>
        <w:t>增发证券而于期末持有的流通受限证券</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本基金无因认购新发</w:t>
      </w:r>
      <w:r w:rsidRPr="00C24ACA">
        <w:rPr>
          <w:rFonts w:eastAsiaTheme="minorEastAsia"/>
          <w:kern w:val="0"/>
          <w:szCs w:val="21"/>
        </w:rPr>
        <w:t>/</w:t>
      </w:r>
      <w:r w:rsidRPr="00C24ACA">
        <w:rPr>
          <w:rFonts w:eastAsiaTheme="minorEastAsia"/>
          <w:kern w:val="0"/>
          <w:szCs w:val="21"/>
        </w:rPr>
        <w:t>增发证券而于期末持有的流通受限证券。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6.4.12.2</w:t>
      </w:r>
      <w:r w:rsidRPr="00C24ACA">
        <w:rPr>
          <w:rFonts w:eastAsiaTheme="minorEastAsia"/>
          <w:b/>
          <w:bCs/>
          <w:color w:val="000000"/>
          <w:szCs w:val="21"/>
        </w:rPr>
        <w:t>期末持有的暂时停牌等流通受限股票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本基金本报告期末未持有股票。</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6.4.12.3</w:t>
      </w:r>
      <w:r w:rsidRPr="00C24ACA">
        <w:rPr>
          <w:rFonts w:eastAsiaTheme="minorEastAsia"/>
          <w:b/>
          <w:bCs/>
          <w:color w:val="000000"/>
          <w:szCs w:val="21"/>
        </w:rPr>
        <w:t>期末债券正回购交易中作为抵押的债券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6.4.12.3.1</w:t>
      </w:r>
      <w:r w:rsidRPr="00C24ACA">
        <w:rPr>
          <w:rFonts w:eastAsiaTheme="minorEastAsia"/>
          <w:b/>
          <w:bCs/>
          <w:color w:val="000000"/>
          <w:szCs w:val="21"/>
        </w:rPr>
        <w:t>银行间市场债券正回购</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日止，本基金从事银行间市场债券正回购交易形成的卖出回购证券款余额为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6.4.12.3.2</w:t>
      </w:r>
      <w:r w:rsidRPr="00C24ACA">
        <w:rPr>
          <w:rFonts w:eastAsiaTheme="minorEastAsia"/>
          <w:b/>
          <w:bCs/>
          <w:color w:val="000000"/>
          <w:szCs w:val="21"/>
        </w:rPr>
        <w:t>交易所市场债券正回购</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日止，本基金从事证券交易所债券正回购交易形成的卖出回购证券款余额为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w:t>
      </w:r>
      <w:r w:rsidRPr="00C24ACA">
        <w:rPr>
          <w:rFonts w:eastAsiaTheme="minorEastAsia"/>
          <w:b/>
          <w:bCs/>
          <w:color w:val="000000"/>
          <w:szCs w:val="21"/>
        </w:rPr>
        <w:t>金融工具风险及管理</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6.4.13.1</w:t>
      </w:r>
      <w:r w:rsidRPr="00C24ACA">
        <w:rPr>
          <w:rFonts w:eastAsiaTheme="minorEastAsia"/>
          <w:b/>
          <w:bCs/>
          <w:color w:val="000000"/>
          <w:szCs w:val="21"/>
        </w:rPr>
        <w:t>风险管理政策和组织架构</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本基金管理人按照</w:t>
      </w:r>
      <w:r>
        <w:rPr>
          <w:rFonts w:eastAsiaTheme="minorEastAsia"/>
          <w:kern w:val="0"/>
          <w:szCs w:val="21"/>
        </w:rPr>
        <w:t>“</w:t>
      </w:r>
      <w:r>
        <w:rPr>
          <w:rFonts w:eastAsiaTheme="minorEastAsia"/>
          <w:kern w:val="0"/>
          <w:szCs w:val="21"/>
        </w:rPr>
        <w:t>自上而下与自下而上相结合，全面管理、专业分工</w:t>
      </w:r>
      <w:r>
        <w:rPr>
          <w:rFonts w:eastAsiaTheme="minorEastAsia"/>
          <w:kern w:val="0"/>
          <w:szCs w:val="21"/>
        </w:rPr>
        <w:t>”</w:t>
      </w:r>
      <w:r>
        <w:rPr>
          <w:rFonts w:eastAsiaTheme="minorEastAsia"/>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rFonts w:eastAsiaTheme="minorEastAsia"/>
          <w:kern w:val="0"/>
          <w:szCs w:val="21"/>
        </w:rPr>
        <w:t>“</w:t>
      </w:r>
      <w:r>
        <w:rPr>
          <w:rFonts w:eastAsiaTheme="minorEastAsia"/>
          <w:kern w:val="0"/>
          <w:szCs w:val="21"/>
        </w:rPr>
        <w:t>事前的风险定位、事中的风险管理和事后的风险评估</w:t>
      </w:r>
      <w:r>
        <w:rPr>
          <w:rFonts w:eastAsiaTheme="minorEastAsia"/>
          <w:kern w:val="0"/>
          <w:szCs w:val="21"/>
        </w:rPr>
        <w:t>”</w:t>
      </w:r>
      <w:r>
        <w:rPr>
          <w:rFonts w:eastAsiaTheme="minorEastAsia"/>
          <w:kern w:val="0"/>
          <w:szCs w:val="21"/>
        </w:rPr>
        <w:t>的健全的风险监控体系。</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为债券型基金，基金整体的长期平均风险和预期收益率理论上低于股票型基金、混合型基金，高于货币市场基金。本基金投资于境外市场，除了需要承担与境内证券投资基金类似的市场波动风险等一般投资风险之外，还需承担汇率风险以及境外市场的风险。本基金的基金管理人从事风险管理的主要目标是争取将以上风险控制在限定的范围之内，使本基金在风险和收益之间取得最佳的平衡，以实现</w:t>
      </w:r>
      <w:r w:rsidRPr="00C24ACA">
        <w:rPr>
          <w:rFonts w:eastAsiaTheme="minorEastAsia"/>
          <w:kern w:val="0"/>
          <w:szCs w:val="21"/>
        </w:rPr>
        <w:t>“</w:t>
      </w:r>
      <w:r w:rsidRPr="00C24ACA">
        <w:rPr>
          <w:rFonts w:eastAsiaTheme="minorEastAsia"/>
          <w:kern w:val="0"/>
          <w:szCs w:val="21"/>
        </w:rPr>
        <w:t>风险和收益相匹配</w:t>
      </w:r>
      <w:r w:rsidRPr="00C24ACA">
        <w:rPr>
          <w:rFonts w:eastAsiaTheme="minorEastAsia"/>
          <w:kern w:val="0"/>
          <w:szCs w:val="21"/>
        </w:rPr>
        <w:t>”</w:t>
      </w:r>
      <w:r w:rsidRPr="00C24ACA">
        <w:rPr>
          <w:rFonts w:eastAsiaTheme="minorEastAsia"/>
          <w:kern w:val="0"/>
          <w:szCs w:val="21"/>
        </w:rPr>
        <w:t>的风险收益目标。</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6.4.13.2</w:t>
      </w:r>
      <w:r w:rsidRPr="00C24ACA">
        <w:rPr>
          <w:rFonts w:eastAsiaTheme="minorEastAsia"/>
          <w:b/>
          <w:bCs/>
          <w:color w:val="000000"/>
          <w:szCs w:val="21"/>
        </w:rPr>
        <w:t>信用风险</w:t>
      </w:r>
    </w:p>
    <w:p w:rsidR="008E5B30" w:rsidRDefault="00013397">
      <w:pPr>
        <w:tabs>
          <w:tab w:val="left" w:pos="426"/>
        </w:tabs>
        <w:spacing w:line="360" w:lineRule="auto"/>
        <w:ind w:firstLineChars="200" w:firstLine="420"/>
        <w:rPr>
          <w:kern w:val="0"/>
          <w:szCs w:val="21"/>
        </w:rPr>
      </w:pPr>
      <w:r>
        <w:rPr>
          <w:rFonts w:eastAsiaTheme="minorEastAsia"/>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rFonts w:eastAsiaTheme="minorEastAsia"/>
          <w:kern w:val="0"/>
          <w:szCs w:val="21"/>
        </w:rPr>
        <w:t>10%</w:t>
      </w:r>
      <w:r>
        <w:rPr>
          <w:rFonts w:eastAsiaTheme="minorEastAsia"/>
          <w:kern w:val="0"/>
          <w:szCs w:val="21"/>
        </w:rPr>
        <w:t>。本基金在境外交易所进行的交易均通过有资格的经纪商进行证券交收和款项清算，在场外交易市场进行交易前均对交易对手进行信用评估并对证券交割方式进行限制以控制相应的信用风险。</w:t>
      </w:r>
    </w:p>
    <w:p w:rsidR="00831CAC" w:rsidRDefault="008A5A5D" w:rsidP="00831CAC">
      <w:pPr>
        <w:tabs>
          <w:tab w:val="left" w:pos="426"/>
        </w:tabs>
        <w:spacing w:line="360" w:lineRule="auto"/>
        <w:ind w:firstLineChars="200" w:firstLine="420"/>
        <w:rPr>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日，本基金持有的除国债、央行票据和政策性金融债以外的债券占基金资产净值的比例为</w:t>
      </w:r>
      <w:r w:rsidRPr="00C24ACA">
        <w:rPr>
          <w:rFonts w:eastAsiaTheme="minorEastAsia"/>
          <w:kern w:val="0"/>
          <w:szCs w:val="21"/>
        </w:rPr>
        <w:t>95.21%(2019</w:t>
      </w:r>
      <w:r w:rsidRPr="00C24ACA">
        <w:rPr>
          <w:rFonts w:eastAsiaTheme="minorEastAsia"/>
          <w:kern w:val="0"/>
          <w:szCs w:val="21"/>
        </w:rPr>
        <w:t>年</w:t>
      </w:r>
      <w:r w:rsidRPr="00C24ACA">
        <w:rPr>
          <w:rFonts w:eastAsiaTheme="minorEastAsia"/>
          <w:kern w:val="0"/>
          <w:szCs w:val="21"/>
        </w:rPr>
        <w:t>12</w:t>
      </w:r>
      <w:r w:rsidRPr="00C24ACA">
        <w:rPr>
          <w:rFonts w:eastAsiaTheme="minorEastAsia"/>
          <w:kern w:val="0"/>
          <w:szCs w:val="21"/>
        </w:rPr>
        <w:t>月</w:t>
      </w:r>
      <w:r w:rsidRPr="00C24ACA">
        <w:rPr>
          <w:rFonts w:eastAsiaTheme="minorEastAsia"/>
          <w:kern w:val="0"/>
          <w:szCs w:val="21"/>
        </w:rPr>
        <w:t>31</w:t>
      </w:r>
      <w:r w:rsidRPr="00C24ACA">
        <w:rPr>
          <w:rFonts w:eastAsiaTheme="minorEastAsia"/>
          <w:kern w:val="0"/>
          <w:szCs w:val="21"/>
        </w:rPr>
        <w:t>日：</w:t>
      </w:r>
      <w:r w:rsidRPr="00C24ACA">
        <w:rPr>
          <w:rFonts w:eastAsiaTheme="minorEastAsia"/>
          <w:kern w:val="0"/>
          <w:szCs w:val="21"/>
        </w:rPr>
        <w:t>95.10%)</w:t>
      </w:r>
      <w:r w:rsidRPr="00C24ACA">
        <w:rPr>
          <w:rFonts w:eastAsiaTheme="minorEastAsia"/>
          <w:kern w:val="0"/>
          <w:szCs w:val="21"/>
        </w:rPr>
        <w:t>。</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6.4.13.2.1 </w:t>
      </w:r>
      <w:r w:rsidRPr="00BD7906">
        <w:rPr>
          <w:rFonts w:eastAsiaTheme="minorEastAsia" w:hint="eastAsia"/>
          <w:b/>
          <w:color w:val="000000"/>
          <w:szCs w:val="21"/>
        </w:rPr>
        <w:t>按短期信用评级列示的债券投资</w:t>
      </w:r>
    </w:p>
    <w:p w:rsidR="00831CAC" w:rsidRDefault="00831CAC" w:rsidP="00831CAC">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31CAC" w:rsidTr="00A218AC">
        <w:trPr>
          <w:jc w:val="center"/>
        </w:trPr>
        <w:tc>
          <w:tcPr>
            <w:tcW w:w="2552" w:type="dxa"/>
            <w:vAlign w:val="center"/>
            <w:hideMark/>
          </w:tcPr>
          <w:p w:rsidR="00831CAC" w:rsidRDefault="00831CAC">
            <w:pPr>
              <w:jc w:val="center"/>
              <w:rPr>
                <w:szCs w:val="21"/>
              </w:rPr>
            </w:pPr>
            <w:r>
              <w:rPr>
                <w:rFonts w:hint="eastAsia"/>
                <w:szCs w:val="21"/>
              </w:rPr>
              <w:t>短期信用评级</w:t>
            </w:r>
          </w:p>
        </w:tc>
        <w:tc>
          <w:tcPr>
            <w:tcW w:w="3045" w:type="dxa"/>
            <w:vAlign w:val="center"/>
            <w:hideMark/>
          </w:tcPr>
          <w:p w:rsidR="00831CAC" w:rsidRDefault="00831CAC">
            <w:pPr>
              <w:widowControl/>
              <w:autoSpaceDE w:val="0"/>
              <w:autoSpaceDN w:val="0"/>
              <w:ind w:right="-15"/>
              <w:jc w:val="center"/>
              <w:textAlignment w:val="bottom"/>
              <w:rPr>
                <w:szCs w:val="21"/>
              </w:rPr>
            </w:pPr>
            <w:r>
              <w:rPr>
                <w:rFonts w:hint="eastAsia"/>
                <w:szCs w:val="21"/>
              </w:rPr>
              <w:t>本期末</w:t>
            </w:r>
          </w:p>
          <w:p w:rsidR="00831CAC" w:rsidRDefault="00831CAC">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31CAC" w:rsidRDefault="00831CAC">
            <w:pPr>
              <w:widowControl/>
              <w:autoSpaceDE w:val="0"/>
              <w:autoSpaceDN w:val="0"/>
              <w:ind w:right="-15"/>
              <w:jc w:val="center"/>
              <w:textAlignment w:val="bottom"/>
              <w:rPr>
                <w:szCs w:val="21"/>
              </w:rPr>
            </w:pPr>
            <w:r>
              <w:rPr>
                <w:rFonts w:hint="eastAsia"/>
                <w:szCs w:val="21"/>
              </w:rPr>
              <w:t>上年度末</w:t>
            </w:r>
          </w:p>
          <w:p w:rsidR="00831CAC" w:rsidRDefault="00831CAC">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31CAC" w:rsidTr="00A218AC">
        <w:trPr>
          <w:jc w:val="center"/>
        </w:trPr>
        <w:tc>
          <w:tcPr>
            <w:tcW w:w="2552" w:type="dxa"/>
            <w:vAlign w:val="center"/>
            <w:hideMark/>
          </w:tcPr>
          <w:p w:rsidR="00831CAC" w:rsidRDefault="00831CAC">
            <w:pPr>
              <w:rPr>
                <w:szCs w:val="21"/>
              </w:rPr>
            </w:pPr>
            <w:r>
              <w:rPr>
                <w:szCs w:val="21"/>
              </w:rPr>
              <w:t>A-1</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szCs w:val="21"/>
              </w:rPr>
              <w:t>A-1</w:t>
            </w:r>
            <w:r>
              <w:rPr>
                <w:rFonts w:hint="eastAsia"/>
                <w:szCs w:val="21"/>
              </w:rPr>
              <w:t>以下</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rFonts w:hint="eastAsia"/>
                <w:kern w:val="0"/>
                <w:szCs w:val="21"/>
              </w:rPr>
              <w:t>未评级</w:t>
            </w:r>
          </w:p>
        </w:tc>
        <w:tc>
          <w:tcPr>
            <w:tcW w:w="3045" w:type="dxa"/>
            <w:vAlign w:val="center"/>
            <w:hideMark/>
          </w:tcPr>
          <w:p w:rsidR="00831CAC" w:rsidRDefault="00831CAC">
            <w:pPr>
              <w:jc w:val="right"/>
              <w:rPr>
                <w:szCs w:val="21"/>
              </w:rPr>
            </w:pPr>
            <w:r>
              <w:rPr>
                <w:szCs w:val="21"/>
              </w:rPr>
              <w:t>20,832,957.93</w:t>
            </w:r>
          </w:p>
        </w:tc>
        <w:tc>
          <w:tcPr>
            <w:tcW w:w="3043" w:type="dxa"/>
            <w:vAlign w:val="center"/>
            <w:hideMark/>
          </w:tcPr>
          <w:p w:rsidR="00831CAC" w:rsidRDefault="00831CAC">
            <w:pPr>
              <w:jc w:val="right"/>
              <w:rPr>
                <w:szCs w:val="21"/>
              </w:rPr>
            </w:pPr>
            <w:r>
              <w:rPr>
                <w:szCs w:val="21"/>
              </w:rPr>
              <w:t>54,929,266.00</w:t>
            </w:r>
          </w:p>
        </w:tc>
      </w:tr>
      <w:tr w:rsidR="00831CAC" w:rsidTr="00A218AC">
        <w:trPr>
          <w:jc w:val="center"/>
        </w:trPr>
        <w:tc>
          <w:tcPr>
            <w:tcW w:w="2552" w:type="dxa"/>
            <w:vAlign w:val="center"/>
            <w:hideMark/>
          </w:tcPr>
          <w:p w:rsidR="00831CAC" w:rsidRDefault="00831CAC">
            <w:pPr>
              <w:rPr>
                <w:szCs w:val="21"/>
              </w:rPr>
            </w:pPr>
            <w:r>
              <w:rPr>
                <w:rFonts w:hint="eastAsia"/>
                <w:kern w:val="0"/>
                <w:szCs w:val="21"/>
              </w:rPr>
              <w:t>合计</w:t>
            </w:r>
          </w:p>
        </w:tc>
        <w:tc>
          <w:tcPr>
            <w:tcW w:w="3045" w:type="dxa"/>
            <w:vAlign w:val="center"/>
            <w:hideMark/>
          </w:tcPr>
          <w:p w:rsidR="00831CAC" w:rsidRDefault="00831CAC">
            <w:pPr>
              <w:jc w:val="right"/>
              <w:rPr>
                <w:szCs w:val="21"/>
              </w:rPr>
            </w:pPr>
            <w:r>
              <w:rPr>
                <w:szCs w:val="21"/>
              </w:rPr>
              <w:t>20,832,957.93</w:t>
            </w:r>
          </w:p>
        </w:tc>
        <w:tc>
          <w:tcPr>
            <w:tcW w:w="3043" w:type="dxa"/>
            <w:vAlign w:val="center"/>
            <w:hideMark/>
          </w:tcPr>
          <w:p w:rsidR="00831CAC" w:rsidRDefault="00831CAC">
            <w:pPr>
              <w:jc w:val="right"/>
              <w:rPr>
                <w:szCs w:val="21"/>
              </w:rPr>
            </w:pPr>
            <w:r>
              <w:rPr>
                <w:szCs w:val="21"/>
              </w:rPr>
              <w:t>54,929,266.00</w:t>
            </w:r>
          </w:p>
        </w:tc>
      </w:tr>
    </w:tbl>
    <w:p w:rsidR="008E5B30" w:rsidRDefault="00013397">
      <w:pPr>
        <w:tabs>
          <w:tab w:val="left" w:pos="426"/>
        </w:tabs>
        <w:spacing w:line="360" w:lineRule="auto"/>
        <w:ind w:firstLineChars="200" w:firstLine="420"/>
        <w:rPr>
          <w:kern w:val="0"/>
          <w:szCs w:val="21"/>
        </w:rPr>
      </w:pPr>
      <w:r>
        <w:rPr>
          <w:kern w:val="0"/>
          <w:szCs w:val="21"/>
        </w:rPr>
        <w:t>注：注：</w:t>
      </w:r>
      <w:r>
        <w:rPr>
          <w:kern w:val="0"/>
          <w:szCs w:val="21"/>
        </w:rPr>
        <w:t>1.</w:t>
      </w:r>
      <w:r>
        <w:rPr>
          <w:kern w:val="0"/>
          <w:szCs w:val="21"/>
        </w:rPr>
        <w:t>因境内评级不适用境外债券，所以均归类至未评级债券；且本表中未评级债券为剩余期限在一年以内的债券。</w:t>
      </w:r>
    </w:p>
    <w:p w:rsidR="00831CAC" w:rsidRDefault="00831CAC" w:rsidP="00831CAC">
      <w:pPr>
        <w:tabs>
          <w:tab w:val="left" w:pos="426"/>
        </w:tabs>
        <w:spacing w:line="360" w:lineRule="auto"/>
        <w:ind w:firstLineChars="200" w:firstLine="420"/>
        <w:rPr>
          <w:kern w:val="0"/>
          <w:szCs w:val="21"/>
        </w:rPr>
      </w:pPr>
      <w:r>
        <w:rPr>
          <w:kern w:val="0"/>
          <w:szCs w:val="21"/>
        </w:rPr>
        <w:t xml:space="preserve">2. </w:t>
      </w:r>
      <w:r>
        <w:rPr>
          <w:kern w:val="0"/>
          <w:szCs w:val="21"/>
        </w:rPr>
        <w:t>债券投资以全价列示。</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6.4.13.2.2 </w:t>
      </w:r>
      <w:r w:rsidRPr="00BD7906">
        <w:rPr>
          <w:rFonts w:eastAsiaTheme="minorEastAsia" w:hint="eastAsia"/>
          <w:b/>
          <w:color w:val="000000"/>
          <w:szCs w:val="21"/>
        </w:rPr>
        <w:t>按短期信用评级列示的资产支持证券投资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31CAC" w:rsidTr="00A218AC">
        <w:trPr>
          <w:jc w:val="center"/>
        </w:trPr>
        <w:tc>
          <w:tcPr>
            <w:tcW w:w="2552" w:type="dxa"/>
            <w:vAlign w:val="center"/>
            <w:hideMark/>
          </w:tcPr>
          <w:p w:rsidR="00831CAC" w:rsidRDefault="00831CAC">
            <w:pPr>
              <w:jc w:val="center"/>
              <w:rPr>
                <w:rFonts w:eastAsiaTheme="minorEastAsia"/>
                <w:szCs w:val="21"/>
              </w:rPr>
            </w:pPr>
            <w:r>
              <w:rPr>
                <w:rFonts w:eastAsiaTheme="minorEastAsia" w:hint="eastAsia"/>
                <w:szCs w:val="21"/>
              </w:rPr>
              <w:t>短期信用评级</w:t>
            </w:r>
          </w:p>
        </w:tc>
        <w:tc>
          <w:tcPr>
            <w:tcW w:w="3049"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552" w:type="dxa"/>
            <w:hideMark/>
          </w:tcPr>
          <w:p w:rsidR="00831CAC" w:rsidRDefault="00831CAC">
            <w:pPr>
              <w:rPr>
                <w:rFonts w:eastAsiaTheme="minorEastAsia"/>
                <w:szCs w:val="21"/>
              </w:rPr>
            </w:pPr>
            <w:r>
              <w:rPr>
                <w:rFonts w:eastAsiaTheme="minorEastAsia"/>
                <w:szCs w:val="21"/>
              </w:rPr>
              <w:t>A-1</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hideMark/>
          </w:tcPr>
          <w:p w:rsidR="00831CAC" w:rsidRDefault="00831CAC">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vAlign w:val="center"/>
            <w:hideMark/>
          </w:tcPr>
          <w:p w:rsidR="00831CAC" w:rsidRDefault="00831CAC">
            <w:pPr>
              <w:rPr>
                <w:rFonts w:eastAsiaTheme="minorEastAsia"/>
                <w:szCs w:val="21"/>
              </w:rPr>
            </w:pPr>
            <w:r>
              <w:rPr>
                <w:rFonts w:eastAsiaTheme="minorEastAsia" w:hint="eastAsia"/>
                <w:kern w:val="0"/>
                <w:szCs w:val="21"/>
              </w:rPr>
              <w:t>合计</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6.4.13.2.3 </w:t>
      </w:r>
      <w:r w:rsidRPr="00BD7906">
        <w:rPr>
          <w:rFonts w:eastAsiaTheme="minorEastAsia" w:hint="eastAsia"/>
          <w:b/>
          <w:color w:val="000000"/>
          <w:szCs w:val="21"/>
        </w:rPr>
        <w:t>按短期信用评级列示的同业存单投资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短期信用评级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A-1</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合计</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6.4.13.2.4 </w:t>
      </w:r>
      <w:r w:rsidRPr="00BD7906">
        <w:rPr>
          <w:rFonts w:eastAsiaTheme="minorEastAsia" w:hint="eastAsia"/>
          <w:b/>
          <w:color w:val="000000"/>
          <w:szCs w:val="21"/>
        </w:rPr>
        <w:t>按长期信用评级列示的债券投资</w:t>
      </w:r>
    </w:p>
    <w:p w:rsidR="00831CAC" w:rsidRDefault="00831CAC" w:rsidP="00831CAC">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31CAC" w:rsidTr="00A218AC">
        <w:tc>
          <w:tcPr>
            <w:tcW w:w="2655" w:type="dxa"/>
            <w:vAlign w:val="center"/>
            <w:hideMark/>
          </w:tcPr>
          <w:p w:rsidR="00831CAC" w:rsidRDefault="00831CAC">
            <w:pPr>
              <w:jc w:val="center"/>
              <w:rPr>
                <w:szCs w:val="21"/>
              </w:rPr>
            </w:pPr>
            <w:r>
              <w:rPr>
                <w:rFonts w:hint="eastAsia"/>
                <w:szCs w:val="21"/>
              </w:rPr>
              <w:t>长期信用评级</w:t>
            </w:r>
          </w:p>
        </w:tc>
        <w:tc>
          <w:tcPr>
            <w:tcW w:w="2977" w:type="dxa"/>
            <w:vAlign w:val="center"/>
            <w:hideMark/>
          </w:tcPr>
          <w:p w:rsidR="00831CAC" w:rsidRDefault="00831CAC">
            <w:pPr>
              <w:widowControl/>
              <w:autoSpaceDE w:val="0"/>
              <w:autoSpaceDN w:val="0"/>
              <w:ind w:right="-15"/>
              <w:jc w:val="center"/>
              <w:textAlignment w:val="bottom"/>
              <w:rPr>
                <w:szCs w:val="21"/>
              </w:rPr>
            </w:pPr>
            <w:r>
              <w:rPr>
                <w:rFonts w:hint="eastAsia"/>
                <w:szCs w:val="21"/>
              </w:rPr>
              <w:t>本期末</w:t>
            </w:r>
          </w:p>
          <w:p w:rsidR="00831CAC" w:rsidRDefault="00831CAC">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31CAC" w:rsidRDefault="00831CAC">
            <w:pPr>
              <w:widowControl/>
              <w:autoSpaceDE w:val="0"/>
              <w:autoSpaceDN w:val="0"/>
              <w:ind w:right="-15"/>
              <w:jc w:val="center"/>
              <w:textAlignment w:val="bottom"/>
              <w:rPr>
                <w:szCs w:val="21"/>
              </w:rPr>
            </w:pPr>
            <w:r>
              <w:rPr>
                <w:rFonts w:hint="eastAsia"/>
                <w:szCs w:val="21"/>
              </w:rPr>
              <w:t>上年度末</w:t>
            </w:r>
          </w:p>
          <w:p w:rsidR="00831CAC" w:rsidRDefault="00831CAC">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31CAC" w:rsidTr="00A218AC">
        <w:tc>
          <w:tcPr>
            <w:tcW w:w="2655" w:type="dxa"/>
            <w:vAlign w:val="center"/>
            <w:hideMark/>
          </w:tcPr>
          <w:p w:rsidR="00831CAC" w:rsidRDefault="00831CAC">
            <w:pPr>
              <w:rPr>
                <w:szCs w:val="21"/>
              </w:rPr>
            </w:pPr>
            <w:r>
              <w:rPr>
                <w:szCs w:val="21"/>
              </w:rPr>
              <w:t>AAA</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szCs w:val="21"/>
              </w:rPr>
            </w:pPr>
            <w:r>
              <w:rPr>
                <w:szCs w:val="21"/>
              </w:rPr>
              <w:t>AAA</w:t>
            </w:r>
            <w:r>
              <w:rPr>
                <w:rFonts w:hint="eastAsia"/>
                <w:szCs w:val="21"/>
              </w:rPr>
              <w:t>以下</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szCs w:val="21"/>
              </w:rPr>
            </w:pPr>
            <w:r>
              <w:rPr>
                <w:rFonts w:hint="eastAsia"/>
                <w:kern w:val="0"/>
                <w:szCs w:val="21"/>
              </w:rPr>
              <w:t>未评级</w:t>
            </w:r>
          </w:p>
        </w:tc>
        <w:tc>
          <w:tcPr>
            <w:tcW w:w="2977" w:type="dxa"/>
            <w:vAlign w:val="center"/>
            <w:hideMark/>
          </w:tcPr>
          <w:p w:rsidR="00831CAC" w:rsidRDefault="00831CAC">
            <w:pPr>
              <w:jc w:val="right"/>
              <w:rPr>
                <w:szCs w:val="21"/>
              </w:rPr>
            </w:pPr>
            <w:r>
              <w:rPr>
                <w:szCs w:val="21"/>
              </w:rPr>
              <w:t>479,736,764.85</w:t>
            </w:r>
          </w:p>
        </w:tc>
        <w:tc>
          <w:tcPr>
            <w:tcW w:w="3008" w:type="dxa"/>
            <w:vAlign w:val="center"/>
            <w:hideMark/>
          </w:tcPr>
          <w:p w:rsidR="00831CAC" w:rsidRDefault="00831CAC">
            <w:pPr>
              <w:jc w:val="right"/>
              <w:rPr>
                <w:szCs w:val="21"/>
              </w:rPr>
            </w:pPr>
            <w:r>
              <w:rPr>
                <w:szCs w:val="21"/>
              </w:rPr>
              <w:t>628,027,785.11</w:t>
            </w:r>
          </w:p>
        </w:tc>
      </w:tr>
      <w:tr w:rsidR="00831CAC" w:rsidTr="00A218AC">
        <w:tc>
          <w:tcPr>
            <w:tcW w:w="2655" w:type="dxa"/>
            <w:vAlign w:val="center"/>
            <w:hideMark/>
          </w:tcPr>
          <w:p w:rsidR="00831CAC" w:rsidRDefault="00831CAC">
            <w:pPr>
              <w:rPr>
                <w:kern w:val="0"/>
                <w:szCs w:val="21"/>
              </w:rPr>
            </w:pPr>
            <w:r>
              <w:rPr>
                <w:rFonts w:hint="eastAsia"/>
                <w:kern w:val="0"/>
                <w:szCs w:val="21"/>
              </w:rPr>
              <w:t>合计</w:t>
            </w:r>
          </w:p>
        </w:tc>
        <w:tc>
          <w:tcPr>
            <w:tcW w:w="2977" w:type="dxa"/>
            <w:vAlign w:val="center"/>
            <w:hideMark/>
          </w:tcPr>
          <w:p w:rsidR="00831CAC" w:rsidRDefault="00831CAC">
            <w:pPr>
              <w:jc w:val="right"/>
              <w:rPr>
                <w:szCs w:val="21"/>
              </w:rPr>
            </w:pPr>
            <w:r>
              <w:rPr>
                <w:szCs w:val="21"/>
              </w:rPr>
              <w:t>479,736,764.85</w:t>
            </w:r>
          </w:p>
        </w:tc>
        <w:tc>
          <w:tcPr>
            <w:tcW w:w="3008" w:type="dxa"/>
            <w:vAlign w:val="center"/>
            <w:hideMark/>
          </w:tcPr>
          <w:p w:rsidR="00831CAC" w:rsidRDefault="00831CAC">
            <w:pPr>
              <w:jc w:val="right"/>
              <w:rPr>
                <w:szCs w:val="21"/>
              </w:rPr>
            </w:pPr>
            <w:r>
              <w:rPr>
                <w:szCs w:val="21"/>
              </w:rPr>
              <w:t>628,027,785.11</w:t>
            </w:r>
          </w:p>
        </w:tc>
      </w:tr>
    </w:tbl>
    <w:p w:rsidR="008E5B30" w:rsidRDefault="00013397">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因境内评级不适用境外债券，所以均归类至未评级债券；且本表中未评级债券为剩余期限大于一年的债券。</w:t>
      </w:r>
    </w:p>
    <w:p w:rsidR="00831CAC" w:rsidRDefault="00831CAC" w:rsidP="00831CAC">
      <w:pPr>
        <w:tabs>
          <w:tab w:val="left" w:pos="426"/>
        </w:tabs>
        <w:spacing w:line="360" w:lineRule="auto"/>
        <w:ind w:firstLineChars="200" w:firstLine="420"/>
        <w:rPr>
          <w:kern w:val="0"/>
          <w:szCs w:val="21"/>
        </w:rPr>
      </w:pPr>
      <w:r>
        <w:rPr>
          <w:kern w:val="0"/>
          <w:szCs w:val="21"/>
        </w:rPr>
        <w:t xml:space="preserve">2. </w:t>
      </w:r>
      <w:r>
        <w:rPr>
          <w:kern w:val="0"/>
          <w:szCs w:val="21"/>
        </w:rPr>
        <w:t>债券投资以全价列示。</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6.4.13.2.5 </w:t>
      </w:r>
      <w:r w:rsidRPr="00BD7906">
        <w:rPr>
          <w:rFonts w:eastAsiaTheme="minorEastAsia" w:hint="eastAsia"/>
          <w:b/>
          <w:color w:val="000000"/>
          <w:szCs w:val="21"/>
        </w:rPr>
        <w:t>按长期信用评级列示的资产支持证券投资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长期信用评级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kern w:val="0"/>
                <w:szCs w:val="21"/>
              </w:rPr>
            </w:pPr>
            <w:r>
              <w:rPr>
                <w:rFonts w:eastAsiaTheme="minorEastAsia" w:hint="eastAsia"/>
                <w:kern w:val="0"/>
                <w:szCs w:val="21"/>
              </w:rPr>
              <w:t>合计</w:t>
            </w:r>
          </w:p>
        </w:tc>
        <w:tc>
          <w:tcPr>
            <w:tcW w:w="2977" w:type="dxa"/>
            <w:vAlign w:val="center"/>
            <w:hideMark/>
          </w:tcPr>
          <w:p w:rsidR="00831CAC" w:rsidRDefault="00831CAC">
            <w:pPr>
              <w:jc w:val="right"/>
              <w:rPr>
                <w:rFonts w:eastAsiaTheme="minorEastAsia"/>
                <w:szCs w:val="21"/>
              </w:rPr>
            </w:pPr>
            <w:r>
              <w:rPr>
                <w:rFonts w:eastAsiaTheme="minorEastAsia"/>
                <w:szCs w:val="21"/>
              </w:rPr>
              <w:t>0.00</w:t>
            </w:r>
          </w:p>
        </w:tc>
        <w:tc>
          <w:tcPr>
            <w:tcW w:w="3046" w:type="dxa"/>
            <w:vAlign w:val="center"/>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6.4.13.2.6</w:t>
      </w:r>
      <w:r w:rsidRPr="00BD7906">
        <w:rPr>
          <w:rFonts w:eastAsiaTheme="minorEastAsia" w:hint="eastAsia"/>
          <w:b/>
          <w:color w:val="000000"/>
          <w:szCs w:val="21"/>
        </w:rPr>
        <w:t>按长期信用评级列示的同业存单投资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长期信用评级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kern w:val="0"/>
                <w:szCs w:val="21"/>
              </w:rPr>
            </w:pPr>
            <w:r>
              <w:rPr>
                <w:rFonts w:eastAsiaTheme="minorEastAsia" w:hint="eastAsia"/>
                <w:kern w:val="0"/>
                <w:szCs w:val="21"/>
              </w:rPr>
              <w:t>合计</w:t>
            </w:r>
          </w:p>
        </w:tc>
        <w:tc>
          <w:tcPr>
            <w:tcW w:w="2977" w:type="dxa"/>
            <w:vAlign w:val="center"/>
            <w:hideMark/>
          </w:tcPr>
          <w:p w:rsidR="00831CAC" w:rsidRDefault="00831CAC">
            <w:pPr>
              <w:jc w:val="right"/>
              <w:rPr>
                <w:rFonts w:eastAsiaTheme="minorEastAsia"/>
                <w:szCs w:val="21"/>
              </w:rPr>
            </w:pPr>
            <w:r>
              <w:rPr>
                <w:rFonts w:eastAsiaTheme="minorEastAsia"/>
                <w:szCs w:val="21"/>
              </w:rPr>
              <w:t>0.00</w:t>
            </w:r>
          </w:p>
        </w:tc>
        <w:tc>
          <w:tcPr>
            <w:tcW w:w="3046" w:type="dxa"/>
            <w:vAlign w:val="center"/>
            <w:hideMark/>
          </w:tcPr>
          <w:p w:rsidR="00831CAC" w:rsidRDefault="00831CAC">
            <w:pPr>
              <w:jc w:val="right"/>
              <w:rPr>
                <w:rFonts w:eastAsiaTheme="minorEastAsia"/>
                <w:szCs w:val="21"/>
              </w:rPr>
            </w:pPr>
            <w:r>
              <w:rPr>
                <w:rFonts w:eastAsiaTheme="minorEastAsia"/>
                <w:szCs w:val="21"/>
              </w:rPr>
              <w:t>0.00</w:t>
            </w:r>
          </w:p>
        </w:tc>
      </w:tr>
    </w:tbl>
    <w:p w:rsidR="008A5A5D" w:rsidRPr="00C24ACA" w:rsidRDefault="008A5A5D" w:rsidP="00831CAC">
      <w:pPr>
        <w:tabs>
          <w:tab w:val="left" w:pos="426"/>
        </w:tabs>
        <w:spacing w:line="360" w:lineRule="auto"/>
        <w:ind w:firstLineChars="200" w:firstLine="422"/>
        <w:jc w:val="left"/>
        <w:rPr>
          <w:rFonts w:eastAsiaTheme="minorEastAsia"/>
          <w:b/>
          <w:bCs/>
          <w:color w:val="000000"/>
          <w:szCs w:val="21"/>
        </w:rPr>
      </w:pPr>
      <w:r w:rsidRPr="00C24ACA">
        <w:rPr>
          <w:rFonts w:eastAsiaTheme="minorEastAsia"/>
          <w:b/>
          <w:bCs/>
          <w:color w:val="000000"/>
          <w:kern w:val="0"/>
          <w:szCs w:val="21"/>
        </w:rPr>
        <w:t>6.4.13.3</w:t>
      </w:r>
      <w:r w:rsidRPr="00C24ACA">
        <w:rPr>
          <w:rFonts w:eastAsiaTheme="minorEastAsia"/>
          <w:b/>
          <w:bCs/>
          <w:color w:val="000000"/>
          <w:szCs w:val="21"/>
        </w:rPr>
        <w:t>流动性风险</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日，除卖出回购金融资产款余额</w:t>
      </w:r>
      <w:r w:rsidRPr="00C24ACA">
        <w:rPr>
          <w:rFonts w:eastAsiaTheme="minorEastAsia"/>
          <w:kern w:val="0"/>
          <w:szCs w:val="21"/>
        </w:rPr>
        <w:t>(</w:t>
      </w:r>
      <w:r w:rsidRPr="00C24ACA">
        <w:rPr>
          <w:rFonts w:eastAsiaTheme="minorEastAsia"/>
          <w:kern w:val="0"/>
          <w:szCs w:val="21"/>
        </w:rPr>
        <w:t>计息但该利息金额不重大</w:t>
      </w:r>
      <w:r w:rsidRPr="00C24ACA">
        <w:rPr>
          <w:rFonts w:eastAsiaTheme="minorEastAsia"/>
          <w:kern w:val="0"/>
          <w:szCs w:val="21"/>
        </w:rPr>
        <w:t>)</w:t>
      </w:r>
      <w:r w:rsidRPr="00C24ACA">
        <w:rPr>
          <w:rFonts w:eastAsiaTheme="minorEastAsia"/>
          <w:kern w:val="0"/>
          <w:szCs w:val="21"/>
        </w:rPr>
        <w:t>以外，本基金承担的其他金融负债的合约约定到期日均为一年以内且不计息，可赎回基金份额净值</w:t>
      </w:r>
      <w:r w:rsidRPr="00C24ACA">
        <w:rPr>
          <w:rFonts w:eastAsiaTheme="minorEastAsia"/>
          <w:kern w:val="0"/>
          <w:szCs w:val="21"/>
        </w:rPr>
        <w:t>(</w:t>
      </w:r>
      <w:r w:rsidRPr="00C24ACA">
        <w:rPr>
          <w:rFonts w:eastAsiaTheme="minorEastAsia"/>
          <w:kern w:val="0"/>
          <w:szCs w:val="21"/>
        </w:rPr>
        <w:t>所有者权益</w:t>
      </w:r>
      <w:r w:rsidRPr="00C24ACA">
        <w:rPr>
          <w:rFonts w:eastAsiaTheme="minorEastAsia"/>
          <w:kern w:val="0"/>
          <w:szCs w:val="21"/>
        </w:rPr>
        <w:t>)</w:t>
      </w:r>
      <w:r w:rsidRPr="00C24ACA">
        <w:rPr>
          <w:rFonts w:eastAsiaTheme="minorEastAsia"/>
          <w:kern w:val="0"/>
          <w:szCs w:val="21"/>
        </w:rPr>
        <w:t>无固定到期日且不计息，因此账面余额约为未折现的合约到期现金流量。</w:t>
      </w:r>
    </w:p>
    <w:p w:rsidR="00206D74" w:rsidRPr="00A73188" w:rsidRDefault="00206D74" w:rsidP="00732F5C">
      <w:pPr>
        <w:spacing w:beforeLines="50" w:before="156" w:line="360" w:lineRule="auto"/>
        <w:rPr>
          <w:rFonts w:eastAsiaTheme="minorEastAsia"/>
          <w:b/>
          <w:bCs/>
          <w:color w:val="000000" w:themeColor="text1"/>
          <w:szCs w:val="21"/>
        </w:rPr>
      </w:pPr>
      <w:r w:rsidRPr="00A73188">
        <w:rPr>
          <w:rFonts w:eastAsiaTheme="minorEastAsia"/>
          <w:b/>
          <w:bCs/>
          <w:color w:val="000000" w:themeColor="text1"/>
          <w:kern w:val="0"/>
          <w:szCs w:val="21"/>
        </w:rPr>
        <w:t>6.4.13.3</w:t>
      </w:r>
      <w:r w:rsidRPr="00A73188">
        <w:rPr>
          <w:rFonts w:eastAsiaTheme="minorEastAsia" w:hint="eastAsia"/>
          <w:b/>
          <w:bCs/>
          <w:color w:val="000000" w:themeColor="text1"/>
          <w:kern w:val="0"/>
          <w:szCs w:val="21"/>
        </w:rPr>
        <w:t>.1</w:t>
      </w:r>
      <w:r w:rsidRPr="00A73188">
        <w:rPr>
          <w:rFonts w:eastAsiaTheme="minorEastAsia"/>
          <w:b/>
          <w:bCs/>
          <w:color w:val="000000" w:themeColor="text1"/>
          <w:kern w:val="0"/>
          <w:szCs w:val="21"/>
        </w:rPr>
        <w:t xml:space="preserve"> </w:t>
      </w:r>
      <w:r w:rsidRPr="00A73188">
        <w:rPr>
          <w:rFonts w:eastAsiaTheme="minorEastAsia" w:hint="eastAsia"/>
          <w:b/>
          <w:bCs/>
          <w:color w:val="000000" w:themeColor="text1"/>
          <w:szCs w:val="21"/>
        </w:rPr>
        <w:t>报告期内本基金组合资产的流动性风险分析</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06D74" w:rsidRPr="00C24ACA" w:rsidRDefault="00206D74" w:rsidP="00206D74">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本基金的投资范围为具有良好流动性的金融工具，所持大部分证券在流动性良好的证券交易所或者银行间同业市场交易，期末除本报告</w:t>
      </w:r>
      <w:r w:rsidRPr="001412CA">
        <w:rPr>
          <w:rFonts w:eastAsiaTheme="minorEastAsia"/>
          <w:kern w:val="0"/>
          <w:szCs w:val="21"/>
        </w:rPr>
        <w:t>“</w:t>
      </w:r>
      <w:r w:rsidRPr="001412CA">
        <w:rPr>
          <w:rFonts w:eastAsiaTheme="minorEastAsia"/>
          <w:kern w:val="0"/>
          <w:szCs w:val="21"/>
        </w:rPr>
        <w:t>期末本基金持有的流通受限证券</w:t>
      </w:r>
      <w:r w:rsidRPr="001412CA">
        <w:rPr>
          <w:rFonts w:eastAsiaTheme="minorEastAsia"/>
          <w:kern w:val="0"/>
          <w:szCs w:val="21"/>
        </w:rPr>
        <w:t>”</w:t>
      </w:r>
      <w:r w:rsidRPr="001412CA">
        <w:rPr>
          <w:rFonts w:eastAsiaTheme="minorEastAsia"/>
          <w:kern w:val="0"/>
          <w:szCs w:val="21"/>
        </w:rPr>
        <w:t>章节中所列示券种流通暂时受限制不能自由转让外，其余均能及时变现。评估结果显示组合高流动性资产比重较高，组合变现比例能力较好。</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w:t>
      </w:r>
      <w:r w:rsidRPr="00C24ACA">
        <w:rPr>
          <w:rFonts w:eastAsiaTheme="minorEastAsia"/>
          <w:b/>
          <w:bCs/>
          <w:color w:val="000000"/>
          <w:szCs w:val="21"/>
        </w:rPr>
        <w:t>市场风险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市场风险是指基金所持金融工具的公允价值或未来现金流量因所处市场各类价格因素的变动而发生波动的风险，包括利率风险、外汇风险和其他价格风险。</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w:t>
      </w:r>
      <w:r w:rsidRPr="00C24ACA">
        <w:rPr>
          <w:rFonts w:eastAsiaTheme="minorEastAsia"/>
          <w:b/>
          <w:bCs/>
          <w:color w:val="000000"/>
          <w:szCs w:val="21"/>
        </w:rPr>
        <w:t>利率风险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利率风险是指基金的财务状况和现金流量受市场利率变动而发生波动的风险。投资管理人通过久期、凸度、</w:t>
      </w:r>
      <w:r w:rsidRPr="00C24ACA">
        <w:rPr>
          <w:rFonts w:eastAsiaTheme="minorEastAsia"/>
          <w:kern w:val="0"/>
          <w:szCs w:val="21"/>
        </w:rPr>
        <w:t>VAR</w:t>
      </w:r>
      <w:r w:rsidRPr="00C24ACA">
        <w:rPr>
          <w:rFonts w:eastAsiaTheme="minorEastAsia"/>
          <w:kern w:val="0"/>
          <w:szCs w:val="21"/>
        </w:rPr>
        <w:t>等方法评估组合面临的利率风险敞口，并通过调整投资组合的久期等方法对上述利率风险进行管理。</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6.4.13.4.1.1</w:t>
      </w:r>
      <w:r w:rsidRPr="00C24ACA">
        <w:rPr>
          <w:rFonts w:eastAsiaTheme="minorEastAsia"/>
          <w:b/>
          <w:bCs/>
          <w:color w:val="000000"/>
          <w:szCs w:val="21"/>
        </w:rPr>
        <w:t>利率风险敞口</w:t>
      </w:r>
    </w:p>
    <w:p w:rsidR="00A10C6C" w:rsidRPr="00C24ACA" w:rsidRDefault="00A10C6C" w:rsidP="00A10C6C">
      <w:pPr>
        <w:autoSpaceDE w:val="0"/>
        <w:autoSpaceDN w:val="0"/>
        <w:adjustRightInd w:val="0"/>
        <w:spacing w:before="29" w:line="360" w:lineRule="auto"/>
        <w:ind w:left="15"/>
        <w:jc w:val="right"/>
        <w:rPr>
          <w:rFonts w:eastAsiaTheme="minorEastAsia"/>
          <w:color w:val="000000"/>
          <w:szCs w:val="21"/>
        </w:rPr>
      </w:pPr>
      <w:r w:rsidRPr="00C24ACA">
        <w:rPr>
          <w:rFonts w:eastAsiaTheme="minorEastAsia"/>
          <w:color w:val="000000"/>
          <w:szCs w:val="21"/>
        </w:rPr>
        <w:t>单位：人民币元</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本期末</w:t>
            </w:r>
          </w:p>
          <w:p w:rsidR="00A10C6C" w:rsidRPr="00C24ACA" w:rsidRDefault="00A10C6C" w:rsidP="00427BFF">
            <w:pPr>
              <w:spacing w:line="360" w:lineRule="auto"/>
              <w:jc w:val="center"/>
              <w:rPr>
                <w:rFonts w:eastAsiaTheme="minorEastAsia"/>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8E5B30">
        <w:tc>
          <w:tcPr>
            <w:tcW w:w="1588" w:type="dxa"/>
            <w:vAlign w:val="center"/>
          </w:tcPr>
          <w:p w:rsidR="008E5B30" w:rsidRDefault="00013397">
            <w:pPr>
              <w:jc w:val="center"/>
            </w:pPr>
            <w:r>
              <w:rPr>
                <w:rFonts w:eastAsiaTheme="minorEastAsia"/>
                <w:color w:val="000000"/>
                <w:szCs w:val="21"/>
              </w:rPr>
              <w:t>银行存款</w:t>
            </w:r>
          </w:p>
        </w:tc>
        <w:tc>
          <w:tcPr>
            <w:tcW w:w="1701" w:type="dxa"/>
            <w:vAlign w:val="center"/>
          </w:tcPr>
          <w:p w:rsidR="008E5B30" w:rsidRDefault="00013397">
            <w:pPr>
              <w:jc w:val="right"/>
            </w:pPr>
            <w:r>
              <w:rPr>
                <w:rFonts w:eastAsiaTheme="minorEastAsia"/>
                <w:color w:val="000000"/>
                <w:szCs w:val="21"/>
              </w:rPr>
              <w:t>26,262,477.20</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26,262,477.20</w:t>
            </w:r>
          </w:p>
        </w:tc>
      </w:tr>
      <w:tr w:rsidR="008E5B30">
        <w:tc>
          <w:tcPr>
            <w:tcW w:w="1588" w:type="dxa"/>
            <w:vAlign w:val="center"/>
          </w:tcPr>
          <w:p w:rsidR="008E5B30" w:rsidRDefault="00013397">
            <w:pPr>
              <w:jc w:val="center"/>
            </w:pPr>
            <w:r>
              <w:rPr>
                <w:rFonts w:eastAsiaTheme="minorEastAsia"/>
                <w:color w:val="000000"/>
                <w:szCs w:val="21"/>
              </w:rPr>
              <w:t>结算备付金</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存出保证金</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交易性金融资产</w:t>
            </w:r>
          </w:p>
        </w:tc>
        <w:tc>
          <w:tcPr>
            <w:tcW w:w="1701" w:type="dxa"/>
            <w:vAlign w:val="center"/>
          </w:tcPr>
          <w:p w:rsidR="008E5B30" w:rsidRDefault="00013397">
            <w:pPr>
              <w:jc w:val="right"/>
            </w:pPr>
            <w:r>
              <w:rPr>
                <w:rFonts w:eastAsiaTheme="minorEastAsia"/>
                <w:color w:val="000000"/>
                <w:szCs w:val="21"/>
              </w:rPr>
              <w:t>56,362,111.02</w:t>
            </w:r>
          </w:p>
        </w:tc>
        <w:tc>
          <w:tcPr>
            <w:tcW w:w="1701" w:type="dxa"/>
            <w:vAlign w:val="center"/>
          </w:tcPr>
          <w:p w:rsidR="008E5B30" w:rsidRDefault="00013397">
            <w:pPr>
              <w:jc w:val="right"/>
            </w:pPr>
            <w:r>
              <w:rPr>
                <w:rFonts w:eastAsiaTheme="minorEastAsia"/>
                <w:color w:val="000000"/>
                <w:szCs w:val="21"/>
              </w:rPr>
              <w:t>423,050,646.29</w:t>
            </w:r>
          </w:p>
        </w:tc>
        <w:tc>
          <w:tcPr>
            <w:tcW w:w="1559" w:type="dxa"/>
            <w:vAlign w:val="center"/>
          </w:tcPr>
          <w:p w:rsidR="008E5B30" w:rsidRDefault="00013397">
            <w:pPr>
              <w:jc w:val="right"/>
            </w:pPr>
            <w:r>
              <w:rPr>
                <w:rFonts w:eastAsiaTheme="minorEastAsia"/>
                <w:color w:val="000000"/>
                <w:szCs w:val="21"/>
              </w:rPr>
              <w:t>15,235,912.31</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494,648,669.62</w:t>
            </w:r>
          </w:p>
        </w:tc>
      </w:tr>
      <w:tr w:rsidR="008E5B30">
        <w:tc>
          <w:tcPr>
            <w:tcW w:w="1588" w:type="dxa"/>
            <w:vAlign w:val="center"/>
          </w:tcPr>
          <w:p w:rsidR="008E5B30" w:rsidRDefault="00013397">
            <w:pPr>
              <w:jc w:val="center"/>
            </w:pPr>
            <w:r>
              <w:rPr>
                <w:rFonts w:eastAsiaTheme="minorEastAsia"/>
                <w:color w:val="000000"/>
                <w:szCs w:val="21"/>
              </w:rPr>
              <w:t>衍生金融资产</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买入返售金融资产</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应收证券清算款</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3,627,394.21</w:t>
            </w:r>
          </w:p>
        </w:tc>
        <w:tc>
          <w:tcPr>
            <w:tcW w:w="1301" w:type="dxa"/>
            <w:vAlign w:val="center"/>
          </w:tcPr>
          <w:p w:rsidR="008E5B30" w:rsidRDefault="00013397">
            <w:pPr>
              <w:jc w:val="right"/>
            </w:pPr>
            <w:r>
              <w:rPr>
                <w:rFonts w:eastAsiaTheme="minorEastAsia"/>
                <w:color w:val="000000"/>
                <w:szCs w:val="21"/>
              </w:rPr>
              <w:t>3,627,394.21</w:t>
            </w:r>
          </w:p>
        </w:tc>
      </w:tr>
      <w:tr w:rsidR="008E5B30">
        <w:tc>
          <w:tcPr>
            <w:tcW w:w="1588" w:type="dxa"/>
            <w:vAlign w:val="center"/>
          </w:tcPr>
          <w:p w:rsidR="008E5B30" w:rsidRDefault="00013397">
            <w:pPr>
              <w:jc w:val="center"/>
            </w:pPr>
            <w:r>
              <w:rPr>
                <w:rFonts w:eastAsiaTheme="minorEastAsia"/>
                <w:color w:val="000000"/>
                <w:szCs w:val="21"/>
              </w:rPr>
              <w:t>应收利息</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5,921,145.87</w:t>
            </w:r>
          </w:p>
        </w:tc>
        <w:tc>
          <w:tcPr>
            <w:tcW w:w="1301" w:type="dxa"/>
            <w:vAlign w:val="center"/>
          </w:tcPr>
          <w:p w:rsidR="008E5B30" w:rsidRDefault="00013397">
            <w:pPr>
              <w:jc w:val="right"/>
            </w:pPr>
            <w:r>
              <w:rPr>
                <w:rFonts w:eastAsiaTheme="minorEastAsia"/>
                <w:color w:val="000000"/>
                <w:szCs w:val="21"/>
              </w:rPr>
              <w:t>5,921,145.87</w:t>
            </w:r>
          </w:p>
        </w:tc>
      </w:tr>
      <w:tr w:rsidR="008E5B30">
        <w:tc>
          <w:tcPr>
            <w:tcW w:w="1588" w:type="dxa"/>
            <w:vAlign w:val="center"/>
          </w:tcPr>
          <w:p w:rsidR="008E5B30" w:rsidRDefault="00013397">
            <w:pPr>
              <w:jc w:val="center"/>
            </w:pPr>
            <w:r>
              <w:rPr>
                <w:rFonts w:eastAsiaTheme="minorEastAsia"/>
                <w:color w:val="000000"/>
                <w:szCs w:val="21"/>
              </w:rPr>
              <w:t>应收股利</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应收申购款</w:t>
            </w:r>
          </w:p>
        </w:tc>
        <w:tc>
          <w:tcPr>
            <w:tcW w:w="1701" w:type="dxa"/>
            <w:vAlign w:val="center"/>
          </w:tcPr>
          <w:p w:rsidR="008E5B30" w:rsidRDefault="00013397">
            <w:pPr>
              <w:jc w:val="right"/>
            </w:pPr>
            <w:r>
              <w:rPr>
                <w:rFonts w:eastAsiaTheme="minorEastAsia"/>
                <w:color w:val="000000"/>
                <w:szCs w:val="21"/>
              </w:rPr>
              <w:t>32,037.70</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56,570.59</w:t>
            </w:r>
          </w:p>
        </w:tc>
        <w:tc>
          <w:tcPr>
            <w:tcW w:w="1301" w:type="dxa"/>
            <w:vAlign w:val="center"/>
          </w:tcPr>
          <w:p w:rsidR="008E5B30" w:rsidRDefault="00013397">
            <w:pPr>
              <w:jc w:val="right"/>
            </w:pPr>
            <w:r>
              <w:rPr>
                <w:rFonts w:eastAsiaTheme="minorEastAsia"/>
                <w:color w:val="000000"/>
                <w:szCs w:val="21"/>
              </w:rPr>
              <w:t>88,608.29</w:t>
            </w:r>
          </w:p>
        </w:tc>
      </w:tr>
      <w:tr w:rsidR="008E5B30">
        <w:tc>
          <w:tcPr>
            <w:tcW w:w="1588" w:type="dxa"/>
            <w:vAlign w:val="center"/>
          </w:tcPr>
          <w:p w:rsidR="008E5B30" w:rsidRDefault="00013397">
            <w:pPr>
              <w:jc w:val="center"/>
            </w:pPr>
            <w:r>
              <w:rPr>
                <w:rFonts w:eastAsiaTheme="minorEastAsia"/>
                <w:color w:val="000000"/>
                <w:szCs w:val="21"/>
              </w:rPr>
              <w:t>递延所得税资产</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其他资产</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autoSpaceDE w:val="0"/>
              <w:autoSpaceDN w:val="0"/>
              <w:adjustRightInd w:val="0"/>
              <w:spacing w:before="29"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82,656,625.92</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423,050,646.29</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15,235,912.31</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9,605,110.67</w:t>
            </w:r>
          </w:p>
        </w:tc>
        <w:tc>
          <w:tcPr>
            <w:tcW w:w="13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530,548,295.19</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center"/>
          </w:tcPr>
          <w:p w:rsidR="00A10C6C" w:rsidRPr="00C24ACA" w:rsidRDefault="00A10C6C" w:rsidP="00427BFF">
            <w:pPr>
              <w:spacing w:line="360" w:lineRule="auto"/>
              <w:jc w:val="right"/>
              <w:rPr>
                <w:rFonts w:eastAsiaTheme="minorEastAsia"/>
                <w:color w:val="0000FF"/>
                <w:kern w:val="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color w:val="000000"/>
                <w:szCs w:val="21"/>
              </w:rPr>
            </w:pPr>
          </w:p>
        </w:tc>
      </w:tr>
      <w:tr w:rsidR="008E5B30">
        <w:tc>
          <w:tcPr>
            <w:tcW w:w="1588" w:type="dxa"/>
            <w:vAlign w:val="center"/>
          </w:tcPr>
          <w:p w:rsidR="008E5B30" w:rsidRDefault="00013397">
            <w:pPr>
              <w:jc w:val="center"/>
            </w:pPr>
            <w:r>
              <w:rPr>
                <w:rFonts w:eastAsiaTheme="minorEastAsia"/>
                <w:color w:val="000000"/>
                <w:szCs w:val="21"/>
              </w:rPr>
              <w:t>短期借款</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交易性金融负债</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衍生金融负债</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卖出回购金融资产款</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应付证券清算款</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应付赎回款</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4,344,777.89</w:t>
            </w:r>
          </w:p>
        </w:tc>
        <w:tc>
          <w:tcPr>
            <w:tcW w:w="1301" w:type="dxa"/>
            <w:vAlign w:val="center"/>
          </w:tcPr>
          <w:p w:rsidR="008E5B30" w:rsidRDefault="00013397">
            <w:pPr>
              <w:jc w:val="right"/>
            </w:pPr>
            <w:r>
              <w:rPr>
                <w:rFonts w:eastAsiaTheme="minorEastAsia"/>
                <w:color w:val="000000"/>
                <w:szCs w:val="21"/>
              </w:rPr>
              <w:t>4,344,777.89</w:t>
            </w:r>
          </w:p>
        </w:tc>
      </w:tr>
      <w:tr w:rsidR="008E5B30">
        <w:tc>
          <w:tcPr>
            <w:tcW w:w="1588" w:type="dxa"/>
            <w:vAlign w:val="center"/>
          </w:tcPr>
          <w:p w:rsidR="008E5B30" w:rsidRDefault="00013397">
            <w:pPr>
              <w:jc w:val="center"/>
            </w:pPr>
            <w:r>
              <w:rPr>
                <w:rFonts w:eastAsiaTheme="minorEastAsia"/>
                <w:color w:val="000000"/>
                <w:szCs w:val="21"/>
              </w:rPr>
              <w:t>应付管理人报酬</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217,976.17</w:t>
            </w:r>
          </w:p>
        </w:tc>
        <w:tc>
          <w:tcPr>
            <w:tcW w:w="1301" w:type="dxa"/>
            <w:vAlign w:val="center"/>
          </w:tcPr>
          <w:p w:rsidR="008E5B30" w:rsidRDefault="00013397">
            <w:pPr>
              <w:jc w:val="right"/>
            </w:pPr>
            <w:r>
              <w:rPr>
                <w:rFonts w:eastAsiaTheme="minorEastAsia"/>
                <w:color w:val="000000"/>
                <w:szCs w:val="21"/>
              </w:rPr>
              <w:t>217,976.17</w:t>
            </w:r>
          </w:p>
        </w:tc>
      </w:tr>
      <w:tr w:rsidR="008E5B30">
        <w:tc>
          <w:tcPr>
            <w:tcW w:w="1588" w:type="dxa"/>
            <w:vAlign w:val="center"/>
          </w:tcPr>
          <w:p w:rsidR="008E5B30" w:rsidRDefault="00013397">
            <w:pPr>
              <w:jc w:val="center"/>
            </w:pPr>
            <w:r>
              <w:rPr>
                <w:rFonts w:eastAsiaTheme="minorEastAsia"/>
                <w:color w:val="000000"/>
                <w:szCs w:val="21"/>
              </w:rPr>
              <w:t>应付托管费</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65,392.85</w:t>
            </w:r>
          </w:p>
        </w:tc>
        <w:tc>
          <w:tcPr>
            <w:tcW w:w="1301" w:type="dxa"/>
            <w:vAlign w:val="center"/>
          </w:tcPr>
          <w:p w:rsidR="008E5B30" w:rsidRDefault="00013397">
            <w:pPr>
              <w:jc w:val="right"/>
            </w:pPr>
            <w:r>
              <w:rPr>
                <w:rFonts w:eastAsiaTheme="minorEastAsia"/>
                <w:color w:val="000000"/>
                <w:szCs w:val="21"/>
              </w:rPr>
              <w:t>65,392.85</w:t>
            </w:r>
          </w:p>
        </w:tc>
      </w:tr>
      <w:tr w:rsidR="008E5B30">
        <w:tc>
          <w:tcPr>
            <w:tcW w:w="1588" w:type="dxa"/>
            <w:vAlign w:val="center"/>
          </w:tcPr>
          <w:p w:rsidR="008E5B30" w:rsidRDefault="00013397">
            <w:pPr>
              <w:jc w:val="center"/>
            </w:pPr>
            <w:r>
              <w:rPr>
                <w:rFonts w:eastAsiaTheme="minorEastAsia"/>
                <w:color w:val="000000"/>
                <w:szCs w:val="21"/>
              </w:rPr>
              <w:t>应付销售服务费</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42,215.02</w:t>
            </w:r>
          </w:p>
        </w:tc>
        <w:tc>
          <w:tcPr>
            <w:tcW w:w="1301" w:type="dxa"/>
            <w:vAlign w:val="center"/>
          </w:tcPr>
          <w:p w:rsidR="008E5B30" w:rsidRDefault="00013397">
            <w:pPr>
              <w:jc w:val="right"/>
            </w:pPr>
            <w:r>
              <w:rPr>
                <w:rFonts w:eastAsiaTheme="minorEastAsia"/>
                <w:color w:val="000000"/>
                <w:szCs w:val="21"/>
              </w:rPr>
              <w:t>42,215.02</w:t>
            </w:r>
          </w:p>
        </w:tc>
      </w:tr>
      <w:tr w:rsidR="008E5B30">
        <w:tc>
          <w:tcPr>
            <w:tcW w:w="1588" w:type="dxa"/>
            <w:vAlign w:val="center"/>
          </w:tcPr>
          <w:p w:rsidR="008E5B30" w:rsidRDefault="00013397">
            <w:pPr>
              <w:jc w:val="center"/>
            </w:pPr>
            <w:r>
              <w:rPr>
                <w:rFonts w:eastAsiaTheme="minorEastAsia"/>
                <w:color w:val="000000"/>
                <w:szCs w:val="21"/>
              </w:rPr>
              <w:t>应付交易费用</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应交税费</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60,530.55</w:t>
            </w:r>
          </w:p>
        </w:tc>
        <w:tc>
          <w:tcPr>
            <w:tcW w:w="1301" w:type="dxa"/>
            <w:vAlign w:val="center"/>
          </w:tcPr>
          <w:p w:rsidR="008E5B30" w:rsidRDefault="00013397">
            <w:pPr>
              <w:jc w:val="right"/>
            </w:pPr>
            <w:r>
              <w:rPr>
                <w:rFonts w:eastAsiaTheme="minorEastAsia"/>
                <w:color w:val="000000"/>
                <w:szCs w:val="21"/>
              </w:rPr>
              <w:t>60,530.55</w:t>
            </w:r>
          </w:p>
        </w:tc>
      </w:tr>
      <w:tr w:rsidR="008E5B30">
        <w:tc>
          <w:tcPr>
            <w:tcW w:w="1588" w:type="dxa"/>
            <w:vAlign w:val="center"/>
          </w:tcPr>
          <w:p w:rsidR="008E5B30" w:rsidRDefault="00013397">
            <w:pPr>
              <w:jc w:val="center"/>
            </w:pPr>
            <w:r>
              <w:rPr>
                <w:rFonts w:eastAsiaTheme="minorEastAsia"/>
                <w:color w:val="000000"/>
                <w:szCs w:val="21"/>
              </w:rPr>
              <w:t>应付利息</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应付利润</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递延所得税负债</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其他负债</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89,542.71</w:t>
            </w:r>
          </w:p>
        </w:tc>
        <w:tc>
          <w:tcPr>
            <w:tcW w:w="1301" w:type="dxa"/>
            <w:vAlign w:val="center"/>
          </w:tcPr>
          <w:p w:rsidR="008E5B30" w:rsidRDefault="00013397">
            <w:pPr>
              <w:jc w:val="right"/>
            </w:pPr>
            <w:r>
              <w:rPr>
                <w:rFonts w:eastAsiaTheme="minorEastAsia"/>
                <w:color w:val="000000"/>
                <w:szCs w:val="21"/>
              </w:rPr>
              <w:t>89,542.71</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4,820,435.19</w:t>
            </w:r>
          </w:p>
        </w:tc>
        <w:tc>
          <w:tcPr>
            <w:tcW w:w="1301" w:type="dxa"/>
            <w:vAlign w:val="center"/>
          </w:tcPr>
          <w:p w:rsidR="00A10C6C" w:rsidRPr="00C24ACA" w:rsidRDefault="00A10C6C" w:rsidP="00C903E7">
            <w:pPr>
              <w:spacing w:line="360" w:lineRule="auto"/>
              <w:ind w:right="210"/>
              <w:jc w:val="right"/>
              <w:rPr>
                <w:rFonts w:eastAsiaTheme="minorEastAsia"/>
                <w:szCs w:val="21"/>
              </w:rPr>
            </w:pPr>
            <w:r w:rsidRPr="00C24ACA">
              <w:rPr>
                <w:rFonts w:eastAsiaTheme="minorEastAsia"/>
                <w:szCs w:val="21"/>
              </w:rPr>
              <w:t>4,820,435.19</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82,656,625.92</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423,050,646.29</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15,235,912.31</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4,784,675.48</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525,727,860.00</w:t>
            </w:r>
          </w:p>
        </w:tc>
      </w:tr>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上年度末</w:t>
            </w:r>
          </w:p>
          <w:p w:rsidR="00A10C6C" w:rsidRPr="00C24ACA" w:rsidRDefault="00A10C6C" w:rsidP="00427BFF">
            <w:pPr>
              <w:spacing w:line="360" w:lineRule="auto"/>
              <w:jc w:val="center"/>
              <w:rPr>
                <w:rFonts w:eastAsiaTheme="minorEastAsia"/>
                <w:color w:val="000000"/>
                <w:szCs w:val="21"/>
              </w:rPr>
            </w:pPr>
            <w:r w:rsidRPr="00C24ACA">
              <w:rPr>
                <w:rFonts w:eastAsiaTheme="minorEastAsia"/>
                <w:szCs w:val="21"/>
              </w:rPr>
              <w:t>2019</w:t>
            </w:r>
            <w:r w:rsidRPr="00C24ACA">
              <w:rPr>
                <w:rFonts w:eastAsiaTheme="minorEastAsia"/>
                <w:szCs w:val="21"/>
              </w:rPr>
              <w:t>年</w:t>
            </w:r>
            <w:r w:rsidRPr="00C24ACA">
              <w:rPr>
                <w:rFonts w:eastAsiaTheme="minorEastAsia"/>
                <w:szCs w:val="21"/>
              </w:rPr>
              <w:t>12</w:t>
            </w:r>
            <w:r w:rsidRPr="00C24ACA">
              <w:rPr>
                <w:rFonts w:eastAsiaTheme="minorEastAsia"/>
                <w:szCs w:val="21"/>
              </w:rPr>
              <w:t>月</w:t>
            </w:r>
            <w:r w:rsidRPr="00C24ACA">
              <w:rPr>
                <w:rFonts w:eastAsiaTheme="minorEastAsia"/>
                <w:szCs w:val="21"/>
              </w:rPr>
              <w:t>31</w:t>
            </w:r>
            <w:r w:rsidRPr="00C24ACA">
              <w:rPr>
                <w:rFonts w:eastAsiaTheme="minorEastAsia"/>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8E5B30">
        <w:tc>
          <w:tcPr>
            <w:tcW w:w="1588" w:type="dxa"/>
            <w:vAlign w:val="center"/>
          </w:tcPr>
          <w:p w:rsidR="008E5B30" w:rsidRDefault="00013397">
            <w:pPr>
              <w:jc w:val="center"/>
            </w:pPr>
            <w:r>
              <w:rPr>
                <w:rFonts w:eastAsiaTheme="minorEastAsia"/>
                <w:color w:val="000000"/>
                <w:szCs w:val="21"/>
              </w:rPr>
              <w:t>银行存款</w:t>
            </w:r>
          </w:p>
        </w:tc>
        <w:tc>
          <w:tcPr>
            <w:tcW w:w="1701" w:type="dxa"/>
            <w:vAlign w:val="center"/>
          </w:tcPr>
          <w:p w:rsidR="008E5B30" w:rsidRDefault="00013397">
            <w:pPr>
              <w:jc w:val="right"/>
            </w:pPr>
            <w:r>
              <w:rPr>
                <w:rFonts w:eastAsiaTheme="minorEastAsia"/>
                <w:color w:val="000000"/>
                <w:szCs w:val="21"/>
              </w:rPr>
              <w:t>41,755,708.71</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41,755,708.71</w:t>
            </w:r>
          </w:p>
        </w:tc>
      </w:tr>
      <w:tr w:rsidR="008E5B30">
        <w:tc>
          <w:tcPr>
            <w:tcW w:w="1588" w:type="dxa"/>
            <w:vAlign w:val="center"/>
          </w:tcPr>
          <w:p w:rsidR="008E5B30" w:rsidRDefault="00013397">
            <w:pPr>
              <w:jc w:val="center"/>
            </w:pPr>
            <w:r>
              <w:rPr>
                <w:rFonts w:eastAsiaTheme="minorEastAsia"/>
                <w:color w:val="000000"/>
                <w:szCs w:val="21"/>
              </w:rPr>
              <w:t>结算备付金</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存出保证金</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交易性金融资产</w:t>
            </w:r>
          </w:p>
        </w:tc>
        <w:tc>
          <w:tcPr>
            <w:tcW w:w="1701" w:type="dxa"/>
            <w:vAlign w:val="center"/>
          </w:tcPr>
          <w:p w:rsidR="008E5B30" w:rsidRDefault="00013397">
            <w:pPr>
              <w:jc w:val="right"/>
            </w:pPr>
            <w:r>
              <w:rPr>
                <w:rFonts w:eastAsiaTheme="minorEastAsia"/>
                <w:color w:val="000000"/>
                <w:szCs w:val="21"/>
              </w:rPr>
              <w:t>83,194,857.07</w:t>
            </w:r>
          </w:p>
        </w:tc>
        <w:tc>
          <w:tcPr>
            <w:tcW w:w="1701" w:type="dxa"/>
            <w:vAlign w:val="center"/>
          </w:tcPr>
          <w:p w:rsidR="008E5B30" w:rsidRDefault="00013397">
            <w:pPr>
              <w:jc w:val="right"/>
            </w:pPr>
            <w:r>
              <w:rPr>
                <w:rFonts w:eastAsiaTheme="minorEastAsia"/>
                <w:color w:val="000000"/>
                <w:szCs w:val="21"/>
              </w:rPr>
              <w:t>589,261,965.61</w:t>
            </w:r>
          </w:p>
        </w:tc>
        <w:tc>
          <w:tcPr>
            <w:tcW w:w="1559" w:type="dxa"/>
            <w:vAlign w:val="center"/>
          </w:tcPr>
          <w:p w:rsidR="008E5B30" w:rsidRDefault="00013397">
            <w:pPr>
              <w:jc w:val="right"/>
            </w:pPr>
            <w:r>
              <w:rPr>
                <w:rFonts w:eastAsiaTheme="minorEastAsia"/>
                <w:color w:val="000000"/>
                <w:szCs w:val="21"/>
              </w:rPr>
              <w:t>3,530,131.61</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675,986,954.29</w:t>
            </w:r>
          </w:p>
        </w:tc>
      </w:tr>
      <w:tr w:rsidR="008E5B30">
        <w:tc>
          <w:tcPr>
            <w:tcW w:w="1588" w:type="dxa"/>
            <w:vAlign w:val="center"/>
          </w:tcPr>
          <w:p w:rsidR="008E5B30" w:rsidRDefault="00013397">
            <w:pPr>
              <w:jc w:val="center"/>
            </w:pPr>
            <w:r>
              <w:rPr>
                <w:rFonts w:eastAsiaTheme="minorEastAsia"/>
                <w:color w:val="000000"/>
                <w:szCs w:val="21"/>
              </w:rPr>
              <w:t>衍生金融资产</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买入返售金融资产</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应收证券清算款</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应收利息</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6,970,994.11</w:t>
            </w:r>
          </w:p>
        </w:tc>
        <w:tc>
          <w:tcPr>
            <w:tcW w:w="1301" w:type="dxa"/>
            <w:vAlign w:val="center"/>
          </w:tcPr>
          <w:p w:rsidR="008E5B30" w:rsidRDefault="00013397">
            <w:pPr>
              <w:jc w:val="right"/>
            </w:pPr>
            <w:r>
              <w:rPr>
                <w:rFonts w:eastAsiaTheme="minorEastAsia"/>
                <w:color w:val="000000"/>
                <w:szCs w:val="21"/>
              </w:rPr>
              <w:t>6,970,994.11</w:t>
            </w:r>
          </w:p>
        </w:tc>
      </w:tr>
      <w:tr w:rsidR="008E5B30">
        <w:tc>
          <w:tcPr>
            <w:tcW w:w="1588" w:type="dxa"/>
            <w:vAlign w:val="center"/>
          </w:tcPr>
          <w:p w:rsidR="008E5B30" w:rsidRDefault="00013397">
            <w:pPr>
              <w:jc w:val="center"/>
            </w:pPr>
            <w:r>
              <w:rPr>
                <w:rFonts w:eastAsiaTheme="minorEastAsia"/>
                <w:color w:val="000000"/>
                <w:szCs w:val="21"/>
              </w:rPr>
              <w:t>应收股利</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应收申购款</w:t>
            </w:r>
          </w:p>
        </w:tc>
        <w:tc>
          <w:tcPr>
            <w:tcW w:w="1701" w:type="dxa"/>
            <w:vAlign w:val="center"/>
          </w:tcPr>
          <w:p w:rsidR="008E5B30" w:rsidRDefault="00013397">
            <w:pPr>
              <w:jc w:val="right"/>
            </w:pPr>
            <w:r>
              <w:rPr>
                <w:rFonts w:eastAsiaTheme="minorEastAsia"/>
                <w:color w:val="000000"/>
                <w:szCs w:val="21"/>
              </w:rPr>
              <w:t>36,018.76</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7,247,329.41</w:t>
            </w:r>
          </w:p>
        </w:tc>
        <w:tc>
          <w:tcPr>
            <w:tcW w:w="1301" w:type="dxa"/>
            <w:vAlign w:val="center"/>
          </w:tcPr>
          <w:p w:rsidR="008E5B30" w:rsidRDefault="00013397">
            <w:pPr>
              <w:jc w:val="right"/>
            </w:pPr>
            <w:r>
              <w:rPr>
                <w:rFonts w:eastAsiaTheme="minorEastAsia"/>
                <w:color w:val="000000"/>
                <w:szCs w:val="21"/>
              </w:rPr>
              <w:t>7,283,348.17</w:t>
            </w:r>
          </w:p>
        </w:tc>
      </w:tr>
      <w:tr w:rsidR="008E5B30">
        <w:tc>
          <w:tcPr>
            <w:tcW w:w="1588" w:type="dxa"/>
            <w:vAlign w:val="center"/>
          </w:tcPr>
          <w:p w:rsidR="008E5B30" w:rsidRDefault="00013397">
            <w:pPr>
              <w:jc w:val="center"/>
            </w:pPr>
            <w:r>
              <w:rPr>
                <w:rFonts w:eastAsiaTheme="minorEastAsia"/>
                <w:color w:val="000000"/>
                <w:szCs w:val="21"/>
              </w:rPr>
              <w:t>递延所得税资产</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其他资产</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124,986,584.54</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589,261,965.61</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3,530,131.61</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14,218,323.52</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731,997,005.28</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bottom"/>
          </w:tcPr>
          <w:p w:rsidR="00A10C6C" w:rsidRPr="00C24ACA" w:rsidRDefault="00A10C6C" w:rsidP="00427BFF">
            <w:pPr>
              <w:spacing w:line="360" w:lineRule="auto"/>
              <w:jc w:val="right"/>
              <w:rPr>
                <w:rFonts w:eastAsiaTheme="minorEastAsia"/>
                <w:color w:val="0000FF"/>
                <w:kern w:val="0"/>
                <w:szCs w:val="21"/>
              </w:rPr>
            </w:pPr>
          </w:p>
        </w:tc>
        <w:tc>
          <w:tcPr>
            <w:tcW w:w="1701"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301" w:type="dxa"/>
            <w:vAlign w:val="bottom"/>
          </w:tcPr>
          <w:p w:rsidR="00A10C6C" w:rsidRPr="00C24ACA" w:rsidRDefault="00A10C6C" w:rsidP="00427BFF">
            <w:pPr>
              <w:spacing w:line="360" w:lineRule="auto"/>
              <w:jc w:val="right"/>
              <w:rPr>
                <w:rFonts w:eastAsiaTheme="minorEastAsia"/>
                <w:color w:val="000000"/>
                <w:szCs w:val="21"/>
              </w:rPr>
            </w:pPr>
          </w:p>
        </w:tc>
      </w:tr>
      <w:tr w:rsidR="008E5B30">
        <w:tc>
          <w:tcPr>
            <w:tcW w:w="1588" w:type="dxa"/>
            <w:vAlign w:val="center"/>
          </w:tcPr>
          <w:p w:rsidR="008E5B30" w:rsidRDefault="00013397">
            <w:pPr>
              <w:jc w:val="center"/>
            </w:pPr>
            <w:r>
              <w:rPr>
                <w:rFonts w:eastAsiaTheme="minorEastAsia"/>
                <w:color w:val="000000"/>
                <w:szCs w:val="21"/>
              </w:rPr>
              <w:t>短期借款</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交易性金融负债</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衍生金融负债</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卖出回购金融资产款</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应付证券清算款</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7,041,119.33</w:t>
            </w:r>
          </w:p>
        </w:tc>
        <w:tc>
          <w:tcPr>
            <w:tcW w:w="1301" w:type="dxa"/>
            <w:vAlign w:val="center"/>
          </w:tcPr>
          <w:p w:rsidR="008E5B30" w:rsidRDefault="00013397">
            <w:pPr>
              <w:jc w:val="right"/>
            </w:pPr>
            <w:r>
              <w:rPr>
                <w:rFonts w:eastAsiaTheme="minorEastAsia"/>
                <w:color w:val="000000"/>
                <w:szCs w:val="21"/>
              </w:rPr>
              <w:t>7,041,119.33</w:t>
            </w:r>
          </w:p>
        </w:tc>
      </w:tr>
      <w:tr w:rsidR="008E5B30">
        <w:tc>
          <w:tcPr>
            <w:tcW w:w="1588" w:type="dxa"/>
            <w:vAlign w:val="center"/>
          </w:tcPr>
          <w:p w:rsidR="008E5B30" w:rsidRDefault="00013397">
            <w:pPr>
              <w:jc w:val="center"/>
            </w:pPr>
            <w:r>
              <w:rPr>
                <w:rFonts w:eastAsiaTheme="minorEastAsia"/>
                <w:color w:val="000000"/>
                <w:szCs w:val="21"/>
              </w:rPr>
              <w:t>应付赎回款</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6,203,483.53</w:t>
            </w:r>
          </w:p>
        </w:tc>
        <w:tc>
          <w:tcPr>
            <w:tcW w:w="1301" w:type="dxa"/>
            <w:vAlign w:val="center"/>
          </w:tcPr>
          <w:p w:rsidR="008E5B30" w:rsidRDefault="00013397">
            <w:pPr>
              <w:jc w:val="right"/>
            </w:pPr>
            <w:r>
              <w:rPr>
                <w:rFonts w:eastAsiaTheme="minorEastAsia"/>
                <w:color w:val="000000"/>
                <w:szCs w:val="21"/>
              </w:rPr>
              <w:t>6,203,483.53</w:t>
            </w:r>
          </w:p>
        </w:tc>
      </w:tr>
      <w:tr w:rsidR="008E5B30">
        <w:tc>
          <w:tcPr>
            <w:tcW w:w="1588" w:type="dxa"/>
            <w:vAlign w:val="center"/>
          </w:tcPr>
          <w:p w:rsidR="008E5B30" w:rsidRDefault="00013397">
            <w:pPr>
              <w:jc w:val="center"/>
            </w:pPr>
            <w:r>
              <w:rPr>
                <w:rFonts w:eastAsiaTheme="minorEastAsia"/>
                <w:color w:val="000000"/>
                <w:szCs w:val="21"/>
              </w:rPr>
              <w:t>应付管理人报酬</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303,644.31</w:t>
            </w:r>
          </w:p>
        </w:tc>
        <w:tc>
          <w:tcPr>
            <w:tcW w:w="1301" w:type="dxa"/>
            <w:vAlign w:val="center"/>
          </w:tcPr>
          <w:p w:rsidR="008E5B30" w:rsidRDefault="00013397">
            <w:pPr>
              <w:jc w:val="right"/>
            </w:pPr>
            <w:r>
              <w:rPr>
                <w:rFonts w:eastAsiaTheme="minorEastAsia"/>
                <w:color w:val="000000"/>
                <w:szCs w:val="21"/>
              </w:rPr>
              <w:t>303,644.31</w:t>
            </w:r>
          </w:p>
        </w:tc>
      </w:tr>
      <w:tr w:rsidR="008E5B30">
        <w:tc>
          <w:tcPr>
            <w:tcW w:w="1588" w:type="dxa"/>
            <w:vAlign w:val="center"/>
          </w:tcPr>
          <w:p w:rsidR="008E5B30" w:rsidRDefault="00013397">
            <w:pPr>
              <w:jc w:val="center"/>
            </w:pPr>
            <w:r>
              <w:rPr>
                <w:rFonts w:eastAsiaTheme="minorEastAsia"/>
                <w:color w:val="000000"/>
                <w:szCs w:val="21"/>
              </w:rPr>
              <w:t>应付托管费</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91,093.30</w:t>
            </w:r>
          </w:p>
        </w:tc>
        <w:tc>
          <w:tcPr>
            <w:tcW w:w="1301" w:type="dxa"/>
            <w:vAlign w:val="center"/>
          </w:tcPr>
          <w:p w:rsidR="008E5B30" w:rsidRDefault="00013397">
            <w:pPr>
              <w:jc w:val="right"/>
            </w:pPr>
            <w:r>
              <w:rPr>
                <w:rFonts w:eastAsiaTheme="minorEastAsia"/>
                <w:color w:val="000000"/>
                <w:szCs w:val="21"/>
              </w:rPr>
              <w:t>91,093.30</w:t>
            </w:r>
          </w:p>
        </w:tc>
      </w:tr>
      <w:tr w:rsidR="008E5B30">
        <w:tc>
          <w:tcPr>
            <w:tcW w:w="1588" w:type="dxa"/>
            <w:vAlign w:val="center"/>
          </w:tcPr>
          <w:p w:rsidR="008E5B30" w:rsidRDefault="00013397">
            <w:pPr>
              <w:jc w:val="center"/>
            </w:pPr>
            <w:r>
              <w:rPr>
                <w:rFonts w:eastAsiaTheme="minorEastAsia"/>
                <w:color w:val="000000"/>
                <w:szCs w:val="21"/>
              </w:rPr>
              <w:t>应付销售服务费</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65,011.78</w:t>
            </w:r>
          </w:p>
        </w:tc>
        <w:tc>
          <w:tcPr>
            <w:tcW w:w="1301" w:type="dxa"/>
            <w:vAlign w:val="center"/>
          </w:tcPr>
          <w:p w:rsidR="008E5B30" w:rsidRDefault="00013397">
            <w:pPr>
              <w:jc w:val="right"/>
            </w:pPr>
            <w:r>
              <w:rPr>
                <w:rFonts w:eastAsiaTheme="minorEastAsia"/>
                <w:color w:val="000000"/>
                <w:szCs w:val="21"/>
              </w:rPr>
              <w:t>65,011.78</w:t>
            </w:r>
          </w:p>
        </w:tc>
      </w:tr>
      <w:tr w:rsidR="008E5B30">
        <w:tc>
          <w:tcPr>
            <w:tcW w:w="1588" w:type="dxa"/>
            <w:vAlign w:val="center"/>
          </w:tcPr>
          <w:p w:rsidR="008E5B30" w:rsidRDefault="00013397">
            <w:pPr>
              <w:jc w:val="center"/>
            </w:pPr>
            <w:r>
              <w:rPr>
                <w:rFonts w:eastAsiaTheme="minorEastAsia"/>
                <w:color w:val="000000"/>
                <w:szCs w:val="21"/>
              </w:rPr>
              <w:t>应付交易费用</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应交税费</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77,936.62</w:t>
            </w:r>
          </w:p>
        </w:tc>
        <w:tc>
          <w:tcPr>
            <w:tcW w:w="1301" w:type="dxa"/>
            <w:vAlign w:val="center"/>
          </w:tcPr>
          <w:p w:rsidR="008E5B30" w:rsidRDefault="00013397">
            <w:pPr>
              <w:jc w:val="right"/>
            </w:pPr>
            <w:r>
              <w:rPr>
                <w:rFonts w:eastAsiaTheme="minorEastAsia"/>
                <w:color w:val="000000"/>
                <w:szCs w:val="21"/>
              </w:rPr>
              <w:t>77,936.62</w:t>
            </w:r>
          </w:p>
        </w:tc>
      </w:tr>
      <w:tr w:rsidR="008E5B30">
        <w:tc>
          <w:tcPr>
            <w:tcW w:w="1588" w:type="dxa"/>
            <w:vAlign w:val="center"/>
          </w:tcPr>
          <w:p w:rsidR="008E5B30" w:rsidRDefault="00013397">
            <w:pPr>
              <w:jc w:val="center"/>
            </w:pPr>
            <w:r>
              <w:rPr>
                <w:rFonts w:eastAsiaTheme="minorEastAsia"/>
                <w:color w:val="000000"/>
                <w:szCs w:val="21"/>
              </w:rPr>
              <w:t>应付利息</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应付利润</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递延所得税负债</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w:t>
            </w:r>
          </w:p>
        </w:tc>
        <w:tc>
          <w:tcPr>
            <w:tcW w:w="1301" w:type="dxa"/>
            <w:vAlign w:val="center"/>
          </w:tcPr>
          <w:p w:rsidR="008E5B30" w:rsidRDefault="00013397">
            <w:pPr>
              <w:jc w:val="right"/>
            </w:pPr>
            <w:r>
              <w:rPr>
                <w:rFonts w:eastAsiaTheme="minorEastAsia"/>
                <w:color w:val="000000"/>
                <w:szCs w:val="21"/>
              </w:rPr>
              <w:t>-</w:t>
            </w:r>
          </w:p>
        </w:tc>
      </w:tr>
      <w:tr w:rsidR="008E5B30">
        <w:tc>
          <w:tcPr>
            <w:tcW w:w="1588" w:type="dxa"/>
            <w:vAlign w:val="center"/>
          </w:tcPr>
          <w:p w:rsidR="008E5B30" w:rsidRDefault="00013397">
            <w:pPr>
              <w:jc w:val="center"/>
            </w:pPr>
            <w:r>
              <w:rPr>
                <w:rFonts w:eastAsiaTheme="minorEastAsia"/>
                <w:color w:val="000000"/>
                <w:szCs w:val="21"/>
              </w:rPr>
              <w:t>其他负债</w:t>
            </w:r>
          </w:p>
        </w:tc>
        <w:tc>
          <w:tcPr>
            <w:tcW w:w="1701" w:type="dxa"/>
            <w:vAlign w:val="center"/>
          </w:tcPr>
          <w:p w:rsidR="008E5B30" w:rsidRDefault="00013397">
            <w:pPr>
              <w:jc w:val="right"/>
            </w:pPr>
            <w:r>
              <w:rPr>
                <w:rFonts w:eastAsiaTheme="minorEastAsia"/>
                <w:color w:val="000000"/>
                <w:szCs w:val="21"/>
              </w:rPr>
              <w:t>-</w:t>
            </w:r>
          </w:p>
        </w:tc>
        <w:tc>
          <w:tcPr>
            <w:tcW w:w="1701"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right"/>
            </w:pPr>
            <w:r>
              <w:rPr>
                <w:rFonts w:eastAsiaTheme="minorEastAsia"/>
                <w:color w:val="000000"/>
                <w:szCs w:val="21"/>
              </w:rPr>
              <w:t>-</w:t>
            </w:r>
          </w:p>
        </w:tc>
        <w:tc>
          <w:tcPr>
            <w:tcW w:w="1559" w:type="dxa"/>
            <w:vAlign w:val="center"/>
          </w:tcPr>
          <w:p w:rsidR="008E5B30" w:rsidRDefault="00013397">
            <w:pPr>
              <w:jc w:val="center"/>
            </w:pPr>
            <w:r>
              <w:rPr>
                <w:rFonts w:eastAsiaTheme="minorEastAsia"/>
                <w:color w:val="000000"/>
                <w:szCs w:val="21"/>
              </w:rPr>
              <w:t>62,130.02</w:t>
            </w:r>
          </w:p>
        </w:tc>
        <w:tc>
          <w:tcPr>
            <w:tcW w:w="1301" w:type="dxa"/>
            <w:vAlign w:val="center"/>
          </w:tcPr>
          <w:p w:rsidR="008E5B30" w:rsidRDefault="00013397">
            <w:pPr>
              <w:jc w:val="right"/>
            </w:pPr>
            <w:r>
              <w:rPr>
                <w:rFonts w:eastAsiaTheme="minorEastAsia"/>
                <w:color w:val="000000"/>
                <w:szCs w:val="21"/>
              </w:rPr>
              <w:t>62,130.02</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13,844,418.89</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13,844,418.89</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124,986,584.54</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589,261,965.61</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3,530,131.61</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373,904.63</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718,152,586.39</w:t>
            </w:r>
          </w:p>
        </w:tc>
      </w:tr>
    </w:tbl>
    <w:p w:rsidR="008A5A5D" w:rsidRPr="00C24ACA" w:rsidRDefault="00A10C6C"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注：各期限分类的标准为按金融资产或金融负债的重新定价日或到期日孰早者进行分类。</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6.4.13.4.1.2</w:t>
      </w:r>
      <w:r w:rsidRPr="00C24ACA">
        <w:rPr>
          <w:rFonts w:eastAsiaTheme="minor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8E5B30">
        <w:tc>
          <w:tcPr>
            <w:tcW w:w="851" w:type="dxa"/>
            <w:vAlign w:val="center"/>
          </w:tcPr>
          <w:p w:rsidR="008E5B30" w:rsidRDefault="00013397">
            <w:pPr>
              <w:jc w:val="left"/>
            </w:pPr>
            <w:r>
              <w:rPr>
                <w:rFonts w:eastAsiaTheme="minorEastAsia"/>
                <w:color w:val="000000"/>
                <w:szCs w:val="21"/>
              </w:rPr>
              <w:t>假设</w:t>
            </w:r>
          </w:p>
        </w:tc>
        <w:tc>
          <w:tcPr>
            <w:tcW w:w="8149" w:type="dxa"/>
            <w:gridSpan w:val="3"/>
            <w:vAlign w:val="center"/>
          </w:tcPr>
          <w:p w:rsidR="008E5B30" w:rsidRDefault="00013397">
            <w:pPr>
              <w:jc w:val="left"/>
            </w:pPr>
            <w:r>
              <w:rPr>
                <w:rFonts w:eastAsiaTheme="minorEastAsia"/>
                <w:color w:val="000000"/>
                <w:szCs w:val="21"/>
              </w:rPr>
              <w:t>除市场利率以外的其他市场变量保持不变</w:t>
            </w:r>
          </w:p>
        </w:tc>
      </w:tr>
      <w:tr w:rsidR="00022F8F" w:rsidRPr="00C24ACA" w:rsidTr="0087507A">
        <w:tc>
          <w:tcPr>
            <w:tcW w:w="851" w:type="dxa"/>
            <w:vMerge w:val="restart"/>
            <w:vAlign w:val="center"/>
          </w:tcPr>
          <w:p w:rsidR="00022F8F" w:rsidRPr="00C24ACA" w:rsidRDefault="00022F8F"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2551" w:type="dxa"/>
            <w:vMerge w:val="restart"/>
            <w:vAlign w:val="center"/>
          </w:tcPr>
          <w:p w:rsidR="00022F8F" w:rsidRPr="00C24ACA" w:rsidRDefault="00022F8F" w:rsidP="0087507A">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5598" w:type="dxa"/>
            <w:gridSpan w:val="2"/>
          </w:tcPr>
          <w:p w:rsidR="00022F8F" w:rsidRPr="00C24ACA" w:rsidRDefault="00022F8F" w:rsidP="0087507A">
            <w:pPr>
              <w:jc w:val="center"/>
              <w:rPr>
                <w:rFonts w:eastAsiaTheme="minorEastAsia"/>
                <w:color w:val="000000"/>
                <w:szCs w:val="21"/>
              </w:rPr>
            </w:pPr>
            <w:r w:rsidRPr="00C24ACA">
              <w:rPr>
                <w:rFonts w:eastAsiaTheme="minorEastAsia"/>
                <w:color w:val="000000"/>
                <w:szCs w:val="21"/>
              </w:rPr>
              <w:t>对资产负债表日基金资产净值的</w:t>
            </w:r>
          </w:p>
          <w:p w:rsidR="00022F8F"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022F8F" w:rsidRPr="00C24ACA">
              <w:rPr>
                <w:rFonts w:eastAsiaTheme="minorEastAsia"/>
                <w:color w:val="000000"/>
                <w:szCs w:val="21"/>
              </w:rPr>
              <w:t>元）</w:t>
            </w:r>
          </w:p>
        </w:tc>
      </w:tr>
      <w:tr w:rsidR="00022F8F" w:rsidRPr="00C24ACA" w:rsidTr="0087507A">
        <w:tc>
          <w:tcPr>
            <w:tcW w:w="851" w:type="dxa"/>
            <w:vMerge/>
            <w:vAlign w:val="center"/>
          </w:tcPr>
          <w:p w:rsidR="00022F8F" w:rsidRPr="00C24ACA" w:rsidRDefault="00022F8F" w:rsidP="0087507A">
            <w:pPr>
              <w:widowControl/>
              <w:jc w:val="left"/>
              <w:rPr>
                <w:rFonts w:eastAsiaTheme="minorEastAsia"/>
                <w:color w:val="000000"/>
                <w:szCs w:val="21"/>
              </w:rPr>
            </w:pPr>
          </w:p>
        </w:tc>
        <w:tc>
          <w:tcPr>
            <w:tcW w:w="2551" w:type="dxa"/>
            <w:vMerge/>
            <w:vAlign w:val="center"/>
          </w:tcPr>
          <w:p w:rsidR="00022F8F" w:rsidRPr="00C24ACA" w:rsidRDefault="00022F8F" w:rsidP="0087507A">
            <w:pPr>
              <w:widowControl/>
              <w:jc w:val="left"/>
              <w:rPr>
                <w:rFonts w:eastAsiaTheme="minorEastAsia"/>
                <w:color w:val="000000"/>
                <w:kern w:val="0"/>
                <w:szCs w:val="21"/>
              </w:rPr>
            </w:pPr>
          </w:p>
        </w:tc>
        <w:tc>
          <w:tcPr>
            <w:tcW w:w="2694" w:type="dxa"/>
          </w:tcPr>
          <w:p w:rsidR="00022F8F" w:rsidRPr="00C24ACA" w:rsidRDefault="00022F8F" w:rsidP="008134C7">
            <w:pPr>
              <w:spacing w:line="360" w:lineRule="auto"/>
              <w:ind w:firstLineChars="350" w:firstLine="735"/>
              <w:rPr>
                <w:rFonts w:eastAsiaTheme="minorEastAsia"/>
                <w:color w:val="000000"/>
                <w:szCs w:val="21"/>
              </w:rPr>
            </w:pPr>
            <w:r w:rsidRPr="00C24ACA">
              <w:rPr>
                <w:rFonts w:eastAsiaTheme="minorEastAsia"/>
                <w:color w:val="000000"/>
                <w:szCs w:val="21"/>
              </w:rPr>
              <w:t>本期末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904" w:type="dxa"/>
          </w:tcPr>
          <w:p w:rsidR="00022F8F" w:rsidRPr="00C24ACA" w:rsidRDefault="00022F8F" w:rsidP="008134C7">
            <w:pPr>
              <w:spacing w:line="360" w:lineRule="auto"/>
              <w:ind w:firstLineChars="300" w:firstLine="630"/>
              <w:rPr>
                <w:rFonts w:eastAsiaTheme="minorEastAsia"/>
                <w:color w:val="000000"/>
                <w:szCs w:val="21"/>
              </w:rPr>
            </w:pPr>
            <w:r w:rsidRPr="00C24ACA">
              <w:rPr>
                <w:rFonts w:eastAsiaTheme="minorEastAsia"/>
                <w:color w:val="000000"/>
                <w:szCs w:val="21"/>
              </w:rPr>
              <w:t>上年度末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8E5B30">
        <w:tc>
          <w:tcPr>
            <w:tcW w:w="851" w:type="dxa"/>
            <w:vMerge/>
          </w:tcPr>
          <w:p w:rsidR="008E5B30" w:rsidRDefault="008E5B30"/>
        </w:tc>
        <w:tc>
          <w:tcPr>
            <w:tcW w:w="2551" w:type="dxa"/>
            <w:vAlign w:val="center"/>
          </w:tcPr>
          <w:p w:rsidR="008E5B30" w:rsidRDefault="00013397">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8E5B30" w:rsidRDefault="00013397">
            <w:pPr>
              <w:jc w:val="right"/>
            </w:pPr>
            <w:r>
              <w:rPr>
                <w:rFonts w:eastAsiaTheme="minorEastAsia"/>
                <w:color w:val="000000"/>
                <w:szCs w:val="21"/>
              </w:rPr>
              <w:t>2,484,213.32</w:t>
            </w:r>
          </w:p>
        </w:tc>
        <w:tc>
          <w:tcPr>
            <w:tcW w:w="2904" w:type="dxa"/>
            <w:vAlign w:val="center"/>
          </w:tcPr>
          <w:p w:rsidR="008E5B30" w:rsidRDefault="00013397">
            <w:pPr>
              <w:jc w:val="right"/>
            </w:pPr>
            <w:r>
              <w:rPr>
                <w:rFonts w:eastAsiaTheme="minorEastAsia"/>
                <w:color w:val="000000"/>
                <w:szCs w:val="21"/>
              </w:rPr>
              <w:t>3,848,628.26</w:t>
            </w:r>
          </w:p>
        </w:tc>
      </w:tr>
      <w:tr w:rsidR="008E5B30">
        <w:tc>
          <w:tcPr>
            <w:tcW w:w="851" w:type="dxa"/>
            <w:vMerge/>
          </w:tcPr>
          <w:p w:rsidR="008E5B30" w:rsidRDefault="008E5B30"/>
        </w:tc>
        <w:tc>
          <w:tcPr>
            <w:tcW w:w="2551" w:type="dxa"/>
            <w:vAlign w:val="center"/>
          </w:tcPr>
          <w:p w:rsidR="008E5B30" w:rsidRDefault="00013397">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8E5B30" w:rsidRDefault="00013397">
            <w:pPr>
              <w:jc w:val="right"/>
            </w:pPr>
            <w:r>
              <w:rPr>
                <w:rFonts w:eastAsiaTheme="minorEastAsia"/>
                <w:color w:val="000000"/>
                <w:szCs w:val="21"/>
              </w:rPr>
              <w:t>-2,457,125.66</w:t>
            </w:r>
          </w:p>
        </w:tc>
        <w:tc>
          <w:tcPr>
            <w:tcW w:w="2904" w:type="dxa"/>
            <w:vAlign w:val="center"/>
          </w:tcPr>
          <w:p w:rsidR="008E5B30" w:rsidRDefault="00013397">
            <w:pPr>
              <w:jc w:val="right"/>
            </w:pPr>
            <w:r>
              <w:rPr>
                <w:rFonts w:eastAsiaTheme="minorEastAsia"/>
                <w:color w:val="000000"/>
                <w:szCs w:val="21"/>
              </w:rPr>
              <w:t>-3,814,962.17</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w:t>
      </w:r>
      <w:r w:rsidRPr="00C24ACA">
        <w:rPr>
          <w:rFonts w:eastAsiaTheme="minorEastAsia"/>
          <w:b/>
          <w:bCs/>
          <w:color w:val="000000"/>
          <w:szCs w:val="21"/>
        </w:rPr>
        <w:t>外汇风险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6.4.13.4.2.1</w:t>
      </w:r>
      <w:r w:rsidRPr="00C24ACA">
        <w:rPr>
          <w:rFonts w:eastAsiaTheme="minorEastAsia"/>
          <w:b/>
          <w:bCs/>
          <w:color w:val="000000"/>
          <w:szCs w:val="21"/>
        </w:rPr>
        <w:t>外汇风险敞口</w:t>
      </w:r>
    </w:p>
    <w:p w:rsidR="0056101E" w:rsidRPr="00C24ACA" w:rsidRDefault="0056101E" w:rsidP="0056101E">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400"/>
        <w:gridCol w:w="2020"/>
        <w:gridCol w:w="2160"/>
      </w:tblGrid>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本期末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美元</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港币</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其他币种</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8E5B30">
        <w:tc>
          <w:tcPr>
            <w:tcW w:w="1477" w:type="dxa"/>
            <w:vAlign w:val="center"/>
          </w:tcPr>
          <w:p w:rsidR="008E5B30" w:rsidRDefault="00013397">
            <w:pPr>
              <w:jc w:val="left"/>
            </w:pPr>
            <w:r>
              <w:rPr>
                <w:rFonts w:eastAsiaTheme="minorEastAsia"/>
                <w:color w:val="000000"/>
                <w:kern w:val="0"/>
                <w:szCs w:val="21"/>
              </w:rPr>
              <w:t>银行存款</w:t>
            </w:r>
          </w:p>
        </w:tc>
        <w:tc>
          <w:tcPr>
            <w:tcW w:w="1943" w:type="dxa"/>
            <w:vAlign w:val="center"/>
          </w:tcPr>
          <w:p w:rsidR="008E5B30" w:rsidRDefault="00013397">
            <w:pPr>
              <w:jc w:val="right"/>
            </w:pPr>
            <w:r>
              <w:rPr>
                <w:rFonts w:eastAsiaTheme="minorEastAsia"/>
                <w:color w:val="000000"/>
                <w:kern w:val="0"/>
                <w:szCs w:val="21"/>
              </w:rPr>
              <w:t>25,524,935.48</w:t>
            </w:r>
          </w:p>
        </w:tc>
        <w:tc>
          <w:tcPr>
            <w:tcW w:w="1400" w:type="dxa"/>
            <w:vAlign w:val="center"/>
          </w:tcPr>
          <w:p w:rsidR="008E5B30" w:rsidRDefault="00013397">
            <w:pPr>
              <w:jc w:val="right"/>
            </w:pPr>
            <w:r>
              <w:rPr>
                <w:rFonts w:eastAsiaTheme="minorEastAsia"/>
                <w:color w:val="000000"/>
                <w:kern w:val="0"/>
                <w:szCs w:val="21"/>
              </w:rPr>
              <w:t>-</w:t>
            </w:r>
          </w:p>
        </w:tc>
        <w:tc>
          <w:tcPr>
            <w:tcW w:w="2020" w:type="dxa"/>
            <w:vAlign w:val="center"/>
          </w:tcPr>
          <w:p w:rsidR="008E5B30" w:rsidRDefault="00013397">
            <w:pPr>
              <w:jc w:val="right"/>
            </w:pPr>
            <w:r>
              <w:rPr>
                <w:rFonts w:eastAsiaTheme="minorEastAsia"/>
                <w:color w:val="000000"/>
                <w:kern w:val="0"/>
                <w:szCs w:val="21"/>
              </w:rPr>
              <w:t>-</w:t>
            </w:r>
          </w:p>
        </w:tc>
        <w:tc>
          <w:tcPr>
            <w:tcW w:w="2160" w:type="dxa"/>
            <w:vAlign w:val="center"/>
          </w:tcPr>
          <w:p w:rsidR="008E5B30" w:rsidRDefault="00013397">
            <w:pPr>
              <w:jc w:val="right"/>
            </w:pPr>
            <w:r>
              <w:rPr>
                <w:rFonts w:eastAsiaTheme="minorEastAsia"/>
                <w:color w:val="000000"/>
                <w:kern w:val="0"/>
                <w:szCs w:val="21"/>
              </w:rPr>
              <w:t>25,524,935.48</w:t>
            </w:r>
          </w:p>
        </w:tc>
      </w:tr>
      <w:tr w:rsidR="008E5B30">
        <w:tc>
          <w:tcPr>
            <w:tcW w:w="1477" w:type="dxa"/>
            <w:vAlign w:val="center"/>
          </w:tcPr>
          <w:p w:rsidR="008E5B30" w:rsidRDefault="00013397">
            <w:pPr>
              <w:jc w:val="left"/>
            </w:pPr>
            <w:r>
              <w:rPr>
                <w:rFonts w:eastAsiaTheme="minorEastAsia"/>
                <w:color w:val="000000"/>
                <w:kern w:val="0"/>
                <w:szCs w:val="21"/>
              </w:rPr>
              <w:t>结算备付金</w:t>
            </w:r>
          </w:p>
        </w:tc>
        <w:tc>
          <w:tcPr>
            <w:tcW w:w="1943" w:type="dxa"/>
            <w:vAlign w:val="center"/>
          </w:tcPr>
          <w:p w:rsidR="008E5B30" w:rsidRDefault="00013397">
            <w:pPr>
              <w:jc w:val="right"/>
            </w:pPr>
            <w:r>
              <w:rPr>
                <w:rFonts w:eastAsiaTheme="minorEastAsia"/>
                <w:color w:val="000000"/>
                <w:kern w:val="0"/>
                <w:szCs w:val="21"/>
              </w:rPr>
              <w:t>-</w:t>
            </w:r>
          </w:p>
        </w:tc>
        <w:tc>
          <w:tcPr>
            <w:tcW w:w="1400" w:type="dxa"/>
            <w:vAlign w:val="center"/>
          </w:tcPr>
          <w:p w:rsidR="008E5B30" w:rsidRDefault="00013397">
            <w:pPr>
              <w:jc w:val="right"/>
            </w:pPr>
            <w:r>
              <w:rPr>
                <w:rFonts w:eastAsiaTheme="minorEastAsia"/>
                <w:color w:val="000000"/>
                <w:kern w:val="0"/>
                <w:szCs w:val="21"/>
              </w:rPr>
              <w:t>-</w:t>
            </w:r>
          </w:p>
        </w:tc>
        <w:tc>
          <w:tcPr>
            <w:tcW w:w="2020" w:type="dxa"/>
            <w:vAlign w:val="center"/>
          </w:tcPr>
          <w:p w:rsidR="008E5B30" w:rsidRDefault="00013397">
            <w:pPr>
              <w:jc w:val="right"/>
            </w:pPr>
            <w:r>
              <w:rPr>
                <w:rFonts w:eastAsiaTheme="minorEastAsia"/>
                <w:color w:val="000000"/>
                <w:kern w:val="0"/>
                <w:szCs w:val="21"/>
              </w:rPr>
              <w:t>-</w:t>
            </w:r>
          </w:p>
        </w:tc>
        <w:tc>
          <w:tcPr>
            <w:tcW w:w="2160" w:type="dxa"/>
            <w:vAlign w:val="center"/>
          </w:tcPr>
          <w:p w:rsidR="008E5B30" w:rsidRDefault="00013397">
            <w:pPr>
              <w:jc w:val="right"/>
            </w:pPr>
            <w:r>
              <w:rPr>
                <w:rFonts w:eastAsiaTheme="minorEastAsia"/>
                <w:color w:val="000000"/>
                <w:kern w:val="0"/>
                <w:szCs w:val="21"/>
              </w:rPr>
              <w:t>-</w:t>
            </w:r>
          </w:p>
        </w:tc>
      </w:tr>
      <w:tr w:rsidR="008E5B30">
        <w:tc>
          <w:tcPr>
            <w:tcW w:w="1477" w:type="dxa"/>
            <w:vAlign w:val="center"/>
          </w:tcPr>
          <w:p w:rsidR="008E5B30" w:rsidRDefault="00013397">
            <w:pPr>
              <w:jc w:val="left"/>
            </w:pPr>
            <w:r>
              <w:rPr>
                <w:rFonts w:eastAsiaTheme="minorEastAsia"/>
                <w:color w:val="000000"/>
                <w:kern w:val="0"/>
                <w:szCs w:val="21"/>
              </w:rPr>
              <w:t>交易性金融资产</w:t>
            </w:r>
          </w:p>
        </w:tc>
        <w:tc>
          <w:tcPr>
            <w:tcW w:w="1943" w:type="dxa"/>
            <w:vAlign w:val="center"/>
          </w:tcPr>
          <w:p w:rsidR="008E5B30" w:rsidRDefault="00013397">
            <w:pPr>
              <w:jc w:val="right"/>
            </w:pPr>
            <w:r>
              <w:rPr>
                <w:rFonts w:eastAsiaTheme="minorEastAsia"/>
                <w:color w:val="000000"/>
                <w:kern w:val="0"/>
                <w:szCs w:val="21"/>
              </w:rPr>
              <w:t>494,648,669.62</w:t>
            </w:r>
          </w:p>
        </w:tc>
        <w:tc>
          <w:tcPr>
            <w:tcW w:w="1400" w:type="dxa"/>
            <w:vAlign w:val="center"/>
          </w:tcPr>
          <w:p w:rsidR="008E5B30" w:rsidRDefault="00013397">
            <w:pPr>
              <w:jc w:val="right"/>
            </w:pPr>
            <w:r>
              <w:rPr>
                <w:rFonts w:eastAsiaTheme="minorEastAsia"/>
                <w:color w:val="000000"/>
                <w:kern w:val="0"/>
                <w:szCs w:val="21"/>
              </w:rPr>
              <w:t>-</w:t>
            </w:r>
          </w:p>
        </w:tc>
        <w:tc>
          <w:tcPr>
            <w:tcW w:w="2020" w:type="dxa"/>
            <w:vAlign w:val="center"/>
          </w:tcPr>
          <w:p w:rsidR="008E5B30" w:rsidRDefault="00013397">
            <w:pPr>
              <w:jc w:val="right"/>
            </w:pPr>
            <w:r>
              <w:rPr>
                <w:rFonts w:eastAsiaTheme="minorEastAsia"/>
                <w:color w:val="000000"/>
                <w:kern w:val="0"/>
                <w:szCs w:val="21"/>
              </w:rPr>
              <w:t>-</w:t>
            </w:r>
          </w:p>
        </w:tc>
        <w:tc>
          <w:tcPr>
            <w:tcW w:w="2160" w:type="dxa"/>
            <w:vAlign w:val="center"/>
          </w:tcPr>
          <w:p w:rsidR="008E5B30" w:rsidRDefault="00013397">
            <w:pPr>
              <w:jc w:val="right"/>
            </w:pPr>
            <w:r>
              <w:rPr>
                <w:rFonts w:eastAsiaTheme="minorEastAsia"/>
                <w:color w:val="000000"/>
                <w:kern w:val="0"/>
                <w:szCs w:val="21"/>
              </w:rPr>
              <w:t>494,648,669.62</w:t>
            </w:r>
          </w:p>
        </w:tc>
      </w:tr>
      <w:tr w:rsidR="008E5B30">
        <w:tc>
          <w:tcPr>
            <w:tcW w:w="1477" w:type="dxa"/>
            <w:vAlign w:val="center"/>
          </w:tcPr>
          <w:p w:rsidR="008E5B30" w:rsidRDefault="00013397">
            <w:pPr>
              <w:jc w:val="left"/>
            </w:pPr>
            <w:r>
              <w:rPr>
                <w:rFonts w:eastAsiaTheme="minorEastAsia"/>
                <w:color w:val="000000"/>
                <w:kern w:val="0"/>
                <w:szCs w:val="21"/>
              </w:rPr>
              <w:t>衍生金融资产</w:t>
            </w:r>
          </w:p>
        </w:tc>
        <w:tc>
          <w:tcPr>
            <w:tcW w:w="1943" w:type="dxa"/>
            <w:vAlign w:val="center"/>
          </w:tcPr>
          <w:p w:rsidR="008E5B30" w:rsidRDefault="00013397">
            <w:pPr>
              <w:jc w:val="right"/>
            </w:pPr>
            <w:r>
              <w:rPr>
                <w:rFonts w:eastAsiaTheme="minorEastAsia"/>
                <w:color w:val="000000"/>
                <w:kern w:val="0"/>
                <w:szCs w:val="21"/>
              </w:rPr>
              <w:t>-</w:t>
            </w:r>
          </w:p>
        </w:tc>
        <w:tc>
          <w:tcPr>
            <w:tcW w:w="1400" w:type="dxa"/>
            <w:vAlign w:val="center"/>
          </w:tcPr>
          <w:p w:rsidR="008E5B30" w:rsidRDefault="00013397">
            <w:pPr>
              <w:jc w:val="right"/>
            </w:pPr>
            <w:r>
              <w:rPr>
                <w:rFonts w:eastAsiaTheme="minorEastAsia"/>
                <w:color w:val="000000"/>
                <w:kern w:val="0"/>
                <w:szCs w:val="21"/>
              </w:rPr>
              <w:t>-</w:t>
            </w:r>
          </w:p>
        </w:tc>
        <w:tc>
          <w:tcPr>
            <w:tcW w:w="2020" w:type="dxa"/>
            <w:vAlign w:val="center"/>
          </w:tcPr>
          <w:p w:rsidR="008E5B30" w:rsidRDefault="00013397">
            <w:pPr>
              <w:jc w:val="right"/>
            </w:pPr>
            <w:r>
              <w:rPr>
                <w:rFonts w:eastAsiaTheme="minorEastAsia"/>
                <w:color w:val="000000"/>
                <w:kern w:val="0"/>
                <w:szCs w:val="21"/>
              </w:rPr>
              <w:t>-</w:t>
            </w:r>
          </w:p>
        </w:tc>
        <w:tc>
          <w:tcPr>
            <w:tcW w:w="2160" w:type="dxa"/>
            <w:vAlign w:val="center"/>
          </w:tcPr>
          <w:p w:rsidR="008E5B30" w:rsidRDefault="00013397">
            <w:pPr>
              <w:jc w:val="right"/>
            </w:pPr>
            <w:r>
              <w:rPr>
                <w:rFonts w:eastAsiaTheme="minorEastAsia"/>
                <w:color w:val="000000"/>
                <w:kern w:val="0"/>
                <w:szCs w:val="21"/>
              </w:rPr>
              <w:t>-</w:t>
            </w:r>
          </w:p>
        </w:tc>
      </w:tr>
      <w:tr w:rsidR="008E5B30">
        <w:tc>
          <w:tcPr>
            <w:tcW w:w="1477" w:type="dxa"/>
            <w:vAlign w:val="center"/>
          </w:tcPr>
          <w:p w:rsidR="008E5B30" w:rsidRDefault="00013397">
            <w:pPr>
              <w:jc w:val="left"/>
            </w:pPr>
            <w:r>
              <w:rPr>
                <w:rFonts w:eastAsiaTheme="minorEastAsia"/>
                <w:color w:val="000000"/>
                <w:kern w:val="0"/>
                <w:szCs w:val="21"/>
              </w:rPr>
              <w:t>应收证券清算款</w:t>
            </w:r>
          </w:p>
        </w:tc>
        <w:tc>
          <w:tcPr>
            <w:tcW w:w="1943" w:type="dxa"/>
            <w:vAlign w:val="center"/>
          </w:tcPr>
          <w:p w:rsidR="008E5B30" w:rsidRDefault="00013397">
            <w:pPr>
              <w:jc w:val="right"/>
            </w:pPr>
            <w:r>
              <w:rPr>
                <w:rFonts w:eastAsiaTheme="minorEastAsia"/>
                <w:color w:val="000000"/>
                <w:kern w:val="0"/>
                <w:szCs w:val="21"/>
              </w:rPr>
              <w:t>3,627,394.21</w:t>
            </w:r>
          </w:p>
        </w:tc>
        <w:tc>
          <w:tcPr>
            <w:tcW w:w="1400" w:type="dxa"/>
            <w:vAlign w:val="center"/>
          </w:tcPr>
          <w:p w:rsidR="008E5B30" w:rsidRDefault="00013397">
            <w:pPr>
              <w:jc w:val="right"/>
            </w:pPr>
            <w:r>
              <w:rPr>
                <w:rFonts w:eastAsiaTheme="minorEastAsia"/>
                <w:color w:val="000000"/>
                <w:kern w:val="0"/>
                <w:szCs w:val="21"/>
              </w:rPr>
              <w:t>-</w:t>
            </w:r>
          </w:p>
        </w:tc>
        <w:tc>
          <w:tcPr>
            <w:tcW w:w="2020" w:type="dxa"/>
            <w:vAlign w:val="center"/>
          </w:tcPr>
          <w:p w:rsidR="008E5B30" w:rsidRDefault="00013397">
            <w:pPr>
              <w:jc w:val="right"/>
            </w:pPr>
            <w:r>
              <w:rPr>
                <w:rFonts w:eastAsiaTheme="minorEastAsia"/>
                <w:color w:val="000000"/>
                <w:kern w:val="0"/>
                <w:szCs w:val="21"/>
              </w:rPr>
              <w:t>-</w:t>
            </w:r>
          </w:p>
        </w:tc>
        <w:tc>
          <w:tcPr>
            <w:tcW w:w="2160" w:type="dxa"/>
            <w:vAlign w:val="center"/>
          </w:tcPr>
          <w:p w:rsidR="008E5B30" w:rsidRDefault="00013397">
            <w:pPr>
              <w:jc w:val="right"/>
            </w:pPr>
            <w:r>
              <w:rPr>
                <w:rFonts w:eastAsiaTheme="minorEastAsia"/>
                <w:color w:val="000000"/>
                <w:kern w:val="0"/>
                <w:szCs w:val="21"/>
              </w:rPr>
              <w:t>3,627,394.21</w:t>
            </w:r>
          </w:p>
        </w:tc>
      </w:tr>
      <w:tr w:rsidR="008E5B30">
        <w:tc>
          <w:tcPr>
            <w:tcW w:w="1477" w:type="dxa"/>
            <w:vAlign w:val="center"/>
          </w:tcPr>
          <w:p w:rsidR="008E5B30" w:rsidRDefault="00013397">
            <w:pPr>
              <w:jc w:val="left"/>
            </w:pPr>
            <w:r>
              <w:rPr>
                <w:rFonts w:eastAsiaTheme="minorEastAsia"/>
                <w:color w:val="000000"/>
                <w:kern w:val="0"/>
                <w:szCs w:val="21"/>
              </w:rPr>
              <w:t>应收利息</w:t>
            </w:r>
          </w:p>
        </w:tc>
        <w:tc>
          <w:tcPr>
            <w:tcW w:w="1943" w:type="dxa"/>
            <w:vAlign w:val="center"/>
          </w:tcPr>
          <w:p w:rsidR="008E5B30" w:rsidRDefault="00013397">
            <w:pPr>
              <w:jc w:val="right"/>
            </w:pPr>
            <w:r>
              <w:rPr>
                <w:rFonts w:eastAsiaTheme="minorEastAsia"/>
                <w:color w:val="000000"/>
                <w:kern w:val="0"/>
                <w:szCs w:val="21"/>
              </w:rPr>
              <w:t>5,921,121.06</w:t>
            </w:r>
          </w:p>
        </w:tc>
        <w:tc>
          <w:tcPr>
            <w:tcW w:w="1400" w:type="dxa"/>
            <w:vAlign w:val="center"/>
          </w:tcPr>
          <w:p w:rsidR="008E5B30" w:rsidRDefault="00013397">
            <w:pPr>
              <w:jc w:val="right"/>
            </w:pPr>
            <w:r>
              <w:rPr>
                <w:rFonts w:eastAsiaTheme="minorEastAsia"/>
                <w:color w:val="000000"/>
                <w:kern w:val="0"/>
                <w:szCs w:val="21"/>
              </w:rPr>
              <w:t>-</w:t>
            </w:r>
          </w:p>
        </w:tc>
        <w:tc>
          <w:tcPr>
            <w:tcW w:w="2020" w:type="dxa"/>
            <w:vAlign w:val="center"/>
          </w:tcPr>
          <w:p w:rsidR="008E5B30" w:rsidRDefault="00013397">
            <w:pPr>
              <w:jc w:val="right"/>
            </w:pPr>
            <w:r>
              <w:rPr>
                <w:rFonts w:eastAsiaTheme="minorEastAsia"/>
                <w:color w:val="000000"/>
                <w:kern w:val="0"/>
                <w:szCs w:val="21"/>
              </w:rPr>
              <w:t>-</w:t>
            </w:r>
          </w:p>
        </w:tc>
        <w:tc>
          <w:tcPr>
            <w:tcW w:w="2160" w:type="dxa"/>
            <w:vAlign w:val="center"/>
          </w:tcPr>
          <w:p w:rsidR="008E5B30" w:rsidRDefault="00013397">
            <w:pPr>
              <w:jc w:val="right"/>
            </w:pPr>
            <w:r>
              <w:rPr>
                <w:rFonts w:eastAsiaTheme="minorEastAsia"/>
                <w:color w:val="000000"/>
                <w:kern w:val="0"/>
                <w:szCs w:val="21"/>
              </w:rPr>
              <w:t>5,921,121.06</w:t>
            </w:r>
          </w:p>
        </w:tc>
      </w:tr>
      <w:tr w:rsidR="008E5B30">
        <w:tc>
          <w:tcPr>
            <w:tcW w:w="1477" w:type="dxa"/>
            <w:vAlign w:val="center"/>
          </w:tcPr>
          <w:p w:rsidR="008E5B30" w:rsidRDefault="00013397">
            <w:pPr>
              <w:jc w:val="left"/>
            </w:pPr>
            <w:r>
              <w:rPr>
                <w:rFonts w:eastAsiaTheme="minorEastAsia"/>
                <w:color w:val="000000"/>
                <w:kern w:val="0"/>
                <w:szCs w:val="21"/>
              </w:rPr>
              <w:t>应收股利</w:t>
            </w:r>
          </w:p>
        </w:tc>
        <w:tc>
          <w:tcPr>
            <w:tcW w:w="1943" w:type="dxa"/>
            <w:vAlign w:val="center"/>
          </w:tcPr>
          <w:p w:rsidR="008E5B30" w:rsidRDefault="00013397">
            <w:pPr>
              <w:jc w:val="right"/>
            </w:pPr>
            <w:r>
              <w:rPr>
                <w:rFonts w:eastAsiaTheme="minorEastAsia"/>
                <w:color w:val="000000"/>
                <w:kern w:val="0"/>
                <w:szCs w:val="21"/>
              </w:rPr>
              <w:t>-</w:t>
            </w:r>
          </w:p>
        </w:tc>
        <w:tc>
          <w:tcPr>
            <w:tcW w:w="1400" w:type="dxa"/>
            <w:vAlign w:val="center"/>
          </w:tcPr>
          <w:p w:rsidR="008E5B30" w:rsidRDefault="00013397">
            <w:pPr>
              <w:jc w:val="right"/>
            </w:pPr>
            <w:r>
              <w:rPr>
                <w:rFonts w:eastAsiaTheme="minorEastAsia"/>
                <w:color w:val="000000"/>
                <w:kern w:val="0"/>
                <w:szCs w:val="21"/>
              </w:rPr>
              <w:t>-</w:t>
            </w:r>
          </w:p>
        </w:tc>
        <w:tc>
          <w:tcPr>
            <w:tcW w:w="2020" w:type="dxa"/>
            <w:vAlign w:val="center"/>
          </w:tcPr>
          <w:p w:rsidR="008E5B30" w:rsidRDefault="00013397">
            <w:pPr>
              <w:jc w:val="right"/>
            </w:pPr>
            <w:r>
              <w:rPr>
                <w:rFonts w:eastAsiaTheme="minorEastAsia"/>
                <w:color w:val="000000"/>
                <w:kern w:val="0"/>
                <w:szCs w:val="21"/>
              </w:rPr>
              <w:t>-</w:t>
            </w:r>
          </w:p>
        </w:tc>
        <w:tc>
          <w:tcPr>
            <w:tcW w:w="2160" w:type="dxa"/>
            <w:vAlign w:val="center"/>
          </w:tcPr>
          <w:p w:rsidR="008E5B30" w:rsidRDefault="00013397">
            <w:pPr>
              <w:jc w:val="right"/>
            </w:pPr>
            <w:r>
              <w:rPr>
                <w:rFonts w:eastAsiaTheme="minorEastAsia"/>
                <w:color w:val="000000"/>
                <w:kern w:val="0"/>
                <w:szCs w:val="21"/>
              </w:rPr>
              <w:t>-</w:t>
            </w:r>
          </w:p>
        </w:tc>
      </w:tr>
      <w:tr w:rsidR="008E5B30">
        <w:tc>
          <w:tcPr>
            <w:tcW w:w="1477" w:type="dxa"/>
            <w:vAlign w:val="center"/>
          </w:tcPr>
          <w:p w:rsidR="008E5B30" w:rsidRDefault="00013397">
            <w:pPr>
              <w:jc w:val="left"/>
            </w:pPr>
            <w:r>
              <w:rPr>
                <w:rFonts w:eastAsiaTheme="minorEastAsia"/>
                <w:color w:val="000000"/>
                <w:kern w:val="0"/>
                <w:szCs w:val="21"/>
              </w:rPr>
              <w:t>应收申购款</w:t>
            </w:r>
          </w:p>
        </w:tc>
        <w:tc>
          <w:tcPr>
            <w:tcW w:w="1943" w:type="dxa"/>
            <w:vAlign w:val="center"/>
          </w:tcPr>
          <w:p w:rsidR="008E5B30" w:rsidRDefault="00013397">
            <w:pPr>
              <w:jc w:val="right"/>
            </w:pPr>
            <w:r>
              <w:rPr>
                <w:rFonts w:eastAsiaTheme="minorEastAsia"/>
                <w:color w:val="000000"/>
                <w:kern w:val="0"/>
                <w:szCs w:val="21"/>
              </w:rPr>
              <w:t>62,040.77</w:t>
            </w:r>
          </w:p>
        </w:tc>
        <w:tc>
          <w:tcPr>
            <w:tcW w:w="1400" w:type="dxa"/>
            <w:vAlign w:val="center"/>
          </w:tcPr>
          <w:p w:rsidR="008E5B30" w:rsidRDefault="00013397">
            <w:pPr>
              <w:jc w:val="right"/>
            </w:pPr>
            <w:r>
              <w:rPr>
                <w:rFonts w:eastAsiaTheme="minorEastAsia"/>
                <w:color w:val="000000"/>
                <w:kern w:val="0"/>
                <w:szCs w:val="21"/>
              </w:rPr>
              <w:t>-</w:t>
            </w:r>
          </w:p>
        </w:tc>
        <w:tc>
          <w:tcPr>
            <w:tcW w:w="2020" w:type="dxa"/>
            <w:vAlign w:val="center"/>
          </w:tcPr>
          <w:p w:rsidR="008E5B30" w:rsidRDefault="00013397">
            <w:pPr>
              <w:jc w:val="right"/>
            </w:pPr>
            <w:r>
              <w:rPr>
                <w:rFonts w:eastAsiaTheme="minorEastAsia"/>
                <w:color w:val="000000"/>
                <w:kern w:val="0"/>
                <w:szCs w:val="21"/>
              </w:rPr>
              <w:t>-</w:t>
            </w:r>
          </w:p>
        </w:tc>
        <w:tc>
          <w:tcPr>
            <w:tcW w:w="2160" w:type="dxa"/>
            <w:vAlign w:val="center"/>
          </w:tcPr>
          <w:p w:rsidR="008E5B30" w:rsidRDefault="00013397">
            <w:pPr>
              <w:jc w:val="right"/>
            </w:pPr>
            <w:r>
              <w:rPr>
                <w:rFonts w:eastAsiaTheme="minorEastAsia"/>
                <w:color w:val="000000"/>
                <w:kern w:val="0"/>
                <w:szCs w:val="21"/>
              </w:rPr>
              <w:t>62,040.77</w:t>
            </w:r>
          </w:p>
        </w:tc>
      </w:tr>
      <w:tr w:rsidR="008E5B30">
        <w:tc>
          <w:tcPr>
            <w:tcW w:w="1477" w:type="dxa"/>
            <w:vAlign w:val="center"/>
          </w:tcPr>
          <w:p w:rsidR="008E5B30" w:rsidRDefault="00013397">
            <w:pPr>
              <w:jc w:val="left"/>
            </w:pPr>
            <w:r>
              <w:rPr>
                <w:rFonts w:eastAsiaTheme="minorEastAsia"/>
                <w:color w:val="000000"/>
                <w:kern w:val="0"/>
                <w:szCs w:val="21"/>
              </w:rPr>
              <w:t>其他资产</w:t>
            </w:r>
          </w:p>
        </w:tc>
        <w:tc>
          <w:tcPr>
            <w:tcW w:w="1943" w:type="dxa"/>
            <w:vAlign w:val="center"/>
          </w:tcPr>
          <w:p w:rsidR="008E5B30" w:rsidRDefault="00013397">
            <w:pPr>
              <w:jc w:val="right"/>
            </w:pPr>
            <w:r>
              <w:rPr>
                <w:rFonts w:eastAsiaTheme="minorEastAsia"/>
                <w:color w:val="000000"/>
                <w:kern w:val="0"/>
                <w:szCs w:val="21"/>
              </w:rPr>
              <w:t>-</w:t>
            </w:r>
          </w:p>
        </w:tc>
        <w:tc>
          <w:tcPr>
            <w:tcW w:w="1400" w:type="dxa"/>
            <w:vAlign w:val="center"/>
          </w:tcPr>
          <w:p w:rsidR="008E5B30" w:rsidRDefault="00013397">
            <w:pPr>
              <w:jc w:val="right"/>
            </w:pPr>
            <w:r>
              <w:rPr>
                <w:rFonts w:eastAsiaTheme="minorEastAsia"/>
                <w:color w:val="000000"/>
                <w:kern w:val="0"/>
                <w:szCs w:val="21"/>
              </w:rPr>
              <w:t>-</w:t>
            </w:r>
          </w:p>
        </w:tc>
        <w:tc>
          <w:tcPr>
            <w:tcW w:w="2020" w:type="dxa"/>
            <w:vAlign w:val="center"/>
          </w:tcPr>
          <w:p w:rsidR="008E5B30" w:rsidRDefault="00013397">
            <w:pPr>
              <w:jc w:val="right"/>
            </w:pPr>
            <w:r>
              <w:rPr>
                <w:rFonts w:eastAsiaTheme="minorEastAsia"/>
                <w:color w:val="000000"/>
                <w:kern w:val="0"/>
                <w:szCs w:val="21"/>
              </w:rPr>
              <w:t>-</w:t>
            </w:r>
          </w:p>
        </w:tc>
        <w:tc>
          <w:tcPr>
            <w:tcW w:w="2160" w:type="dxa"/>
            <w:vAlign w:val="center"/>
          </w:tcPr>
          <w:p w:rsidR="008E5B30" w:rsidRDefault="00013397">
            <w:pPr>
              <w:jc w:val="right"/>
            </w:pPr>
            <w:r>
              <w:rPr>
                <w:rFonts w:eastAsiaTheme="minorEastAsia"/>
                <w:color w:val="000000"/>
                <w:kern w:val="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529,784,161.14</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529,784,161.14</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8E5B30">
        <w:tc>
          <w:tcPr>
            <w:tcW w:w="1477" w:type="dxa"/>
            <w:vAlign w:val="center"/>
          </w:tcPr>
          <w:p w:rsidR="008E5B30" w:rsidRDefault="00013397">
            <w:pPr>
              <w:jc w:val="left"/>
            </w:pPr>
            <w:r>
              <w:rPr>
                <w:rFonts w:eastAsiaTheme="minorEastAsia"/>
                <w:color w:val="000000"/>
                <w:szCs w:val="21"/>
              </w:rPr>
              <w:t>应付证券清算款</w:t>
            </w:r>
          </w:p>
        </w:tc>
        <w:tc>
          <w:tcPr>
            <w:tcW w:w="1943" w:type="dxa"/>
            <w:vAlign w:val="center"/>
          </w:tcPr>
          <w:p w:rsidR="008E5B30" w:rsidRDefault="00013397">
            <w:pPr>
              <w:jc w:val="right"/>
            </w:pPr>
            <w:r>
              <w:rPr>
                <w:rFonts w:eastAsiaTheme="minorEastAsia"/>
                <w:color w:val="000000"/>
                <w:szCs w:val="21"/>
              </w:rPr>
              <w:t>-</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w:t>
            </w:r>
          </w:p>
        </w:tc>
      </w:tr>
      <w:tr w:rsidR="008E5B30">
        <w:tc>
          <w:tcPr>
            <w:tcW w:w="1477" w:type="dxa"/>
            <w:vAlign w:val="center"/>
          </w:tcPr>
          <w:p w:rsidR="008E5B30" w:rsidRDefault="00013397">
            <w:pPr>
              <w:jc w:val="left"/>
            </w:pPr>
            <w:r>
              <w:rPr>
                <w:rFonts w:eastAsiaTheme="minorEastAsia"/>
                <w:color w:val="000000"/>
                <w:szCs w:val="21"/>
              </w:rPr>
              <w:t>应付赎回款</w:t>
            </w:r>
          </w:p>
        </w:tc>
        <w:tc>
          <w:tcPr>
            <w:tcW w:w="1943" w:type="dxa"/>
            <w:vAlign w:val="center"/>
          </w:tcPr>
          <w:p w:rsidR="008E5B30" w:rsidRDefault="00013397">
            <w:pPr>
              <w:jc w:val="right"/>
            </w:pPr>
            <w:r>
              <w:rPr>
                <w:rFonts w:eastAsiaTheme="minorEastAsia"/>
                <w:color w:val="000000"/>
                <w:szCs w:val="21"/>
              </w:rPr>
              <w:t>3,587,129.06</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3,587,129.06</w:t>
            </w:r>
          </w:p>
        </w:tc>
      </w:tr>
      <w:tr w:rsidR="008E5B30">
        <w:tc>
          <w:tcPr>
            <w:tcW w:w="1477" w:type="dxa"/>
            <w:vAlign w:val="center"/>
          </w:tcPr>
          <w:p w:rsidR="008E5B30" w:rsidRDefault="00013397">
            <w:pPr>
              <w:jc w:val="left"/>
            </w:pPr>
            <w:r>
              <w:rPr>
                <w:rFonts w:eastAsiaTheme="minorEastAsia"/>
                <w:color w:val="000000"/>
                <w:szCs w:val="21"/>
              </w:rPr>
              <w:t>其他负债</w:t>
            </w:r>
          </w:p>
        </w:tc>
        <w:tc>
          <w:tcPr>
            <w:tcW w:w="1943" w:type="dxa"/>
            <w:vAlign w:val="center"/>
          </w:tcPr>
          <w:p w:rsidR="008E5B30" w:rsidRDefault="00013397">
            <w:pPr>
              <w:jc w:val="right"/>
            </w:pPr>
            <w:r>
              <w:rPr>
                <w:rFonts w:eastAsiaTheme="minorEastAsia"/>
                <w:color w:val="000000"/>
                <w:szCs w:val="21"/>
              </w:rPr>
              <w:t>4.32</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4.32</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3,587,133.38</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3,587,133.38</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526,197,027.76</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526,197,027.76</w:t>
            </w:r>
          </w:p>
        </w:tc>
      </w:tr>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上年度末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2019</w:t>
            </w:r>
            <w:r w:rsidRPr="00C24ACA">
              <w:rPr>
                <w:rFonts w:eastAsiaTheme="minorEastAsia"/>
                <w:b/>
                <w:szCs w:val="21"/>
              </w:rPr>
              <w:t>年</w:t>
            </w:r>
            <w:r w:rsidRPr="00C24ACA">
              <w:rPr>
                <w:rFonts w:eastAsiaTheme="minorEastAsia"/>
                <w:b/>
                <w:szCs w:val="21"/>
              </w:rPr>
              <w:t>12</w:t>
            </w:r>
            <w:r w:rsidRPr="00C24ACA">
              <w:rPr>
                <w:rFonts w:eastAsiaTheme="minorEastAsia"/>
                <w:b/>
                <w:szCs w:val="21"/>
              </w:rPr>
              <w:t>月</w:t>
            </w:r>
            <w:r w:rsidRPr="00C24ACA">
              <w:rPr>
                <w:rFonts w:eastAsiaTheme="minorEastAsia"/>
                <w:b/>
                <w:szCs w:val="21"/>
              </w:rPr>
              <w:t>31</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美元</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港币</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其他币种</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szCs w:val="21"/>
              </w:rPr>
            </w:pPr>
            <w:r w:rsidRPr="00C24ACA">
              <w:rPr>
                <w:rFonts w:eastAsiaTheme="minorEastAsia"/>
                <w:b/>
                <w:szCs w:val="21"/>
              </w:rPr>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8E5B30">
        <w:tc>
          <w:tcPr>
            <w:tcW w:w="1477" w:type="dxa"/>
            <w:vAlign w:val="center"/>
          </w:tcPr>
          <w:p w:rsidR="008E5B30" w:rsidRDefault="00013397">
            <w:pPr>
              <w:jc w:val="left"/>
            </w:pPr>
            <w:r>
              <w:rPr>
                <w:rFonts w:eastAsiaTheme="minorEastAsia"/>
                <w:color w:val="000000"/>
                <w:szCs w:val="21"/>
              </w:rPr>
              <w:t>银行存款</w:t>
            </w:r>
          </w:p>
        </w:tc>
        <w:tc>
          <w:tcPr>
            <w:tcW w:w="1943" w:type="dxa"/>
            <w:vAlign w:val="center"/>
          </w:tcPr>
          <w:p w:rsidR="008E5B30" w:rsidRDefault="00013397">
            <w:pPr>
              <w:jc w:val="right"/>
            </w:pPr>
            <w:r>
              <w:rPr>
                <w:rFonts w:eastAsiaTheme="minorEastAsia"/>
                <w:color w:val="000000"/>
                <w:szCs w:val="21"/>
              </w:rPr>
              <w:t>40,053,239.02</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40,053,239.02</w:t>
            </w:r>
          </w:p>
        </w:tc>
      </w:tr>
      <w:tr w:rsidR="008E5B30">
        <w:tc>
          <w:tcPr>
            <w:tcW w:w="1477" w:type="dxa"/>
            <w:vAlign w:val="center"/>
          </w:tcPr>
          <w:p w:rsidR="008E5B30" w:rsidRDefault="00013397">
            <w:pPr>
              <w:jc w:val="left"/>
            </w:pPr>
            <w:r>
              <w:rPr>
                <w:rFonts w:eastAsiaTheme="minorEastAsia"/>
                <w:color w:val="000000"/>
                <w:szCs w:val="21"/>
              </w:rPr>
              <w:t>结算备付金</w:t>
            </w:r>
          </w:p>
        </w:tc>
        <w:tc>
          <w:tcPr>
            <w:tcW w:w="1943" w:type="dxa"/>
            <w:vAlign w:val="center"/>
          </w:tcPr>
          <w:p w:rsidR="008E5B30" w:rsidRDefault="00013397">
            <w:pPr>
              <w:jc w:val="right"/>
            </w:pPr>
            <w:r>
              <w:rPr>
                <w:rFonts w:eastAsiaTheme="minorEastAsia"/>
                <w:color w:val="000000"/>
                <w:szCs w:val="21"/>
              </w:rPr>
              <w:t>-</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w:t>
            </w:r>
          </w:p>
        </w:tc>
      </w:tr>
      <w:tr w:rsidR="008E5B30">
        <w:tc>
          <w:tcPr>
            <w:tcW w:w="1477" w:type="dxa"/>
            <w:vAlign w:val="center"/>
          </w:tcPr>
          <w:p w:rsidR="008E5B30" w:rsidRDefault="00013397">
            <w:pPr>
              <w:jc w:val="left"/>
            </w:pPr>
            <w:r>
              <w:rPr>
                <w:rFonts w:eastAsiaTheme="minorEastAsia"/>
                <w:color w:val="000000"/>
                <w:szCs w:val="21"/>
              </w:rPr>
              <w:t>交易性金融资产</w:t>
            </w:r>
          </w:p>
        </w:tc>
        <w:tc>
          <w:tcPr>
            <w:tcW w:w="1943" w:type="dxa"/>
            <w:vAlign w:val="center"/>
          </w:tcPr>
          <w:p w:rsidR="008E5B30" w:rsidRDefault="00013397">
            <w:pPr>
              <w:jc w:val="right"/>
            </w:pPr>
            <w:r>
              <w:rPr>
                <w:rFonts w:eastAsiaTheme="minorEastAsia"/>
                <w:color w:val="000000"/>
                <w:szCs w:val="21"/>
              </w:rPr>
              <w:t>675,986,954.29</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675,986,954.29</w:t>
            </w:r>
          </w:p>
        </w:tc>
      </w:tr>
      <w:tr w:rsidR="008E5B30">
        <w:tc>
          <w:tcPr>
            <w:tcW w:w="1477" w:type="dxa"/>
            <w:vAlign w:val="center"/>
          </w:tcPr>
          <w:p w:rsidR="008E5B30" w:rsidRDefault="00013397">
            <w:pPr>
              <w:jc w:val="left"/>
            </w:pPr>
            <w:r>
              <w:rPr>
                <w:rFonts w:eastAsiaTheme="minorEastAsia"/>
                <w:color w:val="000000"/>
                <w:szCs w:val="21"/>
              </w:rPr>
              <w:t>衍生金融资产</w:t>
            </w:r>
          </w:p>
        </w:tc>
        <w:tc>
          <w:tcPr>
            <w:tcW w:w="1943" w:type="dxa"/>
            <w:vAlign w:val="center"/>
          </w:tcPr>
          <w:p w:rsidR="008E5B30" w:rsidRDefault="00013397">
            <w:pPr>
              <w:jc w:val="right"/>
            </w:pPr>
            <w:r>
              <w:rPr>
                <w:rFonts w:eastAsiaTheme="minorEastAsia"/>
                <w:color w:val="000000"/>
                <w:szCs w:val="21"/>
              </w:rPr>
              <w:t>-</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w:t>
            </w:r>
          </w:p>
        </w:tc>
      </w:tr>
      <w:tr w:rsidR="008E5B30">
        <w:tc>
          <w:tcPr>
            <w:tcW w:w="1477" w:type="dxa"/>
            <w:vAlign w:val="center"/>
          </w:tcPr>
          <w:p w:rsidR="008E5B30" w:rsidRDefault="00013397">
            <w:pPr>
              <w:jc w:val="left"/>
            </w:pPr>
            <w:r>
              <w:rPr>
                <w:rFonts w:eastAsiaTheme="minorEastAsia"/>
                <w:color w:val="000000"/>
                <w:szCs w:val="21"/>
              </w:rPr>
              <w:t>应收证券清算款</w:t>
            </w:r>
          </w:p>
        </w:tc>
        <w:tc>
          <w:tcPr>
            <w:tcW w:w="1943" w:type="dxa"/>
            <w:vAlign w:val="center"/>
          </w:tcPr>
          <w:p w:rsidR="008E5B30" w:rsidRDefault="00013397">
            <w:pPr>
              <w:jc w:val="right"/>
            </w:pPr>
            <w:r>
              <w:rPr>
                <w:rFonts w:eastAsiaTheme="minorEastAsia"/>
                <w:color w:val="000000"/>
                <w:szCs w:val="21"/>
              </w:rPr>
              <w:t>-</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w:t>
            </w:r>
          </w:p>
        </w:tc>
      </w:tr>
      <w:tr w:rsidR="008E5B30">
        <w:tc>
          <w:tcPr>
            <w:tcW w:w="1477" w:type="dxa"/>
            <w:vAlign w:val="center"/>
          </w:tcPr>
          <w:p w:rsidR="008E5B30" w:rsidRDefault="00013397">
            <w:pPr>
              <w:jc w:val="left"/>
            </w:pPr>
            <w:r>
              <w:rPr>
                <w:rFonts w:eastAsiaTheme="minorEastAsia"/>
                <w:color w:val="000000"/>
                <w:szCs w:val="21"/>
              </w:rPr>
              <w:t>应收利息</w:t>
            </w:r>
          </w:p>
        </w:tc>
        <w:tc>
          <w:tcPr>
            <w:tcW w:w="1943" w:type="dxa"/>
            <w:vAlign w:val="center"/>
          </w:tcPr>
          <w:p w:rsidR="008E5B30" w:rsidRDefault="00013397">
            <w:pPr>
              <w:jc w:val="right"/>
            </w:pPr>
            <w:r>
              <w:rPr>
                <w:rFonts w:eastAsiaTheme="minorEastAsia"/>
                <w:color w:val="000000"/>
                <w:szCs w:val="21"/>
              </w:rPr>
              <w:t>6,970,687.84</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6,970,687.84</w:t>
            </w:r>
          </w:p>
        </w:tc>
      </w:tr>
      <w:tr w:rsidR="008E5B30">
        <w:tc>
          <w:tcPr>
            <w:tcW w:w="1477" w:type="dxa"/>
            <w:vAlign w:val="center"/>
          </w:tcPr>
          <w:p w:rsidR="008E5B30" w:rsidRDefault="00013397">
            <w:pPr>
              <w:jc w:val="left"/>
            </w:pPr>
            <w:r>
              <w:rPr>
                <w:rFonts w:eastAsiaTheme="minorEastAsia"/>
                <w:color w:val="000000"/>
                <w:szCs w:val="21"/>
              </w:rPr>
              <w:t>应收股利</w:t>
            </w:r>
          </w:p>
        </w:tc>
        <w:tc>
          <w:tcPr>
            <w:tcW w:w="1943" w:type="dxa"/>
            <w:vAlign w:val="center"/>
          </w:tcPr>
          <w:p w:rsidR="008E5B30" w:rsidRDefault="00013397">
            <w:pPr>
              <w:jc w:val="right"/>
            </w:pPr>
            <w:r>
              <w:rPr>
                <w:rFonts w:eastAsiaTheme="minorEastAsia"/>
                <w:color w:val="000000"/>
                <w:szCs w:val="21"/>
              </w:rPr>
              <w:t>-</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w:t>
            </w:r>
          </w:p>
        </w:tc>
      </w:tr>
      <w:tr w:rsidR="008E5B30">
        <w:tc>
          <w:tcPr>
            <w:tcW w:w="1477" w:type="dxa"/>
            <w:vAlign w:val="center"/>
          </w:tcPr>
          <w:p w:rsidR="008E5B30" w:rsidRDefault="00013397">
            <w:pPr>
              <w:jc w:val="left"/>
            </w:pPr>
            <w:r>
              <w:rPr>
                <w:rFonts w:eastAsiaTheme="minorEastAsia"/>
                <w:color w:val="000000"/>
                <w:szCs w:val="21"/>
              </w:rPr>
              <w:t>应收申购款</w:t>
            </w:r>
          </w:p>
        </w:tc>
        <w:tc>
          <w:tcPr>
            <w:tcW w:w="1943" w:type="dxa"/>
            <w:vAlign w:val="center"/>
          </w:tcPr>
          <w:p w:rsidR="008E5B30" w:rsidRDefault="00013397">
            <w:pPr>
              <w:jc w:val="right"/>
            </w:pPr>
            <w:r>
              <w:rPr>
                <w:rFonts w:eastAsiaTheme="minorEastAsia"/>
                <w:color w:val="000000"/>
                <w:szCs w:val="21"/>
              </w:rPr>
              <w:t>6,955,419.57</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6,955,419.57</w:t>
            </w:r>
          </w:p>
        </w:tc>
      </w:tr>
      <w:tr w:rsidR="008E5B30">
        <w:tc>
          <w:tcPr>
            <w:tcW w:w="1477" w:type="dxa"/>
            <w:vAlign w:val="center"/>
          </w:tcPr>
          <w:p w:rsidR="008E5B30" w:rsidRDefault="00013397">
            <w:pPr>
              <w:jc w:val="left"/>
            </w:pPr>
            <w:r>
              <w:rPr>
                <w:rFonts w:eastAsiaTheme="minorEastAsia"/>
                <w:color w:val="000000"/>
                <w:szCs w:val="21"/>
              </w:rPr>
              <w:t>其他资产</w:t>
            </w:r>
          </w:p>
        </w:tc>
        <w:tc>
          <w:tcPr>
            <w:tcW w:w="1943" w:type="dxa"/>
            <w:vAlign w:val="center"/>
          </w:tcPr>
          <w:p w:rsidR="008E5B30" w:rsidRDefault="00013397">
            <w:pPr>
              <w:jc w:val="right"/>
            </w:pPr>
            <w:r>
              <w:rPr>
                <w:rFonts w:eastAsiaTheme="minorEastAsia"/>
                <w:color w:val="000000"/>
                <w:szCs w:val="21"/>
              </w:rPr>
              <w:t>-</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729,966,300.72</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729,966,300.72</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8E5B30">
        <w:tc>
          <w:tcPr>
            <w:tcW w:w="1477" w:type="dxa"/>
            <w:vAlign w:val="center"/>
          </w:tcPr>
          <w:p w:rsidR="008E5B30" w:rsidRDefault="00013397">
            <w:pPr>
              <w:jc w:val="left"/>
            </w:pPr>
            <w:r>
              <w:rPr>
                <w:rFonts w:eastAsiaTheme="minorEastAsia"/>
                <w:color w:val="000000"/>
                <w:szCs w:val="21"/>
              </w:rPr>
              <w:t>应付证券清算款</w:t>
            </w:r>
          </w:p>
        </w:tc>
        <w:tc>
          <w:tcPr>
            <w:tcW w:w="1943" w:type="dxa"/>
            <w:vAlign w:val="center"/>
          </w:tcPr>
          <w:p w:rsidR="008E5B30" w:rsidRDefault="00013397">
            <w:pPr>
              <w:jc w:val="right"/>
            </w:pPr>
            <w:r>
              <w:rPr>
                <w:rFonts w:eastAsiaTheme="minorEastAsia"/>
                <w:color w:val="000000"/>
                <w:szCs w:val="21"/>
              </w:rPr>
              <w:t>7,041,119.33</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7,041,119.33</w:t>
            </w:r>
          </w:p>
        </w:tc>
      </w:tr>
      <w:tr w:rsidR="008E5B30">
        <w:tc>
          <w:tcPr>
            <w:tcW w:w="1477" w:type="dxa"/>
            <w:vAlign w:val="center"/>
          </w:tcPr>
          <w:p w:rsidR="008E5B30" w:rsidRDefault="00013397">
            <w:pPr>
              <w:jc w:val="left"/>
            </w:pPr>
            <w:r>
              <w:rPr>
                <w:rFonts w:eastAsiaTheme="minorEastAsia"/>
                <w:color w:val="000000"/>
                <w:szCs w:val="21"/>
              </w:rPr>
              <w:t>应付赎回款</w:t>
            </w:r>
          </w:p>
        </w:tc>
        <w:tc>
          <w:tcPr>
            <w:tcW w:w="1943" w:type="dxa"/>
            <w:vAlign w:val="center"/>
          </w:tcPr>
          <w:p w:rsidR="008E5B30" w:rsidRDefault="00013397">
            <w:pPr>
              <w:jc w:val="right"/>
            </w:pPr>
            <w:r>
              <w:rPr>
                <w:rFonts w:eastAsiaTheme="minorEastAsia"/>
                <w:color w:val="000000"/>
                <w:szCs w:val="21"/>
              </w:rPr>
              <w:t>1,584,701.52</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1,584,701.52</w:t>
            </w:r>
          </w:p>
        </w:tc>
      </w:tr>
      <w:tr w:rsidR="008E5B30">
        <w:tc>
          <w:tcPr>
            <w:tcW w:w="1477" w:type="dxa"/>
            <w:vAlign w:val="center"/>
          </w:tcPr>
          <w:p w:rsidR="008E5B30" w:rsidRDefault="00013397">
            <w:pPr>
              <w:jc w:val="left"/>
            </w:pPr>
            <w:r>
              <w:rPr>
                <w:rFonts w:eastAsiaTheme="minorEastAsia"/>
                <w:color w:val="000000"/>
                <w:szCs w:val="21"/>
              </w:rPr>
              <w:t>其他负债</w:t>
            </w:r>
          </w:p>
        </w:tc>
        <w:tc>
          <w:tcPr>
            <w:tcW w:w="1943" w:type="dxa"/>
            <w:vAlign w:val="center"/>
          </w:tcPr>
          <w:p w:rsidR="008E5B30" w:rsidRDefault="00013397">
            <w:pPr>
              <w:jc w:val="right"/>
            </w:pPr>
            <w:r>
              <w:rPr>
                <w:rFonts w:eastAsiaTheme="minorEastAsia"/>
                <w:color w:val="000000"/>
                <w:szCs w:val="21"/>
              </w:rPr>
              <w:t>424.50</w:t>
            </w:r>
          </w:p>
        </w:tc>
        <w:tc>
          <w:tcPr>
            <w:tcW w:w="1400" w:type="dxa"/>
            <w:vAlign w:val="center"/>
          </w:tcPr>
          <w:p w:rsidR="008E5B30" w:rsidRDefault="00013397">
            <w:pPr>
              <w:jc w:val="right"/>
            </w:pPr>
            <w:r>
              <w:rPr>
                <w:rFonts w:eastAsiaTheme="minorEastAsia"/>
                <w:color w:val="000000"/>
                <w:szCs w:val="21"/>
              </w:rPr>
              <w:t>-</w:t>
            </w:r>
          </w:p>
        </w:tc>
        <w:tc>
          <w:tcPr>
            <w:tcW w:w="2020" w:type="dxa"/>
            <w:vAlign w:val="center"/>
          </w:tcPr>
          <w:p w:rsidR="008E5B30" w:rsidRDefault="00013397">
            <w:pPr>
              <w:jc w:val="right"/>
            </w:pPr>
            <w:r>
              <w:rPr>
                <w:rFonts w:eastAsiaTheme="minorEastAsia"/>
                <w:color w:val="000000"/>
                <w:szCs w:val="21"/>
              </w:rPr>
              <w:t>-</w:t>
            </w:r>
          </w:p>
        </w:tc>
        <w:tc>
          <w:tcPr>
            <w:tcW w:w="2160" w:type="dxa"/>
            <w:vAlign w:val="center"/>
          </w:tcPr>
          <w:p w:rsidR="008E5B30" w:rsidRDefault="00013397">
            <w:pPr>
              <w:jc w:val="right"/>
            </w:pPr>
            <w:r>
              <w:rPr>
                <w:rFonts w:eastAsiaTheme="minorEastAsia"/>
                <w:color w:val="000000"/>
                <w:szCs w:val="21"/>
              </w:rPr>
              <w:t>424.50</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8,626,245.35</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8,626,245.35</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721,340,055.37</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721,340,055.37</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6.4.13.4.2.2</w:t>
      </w:r>
      <w:r w:rsidRPr="00C24ACA">
        <w:rPr>
          <w:rFonts w:eastAsiaTheme="minor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8E5B30">
        <w:tc>
          <w:tcPr>
            <w:tcW w:w="993" w:type="dxa"/>
            <w:vAlign w:val="center"/>
          </w:tcPr>
          <w:p w:rsidR="008E5B30" w:rsidRDefault="00013397">
            <w:pPr>
              <w:jc w:val="left"/>
            </w:pPr>
            <w:r>
              <w:rPr>
                <w:rFonts w:eastAsiaTheme="minorEastAsia"/>
                <w:color w:val="000000"/>
                <w:szCs w:val="21"/>
              </w:rPr>
              <w:t>假设</w:t>
            </w:r>
          </w:p>
        </w:tc>
        <w:tc>
          <w:tcPr>
            <w:tcW w:w="8007" w:type="dxa"/>
            <w:gridSpan w:val="3"/>
            <w:vAlign w:val="center"/>
          </w:tcPr>
          <w:p w:rsidR="008E5B30" w:rsidRDefault="00013397">
            <w:pPr>
              <w:jc w:val="center"/>
            </w:pPr>
            <w:r>
              <w:rPr>
                <w:rFonts w:eastAsiaTheme="minorEastAsia"/>
                <w:color w:val="000000"/>
                <w:szCs w:val="21"/>
              </w:rPr>
              <w:t>除汇率外其他因素保持不变</w:t>
            </w:r>
          </w:p>
        </w:tc>
      </w:tr>
      <w:tr w:rsidR="00022F8F" w:rsidRPr="00C24ACA" w:rsidTr="0087507A">
        <w:tc>
          <w:tcPr>
            <w:tcW w:w="993" w:type="dxa"/>
            <w:vMerge w:val="restart"/>
            <w:vAlign w:val="center"/>
          </w:tcPr>
          <w:p w:rsidR="00022F8F" w:rsidRPr="00C24ACA" w:rsidRDefault="00022F8F"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3260" w:type="dxa"/>
            <w:vMerge w:val="restart"/>
            <w:vAlign w:val="center"/>
          </w:tcPr>
          <w:p w:rsidR="00022F8F" w:rsidRPr="00C24ACA" w:rsidRDefault="00022F8F" w:rsidP="0087507A">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4747" w:type="dxa"/>
            <w:gridSpan w:val="2"/>
          </w:tcPr>
          <w:p w:rsidR="00022F8F" w:rsidRPr="00C24ACA" w:rsidRDefault="00022F8F" w:rsidP="0087507A">
            <w:pPr>
              <w:jc w:val="center"/>
              <w:rPr>
                <w:rFonts w:eastAsiaTheme="minorEastAsia"/>
                <w:color w:val="000000"/>
                <w:szCs w:val="21"/>
              </w:rPr>
            </w:pPr>
            <w:r w:rsidRPr="00C24ACA">
              <w:rPr>
                <w:rFonts w:eastAsiaTheme="minorEastAsia"/>
                <w:color w:val="000000"/>
                <w:szCs w:val="21"/>
              </w:rPr>
              <w:t>对资产负债表日基金资产净值的</w:t>
            </w:r>
          </w:p>
          <w:p w:rsidR="00022F8F" w:rsidRPr="00C24ACA" w:rsidRDefault="00022F8F" w:rsidP="0087507A">
            <w:pPr>
              <w:jc w:val="center"/>
              <w:rPr>
                <w:rFonts w:eastAsiaTheme="minorEastAsia"/>
                <w:color w:val="000000"/>
                <w:szCs w:val="21"/>
              </w:rPr>
            </w:pPr>
          </w:p>
          <w:p w:rsidR="00022F8F"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022F8F" w:rsidRPr="00C24ACA">
              <w:rPr>
                <w:rFonts w:eastAsiaTheme="minorEastAsia"/>
                <w:color w:val="000000"/>
                <w:szCs w:val="21"/>
              </w:rPr>
              <w:t>元）</w:t>
            </w:r>
          </w:p>
        </w:tc>
      </w:tr>
      <w:tr w:rsidR="00022F8F" w:rsidRPr="00C24ACA" w:rsidTr="0087507A">
        <w:tc>
          <w:tcPr>
            <w:tcW w:w="993" w:type="dxa"/>
            <w:vMerge/>
            <w:vAlign w:val="center"/>
          </w:tcPr>
          <w:p w:rsidR="00022F8F" w:rsidRPr="00C24ACA" w:rsidRDefault="00022F8F" w:rsidP="0087507A">
            <w:pPr>
              <w:widowControl/>
              <w:jc w:val="left"/>
              <w:rPr>
                <w:rFonts w:eastAsiaTheme="minorEastAsia"/>
                <w:color w:val="000000"/>
                <w:szCs w:val="21"/>
              </w:rPr>
            </w:pPr>
          </w:p>
        </w:tc>
        <w:tc>
          <w:tcPr>
            <w:tcW w:w="3260" w:type="dxa"/>
            <w:vMerge/>
            <w:vAlign w:val="center"/>
          </w:tcPr>
          <w:p w:rsidR="00022F8F" w:rsidRPr="00C24ACA" w:rsidRDefault="00022F8F" w:rsidP="0087507A">
            <w:pPr>
              <w:widowControl/>
              <w:jc w:val="left"/>
              <w:rPr>
                <w:rFonts w:eastAsiaTheme="minorEastAsia"/>
                <w:color w:val="000000"/>
                <w:kern w:val="0"/>
                <w:szCs w:val="21"/>
              </w:rPr>
            </w:pPr>
          </w:p>
        </w:tc>
        <w:tc>
          <w:tcPr>
            <w:tcW w:w="2373"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本期末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374"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上年度末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8E5B30">
        <w:tc>
          <w:tcPr>
            <w:tcW w:w="993" w:type="dxa"/>
            <w:vMerge/>
          </w:tcPr>
          <w:p w:rsidR="008E5B30" w:rsidRDefault="008E5B30"/>
        </w:tc>
        <w:tc>
          <w:tcPr>
            <w:tcW w:w="3260" w:type="dxa"/>
            <w:vAlign w:val="center"/>
          </w:tcPr>
          <w:p w:rsidR="008E5B30" w:rsidRDefault="00013397">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8E5B30" w:rsidRDefault="00013397">
            <w:pPr>
              <w:jc w:val="right"/>
            </w:pPr>
            <w:r>
              <w:rPr>
                <w:rFonts w:eastAsiaTheme="minorEastAsia"/>
                <w:color w:val="000000"/>
                <w:szCs w:val="21"/>
              </w:rPr>
              <w:t>-26,309,851.39</w:t>
            </w:r>
          </w:p>
        </w:tc>
        <w:tc>
          <w:tcPr>
            <w:tcW w:w="2374" w:type="dxa"/>
            <w:vAlign w:val="center"/>
          </w:tcPr>
          <w:p w:rsidR="008E5B30" w:rsidRDefault="00013397">
            <w:pPr>
              <w:jc w:val="right"/>
            </w:pPr>
            <w:r>
              <w:rPr>
                <w:rFonts w:eastAsiaTheme="minorEastAsia"/>
                <w:color w:val="000000"/>
                <w:szCs w:val="21"/>
              </w:rPr>
              <w:t>-36,067,002.77</w:t>
            </w:r>
          </w:p>
        </w:tc>
      </w:tr>
      <w:tr w:rsidR="008E5B30">
        <w:tc>
          <w:tcPr>
            <w:tcW w:w="993" w:type="dxa"/>
            <w:vMerge/>
          </w:tcPr>
          <w:p w:rsidR="008E5B30" w:rsidRDefault="008E5B30"/>
        </w:tc>
        <w:tc>
          <w:tcPr>
            <w:tcW w:w="3260" w:type="dxa"/>
            <w:vAlign w:val="center"/>
          </w:tcPr>
          <w:p w:rsidR="008E5B30" w:rsidRDefault="00013397">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8E5B30" w:rsidRDefault="00013397">
            <w:pPr>
              <w:jc w:val="right"/>
            </w:pPr>
            <w:r>
              <w:rPr>
                <w:rFonts w:eastAsiaTheme="minorEastAsia"/>
                <w:color w:val="000000"/>
                <w:szCs w:val="21"/>
              </w:rPr>
              <w:t>26,309,851.39</w:t>
            </w:r>
          </w:p>
        </w:tc>
        <w:tc>
          <w:tcPr>
            <w:tcW w:w="2374" w:type="dxa"/>
            <w:vAlign w:val="center"/>
          </w:tcPr>
          <w:p w:rsidR="008E5B30" w:rsidRDefault="00013397">
            <w:pPr>
              <w:jc w:val="right"/>
            </w:pPr>
            <w:r>
              <w:rPr>
                <w:rFonts w:eastAsiaTheme="minorEastAsia"/>
                <w:color w:val="000000"/>
                <w:szCs w:val="21"/>
              </w:rPr>
              <w:t>36,067,002.77</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w:t>
      </w:r>
      <w:r w:rsidRPr="00C24ACA">
        <w:rPr>
          <w:rFonts w:eastAsiaTheme="minorEastAsia"/>
          <w:b/>
          <w:bCs/>
          <w:color w:val="000000"/>
          <w:szCs w:val="21"/>
        </w:rPr>
        <w:t>其他价格风险</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其他价格风险是指基金所持金融工具的公允价值或未来现金流量因除市场利率和外汇汇率以外的市场价格因素变动而发生波动的风险。本基金不直接在二级市场买入股票、可转换债券、权证等资产，也不参与一级市场新股申购、新股增发、新可转换债券申购。</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于本期末无重大其他市场价格风险。</w:t>
      </w:r>
    </w:p>
    <w:p w:rsidR="008A5A5D" w:rsidRPr="00C24ACA" w:rsidRDefault="008A5A5D" w:rsidP="00732F5C">
      <w:pPr>
        <w:adjustRightInd w:val="0"/>
        <w:snapToGrid w:val="0"/>
        <w:spacing w:beforeLines="100" w:before="312" w:line="360" w:lineRule="auto"/>
        <w:rPr>
          <w:rFonts w:eastAsiaTheme="minorEastAsia"/>
          <w:b/>
          <w:color w:val="000000"/>
          <w:szCs w:val="21"/>
        </w:rPr>
      </w:pPr>
      <w:r w:rsidRPr="00C24ACA">
        <w:rPr>
          <w:rFonts w:eastAsiaTheme="minorEastAsia"/>
          <w:b/>
          <w:bCs/>
          <w:color w:val="000000"/>
          <w:kern w:val="0"/>
          <w:szCs w:val="21"/>
        </w:rPr>
        <w:t>6.4.14</w:t>
      </w:r>
      <w:r w:rsidRPr="00C24ACA">
        <w:rPr>
          <w:rFonts w:eastAsiaTheme="minorEastAsia"/>
          <w:b/>
          <w:color w:val="000000"/>
          <w:szCs w:val="21"/>
        </w:rPr>
        <w:t>有助于理解和分析会计报表需要说明的其他事项</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公允价值</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(a)</w:t>
      </w:r>
      <w:r>
        <w:rPr>
          <w:rFonts w:eastAsiaTheme="minorEastAsia"/>
          <w:kern w:val="0"/>
          <w:szCs w:val="21"/>
        </w:rPr>
        <w:t>金融工具公允价值计量的方法</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公允价值计量结果所属的层次，由对公允价值计量整体而言具有重要意义的输入值所属的最低层次决定：</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第一层次：相同资产或负债在活跃市场上未经调整的报价。</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第二层次：除第一层次输入值外相关资产或负债直接或间接可观察的输入值。</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第三层次：相关资产或负债的不可观察输入值。</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(b)</w:t>
      </w:r>
      <w:r>
        <w:rPr>
          <w:rFonts w:eastAsiaTheme="minorEastAsia"/>
          <w:kern w:val="0"/>
          <w:szCs w:val="21"/>
        </w:rPr>
        <w:t>持续的以公允价值计量的金融工具</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(i)</w:t>
      </w:r>
      <w:r>
        <w:rPr>
          <w:rFonts w:eastAsiaTheme="minorEastAsia"/>
          <w:kern w:val="0"/>
          <w:szCs w:val="21"/>
        </w:rPr>
        <w:t>各层次金融工具公允价值</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日，本基金持有的以公允价值计量且其变动计入当期损益的金融资产中无属于第一层次的余额，属于第二层次的余额为</w:t>
      </w:r>
      <w:r>
        <w:rPr>
          <w:rFonts w:eastAsiaTheme="minorEastAsia"/>
          <w:kern w:val="0"/>
          <w:szCs w:val="21"/>
        </w:rPr>
        <w:t>494,648,669.62</w:t>
      </w:r>
      <w:r>
        <w:rPr>
          <w:rFonts w:eastAsiaTheme="minorEastAsia"/>
          <w:kern w:val="0"/>
          <w:szCs w:val="21"/>
        </w:rPr>
        <w:t>元，无属于第三层次的余额</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日：无属于第一层次的余额，第二层次</w:t>
      </w:r>
      <w:r>
        <w:rPr>
          <w:rFonts w:eastAsiaTheme="minorEastAsia"/>
          <w:kern w:val="0"/>
          <w:szCs w:val="21"/>
        </w:rPr>
        <w:t>675,986,954.29</w:t>
      </w:r>
      <w:r>
        <w:rPr>
          <w:rFonts w:eastAsiaTheme="minorEastAsia"/>
          <w:kern w:val="0"/>
          <w:szCs w:val="21"/>
        </w:rPr>
        <w:t>元，无属于第三层次的余额</w:t>
      </w:r>
      <w:r>
        <w:rPr>
          <w:rFonts w:eastAsiaTheme="minorEastAsia"/>
          <w:kern w:val="0"/>
          <w:szCs w:val="21"/>
        </w:rPr>
        <w:t xml:space="preserve">) </w:t>
      </w:r>
      <w:r>
        <w:rPr>
          <w:rFonts w:eastAsiaTheme="minorEastAsia"/>
          <w:kern w:val="0"/>
          <w:szCs w:val="21"/>
        </w:rPr>
        <w:t>。</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(ii)</w:t>
      </w:r>
      <w:r>
        <w:rPr>
          <w:rFonts w:eastAsiaTheme="minorEastAsia"/>
          <w:kern w:val="0"/>
          <w:szCs w:val="21"/>
        </w:rPr>
        <w:t>公允价值所属层次间的重大变动</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对于证券交易所上市的股票，若出现重大事项停牌、交易不活跃</w:t>
      </w:r>
      <w:r>
        <w:rPr>
          <w:rFonts w:eastAsiaTheme="minorEastAsia"/>
          <w:kern w:val="0"/>
          <w:szCs w:val="21"/>
        </w:rPr>
        <w:t>(</w:t>
      </w:r>
      <w:r>
        <w:rPr>
          <w:rFonts w:eastAsiaTheme="minorEastAsia"/>
          <w:kern w:val="0"/>
          <w:szCs w:val="21"/>
        </w:rPr>
        <w:t>包括涨跌停时的交易不活跃</w:t>
      </w:r>
      <w:r>
        <w:rPr>
          <w:rFonts w:eastAsiaTheme="minorEastAsia"/>
          <w:kern w:val="0"/>
          <w:szCs w:val="21"/>
        </w:rPr>
        <w:t>)</w:t>
      </w:r>
      <w:r>
        <w:rPr>
          <w:rFonts w:eastAsiaTheme="minorEastAsia"/>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 (iii)</w:t>
      </w:r>
      <w:r>
        <w:rPr>
          <w:rFonts w:eastAsiaTheme="minorEastAsia"/>
          <w:kern w:val="0"/>
          <w:szCs w:val="21"/>
        </w:rPr>
        <w:t>第三层次公允价值余额和本期变动金额</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无。</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(c)</w:t>
      </w:r>
      <w:r>
        <w:rPr>
          <w:rFonts w:eastAsiaTheme="minorEastAsia"/>
          <w:kern w:val="0"/>
          <w:szCs w:val="21"/>
        </w:rPr>
        <w:t>非持续的以公允价值计量的金融工具</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日，本基金未持有非持续的以公允价值计量的金融资产</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日：同</w:t>
      </w:r>
      <w:r>
        <w:rPr>
          <w:rFonts w:eastAsiaTheme="minorEastAsia"/>
          <w:kern w:val="0"/>
          <w:szCs w:val="21"/>
        </w:rPr>
        <w:t xml:space="preserve">)  </w:t>
      </w:r>
      <w:r>
        <w:rPr>
          <w:rFonts w:eastAsiaTheme="minorEastAsia"/>
          <w:kern w:val="0"/>
          <w:szCs w:val="21"/>
        </w:rPr>
        <w:t>。</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(d)</w:t>
      </w:r>
      <w:r>
        <w:rPr>
          <w:rFonts w:eastAsiaTheme="minorEastAsia"/>
          <w:kern w:val="0"/>
          <w:szCs w:val="21"/>
        </w:rPr>
        <w:t>不以公允价值计量的金融工具</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不以公允价值计量的金融资产和负债主要包括应收款项和其他金融负债，其账面价值与公允价值相差很小。</w:t>
      </w:r>
      <w:r>
        <w:rPr>
          <w:rFonts w:eastAsiaTheme="minorEastAsia"/>
          <w:kern w:val="0"/>
          <w:szCs w:val="21"/>
        </w:rPr>
        <w:t xml:space="preserve"> </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 xml:space="preserve"> (2)</w:t>
      </w:r>
      <w:r w:rsidRPr="00C24ACA">
        <w:rPr>
          <w:rFonts w:eastAsiaTheme="minorEastAsia"/>
          <w:kern w:val="0"/>
          <w:szCs w:val="21"/>
        </w:rPr>
        <w:t>除公允价值外，截至资产负债表日本基金无需要说明的其他重要事项。</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97" w:name="_Toc225498272"/>
      <w:bookmarkStart w:id="198" w:name="_Toc352255995"/>
      <w:bookmarkStart w:id="199" w:name="_Toc352256063"/>
      <w:bookmarkStart w:id="200" w:name="_Toc352331241"/>
      <w:bookmarkStart w:id="201" w:name="_Toc390164820"/>
      <w:bookmarkStart w:id="202" w:name="_Toc48659798"/>
      <w:r w:rsidRPr="000C6CCD">
        <w:rPr>
          <w:rFonts w:ascii="宋体" w:hAnsi="宋体"/>
          <w:bCs w:val="0"/>
          <w:color w:val="000000"/>
          <w:sz w:val="21"/>
          <w:szCs w:val="21"/>
        </w:rPr>
        <w:t>7</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投资组合报告</w:t>
      </w:r>
      <w:bookmarkEnd w:id="197"/>
      <w:bookmarkEnd w:id="198"/>
      <w:bookmarkEnd w:id="199"/>
      <w:bookmarkEnd w:id="200"/>
      <w:bookmarkEnd w:id="201"/>
      <w:bookmarkEnd w:id="202"/>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03" w:name="_Toc225498273"/>
      <w:bookmarkStart w:id="204" w:name="_Toc352255996"/>
      <w:bookmarkStart w:id="205" w:name="_Toc352256064"/>
      <w:bookmarkStart w:id="206" w:name="_Toc352331242"/>
      <w:bookmarkStart w:id="207" w:name="_Toc390164821"/>
      <w:bookmarkStart w:id="208" w:name="_Toc48659799"/>
      <w:r w:rsidRPr="0087359D">
        <w:rPr>
          <w:rFonts w:ascii="宋体" w:hAnsi="宋体"/>
          <w:kern w:val="0"/>
          <w:sz w:val="21"/>
          <w:szCs w:val="21"/>
        </w:rPr>
        <w:t>7.1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期末基金资产组合情况</w:t>
      </w:r>
      <w:bookmarkEnd w:id="203"/>
      <w:bookmarkEnd w:id="204"/>
      <w:bookmarkEnd w:id="205"/>
      <w:bookmarkEnd w:id="206"/>
      <w:bookmarkEnd w:id="207"/>
      <w:bookmarkEnd w:id="208"/>
    </w:p>
    <w:p w:rsidR="008A5A5D" w:rsidRPr="00C24ACA" w:rsidRDefault="008A5A5D" w:rsidP="002116B9">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szCs w:val="21"/>
        </w:rPr>
        <w:t>金额单位：人民币元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8A5A5D" w:rsidRPr="00C24ACA" w:rsidTr="00B73AA7">
        <w:trPr>
          <w:jc w:val="center"/>
        </w:trPr>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34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项目</w:t>
            </w:r>
          </w:p>
        </w:tc>
        <w:tc>
          <w:tcPr>
            <w:tcW w:w="25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c>
          <w:tcPr>
            <w:tcW w:w="2052"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占基金总资产的比例（</w:t>
            </w:r>
            <w:r w:rsidRPr="00C24ACA">
              <w:rPr>
                <w:rFonts w:eastAsiaTheme="minorEastAsia"/>
                <w:color w:val="000000"/>
                <w:szCs w:val="21"/>
              </w:rPr>
              <w:t>%</w:t>
            </w:r>
            <w:r w:rsidRPr="00C24ACA">
              <w:rPr>
                <w:rFonts w:eastAsiaTheme="minorEastAsia"/>
                <w:color w:val="000000"/>
                <w:szCs w:val="21"/>
              </w:rPr>
              <w:t>）</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r w:rsidRPr="00C24ACA">
              <w:rPr>
                <w:rFonts w:eastAsiaTheme="minorEastAsia"/>
                <w:szCs w:val="21"/>
              </w:rPr>
              <w:t>1</w:t>
            </w: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权益投资</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其中：普通股</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8134C7">
            <w:pPr>
              <w:ind w:firstLineChars="350" w:firstLine="735"/>
              <w:rPr>
                <w:rFonts w:eastAsiaTheme="minorEastAsia"/>
                <w:color w:val="000000"/>
                <w:szCs w:val="21"/>
              </w:rPr>
            </w:pPr>
            <w:r w:rsidRPr="00C24ACA">
              <w:rPr>
                <w:rFonts w:eastAsiaTheme="minorEastAsia"/>
                <w:szCs w:val="21"/>
              </w:rPr>
              <w:t>存托凭证</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优先股</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房地产信托</w:t>
            </w:r>
            <w:r w:rsidR="007969C0" w:rsidRPr="00C24ACA">
              <w:rPr>
                <w:rFonts w:eastAsiaTheme="minorEastAsia"/>
                <w:color w:val="000000"/>
                <w:szCs w:val="21"/>
              </w:rPr>
              <w:t>凭证</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2</w:t>
            </w:r>
          </w:p>
        </w:tc>
        <w:tc>
          <w:tcPr>
            <w:tcW w:w="3420" w:type="dxa"/>
            <w:vAlign w:val="center"/>
          </w:tcPr>
          <w:p w:rsidR="00380273" w:rsidRPr="00C24ACA" w:rsidRDefault="00380273" w:rsidP="00C87473">
            <w:pPr>
              <w:ind w:leftChars="49" w:left="103"/>
              <w:rPr>
                <w:rFonts w:eastAsiaTheme="minorEastAsia"/>
                <w:color w:val="000000"/>
                <w:szCs w:val="21"/>
              </w:rPr>
            </w:pPr>
            <w:r w:rsidRPr="00C24ACA">
              <w:rPr>
                <w:rFonts w:eastAsiaTheme="minorEastAsia"/>
                <w:szCs w:val="21"/>
              </w:rPr>
              <w:t>基金投资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3</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固定收益投资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494,648,669.62</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93.23</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其中：债券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494,648,669.62</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93.23</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ind w:leftChars="50" w:left="105" w:firstLineChars="300" w:firstLine="630"/>
              <w:rPr>
                <w:rFonts w:eastAsiaTheme="minorEastAsia"/>
                <w:color w:val="000000"/>
                <w:szCs w:val="21"/>
              </w:rPr>
            </w:pPr>
            <w:r w:rsidRPr="00C24ACA">
              <w:rPr>
                <w:rFonts w:eastAsiaTheme="minorEastAsia"/>
                <w:szCs w:val="21"/>
              </w:rPr>
              <w:t>资产支持证券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4</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金融衍生品投资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其中：远期</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期权</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权证</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5</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其中：买断式回购的买入返售金融资产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6</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货币市场工具</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7</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银行存款和结算备付金合计</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26,262,477.20</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4.95</w:t>
            </w:r>
          </w:p>
        </w:tc>
      </w:tr>
      <w:tr w:rsidR="00380273" w:rsidRPr="00C24ACA" w:rsidTr="00B73AA7">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8</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其他各项资产</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9,637,148.37</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1.82</w:t>
            </w:r>
          </w:p>
        </w:tc>
      </w:tr>
      <w:tr w:rsidR="00380273" w:rsidRPr="00C24ACA" w:rsidTr="00B73AA7">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9</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合计</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530,548,295.19</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100.00</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09" w:name="_Toc390164822"/>
      <w:bookmarkStart w:id="210" w:name="_Toc48659800"/>
      <w:r w:rsidRPr="0087359D">
        <w:rPr>
          <w:rFonts w:ascii="宋体" w:hAnsi="宋体"/>
          <w:kern w:val="0"/>
          <w:sz w:val="21"/>
          <w:szCs w:val="21"/>
        </w:rPr>
        <w:t>7.2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期末在各个国家（地区）证券市场的权益投资分布</w:t>
      </w:r>
      <w:bookmarkEnd w:id="209"/>
      <w:bookmarkEnd w:id="210"/>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本基金本报告期末未持有权益投资。</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11" w:name="_Toc224618378"/>
      <w:bookmarkStart w:id="212" w:name="_Toc248233025"/>
      <w:bookmarkStart w:id="213" w:name="_Toc249790557"/>
      <w:bookmarkStart w:id="214" w:name="_Toc286929758"/>
      <w:bookmarkStart w:id="215" w:name="_Toc352255997"/>
      <w:bookmarkStart w:id="216" w:name="_Toc352256065"/>
      <w:bookmarkStart w:id="217" w:name="_Toc352331243"/>
      <w:bookmarkStart w:id="218" w:name="_Toc390164823"/>
      <w:bookmarkStart w:id="219" w:name="_Toc48659801"/>
      <w:r w:rsidRPr="0087359D">
        <w:rPr>
          <w:rFonts w:ascii="宋体" w:hAnsi="宋体"/>
          <w:kern w:val="0"/>
          <w:sz w:val="21"/>
          <w:szCs w:val="21"/>
        </w:rPr>
        <w:t>7.3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期末按行业分类的权益投资组合</w:t>
      </w:r>
      <w:bookmarkEnd w:id="211"/>
      <w:bookmarkEnd w:id="212"/>
      <w:bookmarkEnd w:id="213"/>
      <w:bookmarkEnd w:id="214"/>
      <w:bookmarkEnd w:id="215"/>
      <w:bookmarkEnd w:id="216"/>
      <w:bookmarkEnd w:id="217"/>
      <w:bookmarkEnd w:id="218"/>
      <w:bookmarkEnd w:id="219"/>
    </w:p>
    <w:p w:rsidR="008A5A5D" w:rsidRPr="001412CA" w:rsidRDefault="007863A3"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本基金本报告期末未持有权益投资。</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20" w:name="_Toc352255998"/>
      <w:bookmarkStart w:id="221" w:name="_Toc352256066"/>
      <w:bookmarkStart w:id="222" w:name="_Toc352331244"/>
      <w:bookmarkStart w:id="223" w:name="_Toc390164824"/>
      <w:bookmarkStart w:id="224" w:name="_Toc48659802"/>
      <w:r w:rsidRPr="0087359D">
        <w:rPr>
          <w:rFonts w:ascii="宋体" w:hAnsi="宋体"/>
          <w:kern w:val="0"/>
          <w:sz w:val="21"/>
          <w:szCs w:val="21"/>
        </w:rPr>
        <w:t>7.4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期末按公允价值占基金资产净值比例大小排序的所有权益投资明细</w:t>
      </w:r>
      <w:bookmarkEnd w:id="220"/>
      <w:bookmarkEnd w:id="221"/>
      <w:bookmarkEnd w:id="222"/>
      <w:bookmarkEnd w:id="223"/>
      <w:bookmarkEnd w:id="224"/>
    </w:p>
    <w:p w:rsidR="00FF05DE"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本基金本报告期末未持有权益投资。</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25" w:name="_Toc224618380"/>
      <w:bookmarkStart w:id="226" w:name="_Toc248233027"/>
      <w:bookmarkStart w:id="227" w:name="_Toc249790559"/>
      <w:bookmarkStart w:id="228" w:name="_Toc286929760"/>
      <w:bookmarkStart w:id="229" w:name="_Toc352255999"/>
      <w:bookmarkStart w:id="230" w:name="_Toc352256067"/>
      <w:bookmarkStart w:id="231" w:name="_Toc352331245"/>
      <w:bookmarkStart w:id="232" w:name="_Toc390164827"/>
      <w:bookmarkStart w:id="233" w:name="_Toc48659803"/>
      <w:r w:rsidRPr="0087359D">
        <w:rPr>
          <w:rFonts w:ascii="宋体" w:hAnsi="宋体"/>
          <w:kern w:val="0"/>
          <w:sz w:val="21"/>
          <w:szCs w:val="21"/>
        </w:rPr>
        <w:t>7.5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w:t>
      </w:r>
      <w:r w:rsidR="0057004B" w:rsidRPr="004F2CA9">
        <w:rPr>
          <w:rFonts w:ascii="宋体" w:hAnsi="宋体" w:hint="eastAsia"/>
          <w:kern w:val="0"/>
          <w:sz w:val="21"/>
          <w:szCs w:val="21"/>
        </w:rPr>
        <w:t>权益</w:t>
      </w:r>
      <w:r w:rsidRPr="00C24ACA">
        <w:rPr>
          <w:rFonts w:ascii="Times New Roman" w:eastAsiaTheme="minorEastAsia" w:hAnsi="Times New Roman"/>
          <w:kern w:val="0"/>
          <w:sz w:val="21"/>
          <w:szCs w:val="21"/>
        </w:rPr>
        <w:t>投资组合的重大变动</w:t>
      </w:r>
      <w:bookmarkEnd w:id="225"/>
      <w:bookmarkEnd w:id="226"/>
      <w:bookmarkEnd w:id="227"/>
      <w:bookmarkEnd w:id="228"/>
      <w:bookmarkEnd w:id="229"/>
      <w:bookmarkEnd w:id="230"/>
      <w:bookmarkEnd w:id="231"/>
      <w:bookmarkEnd w:id="232"/>
      <w:bookmarkEnd w:id="233"/>
    </w:p>
    <w:p w:rsidR="008A5A5D" w:rsidRPr="00C24ACA" w:rsidRDefault="008A5A5D" w:rsidP="006313B1">
      <w:pPr>
        <w:autoSpaceDE w:val="0"/>
        <w:autoSpaceDN w:val="0"/>
        <w:adjustRightInd w:val="0"/>
        <w:snapToGrid w:val="0"/>
        <w:spacing w:line="360" w:lineRule="auto"/>
        <w:jc w:val="left"/>
        <w:rPr>
          <w:rFonts w:eastAsiaTheme="minorEastAsia"/>
          <w:b/>
          <w:color w:val="000000"/>
          <w:kern w:val="0"/>
          <w:szCs w:val="21"/>
        </w:rPr>
      </w:pPr>
      <w:r w:rsidRPr="00C24ACA">
        <w:rPr>
          <w:rFonts w:eastAsiaTheme="minorEastAsia"/>
          <w:b/>
          <w:kern w:val="0"/>
          <w:szCs w:val="21"/>
        </w:rPr>
        <w:t>7.5.1</w:t>
      </w:r>
      <w:r w:rsidRPr="00C24ACA">
        <w:rPr>
          <w:rFonts w:eastAsiaTheme="minorEastAsia"/>
          <w:b/>
          <w:color w:val="000000"/>
          <w:kern w:val="0"/>
          <w:szCs w:val="21"/>
        </w:rPr>
        <w:t>累计买入金额超出</w:t>
      </w:r>
      <w:r w:rsidR="00243C23"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7.5.2</w:t>
      </w:r>
      <w:r w:rsidRPr="00C24ACA">
        <w:rPr>
          <w:rFonts w:eastAsiaTheme="minorEastAsia"/>
          <w:b/>
          <w:color w:val="000000"/>
          <w:kern w:val="0"/>
          <w:szCs w:val="21"/>
        </w:rPr>
        <w:t>累计卖出金额超出</w:t>
      </w:r>
      <w:r w:rsidR="00B7546A"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7.5.3</w:t>
      </w:r>
      <w:r w:rsidRPr="00C24ACA">
        <w:rPr>
          <w:rFonts w:eastAsiaTheme="minorEastAsia"/>
          <w:b/>
          <w:color w:val="000000"/>
          <w:kern w:val="0"/>
          <w:szCs w:val="21"/>
        </w:rPr>
        <w:t>权益投资的买入成本总额及卖出收入总额</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34" w:name="_Toc224618381"/>
      <w:bookmarkStart w:id="235" w:name="_Toc248233028"/>
      <w:bookmarkStart w:id="236" w:name="_Toc249790560"/>
      <w:bookmarkStart w:id="237" w:name="_Toc286929761"/>
      <w:bookmarkStart w:id="238" w:name="_Toc352256000"/>
      <w:bookmarkStart w:id="239" w:name="_Toc352256068"/>
      <w:bookmarkStart w:id="240" w:name="_Toc352331246"/>
      <w:bookmarkStart w:id="241" w:name="_Toc390164828"/>
      <w:bookmarkStart w:id="242" w:name="_Toc48659804"/>
      <w:r w:rsidRPr="0087359D">
        <w:rPr>
          <w:rFonts w:ascii="宋体" w:hAnsi="宋体"/>
          <w:kern w:val="0"/>
          <w:sz w:val="21"/>
          <w:szCs w:val="21"/>
        </w:rPr>
        <w:t>7.6</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期末按债券信用等级分类的债券投资组合</w:t>
      </w:r>
      <w:bookmarkEnd w:id="234"/>
      <w:bookmarkEnd w:id="235"/>
      <w:bookmarkEnd w:id="236"/>
      <w:bookmarkEnd w:id="237"/>
      <w:bookmarkEnd w:id="238"/>
      <w:bookmarkEnd w:id="239"/>
      <w:bookmarkEnd w:id="240"/>
      <w:bookmarkEnd w:id="241"/>
      <w:bookmarkEnd w:id="242"/>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4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30" w:type="dxa"/>
          <w:right w:w="30" w:type="dxa"/>
        </w:tblCellMar>
        <w:tblLook w:val="0000" w:firstRow="0" w:lastRow="0" w:firstColumn="0" w:lastColumn="0" w:noHBand="0" w:noVBand="0"/>
      </w:tblPr>
      <w:tblGrid>
        <w:gridCol w:w="2745"/>
        <w:gridCol w:w="4792"/>
        <w:gridCol w:w="1897"/>
      </w:tblGrid>
      <w:tr w:rsidR="008A5A5D" w:rsidRPr="00C24ACA" w:rsidTr="00B73AA7">
        <w:trPr>
          <w:trHeight w:val="315"/>
          <w:jc w:val="center"/>
        </w:trPr>
        <w:tc>
          <w:tcPr>
            <w:tcW w:w="2745"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债券信用等级</w:t>
            </w:r>
          </w:p>
        </w:tc>
        <w:tc>
          <w:tcPr>
            <w:tcW w:w="4792"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公允价值</w:t>
            </w:r>
          </w:p>
        </w:tc>
        <w:tc>
          <w:tcPr>
            <w:tcW w:w="1897"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占基金资产净值比例（％）</w:t>
            </w:r>
          </w:p>
        </w:tc>
      </w:tr>
      <w:tr w:rsidR="008E5B30">
        <w:trPr>
          <w:jc w:val="center"/>
        </w:trPr>
        <w:tc>
          <w:tcPr>
            <w:tcW w:w="2745" w:type="dxa"/>
            <w:vAlign w:val="center"/>
          </w:tcPr>
          <w:p w:rsidR="008E5B30" w:rsidRDefault="00013397">
            <w:pPr>
              <w:jc w:val="left"/>
            </w:pPr>
            <w:r>
              <w:rPr>
                <w:rFonts w:eastAsiaTheme="minorEastAsia"/>
                <w:color w:val="000000"/>
                <w:szCs w:val="21"/>
              </w:rPr>
              <w:t>AAA+</w:t>
            </w:r>
            <w:r>
              <w:rPr>
                <w:rFonts w:eastAsiaTheme="minorEastAsia"/>
                <w:color w:val="000000"/>
                <w:szCs w:val="21"/>
              </w:rPr>
              <w:t>至</w:t>
            </w:r>
            <w:r>
              <w:rPr>
                <w:rFonts w:eastAsiaTheme="minorEastAsia"/>
                <w:color w:val="000000"/>
                <w:szCs w:val="21"/>
              </w:rPr>
              <w:t>AAA-</w:t>
            </w:r>
          </w:p>
        </w:tc>
        <w:tc>
          <w:tcPr>
            <w:tcW w:w="4792" w:type="dxa"/>
            <w:vAlign w:val="center"/>
          </w:tcPr>
          <w:p w:rsidR="008E5B30" w:rsidRDefault="00013397">
            <w:pPr>
              <w:jc w:val="right"/>
            </w:pPr>
            <w:r>
              <w:rPr>
                <w:rFonts w:eastAsiaTheme="minorEastAsia"/>
                <w:color w:val="000000"/>
                <w:szCs w:val="21"/>
              </w:rPr>
              <w:t>0.00</w:t>
            </w:r>
          </w:p>
        </w:tc>
        <w:tc>
          <w:tcPr>
            <w:tcW w:w="1897" w:type="dxa"/>
            <w:vAlign w:val="center"/>
          </w:tcPr>
          <w:p w:rsidR="008E5B30" w:rsidRDefault="00013397">
            <w:pPr>
              <w:jc w:val="right"/>
            </w:pPr>
            <w:r>
              <w:rPr>
                <w:rFonts w:eastAsiaTheme="minorEastAsia"/>
                <w:color w:val="000000"/>
                <w:szCs w:val="21"/>
              </w:rPr>
              <w:t>0.00</w:t>
            </w:r>
          </w:p>
        </w:tc>
      </w:tr>
      <w:tr w:rsidR="008E5B30">
        <w:trPr>
          <w:jc w:val="center"/>
        </w:trPr>
        <w:tc>
          <w:tcPr>
            <w:tcW w:w="2745" w:type="dxa"/>
            <w:vAlign w:val="center"/>
          </w:tcPr>
          <w:p w:rsidR="008E5B30" w:rsidRDefault="00013397">
            <w:pPr>
              <w:jc w:val="left"/>
            </w:pPr>
            <w:r>
              <w:rPr>
                <w:rFonts w:eastAsiaTheme="minorEastAsia"/>
                <w:color w:val="000000"/>
                <w:szCs w:val="21"/>
              </w:rPr>
              <w:t>AA+</w:t>
            </w:r>
            <w:r>
              <w:rPr>
                <w:rFonts w:eastAsiaTheme="minorEastAsia"/>
                <w:color w:val="000000"/>
                <w:szCs w:val="21"/>
              </w:rPr>
              <w:t>至</w:t>
            </w:r>
            <w:r>
              <w:rPr>
                <w:rFonts w:eastAsiaTheme="minorEastAsia"/>
                <w:color w:val="000000"/>
                <w:szCs w:val="21"/>
              </w:rPr>
              <w:t>AA-</w:t>
            </w:r>
          </w:p>
        </w:tc>
        <w:tc>
          <w:tcPr>
            <w:tcW w:w="4792" w:type="dxa"/>
            <w:vAlign w:val="center"/>
          </w:tcPr>
          <w:p w:rsidR="008E5B30" w:rsidRDefault="00013397">
            <w:pPr>
              <w:jc w:val="right"/>
            </w:pPr>
            <w:r>
              <w:rPr>
                <w:rFonts w:eastAsiaTheme="minorEastAsia"/>
                <w:color w:val="000000"/>
                <w:szCs w:val="21"/>
              </w:rPr>
              <w:t>0.00</w:t>
            </w:r>
          </w:p>
        </w:tc>
        <w:tc>
          <w:tcPr>
            <w:tcW w:w="1897" w:type="dxa"/>
            <w:vAlign w:val="center"/>
          </w:tcPr>
          <w:p w:rsidR="008E5B30" w:rsidRDefault="00013397">
            <w:pPr>
              <w:jc w:val="right"/>
            </w:pPr>
            <w:r>
              <w:rPr>
                <w:rFonts w:eastAsiaTheme="minorEastAsia"/>
                <w:color w:val="000000"/>
                <w:szCs w:val="21"/>
              </w:rPr>
              <w:t>0.00</w:t>
            </w:r>
          </w:p>
        </w:tc>
      </w:tr>
      <w:tr w:rsidR="008E5B30">
        <w:trPr>
          <w:jc w:val="center"/>
        </w:trPr>
        <w:tc>
          <w:tcPr>
            <w:tcW w:w="2745" w:type="dxa"/>
            <w:vAlign w:val="center"/>
          </w:tcPr>
          <w:p w:rsidR="008E5B30" w:rsidRDefault="00013397">
            <w:pPr>
              <w:jc w:val="left"/>
            </w:pPr>
            <w:r>
              <w:rPr>
                <w:rFonts w:eastAsiaTheme="minorEastAsia"/>
                <w:color w:val="000000"/>
                <w:szCs w:val="21"/>
              </w:rPr>
              <w:t>A+</w:t>
            </w:r>
            <w:r>
              <w:rPr>
                <w:rFonts w:eastAsiaTheme="minorEastAsia"/>
                <w:color w:val="000000"/>
                <w:szCs w:val="21"/>
              </w:rPr>
              <w:t>至</w:t>
            </w:r>
            <w:r>
              <w:rPr>
                <w:rFonts w:eastAsiaTheme="minorEastAsia"/>
                <w:color w:val="000000"/>
                <w:szCs w:val="21"/>
              </w:rPr>
              <w:t>A-</w:t>
            </w:r>
          </w:p>
        </w:tc>
        <w:tc>
          <w:tcPr>
            <w:tcW w:w="4792" w:type="dxa"/>
            <w:vAlign w:val="center"/>
          </w:tcPr>
          <w:p w:rsidR="008E5B30" w:rsidRDefault="00013397">
            <w:pPr>
              <w:jc w:val="right"/>
            </w:pPr>
            <w:r>
              <w:rPr>
                <w:rFonts w:eastAsiaTheme="minorEastAsia"/>
                <w:color w:val="000000"/>
                <w:szCs w:val="21"/>
              </w:rPr>
              <w:t>58,400,315.97</w:t>
            </w:r>
          </w:p>
        </w:tc>
        <w:tc>
          <w:tcPr>
            <w:tcW w:w="1897" w:type="dxa"/>
            <w:vAlign w:val="center"/>
          </w:tcPr>
          <w:p w:rsidR="008E5B30" w:rsidRDefault="00013397">
            <w:pPr>
              <w:jc w:val="right"/>
            </w:pPr>
            <w:r>
              <w:rPr>
                <w:rFonts w:eastAsiaTheme="minorEastAsia"/>
                <w:color w:val="000000"/>
                <w:szCs w:val="21"/>
              </w:rPr>
              <w:t>11.11</w:t>
            </w:r>
          </w:p>
        </w:tc>
      </w:tr>
      <w:tr w:rsidR="008E5B30">
        <w:trPr>
          <w:jc w:val="center"/>
        </w:trPr>
        <w:tc>
          <w:tcPr>
            <w:tcW w:w="2745" w:type="dxa"/>
            <w:vAlign w:val="center"/>
          </w:tcPr>
          <w:p w:rsidR="008E5B30" w:rsidRDefault="00013397">
            <w:pPr>
              <w:jc w:val="left"/>
            </w:pPr>
            <w:r>
              <w:rPr>
                <w:rFonts w:eastAsiaTheme="minorEastAsia"/>
                <w:color w:val="000000"/>
                <w:szCs w:val="21"/>
              </w:rPr>
              <w:t>BBB+</w:t>
            </w:r>
            <w:r>
              <w:rPr>
                <w:rFonts w:eastAsiaTheme="minorEastAsia"/>
                <w:color w:val="000000"/>
                <w:szCs w:val="21"/>
              </w:rPr>
              <w:t>至</w:t>
            </w:r>
            <w:r>
              <w:rPr>
                <w:rFonts w:eastAsiaTheme="minorEastAsia"/>
                <w:color w:val="000000"/>
                <w:szCs w:val="21"/>
              </w:rPr>
              <w:t>BBB-</w:t>
            </w:r>
          </w:p>
        </w:tc>
        <w:tc>
          <w:tcPr>
            <w:tcW w:w="4792" w:type="dxa"/>
            <w:vAlign w:val="center"/>
          </w:tcPr>
          <w:p w:rsidR="008E5B30" w:rsidRDefault="00013397">
            <w:pPr>
              <w:jc w:val="right"/>
            </w:pPr>
            <w:r>
              <w:rPr>
                <w:rFonts w:eastAsiaTheme="minorEastAsia"/>
                <w:color w:val="000000"/>
                <w:szCs w:val="21"/>
              </w:rPr>
              <w:t>334,669,389.26</w:t>
            </w:r>
          </w:p>
        </w:tc>
        <w:tc>
          <w:tcPr>
            <w:tcW w:w="1897" w:type="dxa"/>
            <w:vAlign w:val="center"/>
          </w:tcPr>
          <w:p w:rsidR="008E5B30" w:rsidRDefault="00013397">
            <w:pPr>
              <w:jc w:val="right"/>
            </w:pPr>
            <w:r>
              <w:rPr>
                <w:rFonts w:eastAsiaTheme="minorEastAsia"/>
                <w:color w:val="000000"/>
                <w:szCs w:val="21"/>
              </w:rPr>
              <w:t>63.66</w:t>
            </w:r>
          </w:p>
        </w:tc>
      </w:tr>
      <w:tr w:rsidR="008E5B30">
        <w:trPr>
          <w:jc w:val="center"/>
        </w:trPr>
        <w:tc>
          <w:tcPr>
            <w:tcW w:w="2745" w:type="dxa"/>
            <w:vAlign w:val="center"/>
          </w:tcPr>
          <w:p w:rsidR="008E5B30" w:rsidRDefault="00013397">
            <w:pPr>
              <w:jc w:val="left"/>
            </w:pPr>
            <w:r>
              <w:rPr>
                <w:rFonts w:eastAsiaTheme="minorEastAsia"/>
                <w:color w:val="000000"/>
                <w:szCs w:val="21"/>
              </w:rPr>
              <w:t>BB+</w:t>
            </w:r>
            <w:r>
              <w:rPr>
                <w:rFonts w:eastAsiaTheme="minorEastAsia"/>
                <w:color w:val="000000"/>
                <w:szCs w:val="21"/>
              </w:rPr>
              <w:t>至</w:t>
            </w:r>
            <w:r>
              <w:rPr>
                <w:rFonts w:eastAsiaTheme="minorEastAsia"/>
                <w:color w:val="000000"/>
                <w:szCs w:val="21"/>
              </w:rPr>
              <w:t>BB-</w:t>
            </w:r>
          </w:p>
        </w:tc>
        <w:tc>
          <w:tcPr>
            <w:tcW w:w="4792" w:type="dxa"/>
            <w:vAlign w:val="center"/>
          </w:tcPr>
          <w:p w:rsidR="008E5B30" w:rsidRDefault="00013397">
            <w:pPr>
              <w:jc w:val="right"/>
            </w:pPr>
            <w:r>
              <w:rPr>
                <w:rFonts w:eastAsiaTheme="minorEastAsia"/>
                <w:color w:val="000000"/>
                <w:szCs w:val="21"/>
              </w:rPr>
              <w:t>90,364,537.13</w:t>
            </w:r>
          </w:p>
        </w:tc>
        <w:tc>
          <w:tcPr>
            <w:tcW w:w="1897" w:type="dxa"/>
            <w:vAlign w:val="center"/>
          </w:tcPr>
          <w:p w:rsidR="008E5B30" w:rsidRDefault="00013397">
            <w:pPr>
              <w:jc w:val="right"/>
            </w:pPr>
            <w:r>
              <w:rPr>
                <w:rFonts w:eastAsiaTheme="minorEastAsia"/>
                <w:color w:val="000000"/>
                <w:szCs w:val="21"/>
              </w:rPr>
              <w:t>17.19</w:t>
            </w:r>
          </w:p>
        </w:tc>
      </w:tr>
      <w:tr w:rsidR="008E5B30">
        <w:trPr>
          <w:jc w:val="center"/>
        </w:trPr>
        <w:tc>
          <w:tcPr>
            <w:tcW w:w="2745" w:type="dxa"/>
            <w:vAlign w:val="center"/>
          </w:tcPr>
          <w:p w:rsidR="008E5B30" w:rsidRDefault="00013397">
            <w:pPr>
              <w:jc w:val="left"/>
            </w:pPr>
            <w:r>
              <w:rPr>
                <w:rFonts w:eastAsiaTheme="minorEastAsia"/>
                <w:color w:val="000000"/>
                <w:szCs w:val="21"/>
              </w:rPr>
              <w:t>B+</w:t>
            </w:r>
            <w:r>
              <w:rPr>
                <w:rFonts w:eastAsiaTheme="minorEastAsia"/>
                <w:color w:val="000000"/>
                <w:szCs w:val="21"/>
              </w:rPr>
              <w:t>至</w:t>
            </w:r>
            <w:r>
              <w:rPr>
                <w:rFonts w:eastAsiaTheme="minorEastAsia"/>
                <w:color w:val="000000"/>
                <w:szCs w:val="21"/>
              </w:rPr>
              <w:t>B-</w:t>
            </w:r>
          </w:p>
        </w:tc>
        <w:tc>
          <w:tcPr>
            <w:tcW w:w="4792" w:type="dxa"/>
            <w:vAlign w:val="center"/>
          </w:tcPr>
          <w:p w:rsidR="008E5B30" w:rsidRDefault="00013397">
            <w:pPr>
              <w:jc w:val="right"/>
            </w:pPr>
            <w:r>
              <w:rPr>
                <w:rFonts w:eastAsiaTheme="minorEastAsia"/>
                <w:color w:val="000000"/>
                <w:szCs w:val="21"/>
              </w:rPr>
              <w:t>5,273,489.46</w:t>
            </w:r>
          </w:p>
        </w:tc>
        <w:tc>
          <w:tcPr>
            <w:tcW w:w="1897" w:type="dxa"/>
            <w:vAlign w:val="center"/>
          </w:tcPr>
          <w:p w:rsidR="008E5B30" w:rsidRDefault="00013397">
            <w:pPr>
              <w:jc w:val="right"/>
            </w:pPr>
            <w:r>
              <w:rPr>
                <w:rFonts w:eastAsiaTheme="minorEastAsia"/>
                <w:color w:val="000000"/>
                <w:szCs w:val="21"/>
              </w:rPr>
              <w:t>1.00</w:t>
            </w:r>
          </w:p>
        </w:tc>
      </w:tr>
      <w:tr w:rsidR="008E5B30">
        <w:trPr>
          <w:jc w:val="center"/>
        </w:trPr>
        <w:tc>
          <w:tcPr>
            <w:tcW w:w="2745" w:type="dxa"/>
            <w:vAlign w:val="center"/>
          </w:tcPr>
          <w:p w:rsidR="008E5B30" w:rsidRDefault="00013397">
            <w:pPr>
              <w:jc w:val="left"/>
            </w:pPr>
            <w:r>
              <w:rPr>
                <w:rFonts w:eastAsiaTheme="minorEastAsia"/>
                <w:color w:val="000000"/>
                <w:szCs w:val="21"/>
              </w:rPr>
              <w:t>CCC+</w:t>
            </w:r>
            <w:r>
              <w:rPr>
                <w:rFonts w:eastAsiaTheme="minorEastAsia"/>
                <w:color w:val="000000"/>
                <w:szCs w:val="21"/>
              </w:rPr>
              <w:t>至</w:t>
            </w:r>
            <w:r>
              <w:rPr>
                <w:rFonts w:eastAsiaTheme="minorEastAsia"/>
                <w:color w:val="000000"/>
                <w:szCs w:val="21"/>
              </w:rPr>
              <w:t>CCC</w:t>
            </w:r>
          </w:p>
        </w:tc>
        <w:tc>
          <w:tcPr>
            <w:tcW w:w="4792" w:type="dxa"/>
            <w:vAlign w:val="center"/>
          </w:tcPr>
          <w:p w:rsidR="008E5B30" w:rsidRDefault="00013397">
            <w:pPr>
              <w:jc w:val="right"/>
            </w:pPr>
            <w:r>
              <w:rPr>
                <w:rFonts w:eastAsiaTheme="minorEastAsia"/>
                <w:color w:val="000000"/>
                <w:szCs w:val="21"/>
              </w:rPr>
              <w:t>0.00</w:t>
            </w:r>
          </w:p>
        </w:tc>
        <w:tc>
          <w:tcPr>
            <w:tcW w:w="1897" w:type="dxa"/>
            <w:vAlign w:val="center"/>
          </w:tcPr>
          <w:p w:rsidR="008E5B30" w:rsidRDefault="00013397">
            <w:pPr>
              <w:jc w:val="right"/>
            </w:pPr>
            <w:r>
              <w:rPr>
                <w:rFonts w:eastAsiaTheme="minorEastAsia"/>
                <w:color w:val="000000"/>
                <w:szCs w:val="21"/>
              </w:rPr>
              <w:t>0.00</w:t>
            </w:r>
          </w:p>
        </w:tc>
      </w:tr>
      <w:tr w:rsidR="008E5B30">
        <w:trPr>
          <w:jc w:val="center"/>
        </w:trPr>
        <w:tc>
          <w:tcPr>
            <w:tcW w:w="2745" w:type="dxa"/>
            <w:vAlign w:val="center"/>
          </w:tcPr>
          <w:p w:rsidR="008E5B30" w:rsidRDefault="00013397">
            <w:pPr>
              <w:jc w:val="left"/>
            </w:pPr>
            <w:r>
              <w:rPr>
                <w:rFonts w:eastAsiaTheme="minorEastAsia"/>
                <w:color w:val="000000"/>
                <w:szCs w:val="21"/>
              </w:rPr>
              <w:t>未评级</w:t>
            </w:r>
          </w:p>
        </w:tc>
        <w:tc>
          <w:tcPr>
            <w:tcW w:w="4792" w:type="dxa"/>
            <w:vAlign w:val="center"/>
          </w:tcPr>
          <w:p w:rsidR="008E5B30" w:rsidRDefault="00013397">
            <w:pPr>
              <w:jc w:val="right"/>
            </w:pPr>
            <w:r>
              <w:rPr>
                <w:rFonts w:eastAsiaTheme="minorEastAsia"/>
                <w:color w:val="000000"/>
                <w:szCs w:val="21"/>
              </w:rPr>
              <w:t>11,861,990.96</w:t>
            </w:r>
          </w:p>
        </w:tc>
        <w:tc>
          <w:tcPr>
            <w:tcW w:w="1897" w:type="dxa"/>
            <w:vAlign w:val="center"/>
          </w:tcPr>
          <w:p w:rsidR="008E5B30" w:rsidRDefault="00013397">
            <w:pPr>
              <w:jc w:val="right"/>
            </w:pPr>
            <w:r>
              <w:rPr>
                <w:rFonts w:eastAsiaTheme="minorEastAsia"/>
                <w:color w:val="000000"/>
                <w:szCs w:val="21"/>
              </w:rPr>
              <w:t>2.26</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注：本债券投资组合主要采用标准普尔、穆迪、惠誉提供的债券信用评级信息，债券投资以全价列示。</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43" w:name="_Toc224618382"/>
      <w:bookmarkStart w:id="244" w:name="_Toc248233029"/>
      <w:bookmarkStart w:id="245" w:name="_Toc249790561"/>
      <w:bookmarkStart w:id="246" w:name="_Toc286929762"/>
      <w:bookmarkStart w:id="247" w:name="_Toc352256001"/>
      <w:bookmarkStart w:id="248" w:name="_Toc352256069"/>
      <w:bookmarkStart w:id="249" w:name="_Toc352331247"/>
      <w:bookmarkStart w:id="250" w:name="_Toc390164829"/>
      <w:bookmarkStart w:id="251" w:name="_Toc48659805"/>
      <w:r w:rsidRPr="0087359D">
        <w:rPr>
          <w:rFonts w:ascii="宋体" w:hAnsi="宋体"/>
          <w:kern w:val="0"/>
          <w:sz w:val="21"/>
          <w:szCs w:val="21"/>
        </w:rPr>
        <w:t>7.7</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期末按公允价值占基金资产净值比例大小排名的前五名债券投资明细</w:t>
      </w:r>
      <w:bookmarkEnd w:id="243"/>
      <w:bookmarkEnd w:id="244"/>
      <w:bookmarkEnd w:id="245"/>
      <w:bookmarkEnd w:id="246"/>
      <w:bookmarkEnd w:id="247"/>
      <w:bookmarkEnd w:id="248"/>
      <w:bookmarkEnd w:id="249"/>
      <w:bookmarkEnd w:id="250"/>
      <w:bookmarkEnd w:id="251"/>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012"/>
        <w:gridCol w:w="1454"/>
        <w:gridCol w:w="1272"/>
        <w:gridCol w:w="2031"/>
        <w:gridCol w:w="1817"/>
        <w:gridCol w:w="1873"/>
      </w:tblGrid>
      <w:tr w:rsidR="008A5A5D" w:rsidRPr="00C24ACA" w:rsidTr="00B73AA7">
        <w:trPr>
          <w:trHeight w:val="286"/>
          <w:jc w:val="center"/>
        </w:trPr>
        <w:tc>
          <w:tcPr>
            <w:tcW w:w="1012"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1454"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债券代码</w:t>
            </w:r>
          </w:p>
        </w:tc>
        <w:tc>
          <w:tcPr>
            <w:tcW w:w="1272"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债券名称</w:t>
            </w:r>
          </w:p>
        </w:tc>
        <w:tc>
          <w:tcPr>
            <w:tcW w:w="2031" w:type="dxa"/>
            <w:tcMar>
              <w:top w:w="15" w:type="dxa"/>
              <w:left w:w="15" w:type="dxa"/>
              <w:bottom w:w="0" w:type="dxa"/>
              <w:right w:w="15" w:type="dxa"/>
            </w:tcMar>
            <w:vAlign w:val="center"/>
          </w:tcPr>
          <w:p w:rsidR="008A5A5D" w:rsidRPr="00C24ACA" w:rsidRDefault="008A5A5D" w:rsidP="004A4847">
            <w:pPr>
              <w:jc w:val="center"/>
              <w:rPr>
                <w:rFonts w:eastAsiaTheme="minorEastAsia"/>
                <w:b/>
                <w:bCs/>
                <w:color w:val="000000"/>
                <w:szCs w:val="21"/>
              </w:rPr>
            </w:pPr>
            <w:r w:rsidRPr="00C24ACA">
              <w:rPr>
                <w:rFonts w:eastAsiaTheme="minorEastAsia"/>
                <w:color w:val="000000"/>
                <w:szCs w:val="21"/>
              </w:rPr>
              <w:t>数量</w:t>
            </w:r>
          </w:p>
        </w:tc>
        <w:tc>
          <w:tcPr>
            <w:tcW w:w="1817"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bCs/>
                <w:color w:val="000000"/>
                <w:szCs w:val="21"/>
              </w:rPr>
              <w:t>公允价值</w:t>
            </w:r>
          </w:p>
        </w:tc>
        <w:tc>
          <w:tcPr>
            <w:tcW w:w="1873"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占基金资产净值比例（％）</w:t>
            </w:r>
          </w:p>
        </w:tc>
      </w:tr>
      <w:tr w:rsidR="008E5B30">
        <w:trPr>
          <w:jc w:val="center"/>
        </w:trPr>
        <w:tc>
          <w:tcPr>
            <w:tcW w:w="1012" w:type="dxa"/>
            <w:vAlign w:val="center"/>
          </w:tcPr>
          <w:p w:rsidR="008E5B30" w:rsidRDefault="00013397">
            <w:pPr>
              <w:jc w:val="center"/>
            </w:pPr>
            <w:r>
              <w:rPr>
                <w:rFonts w:eastAsiaTheme="minorEastAsia"/>
                <w:color w:val="000000"/>
                <w:szCs w:val="21"/>
              </w:rPr>
              <w:t>1</w:t>
            </w:r>
          </w:p>
        </w:tc>
        <w:tc>
          <w:tcPr>
            <w:tcW w:w="1454" w:type="dxa"/>
            <w:vAlign w:val="center"/>
          </w:tcPr>
          <w:p w:rsidR="008E5B30" w:rsidRDefault="00013397">
            <w:pPr>
              <w:jc w:val="center"/>
            </w:pPr>
            <w:r>
              <w:rPr>
                <w:rFonts w:eastAsiaTheme="minorEastAsia"/>
                <w:color w:val="000000"/>
                <w:szCs w:val="21"/>
              </w:rPr>
              <w:t>XS1555076162</w:t>
            </w:r>
          </w:p>
        </w:tc>
        <w:tc>
          <w:tcPr>
            <w:tcW w:w="1272" w:type="dxa"/>
            <w:vAlign w:val="center"/>
          </w:tcPr>
          <w:p w:rsidR="008E5B30" w:rsidRDefault="00013397">
            <w:pPr>
              <w:jc w:val="center"/>
            </w:pPr>
            <w:r>
              <w:rPr>
                <w:rFonts w:eastAsiaTheme="minorEastAsia"/>
                <w:color w:val="000000"/>
                <w:szCs w:val="21"/>
              </w:rPr>
              <w:t>HRINTH 4 1/2 PERP</w:t>
            </w:r>
          </w:p>
        </w:tc>
        <w:tc>
          <w:tcPr>
            <w:tcW w:w="2031" w:type="dxa"/>
            <w:vAlign w:val="center"/>
          </w:tcPr>
          <w:p w:rsidR="008E5B30" w:rsidRDefault="00013397">
            <w:pPr>
              <w:jc w:val="center"/>
            </w:pPr>
            <w:r>
              <w:rPr>
                <w:rFonts w:eastAsiaTheme="minorEastAsia"/>
                <w:color w:val="000000"/>
                <w:szCs w:val="21"/>
              </w:rPr>
              <w:t>17,698,750</w:t>
            </w:r>
          </w:p>
        </w:tc>
        <w:tc>
          <w:tcPr>
            <w:tcW w:w="1817" w:type="dxa"/>
            <w:vAlign w:val="center"/>
          </w:tcPr>
          <w:p w:rsidR="008E5B30" w:rsidRDefault="00013397">
            <w:pPr>
              <w:jc w:val="center"/>
            </w:pPr>
            <w:r>
              <w:rPr>
                <w:rFonts w:eastAsiaTheme="minorEastAsia"/>
                <w:color w:val="000000"/>
                <w:szCs w:val="21"/>
              </w:rPr>
              <w:t>17,852,552.14</w:t>
            </w:r>
          </w:p>
        </w:tc>
        <w:tc>
          <w:tcPr>
            <w:tcW w:w="1873" w:type="dxa"/>
            <w:vAlign w:val="center"/>
          </w:tcPr>
          <w:p w:rsidR="008E5B30" w:rsidRDefault="00013397">
            <w:pPr>
              <w:jc w:val="center"/>
            </w:pPr>
            <w:r>
              <w:rPr>
                <w:rFonts w:eastAsiaTheme="minorEastAsia"/>
                <w:color w:val="000000"/>
                <w:szCs w:val="21"/>
              </w:rPr>
              <w:t>3.40</w:t>
            </w:r>
          </w:p>
        </w:tc>
      </w:tr>
      <w:tr w:rsidR="008E5B30">
        <w:trPr>
          <w:jc w:val="center"/>
        </w:trPr>
        <w:tc>
          <w:tcPr>
            <w:tcW w:w="1012" w:type="dxa"/>
            <w:vAlign w:val="center"/>
          </w:tcPr>
          <w:p w:rsidR="008E5B30" w:rsidRDefault="00013397">
            <w:pPr>
              <w:jc w:val="center"/>
            </w:pPr>
            <w:r>
              <w:rPr>
                <w:rFonts w:eastAsiaTheme="minorEastAsia"/>
                <w:color w:val="000000"/>
                <w:szCs w:val="21"/>
              </w:rPr>
              <w:t>2</w:t>
            </w:r>
          </w:p>
        </w:tc>
        <w:tc>
          <w:tcPr>
            <w:tcW w:w="1454" w:type="dxa"/>
            <w:vAlign w:val="center"/>
          </w:tcPr>
          <w:p w:rsidR="008E5B30" w:rsidRDefault="00013397">
            <w:pPr>
              <w:jc w:val="center"/>
            </w:pPr>
            <w:r>
              <w:rPr>
                <w:rFonts w:eastAsiaTheme="minorEastAsia"/>
                <w:color w:val="000000"/>
                <w:szCs w:val="21"/>
              </w:rPr>
              <w:t>XS2051351893</w:t>
            </w:r>
          </w:p>
        </w:tc>
        <w:tc>
          <w:tcPr>
            <w:tcW w:w="1272" w:type="dxa"/>
            <w:vAlign w:val="center"/>
          </w:tcPr>
          <w:p w:rsidR="008E5B30" w:rsidRDefault="00013397">
            <w:pPr>
              <w:jc w:val="center"/>
            </w:pPr>
            <w:r>
              <w:rPr>
                <w:rFonts w:eastAsiaTheme="minorEastAsia"/>
                <w:color w:val="000000"/>
                <w:szCs w:val="21"/>
              </w:rPr>
              <w:t>ZZREAL 3.95 10/09/22</w:t>
            </w:r>
          </w:p>
        </w:tc>
        <w:tc>
          <w:tcPr>
            <w:tcW w:w="2031" w:type="dxa"/>
            <w:vAlign w:val="center"/>
          </w:tcPr>
          <w:p w:rsidR="008E5B30" w:rsidRDefault="00013397">
            <w:pPr>
              <w:jc w:val="center"/>
            </w:pPr>
            <w:r>
              <w:rPr>
                <w:rFonts w:eastAsiaTheme="minorEastAsia"/>
                <w:color w:val="000000"/>
                <w:szCs w:val="21"/>
              </w:rPr>
              <w:t>17,698,750</w:t>
            </w:r>
          </w:p>
        </w:tc>
        <w:tc>
          <w:tcPr>
            <w:tcW w:w="1817" w:type="dxa"/>
            <w:vAlign w:val="center"/>
          </w:tcPr>
          <w:p w:rsidR="008E5B30" w:rsidRDefault="00013397">
            <w:pPr>
              <w:jc w:val="center"/>
            </w:pPr>
            <w:r>
              <w:rPr>
                <w:rFonts w:eastAsiaTheme="minorEastAsia"/>
                <w:color w:val="000000"/>
                <w:szCs w:val="21"/>
              </w:rPr>
              <w:t>17,756,447.93</w:t>
            </w:r>
          </w:p>
        </w:tc>
        <w:tc>
          <w:tcPr>
            <w:tcW w:w="1873" w:type="dxa"/>
            <w:vAlign w:val="center"/>
          </w:tcPr>
          <w:p w:rsidR="008E5B30" w:rsidRDefault="00013397">
            <w:pPr>
              <w:jc w:val="center"/>
            </w:pPr>
            <w:r>
              <w:rPr>
                <w:rFonts w:eastAsiaTheme="minorEastAsia"/>
                <w:color w:val="000000"/>
                <w:szCs w:val="21"/>
              </w:rPr>
              <w:t>3.38</w:t>
            </w:r>
          </w:p>
        </w:tc>
      </w:tr>
      <w:tr w:rsidR="008E5B30">
        <w:trPr>
          <w:jc w:val="center"/>
        </w:trPr>
        <w:tc>
          <w:tcPr>
            <w:tcW w:w="1012" w:type="dxa"/>
            <w:vAlign w:val="center"/>
          </w:tcPr>
          <w:p w:rsidR="008E5B30" w:rsidRDefault="00013397">
            <w:pPr>
              <w:jc w:val="center"/>
            </w:pPr>
            <w:r>
              <w:rPr>
                <w:rFonts w:eastAsiaTheme="minorEastAsia"/>
                <w:color w:val="000000"/>
                <w:szCs w:val="21"/>
              </w:rPr>
              <w:t>3</w:t>
            </w:r>
          </w:p>
        </w:tc>
        <w:tc>
          <w:tcPr>
            <w:tcW w:w="1454" w:type="dxa"/>
            <w:vAlign w:val="center"/>
          </w:tcPr>
          <w:p w:rsidR="008E5B30" w:rsidRDefault="00013397">
            <w:pPr>
              <w:jc w:val="center"/>
            </w:pPr>
            <w:r>
              <w:rPr>
                <w:rFonts w:eastAsiaTheme="minorEastAsia"/>
                <w:color w:val="000000"/>
                <w:szCs w:val="21"/>
              </w:rPr>
              <w:t>XS1908374322</w:t>
            </w:r>
          </w:p>
        </w:tc>
        <w:tc>
          <w:tcPr>
            <w:tcW w:w="1272" w:type="dxa"/>
            <w:vAlign w:val="center"/>
          </w:tcPr>
          <w:p w:rsidR="008E5B30" w:rsidRDefault="00013397">
            <w:pPr>
              <w:jc w:val="center"/>
            </w:pPr>
            <w:r>
              <w:rPr>
                <w:rFonts w:eastAsiaTheme="minorEastAsia"/>
                <w:color w:val="000000"/>
                <w:szCs w:val="21"/>
              </w:rPr>
              <w:t>WHMTR 5.98 PERP</w:t>
            </w:r>
          </w:p>
        </w:tc>
        <w:tc>
          <w:tcPr>
            <w:tcW w:w="2031" w:type="dxa"/>
            <w:vAlign w:val="center"/>
          </w:tcPr>
          <w:p w:rsidR="008E5B30" w:rsidRDefault="00013397">
            <w:pPr>
              <w:jc w:val="center"/>
            </w:pPr>
            <w:r>
              <w:rPr>
                <w:rFonts w:eastAsiaTheme="minorEastAsia"/>
                <w:color w:val="000000"/>
                <w:szCs w:val="21"/>
              </w:rPr>
              <w:t>16,990,800</w:t>
            </w:r>
          </w:p>
        </w:tc>
        <w:tc>
          <w:tcPr>
            <w:tcW w:w="1817" w:type="dxa"/>
            <w:vAlign w:val="center"/>
          </w:tcPr>
          <w:p w:rsidR="008E5B30" w:rsidRDefault="00013397">
            <w:pPr>
              <w:jc w:val="center"/>
            </w:pPr>
            <w:r>
              <w:rPr>
                <w:rFonts w:eastAsiaTheme="minorEastAsia"/>
                <w:color w:val="000000"/>
                <w:szCs w:val="21"/>
              </w:rPr>
              <w:t>17,491,518.88</w:t>
            </w:r>
          </w:p>
        </w:tc>
        <w:tc>
          <w:tcPr>
            <w:tcW w:w="1873" w:type="dxa"/>
            <w:vAlign w:val="center"/>
          </w:tcPr>
          <w:p w:rsidR="008E5B30" w:rsidRDefault="00013397">
            <w:pPr>
              <w:jc w:val="center"/>
            </w:pPr>
            <w:r>
              <w:rPr>
                <w:rFonts w:eastAsiaTheme="minorEastAsia"/>
                <w:color w:val="000000"/>
                <w:szCs w:val="21"/>
              </w:rPr>
              <w:t>3.33</w:t>
            </w:r>
          </w:p>
        </w:tc>
      </w:tr>
      <w:tr w:rsidR="008E5B30">
        <w:trPr>
          <w:jc w:val="center"/>
        </w:trPr>
        <w:tc>
          <w:tcPr>
            <w:tcW w:w="1012" w:type="dxa"/>
            <w:vAlign w:val="center"/>
          </w:tcPr>
          <w:p w:rsidR="008E5B30" w:rsidRDefault="00013397">
            <w:pPr>
              <w:jc w:val="center"/>
            </w:pPr>
            <w:r>
              <w:rPr>
                <w:rFonts w:eastAsiaTheme="minorEastAsia"/>
                <w:color w:val="000000"/>
                <w:szCs w:val="21"/>
              </w:rPr>
              <w:t>4</w:t>
            </w:r>
          </w:p>
        </w:tc>
        <w:tc>
          <w:tcPr>
            <w:tcW w:w="1454" w:type="dxa"/>
            <w:vAlign w:val="center"/>
          </w:tcPr>
          <w:p w:rsidR="008E5B30" w:rsidRDefault="00013397">
            <w:pPr>
              <w:jc w:val="center"/>
            </w:pPr>
            <w:r>
              <w:rPr>
                <w:rFonts w:eastAsiaTheme="minorEastAsia"/>
                <w:color w:val="000000"/>
                <w:szCs w:val="21"/>
              </w:rPr>
              <w:t>XS1649890891</w:t>
            </w:r>
          </w:p>
        </w:tc>
        <w:tc>
          <w:tcPr>
            <w:tcW w:w="1272" w:type="dxa"/>
            <w:vAlign w:val="center"/>
          </w:tcPr>
          <w:p w:rsidR="008E5B30" w:rsidRDefault="00013397">
            <w:pPr>
              <w:jc w:val="center"/>
            </w:pPr>
            <w:r>
              <w:rPr>
                <w:rFonts w:eastAsiaTheme="minorEastAsia"/>
                <w:color w:val="000000"/>
                <w:szCs w:val="21"/>
              </w:rPr>
              <w:t>CHPWCN 4 1/4 PERP</w:t>
            </w:r>
          </w:p>
        </w:tc>
        <w:tc>
          <w:tcPr>
            <w:tcW w:w="2031" w:type="dxa"/>
            <w:vAlign w:val="center"/>
          </w:tcPr>
          <w:p w:rsidR="008E5B30" w:rsidRDefault="00013397">
            <w:pPr>
              <w:jc w:val="center"/>
            </w:pPr>
            <w:r>
              <w:rPr>
                <w:rFonts w:eastAsiaTheme="minorEastAsia"/>
                <w:color w:val="000000"/>
                <w:szCs w:val="21"/>
              </w:rPr>
              <w:t>14,159,000</w:t>
            </w:r>
          </w:p>
        </w:tc>
        <w:tc>
          <w:tcPr>
            <w:tcW w:w="1817" w:type="dxa"/>
            <w:vAlign w:val="center"/>
          </w:tcPr>
          <w:p w:rsidR="008E5B30" w:rsidRDefault="00013397">
            <w:pPr>
              <w:jc w:val="center"/>
            </w:pPr>
            <w:r>
              <w:rPr>
                <w:rFonts w:eastAsiaTheme="minorEastAsia"/>
                <w:color w:val="000000"/>
                <w:szCs w:val="21"/>
              </w:rPr>
              <w:t>14,316,589.67</w:t>
            </w:r>
          </w:p>
        </w:tc>
        <w:tc>
          <w:tcPr>
            <w:tcW w:w="1873" w:type="dxa"/>
            <w:vAlign w:val="center"/>
          </w:tcPr>
          <w:p w:rsidR="008E5B30" w:rsidRDefault="00013397">
            <w:pPr>
              <w:jc w:val="center"/>
            </w:pPr>
            <w:r>
              <w:rPr>
                <w:rFonts w:eastAsiaTheme="minorEastAsia"/>
                <w:color w:val="000000"/>
                <w:szCs w:val="21"/>
              </w:rPr>
              <w:t>2.72</w:t>
            </w:r>
          </w:p>
        </w:tc>
      </w:tr>
      <w:tr w:rsidR="008E5B30">
        <w:trPr>
          <w:jc w:val="center"/>
        </w:trPr>
        <w:tc>
          <w:tcPr>
            <w:tcW w:w="1012" w:type="dxa"/>
            <w:vAlign w:val="center"/>
          </w:tcPr>
          <w:p w:rsidR="008E5B30" w:rsidRDefault="00013397">
            <w:pPr>
              <w:jc w:val="center"/>
            </w:pPr>
            <w:r>
              <w:rPr>
                <w:rFonts w:eastAsiaTheme="minorEastAsia"/>
                <w:color w:val="000000"/>
                <w:szCs w:val="21"/>
              </w:rPr>
              <w:t>5</w:t>
            </w:r>
          </w:p>
        </w:tc>
        <w:tc>
          <w:tcPr>
            <w:tcW w:w="1454" w:type="dxa"/>
            <w:vAlign w:val="center"/>
          </w:tcPr>
          <w:p w:rsidR="008E5B30" w:rsidRDefault="00013397">
            <w:pPr>
              <w:jc w:val="center"/>
            </w:pPr>
            <w:r>
              <w:rPr>
                <w:rFonts w:eastAsiaTheme="minorEastAsia"/>
                <w:color w:val="000000"/>
                <w:szCs w:val="21"/>
              </w:rPr>
              <w:t>XS1720499588</w:t>
            </w:r>
          </w:p>
        </w:tc>
        <w:tc>
          <w:tcPr>
            <w:tcW w:w="1272" w:type="dxa"/>
            <w:vAlign w:val="center"/>
          </w:tcPr>
          <w:p w:rsidR="008E5B30" w:rsidRDefault="00013397">
            <w:pPr>
              <w:jc w:val="center"/>
            </w:pPr>
            <w:r>
              <w:rPr>
                <w:rFonts w:eastAsiaTheme="minorEastAsia"/>
                <w:color w:val="000000"/>
                <w:szCs w:val="21"/>
              </w:rPr>
              <w:t>SZIHL 3.95 PERP</w:t>
            </w:r>
          </w:p>
        </w:tc>
        <w:tc>
          <w:tcPr>
            <w:tcW w:w="2031" w:type="dxa"/>
            <w:vAlign w:val="center"/>
          </w:tcPr>
          <w:p w:rsidR="008E5B30" w:rsidRDefault="00013397">
            <w:pPr>
              <w:jc w:val="center"/>
            </w:pPr>
            <w:r>
              <w:rPr>
                <w:rFonts w:eastAsiaTheme="minorEastAsia"/>
                <w:color w:val="000000"/>
                <w:szCs w:val="21"/>
              </w:rPr>
              <w:t>14,159,000</w:t>
            </w:r>
          </w:p>
        </w:tc>
        <w:tc>
          <w:tcPr>
            <w:tcW w:w="1817" w:type="dxa"/>
            <w:vAlign w:val="center"/>
          </w:tcPr>
          <w:p w:rsidR="008E5B30" w:rsidRDefault="00013397">
            <w:pPr>
              <w:jc w:val="center"/>
            </w:pPr>
            <w:r>
              <w:rPr>
                <w:rFonts w:eastAsiaTheme="minorEastAsia"/>
                <w:color w:val="000000"/>
                <w:szCs w:val="21"/>
              </w:rPr>
              <w:t>14,261,369.57</w:t>
            </w:r>
          </w:p>
        </w:tc>
        <w:tc>
          <w:tcPr>
            <w:tcW w:w="1873" w:type="dxa"/>
            <w:vAlign w:val="center"/>
          </w:tcPr>
          <w:p w:rsidR="008E5B30" w:rsidRDefault="00013397">
            <w:pPr>
              <w:jc w:val="center"/>
            </w:pPr>
            <w:r>
              <w:rPr>
                <w:rFonts w:eastAsiaTheme="minorEastAsia"/>
                <w:color w:val="000000"/>
                <w:szCs w:val="21"/>
              </w:rPr>
              <w:t>2.71</w:t>
            </w:r>
          </w:p>
        </w:tc>
      </w:tr>
    </w:tbl>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债券代码为</w:t>
      </w:r>
      <w:r>
        <w:rPr>
          <w:rFonts w:eastAsiaTheme="minorEastAsia"/>
          <w:kern w:val="0"/>
          <w:szCs w:val="21"/>
        </w:rPr>
        <w:t>ISIN</w:t>
      </w:r>
      <w:r>
        <w:rPr>
          <w:rFonts w:eastAsiaTheme="minorEastAsia"/>
          <w:kern w:val="0"/>
          <w:szCs w:val="21"/>
        </w:rPr>
        <w:t>码。</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数量列示债券面值，外币按照期末估值汇率折为人民币，四舍五入保留整数。</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52" w:name="_Toc224618383"/>
      <w:bookmarkStart w:id="253" w:name="_Toc248233030"/>
      <w:bookmarkStart w:id="254" w:name="_Toc249790562"/>
      <w:bookmarkStart w:id="255" w:name="_Toc286929763"/>
      <w:bookmarkStart w:id="256" w:name="_Toc352256002"/>
      <w:bookmarkStart w:id="257" w:name="_Toc352256070"/>
      <w:bookmarkStart w:id="258" w:name="_Toc352331248"/>
      <w:bookmarkStart w:id="259" w:name="_Toc390164830"/>
      <w:bookmarkStart w:id="260" w:name="_Toc48659806"/>
      <w:r w:rsidRPr="0087359D">
        <w:rPr>
          <w:rFonts w:ascii="宋体" w:hAnsi="宋体"/>
          <w:kern w:val="0"/>
          <w:sz w:val="21"/>
          <w:szCs w:val="21"/>
        </w:rPr>
        <w:t>7.8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期末按公允价值占基金资产净值比例大小排名的所有资产支持证券投资明细</w:t>
      </w:r>
      <w:bookmarkEnd w:id="252"/>
      <w:bookmarkEnd w:id="253"/>
      <w:bookmarkEnd w:id="254"/>
      <w:bookmarkEnd w:id="255"/>
      <w:bookmarkEnd w:id="256"/>
      <w:bookmarkEnd w:id="257"/>
      <w:bookmarkEnd w:id="258"/>
      <w:bookmarkEnd w:id="259"/>
      <w:bookmarkEnd w:id="260"/>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本基金本报告期末未持有资产支持证券。</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61" w:name="_Toc224618384"/>
      <w:bookmarkStart w:id="262" w:name="_Toc248233031"/>
      <w:bookmarkStart w:id="263" w:name="_Toc249790563"/>
      <w:bookmarkStart w:id="264" w:name="_Toc286929764"/>
      <w:bookmarkStart w:id="265" w:name="_Toc352256003"/>
      <w:bookmarkStart w:id="266" w:name="_Toc352256071"/>
      <w:bookmarkStart w:id="267" w:name="_Toc352331249"/>
      <w:bookmarkStart w:id="268" w:name="_Toc390164831"/>
      <w:bookmarkStart w:id="269" w:name="_Toc48659807"/>
      <w:r w:rsidRPr="0087359D">
        <w:rPr>
          <w:rFonts w:ascii="宋体" w:hAnsi="宋体"/>
          <w:kern w:val="0"/>
          <w:sz w:val="21"/>
          <w:szCs w:val="21"/>
        </w:rPr>
        <w:t>7.9</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期末按公允价值占基金资产净值比例大小排名的前五名金融衍生品投资明细</w:t>
      </w:r>
      <w:bookmarkEnd w:id="261"/>
      <w:bookmarkEnd w:id="262"/>
      <w:bookmarkEnd w:id="263"/>
      <w:bookmarkEnd w:id="264"/>
      <w:bookmarkEnd w:id="265"/>
      <w:bookmarkEnd w:id="266"/>
      <w:bookmarkEnd w:id="267"/>
      <w:bookmarkEnd w:id="268"/>
      <w:bookmarkEnd w:id="269"/>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本基金本报告期末未持有金融衍生品。</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70" w:name="_Toc248233032"/>
      <w:bookmarkStart w:id="271" w:name="_Toc249790564"/>
      <w:bookmarkStart w:id="272" w:name="_Toc286929765"/>
      <w:bookmarkStart w:id="273" w:name="_Toc352256004"/>
      <w:bookmarkStart w:id="274" w:name="_Toc352256072"/>
      <w:bookmarkStart w:id="275" w:name="_Toc352331250"/>
      <w:bookmarkStart w:id="276" w:name="_Toc390164832"/>
      <w:bookmarkStart w:id="277" w:name="_Toc48659808"/>
      <w:r w:rsidRPr="0087359D">
        <w:rPr>
          <w:rFonts w:ascii="宋体" w:hAnsi="宋体"/>
          <w:kern w:val="0"/>
          <w:sz w:val="21"/>
          <w:szCs w:val="21"/>
        </w:rPr>
        <w:t>7.10</w:t>
      </w:r>
      <w:bookmarkStart w:id="278" w:name="_Toc224618385"/>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期末按公允价值占基金资产净值比例大小排序的前十名基金投资明细</w:t>
      </w:r>
      <w:bookmarkEnd w:id="270"/>
      <w:bookmarkEnd w:id="271"/>
      <w:bookmarkEnd w:id="272"/>
      <w:bookmarkEnd w:id="273"/>
      <w:bookmarkEnd w:id="274"/>
      <w:bookmarkEnd w:id="275"/>
      <w:bookmarkEnd w:id="276"/>
      <w:bookmarkEnd w:id="278"/>
      <w:bookmarkEnd w:id="277"/>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本基金本报告期末未持有基金。</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79" w:name="_Toc224618386"/>
      <w:bookmarkStart w:id="280" w:name="_Toc248233033"/>
      <w:bookmarkStart w:id="281" w:name="_Toc249790565"/>
      <w:bookmarkStart w:id="282" w:name="_Toc286929766"/>
      <w:bookmarkStart w:id="283" w:name="_Toc352256005"/>
      <w:bookmarkStart w:id="284" w:name="_Toc352256073"/>
      <w:bookmarkStart w:id="285" w:name="_Toc352331251"/>
      <w:bookmarkStart w:id="286" w:name="_Toc390164833"/>
      <w:bookmarkStart w:id="287" w:name="_Toc48659809"/>
      <w:r w:rsidRPr="0087359D">
        <w:rPr>
          <w:rFonts w:ascii="宋体" w:hAnsi="宋体"/>
          <w:kern w:val="0"/>
          <w:sz w:val="21"/>
          <w:szCs w:val="21"/>
        </w:rPr>
        <w:t>7.11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投资组合报告附注</w:t>
      </w:r>
      <w:bookmarkEnd w:id="279"/>
      <w:bookmarkEnd w:id="280"/>
      <w:bookmarkEnd w:id="281"/>
      <w:bookmarkEnd w:id="282"/>
      <w:bookmarkEnd w:id="283"/>
      <w:bookmarkEnd w:id="284"/>
      <w:bookmarkEnd w:id="285"/>
      <w:bookmarkEnd w:id="286"/>
      <w:bookmarkEnd w:id="287"/>
    </w:p>
    <w:p w:rsidR="008A5A5D" w:rsidRPr="00C24ACA" w:rsidRDefault="008A5A5D" w:rsidP="006313B1">
      <w:pPr>
        <w:spacing w:line="360" w:lineRule="auto"/>
        <w:rPr>
          <w:rFonts w:eastAsiaTheme="minorEastAsia"/>
          <w:kern w:val="0"/>
          <w:szCs w:val="21"/>
        </w:rPr>
      </w:pPr>
      <w:r w:rsidRPr="00C24ACA">
        <w:rPr>
          <w:rFonts w:eastAsiaTheme="minorEastAsia"/>
          <w:b/>
          <w:color w:val="000000"/>
          <w:szCs w:val="21"/>
        </w:rPr>
        <w:t>7.11.1</w:t>
      </w:r>
      <w:r w:rsidR="00ED31E5" w:rsidRPr="00C24ACA">
        <w:rPr>
          <w:rFonts w:eastAsiaTheme="minorEastAsia"/>
          <w:kern w:val="0"/>
          <w:szCs w:val="21"/>
        </w:rPr>
        <w:t xml:space="preserve"> </w:t>
      </w:r>
      <w:r w:rsidRPr="00C24ACA">
        <w:rPr>
          <w:rFonts w:eastAsiaTheme="minorEastAsia"/>
          <w:kern w:val="0"/>
          <w:szCs w:val="21"/>
        </w:rPr>
        <w:t>本基金投资的前十名证券的发行主体本期没有出现被监管部门立案调查，或在报告编制日前一年内受到公开谴责、处罚的情形。</w:t>
      </w:r>
    </w:p>
    <w:p w:rsidR="008A5A5D" w:rsidRPr="00C24ACA" w:rsidRDefault="008A5A5D" w:rsidP="00732F5C">
      <w:pPr>
        <w:spacing w:beforeLines="100" w:before="312" w:line="360" w:lineRule="auto"/>
        <w:rPr>
          <w:rFonts w:eastAsiaTheme="minorEastAsia"/>
          <w:kern w:val="0"/>
          <w:szCs w:val="21"/>
        </w:rPr>
      </w:pPr>
      <w:r w:rsidRPr="00C24ACA">
        <w:rPr>
          <w:rFonts w:eastAsiaTheme="minorEastAsia"/>
          <w:b/>
          <w:color w:val="000000"/>
          <w:szCs w:val="21"/>
        </w:rPr>
        <w:t>7.11.2</w:t>
      </w:r>
      <w:r w:rsidRPr="00C24ACA">
        <w:rPr>
          <w:rFonts w:eastAsiaTheme="minorEastAsia"/>
          <w:kern w:val="0"/>
          <w:szCs w:val="21"/>
        </w:rPr>
        <w:t xml:space="preserve"> </w:t>
      </w:r>
      <w:r w:rsidRPr="00C24ACA">
        <w:rPr>
          <w:rFonts w:eastAsiaTheme="minorEastAsia"/>
          <w:kern w:val="0"/>
          <w:szCs w:val="21"/>
        </w:rPr>
        <w:t>本基金本报告期没有投资股票，不存在投资的前十名股票超出基金合同规定的备选股票库情况。</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color w:val="000000"/>
          <w:szCs w:val="21"/>
        </w:rPr>
        <w:t>7.11.3</w:t>
      </w:r>
      <w:r w:rsidR="004E34BB" w:rsidRPr="00C24ACA">
        <w:rPr>
          <w:rFonts w:eastAsiaTheme="minorEastAsia"/>
          <w:b/>
          <w:szCs w:val="21"/>
        </w:rPr>
        <w:t>期末其他各项资产构成</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8A5A5D" w:rsidRPr="00C24ACA" w:rsidTr="00B73AA7">
        <w:trPr>
          <w:trHeight w:val="285"/>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序号</w:t>
            </w:r>
          </w:p>
        </w:tc>
        <w:tc>
          <w:tcPr>
            <w:tcW w:w="4431"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名称</w:t>
            </w:r>
          </w:p>
        </w:tc>
        <w:tc>
          <w:tcPr>
            <w:tcW w:w="410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1</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存出保证金</w:t>
            </w:r>
          </w:p>
        </w:tc>
        <w:tc>
          <w:tcPr>
            <w:tcW w:w="4105" w:type="dxa"/>
            <w:tcMar>
              <w:top w:w="15" w:type="dxa"/>
              <w:left w:w="15" w:type="dxa"/>
              <w:bottom w:w="0" w:type="dxa"/>
              <w:right w:w="15" w:type="dxa"/>
            </w:tcMar>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2</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应收证券清算款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3,627,394.21</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3</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应收股利</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4</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应收利息</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5,921,145.87</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5</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应收申购款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88,608.29</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6</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其他应收款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7</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待摊费用</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E87EC9" w:rsidRPr="00C24ACA" w:rsidTr="00B73AA7">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8</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其他</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w:t>
            </w:r>
          </w:p>
        </w:tc>
      </w:tr>
      <w:tr w:rsidR="00E87EC9" w:rsidRPr="00C24ACA" w:rsidTr="00B73AA7">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9</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合计</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9,637,148.37</w:t>
            </w:r>
          </w:p>
        </w:tc>
      </w:tr>
    </w:tbl>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7.11.4</w:t>
      </w:r>
      <w:r w:rsidRPr="00C24ACA">
        <w:rPr>
          <w:rFonts w:eastAsiaTheme="minorEastAsia"/>
          <w:b/>
          <w:color w:val="000000"/>
          <w:kern w:val="0"/>
          <w:szCs w:val="21"/>
        </w:rPr>
        <w:t>期末持有的处于转股期的可转换债券明细</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本基金本报告期末未持有处于转股期的可转换债券。</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7.11.5</w:t>
      </w:r>
      <w:r w:rsidRPr="00C24ACA">
        <w:rPr>
          <w:rFonts w:eastAsiaTheme="minorEastAsia"/>
          <w:b/>
          <w:color w:val="000000"/>
          <w:kern w:val="0"/>
          <w:szCs w:val="21"/>
        </w:rPr>
        <w:t>期末前十名股票中存在流通受限情况的说明</w:t>
      </w:r>
    </w:p>
    <w:p w:rsidR="008A5A5D" w:rsidRPr="001412CA" w:rsidRDefault="00DC59DF"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本基金本报告期末未持有股票。</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88" w:name="_Toc225500050"/>
      <w:bookmarkStart w:id="289" w:name="_Toc352256006"/>
      <w:bookmarkStart w:id="290" w:name="_Toc352256074"/>
      <w:bookmarkStart w:id="291" w:name="_Toc352331252"/>
      <w:bookmarkStart w:id="292" w:name="_Toc390164834"/>
      <w:bookmarkStart w:id="293" w:name="_Toc48659810"/>
      <w:r w:rsidRPr="000C6CCD">
        <w:rPr>
          <w:rFonts w:ascii="宋体" w:hAnsi="宋体"/>
          <w:bCs w:val="0"/>
          <w:color w:val="000000"/>
          <w:sz w:val="21"/>
          <w:szCs w:val="21"/>
        </w:rPr>
        <w:t>8</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基金份额持有人信息</w:t>
      </w:r>
      <w:bookmarkEnd w:id="288"/>
      <w:bookmarkEnd w:id="289"/>
      <w:bookmarkEnd w:id="290"/>
      <w:bookmarkEnd w:id="291"/>
      <w:bookmarkEnd w:id="292"/>
      <w:bookmarkEnd w:id="293"/>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94" w:name="_Toc225500051"/>
      <w:bookmarkStart w:id="295" w:name="_Toc352256007"/>
      <w:bookmarkStart w:id="296" w:name="_Toc352256075"/>
      <w:bookmarkStart w:id="297" w:name="_Toc352331253"/>
      <w:bookmarkStart w:id="298" w:name="_Toc390164835"/>
      <w:bookmarkStart w:id="299" w:name="_Toc48659811"/>
      <w:r w:rsidRPr="0087359D">
        <w:rPr>
          <w:rFonts w:ascii="宋体" w:hAnsi="宋体"/>
          <w:kern w:val="0"/>
          <w:sz w:val="21"/>
          <w:szCs w:val="21"/>
        </w:rPr>
        <w:t>8.1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期末基金份额持有人户数及持有人结构</w:t>
      </w:r>
      <w:bookmarkEnd w:id="294"/>
      <w:bookmarkEnd w:id="295"/>
      <w:bookmarkEnd w:id="296"/>
      <w:bookmarkEnd w:id="297"/>
      <w:bookmarkEnd w:id="298"/>
      <w:bookmarkEnd w:id="299"/>
    </w:p>
    <w:p w:rsidR="002716BD" w:rsidRPr="00C24ACA" w:rsidRDefault="002716BD" w:rsidP="002716BD">
      <w:pPr>
        <w:autoSpaceDE w:val="0"/>
        <w:autoSpaceDN w:val="0"/>
        <w:adjustRightInd w:val="0"/>
        <w:spacing w:before="29" w:line="360" w:lineRule="auto"/>
        <w:ind w:left="15"/>
        <w:jc w:val="right"/>
        <w:rPr>
          <w:rFonts w:eastAsiaTheme="minorEastAsia"/>
          <w:color w:val="000000"/>
          <w:szCs w:val="21"/>
        </w:rPr>
      </w:pPr>
      <w:bookmarkStart w:id="300" w:name="_Toc352256008"/>
      <w:bookmarkStart w:id="301" w:name="_Toc352256076"/>
      <w:bookmarkStart w:id="302" w:name="_Toc352331254"/>
      <w:r w:rsidRPr="00C24ACA">
        <w:rPr>
          <w:rFonts w:eastAsiaTheme="minor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66"/>
        <w:gridCol w:w="1158"/>
        <w:gridCol w:w="1259"/>
        <w:gridCol w:w="1512"/>
        <w:gridCol w:w="971"/>
        <w:gridCol w:w="1543"/>
        <w:gridCol w:w="969"/>
      </w:tblGrid>
      <w:tr w:rsidR="002716BD" w:rsidRPr="00C24ACA" w:rsidTr="004322C7">
        <w:tc>
          <w:tcPr>
            <w:tcW w:w="964"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szCs w:val="21"/>
              </w:rPr>
              <w:t>份额级别</w:t>
            </w:r>
          </w:p>
        </w:tc>
        <w:tc>
          <w:tcPr>
            <w:tcW w:w="633"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持有人户数</w:t>
            </w:r>
            <w:r w:rsidRPr="00C24ACA">
              <w:rPr>
                <w:rFonts w:eastAsiaTheme="minorEastAsia"/>
                <w:bCs/>
                <w:color w:val="000000"/>
                <w:szCs w:val="21"/>
              </w:rPr>
              <w:t>(</w:t>
            </w:r>
            <w:r w:rsidRPr="00C24ACA">
              <w:rPr>
                <w:rFonts w:eastAsiaTheme="minorEastAsia"/>
                <w:bCs/>
                <w:color w:val="000000"/>
                <w:szCs w:val="21"/>
              </w:rPr>
              <w:t>户</w:t>
            </w:r>
            <w:r w:rsidRPr="00C24ACA">
              <w:rPr>
                <w:rFonts w:eastAsiaTheme="minorEastAsia"/>
                <w:bCs/>
                <w:color w:val="000000"/>
                <w:szCs w:val="21"/>
              </w:rPr>
              <w:t>)</w:t>
            </w:r>
          </w:p>
        </w:tc>
        <w:tc>
          <w:tcPr>
            <w:tcW w:w="688"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户均持有的基金份额</w:t>
            </w:r>
          </w:p>
        </w:tc>
        <w:tc>
          <w:tcPr>
            <w:tcW w:w="2715" w:type="pct"/>
            <w:gridSpan w:val="4"/>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持有人结构</w:t>
            </w:r>
          </w:p>
        </w:tc>
      </w:tr>
      <w:tr w:rsidR="002716BD" w:rsidRPr="00C24ACA" w:rsidTr="004322C7">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1357"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机构投资者</w:t>
            </w:r>
          </w:p>
        </w:tc>
        <w:tc>
          <w:tcPr>
            <w:tcW w:w="1358"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个人投资者</w:t>
            </w:r>
          </w:p>
        </w:tc>
      </w:tr>
      <w:tr w:rsidR="002716BD" w:rsidRPr="00C24ACA" w:rsidTr="004322C7">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826"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31"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c>
          <w:tcPr>
            <w:tcW w:w="84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15"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r>
      <w:tr w:rsidR="002716BD" w:rsidRPr="00C24ACA" w:rsidTr="004322C7">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易方达中短期美元债债券（</w:t>
            </w:r>
            <w:r w:rsidRPr="00C24ACA">
              <w:rPr>
                <w:rFonts w:eastAsiaTheme="minorEastAsia"/>
                <w:bCs/>
                <w:color w:val="000000"/>
                <w:szCs w:val="21"/>
              </w:rPr>
              <w:t>QDII</w:t>
            </w:r>
            <w:r w:rsidRPr="00C24ACA">
              <w:rPr>
                <w:rFonts w:eastAsiaTheme="minorEastAsia"/>
                <w:bCs/>
                <w:color w:val="000000"/>
                <w:szCs w:val="21"/>
              </w:rPr>
              <w:t>）</w:t>
            </w:r>
            <w:r w:rsidRPr="00C24ACA">
              <w:rPr>
                <w:rFonts w:eastAsiaTheme="minorEastAsia"/>
                <w:bCs/>
                <w:color w:val="000000"/>
                <w:szCs w:val="21"/>
              </w:rPr>
              <w:t>A</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1,657</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199,717.03</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19,497,877.77</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5.89%</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311,433,235.57</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94.11%</w:t>
            </w:r>
          </w:p>
        </w:tc>
      </w:tr>
      <w:tr w:rsidR="002716BD" w:rsidRPr="00C24ACA" w:rsidTr="004322C7">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易方达中短期美元债债券（</w:t>
            </w:r>
            <w:r w:rsidRPr="00C24ACA">
              <w:rPr>
                <w:rFonts w:eastAsiaTheme="minorEastAsia"/>
                <w:bCs/>
                <w:color w:val="000000"/>
                <w:szCs w:val="21"/>
              </w:rPr>
              <w:t>QDII</w:t>
            </w:r>
            <w:r w:rsidRPr="00C24ACA">
              <w:rPr>
                <w:rFonts w:eastAsiaTheme="minorEastAsia"/>
                <w:bCs/>
                <w:color w:val="000000"/>
                <w:szCs w:val="21"/>
              </w:rPr>
              <w:t>）</w:t>
            </w:r>
            <w:r w:rsidRPr="00C24ACA">
              <w:rPr>
                <w:rFonts w:eastAsiaTheme="minorEastAsia"/>
                <w:bCs/>
                <w:color w:val="000000"/>
                <w:szCs w:val="21"/>
              </w:rPr>
              <w:t>C</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955</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166,589.57</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159,093,038.90</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100.00%</w:t>
            </w:r>
          </w:p>
        </w:tc>
      </w:tr>
      <w:tr w:rsidR="002716BD" w:rsidRPr="00C24ACA" w:rsidTr="004322C7">
        <w:tc>
          <w:tcPr>
            <w:tcW w:w="964" w:type="pct"/>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合计</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2,612</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187,604.96</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19,497,877.77</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3.98%</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470,526,274.47</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96.02%</w:t>
            </w:r>
          </w:p>
        </w:tc>
      </w:tr>
    </w:tbl>
    <w:p w:rsidR="002716BD" w:rsidRPr="001412CA" w:rsidRDefault="002716BD"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注：易方达中短期美元债债券（</w:t>
      </w:r>
      <w:r w:rsidRPr="001412CA">
        <w:rPr>
          <w:rFonts w:eastAsiaTheme="minorEastAsia"/>
          <w:kern w:val="0"/>
          <w:szCs w:val="21"/>
        </w:rPr>
        <w:t>QDII</w:t>
      </w:r>
      <w:r w:rsidRPr="001412CA">
        <w:rPr>
          <w:rFonts w:eastAsiaTheme="minorEastAsia"/>
          <w:kern w:val="0"/>
          <w:szCs w:val="21"/>
        </w:rPr>
        <w:t>）</w:t>
      </w:r>
      <w:r w:rsidRPr="001412CA">
        <w:rPr>
          <w:rFonts w:eastAsiaTheme="minorEastAsia"/>
          <w:kern w:val="0"/>
          <w:szCs w:val="21"/>
        </w:rPr>
        <w:t>A</w:t>
      </w:r>
      <w:r w:rsidRPr="001412CA">
        <w:rPr>
          <w:rFonts w:eastAsiaTheme="minorEastAsia"/>
          <w:kern w:val="0"/>
          <w:szCs w:val="21"/>
        </w:rPr>
        <w:t>的持有人户数及结构含</w:t>
      </w:r>
      <w:r w:rsidRPr="001412CA">
        <w:rPr>
          <w:rFonts w:eastAsiaTheme="minorEastAsia"/>
          <w:kern w:val="0"/>
          <w:szCs w:val="21"/>
        </w:rPr>
        <w:t>A</w:t>
      </w:r>
      <w:r w:rsidRPr="001412CA">
        <w:rPr>
          <w:rFonts w:eastAsiaTheme="minorEastAsia"/>
          <w:kern w:val="0"/>
          <w:szCs w:val="21"/>
        </w:rPr>
        <w:t>类人民币份额、</w:t>
      </w:r>
      <w:r w:rsidRPr="001412CA">
        <w:rPr>
          <w:rFonts w:eastAsiaTheme="minorEastAsia"/>
          <w:kern w:val="0"/>
          <w:szCs w:val="21"/>
        </w:rPr>
        <w:t>A</w:t>
      </w:r>
      <w:r w:rsidRPr="001412CA">
        <w:rPr>
          <w:rFonts w:eastAsiaTheme="minorEastAsia"/>
          <w:kern w:val="0"/>
          <w:szCs w:val="21"/>
        </w:rPr>
        <w:t>类美元份额；易方达中短期美元债债券（</w:t>
      </w:r>
      <w:r w:rsidRPr="001412CA">
        <w:rPr>
          <w:rFonts w:eastAsiaTheme="minorEastAsia"/>
          <w:kern w:val="0"/>
          <w:szCs w:val="21"/>
        </w:rPr>
        <w:t>QDII</w:t>
      </w:r>
      <w:r w:rsidRPr="001412CA">
        <w:rPr>
          <w:rFonts w:eastAsiaTheme="minorEastAsia"/>
          <w:kern w:val="0"/>
          <w:szCs w:val="21"/>
        </w:rPr>
        <w:t>）</w:t>
      </w:r>
      <w:r w:rsidRPr="001412CA">
        <w:rPr>
          <w:rFonts w:eastAsiaTheme="minorEastAsia"/>
          <w:kern w:val="0"/>
          <w:szCs w:val="21"/>
        </w:rPr>
        <w:t>C</w:t>
      </w:r>
      <w:r w:rsidRPr="001412CA">
        <w:rPr>
          <w:rFonts w:eastAsiaTheme="minorEastAsia"/>
          <w:kern w:val="0"/>
          <w:szCs w:val="21"/>
        </w:rPr>
        <w:t>的持有人户数及结构含</w:t>
      </w:r>
      <w:r w:rsidRPr="001412CA">
        <w:rPr>
          <w:rFonts w:eastAsiaTheme="minorEastAsia"/>
          <w:kern w:val="0"/>
          <w:szCs w:val="21"/>
        </w:rPr>
        <w:t>C</w:t>
      </w:r>
      <w:r w:rsidRPr="001412CA">
        <w:rPr>
          <w:rFonts w:eastAsiaTheme="minorEastAsia"/>
          <w:kern w:val="0"/>
          <w:szCs w:val="21"/>
        </w:rPr>
        <w:t>类人民币份额、</w:t>
      </w:r>
      <w:r w:rsidRPr="001412CA">
        <w:rPr>
          <w:rFonts w:eastAsiaTheme="minorEastAsia"/>
          <w:kern w:val="0"/>
          <w:szCs w:val="21"/>
        </w:rPr>
        <w:t>C</w:t>
      </w:r>
      <w:r w:rsidRPr="001412CA">
        <w:rPr>
          <w:rFonts w:eastAsiaTheme="minorEastAsia"/>
          <w:kern w:val="0"/>
          <w:szCs w:val="21"/>
        </w:rPr>
        <w:t>类美元份额。</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03" w:name="_Toc390164837"/>
      <w:bookmarkStart w:id="304" w:name="_Toc48659812"/>
      <w:r w:rsidRPr="0087359D">
        <w:rPr>
          <w:rFonts w:ascii="宋体" w:hAnsi="宋体"/>
          <w:kern w:val="0"/>
          <w:sz w:val="21"/>
          <w:szCs w:val="21"/>
        </w:rPr>
        <w:t>8.2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期末基金管理人的从业人员持有本基金的情况</w:t>
      </w:r>
      <w:bookmarkEnd w:id="300"/>
      <w:bookmarkEnd w:id="301"/>
      <w:bookmarkEnd w:id="302"/>
      <w:bookmarkEnd w:id="303"/>
      <w:bookmarkEnd w:id="304"/>
    </w:p>
    <w:tbl>
      <w:tblPr>
        <w:tblStyle w:val="af7"/>
        <w:tblW w:w="0" w:type="auto"/>
        <w:tblInd w:w="108" w:type="dxa"/>
        <w:tblLayout w:type="fixed"/>
        <w:tblLook w:val="04A0" w:firstRow="1" w:lastRow="0" w:firstColumn="1" w:lastColumn="0" w:noHBand="0" w:noVBand="1"/>
      </w:tblPr>
      <w:tblGrid>
        <w:gridCol w:w="2321"/>
        <w:gridCol w:w="2321"/>
        <w:gridCol w:w="2322"/>
        <w:gridCol w:w="2322"/>
      </w:tblGrid>
      <w:tr w:rsidR="00232443" w:rsidRPr="00C24ACA" w:rsidTr="005C3575">
        <w:tc>
          <w:tcPr>
            <w:tcW w:w="2321" w:type="dxa"/>
            <w:vAlign w:val="center"/>
          </w:tcPr>
          <w:p w:rsidR="00232443" w:rsidRPr="00C24ACA" w:rsidRDefault="00232443" w:rsidP="005C3575">
            <w:pPr>
              <w:pStyle w:val="a0"/>
              <w:ind w:firstLineChars="0" w:firstLine="0"/>
              <w:jc w:val="center"/>
              <w:rPr>
                <w:rFonts w:eastAsiaTheme="minorEastAsia"/>
                <w:szCs w:val="21"/>
              </w:rPr>
            </w:pPr>
            <w:bookmarkStart w:id="305" w:name="_Toc286911325"/>
            <w:bookmarkStart w:id="306" w:name="_Toc247957892"/>
            <w:r w:rsidRPr="00C24ACA">
              <w:rPr>
                <w:rFonts w:eastAsiaTheme="minorEastAsia"/>
                <w:szCs w:val="21"/>
              </w:rPr>
              <w:t>项目</w:t>
            </w:r>
          </w:p>
        </w:tc>
        <w:tc>
          <w:tcPr>
            <w:tcW w:w="2321"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份额级别</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持有份额总数（份）</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占基金总份额比例</w:t>
            </w:r>
          </w:p>
        </w:tc>
      </w:tr>
      <w:tr w:rsidR="00232443" w:rsidRPr="00C24ACA" w:rsidTr="005C3575">
        <w:tc>
          <w:tcPr>
            <w:tcW w:w="2321" w:type="dxa"/>
            <w:vMerge w:val="restart"/>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color w:val="000000"/>
                <w:szCs w:val="21"/>
              </w:rPr>
              <w:t>基金管理人所有从业人员持有本基金</w:t>
            </w: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易方达中短期美元债债券（</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3,289.19</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0.0010%</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易方达中短期美元债债券（</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887,039.60</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0.5576%</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widowControl/>
              <w:jc w:val="center"/>
              <w:rPr>
                <w:rFonts w:eastAsiaTheme="minorEastAsia"/>
                <w:color w:val="000000"/>
                <w:kern w:val="0"/>
                <w:szCs w:val="21"/>
              </w:rPr>
            </w:pPr>
            <w:r w:rsidRPr="00C24ACA">
              <w:rPr>
                <w:rFonts w:eastAsiaTheme="minorEastAsia"/>
                <w:color w:val="000000"/>
                <w:kern w:val="0"/>
                <w:szCs w:val="21"/>
              </w:rPr>
              <w:t>合计</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890,328.79</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0.1817%</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注：基金管理人的从业人员持有的易方达中短期美元债债券（</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类份额含</w:t>
      </w:r>
      <w:r w:rsidRPr="00C24ACA">
        <w:rPr>
          <w:rFonts w:eastAsiaTheme="minorEastAsia"/>
          <w:kern w:val="0"/>
          <w:szCs w:val="21"/>
        </w:rPr>
        <w:t>A</w:t>
      </w:r>
      <w:r w:rsidRPr="00C24ACA">
        <w:rPr>
          <w:rFonts w:eastAsiaTheme="minorEastAsia"/>
          <w:kern w:val="0"/>
          <w:szCs w:val="21"/>
        </w:rPr>
        <w:t>类人民币份额及</w:t>
      </w:r>
      <w:r w:rsidRPr="00C24ACA">
        <w:rPr>
          <w:rFonts w:eastAsiaTheme="minorEastAsia"/>
          <w:kern w:val="0"/>
          <w:szCs w:val="21"/>
        </w:rPr>
        <w:t>A</w:t>
      </w:r>
      <w:r w:rsidRPr="00C24ACA">
        <w:rPr>
          <w:rFonts w:eastAsiaTheme="minorEastAsia"/>
          <w:kern w:val="0"/>
          <w:szCs w:val="21"/>
        </w:rPr>
        <w:t>类美元现汇份额；易方达中短期美元债债券（</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类份额含</w:t>
      </w:r>
      <w:r w:rsidRPr="00C24ACA">
        <w:rPr>
          <w:rFonts w:eastAsiaTheme="minorEastAsia"/>
          <w:kern w:val="0"/>
          <w:szCs w:val="21"/>
        </w:rPr>
        <w:t>C</w:t>
      </w:r>
      <w:r w:rsidRPr="00C24ACA">
        <w:rPr>
          <w:rFonts w:eastAsiaTheme="minorEastAsia"/>
          <w:kern w:val="0"/>
          <w:szCs w:val="21"/>
        </w:rPr>
        <w:t>类人民币份额和</w:t>
      </w:r>
      <w:r w:rsidRPr="00C24ACA">
        <w:rPr>
          <w:rFonts w:eastAsiaTheme="minorEastAsia"/>
          <w:kern w:val="0"/>
          <w:szCs w:val="21"/>
        </w:rPr>
        <w:t>C</w:t>
      </w:r>
      <w:r w:rsidRPr="00C24ACA">
        <w:rPr>
          <w:rFonts w:eastAsiaTheme="minorEastAsia"/>
          <w:kern w:val="0"/>
          <w:szCs w:val="21"/>
        </w:rPr>
        <w:t>类美元现汇份额。</w:t>
      </w:r>
      <w:bookmarkEnd w:id="305"/>
      <w:bookmarkEnd w:id="306"/>
    </w:p>
    <w:p w:rsidR="000B6328" w:rsidRPr="00A317EA" w:rsidRDefault="00251D61" w:rsidP="00732F5C">
      <w:pPr>
        <w:pStyle w:val="20"/>
        <w:spacing w:beforeLines="100" w:before="312" w:after="0"/>
        <w:rPr>
          <w:rFonts w:ascii="Times New Roman" w:eastAsiaTheme="minorEastAsia" w:hAnsi="Times New Roman"/>
          <w:kern w:val="0"/>
          <w:sz w:val="21"/>
          <w:szCs w:val="21"/>
        </w:rPr>
      </w:pPr>
      <w:bookmarkStart w:id="307" w:name="_Toc48659813"/>
      <w:r w:rsidRPr="0087359D">
        <w:rPr>
          <w:rFonts w:ascii="宋体" w:hAnsi="宋体"/>
          <w:kern w:val="0"/>
          <w:sz w:val="21"/>
          <w:szCs w:val="21"/>
        </w:rPr>
        <w:t>8.3</w:t>
      </w:r>
      <w:r w:rsidR="00982AAE" w:rsidRPr="009A2157">
        <w:rPr>
          <w:rFonts w:ascii="Times New Roman" w:eastAsiaTheme="minorEastAsia" w:hAnsi="Times New Roman"/>
          <w:kern w:val="0"/>
          <w:sz w:val="21"/>
          <w:szCs w:val="21"/>
        </w:rPr>
        <w:t xml:space="preserve">   </w:t>
      </w:r>
      <w:r w:rsidR="000B6328" w:rsidRPr="00A317EA">
        <w:rPr>
          <w:rFonts w:ascii="Times New Roman" w:eastAsiaTheme="minorEastAsia" w:hAnsi="Times New Roman"/>
          <w:kern w:val="0"/>
          <w:sz w:val="21"/>
          <w:szCs w:val="21"/>
        </w:rPr>
        <w:t>期末基金管理人的从业人员持有本开放式基金份额总量区间的情况</w:t>
      </w:r>
      <w:bookmarkEnd w:id="3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232443" w:rsidRPr="00C24ACA" w:rsidTr="004322C7">
        <w:trPr>
          <w:trHeight w:val="285"/>
        </w:trPr>
        <w:tc>
          <w:tcPr>
            <w:tcW w:w="2548"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项目</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份额级别</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持有基金份额总量的数量区间（万份）</w:t>
            </w:r>
          </w:p>
        </w:tc>
      </w:tr>
      <w:tr w:rsidR="00232443" w:rsidRPr="00C24ACA" w:rsidTr="004322C7">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本公司高级管理人员、基金投资和研究部门负责人</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易方达中短期美元债债券（</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易方达中短期美元债债券（</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本基金基金经理</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易方达中短期美元债债券（</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52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易方达中短期美元债债券（</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10~50</w:t>
            </w:r>
          </w:p>
        </w:tc>
      </w:tr>
      <w:tr w:rsidR="00232443" w:rsidRPr="00C24ACA" w:rsidTr="004322C7">
        <w:trPr>
          <w:trHeight w:val="653"/>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10~50</w:t>
            </w:r>
          </w:p>
        </w:tc>
      </w:tr>
    </w:tbl>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08" w:name="_Toc225500053"/>
      <w:bookmarkStart w:id="309" w:name="_Toc352256009"/>
      <w:bookmarkStart w:id="310" w:name="_Toc352256077"/>
      <w:bookmarkStart w:id="311" w:name="_Toc352331255"/>
      <w:bookmarkStart w:id="312" w:name="_Toc390164839"/>
      <w:bookmarkStart w:id="313" w:name="_Toc48659814"/>
      <w:r w:rsidRPr="00A432E9">
        <w:rPr>
          <w:rFonts w:ascii="Times New Roman" w:hAnsi="Times New Roman"/>
          <w:bCs w:val="0"/>
          <w:color w:val="000000"/>
          <w:sz w:val="21"/>
          <w:szCs w:val="21"/>
        </w:rPr>
        <w:t>9</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开放式基金份额变动</w:t>
      </w:r>
      <w:bookmarkEnd w:id="308"/>
      <w:bookmarkEnd w:id="309"/>
      <w:bookmarkEnd w:id="310"/>
      <w:bookmarkEnd w:id="311"/>
      <w:bookmarkEnd w:id="312"/>
      <w:bookmarkEnd w:id="313"/>
    </w:p>
    <w:p w:rsidR="008A5A5D" w:rsidRPr="00C24ACA" w:rsidRDefault="008A5A5D" w:rsidP="002116B9">
      <w:pPr>
        <w:jc w:val="right"/>
        <w:rPr>
          <w:rFonts w:eastAsiaTheme="minorEastAsia"/>
          <w:szCs w:val="21"/>
        </w:rPr>
      </w:pPr>
      <w:r w:rsidRPr="00C24ACA">
        <w:rPr>
          <w:rFonts w:eastAsiaTheme="minorEastAsia"/>
          <w:szCs w:val="21"/>
        </w:rPr>
        <w:t>单位：份</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DE1120" w:rsidRPr="00C24ACA" w:rsidTr="005C3575">
        <w:tc>
          <w:tcPr>
            <w:tcW w:w="1771" w:type="pct"/>
            <w:vAlign w:val="center"/>
          </w:tcPr>
          <w:p w:rsidR="00DE1120" w:rsidRPr="00C24ACA" w:rsidRDefault="00DE1120" w:rsidP="005C3575">
            <w:pPr>
              <w:jc w:val="center"/>
              <w:rPr>
                <w:rFonts w:eastAsiaTheme="minorEastAsia"/>
                <w:szCs w:val="21"/>
              </w:rPr>
            </w:pPr>
            <w:r w:rsidRPr="00C24ACA">
              <w:rPr>
                <w:rFonts w:eastAsiaTheme="minorEastAsia"/>
                <w:szCs w:val="21"/>
              </w:rPr>
              <w:t>项目</w:t>
            </w:r>
          </w:p>
        </w:tc>
        <w:tc>
          <w:tcPr>
            <w:tcW w:w="1614"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易方达中短期美元债债券（</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1615"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易方达中短期美元债债券（</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DE1120" w:rsidRPr="00C24ACA" w:rsidTr="005C3575">
        <w:tc>
          <w:tcPr>
            <w:tcW w:w="1771" w:type="pct"/>
          </w:tcPr>
          <w:p w:rsidR="00DE1120" w:rsidRPr="00C24ACA" w:rsidRDefault="00DE1120" w:rsidP="005C3575">
            <w:pPr>
              <w:rPr>
                <w:rFonts w:eastAsiaTheme="minorEastAsia"/>
                <w:szCs w:val="21"/>
              </w:rPr>
            </w:pPr>
            <w:r w:rsidRPr="00C24ACA">
              <w:rPr>
                <w:rFonts w:eastAsiaTheme="minorEastAsia"/>
                <w:szCs w:val="21"/>
              </w:rPr>
              <w:t>基金合同生效日（</w:t>
            </w:r>
            <w:r w:rsidRPr="00C24ACA">
              <w:rPr>
                <w:rFonts w:eastAsiaTheme="minorEastAsia"/>
                <w:szCs w:val="21"/>
              </w:rPr>
              <w:t>2019</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5</w:t>
            </w:r>
            <w:r w:rsidRPr="00C24ACA">
              <w:rPr>
                <w:rFonts w:eastAsiaTheme="minorEastAsia"/>
                <w:szCs w:val="21"/>
              </w:rPr>
              <w:t>日）基金份额总额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293,448,453.93</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223,231,564.71</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本报告期期初基金份额总额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447,549,649.63</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245,458,331.64</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本报告期基金总申购份额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70,086,526.12</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55,271,891.28</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减：本报告期基金总赎回份额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186,705,062.41</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141,637,184.02</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本报告期基金拆分变动份额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本报告期期末基金份额总额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330,931,113.34</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159,093,038.90</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注：易方达中短期美元债债券型证券投资基金（</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份额变动含</w:t>
      </w:r>
      <w:r w:rsidRPr="00C24ACA">
        <w:rPr>
          <w:rFonts w:eastAsiaTheme="minorEastAsia"/>
          <w:kern w:val="0"/>
          <w:szCs w:val="21"/>
        </w:rPr>
        <w:t>A</w:t>
      </w:r>
      <w:r w:rsidRPr="00C24ACA">
        <w:rPr>
          <w:rFonts w:eastAsiaTheme="minorEastAsia"/>
          <w:kern w:val="0"/>
          <w:szCs w:val="21"/>
        </w:rPr>
        <w:t>类人民币份额及</w:t>
      </w:r>
      <w:r w:rsidRPr="00C24ACA">
        <w:rPr>
          <w:rFonts w:eastAsiaTheme="minorEastAsia"/>
          <w:kern w:val="0"/>
          <w:szCs w:val="21"/>
        </w:rPr>
        <w:t>A</w:t>
      </w:r>
      <w:r w:rsidRPr="00C24ACA">
        <w:rPr>
          <w:rFonts w:eastAsiaTheme="minorEastAsia"/>
          <w:kern w:val="0"/>
          <w:szCs w:val="21"/>
        </w:rPr>
        <w:t>类美元份额；易方达中短期美元债债券型证券投资基金（</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份额变动含</w:t>
      </w:r>
      <w:r w:rsidRPr="00C24ACA">
        <w:rPr>
          <w:rFonts w:eastAsiaTheme="minorEastAsia"/>
          <w:kern w:val="0"/>
          <w:szCs w:val="21"/>
        </w:rPr>
        <w:t>C</w:t>
      </w:r>
      <w:r w:rsidRPr="00C24ACA">
        <w:rPr>
          <w:rFonts w:eastAsiaTheme="minorEastAsia"/>
          <w:kern w:val="0"/>
          <w:szCs w:val="21"/>
        </w:rPr>
        <w:t>类人民币份额及</w:t>
      </w:r>
      <w:r w:rsidRPr="00C24ACA">
        <w:rPr>
          <w:rFonts w:eastAsiaTheme="minorEastAsia"/>
          <w:kern w:val="0"/>
          <w:szCs w:val="21"/>
        </w:rPr>
        <w:t>C</w:t>
      </w:r>
      <w:r w:rsidRPr="00C24ACA">
        <w:rPr>
          <w:rFonts w:eastAsiaTheme="minorEastAsia"/>
          <w:kern w:val="0"/>
          <w:szCs w:val="21"/>
        </w:rPr>
        <w:t>类美元份额。</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14" w:name="_Toc225500054"/>
      <w:bookmarkStart w:id="315" w:name="_Toc352256010"/>
      <w:bookmarkStart w:id="316" w:name="_Toc352256078"/>
      <w:bookmarkStart w:id="317" w:name="_Toc352331256"/>
      <w:bookmarkStart w:id="318" w:name="_Toc390164840"/>
      <w:bookmarkStart w:id="319" w:name="_Toc48659815"/>
      <w:r w:rsidRPr="000C6CCD">
        <w:rPr>
          <w:rFonts w:ascii="宋体" w:hAnsi="宋体"/>
          <w:bCs w:val="0"/>
          <w:color w:val="000000"/>
          <w:sz w:val="21"/>
          <w:szCs w:val="21"/>
        </w:rPr>
        <w:t>10</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重大事件揭示</w:t>
      </w:r>
      <w:bookmarkEnd w:id="314"/>
      <w:bookmarkEnd w:id="315"/>
      <w:bookmarkEnd w:id="316"/>
      <w:bookmarkEnd w:id="317"/>
      <w:bookmarkEnd w:id="318"/>
      <w:bookmarkEnd w:id="319"/>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20" w:name="_Toc352256011"/>
      <w:bookmarkStart w:id="321" w:name="_Toc352256079"/>
      <w:bookmarkStart w:id="322" w:name="_Toc352331257"/>
      <w:bookmarkStart w:id="323" w:name="_Toc390164841"/>
      <w:bookmarkStart w:id="324" w:name="_Toc48659816"/>
      <w:r w:rsidRPr="0087359D">
        <w:rPr>
          <w:rFonts w:ascii="宋体" w:hAnsi="宋体"/>
          <w:kern w:val="0"/>
          <w:sz w:val="21"/>
          <w:szCs w:val="21"/>
        </w:rPr>
        <w:t>10.</w:t>
      </w:r>
      <w:r w:rsidR="00F0322F">
        <w:rPr>
          <w:rFonts w:ascii="宋体" w:hAnsi="宋体" w:hint="eastAsia"/>
          <w:kern w:val="0"/>
          <w:sz w:val="21"/>
          <w:szCs w:val="21"/>
        </w:rPr>
        <w:t>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基金份额持有人大会决议</w:t>
      </w:r>
      <w:bookmarkEnd w:id="320"/>
      <w:bookmarkEnd w:id="321"/>
      <w:bookmarkEnd w:id="322"/>
      <w:bookmarkEnd w:id="323"/>
      <w:bookmarkEnd w:id="324"/>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本报告期内未召开基金份额持有人大会。</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25" w:name="_Toc352256012"/>
      <w:bookmarkStart w:id="326" w:name="_Toc352256080"/>
      <w:bookmarkStart w:id="327" w:name="_Toc352331258"/>
      <w:bookmarkStart w:id="328" w:name="_Toc390164842"/>
      <w:bookmarkStart w:id="329" w:name="_Toc48659817"/>
      <w:r w:rsidRPr="0087359D">
        <w:rPr>
          <w:rFonts w:ascii="宋体" w:hAnsi="宋体"/>
          <w:kern w:val="0"/>
          <w:sz w:val="21"/>
          <w:szCs w:val="21"/>
        </w:rPr>
        <w:t>10.</w:t>
      </w:r>
      <w:r>
        <w:rPr>
          <w:rFonts w:ascii="宋体" w:hAnsi="宋体" w:hint="eastAsia"/>
          <w:kern w:val="0"/>
          <w:sz w:val="21"/>
          <w:szCs w:val="21"/>
        </w:rPr>
        <w:t>2</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基金管理人、基金托管人的专门基金托管部门的重大人事变动</w:t>
      </w:r>
      <w:bookmarkEnd w:id="325"/>
      <w:bookmarkEnd w:id="326"/>
      <w:bookmarkEnd w:id="327"/>
      <w:bookmarkEnd w:id="328"/>
      <w:bookmarkEnd w:id="329"/>
    </w:p>
    <w:p w:rsidR="008E5B30" w:rsidRDefault="00013397">
      <w:pPr>
        <w:widowControl/>
        <w:spacing w:line="360" w:lineRule="auto"/>
        <w:ind w:firstLineChars="200" w:firstLine="420"/>
        <w:rPr>
          <w:rFonts w:eastAsiaTheme="minorEastAsia"/>
          <w:kern w:val="0"/>
          <w:szCs w:val="21"/>
        </w:rPr>
      </w:pPr>
      <w:r>
        <w:rPr>
          <w:rFonts w:eastAsiaTheme="minorEastAsia"/>
          <w:kern w:val="0"/>
          <w:szCs w:val="21"/>
        </w:rPr>
        <w:t>本基金管理人于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日发布公告，自</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日起聘任张坤先生、陈丽园女士担任公司副总经理级高级管理人员。</w:t>
      </w:r>
    </w:p>
    <w:p w:rsidR="008A5A5D" w:rsidRPr="00C24ACA" w:rsidRDefault="008A5A5D" w:rsidP="008134C7">
      <w:pPr>
        <w:widowControl/>
        <w:spacing w:line="360" w:lineRule="auto"/>
        <w:ind w:firstLineChars="200" w:firstLine="420"/>
        <w:rPr>
          <w:rFonts w:eastAsiaTheme="minorEastAsia"/>
          <w:kern w:val="0"/>
          <w:szCs w:val="21"/>
        </w:rPr>
      </w:pPr>
      <w:r w:rsidRPr="00C24ACA">
        <w:rPr>
          <w:rFonts w:eastAsiaTheme="minorEastAsia"/>
          <w:kern w:val="0"/>
          <w:szCs w:val="21"/>
        </w:rPr>
        <w:t>本报告期内本基金托管人的专门基金托管部门未发生重大人事变动。</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30" w:name="_Toc352256013"/>
      <w:bookmarkStart w:id="331" w:name="_Toc352256081"/>
      <w:bookmarkStart w:id="332" w:name="_Toc352331259"/>
      <w:bookmarkStart w:id="333" w:name="_Toc390164843"/>
      <w:bookmarkStart w:id="334" w:name="_Toc48659818"/>
      <w:r w:rsidRPr="0087359D">
        <w:rPr>
          <w:rFonts w:ascii="宋体" w:hAnsi="宋体"/>
          <w:kern w:val="0"/>
          <w:sz w:val="21"/>
          <w:szCs w:val="21"/>
        </w:rPr>
        <w:t>10.</w:t>
      </w:r>
      <w:r>
        <w:rPr>
          <w:rFonts w:ascii="宋体" w:hAnsi="宋体" w:hint="eastAsia"/>
          <w:kern w:val="0"/>
          <w:sz w:val="21"/>
          <w:szCs w:val="21"/>
        </w:rPr>
        <w:t>3</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涉及基金管理人、基金财产、基金托管业务的诉讼</w:t>
      </w:r>
      <w:bookmarkEnd w:id="330"/>
      <w:bookmarkEnd w:id="331"/>
      <w:bookmarkEnd w:id="332"/>
      <w:bookmarkEnd w:id="333"/>
      <w:bookmarkEnd w:id="334"/>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本报告期内无涉及本基金管理人、基金财产、基金托管业务的诉讼事项。</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35" w:name="_Toc352256014"/>
      <w:bookmarkStart w:id="336" w:name="_Toc352256082"/>
      <w:bookmarkStart w:id="337" w:name="_Toc352331260"/>
      <w:bookmarkStart w:id="338" w:name="_Toc390164844"/>
      <w:bookmarkStart w:id="339" w:name="_Toc48659819"/>
      <w:r w:rsidRPr="0087359D">
        <w:rPr>
          <w:rFonts w:ascii="宋体" w:hAnsi="宋体"/>
          <w:kern w:val="0"/>
          <w:sz w:val="21"/>
          <w:szCs w:val="21"/>
        </w:rPr>
        <w:t>10.</w:t>
      </w:r>
      <w:r>
        <w:rPr>
          <w:rFonts w:ascii="宋体" w:hAnsi="宋体" w:hint="eastAsia"/>
          <w:kern w:val="0"/>
          <w:sz w:val="21"/>
          <w:szCs w:val="21"/>
        </w:rPr>
        <w:t>4</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基金投资策略的改变</w:t>
      </w:r>
      <w:bookmarkEnd w:id="335"/>
      <w:bookmarkEnd w:id="336"/>
      <w:bookmarkEnd w:id="337"/>
      <w:bookmarkEnd w:id="338"/>
      <w:bookmarkEnd w:id="339"/>
    </w:p>
    <w:p w:rsidR="00F0322F" w:rsidRPr="00F13227" w:rsidRDefault="008A5A5D" w:rsidP="00F0322F">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本报告期内本基金的投资策略未有重大变化。</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40" w:name="_Toc352256015"/>
      <w:bookmarkStart w:id="341" w:name="_Toc352256083"/>
      <w:bookmarkStart w:id="342" w:name="_Toc352331261"/>
      <w:bookmarkStart w:id="343" w:name="_Toc390164845"/>
      <w:bookmarkStart w:id="344" w:name="_Toc48659820"/>
      <w:r w:rsidRPr="0087359D">
        <w:rPr>
          <w:rFonts w:ascii="宋体" w:hAnsi="宋体"/>
          <w:kern w:val="0"/>
          <w:sz w:val="21"/>
          <w:szCs w:val="21"/>
        </w:rPr>
        <w:t>10.</w:t>
      </w:r>
      <w:r>
        <w:rPr>
          <w:rFonts w:ascii="宋体" w:hAnsi="宋体" w:hint="eastAsia"/>
          <w:kern w:val="0"/>
          <w:sz w:val="21"/>
          <w:szCs w:val="21"/>
        </w:rPr>
        <w:t>5</w:t>
      </w:r>
      <w:r w:rsidR="00982AAE" w:rsidRPr="009A2157">
        <w:rPr>
          <w:rFonts w:ascii="Times New Roman" w:eastAsiaTheme="minorEastAsia" w:hAnsi="Times New Roman"/>
          <w:kern w:val="0"/>
          <w:sz w:val="21"/>
          <w:szCs w:val="21"/>
        </w:rPr>
        <w:t xml:space="preserve">  </w:t>
      </w:r>
      <w:bookmarkEnd w:id="340"/>
      <w:bookmarkEnd w:id="341"/>
      <w:bookmarkEnd w:id="342"/>
      <w:bookmarkEnd w:id="343"/>
      <w:r w:rsidR="00973DE4" w:rsidRPr="0087410D">
        <w:rPr>
          <w:rFonts w:ascii="宋体" w:hAnsi="宋体" w:hint="eastAsia"/>
          <w:kern w:val="0"/>
          <w:sz w:val="21"/>
          <w:szCs w:val="21"/>
        </w:rPr>
        <w:t>为基金进行审计的会计师事务所情况</w:t>
      </w:r>
      <w:bookmarkEnd w:id="344"/>
    </w:p>
    <w:p w:rsidR="008A5A5D" w:rsidRPr="00C24ACA" w:rsidRDefault="008A5A5D" w:rsidP="001412CA">
      <w:pPr>
        <w:tabs>
          <w:tab w:val="left" w:pos="426"/>
        </w:tabs>
        <w:spacing w:line="360" w:lineRule="auto"/>
        <w:ind w:firstLineChars="200" w:firstLine="420"/>
        <w:jc w:val="left"/>
        <w:rPr>
          <w:rFonts w:eastAsiaTheme="minorEastAsia"/>
          <w:kern w:val="0"/>
          <w:szCs w:val="21"/>
        </w:rPr>
      </w:pPr>
      <w:bookmarkStart w:id="345" w:name="OLE_LINK3"/>
      <w:r w:rsidRPr="00C24ACA">
        <w:rPr>
          <w:rFonts w:eastAsiaTheme="minorEastAsia"/>
          <w:kern w:val="0"/>
          <w:szCs w:val="21"/>
        </w:rPr>
        <w:t>本报告期内本基金未改聘会计师事务所。</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46" w:name="_Toc352256016"/>
      <w:bookmarkStart w:id="347" w:name="_Toc352256084"/>
      <w:bookmarkStart w:id="348" w:name="_Toc352331262"/>
      <w:bookmarkStart w:id="349" w:name="_Toc390164846"/>
      <w:bookmarkStart w:id="350" w:name="_Toc48659821"/>
      <w:bookmarkEnd w:id="345"/>
      <w:r w:rsidRPr="0087359D">
        <w:rPr>
          <w:rFonts w:ascii="宋体" w:hAnsi="宋体"/>
          <w:kern w:val="0"/>
          <w:sz w:val="21"/>
          <w:szCs w:val="21"/>
        </w:rPr>
        <w:t>10.</w:t>
      </w:r>
      <w:r>
        <w:rPr>
          <w:rFonts w:ascii="宋体" w:hAnsi="宋体" w:hint="eastAsia"/>
          <w:kern w:val="0"/>
          <w:sz w:val="21"/>
          <w:szCs w:val="21"/>
        </w:rPr>
        <w:t>6</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管理人、托管人及其高级管理人员受稽查或处罚等情况</w:t>
      </w:r>
      <w:bookmarkEnd w:id="346"/>
      <w:bookmarkEnd w:id="347"/>
      <w:bookmarkEnd w:id="348"/>
      <w:bookmarkEnd w:id="349"/>
      <w:bookmarkEnd w:id="350"/>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本报告期内，本基金管理人和托管人托管业务部门及其相关高级管理人员未受到稽查或处罚。</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51" w:name="_Toc352256017"/>
      <w:bookmarkStart w:id="352" w:name="_Toc352256085"/>
      <w:bookmarkStart w:id="353" w:name="_Toc352331263"/>
      <w:bookmarkStart w:id="354" w:name="_Toc390164847"/>
      <w:bookmarkStart w:id="355" w:name="_Toc48659822"/>
      <w:r w:rsidRPr="0087359D">
        <w:rPr>
          <w:rFonts w:ascii="宋体" w:hAnsi="宋体"/>
          <w:kern w:val="0"/>
          <w:sz w:val="21"/>
          <w:szCs w:val="21"/>
        </w:rPr>
        <w:t>10.</w:t>
      </w:r>
      <w:r>
        <w:rPr>
          <w:rFonts w:ascii="宋体" w:hAnsi="宋体" w:hint="eastAsia"/>
          <w:kern w:val="0"/>
          <w:sz w:val="21"/>
          <w:szCs w:val="21"/>
        </w:rPr>
        <w:t>7</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基金租用证券公司交易单元的有关情况</w:t>
      </w:r>
      <w:bookmarkEnd w:id="351"/>
      <w:bookmarkEnd w:id="352"/>
      <w:bookmarkEnd w:id="353"/>
      <w:bookmarkEnd w:id="354"/>
      <w:bookmarkEnd w:id="355"/>
    </w:p>
    <w:p w:rsidR="008A5A5D" w:rsidRPr="00C24ACA" w:rsidRDefault="000D1F25" w:rsidP="00E92B70">
      <w:pPr>
        <w:spacing w:line="360" w:lineRule="auto"/>
        <w:rPr>
          <w:rFonts w:eastAsiaTheme="minorEastAsia"/>
          <w:b/>
          <w:szCs w:val="21"/>
        </w:rPr>
      </w:pPr>
      <w:bookmarkStart w:id="356" w:name="_Toc249760070"/>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1</w:t>
      </w:r>
      <w:r w:rsidR="008A5A5D" w:rsidRPr="00C24ACA">
        <w:rPr>
          <w:rFonts w:eastAsiaTheme="minorEastAsia"/>
          <w:b/>
          <w:szCs w:val="21"/>
        </w:rPr>
        <w:t>基金租用证券公司交易单元进行股票投资及佣金支付情况</w:t>
      </w:r>
      <w:bookmarkEnd w:id="356"/>
    </w:p>
    <w:p w:rsidR="008A5A5D" w:rsidRPr="00C24ACA" w:rsidRDefault="008A5A5D" w:rsidP="008134C7">
      <w:pPr>
        <w:pStyle w:val="a0"/>
        <w:ind w:firstLineChars="2600" w:firstLine="5460"/>
        <w:jc w:val="right"/>
        <w:rPr>
          <w:rFonts w:eastAsiaTheme="minorEastAsia"/>
          <w:color w:val="000000"/>
          <w:szCs w:val="21"/>
        </w:rPr>
      </w:pPr>
      <w:r w:rsidRPr="00C24ACA">
        <w:rPr>
          <w:rFonts w:eastAsiaTheme="minor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8A5A5D" w:rsidRPr="00C24ACA" w:rsidTr="004A4847">
        <w:tc>
          <w:tcPr>
            <w:tcW w:w="1560" w:type="dxa"/>
            <w:vMerge w:val="restart"/>
            <w:vAlign w:val="center"/>
          </w:tcPr>
          <w:p w:rsidR="008A5A5D" w:rsidRPr="00C24ACA" w:rsidRDefault="008A5A5D" w:rsidP="004A4847">
            <w:pPr>
              <w:jc w:val="center"/>
              <w:rPr>
                <w:rFonts w:eastAsiaTheme="minorEastAsia"/>
                <w:color w:val="000000"/>
                <w:szCs w:val="21"/>
              </w:rPr>
            </w:pPr>
            <w:bookmarkStart w:id="357" w:name="_Toc249760071"/>
            <w:r w:rsidRPr="00C24ACA">
              <w:rPr>
                <w:rFonts w:eastAsiaTheme="minorEastAsia"/>
                <w:color w:val="000000"/>
                <w:szCs w:val="21"/>
              </w:rPr>
              <w:t>券商名称</w:t>
            </w:r>
          </w:p>
        </w:tc>
        <w:tc>
          <w:tcPr>
            <w:tcW w:w="780" w:type="dxa"/>
            <w:vMerge w:val="restart"/>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交易单元数量</w:t>
            </w:r>
          </w:p>
        </w:tc>
        <w:tc>
          <w:tcPr>
            <w:tcW w:w="288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股票交易</w:t>
            </w:r>
          </w:p>
        </w:tc>
        <w:tc>
          <w:tcPr>
            <w:tcW w:w="270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应支付该券商的佣金</w:t>
            </w:r>
          </w:p>
        </w:tc>
        <w:tc>
          <w:tcPr>
            <w:tcW w:w="1080" w:type="dxa"/>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备注</w:t>
            </w:r>
          </w:p>
        </w:tc>
      </w:tr>
      <w:tr w:rsidR="008A5A5D" w:rsidRPr="00C24ACA" w:rsidTr="004A4847">
        <w:tc>
          <w:tcPr>
            <w:tcW w:w="9000" w:type="dxa"/>
            <w:vMerge/>
            <w:vAlign w:val="center"/>
          </w:tcPr>
          <w:p w:rsidR="008A5A5D" w:rsidRPr="00C24ACA" w:rsidRDefault="008A5A5D" w:rsidP="004A4847">
            <w:pPr>
              <w:widowControl/>
              <w:jc w:val="left"/>
              <w:rPr>
                <w:rFonts w:eastAsiaTheme="minorEastAsia"/>
                <w:color w:val="000000"/>
                <w:szCs w:val="21"/>
              </w:rPr>
            </w:pPr>
          </w:p>
        </w:tc>
        <w:tc>
          <w:tcPr>
            <w:tcW w:w="780" w:type="dxa"/>
            <w:vMerge/>
            <w:vAlign w:val="center"/>
          </w:tcPr>
          <w:p w:rsidR="008A5A5D" w:rsidRPr="00C24ACA" w:rsidRDefault="008A5A5D" w:rsidP="004A4847">
            <w:pPr>
              <w:widowControl/>
              <w:jc w:val="left"/>
              <w:rPr>
                <w:rFonts w:eastAsiaTheme="minorEastAsia"/>
                <w:color w:val="000000"/>
                <w:szCs w:val="21"/>
              </w:rPr>
            </w:pPr>
          </w:p>
        </w:tc>
        <w:tc>
          <w:tcPr>
            <w:tcW w:w="180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成交金额</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占当期股票成交总额的比例</w:t>
            </w:r>
          </w:p>
        </w:tc>
        <w:tc>
          <w:tcPr>
            <w:tcW w:w="162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佣金</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占当期佣金总量的比例</w:t>
            </w:r>
          </w:p>
        </w:tc>
        <w:tc>
          <w:tcPr>
            <w:tcW w:w="1080" w:type="dxa"/>
            <w:vMerge/>
            <w:vAlign w:val="center"/>
          </w:tcPr>
          <w:p w:rsidR="008A5A5D" w:rsidRPr="00C24ACA" w:rsidRDefault="008A5A5D" w:rsidP="004A4847">
            <w:pPr>
              <w:widowControl/>
              <w:jc w:val="left"/>
              <w:rPr>
                <w:rFonts w:eastAsiaTheme="minorEastAsia"/>
                <w:color w:val="000000"/>
                <w:kern w:val="0"/>
                <w:szCs w:val="21"/>
              </w:rPr>
            </w:pPr>
          </w:p>
        </w:tc>
      </w:tr>
      <w:tr w:rsidR="008E5B30">
        <w:tc>
          <w:tcPr>
            <w:tcW w:w="1560" w:type="dxa"/>
            <w:vAlign w:val="center"/>
          </w:tcPr>
          <w:p w:rsidR="008E5B30" w:rsidRDefault="00013397">
            <w:pPr>
              <w:jc w:val="center"/>
            </w:pPr>
            <w:r>
              <w:rPr>
                <w:rFonts w:eastAsiaTheme="minorEastAsia"/>
                <w:color w:val="000000"/>
                <w:szCs w:val="21"/>
              </w:rPr>
              <w:t>Haitong International Securities Company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BNP PARIBAS SECURITIES (ASIA)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Citigroup Global Markets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ANZ Bank</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Guotai Junan Securities (Hong Kong)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CLSA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CEBI International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HONGKONG &amp; SHANGHAI Bank</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CMB International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Bank of China (HongKong)</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Barclays Capital Asia</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JP Morgan Securities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Standard Chartered Bank</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Credit Suisse (HongKong)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China Intl Capital Corp HK Secs Ltd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Huatai Securities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Mizuho Securites Asia</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Morgan Stanley &amp; Co. International PLC</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Jefferies International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Goldman Sachs</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China Zheshang Bank</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CCB International Securities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China CITIC Bank International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BOC International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KGI Hong Kong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Industrial Securities International</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Zhongtai International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Nomura Interational</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r w:rsidR="008E5B30">
        <w:tc>
          <w:tcPr>
            <w:tcW w:w="1560" w:type="dxa"/>
            <w:vAlign w:val="center"/>
          </w:tcPr>
          <w:p w:rsidR="008E5B30" w:rsidRDefault="00013397">
            <w:pPr>
              <w:jc w:val="center"/>
            </w:pPr>
            <w:r>
              <w:rPr>
                <w:rFonts w:eastAsiaTheme="minorEastAsia"/>
                <w:color w:val="000000"/>
                <w:szCs w:val="21"/>
              </w:rPr>
              <w:t>SMBC Nikko Securities (Hong Kong) Limited</w:t>
            </w:r>
          </w:p>
        </w:tc>
        <w:tc>
          <w:tcPr>
            <w:tcW w:w="780" w:type="dxa"/>
            <w:vAlign w:val="center"/>
          </w:tcPr>
          <w:p w:rsidR="008E5B30" w:rsidRDefault="00013397">
            <w:pPr>
              <w:jc w:val="right"/>
            </w:pPr>
            <w:r>
              <w:rPr>
                <w:rFonts w:eastAsiaTheme="minorEastAsia"/>
                <w:color w:val="000000"/>
                <w:szCs w:val="21"/>
              </w:rPr>
              <w:t>1</w:t>
            </w:r>
          </w:p>
        </w:tc>
        <w:tc>
          <w:tcPr>
            <w:tcW w:w="180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62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right"/>
            </w:pPr>
            <w:r>
              <w:rPr>
                <w:rFonts w:eastAsiaTheme="minorEastAsia"/>
                <w:color w:val="000000"/>
                <w:szCs w:val="21"/>
              </w:rPr>
              <w:t>-</w:t>
            </w:r>
          </w:p>
        </w:tc>
        <w:tc>
          <w:tcPr>
            <w:tcW w:w="1080" w:type="dxa"/>
            <w:vAlign w:val="center"/>
          </w:tcPr>
          <w:p w:rsidR="008E5B30" w:rsidRDefault="00013397">
            <w:pPr>
              <w:jc w:val="left"/>
            </w:pPr>
            <w:r>
              <w:rPr>
                <w:rFonts w:eastAsiaTheme="minorEastAsia"/>
                <w:color w:val="000000"/>
                <w:szCs w:val="21"/>
              </w:rPr>
              <w:t>-</w:t>
            </w:r>
          </w:p>
        </w:tc>
      </w:tr>
    </w:tbl>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a</w:t>
      </w:r>
      <w:r>
        <w:rPr>
          <w:rFonts w:eastAsiaTheme="minorEastAsia"/>
          <w:kern w:val="0"/>
          <w:szCs w:val="21"/>
        </w:rPr>
        <w:t>）本报告期内本基金无减少交易账户，于如下证券经营机构</w:t>
      </w:r>
      <w:r>
        <w:rPr>
          <w:rFonts w:eastAsiaTheme="minorEastAsia"/>
          <w:kern w:val="0"/>
          <w:szCs w:val="21"/>
        </w:rPr>
        <w:t>China Zheshang Bank</w:t>
      </w:r>
      <w:r>
        <w:rPr>
          <w:rFonts w:eastAsiaTheme="minorEastAsia"/>
          <w:kern w:val="0"/>
          <w:szCs w:val="21"/>
        </w:rPr>
        <w:t>、</w:t>
      </w:r>
      <w:r>
        <w:rPr>
          <w:rFonts w:eastAsiaTheme="minorEastAsia"/>
          <w:kern w:val="0"/>
          <w:szCs w:val="21"/>
        </w:rPr>
        <w:t>SMBC Nikko Securities (Hong Kong) Limited</w:t>
      </w:r>
      <w:r>
        <w:rPr>
          <w:rFonts w:eastAsiaTheme="minorEastAsia"/>
          <w:kern w:val="0"/>
          <w:szCs w:val="21"/>
        </w:rPr>
        <w:t>各新增一个交易账户。</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b</w:t>
      </w:r>
      <w:r>
        <w:rPr>
          <w:rFonts w:eastAsiaTheme="minorEastAsia"/>
          <w:kern w:val="0"/>
          <w:szCs w:val="21"/>
        </w:rPr>
        <w:t>）本基金管理人负责选择证券经营机构，并在该机构开立交易账户。基金交易账户的开立标准如下：</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）交易执行能力。主要指证券经营机构能否对投资指令进行有效地执行，以及能否取得较高质量的成交结果；</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）研究报告质量。主要指证券经营机构能否提供高质量的宏观经济研究、行业研究及市场走向、个股分析报告和专题研究报告等；</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3</w:t>
      </w:r>
      <w:r>
        <w:rPr>
          <w:rFonts w:eastAsiaTheme="minorEastAsia"/>
          <w:kern w:val="0"/>
          <w:szCs w:val="21"/>
        </w:rPr>
        <w:t>）提供研究服务的质量。主要包括协助安排上市公司调研、研究资料共享、路演服务、日常沟通交流、接受委托研究的服务质量等方面；</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4</w:t>
      </w:r>
      <w:r>
        <w:rPr>
          <w:rFonts w:eastAsiaTheme="minorEastAsia"/>
          <w:kern w:val="0"/>
          <w:szCs w:val="21"/>
        </w:rPr>
        <w:t>）法规监管资讯服务。主要包括境外投资法律规定、交易监管规则、信息披露、个人利益冲突、税收等资讯的提供与培训；</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5</w:t>
      </w:r>
      <w:r>
        <w:rPr>
          <w:rFonts w:eastAsiaTheme="minorEastAsia"/>
          <w:kern w:val="0"/>
          <w:szCs w:val="21"/>
        </w:rPr>
        <w:t>）价值贡献。主要是指证券经营机构对公司研究团队、投资团队在业务能力提升上所做的培训服务、对公司投资提升所作出的贡献；</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6</w:t>
      </w:r>
      <w:r>
        <w:rPr>
          <w:rFonts w:eastAsiaTheme="minorEastAsia"/>
          <w:kern w:val="0"/>
          <w:szCs w:val="21"/>
        </w:rPr>
        <w:t>）其他因素。主要是证券经营机构的财务状况、经营行为规范、风险管理机制、近年内有无重大违规行为等。</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c</w:t>
      </w:r>
      <w:r>
        <w:rPr>
          <w:rFonts w:eastAsiaTheme="minorEastAsia"/>
          <w:kern w:val="0"/>
          <w:szCs w:val="21"/>
        </w:rPr>
        <w:t>）基金交易账户的选择程序如下：</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）本基金管理人根据上述标准考察后确定选用交易账户的证券经营机构。</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）基金管理人与所选定的证券经营机构办理开立交易账户事宜。</w:t>
      </w:r>
    </w:p>
    <w:p w:rsidR="008A5A5D" w:rsidRPr="00C24ACA" w:rsidRDefault="000D1F25" w:rsidP="00732F5C">
      <w:pPr>
        <w:spacing w:beforeLines="100" w:before="312" w:line="360" w:lineRule="auto"/>
        <w:rPr>
          <w:rFonts w:eastAsiaTheme="minorEastAsia"/>
          <w:b/>
          <w:szCs w:val="21"/>
        </w:rPr>
      </w:pPr>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2</w:t>
      </w:r>
      <w:r w:rsidR="008A5A5D" w:rsidRPr="00C24ACA">
        <w:rPr>
          <w:rFonts w:eastAsiaTheme="minorEastAsia"/>
          <w:b/>
          <w:szCs w:val="21"/>
        </w:rPr>
        <w:t>基金租用证券公司交易单元进行其他证券投资的情况</w:t>
      </w:r>
      <w:bookmarkEnd w:id="357"/>
    </w:p>
    <w:p w:rsidR="008A5A5D" w:rsidRPr="00C24ACA" w:rsidRDefault="008A5A5D" w:rsidP="002116B9">
      <w:pPr>
        <w:wordWrap w:val="0"/>
        <w:ind w:firstLine="420"/>
        <w:jc w:val="right"/>
        <w:rPr>
          <w:rFonts w:eastAsiaTheme="minorEastAsia"/>
          <w:color w:val="000000"/>
          <w:szCs w:val="21"/>
        </w:rPr>
      </w:pPr>
      <w:r w:rsidRPr="00C24ACA">
        <w:rPr>
          <w:rFonts w:eastAsiaTheme="minor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62C75" w:rsidRPr="00C24ACA" w:rsidTr="00762C75">
        <w:tc>
          <w:tcPr>
            <w:tcW w:w="709" w:type="dxa"/>
            <w:vMerge w:val="restart"/>
            <w:vAlign w:val="center"/>
          </w:tcPr>
          <w:p w:rsidR="00762C75" w:rsidRPr="00C24ACA" w:rsidRDefault="00762C75" w:rsidP="004A4847">
            <w:pPr>
              <w:jc w:val="center"/>
              <w:rPr>
                <w:rFonts w:eastAsiaTheme="minorEastAsia"/>
                <w:color w:val="000000"/>
                <w:kern w:val="0"/>
                <w:szCs w:val="21"/>
              </w:rPr>
            </w:pPr>
            <w:r w:rsidRPr="00C24ACA">
              <w:rPr>
                <w:rFonts w:eastAsiaTheme="minorEastAsia"/>
                <w:color w:val="000000"/>
                <w:szCs w:val="21"/>
              </w:rPr>
              <w:t>券商名称</w:t>
            </w:r>
          </w:p>
        </w:tc>
        <w:tc>
          <w:tcPr>
            <w:tcW w:w="1985"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债券交易</w:t>
            </w:r>
          </w:p>
        </w:tc>
        <w:tc>
          <w:tcPr>
            <w:tcW w:w="2023" w:type="dxa"/>
            <w:gridSpan w:val="2"/>
            <w:vAlign w:val="center"/>
          </w:tcPr>
          <w:p w:rsidR="00762C75" w:rsidRPr="00C24ACA" w:rsidRDefault="005A7B0E" w:rsidP="004A4847">
            <w:pPr>
              <w:jc w:val="center"/>
              <w:rPr>
                <w:rFonts w:eastAsiaTheme="minorEastAsia"/>
                <w:color w:val="000000"/>
                <w:szCs w:val="21"/>
              </w:rPr>
            </w:pPr>
            <w:r>
              <w:rPr>
                <w:rFonts w:eastAsiaTheme="minorEastAsia" w:hint="eastAsia"/>
                <w:color w:val="000000"/>
                <w:szCs w:val="21"/>
              </w:rPr>
              <w:t>债券</w:t>
            </w:r>
            <w:r w:rsidR="00762C75" w:rsidRPr="00C24ACA">
              <w:rPr>
                <w:rFonts w:eastAsiaTheme="minorEastAsia"/>
                <w:color w:val="000000"/>
                <w:szCs w:val="21"/>
              </w:rPr>
              <w:t>回购交易</w:t>
            </w:r>
          </w:p>
        </w:tc>
        <w:tc>
          <w:tcPr>
            <w:tcW w:w="2164"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权证交易</w:t>
            </w:r>
          </w:p>
        </w:tc>
        <w:tc>
          <w:tcPr>
            <w:tcW w:w="1962" w:type="dxa"/>
            <w:gridSpan w:val="2"/>
          </w:tcPr>
          <w:p w:rsidR="00762C75" w:rsidRPr="00C24ACA" w:rsidRDefault="00AF0AFC" w:rsidP="004A4847">
            <w:pPr>
              <w:jc w:val="center"/>
              <w:rPr>
                <w:rFonts w:eastAsiaTheme="minorEastAsia"/>
                <w:color w:val="000000"/>
                <w:szCs w:val="21"/>
              </w:rPr>
            </w:pPr>
            <w:r w:rsidRPr="00C24ACA">
              <w:rPr>
                <w:rFonts w:eastAsiaTheme="minorEastAsia"/>
                <w:color w:val="000000"/>
                <w:szCs w:val="21"/>
              </w:rPr>
              <w:t>基金交易</w:t>
            </w:r>
          </w:p>
        </w:tc>
      </w:tr>
      <w:tr w:rsidR="00762C75" w:rsidRPr="00C24ACA" w:rsidTr="00762C75">
        <w:tc>
          <w:tcPr>
            <w:tcW w:w="709" w:type="dxa"/>
            <w:vMerge/>
            <w:vAlign w:val="center"/>
          </w:tcPr>
          <w:p w:rsidR="00762C75" w:rsidRPr="00C24ACA" w:rsidRDefault="00762C75" w:rsidP="004A4847">
            <w:pPr>
              <w:widowControl/>
              <w:jc w:val="left"/>
              <w:rPr>
                <w:rFonts w:eastAsiaTheme="minorEastAsia"/>
                <w:color w:val="000000"/>
                <w:kern w:val="0"/>
                <w:szCs w:val="21"/>
              </w:rPr>
            </w:pPr>
          </w:p>
        </w:tc>
        <w:tc>
          <w:tcPr>
            <w:tcW w:w="709"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76"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占当期债券成交总额的比例</w:t>
            </w:r>
          </w:p>
        </w:tc>
        <w:tc>
          <w:tcPr>
            <w:tcW w:w="763"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6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w:t>
            </w:r>
            <w:r w:rsidR="005A7B0E">
              <w:rPr>
                <w:rFonts w:eastAsiaTheme="minorEastAsia" w:hint="eastAsia"/>
                <w:color w:val="000000"/>
                <w:szCs w:val="21"/>
              </w:rPr>
              <w:t>债券</w:t>
            </w:r>
            <w:r w:rsidRPr="00C24ACA">
              <w:rPr>
                <w:rFonts w:eastAsiaTheme="minorEastAsia"/>
                <w:color w:val="000000"/>
                <w:szCs w:val="21"/>
              </w:rPr>
              <w:t>回购成交总额的比例</w:t>
            </w:r>
          </w:p>
        </w:tc>
        <w:tc>
          <w:tcPr>
            <w:tcW w:w="724"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44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占当期权证成交总额的比例</w:t>
            </w:r>
          </w:p>
        </w:tc>
        <w:tc>
          <w:tcPr>
            <w:tcW w:w="781" w:type="dxa"/>
            <w:vAlign w:val="center"/>
          </w:tcPr>
          <w:p w:rsidR="00762C75" w:rsidRPr="00C24ACA" w:rsidRDefault="00762C75" w:rsidP="00B03EF5">
            <w:pPr>
              <w:jc w:val="center"/>
              <w:rPr>
                <w:rFonts w:eastAsiaTheme="minorEastAsia"/>
                <w:color w:val="000000"/>
                <w:szCs w:val="21"/>
              </w:rPr>
            </w:pPr>
            <w:r w:rsidRPr="00C24ACA">
              <w:rPr>
                <w:rFonts w:eastAsiaTheme="minorEastAsia"/>
                <w:color w:val="000000"/>
                <w:szCs w:val="21"/>
              </w:rPr>
              <w:t>成交金额</w:t>
            </w:r>
          </w:p>
        </w:tc>
        <w:tc>
          <w:tcPr>
            <w:tcW w:w="1181" w:type="dxa"/>
            <w:vAlign w:val="center"/>
          </w:tcPr>
          <w:p w:rsidR="00762C75" w:rsidRPr="00C24ACA" w:rsidRDefault="00762C75" w:rsidP="00511FD1">
            <w:pPr>
              <w:jc w:val="center"/>
              <w:rPr>
                <w:rFonts w:eastAsiaTheme="minorEastAsia"/>
                <w:color w:val="000000"/>
                <w:szCs w:val="21"/>
              </w:rPr>
            </w:pPr>
            <w:r w:rsidRPr="00C24ACA">
              <w:rPr>
                <w:rFonts w:eastAsiaTheme="minorEastAsia"/>
                <w:color w:val="000000"/>
                <w:szCs w:val="21"/>
              </w:rPr>
              <w:t>占当期</w:t>
            </w:r>
            <w:r w:rsidR="00511FD1" w:rsidRPr="00C24ACA">
              <w:rPr>
                <w:rFonts w:eastAsiaTheme="minorEastAsia"/>
                <w:color w:val="000000"/>
                <w:szCs w:val="21"/>
              </w:rPr>
              <w:t>基金</w:t>
            </w:r>
            <w:r w:rsidRPr="00C24ACA">
              <w:rPr>
                <w:rFonts w:eastAsiaTheme="minorEastAsia"/>
                <w:color w:val="000000"/>
                <w:szCs w:val="21"/>
              </w:rPr>
              <w:t>成交总额的比例</w:t>
            </w:r>
          </w:p>
        </w:tc>
      </w:tr>
      <w:tr w:rsidR="008E5B30">
        <w:tc>
          <w:tcPr>
            <w:tcW w:w="709" w:type="dxa"/>
            <w:vAlign w:val="center"/>
          </w:tcPr>
          <w:p w:rsidR="008E5B30" w:rsidRDefault="00013397">
            <w:pPr>
              <w:jc w:val="left"/>
            </w:pPr>
            <w:r>
              <w:rPr>
                <w:rFonts w:eastAsiaTheme="minorEastAsia"/>
                <w:color w:val="000000"/>
                <w:szCs w:val="21"/>
              </w:rPr>
              <w:t>Haitong International Securities Company Limited</w:t>
            </w:r>
          </w:p>
        </w:tc>
        <w:tc>
          <w:tcPr>
            <w:tcW w:w="709" w:type="dxa"/>
            <w:vAlign w:val="center"/>
          </w:tcPr>
          <w:p w:rsidR="008E5B30" w:rsidRDefault="00013397">
            <w:pPr>
              <w:jc w:val="right"/>
            </w:pPr>
            <w:r>
              <w:rPr>
                <w:rFonts w:eastAsiaTheme="minorEastAsia"/>
                <w:color w:val="000000"/>
                <w:szCs w:val="21"/>
              </w:rPr>
              <w:t>57,823,143.03</w:t>
            </w:r>
          </w:p>
        </w:tc>
        <w:tc>
          <w:tcPr>
            <w:tcW w:w="1276" w:type="dxa"/>
            <w:vAlign w:val="center"/>
          </w:tcPr>
          <w:p w:rsidR="008E5B30" w:rsidRDefault="00013397">
            <w:pPr>
              <w:jc w:val="right"/>
            </w:pPr>
            <w:r>
              <w:rPr>
                <w:rFonts w:eastAsiaTheme="minorEastAsia"/>
                <w:color w:val="000000"/>
                <w:szCs w:val="21"/>
              </w:rPr>
              <w:t>3.57%</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BNP PARIBAS SECURITIES (ASIA) LIMITED</w:t>
            </w:r>
          </w:p>
        </w:tc>
        <w:tc>
          <w:tcPr>
            <w:tcW w:w="709" w:type="dxa"/>
            <w:vAlign w:val="center"/>
          </w:tcPr>
          <w:p w:rsidR="008E5B30" w:rsidRDefault="00013397">
            <w:pPr>
              <w:jc w:val="right"/>
            </w:pPr>
            <w:r>
              <w:rPr>
                <w:rFonts w:eastAsiaTheme="minorEastAsia"/>
                <w:color w:val="000000"/>
                <w:szCs w:val="21"/>
              </w:rPr>
              <w:t>25,317,593.64</w:t>
            </w:r>
          </w:p>
        </w:tc>
        <w:tc>
          <w:tcPr>
            <w:tcW w:w="1276" w:type="dxa"/>
            <w:vAlign w:val="center"/>
          </w:tcPr>
          <w:p w:rsidR="008E5B30" w:rsidRDefault="00013397">
            <w:pPr>
              <w:jc w:val="right"/>
            </w:pPr>
            <w:r>
              <w:rPr>
                <w:rFonts w:eastAsiaTheme="minorEastAsia"/>
                <w:color w:val="000000"/>
                <w:szCs w:val="21"/>
              </w:rPr>
              <w:t>1.56%</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Citigroup Global Markets Limited</w:t>
            </w:r>
          </w:p>
        </w:tc>
        <w:tc>
          <w:tcPr>
            <w:tcW w:w="709" w:type="dxa"/>
            <w:vAlign w:val="center"/>
          </w:tcPr>
          <w:p w:rsidR="008E5B30" w:rsidRDefault="00013397">
            <w:pPr>
              <w:jc w:val="right"/>
            </w:pPr>
            <w:r>
              <w:rPr>
                <w:rFonts w:eastAsiaTheme="minorEastAsia"/>
                <w:color w:val="000000"/>
                <w:szCs w:val="21"/>
              </w:rPr>
              <w:t>156,556,000.47</w:t>
            </w:r>
          </w:p>
        </w:tc>
        <w:tc>
          <w:tcPr>
            <w:tcW w:w="1276" w:type="dxa"/>
            <w:vAlign w:val="center"/>
          </w:tcPr>
          <w:p w:rsidR="008E5B30" w:rsidRDefault="00013397">
            <w:pPr>
              <w:jc w:val="right"/>
            </w:pPr>
            <w:r>
              <w:rPr>
                <w:rFonts w:eastAsiaTheme="minorEastAsia"/>
                <w:color w:val="000000"/>
                <w:szCs w:val="21"/>
              </w:rPr>
              <w:t>9.68%</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ANZ Bank</w:t>
            </w:r>
          </w:p>
        </w:tc>
        <w:tc>
          <w:tcPr>
            <w:tcW w:w="709" w:type="dxa"/>
            <w:vAlign w:val="center"/>
          </w:tcPr>
          <w:p w:rsidR="008E5B30" w:rsidRDefault="00013397">
            <w:pPr>
              <w:jc w:val="right"/>
            </w:pPr>
            <w:r>
              <w:rPr>
                <w:rFonts w:eastAsiaTheme="minorEastAsia"/>
                <w:color w:val="000000"/>
                <w:szCs w:val="21"/>
              </w:rPr>
              <w:t>46,803,193.54</w:t>
            </w:r>
          </w:p>
        </w:tc>
        <w:tc>
          <w:tcPr>
            <w:tcW w:w="1276" w:type="dxa"/>
            <w:vAlign w:val="center"/>
          </w:tcPr>
          <w:p w:rsidR="008E5B30" w:rsidRDefault="00013397">
            <w:pPr>
              <w:jc w:val="right"/>
            </w:pPr>
            <w:r>
              <w:rPr>
                <w:rFonts w:eastAsiaTheme="minorEastAsia"/>
                <w:color w:val="000000"/>
                <w:szCs w:val="21"/>
              </w:rPr>
              <w:t>2.89%</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Guotai Junan Securities (Hong Kong) Limited</w:t>
            </w:r>
          </w:p>
        </w:tc>
        <w:tc>
          <w:tcPr>
            <w:tcW w:w="709" w:type="dxa"/>
            <w:vAlign w:val="center"/>
          </w:tcPr>
          <w:p w:rsidR="008E5B30" w:rsidRDefault="00013397">
            <w:pPr>
              <w:jc w:val="right"/>
            </w:pPr>
            <w:r>
              <w:rPr>
                <w:rFonts w:eastAsiaTheme="minorEastAsia"/>
                <w:color w:val="000000"/>
                <w:szCs w:val="21"/>
              </w:rPr>
              <w:t>200,989,735.91</w:t>
            </w:r>
          </w:p>
        </w:tc>
        <w:tc>
          <w:tcPr>
            <w:tcW w:w="1276" w:type="dxa"/>
            <w:vAlign w:val="center"/>
          </w:tcPr>
          <w:p w:rsidR="008E5B30" w:rsidRDefault="00013397">
            <w:pPr>
              <w:jc w:val="right"/>
            </w:pPr>
            <w:r>
              <w:rPr>
                <w:rFonts w:eastAsiaTheme="minorEastAsia"/>
                <w:color w:val="000000"/>
                <w:szCs w:val="21"/>
              </w:rPr>
              <w:t>12.42%</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CLSA Limited</w:t>
            </w:r>
          </w:p>
        </w:tc>
        <w:tc>
          <w:tcPr>
            <w:tcW w:w="709" w:type="dxa"/>
            <w:vAlign w:val="center"/>
          </w:tcPr>
          <w:p w:rsidR="008E5B30" w:rsidRDefault="00013397">
            <w:pPr>
              <w:jc w:val="right"/>
            </w:pPr>
            <w:r>
              <w:rPr>
                <w:rFonts w:eastAsiaTheme="minorEastAsia"/>
                <w:color w:val="000000"/>
                <w:szCs w:val="21"/>
              </w:rPr>
              <w:t>72,205,876.81</w:t>
            </w:r>
          </w:p>
        </w:tc>
        <w:tc>
          <w:tcPr>
            <w:tcW w:w="1276" w:type="dxa"/>
            <w:vAlign w:val="center"/>
          </w:tcPr>
          <w:p w:rsidR="008E5B30" w:rsidRDefault="00013397">
            <w:pPr>
              <w:jc w:val="right"/>
            </w:pPr>
            <w:r>
              <w:rPr>
                <w:rFonts w:eastAsiaTheme="minorEastAsia"/>
                <w:color w:val="000000"/>
                <w:szCs w:val="21"/>
              </w:rPr>
              <w:t>4.46%</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CEBI International Limited</w:t>
            </w:r>
          </w:p>
        </w:tc>
        <w:tc>
          <w:tcPr>
            <w:tcW w:w="709" w:type="dxa"/>
            <w:vAlign w:val="center"/>
          </w:tcPr>
          <w:p w:rsidR="008E5B30" w:rsidRDefault="00013397">
            <w:pPr>
              <w:jc w:val="right"/>
            </w:pPr>
            <w:r>
              <w:rPr>
                <w:rFonts w:eastAsiaTheme="minorEastAsia"/>
                <w:color w:val="000000"/>
                <w:szCs w:val="21"/>
              </w:rPr>
              <w:t>1,964,481.54</w:t>
            </w:r>
          </w:p>
        </w:tc>
        <w:tc>
          <w:tcPr>
            <w:tcW w:w="1276" w:type="dxa"/>
            <w:vAlign w:val="center"/>
          </w:tcPr>
          <w:p w:rsidR="008E5B30" w:rsidRDefault="00013397">
            <w:pPr>
              <w:jc w:val="right"/>
            </w:pPr>
            <w:r>
              <w:rPr>
                <w:rFonts w:eastAsiaTheme="minorEastAsia"/>
                <w:color w:val="000000"/>
                <w:szCs w:val="21"/>
              </w:rPr>
              <w:t>0.12%</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HONGKONG &amp; SHANGHAI Bank</w:t>
            </w:r>
          </w:p>
        </w:tc>
        <w:tc>
          <w:tcPr>
            <w:tcW w:w="709" w:type="dxa"/>
            <w:vAlign w:val="center"/>
          </w:tcPr>
          <w:p w:rsidR="008E5B30" w:rsidRDefault="00013397">
            <w:pPr>
              <w:jc w:val="right"/>
            </w:pPr>
            <w:r>
              <w:rPr>
                <w:rFonts w:eastAsiaTheme="minorEastAsia"/>
                <w:color w:val="000000"/>
                <w:szCs w:val="21"/>
              </w:rPr>
              <w:t>170,040,711.48</w:t>
            </w:r>
          </w:p>
        </w:tc>
        <w:tc>
          <w:tcPr>
            <w:tcW w:w="1276" w:type="dxa"/>
            <w:vAlign w:val="center"/>
          </w:tcPr>
          <w:p w:rsidR="008E5B30" w:rsidRDefault="00013397">
            <w:pPr>
              <w:jc w:val="right"/>
            </w:pPr>
            <w:r>
              <w:rPr>
                <w:rFonts w:eastAsiaTheme="minorEastAsia"/>
                <w:color w:val="000000"/>
                <w:szCs w:val="21"/>
              </w:rPr>
              <w:t>10.51%</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CMB International Limited</w:t>
            </w:r>
          </w:p>
        </w:tc>
        <w:tc>
          <w:tcPr>
            <w:tcW w:w="709" w:type="dxa"/>
            <w:vAlign w:val="center"/>
          </w:tcPr>
          <w:p w:rsidR="008E5B30" w:rsidRDefault="00013397">
            <w:pPr>
              <w:jc w:val="right"/>
            </w:pPr>
            <w:r>
              <w:rPr>
                <w:rFonts w:eastAsiaTheme="minorEastAsia"/>
                <w:color w:val="000000"/>
                <w:szCs w:val="21"/>
              </w:rPr>
              <w:t>12,530,460.06</w:t>
            </w:r>
          </w:p>
        </w:tc>
        <w:tc>
          <w:tcPr>
            <w:tcW w:w="1276" w:type="dxa"/>
            <w:vAlign w:val="center"/>
          </w:tcPr>
          <w:p w:rsidR="008E5B30" w:rsidRDefault="00013397">
            <w:pPr>
              <w:jc w:val="right"/>
            </w:pPr>
            <w:r>
              <w:rPr>
                <w:rFonts w:eastAsiaTheme="minorEastAsia"/>
                <w:color w:val="000000"/>
                <w:szCs w:val="21"/>
              </w:rPr>
              <w:t>0.77%</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Bank of China (HongKong)</w:t>
            </w:r>
          </w:p>
        </w:tc>
        <w:tc>
          <w:tcPr>
            <w:tcW w:w="709" w:type="dxa"/>
            <w:vAlign w:val="center"/>
          </w:tcPr>
          <w:p w:rsidR="008E5B30" w:rsidRDefault="00013397">
            <w:pPr>
              <w:jc w:val="right"/>
            </w:pPr>
            <w:r>
              <w:rPr>
                <w:rFonts w:eastAsiaTheme="minorEastAsia"/>
                <w:color w:val="000000"/>
                <w:szCs w:val="21"/>
              </w:rPr>
              <w:t>29,434,609.48</w:t>
            </w:r>
          </w:p>
        </w:tc>
        <w:tc>
          <w:tcPr>
            <w:tcW w:w="1276" w:type="dxa"/>
            <w:vAlign w:val="center"/>
          </w:tcPr>
          <w:p w:rsidR="008E5B30" w:rsidRDefault="00013397">
            <w:pPr>
              <w:jc w:val="right"/>
            </w:pPr>
            <w:r>
              <w:rPr>
                <w:rFonts w:eastAsiaTheme="minorEastAsia"/>
                <w:color w:val="000000"/>
                <w:szCs w:val="21"/>
              </w:rPr>
              <w:t>1.82%</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Barclays Capital Asia</w:t>
            </w:r>
          </w:p>
        </w:tc>
        <w:tc>
          <w:tcPr>
            <w:tcW w:w="709" w:type="dxa"/>
            <w:vAlign w:val="center"/>
          </w:tcPr>
          <w:p w:rsidR="008E5B30" w:rsidRDefault="00013397">
            <w:pPr>
              <w:jc w:val="right"/>
            </w:pPr>
            <w:r>
              <w:rPr>
                <w:rFonts w:eastAsiaTheme="minorEastAsia"/>
                <w:color w:val="000000"/>
                <w:szCs w:val="21"/>
              </w:rPr>
              <w:t>88,976,785.07</w:t>
            </w:r>
          </w:p>
        </w:tc>
        <w:tc>
          <w:tcPr>
            <w:tcW w:w="1276" w:type="dxa"/>
            <w:vAlign w:val="center"/>
          </w:tcPr>
          <w:p w:rsidR="008E5B30" w:rsidRDefault="00013397">
            <w:pPr>
              <w:jc w:val="right"/>
            </w:pPr>
            <w:r>
              <w:rPr>
                <w:rFonts w:eastAsiaTheme="minorEastAsia"/>
                <w:color w:val="000000"/>
                <w:szCs w:val="21"/>
              </w:rPr>
              <w:t>5.50%</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JP Morgan Securities Limited</w:t>
            </w:r>
          </w:p>
        </w:tc>
        <w:tc>
          <w:tcPr>
            <w:tcW w:w="709" w:type="dxa"/>
            <w:vAlign w:val="center"/>
          </w:tcPr>
          <w:p w:rsidR="008E5B30" w:rsidRDefault="00013397">
            <w:pPr>
              <w:jc w:val="right"/>
            </w:pPr>
            <w:r>
              <w:rPr>
                <w:rFonts w:eastAsiaTheme="minorEastAsia"/>
                <w:color w:val="000000"/>
                <w:szCs w:val="21"/>
              </w:rPr>
              <w:t>123,701,670.90</w:t>
            </w:r>
          </w:p>
        </w:tc>
        <w:tc>
          <w:tcPr>
            <w:tcW w:w="1276" w:type="dxa"/>
            <w:vAlign w:val="center"/>
          </w:tcPr>
          <w:p w:rsidR="008E5B30" w:rsidRDefault="00013397">
            <w:pPr>
              <w:jc w:val="right"/>
            </w:pPr>
            <w:r>
              <w:rPr>
                <w:rFonts w:eastAsiaTheme="minorEastAsia"/>
                <w:color w:val="000000"/>
                <w:szCs w:val="21"/>
              </w:rPr>
              <w:t>7.64%</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Standard Chartered Bank</w:t>
            </w:r>
          </w:p>
        </w:tc>
        <w:tc>
          <w:tcPr>
            <w:tcW w:w="709" w:type="dxa"/>
            <w:vAlign w:val="center"/>
          </w:tcPr>
          <w:p w:rsidR="008E5B30" w:rsidRDefault="00013397">
            <w:pPr>
              <w:jc w:val="right"/>
            </w:pPr>
            <w:r>
              <w:rPr>
                <w:rFonts w:eastAsiaTheme="minorEastAsia"/>
                <w:color w:val="000000"/>
                <w:szCs w:val="21"/>
              </w:rPr>
              <w:t>159,343,680.21</w:t>
            </w:r>
          </w:p>
        </w:tc>
        <w:tc>
          <w:tcPr>
            <w:tcW w:w="1276" w:type="dxa"/>
            <w:vAlign w:val="center"/>
          </w:tcPr>
          <w:p w:rsidR="008E5B30" w:rsidRDefault="00013397">
            <w:pPr>
              <w:jc w:val="right"/>
            </w:pPr>
            <w:r>
              <w:rPr>
                <w:rFonts w:eastAsiaTheme="minorEastAsia"/>
                <w:color w:val="000000"/>
                <w:szCs w:val="21"/>
              </w:rPr>
              <w:t>9.85%</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Credit Suisse (HongKong) Limited</w:t>
            </w:r>
          </w:p>
        </w:tc>
        <w:tc>
          <w:tcPr>
            <w:tcW w:w="709" w:type="dxa"/>
            <w:vAlign w:val="center"/>
          </w:tcPr>
          <w:p w:rsidR="008E5B30" w:rsidRDefault="00013397">
            <w:pPr>
              <w:jc w:val="right"/>
            </w:pPr>
            <w:r>
              <w:rPr>
                <w:rFonts w:eastAsiaTheme="minorEastAsia"/>
                <w:color w:val="000000"/>
                <w:szCs w:val="21"/>
              </w:rPr>
              <w:t>17,925,595.42</w:t>
            </w:r>
          </w:p>
        </w:tc>
        <w:tc>
          <w:tcPr>
            <w:tcW w:w="1276" w:type="dxa"/>
            <w:vAlign w:val="center"/>
          </w:tcPr>
          <w:p w:rsidR="008E5B30" w:rsidRDefault="00013397">
            <w:pPr>
              <w:jc w:val="right"/>
            </w:pPr>
            <w:r>
              <w:rPr>
                <w:rFonts w:eastAsiaTheme="minorEastAsia"/>
                <w:color w:val="000000"/>
                <w:szCs w:val="21"/>
              </w:rPr>
              <w:t>1.11%</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China Intl Capital Corp HK Secs Ltd</w:t>
            </w:r>
          </w:p>
        </w:tc>
        <w:tc>
          <w:tcPr>
            <w:tcW w:w="709" w:type="dxa"/>
            <w:vAlign w:val="center"/>
          </w:tcPr>
          <w:p w:rsidR="008E5B30" w:rsidRDefault="00013397">
            <w:pPr>
              <w:jc w:val="right"/>
            </w:pPr>
            <w:r>
              <w:rPr>
                <w:rFonts w:eastAsiaTheme="minorEastAsia"/>
                <w:color w:val="000000"/>
                <w:szCs w:val="21"/>
              </w:rPr>
              <w:t>12,673,222.68</w:t>
            </w:r>
          </w:p>
        </w:tc>
        <w:tc>
          <w:tcPr>
            <w:tcW w:w="1276" w:type="dxa"/>
            <w:vAlign w:val="center"/>
          </w:tcPr>
          <w:p w:rsidR="008E5B30" w:rsidRDefault="00013397">
            <w:pPr>
              <w:jc w:val="right"/>
            </w:pPr>
            <w:r>
              <w:rPr>
                <w:rFonts w:eastAsiaTheme="minorEastAsia"/>
                <w:color w:val="000000"/>
                <w:szCs w:val="21"/>
              </w:rPr>
              <w:t>0.78%</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Huatai Securities Limited</w:t>
            </w:r>
          </w:p>
        </w:tc>
        <w:tc>
          <w:tcPr>
            <w:tcW w:w="709" w:type="dxa"/>
            <w:vAlign w:val="center"/>
          </w:tcPr>
          <w:p w:rsidR="008E5B30" w:rsidRDefault="00013397">
            <w:pPr>
              <w:jc w:val="right"/>
            </w:pPr>
            <w:r>
              <w:rPr>
                <w:rFonts w:eastAsiaTheme="minorEastAsia"/>
                <w:color w:val="000000"/>
                <w:szCs w:val="21"/>
              </w:rPr>
              <w:t>48,895,362.40</w:t>
            </w:r>
          </w:p>
        </w:tc>
        <w:tc>
          <w:tcPr>
            <w:tcW w:w="1276" w:type="dxa"/>
            <w:vAlign w:val="center"/>
          </w:tcPr>
          <w:p w:rsidR="008E5B30" w:rsidRDefault="00013397">
            <w:pPr>
              <w:jc w:val="right"/>
            </w:pPr>
            <w:r>
              <w:rPr>
                <w:rFonts w:eastAsiaTheme="minorEastAsia"/>
                <w:color w:val="000000"/>
                <w:szCs w:val="21"/>
              </w:rPr>
              <w:t>3.02%</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Mizuho Securites Asia</w:t>
            </w:r>
          </w:p>
        </w:tc>
        <w:tc>
          <w:tcPr>
            <w:tcW w:w="709" w:type="dxa"/>
            <w:vAlign w:val="center"/>
          </w:tcPr>
          <w:p w:rsidR="008E5B30" w:rsidRDefault="00013397">
            <w:pPr>
              <w:jc w:val="right"/>
            </w:pPr>
            <w:r>
              <w:rPr>
                <w:rFonts w:eastAsiaTheme="minorEastAsia"/>
                <w:color w:val="000000"/>
                <w:szCs w:val="21"/>
              </w:rPr>
              <w:t>94,656,227.24</w:t>
            </w:r>
          </w:p>
        </w:tc>
        <w:tc>
          <w:tcPr>
            <w:tcW w:w="1276" w:type="dxa"/>
            <w:vAlign w:val="center"/>
          </w:tcPr>
          <w:p w:rsidR="008E5B30" w:rsidRDefault="00013397">
            <w:pPr>
              <w:jc w:val="right"/>
            </w:pPr>
            <w:r>
              <w:rPr>
                <w:rFonts w:eastAsiaTheme="minorEastAsia"/>
                <w:color w:val="000000"/>
                <w:szCs w:val="21"/>
              </w:rPr>
              <w:t>5.85%</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Morgan Stanley &amp; Co. International PLC</w:t>
            </w:r>
          </w:p>
        </w:tc>
        <w:tc>
          <w:tcPr>
            <w:tcW w:w="709" w:type="dxa"/>
            <w:vAlign w:val="center"/>
          </w:tcPr>
          <w:p w:rsidR="008E5B30" w:rsidRDefault="00013397">
            <w:pPr>
              <w:jc w:val="right"/>
            </w:pPr>
            <w:r>
              <w:rPr>
                <w:rFonts w:eastAsiaTheme="minorEastAsia"/>
                <w:color w:val="000000"/>
                <w:szCs w:val="21"/>
              </w:rPr>
              <w:t>134,459,983.31</w:t>
            </w:r>
          </w:p>
        </w:tc>
        <w:tc>
          <w:tcPr>
            <w:tcW w:w="1276" w:type="dxa"/>
            <w:vAlign w:val="center"/>
          </w:tcPr>
          <w:p w:rsidR="008E5B30" w:rsidRDefault="00013397">
            <w:pPr>
              <w:jc w:val="right"/>
            </w:pPr>
            <w:r>
              <w:rPr>
                <w:rFonts w:eastAsiaTheme="minorEastAsia"/>
                <w:color w:val="000000"/>
                <w:szCs w:val="21"/>
              </w:rPr>
              <w:t>8.31%</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Jefferies International Limited</w:t>
            </w:r>
          </w:p>
        </w:tc>
        <w:tc>
          <w:tcPr>
            <w:tcW w:w="709" w:type="dxa"/>
            <w:vAlign w:val="center"/>
          </w:tcPr>
          <w:p w:rsidR="008E5B30" w:rsidRDefault="00013397">
            <w:pPr>
              <w:jc w:val="right"/>
            </w:pPr>
            <w:r>
              <w:rPr>
                <w:rFonts w:eastAsiaTheme="minorEastAsia"/>
                <w:color w:val="000000"/>
                <w:szCs w:val="21"/>
              </w:rPr>
              <w:t>47,704,839.89</w:t>
            </w:r>
          </w:p>
        </w:tc>
        <w:tc>
          <w:tcPr>
            <w:tcW w:w="1276" w:type="dxa"/>
            <w:vAlign w:val="center"/>
          </w:tcPr>
          <w:p w:rsidR="008E5B30" w:rsidRDefault="00013397">
            <w:pPr>
              <w:jc w:val="right"/>
            </w:pPr>
            <w:r>
              <w:rPr>
                <w:rFonts w:eastAsiaTheme="minorEastAsia"/>
                <w:color w:val="000000"/>
                <w:szCs w:val="21"/>
              </w:rPr>
              <w:t>2.95%</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Goldman Sachs</w:t>
            </w:r>
          </w:p>
        </w:tc>
        <w:tc>
          <w:tcPr>
            <w:tcW w:w="709" w:type="dxa"/>
            <w:vAlign w:val="center"/>
          </w:tcPr>
          <w:p w:rsidR="008E5B30" w:rsidRDefault="00013397">
            <w:pPr>
              <w:jc w:val="right"/>
            </w:pPr>
            <w:r>
              <w:rPr>
                <w:rFonts w:eastAsiaTheme="minorEastAsia"/>
                <w:color w:val="000000"/>
                <w:szCs w:val="21"/>
              </w:rPr>
              <w:t>104,946,677.23</w:t>
            </w:r>
          </w:p>
        </w:tc>
        <w:tc>
          <w:tcPr>
            <w:tcW w:w="1276" w:type="dxa"/>
            <w:vAlign w:val="center"/>
          </w:tcPr>
          <w:p w:rsidR="008E5B30" w:rsidRDefault="00013397">
            <w:pPr>
              <w:jc w:val="right"/>
            </w:pPr>
            <w:r>
              <w:rPr>
                <w:rFonts w:eastAsiaTheme="minorEastAsia"/>
                <w:color w:val="000000"/>
                <w:szCs w:val="21"/>
              </w:rPr>
              <w:t>6.49%</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China Zheshang Bank</w:t>
            </w:r>
          </w:p>
        </w:tc>
        <w:tc>
          <w:tcPr>
            <w:tcW w:w="709" w:type="dxa"/>
            <w:vAlign w:val="center"/>
          </w:tcPr>
          <w:p w:rsidR="008E5B30" w:rsidRDefault="00013397">
            <w:pPr>
              <w:jc w:val="right"/>
            </w:pPr>
            <w:r>
              <w:rPr>
                <w:rFonts w:eastAsiaTheme="minorEastAsia"/>
                <w:color w:val="000000"/>
                <w:szCs w:val="21"/>
              </w:rPr>
              <w:t>11,126,843.04</w:t>
            </w:r>
          </w:p>
        </w:tc>
        <w:tc>
          <w:tcPr>
            <w:tcW w:w="1276" w:type="dxa"/>
            <w:vAlign w:val="center"/>
          </w:tcPr>
          <w:p w:rsidR="008E5B30" w:rsidRDefault="00013397">
            <w:pPr>
              <w:jc w:val="right"/>
            </w:pPr>
            <w:r>
              <w:rPr>
                <w:rFonts w:eastAsiaTheme="minorEastAsia"/>
                <w:color w:val="000000"/>
                <w:szCs w:val="21"/>
              </w:rPr>
              <w:t>0.69%</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CCB International Securities Limited</w:t>
            </w:r>
          </w:p>
        </w:tc>
        <w:tc>
          <w:tcPr>
            <w:tcW w:w="709" w:type="dxa"/>
            <w:vAlign w:val="center"/>
          </w:tcPr>
          <w:p w:rsidR="008E5B30" w:rsidRDefault="00013397">
            <w:pPr>
              <w:jc w:val="right"/>
            </w:pPr>
            <w:r>
              <w:rPr>
                <w:rFonts w:eastAsiaTheme="minorEastAsia"/>
                <w:color w:val="000000"/>
                <w:szCs w:val="21"/>
              </w:rPr>
              <w:t>-</w:t>
            </w:r>
          </w:p>
        </w:tc>
        <w:tc>
          <w:tcPr>
            <w:tcW w:w="1276" w:type="dxa"/>
            <w:vAlign w:val="center"/>
          </w:tcPr>
          <w:p w:rsidR="008E5B30" w:rsidRDefault="00013397">
            <w:pPr>
              <w:jc w:val="right"/>
            </w:pPr>
            <w:r>
              <w:rPr>
                <w:rFonts w:eastAsiaTheme="minorEastAsia"/>
                <w:color w:val="000000"/>
                <w:szCs w:val="21"/>
              </w:rPr>
              <w:t>-</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China CITIC Bank International Limited</w:t>
            </w:r>
          </w:p>
        </w:tc>
        <w:tc>
          <w:tcPr>
            <w:tcW w:w="709" w:type="dxa"/>
            <w:vAlign w:val="center"/>
          </w:tcPr>
          <w:p w:rsidR="008E5B30" w:rsidRDefault="00013397">
            <w:pPr>
              <w:jc w:val="right"/>
            </w:pPr>
            <w:r>
              <w:rPr>
                <w:rFonts w:eastAsiaTheme="minorEastAsia"/>
                <w:color w:val="000000"/>
                <w:szCs w:val="21"/>
              </w:rPr>
              <w:t>-</w:t>
            </w:r>
          </w:p>
        </w:tc>
        <w:tc>
          <w:tcPr>
            <w:tcW w:w="1276" w:type="dxa"/>
            <w:vAlign w:val="center"/>
          </w:tcPr>
          <w:p w:rsidR="008E5B30" w:rsidRDefault="00013397">
            <w:pPr>
              <w:jc w:val="right"/>
            </w:pPr>
            <w:r>
              <w:rPr>
                <w:rFonts w:eastAsiaTheme="minorEastAsia"/>
                <w:color w:val="000000"/>
                <w:szCs w:val="21"/>
              </w:rPr>
              <w:t>-</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BOC International Limited</w:t>
            </w:r>
          </w:p>
        </w:tc>
        <w:tc>
          <w:tcPr>
            <w:tcW w:w="709" w:type="dxa"/>
            <w:vAlign w:val="center"/>
          </w:tcPr>
          <w:p w:rsidR="008E5B30" w:rsidRDefault="00013397">
            <w:pPr>
              <w:jc w:val="right"/>
            </w:pPr>
            <w:r>
              <w:rPr>
                <w:rFonts w:eastAsiaTheme="minorEastAsia"/>
                <w:color w:val="000000"/>
                <w:szCs w:val="21"/>
              </w:rPr>
              <w:t>-</w:t>
            </w:r>
          </w:p>
        </w:tc>
        <w:tc>
          <w:tcPr>
            <w:tcW w:w="1276" w:type="dxa"/>
            <w:vAlign w:val="center"/>
          </w:tcPr>
          <w:p w:rsidR="008E5B30" w:rsidRDefault="00013397">
            <w:pPr>
              <w:jc w:val="right"/>
            </w:pPr>
            <w:r>
              <w:rPr>
                <w:rFonts w:eastAsiaTheme="minorEastAsia"/>
                <w:color w:val="000000"/>
                <w:szCs w:val="21"/>
              </w:rPr>
              <w:t>-</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KGI Hong Kong Limited</w:t>
            </w:r>
          </w:p>
        </w:tc>
        <w:tc>
          <w:tcPr>
            <w:tcW w:w="709" w:type="dxa"/>
            <w:vAlign w:val="center"/>
          </w:tcPr>
          <w:p w:rsidR="008E5B30" w:rsidRDefault="00013397">
            <w:pPr>
              <w:jc w:val="right"/>
            </w:pPr>
            <w:r>
              <w:rPr>
                <w:rFonts w:eastAsiaTheme="minorEastAsia"/>
                <w:color w:val="000000"/>
                <w:szCs w:val="21"/>
              </w:rPr>
              <w:t>-</w:t>
            </w:r>
          </w:p>
        </w:tc>
        <w:tc>
          <w:tcPr>
            <w:tcW w:w="1276" w:type="dxa"/>
            <w:vAlign w:val="center"/>
          </w:tcPr>
          <w:p w:rsidR="008E5B30" w:rsidRDefault="00013397">
            <w:pPr>
              <w:jc w:val="right"/>
            </w:pPr>
            <w:r>
              <w:rPr>
                <w:rFonts w:eastAsiaTheme="minorEastAsia"/>
                <w:color w:val="000000"/>
                <w:szCs w:val="21"/>
              </w:rPr>
              <w:t>-</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Industrial Securities International</w:t>
            </w:r>
          </w:p>
        </w:tc>
        <w:tc>
          <w:tcPr>
            <w:tcW w:w="709" w:type="dxa"/>
            <w:vAlign w:val="center"/>
          </w:tcPr>
          <w:p w:rsidR="008E5B30" w:rsidRDefault="00013397">
            <w:pPr>
              <w:jc w:val="right"/>
            </w:pPr>
            <w:r>
              <w:rPr>
                <w:rFonts w:eastAsiaTheme="minorEastAsia"/>
                <w:color w:val="000000"/>
                <w:szCs w:val="21"/>
              </w:rPr>
              <w:t>-</w:t>
            </w:r>
          </w:p>
        </w:tc>
        <w:tc>
          <w:tcPr>
            <w:tcW w:w="1276" w:type="dxa"/>
            <w:vAlign w:val="center"/>
          </w:tcPr>
          <w:p w:rsidR="008E5B30" w:rsidRDefault="00013397">
            <w:pPr>
              <w:jc w:val="right"/>
            </w:pPr>
            <w:r>
              <w:rPr>
                <w:rFonts w:eastAsiaTheme="minorEastAsia"/>
                <w:color w:val="000000"/>
                <w:szCs w:val="21"/>
              </w:rPr>
              <w:t>-</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Zhongtai International Limited</w:t>
            </w:r>
          </w:p>
        </w:tc>
        <w:tc>
          <w:tcPr>
            <w:tcW w:w="709" w:type="dxa"/>
            <w:vAlign w:val="center"/>
          </w:tcPr>
          <w:p w:rsidR="008E5B30" w:rsidRDefault="00013397">
            <w:pPr>
              <w:jc w:val="right"/>
            </w:pPr>
            <w:r>
              <w:rPr>
                <w:rFonts w:eastAsiaTheme="minorEastAsia"/>
                <w:color w:val="000000"/>
                <w:szCs w:val="21"/>
              </w:rPr>
              <w:t>-</w:t>
            </w:r>
          </w:p>
        </w:tc>
        <w:tc>
          <w:tcPr>
            <w:tcW w:w="1276" w:type="dxa"/>
            <w:vAlign w:val="center"/>
          </w:tcPr>
          <w:p w:rsidR="008E5B30" w:rsidRDefault="00013397">
            <w:pPr>
              <w:jc w:val="right"/>
            </w:pPr>
            <w:r>
              <w:rPr>
                <w:rFonts w:eastAsiaTheme="minorEastAsia"/>
                <w:color w:val="000000"/>
                <w:szCs w:val="21"/>
              </w:rPr>
              <w:t>-</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Nomura Interational</w:t>
            </w:r>
          </w:p>
        </w:tc>
        <w:tc>
          <w:tcPr>
            <w:tcW w:w="709" w:type="dxa"/>
            <w:vAlign w:val="center"/>
          </w:tcPr>
          <w:p w:rsidR="008E5B30" w:rsidRDefault="00013397">
            <w:pPr>
              <w:jc w:val="right"/>
            </w:pPr>
            <w:r>
              <w:rPr>
                <w:rFonts w:eastAsiaTheme="minorEastAsia"/>
                <w:color w:val="000000"/>
                <w:szCs w:val="21"/>
              </w:rPr>
              <w:t>-</w:t>
            </w:r>
          </w:p>
        </w:tc>
        <w:tc>
          <w:tcPr>
            <w:tcW w:w="1276" w:type="dxa"/>
            <w:vAlign w:val="center"/>
          </w:tcPr>
          <w:p w:rsidR="008E5B30" w:rsidRDefault="00013397">
            <w:pPr>
              <w:jc w:val="right"/>
            </w:pPr>
            <w:r>
              <w:rPr>
                <w:rFonts w:eastAsiaTheme="minorEastAsia"/>
                <w:color w:val="000000"/>
                <w:szCs w:val="21"/>
              </w:rPr>
              <w:t>-</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r w:rsidR="008E5B30">
        <w:tc>
          <w:tcPr>
            <w:tcW w:w="709" w:type="dxa"/>
            <w:vAlign w:val="center"/>
          </w:tcPr>
          <w:p w:rsidR="008E5B30" w:rsidRDefault="00013397">
            <w:pPr>
              <w:jc w:val="left"/>
            </w:pPr>
            <w:r>
              <w:rPr>
                <w:rFonts w:eastAsiaTheme="minorEastAsia"/>
                <w:color w:val="000000"/>
                <w:szCs w:val="21"/>
              </w:rPr>
              <w:t>SMBC Nikko Securities (Hong Kong) Limited</w:t>
            </w:r>
          </w:p>
        </w:tc>
        <w:tc>
          <w:tcPr>
            <w:tcW w:w="709" w:type="dxa"/>
            <w:vAlign w:val="center"/>
          </w:tcPr>
          <w:p w:rsidR="008E5B30" w:rsidRDefault="00013397">
            <w:pPr>
              <w:jc w:val="right"/>
            </w:pPr>
            <w:r>
              <w:rPr>
                <w:rFonts w:eastAsiaTheme="minorEastAsia"/>
                <w:color w:val="000000"/>
                <w:szCs w:val="21"/>
              </w:rPr>
              <w:t>-</w:t>
            </w:r>
          </w:p>
        </w:tc>
        <w:tc>
          <w:tcPr>
            <w:tcW w:w="1276" w:type="dxa"/>
            <w:vAlign w:val="center"/>
          </w:tcPr>
          <w:p w:rsidR="008E5B30" w:rsidRDefault="00013397">
            <w:pPr>
              <w:jc w:val="right"/>
            </w:pPr>
            <w:r>
              <w:rPr>
                <w:rFonts w:eastAsiaTheme="minorEastAsia"/>
                <w:color w:val="000000"/>
                <w:szCs w:val="21"/>
              </w:rPr>
              <w:t>-</w:t>
            </w:r>
          </w:p>
        </w:tc>
        <w:tc>
          <w:tcPr>
            <w:tcW w:w="763" w:type="dxa"/>
            <w:vAlign w:val="center"/>
          </w:tcPr>
          <w:p w:rsidR="008E5B30" w:rsidRDefault="00013397">
            <w:pPr>
              <w:jc w:val="right"/>
            </w:pPr>
            <w:r>
              <w:rPr>
                <w:rFonts w:eastAsiaTheme="minorEastAsia"/>
                <w:color w:val="000000"/>
                <w:szCs w:val="21"/>
              </w:rPr>
              <w:t>-</w:t>
            </w:r>
          </w:p>
        </w:tc>
        <w:tc>
          <w:tcPr>
            <w:tcW w:w="1260" w:type="dxa"/>
            <w:vAlign w:val="center"/>
          </w:tcPr>
          <w:p w:rsidR="008E5B30" w:rsidRDefault="00013397">
            <w:pPr>
              <w:jc w:val="right"/>
            </w:pPr>
            <w:r>
              <w:rPr>
                <w:rFonts w:eastAsiaTheme="minorEastAsia"/>
                <w:color w:val="000000"/>
                <w:szCs w:val="21"/>
              </w:rPr>
              <w:t>-</w:t>
            </w:r>
          </w:p>
        </w:tc>
        <w:tc>
          <w:tcPr>
            <w:tcW w:w="724" w:type="dxa"/>
            <w:vAlign w:val="center"/>
          </w:tcPr>
          <w:p w:rsidR="008E5B30" w:rsidRDefault="00013397">
            <w:pPr>
              <w:jc w:val="right"/>
            </w:pPr>
            <w:r>
              <w:rPr>
                <w:rFonts w:eastAsiaTheme="minorEastAsia"/>
                <w:color w:val="000000"/>
                <w:szCs w:val="21"/>
              </w:rPr>
              <w:t>-</w:t>
            </w:r>
          </w:p>
        </w:tc>
        <w:tc>
          <w:tcPr>
            <w:tcW w:w="1440" w:type="dxa"/>
            <w:vAlign w:val="center"/>
          </w:tcPr>
          <w:p w:rsidR="008E5B30" w:rsidRDefault="00013397">
            <w:pPr>
              <w:jc w:val="right"/>
            </w:pPr>
            <w:r>
              <w:rPr>
                <w:rFonts w:eastAsiaTheme="minorEastAsia"/>
                <w:color w:val="000000"/>
                <w:szCs w:val="21"/>
              </w:rPr>
              <w:t>-</w:t>
            </w:r>
          </w:p>
        </w:tc>
        <w:tc>
          <w:tcPr>
            <w:tcW w:w="781" w:type="dxa"/>
            <w:vAlign w:val="center"/>
          </w:tcPr>
          <w:p w:rsidR="008E5B30" w:rsidRDefault="00013397">
            <w:pPr>
              <w:jc w:val="right"/>
            </w:pPr>
            <w:r>
              <w:rPr>
                <w:rFonts w:eastAsiaTheme="minorEastAsia"/>
                <w:color w:val="000000"/>
                <w:szCs w:val="21"/>
              </w:rPr>
              <w:t>-</w:t>
            </w:r>
          </w:p>
        </w:tc>
        <w:tc>
          <w:tcPr>
            <w:tcW w:w="1181" w:type="dxa"/>
            <w:vAlign w:val="center"/>
          </w:tcPr>
          <w:p w:rsidR="008E5B30" w:rsidRDefault="00013397">
            <w:pPr>
              <w:jc w:val="right"/>
            </w:pPr>
            <w:r>
              <w:rPr>
                <w:rFonts w:eastAsiaTheme="minorEastAsia"/>
                <w:color w:val="000000"/>
                <w:szCs w:val="21"/>
              </w:rPr>
              <w:t>-</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58" w:name="_Toc352256018"/>
      <w:bookmarkStart w:id="359" w:name="_Toc352256086"/>
      <w:bookmarkStart w:id="360" w:name="_Toc352331264"/>
      <w:bookmarkStart w:id="361" w:name="_Toc390164848"/>
      <w:bookmarkStart w:id="362" w:name="_Toc48659823"/>
      <w:r w:rsidRPr="0087359D">
        <w:rPr>
          <w:rFonts w:ascii="宋体" w:hAnsi="宋体"/>
          <w:kern w:val="0"/>
          <w:sz w:val="21"/>
          <w:szCs w:val="21"/>
        </w:rPr>
        <w:t>10.8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其他重大事件</w:t>
      </w:r>
      <w:bookmarkEnd w:id="358"/>
      <w:bookmarkEnd w:id="359"/>
      <w:bookmarkEnd w:id="360"/>
      <w:bookmarkEnd w:id="361"/>
      <w:bookmarkEnd w:id="36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8A5A5D" w:rsidRPr="00C24ACA" w:rsidTr="004A4847">
        <w:tc>
          <w:tcPr>
            <w:tcW w:w="7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序号</w:t>
            </w:r>
          </w:p>
        </w:tc>
        <w:tc>
          <w:tcPr>
            <w:tcW w:w="43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公告事项</w:t>
            </w:r>
          </w:p>
        </w:tc>
        <w:tc>
          <w:tcPr>
            <w:tcW w:w="25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法定披露方式</w:t>
            </w:r>
          </w:p>
        </w:tc>
        <w:tc>
          <w:tcPr>
            <w:tcW w:w="144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法定披露日期</w:t>
            </w:r>
          </w:p>
        </w:tc>
      </w:tr>
      <w:tr w:rsidR="008E5B30">
        <w:tc>
          <w:tcPr>
            <w:tcW w:w="720" w:type="dxa"/>
            <w:vAlign w:val="center"/>
          </w:tcPr>
          <w:p w:rsidR="008E5B30" w:rsidRDefault="00013397">
            <w:pPr>
              <w:jc w:val="center"/>
            </w:pPr>
            <w:r>
              <w:rPr>
                <w:rFonts w:eastAsiaTheme="minorEastAsia"/>
                <w:color w:val="000000"/>
                <w:szCs w:val="21"/>
              </w:rPr>
              <w:t>1</w:t>
            </w:r>
          </w:p>
        </w:tc>
        <w:tc>
          <w:tcPr>
            <w:tcW w:w="4320" w:type="dxa"/>
            <w:vAlign w:val="center"/>
          </w:tcPr>
          <w:p w:rsidR="008E5B30" w:rsidRDefault="00013397">
            <w:pPr>
              <w:jc w:val="left"/>
            </w:pPr>
            <w:r>
              <w:rPr>
                <w:rFonts w:eastAsiaTheme="minorEastAsia"/>
                <w:color w:val="000000"/>
                <w:szCs w:val="21"/>
              </w:rPr>
              <w:t>易方达基金管理有限公司旗下部分开放式基金增加微众银行为销售机构、参加微众银行费率优惠活动的公告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2020-01-15</w:t>
            </w:r>
          </w:p>
        </w:tc>
      </w:tr>
      <w:tr w:rsidR="008E5B30">
        <w:tc>
          <w:tcPr>
            <w:tcW w:w="720" w:type="dxa"/>
            <w:vAlign w:val="center"/>
          </w:tcPr>
          <w:p w:rsidR="008E5B30" w:rsidRDefault="00013397">
            <w:pPr>
              <w:jc w:val="center"/>
            </w:pPr>
            <w:r>
              <w:rPr>
                <w:rFonts w:eastAsiaTheme="minorEastAsia"/>
                <w:color w:val="000000"/>
                <w:szCs w:val="21"/>
              </w:rPr>
              <w:t>2</w:t>
            </w:r>
          </w:p>
        </w:tc>
        <w:tc>
          <w:tcPr>
            <w:tcW w:w="4320" w:type="dxa"/>
            <w:vAlign w:val="center"/>
          </w:tcPr>
          <w:p w:rsidR="008E5B30" w:rsidRDefault="00013397">
            <w:pPr>
              <w:jc w:val="left"/>
            </w:pPr>
            <w:r>
              <w:rPr>
                <w:rFonts w:eastAsiaTheme="minorEastAsia"/>
                <w:color w:val="000000"/>
                <w:szCs w:val="21"/>
              </w:rPr>
              <w:t>易方达中短期美元债债券型证券投资基金（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1</w:t>
            </w:r>
            <w:r>
              <w:rPr>
                <w:rFonts w:eastAsiaTheme="minorEastAsia"/>
                <w:color w:val="000000"/>
                <w:szCs w:val="21"/>
              </w:rPr>
              <w:t>月</w:t>
            </w:r>
            <w:r>
              <w:rPr>
                <w:rFonts w:eastAsiaTheme="minorEastAsia"/>
                <w:color w:val="000000"/>
                <w:szCs w:val="21"/>
              </w:rPr>
              <w:t>20</w:t>
            </w:r>
            <w:r>
              <w:rPr>
                <w:rFonts w:eastAsiaTheme="minorEastAsia"/>
                <w:color w:val="000000"/>
                <w:szCs w:val="21"/>
              </w:rPr>
              <w:t>日暂停申购、赎回及定期定额投资业务的公告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2020-01-15</w:t>
            </w:r>
          </w:p>
        </w:tc>
      </w:tr>
      <w:tr w:rsidR="008E5B30">
        <w:tc>
          <w:tcPr>
            <w:tcW w:w="720" w:type="dxa"/>
            <w:vAlign w:val="center"/>
          </w:tcPr>
          <w:p w:rsidR="008E5B30" w:rsidRDefault="00013397">
            <w:pPr>
              <w:jc w:val="center"/>
            </w:pPr>
            <w:r>
              <w:rPr>
                <w:rFonts w:eastAsiaTheme="minorEastAsia"/>
                <w:color w:val="000000"/>
                <w:szCs w:val="21"/>
              </w:rPr>
              <w:t>3</w:t>
            </w:r>
          </w:p>
        </w:tc>
        <w:tc>
          <w:tcPr>
            <w:tcW w:w="4320" w:type="dxa"/>
            <w:vAlign w:val="center"/>
          </w:tcPr>
          <w:p w:rsidR="008E5B30" w:rsidRDefault="00013397">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年第</w:t>
            </w:r>
            <w:r>
              <w:rPr>
                <w:rFonts w:eastAsiaTheme="minorEastAsia"/>
                <w:color w:val="000000"/>
                <w:szCs w:val="21"/>
              </w:rPr>
              <w:t>4</w:t>
            </w:r>
            <w:r>
              <w:rPr>
                <w:rFonts w:eastAsiaTheme="minorEastAsia"/>
                <w:color w:val="000000"/>
                <w:szCs w:val="21"/>
              </w:rPr>
              <w:t>季度报告提示性公告</w:t>
            </w:r>
          </w:p>
        </w:tc>
        <w:tc>
          <w:tcPr>
            <w:tcW w:w="2520" w:type="dxa"/>
            <w:vAlign w:val="center"/>
          </w:tcPr>
          <w:p w:rsidR="008E5B30" w:rsidRDefault="00013397">
            <w:pPr>
              <w:jc w:val="left"/>
            </w:pPr>
            <w:r>
              <w:rPr>
                <w:rFonts w:eastAsiaTheme="minorEastAsia"/>
                <w:color w:val="000000"/>
                <w:szCs w:val="21"/>
              </w:rPr>
              <w:t>上海证券报</w:t>
            </w:r>
          </w:p>
        </w:tc>
        <w:tc>
          <w:tcPr>
            <w:tcW w:w="1440" w:type="dxa"/>
            <w:vAlign w:val="center"/>
          </w:tcPr>
          <w:p w:rsidR="008E5B30" w:rsidRDefault="00013397">
            <w:pPr>
              <w:jc w:val="center"/>
            </w:pPr>
            <w:r>
              <w:rPr>
                <w:rFonts w:eastAsiaTheme="minorEastAsia"/>
                <w:color w:val="000000"/>
                <w:szCs w:val="21"/>
              </w:rPr>
              <w:t>2020-01-18</w:t>
            </w:r>
          </w:p>
        </w:tc>
      </w:tr>
      <w:tr w:rsidR="008E5B30">
        <w:tc>
          <w:tcPr>
            <w:tcW w:w="720" w:type="dxa"/>
            <w:vAlign w:val="center"/>
          </w:tcPr>
          <w:p w:rsidR="008E5B30" w:rsidRDefault="00013397">
            <w:pPr>
              <w:jc w:val="center"/>
            </w:pPr>
            <w:r>
              <w:rPr>
                <w:rFonts w:eastAsiaTheme="minorEastAsia"/>
                <w:color w:val="000000"/>
                <w:szCs w:val="21"/>
              </w:rPr>
              <w:t>4</w:t>
            </w:r>
          </w:p>
        </w:tc>
        <w:tc>
          <w:tcPr>
            <w:tcW w:w="4320" w:type="dxa"/>
            <w:vAlign w:val="center"/>
          </w:tcPr>
          <w:p w:rsidR="008E5B30" w:rsidRDefault="00013397">
            <w:pPr>
              <w:jc w:val="left"/>
            </w:pPr>
            <w:r>
              <w:rPr>
                <w:rFonts w:eastAsiaTheme="minorEastAsia"/>
                <w:color w:val="000000"/>
                <w:szCs w:val="21"/>
              </w:rPr>
              <w:t>易方达基金管理有限公司关于旗下基金</w:t>
            </w:r>
            <w:r>
              <w:rPr>
                <w:rFonts w:eastAsiaTheme="minorEastAsia"/>
                <w:color w:val="000000"/>
                <w:szCs w:val="21"/>
              </w:rPr>
              <w:t>2020</w:t>
            </w:r>
            <w:r>
              <w:rPr>
                <w:rFonts w:eastAsiaTheme="minorEastAsia"/>
                <w:color w:val="000000"/>
                <w:szCs w:val="21"/>
              </w:rPr>
              <w:t>年</w:t>
            </w:r>
            <w:r>
              <w:rPr>
                <w:rFonts w:eastAsiaTheme="minorEastAsia"/>
                <w:color w:val="000000"/>
                <w:szCs w:val="21"/>
              </w:rPr>
              <w:t>1</w:t>
            </w:r>
            <w:r>
              <w:rPr>
                <w:rFonts w:eastAsiaTheme="minorEastAsia"/>
                <w:color w:val="000000"/>
                <w:szCs w:val="21"/>
              </w:rPr>
              <w:t>月</w:t>
            </w:r>
            <w:r>
              <w:rPr>
                <w:rFonts w:eastAsiaTheme="minorEastAsia"/>
                <w:color w:val="000000"/>
                <w:szCs w:val="21"/>
              </w:rPr>
              <w:t>31</w:t>
            </w:r>
            <w:r>
              <w:rPr>
                <w:rFonts w:eastAsiaTheme="minorEastAsia"/>
                <w:color w:val="000000"/>
                <w:szCs w:val="21"/>
              </w:rPr>
              <w:t>日不开放申购、赎回、转换、定期定额投资等业务的提示性公告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2020-01-30</w:t>
            </w:r>
          </w:p>
        </w:tc>
      </w:tr>
      <w:tr w:rsidR="008E5B30">
        <w:tc>
          <w:tcPr>
            <w:tcW w:w="720" w:type="dxa"/>
            <w:vAlign w:val="center"/>
          </w:tcPr>
          <w:p w:rsidR="008E5B30" w:rsidRDefault="00013397">
            <w:pPr>
              <w:jc w:val="center"/>
            </w:pPr>
            <w:r>
              <w:rPr>
                <w:rFonts w:eastAsiaTheme="minorEastAsia"/>
                <w:color w:val="000000"/>
                <w:szCs w:val="21"/>
              </w:rPr>
              <w:t>5</w:t>
            </w:r>
          </w:p>
        </w:tc>
        <w:tc>
          <w:tcPr>
            <w:tcW w:w="4320" w:type="dxa"/>
            <w:vAlign w:val="center"/>
          </w:tcPr>
          <w:p w:rsidR="008E5B30" w:rsidRDefault="00013397">
            <w:pPr>
              <w:jc w:val="left"/>
            </w:pPr>
            <w:r>
              <w:rPr>
                <w:rFonts w:eastAsiaTheme="minorEastAsia"/>
                <w:color w:val="000000"/>
                <w:szCs w:val="21"/>
              </w:rPr>
              <w:t>易方达基金管理有限公司及全资子公司投资旗下基金相关事宜的公告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2020-02-04</w:t>
            </w:r>
          </w:p>
        </w:tc>
      </w:tr>
      <w:tr w:rsidR="008E5B30">
        <w:tc>
          <w:tcPr>
            <w:tcW w:w="720" w:type="dxa"/>
            <w:vAlign w:val="center"/>
          </w:tcPr>
          <w:p w:rsidR="008E5B30" w:rsidRDefault="00013397">
            <w:pPr>
              <w:jc w:val="center"/>
            </w:pPr>
            <w:r>
              <w:rPr>
                <w:rFonts w:eastAsiaTheme="minorEastAsia"/>
                <w:color w:val="000000"/>
                <w:szCs w:val="21"/>
              </w:rPr>
              <w:t>6</w:t>
            </w:r>
          </w:p>
        </w:tc>
        <w:tc>
          <w:tcPr>
            <w:tcW w:w="4320" w:type="dxa"/>
            <w:vAlign w:val="center"/>
          </w:tcPr>
          <w:p w:rsidR="008E5B30" w:rsidRDefault="00013397">
            <w:pPr>
              <w:jc w:val="left"/>
            </w:pPr>
            <w:r>
              <w:rPr>
                <w:rFonts w:eastAsiaTheme="minorEastAsia"/>
                <w:color w:val="000000"/>
                <w:szCs w:val="21"/>
              </w:rPr>
              <w:t>易方达中短期美元债债券型证券投资基金（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2</w:t>
            </w:r>
            <w:r>
              <w:rPr>
                <w:rFonts w:eastAsiaTheme="minorEastAsia"/>
                <w:color w:val="000000"/>
                <w:szCs w:val="21"/>
              </w:rPr>
              <w:t>月</w:t>
            </w:r>
            <w:r>
              <w:rPr>
                <w:rFonts w:eastAsiaTheme="minorEastAsia"/>
                <w:color w:val="000000"/>
                <w:szCs w:val="21"/>
              </w:rPr>
              <w:t>17</w:t>
            </w:r>
            <w:r>
              <w:rPr>
                <w:rFonts w:eastAsiaTheme="minorEastAsia"/>
                <w:color w:val="000000"/>
                <w:szCs w:val="21"/>
              </w:rPr>
              <w:t>日暂停申购、赎回及定期定额投资业务的公告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2020-02-12</w:t>
            </w:r>
          </w:p>
        </w:tc>
      </w:tr>
      <w:tr w:rsidR="008E5B30">
        <w:tc>
          <w:tcPr>
            <w:tcW w:w="720" w:type="dxa"/>
            <w:vAlign w:val="center"/>
          </w:tcPr>
          <w:p w:rsidR="008E5B30" w:rsidRDefault="00013397">
            <w:pPr>
              <w:jc w:val="center"/>
            </w:pPr>
            <w:r>
              <w:rPr>
                <w:rFonts w:eastAsiaTheme="minorEastAsia"/>
                <w:color w:val="000000"/>
                <w:szCs w:val="21"/>
              </w:rPr>
              <w:t>7</w:t>
            </w:r>
          </w:p>
        </w:tc>
        <w:tc>
          <w:tcPr>
            <w:tcW w:w="4320" w:type="dxa"/>
            <w:vAlign w:val="center"/>
          </w:tcPr>
          <w:p w:rsidR="008E5B30" w:rsidRDefault="00013397">
            <w:pPr>
              <w:jc w:val="left"/>
            </w:pPr>
            <w:r>
              <w:rPr>
                <w:rFonts w:eastAsiaTheme="minorEastAsia"/>
                <w:color w:val="000000"/>
                <w:szCs w:val="21"/>
              </w:rPr>
              <w:t>易方达中短期美元债债券型证券投资基金（</w:t>
            </w:r>
            <w:r>
              <w:rPr>
                <w:rFonts w:eastAsiaTheme="minorEastAsia"/>
                <w:color w:val="000000"/>
                <w:szCs w:val="21"/>
              </w:rPr>
              <w:t>QDII</w:t>
            </w:r>
            <w:r>
              <w:rPr>
                <w:rFonts w:eastAsiaTheme="minorEastAsia"/>
                <w:color w:val="000000"/>
                <w:szCs w:val="21"/>
              </w:rPr>
              <w:t>）人民币基金份额在非直销销售机构、网上直销系统调整大额申购业务金额限制及在直销中心恢复大额申购业务的公告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2020-03-06</w:t>
            </w:r>
          </w:p>
        </w:tc>
      </w:tr>
      <w:tr w:rsidR="008E5B30">
        <w:tc>
          <w:tcPr>
            <w:tcW w:w="720" w:type="dxa"/>
            <w:vAlign w:val="center"/>
          </w:tcPr>
          <w:p w:rsidR="008E5B30" w:rsidRDefault="00013397">
            <w:pPr>
              <w:jc w:val="center"/>
            </w:pPr>
            <w:r>
              <w:rPr>
                <w:rFonts w:eastAsiaTheme="minorEastAsia"/>
                <w:color w:val="000000"/>
                <w:szCs w:val="21"/>
              </w:rPr>
              <w:t>8</w:t>
            </w:r>
          </w:p>
        </w:tc>
        <w:tc>
          <w:tcPr>
            <w:tcW w:w="4320" w:type="dxa"/>
            <w:vAlign w:val="center"/>
          </w:tcPr>
          <w:p w:rsidR="008E5B30" w:rsidRDefault="00013397">
            <w:pPr>
              <w:jc w:val="left"/>
            </w:pPr>
            <w:r>
              <w:rPr>
                <w:rFonts w:eastAsiaTheme="minorEastAsia"/>
                <w:color w:val="000000"/>
                <w:szCs w:val="21"/>
              </w:rPr>
              <w:t>易方达中短期美元债债券型证券投资基金（</w:t>
            </w:r>
            <w:r>
              <w:rPr>
                <w:rFonts w:eastAsiaTheme="minorEastAsia"/>
                <w:color w:val="000000"/>
                <w:szCs w:val="21"/>
              </w:rPr>
              <w:t>QDII</w:t>
            </w:r>
            <w:r>
              <w:rPr>
                <w:rFonts w:eastAsiaTheme="minorEastAsia"/>
                <w:color w:val="000000"/>
                <w:szCs w:val="21"/>
              </w:rPr>
              <w:t>）暂停大额申购业务的公告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2020-03-10</w:t>
            </w:r>
          </w:p>
        </w:tc>
      </w:tr>
      <w:tr w:rsidR="008E5B30">
        <w:tc>
          <w:tcPr>
            <w:tcW w:w="720" w:type="dxa"/>
            <w:vAlign w:val="center"/>
          </w:tcPr>
          <w:p w:rsidR="008E5B30" w:rsidRDefault="00013397">
            <w:pPr>
              <w:jc w:val="center"/>
            </w:pPr>
            <w:r>
              <w:rPr>
                <w:rFonts w:eastAsiaTheme="minorEastAsia"/>
                <w:color w:val="000000"/>
                <w:szCs w:val="21"/>
              </w:rPr>
              <w:t>9</w:t>
            </w:r>
          </w:p>
        </w:tc>
        <w:tc>
          <w:tcPr>
            <w:tcW w:w="4320" w:type="dxa"/>
            <w:vAlign w:val="center"/>
          </w:tcPr>
          <w:p w:rsidR="008E5B30" w:rsidRDefault="00013397">
            <w:pPr>
              <w:jc w:val="left"/>
            </w:pPr>
            <w:r>
              <w:rPr>
                <w:rFonts w:eastAsiaTheme="minorEastAsia"/>
                <w:color w:val="000000"/>
                <w:szCs w:val="21"/>
              </w:rPr>
              <w:t>易方达中短期美元债债券型证券投资基金（</w:t>
            </w:r>
            <w:r>
              <w:rPr>
                <w:rFonts w:eastAsiaTheme="minorEastAsia"/>
                <w:color w:val="000000"/>
                <w:szCs w:val="21"/>
              </w:rPr>
              <w:t>QDII</w:t>
            </w:r>
            <w:r>
              <w:rPr>
                <w:rFonts w:eastAsiaTheme="minorEastAsia"/>
                <w:color w:val="000000"/>
                <w:szCs w:val="21"/>
              </w:rPr>
              <w:t>）暂停申购及定期定额投资业务的公告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2020-03-11</w:t>
            </w:r>
          </w:p>
        </w:tc>
      </w:tr>
      <w:tr w:rsidR="008E5B30">
        <w:tc>
          <w:tcPr>
            <w:tcW w:w="720" w:type="dxa"/>
            <w:vAlign w:val="center"/>
          </w:tcPr>
          <w:p w:rsidR="008E5B30" w:rsidRDefault="00013397">
            <w:pPr>
              <w:jc w:val="center"/>
            </w:pPr>
            <w:r>
              <w:rPr>
                <w:rFonts w:eastAsiaTheme="minorEastAsia"/>
                <w:color w:val="000000"/>
                <w:szCs w:val="21"/>
              </w:rPr>
              <w:t>10</w:t>
            </w:r>
          </w:p>
        </w:tc>
        <w:tc>
          <w:tcPr>
            <w:tcW w:w="4320" w:type="dxa"/>
            <w:vAlign w:val="center"/>
          </w:tcPr>
          <w:p w:rsidR="008E5B30" w:rsidRDefault="00013397">
            <w:pPr>
              <w:jc w:val="left"/>
            </w:pPr>
            <w:r>
              <w:rPr>
                <w:rFonts w:eastAsiaTheme="minorEastAsia"/>
                <w:color w:val="000000"/>
                <w:szCs w:val="21"/>
              </w:rPr>
              <w:t>易方达中短期美元债债券型证券投资基金（</w:t>
            </w:r>
            <w:r>
              <w:rPr>
                <w:rFonts w:eastAsiaTheme="minorEastAsia"/>
                <w:color w:val="000000"/>
                <w:szCs w:val="21"/>
              </w:rPr>
              <w:t>QDII</w:t>
            </w:r>
            <w:r>
              <w:rPr>
                <w:rFonts w:eastAsiaTheme="minorEastAsia"/>
                <w:color w:val="000000"/>
                <w:szCs w:val="21"/>
              </w:rPr>
              <w:t>）恢复申购、定期定额投资业务并暂停大额申购业务的公告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2020-03-19</w:t>
            </w:r>
          </w:p>
        </w:tc>
      </w:tr>
      <w:tr w:rsidR="008E5B30">
        <w:tc>
          <w:tcPr>
            <w:tcW w:w="720" w:type="dxa"/>
            <w:vAlign w:val="center"/>
          </w:tcPr>
          <w:p w:rsidR="008E5B30" w:rsidRDefault="00013397">
            <w:pPr>
              <w:jc w:val="center"/>
            </w:pPr>
            <w:r>
              <w:rPr>
                <w:rFonts w:eastAsiaTheme="minorEastAsia"/>
                <w:color w:val="000000"/>
                <w:szCs w:val="21"/>
              </w:rPr>
              <w:t>11</w:t>
            </w:r>
          </w:p>
        </w:tc>
        <w:tc>
          <w:tcPr>
            <w:tcW w:w="4320" w:type="dxa"/>
            <w:vAlign w:val="center"/>
          </w:tcPr>
          <w:p w:rsidR="008E5B30" w:rsidRDefault="00013397">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年年度报告提示性公告</w:t>
            </w:r>
          </w:p>
        </w:tc>
        <w:tc>
          <w:tcPr>
            <w:tcW w:w="2520" w:type="dxa"/>
            <w:vAlign w:val="center"/>
          </w:tcPr>
          <w:p w:rsidR="008E5B30" w:rsidRDefault="00013397">
            <w:pPr>
              <w:jc w:val="left"/>
            </w:pPr>
            <w:r>
              <w:rPr>
                <w:rFonts w:eastAsiaTheme="minorEastAsia"/>
                <w:color w:val="000000"/>
                <w:szCs w:val="21"/>
              </w:rPr>
              <w:t>上海证券报</w:t>
            </w:r>
          </w:p>
        </w:tc>
        <w:tc>
          <w:tcPr>
            <w:tcW w:w="1440" w:type="dxa"/>
            <w:vAlign w:val="center"/>
          </w:tcPr>
          <w:p w:rsidR="008E5B30" w:rsidRDefault="00013397">
            <w:pPr>
              <w:jc w:val="center"/>
            </w:pPr>
            <w:r>
              <w:rPr>
                <w:rFonts w:eastAsiaTheme="minorEastAsia"/>
                <w:color w:val="000000"/>
                <w:szCs w:val="21"/>
              </w:rPr>
              <w:t>2020-03-31</w:t>
            </w:r>
          </w:p>
        </w:tc>
      </w:tr>
      <w:tr w:rsidR="008E5B30">
        <w:tc>
          <w:tcPr>
            <w:tcW w:w="720" w:type="dxa"/>
            <w:vAlign w:val="center"/>
          </w:tcPr>
          <w:p w:rsidR="008E5B30" w:rsidRDefault="00013397">
            <w:pPr>
              <w:jc w:val="center"/>
            </w:pPr>
            <w:r>
              <w:rPr>
                <w:rFonts w:eastAsiaTheme="minorEastAsia"/>
                <w:color w:val="000000"/>
                <w:szCs w:val="21"/>
              </w:rPr>
              <w:t>12</w:t>
            </w:r>
          </w:p>
        </w:tc>
        <w:tc>
          <w:tcPr>
            <w:tcW w:w="4320" w:type="dxa"/>
            <w:vAlign w:val="center"/>
          </w:tcPr>
          <w:p w:rsidR="008E5B30" w:rsidRDefault="00013397">
            <w:pPr>
              <w:jc w:val="left"/>
            </w:pPr>
            <w:r>
              <w:rPr>
                <w:rFonts w:eastAsiaTheme="minorEastAsia"/>
                <w:color w:val="000000"/>
                <w:szCs w:val="21"/>
              </w:rPr>
              <w:t>易方达中短期美元债债券型证券投资基金（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4</w:t>
            </w:r>
            <w:r>
              <w:rPr>
                <w:rFonts w:eastAsiaTheme="minorEastAsia"/>
                <w:color w:val="000000"/>
                <w:szCs w:val="21"/>
              </w:rPr>
              <w:t>月</w:t>
            </w:r>
            <w:r>
              <w:rPr>
                <w:rFonts w:eastAsiaTheme="minorEastAsia"/>
                <w:color w:val="000000"/>
                <w:szCs w:val="21"/>
              </w:rPr>
              <w:t>10</w:t>
            </w:r>
            <w:r>
              <w:rPr>
                <w:rFonts w:eastAsiaTheme="minorEastAsia"/>
                <w:color w:val="000000"/>
                <w:szCs w:val="21"/>
              </w:rPr>
              <w:t>日、</w:t>
            </w:r>
            <w:r>
              <w:rPr>
                <w:rFonts w:eastAsiaTheme="minorEastAsia"/>
                <w:color w:val="000000"/>
                <w:szCs w:val="21"/>
              </w:rPr>
              <w:t>4</w:t>
            </w:r>
            <w:r>
              <w:rPr>
                <w:rFonts w:eastAsiaTheme="minorEastAsia"/>
                <w:color w:val="000000"/>
                <w:szCs w:val="21"/>
              </w:rPr>
              <w:t>月</w:t>
            </w:r>
            <w:r>
              <w:rPr>
                <w:rFonts w:eastAsiaTheme="minorEastAsia"/>
                <w:color w:val="000000"/>
                <w:szCs w:val="21"/>
              </w:rPr>
              <w:t>13</w:t>
            </w:r>
            <w:r>
              <w:rPr>
                <w:rFonts w:eastAsiaTheme="minorEastAsia"/>
                <w:color w:val="000000"/>
                <w:szCs w:val="21"/>
              </w:rPr>
              <w:t>日暂停申购、赎回及定期定额投资业务的公告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2020-04-07</w:t>
            </w:r>
          </w:p>
        </w:tc>
      </w:tr>
      <w:tr w:rsidR="008E5B30">
        <w:tc>
          <w:tcPr>
            <w:tcW w:w="720" w:type="dxa"/>
            <w:vAlign w:val="center"/>
          </w:tcPr>
          <w:p w:rsidR="008E5B30" w:rsidRDefault="00013397">
            <w:pPr>
              <w:jc w:val="center"/>
            </w:pPr>
            <w:r>
              <w:rPr>
                <w:rFonts w:eastAsiaTheme="minorEastAsia"/>
                <w:color w:val="000000"/>
                <w:szCs w:val="21"/>
              </w:rPr>
              <w:t>13</w:t>
            </w:r>
          </w:p>
        </w:tc>
        <w:tc>
          <w:tcPr>
            <w:tcW w:w="4320" w:type="dxa"/>
            <w:vAlign w:val="center"/>
          </w:tcPr>
          <w:p w:rsidR="008E5B30" w:rsidRDefault="00013397">
            <w:pPr>
              <w:jc w:val="left"/>
            </w:pPr>
            <w:r>
              <w:rPr>
                <w:rFonts w:eastAsiaTheme="minorEastAsia"/>
                <w:color w:val="000000"/>
                <w:szCs w:val="21"/>
              </w:rPr>
              <w:t>易方达基金管理有限公司关于提醒投资者及时提供或更新身份信息资料的公告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2020-04-10</w:t>
            </w:r>
          </w:p>
        </w:tc>
      </w:tr>
      <w:tr w:rsidR="008E5B30">
        <w:tc>
          <w:tcPr>
            <w:tcW w:w="720" w:type="dxa"/>
            <w:vAlign w:val="center"/>
          </w:tcPr>
          <w:p w:rsidR="008E5B30" w:rsidRDefault="00013397">
            <w:pPr>
              <w:jc w:val="center"/>
            </w:pPr>
            <w:r>
              <w:rPr>
                <w:rFonts w:eastAsiaTheme="minorEastAsia"/>
                <w:color w:val="000000"/>
                <w:szCs w:val="21"/>
              </w:rPr>
              <w:t>14</w:t>
            </w:r>
          </w:p>
        </w:tc>
        <w:tc>
          <w:tcPr>
            <w:tcW w:w="4320" w:type="dxa"/>
            <w:vAlign w:val="center"/>
          </w:tcPr>
          <w:p w:rsidR="008E5B30" w:rsidRDefault="00013397">
            <w:pPr>
              <w:jc w:val="left"/>
            </w:pPr>
            <w:r>
              <w:rPr>
                <w:rFonts w:eastAsiaTheme="minorEastAsia"/>
                <w:color w:val="000000"/>
                <w:szCs w:val="21"/>
              </w:rPr>
              <w:t>易方达基金管理有限公司旗下基金</w:t>
            </w:r>
            <w:r>
              <w:rPr>
                <w:rFonts w:eastAsiaTheme="minorEastAsia"/>
                <w:color w:val="000000"/>
                <w:szCs w:val="21"/>
              </w:rPr>
              <w:t>2020</w:t>
            </w:r>
            <w:r>
              <w:rPr>
                <w:rFonts w:eastAsiaTheme="minorEastAsia"/>
                <w:color w:val="000000"/>
                <w:szCs w:val="21"/>
              </w:rPr>
              <w:t>年第</w:t>
            </w:r>
            <w:r>
              <w:rPr>
                <w:rFonts w:eastAsiaTheme="minorEastAsia"/>
                <w:color w:val="000000"/>
                <w:szCs w:val="21"/>
              </w:rPr>
              <w:t>1</w:t>
            </w:r>
            <w:r>
              <w:rPr>
                <w:rFonts w:eastAsiaTheme="minorEastAsia"/>
                <w:color w:val="000000"/>
                <w:szCs w:val="21"/>
              </w:rPr>
              <w:t>季度报告提示性公告</w:t>
            </w:r>
          </w:p>
        </w:tc>
        <w:tc>
          <w:tcPr>
            <w:tcW w:w="2520" w:type="dxa"/>
            <w:vAlign w:val="center"/>
          </w:tcPr>
          <w:p w:rsidR="008E5B30" w:rsidRDefault="00013397">
            <w:pPr>
              <w:jc w:val="left"/>
            </w:pPr>
            <w:r>
              <w:rPr>
                <w:rFonts w:eastAsiaTheme="minorEastAsia"/>
                <w:color w:val="000000"/>
                <w:szCs w:val="21"/>
              </w:rPr>
              <w:t>上海证券报</w:t>
            </w:r>
          </w:p>
        </w:tc>
        <w:tc>
          <w:tcPr>
            <w:tcW w:w="1440" w:type="dxa"/>
            <w:vAlign w:val="center"/>
          </w:tcPr>
          <w:p w:rsidR="008E5B30" w:rsidRDefault="00013397">
            <w:pPr>
              <w:jc w:val="center"/>
            </w:pPr>
            <w:r>
              <w:rPr>
                <w:rFonts w:eastAsiaTheme="minorEastAsia"/>
                <w:color w:val="000000"/>
                <w:szCs w:val="21"/>
              </w:rPr>
              <w:t>2020-04-21</w:t>
            </w:r>
          </w:p>
        </w:tc>
      </w:tr>
      <w:tr w:rsidR="008E5B30">
        <w:tc>
          <w:tcPr>
            <w:tcW w:w="720" w:type="dxa"/>
            <w:vAlign w:val="center"/>
          </w:tcPr>
          <w:p w:rsidR="008E5B30" w:rsidRDefault="00013397">
            <w:pPr>
              <w:jc w:val="center"/>
            </w:pPr>
            <w:r>
              <w:rPr>
                <w:rFonts w:eastAsiaTheme="minorEastAsia"/>
                <w:color w:val="000000"/>
                <w:szCs w:val="21"/>
              </w:rPr>
              <w:t>15</w:t>
            </w:r>
          </w:p>
        </w:tc>
        <w:tc>
          <w:tcPr>
            <w:tcW w:w="4320" w:type="dxa"/>
            <w:vAlign w:val="center"/>
          </w:tcPr>
          <w:p w:rsidR="008E5B30" w:rsidRDefault="00013397">
            <w:pPr>
              <w:jc w:val="left"/>
            </w:pPr>
            <w:r>
              <w:rPr>
                <w:rFonts w:eastAsiaTheme="minorEastAsia"/>
                <w:color w:val="000000"/>
                <w:szCs w:val="21"/>
              </w:rPr>
              <w:t>易方达中短期美元债债券型证券投资基金（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4</w:t>
            </w:r>
            <w:r>
              <w:rPr>
                <w:rFonts w:eastAsiaTheme="minorEastAsia"/>
                <w:color w:val="000000"/>
                <w:szCs w:val="21"/>
              </w:rPr>
              <w:t>月</w:t>
            </w:r>
            <w:r>
              <w:rPr>
                <w:rFonts w:eastAsiaTheme="minorEastAsia"/>
                <w:color w:val="000000"/>
                <w:szCs w:val="21"/>
              </w:rPr>
              <w:t>30</w:t>
            </w:r>
            <w:r>
              <w:rPr>
                <w:rFonts w:eastAsiaTheme="minorEastAsia"/>
                <w:color w:val="000000"/>
                <w:szCs w:val="21"/>
              </w:rPr>
              <w:t>日暂停申购、赎回及定期定额投资业务的公告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2020-04-27</w:t>
            </w:r>
          </w:p>
        </w:tc>
      </w:tr>
      <w:tr w:rsidR="008E5B30">
        <w:tc>
          <w:tcPr>
            <w:tcW w:w="720" w:type="dxa"/>
            <w:vAlign w:val="center"/>
          </w:tcPr>
          <w:p w:rsidR="008E5B30" w:rsidRDefault="00013397">
            <w:pPr>
              <w:jc w:val="center"/>
            </w:pPr>
            <w:r>
              <w:rPr>
                <w:rFonts w:eastAsiaTheme="minorEastAsia"/>
                <w:color w:val="000000"/>
                <w:szCs w:val="21"/>
              </w:rPr>
              <w:t>16</w:t>
            </w:r>
          </w:p>
        </w:tc>
        <w:tc>
          <w:tcPr>
            <w:tcW w:w="4320" w:type="dxa"/>
            <w:vAlign w:val="center"/>
          </w:tcPr>
          <w:p w:rsidR="008E5B30" w:rsidRDefault="00013397">
            <w:pPr>
              <w:jc w:val="left"/>
            </w:pPr>
            <w:r>
              <w:rPr>
                <w:rFonts w:eastAsiaTheme="minorEastAsia"/>
                <w:color w:val="000000"/>
                <w:szCs w:val="21"/>
              </w:rPr>
              <w:t>易方达基金管理有限公司旗下部分开放式基金增加东莞农村商业银行为销售机构的公告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2020-04-29</w:t>
            </w:r>
          </w:p>
        </w:tc>
      </w:tr>
      <w:tr w:rsidR="008E5B30">
        <w:tc>
          <w:tcPr>
            <w:tcW w:w="720" w:type="dxa"/>
            <w:vAlign w:val="center"/>
          </w:tcPr>
          <w:p w:rsidR="008E5B30" w:rsidRDefault="00013397">
            <w:pPr>
              <w:jc w:val="center"/>
            </w:pPr>
            <w:r>
              <w:rPr>
                <w:rFonts w:eastAsiaTheme="minorEastAsia"/>
                <w:color w:val="000000"/>
                <w:szCs w:val="21"/>
              </w:rPr>
              <w:t>17</w:t>
            </w:r>
          </w:p>
        </w:tc>
        <w:tc>
          <w:tcPr>
            <w:tcW w:w="4320" w:type="dxa"/>
            <w:vAlign w:val="center"/>
          </w:tcPr>
          <w:p w:rsidR="008E5B30" w:rsidRDefault="00013397">
            <w:pPr>
              <w:jc w:val="left"/>
            </w:pPr>
            <w:r>
              <w:rPr>
                <w:rFonts w:eastAsiaTheme="minorEastAsia"/>
                <w:color w:val="000000"/>
                <w:szCs w:val="21"/>
              </w:rPr>
              <w:t>易方达中短期美元债债券型证券投资基金（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5</w:t>
            </w:r>
            <w:r>
              <w:rPr>
                <w:rFonts w:eastAsiaTheme="minorEastAsia"/>
                <w:color w:val="000000"/>
                <w:szCs w:val="21"/>
              </w:rPr>
              <w:t>月</w:t>
            </w:r>
            <w:r>
              <w:rPr>
                <w:rFonts w:eastAsiaTheme="minorEastAsia"/>
                <w:color w:val="000000"/>
                <w:szCs w:val="21"/>
              </w:rPr>
              <w:t>25</w:t>
            </w:r>
            <w:r>
              <w:rPr>
                <w:rFonts w:eastAsiaTheme="minorEastAsia"/>
                <w:color w:val="000000"/>
                <w:szCs w:val="21"/>
              </w:rPr>
              <w:t>日暂停申购、赎回及定期定额投资业务的公告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2020-05-20</w:t>
            </w:r>
          </w:p>
        </w:tc>
      </w:tr>
      <w:tr w:rsidR="008E5B30">
        <w:tc>
          <w:tcPr>
            <w:tcW w:w="720" w:type="dxa"/>
            <w:vAlign w:val="center"/>
          </w:tcPr>
          <w:p w:rsidR="008E5B30" w:rsidRDefault="00013397">
            <w:pPr>
              <w:jc w:val="center"/>
            </w:pPr>
            <w:r>
              <w:rPr>
                <w:rFonts w:eastAsiaTheme="minorEastAsia"/>
                <w:color w:val="000000"/>
                <w:szCs w:val="21"/>
              </w:rPr>
              <w:t>18</w:t>
            </w:r>
          </w:p>
        </w:tc>
        <w:tc>
          <w:tcPr>
            <w:tcW w:w="4320" w:type="dxa"/>
            <w:vAlign w:val="center"/>
          </w:tcPr>
          <w:p w:rsidR="008E5B30" w:rsidRDefault="00013397">
            <w:pPr>
              <w:jc w:val="left"/>
            </w:pPr>
            <w:r>
              <w:rPr>
                <w:rFonts w:eastAsiaTheme="minorEastAsia"/>
                <w:color w:val="000000"/>
                <w:szCs w:val="21"/>
              </w:rPr>
              <w:t>易方达基金管理有限公司关于调整旗下部分开放式基金在招商银行最低定期定额投资金额限制的公告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2020-06-04</w:t>
            </w:r>
          </w:p>
        </w:tc>
      </w:tr>
      <w:tr w:rsidR="008E5B30">
        <w:tc>
          <w:tcPr>
            <w:tcW w:w="720" w:type="dxa"/>
            <w:vAlign w:val="center"/>
          </w:tcPr>
          <w:p w:rsidR="008E5B30" w:rsidRDefault="00013397">
            <w:pPr>
              <w:jc w:val="center"/>
            </w:pPr>
            <w:r>
              <w:rPr>
                <w:rFonts w:eastAsiaTheme="minorEastAsia"/>
                <w:color w:val="000000"/>
                <w:szCs w:val="21"/>
              </w:rPr>
              <w:t>19</w:t>
            </w:r>
          </w:p>
        </w:tc>
        <w:tc>
          <w:tcPr>
            <w:tcW w:w="4320" w:type="dxa"/>
            <w:vAlign w:val="center"/>
          </w:tcPr>
          <w:p w:rsidR="008E5B30" w:rsidRDefault="00013397">
            <w:pPr>
              <w:jc w:val="left"/>
            </w:pPr>
            <w:r>
              <w:rPr>
                <w:rFonts w:eastAsiaTheme="minorEastAsia"/>
                <w:color w:val="000000"/>
                <w:szCs w:val="21"/>
              </w:rPr>
              <w:t>易方达基金管理有限公司高级管理人员变更公告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2020-06-22</w:t>
            </w:r>
          </w:p>
        </w:tc>
      </w:tr>
      <w:tr w:rsidR="008E5B30">
        <w:tc>
          <w:tcPr>
            <w:tcW w:w="720" w:type="dxa"/>
            <w:vAlign w:val="center"/>
          </w:tcPr>
          <w:p w:rsidR="008E5B30" w:rsidRDefault="00013397">
            <w:pPr>
              <w:jc w:val="center"/>
            </w:pPr>
            <w:r>
              <w:rPr>
                <w:rFonts w:eastAsiaTheme="minorEastAsia"/>
                <w:color w:val="000000"/>
                <w:szCs w:val="21"/>
              </w:rPr>
              <w:t>20</w:t>
            </w:r>
          </w:p>
        </w:tc>
        <w:tc>
          <w:tcPr>
            <w:tcW w:w="4320" w:type="dxa"/>
            <w:vAlign w:val="center"/>
          </w:tcPr>
          <w:p w:rsidR="008E5B30" w:rsidRDefault="00013397">
            <w:pPr>
              <w:jc w:val="left"/>
            </w:pPr>
            <w:r>
              <w:rPr>
                <w:rFonts w:eastAsiaTheme="minorEastAsia"/>
                <w:color w:val="000000"/>
                <w:szCs w:val="21"/>
              </w:rPr>
              <w:t>易方达中短期美元债债券型证券投资基金（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7</w:t>
            </w:r>
            <w:r>
              <w:rPr>
                <w:rFonts w:eastAsiaTheme="minorEastAsia"/>
                <w:color w:val="000000"/>
                <w:szCs w:val="21"/>
              </w:rPr>
              <w:t>月</w:t>
            </w:r>
            <w:r>
              <w:rPr>
                <w:rFonts w:eastAsiaTheme="minorEastAsia"/>
                <w:color w:val="000000"/>
                <w:szCs w:val="21"/>
              </w:rPr>
              <w:t>1</w:t>
            </w:r>
            <w:r>
              <w:rPr>
                <w:rFonts w:eastAsiaTheme="minorEastAsia"/>
                <w:color w:val="000000"/>
                <w:szCs w:val="21"/>
              </w:rPr>
              <w:t>日暂停申购、赎回及定期定额投资业务的公告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2020-06-24</w:t>
            </w:r>
          </w:p>
        </w:tc>
      </w:tr>
      <w:tr w:rsidR="008E5B30">
        <w:tc>
          <w:tcPr>
            <w:tcW w:w="720" w:type="dxa"/>
            <w:vAlign w:val="center"/>
          </w:tcPr>
          <w:p w:rsidR="008E5B30" w:rsidRDefault="00013397">
            <w:pPr>
              <w:jc w:val="center"/>
            </w:pPr>
            <w:r>
              <w:rPr>
                <w:rFonts w:eastAsiaTheme="minorEastAsia"/>
                <w:color w:val="000000"/>
                <w:szCs w:val="21"/>
              </w:rPr>
              <w:t>21</w:t>
            </w:r>
          </w:p>
        </w:tc>
        <w:tc>
          <w:tcPr>
            <w:tcW w:w="4320" w:type="dxa"/>
            <w:vAlign w:val="center"/>
          </w:tcPr>
          <w:p w:rsidR="008E5B30" w:rsidRDefault="00013397">
            <w:pPr>
              <w:jc w:val="left"/>
            </w:pPr>
            <w:r>
              <w:rPr>
                <w:rFonts w:eastAsiaTheme="minorEastAsia"/>
                <w:color w:val="000000"/>
                <w:szCs w:val="21"/>
              </w:rPr>
              <w:t>易方达中短期美元债债券型证券投资基金（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7</w:t>
            </w:r>
            <w:r>
              <w:rPr>
                <w:rFonts w:eastAsiaTheme="minorEastAsia"/>
                <w:color w:val="000000"/>
                <w:szCs w:val="21"/>
              </w:rPr>
              <w:t>月</w:t>
            </w:r>
            <w:r>
              <w:rPr>
                <w:rFonts w:eastAsiaTheme="minorEastAsia"/>
                <w:color w:val="000000"/>
                <w:szCs w:val="21"/>
              </w:rPr>
              <w:t>3</w:t>
            </w:r>
            <w:r>
              <w:rPr>
                <w:rFonts w:eastAsiaTheme="minorEastAsia"/>
                <w:color w:val="000000"/>
                <w:szCs w:val="21"/>
              </w:rPr>
              <w:t>日暂停申购、赎回及定期定额投资业务的公告</w:t>
            </w:r>
          </w:p>
        </w:tc>
        <w:tc>
          <w:tcPr>
            <w:tcW w:w="2520" w:type="dxa"/>
            <w:vAlign w:val="center"/>
          </w:tcPr>
          <w:p w:rsidR="008E5B30" w:rsidRDefault="00013397">
            <w:pPr>
              <w:jc w:val="left"/>
            </w:pPr>
            <w:r>
              <w:rPr>
                <w:rFonts w:eastAsiaTheme="minorEastAsia"/>
                <w:color w:val="000000"/>
                <w:szCs w:val="21"/>
              </w:rPr>
              <w:t>上海证券报、基金管理人网站及中国证监会基金电子披露网站</w:t>
            </w:r>
          </w:p>
        </w:tc>
        <w:tc>
          <w:tcPr>
            <w:tcW w:w="1440" w:type="dxa"/>
            <w:vAlign w:val="center"/>
          </w:tcPr>
          <w:p w:rsidR="008E5B30" w:rsidRDefault="00013397">
            <w:pPr>
              <w:jc w:val="center"/>
            </w:pPr>
            <w:r>
              <w:rPr>
                <w:rFonts w:eastAsiaTheme="minorEastAsia"/>
                <w:color w:val="000000"/>
                <w:szCs w:val="21"/>
              </w:rPr>
              <w:t>2020-06-30</w:t>
            </w:r>
          </w:p>
        </w:tc>
      </w:tr>
    </w:tbl>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63" w:name="_Toc225500055"/>
      <w:bookmarkStart w:id="364" w:name="_Toc352256020"/>
      <w:bookmarkStart w:id="365" w:name="_Toc352256088"/>
      <w:bookmarkStart w:id="366" w:name="_Toc352331266"/>
      <w:bookmarkStart w:id="367" w:name="_Toc390164850"/>
      <w:bookmarkStart w:id="368" w:name="_Toc48659824"/>
      <w:r w:rsidRPr="000C6CCD">
        <w:rPr>
          <w:rFonts w:ascii="宋体" w:hAnsi="宋体"/>
          <w:bCs w:val="0"/>
          <w:color w:val="000000"/>
          <w:sz w:val="21"/>
          <w:szCs w:val="21"/>
        </w:rPr>
        <w:t>11</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备查文件目录</w:t>
      </w:r>
      <w:bookmarkEnd w:id="363"/>
      <w:bookmarkEnd w:id="364"/>
      <w:bookmarkEnd w:id="365"/>
      <w:bookmarkEnd w:id="366"/>
      <w:bookmarkEnd w:id="367"/>
      <w:bookmarkEnd w:id="368"/>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69" w:name="_Toc352256021"/>
      <w:bookmarkStart w:id="370" w:name="_Toc352256089"/>
      <w:bookmarkStart w:id="371" w:name="_Toc352331267"/>
      <w:bookmarkStart w:id="372" w:name="_Toc390164851"/>
      <w:bookmarkStart w:id="373" w:name="_Toc48659825"/>
      <w:r w:rsidRPr="0087359D">
        <w:rPr>
          <w:rFonts w:ascii="宋体" w:hAnsi="宋体"/>
          <w:kern w:val="0"/>
          <w:sz w:val="21"/>
          <w:szCs w:val="21"/>
        </w:rPr>
        <w:t>11.1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备查文件目录</w:t>
      </w:r>
      <w:bookmarkEnd w:id="369"/>
      <w:bookmarkEnd w:id="370"/>
      <w:bookmarkEnd w:id="371"/>
      <w:bookmarkEnd w:id="372"/>
      <w:bookmarkEnd w:id="373"/>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中国证监会准予易方达中短期美元债债券型证券投资基金（</w:t>
      </w:r>
      <w:r>
        <w:rPr>
          <w:rFonts w:eastAsiaTheme="minorEastAsia"/>
          <w:kern w:val="0"/>
          <w:szCs w:val="21"/>
        </w:rPr>
        <w:t>QDII</w:t>
      </w:r>
      <w:r>
        <w:rPr>
          <w:rFonts w:eastAsiaTheme="minorEastAsia"/>
          <w:kern w:val="0"/>
          <w:szCs w:val="21"/>
        </w:rPr>
        <w:t>）注册的文件；</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《易方达中短期美元债债券型证券投资基金（</w:t>
      </w:r>
      <w:r>
        <w:rPr>
          <w:rFonts w:eastAsiaTheme="minorEastAsia"/>
          <w:kern w:val="0"/>
          <w:szCs w:val="21"/>
        </w:rPr>
        <w:t>QDII</w:t>
      </w:r>
      <w:r>
        <w:rPr>
          <w:rFonts w:eastAsiaTheme="minorEastAsia"/>
          <w:kern w:val="0"/>
          <w:szCs w:val="21"/>
        </w:rPr>
        <w:t>）基金合同》；</w:t>
      </w:r>
      <w:r>
        <w:rPr>
          <w:rFonts w:eastAsiaTheme="minorEastAsia"/>
          <w:kern w:val="0"/>
          <w:szCs w:val="21"/>
        </w:rPr>
        <w:t xml:space="preserve"> </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3.</w:t>
      </w:r>
      <w:r>
        <w:rPr>
          <w:rFonts w:eastAsiaTheme="minorEastAsia"/>
          <w:kern w:val="0"/>
          <w:szCs w:val="21"/>
        </w:rPr>
        <w:t>《易方达中短期美元债债券型证券投资基金（</w:t>
      </w:r>
      <w:r>
        <w:rPr>
          <w:rFonts w:eastAsiaTheme="minorEastAsia"/>
          <w:kern w:val="0"/>
          <w:szCs w:val="21"/>
        </w:rPr>
        <w:t>QDII</w:t>
      </w:r>
      <w:r>
        <w:rPr>
          <w:rFonts w:eastAsiaTheme="minorEastAsia"/>
          <w:kern w:val="0"/>
          <w:szCs w:val="21"/>
        </w:rPr>
        <w:t>）托管协议》；</w:t>
      </w:r>
    </w:p>
    <w:p w:rsidR="008E5B30" w:rsidRDefault="00013397">
      <w:pPr>
        <w:tabs>
          <w:tab w:val="left" w:pos="426"/>
        </w:tabs>
        <w:spacing w:line="360" w:lineRule="auto"/>
        <w:ind w:firstLineChars="200" w:firstLine="420"/>
        <w:jc w:val="left"/>
        <w:rPr>
          <w:rFonts w:eastAsiaTheme="minorEastAsia"/>
          <w:kern w:val="0"/>
          <w:szCs w:val="21"/>
        </w:rPr>
      </w:pPr>
      <w:r>
        <w:rPr>
          <w:rFonts w:eastAsiaTheme="minorEastAsia"/>
          <w:kern w:val="0"/>
          <w:szCs w:val="21"/>
        </w:rPr>
        <w:t>4.</w:t>
      </w:r>
      <w:r>
        <w:rPr>
          <w:rFonts w:eastAsiaTheme="minorEastAsia"/>
          <w:kern w:val="0"/>
          <w:szCs w:val="21"/>
        </w:rPr>
        <w:t>《易方达基金管理有限公司开放式基金业务规则》；</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5.</w:t>
      </w:r>
      <w:r w:rsidRPr="00C24ACA">
        <w:rPr>
          <w:rFonts w:eastAsiaTheme="minorEastAsia"/>
          <w:kern w:val="0"/>
          <w:szCs w:val="21"/>
        </w:rPr>
        <w:t>基金管理人业务资格批件和营业执照。</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4" w:name="_Toc352256022"/>
      <w:bookmarkStart w:id="375" w:name="_Toc352256090"/>
      <w:bookmarkStart w:id="376" w:name="_Toc352331268"/>
      <w:bookmarkStart w:id="377" w:name="_Toc390164852"/>
      <w:bookmarkStart w:id="378" w:name="_Toc48659826"/>
      <w:r w:rsidRPr="0087359D">
        <w:rPr>
          <w:rFonts w:ascii="宋体" w:hAnsi="宋体"/>
          <w:kern w:val="0"/>
          <w:sz w:val="21"/>
          <w:szCs w:val="21"/>
        </w:rPr>
        <w:t>11.2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存放地点</w:t>
      </w:r>
      <w:bookmarkEnd w:id="374"/>
      <w:bookmarkEnd w:id="375"/>
      <w:bookmarkEnd w:id="376"/>
      <w:bookmarkEnd w:id="377"/>
      <w:bookmarkEnd w:id="378"/>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广州市天河区珠江新城珠江东路</w:t>
      </w:r>
      <w:r w:rsidRPr="00C24ACA">
        <w:rPr>
          <w:rFonts w:eastAsiaTheme="minorEastAsia"/>
          <w:kern w:val="0"/>
          <w:szCs w:val="21"/>
        </w:rPr>
        <w:t>30</w:t>
      </w:r>
      <w:r w:rsidRPr="00C24ACA">
        <w:rPr>
          <w:rFonts w:eastAsiaTheme="minorEastAsia"/>
          <w:kern w:val="0"/>
          <w:szCs w:val="21"/>
        </w:rPr>
        <w:t>号广州银行大厦</w:t>
      </w:r>
      <w:r w:rsidRPr="00C24ACA">
        <w:rPr>
          <w:rFonts w:eastAsiaTheme="minorEastAsia"/>
          <w:kern w:val="0"/>
          <w:szCs w:val="21"/>
        </w:rPr>
        <w:t>40-43</w:t>
      </w:r>
      <w:r w:rsidRPr="00C24ACA">
        <w:rPr>
          <w:rFonts w:eastAsiaTheme="minorEastAsia"/>
          <w:kern w:val="0"/>
          <w:szCs w:val="21"/>
        </w:rPr>
        <w:t>楼。</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9" w:name="_Toc352256023"/>
      <w:bookmarkStart w:id="380" w:name="_Toc352256091"/>
      <w:bookmarkStart w:id="381" w:name="_Toc352331269"/>
      <w:bookmarkStart w:id="382" w:name="_Toc390164853"/>
      <w:bookmarkStart w:id="383" w:name="_Toc48659827"/>
      <w:r w:rsidRPr="0087359D">
        <w:rPr>
          <w:rFonts w:ascii="宋体" w:hAnsi="宋体"/>
          <w:kern w:val="0"/>
          <w:sz w:val="21"/>
          <w:szCs w:val="21"/>
        </w:rPr>
        <w:t>11.3</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查阅方式</w:t>
      </w:r>
      <w:bookmarkEnd w:id="379"/>
      <w:bookmarkEnd w:id="380"/>
      <w:bookmarkEnd w:id="381"/>
      <w:bookmarkEnd w:id="382"/>
      <w:bookmarkEnd w:id="383"/>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投资者可在营业时间免费查阅，也可按工本费购买复印件。</w:t>
      </w: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2116B9">
      <w:pPr>
        <w:spacing w:line="360" w:lineRule="auto"/>
        <w:ind w:left="840"/>
        <w:jc w:val="right"/>
        <w:rPr>
          <w:rFonts w:eastAsiaTheme="minorEastAsia"/>
          <w:b/>
          <w:bCs/>
          <w:szCs w:val="21"/>
        </w:rPr>
      </w:pPr>
      <w:r w:rsidRPr="00C24ACA">
        <w:rPr>
          <w:rFonts w:eastAsiaTheme="minorEastAsia"/>
          <w:b/>
          <w:bCs/>
          <w:szCs w:val="21"/>
        </w:rPr>
        <w:t>易方达基金管理有限公司</w:t>
      </w:r>
    </w:p>
    <w:p w:rsidR="008A5A5D" w:rsidRPr="00C24ACA" w:rsidRDefault="00025106" w:rsidP="002116B9">
      <w:pPr>
        <w:spacing w:line="360" w:lineRule="auto"/>
        <w:ind w:left="840"/>
        <w:jc w:val="right"/>
        <w:rPr>
          <w:rFonts w:eastAsiaTheme="minorEastAsia"/>
          <w:b/>
          <w:bCs/>
          <w:szCs w:val="21"/>
        </w:rPr>
      </w:pPr>
      <w:r w:rsidRPr="00C24ACA">
        <w:rPr>
          <w:rFonts w:eastAsiaTheme="minorEastAsia"/>
          <w:b/>
          <w:bCs/>
          <w:szCs w:val="21"/>
        </w:rPr>
        <w:t>二〇二〇年八月二十八日</w:t>
      </w:r>
      <w:bookmarkEnd w:id="0"/>
    </w:p>
    <w:sectPr w:rsidR="008A5A5D" w:rsidRPr="00C24ACA" w:rsidSect="00937AC9">
      <w:footerReference w:type="even"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D43" w:rsidRDefault="00166D43">
      <w:r>
        <w:separator/>
      </w:r>
    </w:p>
  </w:endnote>
  <w:endnote w:type="continuationSeparator" w:id="0">
    <w:p w:rsidR="00166D43" w:rsidRDefault="0016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Pr="00FF5BA7" w:rsidRDefault="00D93CEC" w:rsidP="008134C7">
    <w:pPr>
      <w:pStyle w:val="a7"/>
      <w:ind w:right="360"/>
      <w:jc w:val="center"/>
      <w:rPr>
        <w:sz w:val="21"/>
        <w:szCs w:val="21"/>
      </w:rPr>
    </w:pPr>
    <w:r w:rsidRPr="00FF5BA7">
      <w:rPr>
        <w:rFonts w:hint="eastAsia"/>
        <w:kern w:val="0"/>
        <w:sz w:val="21"/>
        <w:szCs w:val="21"/>
      </w:rPr>
      <w:t>第</w:t>
    </w:r>
    <w:r w:rsidRPr="00FF5BA7">
      <w:rPr>
        <w:kern w:val="0"/>
        <w:sz w:val="21"/>
        <w:szCs w:val="21"/>
      </w:rPr>
      <w:fldChar w:fldCharType="begin"/>
    </w:r>
    <w:r w:rsidRPr="00FF5BA7">
      <w:rPr>
        <w:kern w:val="0"/>
        <w:sz w:val="21"/>
        <w:szCs w:val="21"/>
      </w:rPr>
      <w:instrText xml:space="preserve"> PAGE </w:instrText>
    </w:r>
    <w:r w:rsidRPr="00FF5BA7">
      <w:rPr>
        <w:kern w:val="0"/>
        <w:sz w:val="21"/>
        <w:szCs w:val="21"/>
      </w:rPr>
      <w:fldChar w:fldCharType="separate"/>
    </w:r>
    <w:r w:rsidR="00133AD5">
      <w:rPr>
        <w:noProof/>
        <w:kern w:val="0"/>
        <w:sz w:val="21"/>
        <w:szCs w:val="21"/>
      </w:rPr>
      <w:t>51</w:t>
    </w:r>
    <w:r w:rsidRPr="00FF5BA7">
      <w:rPr>
        <w:kern w:val="0"/>
        <w:sz w:val="21"/>
        <w:szCs w:val="21"/>
      </w:rPr>
      <w:fldChar w:fldCharType="end"/>
    </w:r>
    <w:r w:rsidRPr="00FF5BA7">
      <w:rPr>
        <w:rFonts w:hint="eastAsia"/>
        <w:kern w:val="0"/>
        <w:sz w:val="21"/>
        <w:szCs w:val="21"/>
      </w:rPr>
      <w:t>页，共</w:t>
    </w:r>
    <w:r w:rsidRPr="00FF5BA7">
      <w:rPr>
        <w:kern w:val="0"/>
        <w:sz w:val="21"/>
        <w:szCs w:val="21"/>
      </w:rPr>
      <w:fldChar w:fldCharType="begin"/>
    </w:r>
    <w:r w:rsidRPr="00FF5BA7">
      <w:rPr>
        <w:kern w:val="0"/>
        <w:sz w:val="21"/>
        <w:szCs w:val="21"/>
      </w:rPr>
      <w:instrText xml:space="preserve"> NUMPAGES </w:instrText>
    </w:r>
    <w:r w:rsidRPr="00FF5BA7">
      <w:rPr>
        <w:kern w:val="0"/>
        <w:sz w:val="21"/>
        <w:szCs w:val="21"/>
      </w:rPr>
      <w:fldChar w:fldCharType="separate"/>
    </w:r>
    <w:r w:rsidR="00133AD5">
      <w:rPr>
        <w:noProof/>
        <w:kern w:val="0"/>
        <w:sz w:val="21"/>
        <w:szCs w:val="21"/>
      </w:rPr>
      <w:t>51</w:t>
    </w:r>
    <w:r w:rsidRPr="00FF5BA7">
      <w:rPr>
        <w:kern w:val="0"/>
        <w:sz w:val="21"/>
        <w:szCs w:val="21"/>
      </w:rPr>
      <w:fldChar w:fldCharType="end"/>
    </w:r>
    <w:r w:rsidRPr="00FF5BA7">
      <w:rPr>
        <w:rFonts w:hint="eastAsia"/>
        <w:kern w:val="0"/>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Default="00D93CEC"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93CEC" w:rsidRDefault="00D93CEC" w:rsidP="00C03B3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D43" w:rsidRDefault="00166D43">
      <w:r>
        <w:separator/>
      </w:r>
    </w:p>
  </w:footnote>
  <w:footnote w:type="continuationSeparator" w:id="0">
    <w:p w:rsidR="00166D43" w:rsidRDefault="00166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Pr="007018D6" w:rsidRDefault="00D93CEC" w:rsidP="009D66C1">
    <w:pPr>
      <w:pStyle w:val="aa"/>
      <w:pBdr>
        <w:bottom w:val="single" w:sz="6" w:space="0" w:color="auto"/>
      </w:pBdr>
      <w:jc w:val="right"/>
    </w:pPr>
    <w:r w:rsidRPr="007018D6">
      <w:t>易方达中短期美元债债券型证券投资基金（</w:t>
    </w:r>
    <w:r w:rsidRPr="007018D6">
      <w:t>QDII</w:t>
    </w:r>
    <w:r w:rsidRPr="007018D6">
      <w:t>）</w:t>
    </w:r>
    <w:r w:rsidRPr="007018D6">
      <w:t>2020</w:t>
    </w:r>
    <w:r w:rsidRPr="007018D6">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213"/>
    <w:rsid w:val="000019B6"/>
    <w:rsid w:val="00001B33"/>
    <w:rsid w:val="00001B39"/>
    <w:rsid w:val="00002644"/>
    <w:rsid w:val="00002FDA"/>
    <w:rsid w:val="00003577"/>
    <w:rsid w:val="0000403B"/>
    <w:rsid w:val="00004337"/>
    <w:rsid w:val="00005172"/>
    <w:rsid w:val="0000551D"/>
    <w:rsid w:val="00005911"/>
    <w:rsid w:val="00005C09"/>
    <w:rsid w:val="00005D29"/>
    <w:rsid w:val="000061CF"/>
    <w:rsid w:val="000102A7"/>
    <w:rsid w:val="00010918"/>
    <w:rsid w:val="00010A83"/>
    <w:rsid w:val="00010A8E"/>
    <w:rsid w:val="00010AC3"/>
    <w:rsid w:val="00010C1F"/>
    <w:rsid w:val="00010F11"/>
    <w:rsid w:val="00011081"/>
    <w:rsid w:val="00011EB5"/>
    <w:rsid w:val="0001280C"/>
    <w:rsid w:val="00013397"/>
    <w:rsid w:val="00013749"/>
    <w:rsid w:val="00013CAE"/>
    <w:rsid w:val="00015C4F"/>
    <w:rsid w:val="00015E54"/>
    <w:rsid w:val="000162AF"/>
    <w:rsid w:val="00016604"/>
    <w:rsid w:val="00016CEB"/>
    <w:rsid w:val="00016F07"/>
    <w:rsid w:val="00017581"/>
    <w:rsid w:val="0001767C"/>
    <w:rsid w:val="00020583"/>
    <w:rsid w:val="00020644"/>
    <w:rsid w:val="00021813"/>
    <w:rsid w:val="00021DD4"/>
    <w:rsid w:val="000221FE"/>
    <w:rsid w:val="00022F8F"/>
    <w:rsid w:val="00023BE7"/>
    <w:rsid w:val="00024491"/>
    <w:rsid w:val="0002453B"/>
    <w:rsid w:val="000246E6"/>
    <w:rsid w:val="00024C15"/>
    <w:rsid w:val="00024C62"/>
    <w:rsid w:val="00024CA0"/>
    <w:rsid w:val="00025106"/>
    <w:rsid w:val="00025805"/>
    <w:rsid w:val="000262B0"/>
    <w:rsid w:val="000274FE"/>
    <w:rsid w:val="000276C9"/>
    <w:rsid w:val="00027CFC"/>
    <w:rsid w:val="00027F5F"/>
    <w:rsid w:val="0003228A"/>
    <w:rsid w:val="000322D5"/>
    <w:rsid w:val="0003271C"/>
    <w:rsid w:val="000327EA"/>
    <w:rsid w:val="00032ADD"/>
    <w:rsid w:val="00032FE1"/>
    <w:rsid w:val="000331EA"/>
    <w:rsid w:val="00033E6C"/>
    <w:rsid w:val="00033EC1"/>
    <w:rsid w:val="00034BA5"/>
    <w:rsid w:val="000358FE"/>
    <w:rsid w:val="00036C37"/>
    <w:rsid w:val="00036CFB"/>
    <w:rsid w:val="00037267"/>
    <w:rsid w:val="000378BC"/>
    <w:rsid w:val="00037CF2"/>
    <w:rsid w:val="00037FCF"/>
    <w:rsid w:val="000400FF"/>
    <w:rsid w:val="0004087B"/>
    <w:rsid w:val="00040DAC"/>
    <w:rsid w:val="000415E6"/>
    <w:rsid w:val="00041BC8"/>
    <w:rsid w:val="000421B8"/>
    <w:rsid w:val="000429DF"/>
    <w:rsid w:val="00042AAD"/>
    <w:rsid w:val="000430CA"/>
    <w:rsid w:val="0004381B"/>
    <w:rsid w:val="00043ABF"/>
    <w:rsid w:val="00044158"/>
    <w:rsid w:val="000445E4"/>
    <w:rsid w:val="000471B4"/>
    <w:rsid w:val="00050260"/>
    <w:rsid w:val="0005049D"/>
    <w:rsid w:val="000510AB"/>
    <w:rsid w:val="000514E0"/>
    <w:rsid w:val="00052E9B"/>
    <w:rsid w:val="00053091"/>
    <w:rsid w:val="0005346A"/>
    <w:rsid w:val="000534CD"/>
    <w:rsid w:val="00053758"/>
    <w:rsid w:val="00053EED"/>
    <w:rsid w:val="00053F17"/>
    <w:rsid w:val="0005448A"/>
    <w:rsid w:val="00055AF1"/>
    <w:rsid w:val="00056F23"/>
    <w:rsid w:val="000573B5"/>
    <w:rsid w:val="00060423"/>
    <w:rsid w:val="00060597"/>
    <w:rsid w:val="00060A2C"/>
    <w:rsid w:val="00060CB4"/>
    <w:rsid w:val="00061167"/>
    <w:rsid w:val="00062997"/>
    <w:rsid w:val="00062D12"/>
    <w:rsid w:val="00063D34"/>
    <w:rsid w:val="00063FEA"/>
    <w:rsid w:val="000642EA"/>
    <w:rsid w:val="000643C3"/>
    <w:rsid w:val="0006475F"/>
    <w:rsid w:val="00064AE3"/>
    <w:rsid w:val="00064FC8"/>
    <w:rsid w:val="00066524"/>
    <w:rsid w:val="000671A3"/>
    <w:rsid w:val="00067CC5"/>
    <w:rsid w:val="00070CD1"/>
    <w:rsid w:val="00071022"/>
    <w:rsid w:val="000710CD"/>
    <w:rsid w:val="0007171B"/>
    <w:rsid w:val="000717A1"/>
    <w:rsid w:val="000726C0"/>
    <w:rsid w:val="00072DE0"/>
    <w:rsid w:val="00073DB1"/>
    <w:rsid w:val="00073F87"/>
    <w:rsid w:val="00076397"/>
    <w:rsid w:val="000764CB"/>
    <w:rsid w:val="00076CC5"/>
    <w:rsid w:val="000801F4"/>
    <w:rsid w:val="00080423"/>
    <w:rsid w:val="0008141B"/>
    <w:rsid w:val="00081A3D"/>
    <w:rsid w:val="00081D05"/>
    <w:rsid w:val="00082038"/>
    <w:rsid w:val="0008226A"/>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2FA"/>
    <w:rsid w:val="000908ED"/>
    <w:rsid w:val="0009091B"/>
    <w:rsid w:val="00090D5E"/>
    <w:rsid w:val="000917D5"/>
    <w:rsid w:val="000919B7"/>
    <w:rsid w:val="00093E08"/>
    <w:rsid w:val="00094876"/>
    <w:rsid w:val="000951F7"/>
    <w:rsid w:val="00095912"/>
    <w:rsid w:val="00095CE0"/>
    <w:rsid w:val="00096933"/>
    <w:rsid w:val="00096995"/>
    <w:rsid w:val="00096B18"/>
    <w:rsid w:val="00097013"/>
    <w:rsid w:val="00097230"/>
    <w:rsid w:val="000A010B"/>
    <w:rsid w:val="000A1448"/>
    <w:rsid w:val="000A1B79"/>
    <w:rsid w:val="000A1BFB"/>
    <w:rsid w:val="000A2779"/>
    <w:rsid w:val="000A3022"/>
    <w:rsid w:val="000A38DE"/>
    <w:rsid w:val="000A457E"/>
    <w:rsid w:val="000A4672"/>
    <w:rsid w:val="000A4FEF"/>
    <w:rsid w:val="000A53FD"/>
    <w:rsid w:val="000A549A"/>
    <w:rsid w:val="000A578A"/>
    <w:rsid w:val="000A6557"/>
    <w:rsid w:val="000A72F2"/>
    <w:rsid w:val="000B0C56"/>
    <w:rsid w:val="000B1EA7"/>
    <w:rsid w:val="000B2714"/>
    <w:rsid w:val="000B2B57"/>
    <w:rsid w:val="000B2C8D"/>
    <w:rsid w:val="000B36CC"/>
    <w:rsid w:val="000B3E43"/>
    <w:rsid w:val="000B417C"/>
    <w:rsid w:val="000B4365"/>
    <w:rsid w:val="000B5CC0"/>
    <w:rsid w:val="000B6328"/>
    <w:rsid w:val="000B682A"/>
    <w:rsid w:val="000B6D23"/>
    <w:rsid w:val="000C01F9"/>
    <w:rsid w:val="000C05AB"/>
    <w:rsid w:val="000C0871"/>
    <w:rsid w:val="000C0CA5"/>
    <w:rsid w:val="000C0F55"/>
    <w:rsid w:val="000C127D"/>
    <w:rsid w:val="000C15BE"/>
    <w:rsid w:val="000C1723"/>
    <w:rsid w:val="000C1B20"/>
    <w:rsid w:val="000C224F"/>
    <w:rsid w:val="000C2BDC"/>
    <w:rsid w:val="000C3FD9"/>
    <w:rsid w:val="000C4107"/>
    <w:rsid w:val="000C45E7"/>
    <w:rsid w:val="000C45F5"/>
    <w:rsid w:val="000C5E98"/>
    <w:rsid w:val="000C5F67"/>
    <w:rsid w:val="000C698D"/>
    <w:rsid w:val="000C6CCD"/>
    <w:rsid w:val="000C705C"/>
    <w:rsid w:val="000C7AE4"/>
    <w:rsid w:val="000D01F4"/>
    <w:rsid w:val="000D0B89"/>
    <w:rsid w:val="000D1497"/>
    <w:rsid w:val="000D1519"/>
    <w:rsid w:val="000D1F25"/>
    <w:rsid w:val="000D3145"/>
    <w:rsid w:val="000D36D1"/>
    <w:rsid w:val="000D4AAD"/>
    <w:rsid w:val="000D52DC"/>
    <w:rsid w:val="000D6054"/>
    <w:rsid w:val="000D619B"/>
    <w:rsid w:val="000D788B"/>
    <w:rsid w:val="000E1057"/>
    <w:rsid w:val="000E148A"/>
    <w:rsid w:val="000E28C9"/>
    <w:rsid w:val="000E34ED"/>
    <w:rsid w:val="000E4456"/>
    <w:rsid w:val="000E458D"/>
    <w:rsid w:val="000E56C3"/>
    <w:rsid w:val="000E6184"/>
    <w:rsid w:val="000E67FE"/>
    <w:rsid w:val="000E6DA9"/>
    <w:rsid w:val="000E7C24"/>
    <w:rsid w:val="000E7E16"/>
    <w:rsid w:val="000F0C0A"/>
    <w:rsid w:val="000F175F"/>
    <w:rsid w:val="000F17D1"/>
    <w:rsid w:val="000F1913"/>
    <w:rsid w:val="000F1B87"/>
    <w:rsid w:val="000F1EE4"/>
    <w:rsid w:val="000F2C75"/>
    <w:rsid w:val="000F3506"/>
    <w:rsid w:val="000F350C"/>
    <w:rsid w:val="000F3D90"/>
    <w:rsid w:val="000F4232"/>
    <w:rsid w:val="000F4DB9"/>
    <w:rsid w:val="000F593E"/>
    <w:rsid w:val="000F60F3"/>
    <w:rsid w:val="000F60FF"/>
    <w:rsid w:val="000F6198"/>
    <w:rsid w:val="000F635F"/>
    <w:rsid w:val="000F6C61"/>
    <w:rsid w:val="00100C12"/>
    <w:rsid w:val="001013A8"/>
    <w:rsid w:val="00102CC8"/>
    <w:rsid w:val="001030B5"/>
    <w:rsid w:val="0010352B"/>
    <w:rsid w:val="001049B6"/>
    <w:rsid w:val="00104A39"/>
    <w:rsid w:val="00104DE3"/>
    <w:rsid w:val="001051C6"/>
    <w:rsid w:val="00105211"/>
    <w:rsid w:val="0010577B"/>
    <w:rsid w:val="00105C9C"/>
    <w:rsid w:val="001069ED"/>
    <w:rsid w:val="00106A87"/>
    <w:rsid w:val="00106C1F"/>
    <w:rsid w:val="00107C33"/>
    <w:rsid w:val="001116BA"/>
    <w:rsid w:val="0011177A"/>
    <w:rsid w:val="0011179E"/>
    <w:rsid w:val="00111C71"/>
    <w:rsid w:val="00113B73"/>
    <w:rsid w:val="001141C0"/>
    <w:rsid w:val="001150A3"/>
    <w:rsid w:val="00115AD8"/>
    <w:rsid w:val="00116B10"/>
    <w:rsid w:val="00116E31"/>
    <w:rsid w:val="00120169"/>
    <w:rsid w:val="00120E31"/>
    <w:rsid w:val="00120EED"/>
    <w:rsid w:val="001212B4"/>
    <w:rsid w:val="00121A03"/>
    <w:rsid w:val="0012304E"/>
    <w:rsid w:val="0012380F"/>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0C28"/>
    <w:rsid w:val="00131EC2"/>
    <w:rsid w:val="0013226C"/>
    <w:rsid w:val="00132E82"/>
    <w:rsid w:val="0013374F"/>
    <w:rsid w:val="00133AD5"/>
    <w:rsid w:val="00135467"/>
    <w:rsid w:val="00136211"/>
    <w:rsid w:val="001364D3"/>
    <w:rsid w:val="001366C4"/>
    <w:rsid w:val="0013686A"/>
    <w:rsid w:val="00136BE0"/>
    <w:rsid w:val="0013718B"/>
    <w:rsid w:val="00137BB5"/>
    <w:rsid w:val="00137BB9"/>
    <w:rsid w:val="00137D50"/>
    <w:rsid w:val="00140038"/>
    <w:rsid w:val="001412CA"/>
    <w:rsid w:val="00142280"/>
    <w:rsid w:val="0014241E"/>
    <w:rsid w:val="001424C6"/>
    <w:rsid w:val="00142A56"/>
    <w:rsid w:val="001432A7"/>
    <w:rsid w:val="00143BE5"/>
    <w:rsid w:val="00144280"/>
    <w:rsid w:val="00144AAD"/>
    <w:rsid w:val="00144DF5"/>
    <w:rsid w:val="001455C7"/>
    <w:rsid w:val="00145A97"/>
    <w:rsid w:val="00145B50"/>
    <w:rsid w:val="00145CAE"/>
    <w:rsid w:val="00146485"/>
    <w:rsid w:val="0014666D"/>
    <w:rsid w:val="00146835"/>
    <w:rsid w:val="00146A28"/>
    <w:rsid w:val="00146FBA"/>
    <w:rsid w:val="00147492"/>
    <w:rsid w:val="0015080E"/>
    <w:rsid w:val="00150AD6"/>
    <w:rsid w:val="0015173F"/>
    <w:rsid w:val="00151B23"/>
    <w:rsid w:val="001529AD"/>
    <w:rsid w:val="00152B88"/>
    <w:rsid w:val="0015328C"/>
    <w:rsid w:val="001535AE"/>
    <w:rsid w:val="00153B40"/>
    <w:rsid w:val="00153B9D"/>
    <w:rsid w:val="00153BCF"/>
    <w:rsid w:val="00154ADA"/>
    <w:rsid w:val="00154B08"/>
    <w:rsid w:val="00154C44"/>
    <w:rsid w:val="0015531A"/>
    <w:rsid w:val="00155875"/>
    <w:rsid w:val="001558FD"/>
    <w:rsid w:val="00155A35"/>
    <w:rsid w:val="00157418"/>
    <w:rsid w:val="00157B5A"/>
    <w:rsid w:val="0016050B"/>
    <w:rsid w:val="00161476"/>
    <w:rsid w:val="0016380C"/>
    <w:rsid w:val="00163816"/>
    <w:rsid w:val="00163B27"/>
    <w:rsid w:val="0016425E"/>
    <w:rsid w:val="00164BF7"/>
    <w:rsid w:val="00165317"/>
    <w:rsid w:val="001657AB"/>
    <w:rsid w:val="00166D43"/>
    <w:rsid w:val="0016725E"/>
    <w:rsid w:val="0017073D"/>
    <w:rsid w:val="001707EF"/>
    <w:rsid w:val="00170D38"/>
    <w:rsid w:val="00171484"/>
    <w:rsid w:val="0017173B"/>
    <w:rsid w:val="00171BAD"/>
    <w:rsid w:val="00171F2C"/>
    <w:rsid w:val="001731C7"/>
    <w:rsid w:val="00173AF1"/>
    <w:rsid w:val="001744B4"/>
    <w:rsid w:val="001751EF"/>
    <w:rsid w:val="001756A1"/>
    <w:rsid w:val="001761EE"/>
    <w:rsid w:val="00176D47"/>
    <w:rsid w:val="00176EAA"/>
    <w:rsid w:val="00177030"/>
    <w:rsid w:val="0017725A"/>
    <w:rsid w:val="0017747A"/>
    <w:rsid w:val="00177C4B"/>
    <w:rsid w:val="00177F6A"/>
    <w:rsid w:val="00182708"/>
    <w:rsid w:val="00182A38"/>
    <w:rsid w:val="00182BB8"/>
    <w:rsid w:val="0018325A"/>
    <w:rsid w:val="00183BA8"/>
    <w:rsid w:val="00183D7A"/>
    <w:rsid w:val="00183F2D"/>
    <w:rsid w:val="00184CAE"/>
    <w:rsid w:val="00186199"/>
    <w:rsid w:val="00186F7A"/>
    <w:rsid w:val="00187CB2"/>
    <w:rsid w:val="00190AE2"/>
    <w:rsid w:val="00190E27"/>
    <w:rsid w:val="001928F7"/>
    <w:rsid w:val="00192AD3"/>
    <w:rsid w:val="00193182"/>
    <w:rsid w:val="00193575"/>
    <w:rsid w:val="0019389D"/>
    <w:rsid w:val="00193B62"/>
    <w:rsid w:val="00194537"/>
    <w:rsid w:val="00194F79"/>
    <w:rsid w:val="0019563C"/>
    <w:rsid w:val="001956CA"/>
    <w:rsid w:val="00195B79"/>
    <w:rsid w:val="00196BCF"/>
    <w:rsid w:val="00197CE2"/>
    <w:rsid w:val="001A02F4"/>
    <w:rsid w:val="001A088E"/>
    <w:rsid w:val="001A0AD5"/>
    <w:rsid w:val="001A0F4A"/>
    <w:rsid w:val="001A19C2"/>
    <w:rsid w:val="001A1B13"/>
    <w:rsid w:val="001A1D38"/>
    <w:rsid w:val="001A21A9"/>
    <w:rsid w:val="001A2A97"/>
    <w:rsid w:val="001A364F"/>
    <w:rsid w:val="001A39B7"/>
    <w:rsid w:val="001A3EE4"/>
    <w:rsid w:val="001A42FA"/>
    <w:rsid w:val="001A4AEC"/>
    <w:rsid w:val="001A5051"/>
    <w:rsid w:val="001A58FE"/>
    <w:rsid w:val="001A59D8"/>
    <w:rsid w:val="001A5FA6"/>
    <w:rsid w:val="001A644F"/>
    <w:rsid w:val="001A668F"/>
    <w:rsid w:val="001A71CC"/>
    <w:rsid w:val="001A7F30"/>
    <w:rsid w:val="001B017D"/>
    <w:rsid w:val="001B2F0C"/>
    <w:rsid w:val="001B30CA"/>
    <w:rsid w:val="001B3513"/>
    <w:rsid w:val="001B353A"/>
    <w:rsid w:val="001B3D3E"/>
    <w:rsid w:val="001B3F69"/>
    <w:rsid w:val="001B4CEC"/>
    <w:rsid w:val="001B50CD"/>
    <w:rsid w:val="001B52FE"/>
    <w:rsid w:val="001B7890"/>
    <w:rsid w:val="001C005A"/>
    <w:rsid w:val="001C00CF"/>
    <w:rsid w:val="001C0806"/>
    <w:rsid w:val="001C1110"/>
    <w:rsid w:val="001C156D"/>
    <w:rsid w:val="001C1C77"/>
    <w:rsid w:val="001C2F9C"/>
    <w:rsid w:val="001C3399"/>
    <w:rsid w:val="001C37F6"/>
    <w:rsid w:val="001C4928"/>
    <w:rsid w:val="001C4D9F"/>
    <w:rsid w:val="001C4EB6"/>
    <w:rsid w:val="001C5289"/>
    <w:rsid w:val="001C6288"/>
    <w:rsid w:val="001C67A1"/>
    <w:rsid w:val="001C7C6D"/>
    <w:rsid w:val="001C7E6F"/>
    <w:rsid w:val="001D0538"/>
    <w:rsid w:val="001D0634"/>
    <w:rsid w:val="001D0D6A"/>
    <w:rsid w:val="001D0F6A"/>
    <w:rsid w:val="001D21BC"/>
    <w:rsid w:val="001D2230"/>
    <w:rsid w:val="001D2D34"/>
    <w:rsid w:val="001D2E47"/>
    <w:rsid w:val="001D2FA5"/>
    <w:rsid w:val="001D35E0"/>
    <w:rsid w:val="001D5016"/>
    <w:rsid w:val="001D5045"/>
    <w:rsid w:val="001D5281"/>
    <w:rsid w:val="001D5494"/>
    <w:rsid w:val="001D5A44"/>
    <w:rsid w:val="001D6213"/>
    <w:rsid w:val="001D6BEF"/>
    <w:rsid w:val="001D724B"/>
    <w:rsid w:val="001D730C"/>
    <w:rsid w:val="001E03BE"/>
    <w:rsid w:val="001E07AE"/>
    <w:rsid w:val="001E09F9"/>
    <w:rsid w:val="001E0AAA"/>
    <w:rsid w:val="001E0F28"/>
    <w:rsid w:val="001E0F82"/>
    <w:rsid w:val="001E11D3"/>
    <w:rsid w:val="001E15F1"/>
    <w:rsid w:val="001E1C4F"/>
    <w:rsid w:val="001E1C7C"/>
    <w:rsid w:val="001E2332"/>
    <w:rsid w:val="001E287E"/>
    <w:rsid w:val="001E2A6A"/>
    <w:rsid w:val="001E3BB1"/>
    <w:rsid w:val="001E3DC2"/>
    <w:rsid w:val="001E49F3"/>
    <w:rsid w:val="001E56FF"/>
    <w:rsid w:val="001E5C6B"/>
    <w:rsid w:val="001E6862"/>
    <w:rsid w:val="001E6EBF"/>
    <w:rsid w:val="001F0307"/>
    <w:rsid w:val="001F03E1"/>
    <w:rsid w:val="001F0DE9"/>
    <w:rsid w:val="001F147B"/>
    <w:rsid w:val="001F221F"/>
    <w:rsid w:val="001F2246"/>
    <w:rsid w:val="001F3CC6"/>
    <w:rsid w:val="001F3F50"/>
    <w:rsid w:val="001F4530"/>
    <w:rsid w:val="001F489E"/>
    <w:rsid w:val="001F5CE2"/>
    <w:rsid w:val="001F5DBA"/>
    <w:rsid w:val="001F5DE3"/>
    <w:rsid w:val="001F5F74"/>
    <w:rsid w:val="002000DE"/>
    <w:rsid w:val="002010DE"/>
    <w:rsid w:val="00201962"/>
    <w:rsid w:val="00201B58"/>
    <w:rsid w:val="00201DDA"/>
    <w:rsid w:val="00202968"/>
    <w:rsid w:val="00202C32"/>
    <w:rsid w:val="00203940"/>
    <w:rsid w:val="00203973"/>
    <w:rsid w:val="00203AEF"/>
    <w:rsid w:val="00206D74"/>
    <w:rsid w:val="002075E2"/>
    <w:rsid w:val="00207E26"/>
    <w:rsid w:val="002116B9"/>
    <w:rsid w:val="00211A26"/>
    <w:rsid w:val="00212249"/>
    <w:rsid w:val="002125F7"/>
    <w:rsid w:val="00212901"/>
    <w:rsid w:val="00213709"/>
    <w:rsid w:val="0021397C"/>
    <w:rsid w:val="00214463"/>
    <w:rsid w:val="00214756"/>
    <w:rsid w:val="00215CF2"/>
    <w:rsid w:val="00215D9F"/>
    <w:rsid w:val="00216310"/>
    <w:rsid w:val="00216BCE"/>
    <w:rsid w:val="00216D8F"/>
    <w:rsid w:val="00217867"/>
    <w:rsid w:val="00220542"/>
    <w:rsid w:val="00220D7F"/>
    <w:rsid w:val="002210EB"/>
    <w:rsid w:val="00221174"/>
    <w:rsid w:val="00222DE3"/>
    <w:rsid w:val="002233F0"/>
    <w:rsid w:val="0022498A"/>
    <w:rsid w:val="00225756"/>
    <w:rsid w:val="00225ADC"/>
    <w:rsid w:val="00225CEB"/>
    <w:rsid w:val="0022692D"/>
    <w:rsid w:val="00227ABF"/>
    <w:rsid w:val="002318F3"/>
    <w:rsid w:val="00232443"/>
    <w:rsid w:val="00232763"/>
    <w:rsid w:val="00232F17"/>
    <w:rsid w:val="0023323F"/>
    <w:rsid w:val="00233A86"/>
    <w:rsid w:val="00234202"/>
    <w:rsid w:val="00235842"/>
    <w:rsid w:val="002359EB"/>
    <w:rsid w:val="002363AB"/>
    <w:rsid w:val="00236412"/>
    <w:rsid w:val="00236933"/>
    <w:rsid w:val="0023727B"/>
    <w:rsid w:val="00237579"/>
    <w:rsid w:val="00237675"/>
    <w:rsid w:val="00237C6D"/>
    <w:rsid w:val="0024096B"/>
    <w:rsid w:val="00241582"/>
    <w:rsid w:val="00241B45"/>
    <w:rsid w:val="00241D0E"/>
    <w:rsid w:val="002424D7"/>
    <w:rsid w:val="0024260D"/>
    <w:rsid w:val="00242657"/>
    <w:rsid w:val="002428F6"/>
    <w:rsid w:val="00242FA2"/>
    <w:rsid w:val="00243C23"/>
    <w:rsid w:val="0024402C"/>
    <w:rsid w:val="00244D4F"/>
    <w:rsid w:val="00245012"/>
    <w:rsid w:val="0024504E"/>
    <w:rsid w:val="00245761"/>
    <w:rsid w:val="00245F01"/>
    <w:rsid w:val="0024651F"/>
    <w:rsid w:val="00247729"/>
    <w:rsid w:val="0025158D"/>
    <w:rsid w:val="00251C7E"/>
    <w:rsid w:val="00251D61"/>
    <w:rsid w:val="00252697"/>
    <w:rsid w:val="0025281A"/>
    <w:rsid w:val="00253D3C"/>
    <w:rsid w:val="00254022"/>
    <w:rsid w:val="002544D7"/>
    <w:rsid w:val="00254C82"/>
    <w:rsid w:val="00255292"/>
    <w:rsid w:val="002561CC"/>
    <w:rsid w:val="002571F0"/>
    <w:rsid w:val="00257578"/>
    <w:rsid w:val="00257CCE"/>
    <w:rsid w:val="00260200"/>
    <w:rsid w:val="00260B06"/>
    <w:rsid w:val="00260BFB"/>
    <w:rsid w:val="00260DA3"/>
    <w:rsid w:val="00261D93"/>
    <w:rsid w:val="00261E92"/>
    <w:rsid w:val="00262029"/>
    <w:rsid w:val="00262553"/>
    <w:rsid w:val="002631B5"/>
    <w:rsid w:val="00263BBD"/>
    <w:rsid w:val="002648D8"/>
    <w:rsid w:val="00265AFB"/>
    <w:rsid w:val="00267EE3"/>
    <w:rsid w:val="00267F59"/>
    <w:rsid w:val="002700E9"/>
    <w:rsid w:val="00270CE9"/>
    <w:rsid w:val="002716BD"/>
    <w:rsid w:val="0027235A"/>
    <w:rsid w:val="00273CDB"/>
    <w:rsid w:val="00273F86"/>
    <w:rsid w:val="002741BE"/>
    <w:rsid w:val="002752EA"/>
    <w:rsid w:val="00275882"/>
    <w:rsid w:val="00275D56"/>
    <w:rsid w:val="00275EAD"/>
    <w:rsid w:val="00276B03"/>
    <w:rsid w:val="00276C3A"/>
    <w:rsid w:val="002773FB"/>
    <w:rsid w:val="002774F0"/>
    <w:rsid w:val="00277722"/>
    <w:rsid w:val="00280A4F"/>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5FE"/>
    <w:rsid w:val="002916E3"/>
    <w:rsid w:val="002916F1"/>
    <w:rsid w:val="00291A70"/>
    <w:rsid w:val="00291A85"/>
    <w:rsid w:val="00291F6F"/>
    <w:rsid w:val="0029379A"/>
    <w:rsid w:val="00293C97"/>
    <w:rsid w:val="002942CB"/>
    <w:rsid w:val="00294C7F"/>
    <w:rsid w:val="00294D8F"/>
    <w:rsid w:val="00295D5A"/>
    <w:rsid w:val="002964F9"/>
    <w:rsid w:val="0029690F"/>
    <w:rsid w:val="002969CC"/>
    <w:rsid w:val="00297D85"/>
    <w:rsid w:val="002A07F4"/>
    <w:rsid w:val="002A090A"/>
    <w:rsid w:val="002A0B47"/>
    <w:rsid w:val="002A1381"/>
    <w:rsid w:val="002A1C58"/>
    <w:rsid w:val="002A1F14"/>
    <w:rsid w:val="002A2678"/>
    <w:rsid w:val="002A2E01"/>
    <w:rsid w:val="002A32E5"/>
    <w:rsid w:val="002A34B9"/>
    <w:rsid w:val="002A398F"/>
    <w:rsid w:val="002A3DFD"/>
    <w:rsid w:val="002A46A7"/>
    <w:rsid w:val="002A4F2C"/>
    <w:rsid w:val="002A525F"/>
    <w:rsid w:val="002A5C6B"/>
    <w:rsid w:val="002A5D31"/>
    <w:rsid w:val="002A5E63"/>
    <w:rsid w:val="002A714F"/>
    <w:rsid w:val="002A75D7"/>
    <w:rsid w:val="002B09C0"/>
    <w:rsid w:val="002B1851"/>
    <w:rsid w:val="002B1EC9"/>
    <w:rsid w:val="002B27FF"/>
    <w:rsid w:val="002B2B42"/>
    <w:rsid w:val="002B2F4E"/>
    <w:rsid w:val="002B5C8E"/>
    <w:rsid w:val="002B6688"/>
    <w:rsid w:val="002B6793"/>
    <w:rsid w:val="002B7562"/>
    <w:rsid w:val="002B780B"/>
    <w:rsid w:val="002B7D25"/>
    <w:rsid w:val="002C03E0"/>
    <w:rsid w:val="002C1260"/>
    <w:rsid w:val="002C1726"/>
    <w:rsid w:val="002C21A6"/>
    <w:rsid w:val="002C26D5"/>
    <w:rsid w:val="002C5777"/>
    <w:rsid w:val="002C5889"/>
    <w:rsid w:val="002C5909"/>
    <w:rsid w:val="002C5B7A"/>
    <w:rsid w:val="002C65FA"/>
    <w:rsid w:val="002C661D"/>
    <w:rsid w:val="002C7C89"/>
    <w:rsid w:val="002D1A0F"/>
    <w:rsid w:val="002D1A88"/>
    <w:rsid w:val="002D22BF"/>
    <w:rsid w:val="002D237C"/>
    <w:rsid w:val="002D32E3"/>
    <w:rsid w:val="002D33F1"/>
    <w:rsid w:val="002D353D"/>
    <w:rsid w:val="002D4733"/>
    <w:rsid w:val="002D528B"/>
    <w:rsid w:val="002D52AD"/>
    <w:rsid w:val="002D58D8"/>
    <w:rsid w:val="002D5EB1"/>
    <w:rsid w:val="002D7777"/>
    <w:rsid w:val="002D77FF"/>
    <w:rsid w:val="002D7BFF"/>
    <w:rsid w:val="002E0394"/>
    <w:rsid w:val="002E0644"/>
    <w:rsid w:val="002E0FEB"/>
    <w:rsid w:val="002E171B"/>
    <w:rsid w:val="002E1BCA"/>
    <w:rsid w:val="002E204F"/>
    <w:rsid w:val="002E2625"/>
    <w:rsid w:val="002E319D"/>
    <w:rsid w:val="002E372D"/>
    <w:rsid w:val="002E3CD4"/>
    <w:rsid w:val="002E4AD5"/>
    <w:rsid w:val="002E4C2D"/>
    <w:rsid w:val="002E72C5"/>
    <w:rsid w:val="002F0F79"/>
    <w:rsid w:val="002F100F"/>
    <w:rsid w:val="002F19F9"/>
    <w:rsid w:val="002F1C9E"/>
    <w:rsid w:val="002F1EB2"/>
    <w:rsid w:val="002F2450"/>
    <w:rsid w:val="002F280E"/>
    <w:rsid w:val="002F2CBB"/>
    <w:rsid w:val="002F324A"/>
    <w:rsid w:val="002F3470"/>
    <w:rsid w:val="002F3709"/>
    <w:rsid w:val="002F3A6C"/>
    <w:rsid w:val="002F4296"/>
    <w:rsid w:val="002F5777"/>
    <w:rsid w:val="002F60EA"/>
    <w:rsid w:val="002F62F1"/>
    <w:rsid w:val="002F680E"/>
    <w:rsid w:val="002F7330"/>
    <w:rsid w:val="00300816"/>
    <w:rsid w:val="00300951"/>
    <w:rsid w:val="00300E8A"/>
    <w:rsid w:val="00301185"/>
    <w:rsid w:val="0030216B"/>
    <w:rsid w:val="003023C9"/>
    <w:rsid w:val="003029E6"/>
    <w:rsid w:val="00302CA8"/>
    <w:rsid w:val="00302DE9"/>
    <w:rsid w:val="00303EA9"/>
    <w:rsid w:val="00304860"/>
    <w:rsid w:val="00304E23"/>
    <w:rsid w:val="00305084"/>
    <w:rsid w:val="00305871"/>
    <w:rsid w:val="00305BCF"/>
    <w:rsid w:val="00306026"/>
    <w:rsid w:val="00306408"/>
    <w:rsid w:val="0030682A"/>
    <w:rsid w:val="00306B13"/>
    <w:rsid w:val="00307249"/>
    <w:rsid w:val="00307E35"/>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0DAB"/>
    <w:rsid w:val="0032160D"/>
    <w:rsid w:val="00321618"/>
    <w:rsid w:val="00321E8C"/>
    <w:rsid w:val="00321FDA"/>
    <w:rsid w:val="00322318"/>
    <w:rsid w:val="00322A86"/>
    <w:rsid w:val="00323041"/>
    <w:rsid w:val="00323AE8"/>
    <w:rsid w:val="00323B32"/>
    <w:rsid w:val="00324548"/>
    <w:rsid w:val="0032494A"/>
    <w:rsid w:val="003251F4"/>
    <w:rsid w:val="00325408"/>
    <w:rsid w:val="0032555D"/>
    <w:rsid w:val="00326927"/>
    <w:rsid w:val="003273A3"/>
    <w:rsid w:val="003277CD"/>
    <w:rsid w:val="003303E3"/>
    <w:rsid w:val="00330651"/>
    <w:rsid w:val="00331A88"/>
    <w:rsid w:val="003329EA"/>
    <w:rsid w:val="00332C6E"/>
    <w:rsid w:val="00332D73"/>
    <w:rsid w:val="0033368C"/>
    <w:rsid w:val="003338BE"/>
    <w:rsid w:val="00336AA2"/>
    <w:rsid w:val="00337271"/>
    <w:rsid w:val="00337B1B"/>
    <w:rsid w:val="00337ED3"/>
    <w:rsid w:val="003405DA"/>
    <w:rsid w:val="003407A5"/>
    <w:rsid w:val="00340CBC"/>
    <w:rsid w:val="003410A1"/>
    <w:rsid w:val="00341188"/>
    <w:rsid w:val="0034147B"/>
    <w:rsid w:val="003424CB"/>
    <w:rsid w:val="003439DB"/>
    <w:rsid w:val="00344FBE"/>
    <w:rsid w:val="00346759"/>
    <w:rsid w:val="00350238"/>
    <w:rsid w:val="00350315"/>
    <w:rsid w:val="0035109C"/>
    <w:rsid w:val="00351752"/>
    <w:rsid w:val="00351F0A"/>
    <w:rsid w:val="00352648"/>
    <w:rsid w:val="003532D4"/>
    <w:rsid w:val="00353AC6"/>
    <w:rsid w:val="00353E6B"/>
    <w:rsid w:val="003542B7"/>
    <w:rsid w:val="0035432B"/>
    <w:rsid w:val="00354765"/>
    <w:rsid w:val="00354E10"/>
    <w:rsid w:val="003574C8"/>
    <w:rsid w:val="0035753E"/>
    <w:rsid w:val="00357B15"/>
    <w:rsid w:val="00357BB3"/>
    <w:rsid w:val="003602EA"/>
    <w:rsid w:val="00360F81"/>
    <w:rsid w:val="00361E7E"/>
    <w:rsid w:val="00363564"/>
    <w:rsid w:val="003648F2"/>
    <w:rsid w:val="00364FA1"/>
    <w:rsid w:val="00366B02"/>
    <w:rsid w:val="003671F5"/>
    <w:rsid w:val="003700E2"/>
    <w:rsid w:val="00370348"/>
    <w:rsid w:val="00370AA4"/>
    <w:rsid w:val="003711F2"/>
    <w:rsid w:val="003717FC"/>
    <w:rsid w:val="00371FF4"/>
    <w:rsid w:val="003723C2"/>
    <w:rsid w:val="0037275D"/>
    <w:rsid w:val="00372797"/>
    <w:rsid w:val="003736DD"/>
    <w:rsid w:val="003745EC"/>
    <w:rsid w:val="003746F1"/>
    <w:rsid w:val="0037470E"/>
    <w:rsid w:val="00374D1B"/>
    <w:rsid w:val="00375CC4"/>
    <w:rsid w:val="00376103"/>
    <w:rsid w:val="003767B3"/>
    <w:rsid w:val="00376B49"/>
    <w:rsid w:val="00376FC5"/>
    <w:rsid w:val="003771E2"/>
    <w:rsid w:val="00377520"/>
    <w:rsid w:val="00380273"/>
    <w:rsid w:val="00380404"/>
    <w:rsid w:val="00380D36"/>
    <w:rsid w:val="00380F49"/>
    <w:rsid w:val="003819F9"/>
    <w:rsid w:val="00381AE2"/>
    <w:rsid w:val="003822D3"/>
    <w:rsid w:val="0038480C"/>
    <w:rsid w:val="00384DC9"/>
    <w:rsid w:val="0038566E"/>
    <w:rsid w:val="00385C66"/>
    <w:rsid w:val="00385EDA"/>
    <w:rsid w:val="00386630"/>
    <w:rsid w:val="00386A6C"/>
    <w:rsid w:val="00390379"/>
    <w:rsid w:val="00390741"/>
    <w:rsid w:val="003909FB"/>
    <w:rsid w:val="00390B25"/>
    <w:rsid w:val="00390DD9"/>
    <w:rsid w:val="00390DDD"/>
    <w:rsid w:val="003921B9"/>
    <w:rsid w:val="00392AE5"/>
    <w:rsid w:val="003933F1"/>
    <w:rsid w:val="003936AD"/>
    <w:rsid w:val="003937F7"/>
    <w:rsid w:val="00393A83"/>
    <w:rsid w:val="003955D3"/>
    <w:rsid w:val="00395809"/>
    <w:rsid w:val="00395CAA"/>
    <w:rsid w:val="00395F75"/>
    <w:rsid w:val="00395F76"/>
    <w:rsid w:val="00396588"/>
    <w:rsid w:val="00396863"/>
    <w:rsid w:val="00396F0A"/>
    <w:rsid w:val="00397156"/>
    <w:rsid w:val="00397960"/>
    <w:rsid w:val="00397D91"/>
    <w:rsid w:val="003A0663"/>
    <w:rsid w:val="003A10D5"/>
    <w:rsid w:val="003A1660"/>
    <w:rsid w:val="003A1FE0"/>
    <w:rsid w:val="003A2C23"/>
    <w:rsid w:val="003A3BC4"/>
    <w:rsid w:val="003A458A"/>
    <w:rsid w:val="003A551D"/>
    <w:rsid w:val="003A647F"/>
    <w:rsid w:val="003A6B26"/>
    <w:rsid w:val="003A7E6F"/>
    <w:rsid w:val="003B05F2"/>
    <w:rsid w:val="003B0F3D"/>
    <w:rsid w:val="003B2040"/>
    <w:rsid w:val="003B23CB"/>
    <w:rsid w:val="003B2F13"/>
    <w:rsid w:val="003B3353"/>
    <w:rsid w:val="003B405E"/>
    <w:rsid w:val="003B446F"/>
    <w:rsid w:val="003B4712"/>
    <w:rsid w:val="003B47EB"/>
    <w:rsid w:val="003B48BA"/>
    <w:rsid w:val="003B4F62"/>
    <w:rsid w:val="003B57D3"/>
    <w:rsid w:val="003B59CA"/>
    <w:rsid w:val="003B6067"/>
    <w:rsid w:val="003B632D"/>
    <w:rsid w:val="003B6AA4"/>
    <w:rsid w:val="003C0135"/>
    <w:rsid w:val="003C018A"/>
    <w:rsid w:val="003C05AF"/>
    <w:rsid w:val="003C08E3"/>
    <w:rsid w:val="003C09B5"/>
    <w:rsid w:val="003C0B69"/>
    <w:rsid w:val="003C0F62"/>
    <w:rsid w:val="003C1176"/>
    <w:rsid w:val="003C1D9A"/>
    <w:rsid w:val="003C1F58"/>
    <w:rsid w:val="003C3232"/>
    <w:rsid w:val="003C36E1"/>
    <w:rsid w:val="003C48B1"/>
    <w:rsid w:val="003C57A7"/>
    <w:rsid w:val="003C5C2B"/>
    <w:rsid w:val="003C6943"/>
    <w:rsid w:val="003C6BD2"/>
    <w:rsid w:val="003C7294"/>
    <w:rsid w:val="003C792F"/>
    <w:rsid w:val="003C7ABD"/>
    <w:rsid w:val="003C7B20"/>
    <w:rsid w:val="003C7C3D"/>
    <w:rsid w:val="003D08F8"/>
    <w:rsid w:val="003D124B"/>
    <w:rsid w:val="003D18F3"/>
    <w:rsid w:val="003D21FB"/>
    <w:rsid w:val="003D2CC1"/>
    <w:rsid w:val="003D33F2"/>
    <w:rsid w:val="003D3725"/>
    <w:rsid w:val="003D4FFC"/>
    <w:rsid w:val="003D51ED"/>
    <w:rsid w:val="003D535A"/>
    <w:rsid w:val="003D569B"/>
    <w:rsid w:val="003D73EF"/>
    <w:rsid w:val="003D78B5"/>
    <w:rsid w:val="003E0204"/>
    <w:rsid w:val="003E0918"/>
    <w:rsid w:val="003E099F"/>
    <w:rsid w:val="003E244F"/>
    <w:rsid w:val="003E37AE"/>
    <w:rsid w:val="003E5165"/>
    <w:rsid w:val="003E62A6"/>
    <w:rsid w:val="003E648D"/>
    <w:rsid w:val="003E6731"/>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C45"/>
    <w:rsid w:val="00400241"/>
    <w:rsid w:val="0040132C"/>
    <w:rsid w:val="0040145D"/>
    <w:rsid w:val="004016C4"/>
    <w:rsid w:val="00401D95"/>
    <w:rsid w:val="0040231A"/>
    <w:rsid w:val="00403562"/>
    <w:rsid w:val="004049BD"/>
    <w:rsid w:val="00404EB5"/>
    <w:rsid w:val="00405085"/>
    <w:rsid w:val="00405D28"/>
    <w:rsid w:val="0040629D"/>
    <w:rsid w:val="004066FC"/>
    <w:rsid w:val="00407481"/>
    <w:rsid w:val="00407753"/>
    <w:rsid w:val="00407C10"/>
    <w:rsid w:val="00407E90"/>
    <w:rsid w:val="004113B4"/>
    <w:rsid w:val="00413323"/>
    <w:rsid w:val="00413B17"/>
    <w:rsid w:val="004141C0"/>
    <w:rsid w:val="00414503"/>
    <w:rsid w:val="00414827"/>
    <w:rsid w:val="004153B3"/>
    <w:rsid w:val="00415772"/>
    <w:rsid w:val="004161F8"/>
    <w:rsid w:val="004163FD"/>
    <w:rsid w:val="0041683D"/>
    <w:rsid w:val="00416C10"/>
    <w:rsid w:val="00417976"/>
    <w:rsid w:val="00417A0E"/>
    <w:rsid w:val="0042053A"/>
    <w:rsid w:val="004213D6"/>
    <w:rsid w:val="00421425"/>
    <w:rsid w:val="00421B37"/>
    <w:rsid w:val="004222D0"/>
    <w:rsid w:val="00422440"/>
    <w:rsid w:val="00422916"/>
    <w:rsid w:val="00423BA3"/>
    <w:rsid w:val="00424213"/>
    <w:rsid w:val="00424EF3"/>
    <w:rsid w:val="0042551C"/>
    <w:rsid w:val="004267DB"/>
    <w:rsid w:val="004268BB"/>
    <w:rsid w:val="00426A4B"/>
    <w:rsid w:val="00427130"/>
    <w:rsid w:val="00427704"/>
    <w:rsid w:val="00427AA3"/>
    <w:rsid w:val="00427BFF"/>
    <w:rsid w:val="00430724"/>
    <w:rsid w:val="0043097C"/>
    <w:rsid w:val="00431047"/>
    <w:rsid w:val="00431B86"/>
    <w:rsid w:val="004322C7"/>
    <w:rsid w:val="00432E06"/>
    <w:rsid w:val="00433065"/>
    <w:rsid w:val="004332B5"/>
    <w:rsid w:val="00433EED"/>
    <w:rsid w:val="00436196"/>
    <w:rsid w:val="004375A2"/>
    <w:rsid w:val="00437C96"/>
    <w:rsid w:val="004408EC"/>
    <w:rsid w:val="004416A4"/>
    <w:rsid w:val="00441ABA"/>
    <w:rsid w:val="00441E6A"/>
    <w:rsid w:val="00442AEE"/>
    <w:rsid w:val="00443C8F"/>
    <w:rsid w:val="00444C60"/>
    <w:rsid w:val="00444E35"/>
    <w:rsid w:val="0044502D"/>
    <w:rsid w:val="00445F6B"/>
    <w:rsid w:val="0044755D"/>
    <w:rsid w:val="00447CEF"/>
    <w:rsid w:val="00447E28"/>
    <w:rsid w:val="00450BA9"/>
    <w:rsid w:val="00450F23"/>
    <w:rsid w:val="004515EB"/>
    <w:rsid w:val="0045169A"/>
    <w:rsid w:val="00452481"/>
    <w:rsid w:val="004528FA"/>
    <w:rsid w:val="00453DC8"/>
    <w:rsid w:val="00455165"/>
    <w:rsid w:val="004576F7"/>
    <w:rsid w:val="00457804"/>
    <w:rsid w:val="00460AEF"/>
    <w:rsid w:val="00460C52"/>
    <w:rsid w:val="00461108"/>
    <w:rsid w:val="0046209A"/>
    <w:rsid w:val="00462279"/>
    <w:rsid w:val="004626CD"/>
    <w:rsid w:val="00463182"/>
    <w:rsid w:val="004646BF"/>
    <w:rsid w:val="00464744"/>
    <w:rsid w:val="0046535F"/>
    <w:rsid w:val="004665A8"/>
    <w:rsid w:val="004665E3"/>
    <w:rsid w:val="0046760F"/>
    <w:rsid w:val="00471935"/>
    <w:rsid w:val="0047237D"/>
    <w:rsid w:val="00472561"/>
    <w:rsid w:val="004731F1"/>
    <w:rsid w:val="00473AE0"/>
    <w:rsid w:val="00473EB5"/>
    <w:rsid w:val="00474021"/>
    <w:rsid w:val="004743F8"/>
    <w:rsid w:val="0047456B"/>
    <w:rsid w:val="00475251"/>
    <w:rsid w:val="00475D19"/>
    <w:rsid w:val="00477400"/>
    <w:rsid w:val="0048088E"/>
    <w:rsid w:val="00480BC8"/>
    <w:rsid w:val="00481265"/>
    <w:rsid w:val="004814BF"/>
    <w:rsid w:val="00482649"/>
    <w:rsid w:val="00483630"/>
    <w:rsid w:val="004836EA"/>
    <w:rsid w:val="00483A13"/>
    <w:rsid w:val="00483F72"/>
    <w:rsid w:val="00485215"/>
    <w:rsid w:val="00485340"/>
    <w:rsid w:val="0048587E"/>
    <w:rsid w:val="00485B57"/>
    <w:rsid w:val="00486200"/>
    <w:rsid w:val="004868C8"/>
    <w:rsid w:val="00486C9C"/>
    <w:rsid w:val="00486D6A"/>
    <w:rsid w:val="00487815"/>
    <w:rsid w:val="00487830"/>
    <w:rsid w:val="00487C2B"/>
    <w:rsid w:val="004900FF"/>
    <w:rsid w:val="00490561"/>
    <w:rsid w:val="0049125B"/>
    <w:rsid w:val="004914B6"/>
    <w:rsid w:val="00491C58"/>
    <w:rsid w:val="00491FAB"/>
    <w:rsid w:val="00492081"/>
    <w:rsid w:val="0049227D"/>
    <w:rsid w:val="0049297D"/>
    <w:rsid w:val="004929F2"/>
    <w:rsid w:val="00492F1A"/>
    <w:rsid w:val="00492F5E"/>
    <w:rsid w:val="00493E9D"/>
    <w:rsid w:val="00495A03"/>
    <w:rsid w:val="00495E28"/>
    <w:rsid w:val="00497079"/>
    <w:rsid w:val="00497450"/>
    <w:rsid w:val="00497F49"/>
    <w:rsid w:val="004A1135"/>
    <w:rsid w:val="004A1BBA"/>
    <w:rsid w:val="004A23C2"/>
    <w:rsid w:val="004A2F25"/>
    <w:rsid w:val="004A3336"/>
    <w:rsid w:val="004A3E3C"/>
    <w:rsid w:val="004A4069"/>
    <w:rsid w:val="004A42E5"/>
    <w:rsid w:val="004A455B"/>
    <w:rsid w:val="004A4847"/>
    <w:rsid w:val="004A484E"/>
    <w:rsid w:val="004A5562"/>
    <w:rsid w:val="004A6513"/>
    <w:rsid w:val="004A7CCE"/>
    <w:rsid w:val="004B0440"/>
    <w:rsid w:val="004B0E6D"/>
    <w:rsid w:val="004B16E8"/>
    <w:rsid w:val="004B19EA"/>
    <w:rsid w:val="004B202D"/>
    <w:rsid w:val="004B2CA5"/>
    <w:rsid w:val="004B412E"/>
    <w:rsid w:val="004B5B92"/>
    <w:rsid w:val="004B5DB7"/>
    <w:rsid w:val="004B6250"/>
    <w:rsid w:val="004B66F3"/>
    <w:rsid w:val="004B68EC"/>
    <w:rsid w:val="004B759C"/>
    <w:rsid w:val="004B76B1"/>
    <w:rsid w:val="004C0057"/>
    <w:rsid w:val="004C02E0"/>
    <w:rsid w:val="004C030A"/>
    <w:rsid w:val="004C0541"/>
    <w:rsid w:val="004C07EB"/>
    <w:rsid w:val="004C0BBF"/>
    <w:rsid w:val="004C1D08"/>
    <w:rsid w:val="004C1D55"/>
    <w:rsid w:val="004C2836"/>
    <w:rsid w:val="004C2C46"/>
    <w:rsid w:val="004C405B"/>
    <w:rsid w:val="004C47DF"/>
    <w:rsid w:val="004C54CA"/>
    <w:rsid w:val="004C686E"/>
    <w:rsid w:val="004C6CE2"/>
    <w:rsid w:val="004C7214"/>
    <w:rsid w:val="004C7235"/>
    <w:rsid w:val="004C753B"/>
    <w:rsid w:val="004C7955"/>
    <w:rsid w:val="004D0213"/>
    <w:rsid w:val="004D047F"/>
    <w:rsid w:val="004D0B63"/>
    <w:rsid w:val="004D0FA5"/>
    <w:rsid w:val="004D1529"/>
    <w:rsid w:val="004D29F1"/>
    <w:rsid w:val="004D29F3"/>
    <w:rsid w:val="004D2E04"/>
    <w:rsid w:val="004D2F51"/>
    <w:rsid w:val="004D3D96"/>
    <w:rsid w:val="004D40BB"/>
    <w:rsid w:val="004D4854"/>
    <w:rsid w:val="004D4EA1"/>
    <w:rsid w:val="004D5316"/>
    <w:rsid w:val="004D575C"/>
    <w:rsid w:val="004D650F"/>
    <w:rsid w:val="004D679F"/>
    <w:rsid w:val="004D7269"/>
    <w:rsid w:val="004D74EE"/>
    <w:rsid w:val="004D7F01"/>
    <w:rsid w:val="004E0140"/>
    <w:rsid w:val="004E08FC"/>
    <w:rsid w:val="004E0B6E"/>
    <w:rsid w:val="004E2133"/>
    <w:rsid w:val="004E2BD2"/>
    <w:rsid w:val="004E34BB"/>
    <w:rsid w:val="004E37C3"/>
    <w:rsid w:val="004E395B"/>
    <w:rsid w:val="004E3A3B"/>
    <w:rsid w:val="004E3C7D"/>
    <w:rsid w:val="004E4CD7"/>
    <w:rsid w:val="004E5EDB"/>
    <w:rsid w:val="004E60FB"/>
    <w:rsid w:val="004E73A5"/>
    <w:rsid w:val="004E758A"/>
    <w:rsid w:val="004F09DD"/>
    <w:rsid w:val="004F1C42"/>
    <w:rsid w:val="004F23CE"/>
    <w:rsid w:val="004F2C5A"/>
    <w:rsid w:val="004F3870"/>
    <w:rsid w:val="004F3E01"/>
    <w:rsid w:val="004F3E31"/>
    <w:rsid w:val="004F409E"/>
    <w:rsid w:val="004F4541"/>
    <w:rsid w:val="004F4601"/>
    <w:rsid w:val="004F779C"/>
    <w:rsid w:val="004F7846"/>
    <w:rsid w:val="005000A6"/>
    <w:rsid w:val="005000D4"/>
    <w:rsid w:val="005004EE"/>
    <w:rsid w:val="005007AB"/>
    <w:rsid w:val="0050087E"/>
    <w:rsid w:val="00500B1E"/>
    <w:rsid w:val="00500B24"/>
    <w:rsid w:val="00500C17"/>
    <w:rsid w:val="005027F4"/>
    <w:rsid w:val="005036C2"/>
    <w:rsid w:val="0050492E"/>
    <w:rsid w:val="005051C9"/>
    <w:rsid w:val="00505E48"/>
    <w:rsid w:val="00506389"/>
    <w:rsid w:val="005067F4"/>
    <w:rsid w:val="00506FF7"/>
    <w:rsid w:val="0051084C"/>
    <w:rsid w:val="00510A69"/>
    <w:rsid w:val="00510CAF"/>
    <w:rsid w:val="0051114C"/>
    <w:rsid w:val="00511597"/>
    <w:rsid w:val="0051164A"/>
    <w:rsid w:val="00511915"/>
    <w:rsid w:val="005119A4"/>
    <w:rsid w:val="00511AC6"/>
    <w:rsid w:val="00511FD1"/>
    <w:rsid w:val="00512235"/>
    <w:rsid w:val="005128C5"/>
    <w:rsid w:val="00512905"/>
    <w:rsid w:val="00512D8B"/>
    <w:rsid w:val="00512E85"/>
    <w:rsid w:val="005136C7"/>
    <w:rsid w:val="0051478B"/>
    <w:rsid w:val="00514C1C"/>
    <w:rsid w:val="0051524F"/>
    <w:rsid w:val="0051559D"/>
    <w:rsid w:val="0051566A"/>
    <w:rsid w:val="00515D7B"/>
    <w:rsid w:val="00515DD8"/>
    <w:rsid w:val="005166E9"/>
    <w:rsid w:val="00516C92"/>
    <w:rsid w:val="00517917"/>
    <w:rsid w:val="0052009E"/>
    <w:rsid w:val="005200F7"/>
    <w:rsid w:val="00520AB5"/>
    <w:rsid w:val="00520D7F"/>
    <w:rsid w:val="00521596"/>
    <w:rsid w:val="00522066"/>
    <w:rsid w:val="005222FA"/>
    <w:rsid w:val="005247B4"/>
    <w:rsid w:val="00525059"/>
    <w:rsid w:val="00525740"/>
    <w:rsid w:val="00525E59"/>
    <w:rsid w:val="005278EE"/>
    <w:rsid w:val="00530A21"/>
    <w:rsid w:val="005310DD"/>
    <w:rsid w:val="00531851"/>
    <w:rsid w:val="005318CC"/>
    <w:rsid w:val="0053199E"/>
    <w:rsid w:val="00531D65"/>
    <w:rsid w:val="005321E1"/>
    <w:rsid w:val="00532255"/>
    <w:rsid w:val="00532FAE"/>
    <w:rsid w:val="005334E4"/>
    <w:rsid w:val="005349B1"/>
    <w:rsid w:val="00535AA4"/>
    <w:rsid w:val="00535DA3"/>
    <w:rsid w:val="005364A6"/>
    <w:rsid w:val="005364AE"/>
    <w:rsid w:val="0053652C"/>
    <w:rsid w:val="0053659B"/>
    <w:rsid w:val="005368A0"/>
    <w:rsid w:val="005374BC"/>
    <w:rsid w:val="0054069B"/>
    <w:rsid w:val="00540EC2"/>
    <w:rsid w:val="0054101E"/>
    <w:rsid w:val="005427DC"/>
    <w:rsid w:val="00543177"/>
    <w:rsid w:val="00543188"/>
    <w:rsid w:val="005432F0"/>
    <w:rsid w:val="00543367"/>
    <w:rsid w:val="00543741"/>
    <w:rsid w:val="0054384E"/>
    <w:rsid w:val="00543BFA"/>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3C4"/>
    <w:rsid w:val="005558FA"/>
    <w:rsid w:val="0055637C"/>
    <w:rsid w:val="00556B00"/>
    <w:rsid w:val="0055753F"/>
    <w:rsid w:val="00557618"/>
    <w:rsid w:val="00557782"/>
    <w:rsid w:val="00560866"/>
    <w:rsid w:val="00560C90"/>
    <w:rsid w:val="00560C94"/>
    <w:rsid w:val="00560FD5"/>
    <w:rsid w:val="0056101E"/>
    <w:rsid w:val="00561C0A"/>
    <w:rsid w:val="00562765"/>
    <w:rsid w:val="0056283B"/>
    <w:rsid w:val="0056291C"/>
    <w:rsid w:val="00563E82"/>
    <w:rsid w:val="00564289"/>
    <w:rsid w:val="005643FD"/>
    <w:rsid w:val="005646BB"/>
    <w:rsid w:val="005647F9"/>
    <w:rsid w:val="00564B19"/>
    <w:rsid w:val="00564C4B"/>
    <w:rsid w:val="0056586F"/>
    <w:rsid w:val="00565A63"/>
    <w:rsid w:val="00566588"/>
    <w:rsid w:val="0056662E"/>
    <w:rsid w:val="00566A26"/>
    <w:rsid w:val="00566F23"/>
    <w:rsid w:val="00566F6B"/>
    <w:rsid w:val="00567012"/>
    <w:rsid w:val="00567BA7"/>
    <w:rsid w:val="00567EA5"/>
    <w:rsid w:val="0057004B"/>
    <w:rsid w:val="00570514"/>
    <w:rsid w:val="005705B3"/>
    <w:rsid w:val="00571111"/>
    <w:rsid w:val="00571A41"/>
    <w:rsid w:val="0057216B"/>
    <w:rsid w:val="005721D0"/>
    <w:rsid w:val="0057275D"/>
    <w:rsid w:val="00572919"/>
    <w:rsid w:val="00572C41"/>
    <w:rsid w:val="0057329C"/>
    <w:rsid w:val="00573AD5"/>
    <w:rsid w:val="00573D1A"/>
    <w:rsid w:val="00574103"/>
    <w:rsid w:val="00574DA2"/>
    <w:rsid w:val="00575B68"/>
    <w:rsid w:val="00575DA6"/>
    <w:rsid w:val="00576423"/>
    <w:rsid w:val="00577104"/>
    <w:rsid w:val="0057737F"/>
    <w:rsid w:val="005800A9"/>
    <w:rsid w:val="00580488"/>
    <w:rsid w:val="005805A0"/>
    <w:rsid w:val="0058074D"/>
    <w:rsid w:val="00580FD1"/>
    <w:rsid w:val="00581A62"/>
    <w:rsid w:val="00582FAD"/>
    <w:rsid w:val="00583489"/>
    <w:rsid w:val="0058391F"/>
    <w:rsid w:val="00583A80"/>
    <w:rsid w:val="00584188"/>
    <w:rsid w:val="00584E33"/>
    <w:rsid w:val="00585432"/>
    <w:rsid w:val="00585AD4"/>
    <w:rsid w:val="00585E5C"/>
    <w:rsid w:val="00586819"/>
    <w:rsid w:val="00586E9A"/>
    <w:rsid w:val="00587419"/>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742"/>
    <w:rsid w:val="005A19CD"/>
    <w:rsid w:val="005A1C30"/>
    <w:rsid w:val="005A1CC6"/>
    <w:rsid w:val="005A31C9"/>
    <w:rsid w:val="005A3295"/>
    <w:rsid w:val="005A46FF"/>
    <w:rsid w:val="005A4AFF"/>
    <w:rsid w:val="005A65F0"/>
    <w:rsid w:val="005A7758"/>
    <w:rsid w:val="005A7B0E"/>
    <w:rsid w:val="005A7DB8"/>
    <w:rsid w:val="005B011E"/>
    <w:rsid w:val="005B028B"/>
    <w:rsid w:val="005B0764"/>
    <w:rsid w:val="005B2E84"/>
    <w:rsid w:val="005B352F"/>
    <w:rsid w:val="005B36DA"/>
    <w:rsid w:val="005B3E66"/>
    <w:rsid w:val="005B3FE8"/>
    <w:rsid w:val="005B436C"/>
    <w:rsid w:val="005B477E"/>
    <w:rsid w:val="005B4F97"/>
    <w:rsid w:val="005B50B0"/>
    <w:rsid w:val="005B52A4"/>
    <w:rsid w:val="005B5CA4"/>
    <w:rsid w:val="005B6E01"/>
    <w:rsid w:val="005B7476"/>
    <w:rsid w:val="005B7688"/>
    <w:rsid w:val="005B7849"/>
    <w:rsid w:val="005B7B0E"/>
    <w:rsid w:val="005C0DFA"/>
    <w:rsid w:val="005C0FF0"/>
    <w:rsid w:val="005C219B"/>
    <w:rsid w:val="005C3575"/>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0B95"/>
    <w:rsid w:val="005D15AE"/>
    <w:rsid w:val="005D1A7B"/>
    <w:rsid w:val="005D1EDD"/>
    <w:rsid w:val="005D456F"/>
    <w:rsid w:val="005D45B3"/>
    <w:rsid w:val="005D4AB3"/>
    <w:rsid w:val="005D4CEB"/>
    <w:rsid w:val="005D5344"/>
    <w:rsid w:val="005D5DA8"/>
    <w:rsid w:val="005D61EB"/>
    <w:rsid w:val="005E0AE0"/>
    <w:rsid w:val="005E518C"/>
    <w:rsid w:val="005E5F9A"/>
    <w:rsid w:val="005E6628"/>
    <w:rsid w:val="005E77F2"/>
    <w:rsid w:val="005F02B8"/>
    <w:rsid w:val="005F043C"/>
    <w:rsid w:val="005F0444"/>
    <w:rsid w:val="005F04E6"/>
    <w:rsid w:val="005F1138"/>
    <w:rsid w:val="005F13C8"/>
    <w:rsid w:val="005F17EC"/>
    <w:rsid w:val="005F1C2F"/>
    <w:rsid w:val="005F2F3F"/>
    <w:rsid w:val="005F39D5"/>
    <w:rsid w:val="005F3AB5"/>
    <w:rsid w:val="005F3E05"/>
    <w:rsid w:val="005F3E08"/>
    <w:rsid w:val="005F43B9"/>
    <w:rsid w:val="005F4BBF"/>
    <w:rsid w:val="005F55D6"/>
    <w:rsid w:val="005F5CA9"/>
    <w:rsid w:val="005F68CB"/>
    <w:rsid w:val="005F6BDE"/>
    <w:rsid w:val="005F7C62"/>
    <w:rsid w:val="005F7F90"/>
    <w:rsid w:val="00600242"/>
    <w:rsid w:val="00601974"/>
    <w:rsid w:val="00602652"/>
    <w:rsid w:val="00602B51"/>
    <w:rsid w:val="006033E3"/>
    <w:rsid w:val="00605FC7"/>
    <w:rsid w:val="00606218"/>
    <w:rsid w:val="00606CA3"/>
    <w:rsid w:val="00606E91"/>
    <w:rsid w:val="00607018"/>
    <w:rsid w:val="006077ED"/>
    <w:rsid w:val="00607C5F"/>
    <w:rsid w:val="00610954"/>
    <w:rsid w:val="00610CBE"/>
    <w:rsid w:val="00610E1F"/>
    <w:rsid w:val="0061321C"/>
    <w:rsid w:val="00614C5C"/>
    <w:rsid w:val="00614CA1"/>
    <w:rsid w:val="00615C2C"/>
    <w:rsid w:val="00616D42"/>
    <w:rsid w:val="00617297"/>
    <w:rsid w:val="0062038A"/>
    <w:rsid w:val="006203A8"/>
    <w:rsid w:val="00620E59"/>
    <w:rsid w:val="00621132"/>
    <w:rsid w:val="00622656"/>
    <w:rsid w:val="00622A77"/>
    <w:rsid w:val="00622C05"/>
    <w:rsid w:val="0062386E"/>
    <w:rsid w:val="00623D9A"/>
    <w:rsid w:val="00623F01"/>
    <w:rsid w:val="006242FB"/>
    <w:rsid w:val="00624738"/>
    <w:rsid w:val="0062670B"/>
    <w:rsid w:val="00626E2D"/>
    <w:rsid w:val="006272DE"/>
    <w:rsid w:val="00627A55"/>
    <w:rsid w:val="00627D94"/>
    <w:rsid w:val="00630490"/>
    <w:rsid w:val="006304D3"/>
    <w:rsid w:val="00630A33"/>
    <w:rsid w:val="00630AB9"/>
    <w:rsid w:val="00630B42"/>
    <w:rsid w:val="006310FC"/>
    <w:rsid w:val="006313B1"/>
    <w:rsid w:val="00631688"/>
    <w:rsid w:val="006316A4"/>
    <w:rsid w:val="006320D8"/>
    <w:rsid w:val="00632540"/>
    <w:rsid w:val="00632E88"/>
    <w:rsid w:val="0063454C"/>
    <w:rsid w:val="00634DBB"/>
    <w:rsid w:val="00635744"/>
    <w:rsid w:val="00635EA5"/>
    <w:rsid w:val="00637C26"/>
    <w:rsid w:val="00640732"/>
    <w:rsid w:val="006413B3"/>
    <w:rsid w:val="0064185E"/>
    <w:rsid w:val="00642072"/>
    <w:rsid w:val="00642088"/>
    <w:rsid w:val="00643DBD"/>
    <w:rsid w:val="006440ED"/>
    <w:rsid w:val="0064467C"/>
    <w:rsid w:val="00644F1E"/>
    <w:rsid w:val="00645213"/>
    <w:rsid w:val="00645293"/>
    <w:rsid w:val="006468CB"/>
    <w:rsid w:val="006469D9"/>
    <w:rsid w:val="00646CF8"/>
    <w:rsid w:val="00650A2D"/>
    <w:rsid w:val="00651B78"/>
    <w:rsid w:val="00652263"/>
    <w:rsid w:val="0065238F"/>
    <w:rsid w:val="00652881"/>
    <w:rsid w:val="00652985"/>
    <w:rsid w:val="006533AE"/>
    <w:rsid w:val="00653C38"/>
    <w:rsid w:val="006551AE"/>
    <w:rsid w:val="00657424"/>
    <w:rsid w:val="00661974"/>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2C9E"/>
    <w:rsid w:val="0067307E"/>
    <w:rsid w:val="0067333F"/>
    <w:rsid w:val="006739C0"/>
    <w:rsid w:val="00673F6D"/>
    <w:rsid w:val="00674850"/>
    <w:rsid w:val="00675116"/>
    <w:rsid w:val="00675D03"/>
    <w:rsid w:val="00676016"/>
    <w:rsid w:val="00676462"/>
    <w:rsid w:val="00676EA7"/>
    <w:rsid w:val="006805DF"/>
    <w:rsid w:val="00681B97"/>
    <w:rsid w:val="00682EC2"/>
    <w:rsid w:val="00683F61"/>
    <w:rsid w:val="00686A36"/>
    <w:rsid w:val="00687AD5"/>
    <w:rsid w:val="00687FBD"/>
    <w:rsid w:val="0069211A"/>
    <w:rsid w:val="00692775"/>
    <w:rsid w:val="00692B81"/>
    <w:rsid w:val="00692C4F"/>
    <w:rsid w:val="00693B90"/>
    <w:rsid w:val="00693F2C"/>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28BF"/>
    <w:rsid w:val="006A2EA3"/>
    <w:rsid w:val="006A303F"/>
    <w:rsid w:val="006A3CC1"/>
    <w:rsid w:val="006A3F9D"/>
    <w:rsid w:val="006A4899"/>
    <w:rsid w:val="006A62E1"/>
    <w:rsid w:val="006A6566"/>
    <w:rsid w:val="006A72C6"/>
    <w:rsid w:val="006A7310"/>
    <w:rsid w:val="006B02DA"/>
    <w:rsid w:val="006B08FB"/>
    <w:rsid w:val="006B0A5A"/>
    <w:rsid w:val="006B14BF"/>
    <w:rsid w:val="006B2065"/>
    <w:rsid w:val="006B275B"/>
    <w:rsid w:val="006B2D79"/>
    <w:rsid w:val="006B2F8B"/>
    <w:rsid w:val="006B30BF"/>
    <w:rsid w:val="006B38C6"/>
    <w:rsid w:val="006B3940"/>
    <w:rsid w:val="006B45A6"/>
    <w:rsid w:val="006B47D3"/>
    <w:rsid w:val="006B62F0"/>
    <w:rsid w:val="006B6C6B"/>
    <w:rsid w:val="006C09B6"/>
    <w:rsid w:val="006C111B"/>
    <w:rsid w:val="006C168D"/>
    <w:rsid w:val="006C2BF5"/>
    <w:rsid w:val="006C48EF"/>
    <w:rsid w:val="006C4A40"/>
    <w:rsid w:val="006C4E56"/>
    <w:rsid w:val="006C5CE0"/>
    <w:rsid w:val="006C5E49"/>
    <w:rsid w:val="006C5EDB"/>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B4D"/>
    <w:rsid w:val="006D41EF"/>
    <w:rsid w:val="006D53AA"/>
    <w:rsid w:val="006D6993"/>
    <w:rsid w:val="006D70F0"/>
    <w:rsid w:val="006D78AA"/>
    <w:rsid w:val="006E0D09"/>
    <w:rsid w:val="006E1F1D"/>
    <w:rsid w:val="006E241F"/>
    <w:rsid w:val="006E24EE"/>
    <w:rsid w:val="006E25BD"/>
    <w:rsid w:val="006E3379"/>
    <w:rsid w:val="006E34B7"/>
    <w:rsid w:val="006E36B8"/>
    <w:rsid w:val="006E3874"/>
    <w:rsid w:val="006E5585"/>
    <w:rsid w:val="006E5842"/>
    <w:rsid w:val="006E59EA"/>
    <w:rsid w:val="006E5BAC"/>
    <w:rsid w:val="006E5E32"/>
    <w:rsid w:val="006E62D5"/>
    <w:rsid w:val="006E633A"/>
    <w:rsid w:val="006E6A14"/>
    <w:rsid w:val="006E6B16"/>
    <w:rsid w:val="006E6DE8"/>
    <w:rsid w:val="006E780C"/>
    <w:rsid w:val="006F0823"/>
    <w:rsid w:val="006F0BA7"/>
    <w:rsid w:val="006F0EB9"/>
    <w:rsid w:val="006F0F01"/>
    <w:rsid w:val="006F174D"/>
    <w:rsid w:val="006F1F41"/>
    <w:rsid w:val="006F3222"/>
    <w:rsid w:val="006F32EF"/>
    <w:rsid w:val="006F3615"/>
    <w:rsid w:val="006F3788"/>
    <w:rsid w:val="006F3C54"/>
    <w:rsid w:val="006F4CD8"/>
    <w:rsid w:val="006F53D9"/>
    <w:rsid w:val="006F5812"/>
    <w:rsid w:val="006F609A"/>
    <w:rsid w:val="006F6E7A"/>
    <w:rsid w:val="006F7FDA"/>
    <w:rsid w:val="007004DC"/>
    <w:rsid w:val="00701093"/>
    <w:rsid w:val="007018D6"/>
    <w:rsid w:val="007022C4"/>
    <w:rsid w:val="007026E9"/>
    <w:rsid w:val="00703C8B"/>
    <w:rsid w:val="00703E8A"/>
    <w:rsid w:val="00704372"/>
    <w:rsid w:val="00704F60"/>
    <w:rsid w:val="00706045"/>
    <w:rsid w:val="00706EA3"/>
    <w:rsid w:val="007078BE"/>
    <w:rsid w:val="00710BF6"/>
    <w:rsid w:val="00711522"/>
    <w:rsid w:val="007118A6"/>
    <w:rsid w:val="007124FE"/>
    <w:rsid w:val="00712533"/>
    <w:rsid w:val="00713186"/>
    <w:rsid w:val="00713757"/>
    <w:rsid w:val="00713758"/>
    <w:rsid w:val="007137D8"/>
    <w:rsid w:val="00714064"/>
    <w:rsid w:val="00715517"/>
    <w:rsid w:val="00716A38"/>
    <w:rsid w:val="00717772"/>
    <w:rsid w:val="00717BDC"/>
    <w:rsid w:val="007200E5"/>
    <w:rsid w:val="00720622"/>
    <w:rsid w:val="00720C17"/>
    <w:rsid w:val="00721AF1"/>
    <w:rsid w:val="0072280F"/>
    <w:rsid w:val="00722B5E"/>
    <w:rsid w:val="007230F1"/>
    <w:rsid w:val="007235F5"/>
    <w:rsid w:val="00723B2C"/>
    <w:rsid w:val="007253CC"/>
    <w:rsid w:val="00725668"/>
    <w:rsid w:val="00726F5A"/>
    <w:rsid w:val="0072708F"/>
    <w:rsid w:val="00730172"/>
    <w:rsid w:val="00730E81"/>
    <w:rsid w:val="00731000"/>
    <w:rsid w:val="00731204"/>
    <w:rsid w:val="007319BC"/>
    <w:rsid w:val="0073222B"/>
    <w:rsid w:val="00732582"/>
    <w:rsid w:val="00732D1D"/>
    <w:rsid w:val="00732F5C"/>
    <w:rsid w:val="007332C4"/>
    <w:rsid w:val="00733C68"/>
    <w:rsid w:val="00734381"/>
    <w:rsid w:val="00735EAA"/>
    <w:rsid w:val="00736034"/>
    <w:rsid w:val="0073681C"/>
    <w:rsid w:val="0073725B"/>
    <w:rsid w:val="00737E96"/>
    <w:rsid w:val="00740189"/>
    <w:rsid w:val="0074033C"/>
    <w:rsid w:val="0074050E"/>
    <w:rsid w:val="0074065B"/>
    <w:rsid w:val="00740B66"/>
    <w:rsid w:val="00741AF8"/>
    <w:rsid w:val="00741EBE"/>
    <w:rsid w:val="00742112"/>
    <w:rsid w:val="00742181"/>
    <w:rsid w:val="00742218"/>
    <w:rsid w:val="007424EC"/>
    <w:rsid w:val="00742728"/>
    <w:rsid w:val="00742AB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2144"/>
    <w:rsid w:val="0076230F"/>
    <w:rsid w:val="00762ABF"/>
    <w:rsid w:val="00762C75"/>
    <w:rsid w:val="00762F29"/>
    <w:rsid w:val="00764A94"/>
    <w:rsid w:val="00764B26"/>
    <w:rsid w:val="00764EA6"/>
    <w:rsid w:val="0076511D"/>
    <w:rsid w:val="007651A9"/>
    <w:rsid w:val="007651E5"/>
    <w:rsid w:val="0076524F"/>
    <w:rsid w:val="00765584"/>
    <w:rsid w:val="007665B2"/>
    <w:rsid w:val="00766B12"/>
    <w:rsid w:val="007670DC"/>
    <w:rsid w:val="00767356"/>
    <w:rsid w:val="00770F2A"/>
    <w:rsid w:val="0077111A"/>
    <w:rsid w:val="00771F95"/>
    <w:rsid w:val="0077213A"/>
    <w:rsid w:val="007721E2"/>
    <w:rsid w:val="00772272"/>
    <w:rsid w:val="0077369F"/>
    <w:rsid w:val="0077463A"/>
    <w:rsid w:val="00774AB3"/>
    <w:rsid w:val="00774D0F"/>
    <w:rsid w:val="00774D7B"/>
    <w:rsid w:val="007756ED"/>
    <w:rsid w:val="0077589D"/>
    <w:rsid w:val="0077617F"/>
    <w:rsid w:val="00776A3D"/>
    <w:rsid w:val="0077707A"/>
    <w:rsid w:val="007776BF"/>
    <w:rsid w:val="00780B65"/>
    <w:rsid w:val="007819A1"/>
    <w:rsid w:val="00782B2A"/>
    <w:rsid w:val="00783BA5"/>
    <w:rsid w:val="00784F9E"/>
    <w:rsid w:val="0078533C"/>
    <w:rsid w:val="007857FB"/>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214"/>
    <w:rsid w:val="007A5357"/>
    <w:rsid w:val="007A59B8"/>
    <w:rsid w:val="007A65AF"/>
    <w:rsid w:val="007A7682"/>
    <w:rsid w:val="007A7F38"/>
    <w:rsid w:val="007A7F42"/>
    <w:rsid w:val="007B0E14"/>
    <w:rsid w:val="007B2862"/>
    <w:rsid w:val="007B2FD8"/>
    <w:rsid w:val="007B3968"/>
    <w:rsid w:val="007B3B0A"/>
    <w:rsid w:val="007B45AF"/>
    <w:rsid w:val="007B4DD0"/>
    <w:rsid w:val="007B611E"/>
    <w:rsid w:val="007B662A"/>
    <w:rsid w:val="007B684F"/>
    <w:rsid w:val="007B6A73"/>
    <w:rsid w:val="007B71DC"/>
    <w:rsid w:val="007B758B"/>
    <w:rsid w:val="007B7743"/>
    <w:rsid w:val="007C04F4"/>
    <w:rsid w:val="007C0CFB"/>
    <w:rsid w:val="007C2139"/>
    <w:rsid w:val="007C27DE"/>
    <w:rsid w:val="007C299E"/>
    <w:rsid w:val="007C2DFD"/>
    <w:rsid w:val="007C3C64"/>
    <w:rsid w:val="007C3F97"/>
    <w:rsid w:val="007C525F"/>
    <w:rsid w:val="007C5321"/>
    <w:rsid w:val="007C5E8A"/>
    <w:rsid w:val="007C5F4B"/>
    <w:rsid w:val="007C6AAB"/>
    <w:rsid w:val="007C6DDF"/>
    <w:rsid w:val="007C6EA8"/>
    <w:rsid w:val="007C7B84"/>
    <w:rsid w:val="007C7E09"/>
    <w:rsid w:val="007D1FE9"/>
    <w:rsid w:val="007D28C9"/>
    <w:rsid w:val="007D3009"/>
    <w:rsid w:val="007D326B"/>
    <w:rsid w:val="007D38F0"/>
    <w:rsid w:val="007D3CC8"/>
    <w:rsid w:val="007D430A"/>
    <w:rsid w:val="007D47FB"/>
    <w:rsid w:val="007D4DD3"/>
    <w:rsid w:val="007D4F6E"/>
    <w:rsid w:val="007D5362"/>
    <w:rsid w:val="007D576A"/>
    <w:rsid w:val="007D5AA3"/>
    <w:rsid w:val="007D62F9"/>
    <w:rsid w:val="007D63A4"/>
    <w:rsid w:val="007D6542"/>
    <w:rsid w:val="007D7313"/>
    <w:rsid w:val="007E1AA2"/>
    <w:rsid w:val="007E1EE3"/>
    <w:rsid w:val="007E1F2C"/>
    <w:rsid w:val="007E2429"/>
    <w:rsid w:val="007E2793"/>
    <w:rsid w:val="007E279D"/>
    <w:rsid w:val="007E2D69"/>
    <w:rsid w:val="007E3B9A"/>
    <w:rsid w:val="007E46E8"/>
    <w:rsid w:val="007E470F"/>
    <w:rsid w:val="007E4C1F"/>
    <w:rsid w:val="007E500F"/>
    <w:rsid w:val="007E55C0"/>
    <w:rsid w:val="007F01DE"/>
    <w:rsid w:val="007F0759"/>
    <w:rsid w:val="007F0BCC"/>
    <w:rsid w:val="007F0D5B"/>
    <w:rsid w:val="007F156E"/>
    <w:rsid w:val="007F1C97"/>
    <w:rsid w:val="007F1CF3"/>
    <w:rsid w:val="007F25C0"/>
    <w:rsid w:val="007F30BB"/>
    <w:rsid w:val="007F3368"/>
    <w:rsid w:val="007F3D6A"/>
    <w:rsid w:val="007F4C96"/>
    <w:rsid w:val="007F5F52"/>
    <w:rsid w:val="007F672A"/>
    <w:rsid w:val="007F6A1D"/>
    <w:rsid w:val="007F6A4B"/>
    <w:rsid w:val="007F77C6"/>
    <w:rsid w:val="007F79D4"/>
    <w:rsid w:val="008003A1"/>
    <w:rsid w:val="008006B7"/>
    <w:rsid w:val="00800FDB"/>
    <w:rsid w:val="00802081"/>
    <w:rsid w:val="008020F6"/>
    <w:rsid w:val="0080298E"/>
    <w:rsid w:val="00802F04"/>
    <w:rsid w:val="00803833"/>
    <w:rsid w:val="00804316"/>
    <w:rsid w:val="008044F8"/>
    <w:rsid w:val="00804B55"/>
    <w:rsid w:val="008050BC"/>
    <w:rsid w:val="00805D3E"/>
    <w:rsid w:val="00806461"/>
    <w:rsid w:val="008064C1"/>
    <w:rsid w:val="00806635"/>
    <w:rsid w:val="0081096D"/>
    <w:rsid w:val="00810EAD"/>
    <w:rsid w:val="00811833"/>
    <w:rsid w:val="008134C7"/>
    <w:rsid w:val="00814BDE"/>
    <w:rsid w:val="00814DBC"/>
    <w:rsid w:val="008159A9"/>
    <w:rsid w:val="008174D4"/>
    <w:rsid w:val="0082002E"/>
    <w:rsid w:val="0082083C"/>
    <w:rsid w:val="00820C54"/>
    <w:rsid w:val="00820F37"/>
    <w:rsid w:val="00820FE6"/>
    <w:rsid w:val="00821A66"/>
    <w:rsid w:val="00822476"/>
    <w:rsid w:val="008227FB"/>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1CAC"/>
    <w:rsid w:val="008320ED"/>
    <w:rsid w:val="00832A0F"/>
    <w:rsid w:val="008353D5"/>
    <w:rsid w:val="00835408"/>
    <w:rsid w:val="008358A2"/>
    <w:rsid w:val="008359DA"/>
    <w:rsid w:val="00837CEF"/>
    <w:rsid w:val="00837E2F"/>
    <w:rsid w:val="00840035"/>
    <w:rsid w:val="00842661"/>
    <w:rsid w:val="008428A9"/>
    <w:rsid w:val="00842D1E"/>
    <w:rsid w:val="00844112"/>
    <w:rsid w:val="008444D6"/>
    <w:rsid w:val="008456C9"/>
    <w:rsid w:val="00845CE1"/>
    <w:rsid w:val="0084611D"/>
    <w:rsid w:val="00846177"/>
    <w:rsid w:val="008462E0"/>
    <w:rsid w:val="0084654D"/>
    <w:rsid w:val="00846C9F"/>
    <w:rsid w:val="00847BD6"/>
    <w:rsid w:val="00850137"/>
    <w:rsid w:val="00850C62"/>
    <w:rsid w:val="00852B48"/>
    <w:rsid w:val="0085474D"/>
    <w:rsid w:val="008550E7"/>
    <w:rsid w:val="00856481"/>
    <w:rsid w:val="00856484"/>
    <w:rsid w:val="008567A2"/>
    <w:rsid w:val="00856E6C"/>
    <w:rsid w:val="008578A7"/>
    <w:rsid w:val="00857DE1"/>
    <w:rsid w:val="00860793"/>
    <w:rsid w:val="00862636"/>
    <w:rsid w:val="00863011"/>
    <w:rsid w:val="0086340E"/>
    <w:rsid w:val="00863C5B"/>
    <w:rsid w:val="00863D2E"/>
    <w:rsid w:val="00864E32"/>
    <w:rsid w:val="00865075"/>
    <w:rsid w:val="00865B2B"/>
    <w:rsid w:val="00865E2D"/>
    <w:rsid w:val="0086615F"/>
    <w:rsid w:val="0086748F"/>
    <w:rsid w:val="00870FBB"/>
    <w:rsid w:val="00871A0D"/>
    <w:rsid w:val="00871B95"/>
    <w:rsid w:val="008720A7"/>
    <w:rsid w:val="00872757"/>
    <w:rsid w:val="00872CE4"/>
    <w:rsid w:val="0087359D"/>
    <w:rsid w:val="0087391D"/>
    <w:rsid w:val="00873AA4"/>
    <w:rsid w:val="00873CA8"/>
    <w:rsid w:val="00873F3E"/>
    <w:rsid w:val="00873F5D"/>
    <w:rsid w:val="0087507A"/>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0FFF"/>
    <w:rsid w:val="0089214A"/>
    <w:rsid w:val="00892226"/>
    <w:rsid w:val="008922FA"/>
    <w:rsid w:val="00892D3E"/>
    <w:rsid w:val="008936DC"/>
    <w:rsid w:val="00893784"/>
    <w:rsid w:val="00893E53"/>
    <w:rsid w:val="008945EB"/>
    <w:rsid w:val="00894C2A"/>
    <w:rsid w:val="008964A8"/>
    <w:rsid w:val="0089690B"/>
    <w:rsid w:val="00896A5F"/>
    <w:rsid w:val="0089728F"/>
    <w:rsid w:val="008976C0"/>
    <w:rsid w:val="00897708"/>
    <w:rsid w:val="00897D88"/>
    <w:rsid w:val="008A14C7"/>
    <w:rsid w:val="008A17AF"/>
    <w:rsid w:val="008A1F98"/>
    <w:rsid w:val="008A2C65"/>
    <w:rsid w:val="008A2F16"/>
    <w:rsid w:val="008A36AE"/>
    <w:rsid w:val="008A3B1C"/>
    <w:rsid w:val="008A48C3"/>
    <w:rsid w:val="008A4E18"/>
    <w:rsid w:val="008A520C"/>
    <w:rsid w:val="008A5493"/>
    <w:rsid w:val="008A596C"/>
    <w:rsid w:val="008A5A5D"/>
    <w:rsid w:val="008A64C4"/>
    <w:rsid w:val="008A6789"/>
    <w:rsid w:val="008A6BF7"/>
    <w:rsid w:val="008A6CC1"/>
    <w:rsid w:val="008A7011"/>
    <w:rsid w:val="008A72FB"/>
    <w:rsid w:val="008A7F03"/>
    <w:rsid w:val="008B009C"/>
    <w:rsid w:val="008B1823"/>
    <w:rsid w:val="008B1B4E"/>
    <w:rsid w:val="008B24DC"/>
    <w:rsid w:val="008B2BDF"/>
    <w:rsid w:val="008B4198"/>
    <w:rsid w:val="008B586A"/>
    <w:rsid w:val="008B6651"/>
    <w:rsid w:val="008B6E16"/>
    <w:rsid w:val="008B7110"/>
    <w:rsid w:val="008B7A20"/>
    <w:rsid w:val="008C0DF9"/>
    <w:rsid w:val="008C2029"/>
    <w:rsid w:val="008C267C"/>
    <w:rsid w:val="008C2E44"/>
    <w:rsid w:val="008C3427"/>
    <w:rsid w:val="008C381D"/>
    <w:rsid w:val="008C3BC2"/>
    <w:rsid w:val="008C4413"/>
    <w:rsid w:val="008C4F76"/>
    <w:rsid w:val="008C55AD"/>
    <w:rsid w:val="008C6127"/>
    <w:rsid w:val="008C61D6"/>
    <w:rsid w:val="008C649D"/>
    <w:rsid w:val="008C64F1"/>
    <w:rsid w:val="008C69DE"/>
    <w:rsid w:val="008C6E7E"/>
    <w:rsid w:val="008C7163"/>
    <w:rsid w:val="008C7C1A"/>
    <w:rsid w:val="008D0DC1"/>
    <w:rsid w:val="008D1326"/>
    <w:rsid w:val="008D191C"/>
    <w:rsid w:val="008D1BB0"/>
    <w:rsid w:val="008D20FF"/>
    <w:rsid w:val="008D24F5"/>
    <w:rsid w:val="008D2B9A"/>
    <w:rsid w:val="008D396D"/>
    <w:rsid w:val="008D3DE6"/>
    <w:rsid w:val="008D4223"/>
    <w:rsid w:val="008D44CC"/>
    <w:rsid w:val="008D46E3"/>
    <w:rsid w:val="008D4CED"/>
    <w:rsid w:val="008D50F9"/>
    <w:rsid w:val="008D5CAF"/>
    <w:rsid w:val="008D6709"/>
    <w:rsid w:val="008E083A"/>
    <w:rsid w:val="008E12AD"/>
    <w:rsid w:val="008E21BC"/>
    <w:rsid w:val="008E22FF"/>
    <w:rsid w:val="008E2450"/>
    <w:rsid w:val="008E32E5"/>
    <w:rsid w:val="008E3453"/>
    <w:rsid w:val="008E3F27"/>
    <w:rsid w:val="008E47EF"/>
    <w:rsid w:val="008E4E6E"/>
    <w:rsid w:val="008E5B30"/>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668"/>
    <w:rsid w:val="008F48E1"/>
    <w:rsid w:val="008F4C10"/>
    <w:rsid w:val="008F5442"/>
    <w:rsid w:val="008F653E"/>
    <w:rsid w:val="008F7328"/>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753"/>
    <w:rsid w:val="00907264"/>
    <w:rsid w:val="00907488"/>
    <w:rsid w:val="0090765F"/>
    <w:rsid w:val="00907DE6"/>
    <w:rsid w:val="00910642"/>
    <w:rsid w:val="00911305"/>
    <w:rsid w:val="00912590"/>
    <w:rsid w:val="009125B5"/>
    <w:rsid w:val="00913200"/>
    <w:rsid w:val="00914EAB"/>
    <w:rsid w:val="009152D8"/>
    <w:rsid w:val="009154FD"/>
    <w:rsid w:val="00915A1D"/>
    <w:rsid w:val="0092042F"/>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0E85"/>
    <w:rsid w:val="00931040"/>
    <w:rsid w:val="00931663"/>
    <w:rsid w:val="00931D22"/>
    <w:rsid w:val="00932CC7"/>
    <w:rsid w:val="00935306"/>
    <w:rsid w:val="00935CDE"/>
    <w:rsid w:val="0093605E"/>
    <w:rsid w:val="00936688"/>
    <w:rsid w:val="00936F09"/>
    <w:rsid w:val="00937683"/>
    <w:rsid w:val="00937AC9"/>
    <w:rsid w:val="00937CFA"/>
    <w:rsid w:val="00937FC6"/>
    <w:rsid w:val="00940291"/>
    <w:rsid w:val="009406B3"/>
    <w:rsid w:val="00942286"/>
    <w:rsid w:val="00942EFD"/>
    <w:rsid w:val="00942F30"/>
    <w:rsid w:val="00943748"/>
    <w:rsid w:val="00943AB7"/>
    <w:rsid w:val="00943CEE"/>
    <w:rsid w:val="009444F4"/>
    <w:rsid w:val="00944674"/>
    <w:rsid w:val="00945727"/>
    <w:rsid w:val="00945CC4"/>
    <w:rsid w:val="00945CF5"/>
    <w:rsid w:val="0094691C"/>
    <w:rsid w:val="00947C95"/>
    <w:rsid w:val="00947EED"/>
    <w:rsid w:val="009500A1"/>
    <w:rsid w:val="009502B0"/>
    <w:rsid w:val="0095037E"/>
    <w:rsid w:val="00951D97"/>
    <w:rsid w:val="00952230"/>
    <w:rsid w:val="00952AAD"/>
    <w:rsid w:val="00953B2B"/>
    <w:rsid w:val="00954567"/>
    <w:rsid w:val="009547B3"/>
    <w:rsid w:val="00954A89"/>
    <w:rsid w:val="00954DE0"/>
    <w:rsid w:val="00955B17"/>
    <w:rsid w:val="00956671"/>
    <w:rsid w:val="009568D4"/>
    <w:rsid w:val="00956EEA"/>
    <w:rsid w:val="00957466"/>
    <w:rsid w:val="009576F7"/>
    <w:rsid w:val="00960646"/>
    <w:rsid w:val="00960722"/>
    <w:rsid w:val="00961356"/>
    <w:rsid w:val="00962401"/>
    <w:rsid w:val="00962510"/>
    <w:rsid w:val="0096260B"/>
    <w:rsid w:val="0096275C"/>
    <w:rsid w:val="009627FF"/>
    <w:rsid w:val="0096290F"/>
    <w:rsid w:val="00962A27"/>
    <w:rsid w:val="00962B9D"/>
    <w:rsid w:val="00962EDC"/>
    <w:rsid w:val="00964E3D"/>
    <w:rsid w:val="009664D5"/>
    <w:rsid w:val="009668A9"/>
    <w:rsid w:val="00966E6A"/>
    <w:rsid w:val="009670C1"/>
    <w:rsid w:val="00970C69"/>
    <w:rsid w:val="00971262"/>
    <w:rsid w:val="00971F1C"/>
    <w:rsid w:val="009720F0"/>
    <w:rsid w:val="0097211D"/>
    <w:rsid w:val="009724F9"/>
    <w:rsid w:val="0097263C"/>
    <w:rsid w:val="00972DF9"/>
    <w:rsid w:val="00972E10"/>
    <w:rsid w:val="009738AD"/>
    <w:rsid w:val="00973DE4"/>
    <w:rsid w:val="00974694"/>
    <w:rsid w:val="009746CA"/>
    <w:rsid w:val="00974E7C"/>
    <w:rsid w:val="00976F71"/>
    <w:rsid w:val="00977134"/>
    <w:rsid w:val="00980013"/>
    <w:rsid w:val="0098010E"/>
    <w:rsid w:val="009801B9"/>
    <w:rsid w:val="0098028A"/>
    <w:rsid w:val="0098030F"/>
    <w:rsid w:val="00980E65"/>
    <w:rsid w:val="0098122D"/>
    <w:rsid w:val="00981963"/>
    <w:rsid w:val="00982AAE"/>
    <w:rsid w:val="009831B9"/>
    <w:rsid w:val="00983A16"/>
    <w:rsid w:val="00983C82"/>
    <w:rsid w:val="009844D6"/>
    <w:rsid w:val="00984520"/>
    <w:rsid w:val="00985337"/>
    <w:rsid w:val="0098545C"/>
    <w:rsid w:val="00985F36"/>
    <w:rsid w:val="009862F1"/>
    <w:rsid w:val="00986F70"/>
    <w:rsid w:val="009871EA"/>
    <w:rsid w:val="00987CEA"/>
    <w:rsid w:val="00991675"/>
    <w:rsid w:val="00992BA2"/>
    <w:rsid w:val="00992F83"/>
    <w:rsid w:val="0099344F"/>
    <w:rsid w:val="00993577"/>
    <w:rsid w:val="00993A3C"/>
    <w:rsid w:val="00994633"/>
    <w:rsid w:val="0099508A"/>
    <w:rsid w:val="009967D7"/>
    <w:rsid w:val="009974EB"/>
    <w:rsid w:val="00997A12"/>
    <w:rsid w:val="009A0C49"/>
    <w:rsid w:val="009A1126"/>
    <w:rsid w:val="009A1CB4"/>
    <w:rsid w:val="009A2157"/>
    <w:rsid w:val="009A439E"/>
    <w:rsid w:val="009A5564"/>
    <w:rsid w:val="009A5C33"/>
    <w:rsid w:val="009A7469"/>
    <w:rsid w:val="009B07EE"/>
    <w:rsid w:val="009B1584"/>
    <w:rsid w:val="009B1B32"/>
    <w:rsid w:val="009B21CA"/>
    <w:rsid w:val="009B2648"/>
    <w:rsid w:val="009B424E"/>
    <w:rsid w:val="009B4317"/>
    <w:rsid w:val="009B4EBB"/>
    <w:rsid w:val="009B529C"/>
    <w:rsid w:val="009B5FA5"/>
    <w:rsid w:val="009B61B2"/>
    <w:rsid w:val="009B679E"/>
    <w:rsid w:val="009B7332"/>
    <w:rsid w:val="009B7420"/>
    <w:rsid w:val="009B7B09"/>
    <w:rsid w:val="009B7B46"/>
    <w:rsid w:val="009C0294"/>
    <w:rsid w:val="009C03E5"/>
    <w:rsid w:val="009C08B6"/>
    <w:rsid w:val="009C0920"/>
    <w:rsid w:val="009C12C3"/>
    <w:rsid w:val="009C1928"/>
    <w:rsid w:val="009C196C"/>
    <w:rsid w:val="009C1B5C"/>
    <w:rsid w:val="009C1FD2"/>
    <w:rsid w:val="009C36E6"/>
    <w:rsid w:val="009C3730"/>
    <w:rsid w:val="009C37BD"/>
    <w:rsid w:val="009C3888"/>
    <w:rsid w:val="009C3AAC"/>
    <w:rsid w:val="009C4D19"/>
    <w:rsid w:val="009C5F6C"/>
    <w:rsid w:val="009C5FDB"/>
    <w:rsid w:val="009C693E"/>
    <w:rsid w:val="009C6B2C"/>
    <w:rsid w:val="009C6ED6"/>
    <w:rsid w:val="009C70CB"/>
    <w:rsid w:val="009C7623"/>
    <w:rsid w:val="009C7D89"/>
    <w:rsid w:val="009C7E41"/>
    <w:rsid w:val="009D07C7"/>
    <w:rsid w:val="009D14EB"/>
    <w:rsid w:val="009D1B18"/>
    <w:rsid w:val="009D1E70"/>
    <w:rsid w:val="009D1EA4"/>
    <w:rsid w:val="009D27AA"/>
    <w:rsid w:val="009D2BFD"/>
    <w:rsid w:val="009D2FF8"/>
    <w:rsid w:val="009D3F20"/>
    <w:rsid w:val="009D428F"/>
    <w:rsid w:val="009D4991"/>
    <w:rsid w:val="009D597B"/>
    <w:rsid w:val="009D5A89"/>
    <w:rsid w:val="009D5BB5"/>
    <w:rsid w:val="009D6657"/>
    <w:rsid w:val="009D66C1"/>
    <w:rsid w:val="009D696D"/>
    <w:rsid w:val="009D6993"/>
    <w:rsid w:val="009D6ED2"/>
    <w:rsid w:val="009D78A3"/>
    <w:rsid w:val="009D7DB4"/>
    <w:rsid w:val="009E0603"/>
    <w:rsid w:val="009E08B3"/>
    <w:rsid w:val="009E0F1A"/>
    <w:rsid w:val="009E140D"/>
    <w:rsid w:val="009E43DD"/>
    <w:rsid w:val="009E4465"/>
    <w:rsid w:val="009E5318"/>
    <w:rsid w:val="009E6401"/>
    <w:rsid w:val="009E6C54"/>
    <w:rsid w:val="009E72E8"/>
    <w:rsid w:val="009F04C8"/>
    <w:rsid w:val="009F0812"/>
    <w:rsid w:val="009F0E02"/>
    <w:rsid w:val="009F1B6A"/>
    <w:rsid w:val="009F2408"/>
    <w:rsid w:val="009F248B"/>
    <w:rsid w:val="009F2A25"/>
    <w:rsid w:val="009F3A1A"/>
    <w:rsid w:val="009F4C7D"/>
    <w:rsid w:val="009F5235"/>
    <w:rsid w:val="009F531A"/>
    <w:rsid w:val="009F5EB9"/>
    <w:rsid w:val="009F6344"/>
    <w:rsid w:val="009F6550"/>
    <w:rsid w:val="009F6B65"/>
    <w:rsid w:val="009F786E"/>
    <w:rsid w:val="009F7B30"/>
    <w:rsid w:val="00A00817"/>
    <w:rsid w:val="00A00902"/>
    <w:rsid w:val="00A0098B"/>
    <w:rsid w:val="00A01A28"/>
    <w:rsid w:val="00A0294E"/>
    <w:rsid w:val="00A0327A"/>
    <w:rsid w:val="00A039FF"/>
    <w:rsid w:val="00A04524"/>
    <w:rsid w:val="00A046F6"/>
    <w:rsid w:val="00A05758"/>
    <w:rsid w:val="00A05ACE"/>
    <w:rsid w:val="00A06DBC"/>
    <w:rsid w:val="00A10C6C"/>
    <w:rsid w:val="00A114B9"/>
    <w:rsid w:val="00A11895"/>
    <w:rsid w:val="00A1211A"/>
    <w:rsid w:val="00A139BF"/>
    <w:rsid w:val="00A13A2E"/>
    <w:rsid w:val="00A13A65"/>
    <w:rsid w:val="00A13A67"/>
    <w:rsid w:val="00A14589"/>
    <w:rsid w:val="00A14AE3"/>
    <w:rsid w:val="00A151A0"/>
    <w:rsid w:val="00A16675"/>
    <w:rsid w:val="00A218AC"/>
    <w:rsid w:val="00A21955"/>
    <w:rsid w:val="00A22BB6"/>
    <w:rsid w:val="00A22CD6"/>
    <w:rsid w:val="00A234EC"/>
    <w:rsid w:val="00A24128"/>
    <w:rsid w:val="00A2417A"/>
    <w:rsid w:val="00A25642"/>
    <w:rsid w:val="00A26668"/>
    <w:rsid w:val="00A2681F"/>
    <w:rsid w:val="00A27804"/>
    <w:rsid w:val="00A317EA"/>
    <w:rsid w:val="00A320F6"/>
    <w:rsid w:val="00A3276D"/>
    <w:rsid w:val="00A330B0"/>
    <w:rsid w:val="00A334D1"/>
    <w:rsid w:val="00A34029"/>
    <w:rsid w:val="00A34257"/>
    <w:rsid w:val="00A34426"/>
    <w:rsid w:val="00A346FC"/>
    <w:rsid w:val="00A34F44"/>
    <w:rsid w:val="00A34F72"/>
    <w:rsid w:val="00A35CDF"/>
    <w:rsid w:val="00A3655D"/>
    <w:rsid w:val="00A36822"/>
    <w:rsid w:val="00A36AB5"/>
    <w:rsid w:val="00A374FD"/>
    <w:rsid w:val="00A3754B"/>
    <w:rsid w:val="00A402DD"/>
    <w:rsid w:val="00A4069E"/>
    <w:rsid w:val="00A40BBF"/>
    <w:rsid w:val="00A411D1"/>
    <w:rsid w:val="00A432E9"/>
    <w:rsid w:val="00A43389"/>
    <w:rsid w:val="00A434A7"/>
    <w:rsid w:val="00A43687"/>
    <w:rsid w:val="00A43E71"/>
    <w:rsid w:val="00A4526F"/>
    <w:rsid w:val="00A454C0"/>
    <w:rsid w:val="00A45753"/>
    <w:rsid w:val="00A457B8"/>
    <w:rsid w:val="00A46E47"/>
    <w:rsid w:val="00A479DC"/>
    <w:rsid w:val="00A47B15"/>
    <w:rsid w:val="00A5094A"/>
    <w:rsid w:val="00A51708"/>
    <w:rsid w:val="00A52F84"/>
    <w:rsid w:val="00A533CC"/>
    <w:rsid w:val="00A54284"/>
    <w:rsid w:val="00A5465A"/>
    <w:rsid w:val="00A54FB5"/>
    <w:rsid w:val="00A552C0"/>
    <w:rsid w:val="00A55BFA"/>
    <w:rsid w:val="00A56B05"/>
    <w:rsid w:val="00A56C06"/>
    <w:rsid w:val="00A56E50"/>
    <w:rsid w:val="00A57678"/>
    <w:rsid w:val="00A57972"/>
    <w:rsid w:val="00A579F5"/>
    <w:rsid w:val="00A57F07"/>
    <w:rsid w:val="00A57F83"/>
    <w:rsid w:val="00A60E2F"/>
    <w:rsid w:val="00A6199F"/>
    <w:rsid w:val="00A627AD"/>
    <w:rsid w:val="00A63246"/>
    <w:rsid w:val="00A63284"/>
    <w:rsid w:val="00A63458"/>
    <w:rsid w:val="00A634AE"/>
    <w:rsid w:val="00A6372D"/>
    <w:rsid w:val="00A64CB8"/>
    <w:rsid w:val="00A64E3E"/>
    <w:rsid w:val="00A66065"/>
    <w:rsid w:val="00A66D10"/>
    <w:rsid w:val="00A67018"/>
    <w:rsid w:val="00A671D2"/>
    <w:rsid w:val="00A67289"/>
    <w:rsid w:val="00A672F3"/>
    <w:rsid w:val="00A673DC"/>
    <w:rsid w:val="00A7076E"/>
    <w:rsid w:val="00A709BE"/>
    <w:rsid w:val="00A70D85"/>
    <w:rsid w:val="00A7162E"/>
    <w:rsid w:val="00A72D71"/>
    <w:rsid w:val="00A73112"/>
    <w:rsid w:val="00A73617"/>
    <w:rsid w:val="00A747D2"/>
    <w:rsid w:val="00A7511E"/>
    <w:rsid w:val="00A75123"/>
    <w:rsid w:val="00A753C0"/>
    <w:rsid w:val="00A75705"/>
    <w:rsid w:val="00A75F35"/>
    <w:rsid w:val="00A765A9"/>
    <w:rsid w:val="00A77BF3"/>
    <w:rsid w:val="00A77C69"/>
    <w:rsid w:val="00A812B1"/>
    <w:rsid w:val="00A82C61"/>
    <w:rsid w:val="00A8301B"/>
    <w:rsid w:val="00A83049"/>
    <w:rsid w:val="00A83945"/>
    <w:rsid w:val="00A83953"/>
    <w:rsid w:val="00A83CD7"/>
    <w:rsid w:val="00A8400B"/>
    <w:rsid w:val="00A8416A"/>
    <w:rsid w:val="00A846DA"/>
    <w:rsid w:val="00A853D8"/>
    <w:rsid w:val="00A8661E"/>
    <w:rsid w:val="00A8695A"/>
    <w:rsid w:val="00A86ACF"/>
    <w:rsid w:val="00A8708E"/>
    <w:rsid w:val="00A903B6"/>
    <w:rsid w:val="00A90F4F"/>
    <w:rsid w:val="00A919AD"/>
    <w:rsid w:val="00A91F90"/>
    <w:rsid w:val="00A92507"/>
    <w:rsid w:val="00A92579"/>
    <w:rsid w:val="00A92EF7"/>
    <w:rsid w:val="00A936F9"/>
    <w:rsid w:val="00A947AA"/>
    <w:rsid w:val="00A94888"/>
    <w:rsid w:val="00A94990"/>
    <w:rsid w:val="00A9681C"/>
    <w:rsid w:val="00A96867"/>
    <w:rsid w:val="00A96B3D"/>
    <w:rsid w:val="00A97141"/>
    <w:rsid w:val="00A97820"/>
    <w:rsid w:val="00A97A4E"/>
    <w:rsid w:val="00A97E07"/>
    <w:rsid w:val="00AA1B53"/>
    <w:rsid w:val="00AA1DEA"/>
    <w:rsid w:val="00AA256D"/>
    <w:rsid w:val="00AA311D"/>
    <w:rsid w:val="00AA3556"/>
    <w:rsid w:val="00AA35FD"/>
    <w:rsid w:val="00AA364F"/>
    <w:rsid w:val="00AA3DB7"/>
    <w:rsid w:val="00AA41D3"/>
    <w:rsid w:val="00AA46A1"/>
    <w:rsid w:val="00AA554C"/>
    <w:rsid w:val="00AA694F"/>
    <w:rsid w:val="00AA712F"/>
    <w:rsid w:val="00AB0039"/>
    <w:rsid w:val="00AB0D96"/>
    <w:rsid w:val="00AB15A3"/>
    <w:rsid w:val="00AB177A"/>
    <w:rsid w:val="00AB216D"/>
    <w:rsid w:val="00AB21AA"/>
    <w:rsid w:val="00AB2F94"/>
    <w:rsid w:val="00AB3012"/>
    <w:rsid w:val="00AB321C"/>
    <w:rsid w:val="00AB3CED"/>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FF3"/>
    <w:rsid w:val="00AC4938"/>
    <w:rsid w:val="00AC4A34"/>
    <w:rsid w:val="00AC4BC1"/>
    <w:rsid w:val="00AC5029"/>
    <w:rsid w:val="00AC5715"/>
    <w:rsid w:val="00AC7D8D"/>
    <w:rsid w:val="00AD04BD"/>
    <w:rsid w:val="00AD0765"/>
    <w:rsid w:val="00AD0F00"/>
    <w:rsid w:val="00AD14B8"/>
    <w:rsid w:val="00AD296B"/>
    <w:rsid w:val="00AD299E"/>
    <w:rsid w:val="00AD312A"/>
    <w:rsid w:val="00AD5374"/>
    <w:rsid w:val="00AD55A8"/>
    <w:rsid w:val="00AD5A2E"/>
    <w:rsid w:val="00AD5CA4"/>
    <w:rsid w:val="00AD6076"/>
    <w:rsid w:val="00AD634F"/>
    <w:rsid w:val="00AD6591"/>
    <w:rsid w:val="00AD6A91"/>
    <w:rsid w:val="00AD6EE3"/>
    <w:rsid w:val="00AD7214"/>
    <w:rsid w:val="00AE04DB"/>
    <w:rsid w:val="00AE0C58"/>
    <w:rsid w:val="00AE0E09"/>
    <w:rsid w:val="00AE103C"/>
    <w:rsid w:val="00AE1066"/>
    <w:rsid w:val="00AE14DD"/>
    <w:rsid w:val="00AE1A2D"/>
    <w:rsid w:val="00AE2CB7"/>
    <w:rsid w:val="00AE2FA5"/>
    <w:rsid w:val="00AE3215"/>
    <w:rsid w:val="00AE3A4F"/>
    <w:rsid w:val="00AE4518"/>
    <w:rsid w:val="00AE49D9"/>
    <w:rsid w:val="00AE4C42"/>
    <w:rsid w:val="00AE5D7F"/>
    <w:rsid w:val="00AE7140"/>
    <w:rsid w:val="00AE79F0"/>
    <w:rsid w:val="00AF07B0"/>
    <w:rsid w:val="00AF0AFC"/>
    <w:rsid w:val="00AF109C"/>
    <w:rsid w:val="00AF1752"/>
    <w:rsid w:val="00AF2896"/>
    <w:rsid w:val="00AF3F1D"/>
    <w:rsid w:val="00AF42FC"/>
    <w:rsid w:val="00AF4AC5"/>
    <w:rsid w:val="00AF4C2C"/>
    <w:rsid w:val="00AF597D"/>
    <w:rsid w:val="00AF6EC1"/>
    <w:rsid w:val="00AF7416"/>
    <w:rsid w:val="00AF784D"/>
    <w:rsid w:val="00AF7CE9"/>
    <w:rsid w:val="00B00331"/>
    <w:rsid w:val="00B00E46"/>
    <w:rsid w:val="00B01102"/>
    <w:rsid w:val="00B014A1"/>
    <w:rsid w:val="00B01A80"/>
    <w:rsid w:val="00B03EF5"/>
    <w:rsid w:val="00B046AF"/>
    <w:rsid w:val="00B06036"/>
    <w:rsid w:val="00B061F5"/>
    <w:rsid w:val="00B07C27"/>
    <w:rsid w:val="00B07DDE"/>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20203"/>
    <w:rsid w:val="00B203C4"/>
    <w:rsid w:val="00B20863"/>
    <w:rsid w:val="00B20CDD"/>
    <w:rsid w:val="00B20E37"/>
    <w:rsid w:val="00B21584"/>
    <w:rsid w:val="00B21F27"/>
    <w:rsid w:val="00B224DF"/>
    <w:rsid w:val="00B22683"/>
    <w:rsid w:val="00B22BC9"/>
    <w:rsid w:val="00B22E81"/>
    <w:rsid w:val="00B232FE"/>
    <w:rsid w:val="00B23996"/>
    <w:rsid w:val="00B23A8A"/>
    <w:rsid w:val="00B23BBE"/>
    <w:rsid w:val="00B23CB2"/>
    <w:rsid w:val="00B240CC"/>
    <w:rsid w:val="00B24E14"/>
    <w:rsid w:val="00B2561A"/>
    <w:rsid w:val="00B256C1"/>
    <w:rsid w:val="00B25A64"/>
    <w:rsid w:val="00B25A79"/>
    <w:rsid w:val="00B25B94"/>
    <w:rsid w:val="00B26E97"/>
    <w:rsid w:val="00B26EB9"/>
    <w:rsid w:val="00B271F2"/>
    <w:rsid w:val="00B277C4"/>
    <w:rsid w:val="00B31884"/>
    <w:rsid w:val="00B31D19"/>
    <w:rsid w:val="00B32155"/>
    <w:rsid w:val="00B32396"/>
    <w:rsid w:val="00B32AB3"/>
    <w:rsid w:val="00B32DAE"/>
    <w:rsid w:val="00B33825"/>
    <w:rsid w:val="00B34BB2"/>
    <w:rsid w:val="00B34E7C"/>
    <w:rsid w:val="00B35AF6"/>
    <w:rsid w:val="00B36228"/>
    <w:rsid w:val="00B366A3"/>
    <w:rsid w:val="00B368EA"/>
    <w:rsid w:val="00B3741E"/>
    <w:rsid w:val="00B37EEF"/>
    <w:rsid w:val="00B41344"/>
    <w:rsid w:val="00B418AD"/>
    <w:rsid w:val="00B41DAD"/>
    <w:rsid w:val="00B4229C"/>
    <w:rsid w:val="00B42F1A"/>
    <w:rsid w:val="00B43790"/>
    <w:rsid w:val="00B4430B"/>
    <w:rsid w:val="00B443D9"/>
    <w:rsid w:val="00B44531"/>
    <w:rsid w:val="00B445EA"/>
    <w:rsid w:val="00B46587"/>
    <w:rsid w:val="00B47AD2"/>
    <w:rsid w:val="00B47CF7"/>
    <w:rsid w:val="00B50686"/>
    <w:rsid w:val="00B50C50"/>
    <w:rsid w:val="00B50ED1"/>
    <w:rsid w:val="00B513C0"/>
    <w:rsid w:val="00B52CF8"/>
    <w:rsid w:val="00B53708"/>
    <w:rsid w:val="00B53DCB"/>
    <w:rsid w:val="00B5428F"/>
    <w:rsid w:val="00B54370"/>
    <w:rsid w:val="00B54DEA"/>
    <w:rsid w:val="00B54FDF"/>
    <w:rsid w:val="00B55185"/>
    <w:rsid w:val="00B55C03"/>
    <w:rsid w:val="00B55F0B"/>
    <w:rsid w:val="00B5695D"/>
    <w:rsid w:val="00B56A70"/>
    <w:rsid w:val="00B602D5"/>
    <w:rsid w:val="00B60638"/>
    <w:rsid w:val="00B606F8"/>
    <w:rsid w:val="00B60A44"/>
    <w:rsid w:val="00B616D5"/>
    <w:rsid w:val="00B61872"/>
    <w:rsid w:val="00B61923"/>
    <w:rsid w:val="00B621D6"/>
    <w:rsid w:val="00B63AF2"/>
    <w:rsid w:val="00B64278"/>
    <w:rsid w:val="00B65747"/>
    <w:rsid w:val="00B65D6F"/>
    <w:rsid w:val="00B65FAD"/>
    <w:rsid w:val="00B66174"/>
    <w:rsid w:val="00B661B5"/>
    <w:rsid w:val="00B67B37"/>
    <w:rsid w:val="00B67C23"/>
    <w:rsid w:val="00B7079B"/>
    <w:rsid w:val="00B70BE5"/>
    <w:rsid w:val="00B70DC7"/>
    <w:rsid w:val="00B721A4"/>
    <w:rsid w:val="00B72B5B"/>
    <w:rsid w:val="00B72EFF"/>
    <w:rsid w:val="00B73AA7"/>
    <w:rsid w:val="00B73C25"/>
    <w:rsid w:val="00B73DCE"/>
    <w:rsid w:val="00B746E4"/>
    <w:rsid w:val="00B74A6F"/>
    <w:rsid w:val="00B74D64"/>
    <w:rsid w:val="00B750C2"/>
    <w:rsid w:val="00B75411"/>
    <w:rsid w:val="00B7546A"/>
    <w:rsid w:val="00B756CB"/>
    <w:rsid w:val="00B75735"/>
    <w:rsid w:val="00B77142"/>
    <w:rsid w:val="00B77746"/>
    <w:rsid w:val="00B8010E"/>
    <w:rsid w:val="00B80879"/>
    <w:rsid w:val="00B80A2C"/>
    <w:rsid w:val="00B80D3B"/>
    <w:rsid w:val="00B8135C"/>
    <w:rsid w:val="00B814BB"/>
    <w:rsid w:val="00B81730"/>
    <w:rsid w:val="00B81F60"/>
    <w:rsid w:val="00B82123"/>
    <w:rsid w:val="00B823D4"/>
    <w:rsid w:val="00B82BEC"/>
    <w:rsid w:val="00B8314A"/>
    <w:rsid w:val="00B841AC"/>
    <w:rsid w:val="00B844A6"/>
    <w:rsid w:val="00B85873"/>
    <w:rsid w:val="00B85E95"/>
    <w:rsid w:val="00B865B0"/>
    <w:rsid w:val="00B865DC"/>
    <w:rsid w:val="00B86E3A"/>
    <w:rsid w:val="00B870E8"/>
    <w:rsid w:val="00B874E9"/>
    <w:rsid w:val="00B875E3"/>
    <w:rsid w:val="00B87ACB"/>
    <w:rsid w:val="00B87C29"/>
    <w:rsid w:val="00B90780"/>
    <w:rsid w:val="00B90968"/>
    <w:rsid w:val="00B918BB"/>
    <w:rsid w:val="00B91A15"/>
    <w:rsid w:val="00B91BC2"/>
    <w:rsid w:val="00B9240D"/>
    <w:rsid w:val="00B93E0B"/>
    <w:rsid w:val="00B94855"/>
    <w:rsid w:val="00B94960"/>
    <w:rsid w:val="00B9543E"/>
    <w:rsid w:val="00B96F6E"/>
    <w:rsid w:val="00B9702A"/>
    <w:rsid w:val="00B979D4"/>
    <w:rsid w:val="00BA027A"/>
    <w:rsid w:val="00BA0703"/>
    <w:rsid w:val="00BA22A8"/>
    <w:rsid w:val="00BA309F"/>
    <w:rsid w:val="00BA3B8F"/>
    <w:rsid w:val="00BA3E48"/>
    <w:rsid w:val="00BA4905"/>
    <w:rsid w:val="00BA4BD3"/>
    <w:rsid w:val="00BA5B51"/>
    <w:rsid w:val="00BA6120"/>
    <w:rsid w:val="00BA6E49"/>
    <w:rsid w:val="00BB0187"/>
    <w:rsid w:val="00BB0C2D"/>
    <w:rsid w:val="00BB0E56"/>
    <w:rsid w:val="00BB1473"/>
    <w:rsid w:val="00BB1EB3"/>
    <w:rsid w:val="00BB2678"/>
    <w:rsid w:val="00BB3077"/>
    <w:rsid w:val="00BB31D5"/>
    <w:rsid w:val="00BB33A8"/>
    <w:rsid w:val="00BB3927"/>
    <w:rsid w:val="00BB3D8C"/>
    <w:rsid w:val="00BB4B39"/>
    <w:rsid w:val="00BB4E17"/>
    <w:rsid w:val="00BB53AF"/>
    <w:rsid w:val="00BB5BDF"/>
    <w:rsid w:val="00BB5C26"/>
    <w:rsid w:val="00BB64B7"/>
    <w:rsid w:val="00BB6591"/>
    <w:rsid w:val="00BB6A40"/>
    <w:rsid w:val="00BC013A"/>
    <w:rsid w:val="00BC12F7"/>
    <w:rsid w:val="00BC162A"/>
    <w:rsid w:val="00BC2343"/>
    <w:rsid w:val="00BC2A29"/>
    <w:rsid w:val="00BC2BE7"/>
    <w:rsid w:val="00BC2E1B"/>
    <w:rsid w:val="00BC3F52"/>
    <w:rsid w:val="00BC43D7"/>
    <w:rsid w:val="00BC4ED3"/>
    <w:rsid w:val="00BC5824"/>
    <w:rsid w:val="00BC6B20"/>
    <w:rsid w:val="00BC702F"/>
    <w:rsid w:val="00BC7377"/>
    <w:rsid w:val="00BD0707"/>
    <w:rsid w:val="00BD0ECF"/>
    <w:rsid w:val="00BD13C1"/>
    <w:rsid w:val="00BD30C8"/>
    <w:rsid w:val="00BD38F4"/>
    <w:rsid w:val="00BD3EB4"/>
    <w:rsid w:val="00BD4C5B"/>
    <w:rsid w:val="00BD4F01"/>
    <w:rsid w:val="00BD5359"/>
    <w:rsid w:val="00BD556E"/>
    <w:rsid w:val="00BD5C65"/>
    <w:rsid w:val="00BD7906"/>
    <w:rsid w:val="00BD7BCC"/>
    <w:rsid w:val="00BE0557"/>
    <w:rsid w:val="00BE16E9"/>
    <w:rsid w:val="00BE1E11"/>
    <w:rsid w:val="00BE2730"/>
    <w:rsid w:val="00BE2A17"/>
    <w:rsid w:val="00BE2D83"/>
    <w:rsid w:val="00BE31BE"/>
    <w:rsid w:val="00BE3A1D"/>
    <w:rsid w:val="00BE3ABB"/>
    <w:rsid w:val="00BE3B92"/>
    <w:rsid w:val="00BE487E"/>
    <w:rsid w:val="00BE528E"/>
    <w:rsid w:val="00BE6018"/>
    <w:rsid w:val="00BE7086"/>
    <w:rsid w:val="00BE7278"/>
    <w:rsid w:val="00BF1F57"/>
    <w:rsid w:val="00BF20FD"/>
    <w:rsid w:val="00BF2239"/>
    <w:rsid w:val="00BF22C6"/>
    <w:rsid w:val="00BF27DD"/>
    <w:rsid w:val="00BF34C2"/>
    <w:rsid w:val="00BF3804"/>
    <w:rsid w:val="00BF3B4E"/>
    <w:rsid w:val="00BF3B89"/>
    <w:rsid w:val="00BF4086"/>
    <w:rsid w:val="00BF426C"/>
    <w:rsid w:val="00BF4594"/>
    <w:rsid w:val="00BF58D0"/>
    <w:rsid w:val="00BF6027"/>
    <w:rsid w:val="00BF6702"/>
    <w:rsid w:val="00BF7561"/>
    <w:rsid w:val="00BF7952"/>
    <w:rsid w:val="00BF7D6A"/>
    <w:rsid w:val="00C0021D"/>
    <w:rsid w:val="00C00300"/>
    <w:rsid w:val="00C0068D"/>
    <w:rsid w:val="00C00A6C"/>
    <w:rsid w:val="00C00B8B"/>
    <w:rsid w:val="00C013E1"/>
    <w:rsid w:val="00C01611"/>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153"/>
    <w:rsid w:val="00C11521"/>
    <w:rsid w:val="00C142AD"/>
    <w:rsid w:val="00C142C1"/>
    <w:rsid w:val="00C14A30"/>
    <w:rsid w:val="00C152FE"/>
    <w:rsid w:val="00C15D1B"/>
    <w:rsid w:val="00C16739"/>
    <w:rsid w:val="00C168DD"/>
    <w:rsid w:val="00C176CC"/>
    <w:rsid w:val="00C20E37"/>
    <w:rsid w:val="00C21031"/>
    <w:rsid w:val="00C221B9"/>
    <w:rsid w:val="00C225EA"/>
    <w:rsid w:val="00C226E6"/>
    <w:rsid w:val="00C22CCE"/>
    <w:rsid w:val="00C232BC"/>
    <w:rsid w:val="00C23BA2"/>
    <w:rsid w:val="00C2485F"/>
    <w:rsid w:val="00C248B1"/>
    <w:rsid w:val="00C24ACA"/>
    <w:rsid w:val="00C24B63"/>
    <w:rsid w:val="00C256C3"/>
    <w:rsid w:val="00C262A0"/>
    <w:rsid w:val="00C26A4E"/>
    <w:rsid w:val="00C271D2"/>
    <w:rsid w:val="00C31195"/>
    <w:rsid w:val="00C31774"/>
    <w:rsid w:val="00C3180E"/>
    <w:rsid w:val="00C32AF2"/>
    <w:rsid w:val="00C33051"/>
    <w:rsid w:val="00C33204"/>
    <w:rsid w:val="00C338EB"/>
    <w:rsid w:val="00C34389"/>
    <w:rsid w:val="00C3465D"/>
    <w:rsid w:val="00C347D5"/>
    <w:rsid w:val="00C35C57"/>
    <w:rsid w:val="00C379E9"/>
    <w:rsid w:val="00C37C29"/>
    <w:rsid w:val="00C37EDC"/>
    <w:rsid w:val="00C403CD"/>
    <w:rsid w:val="00C4082B"/>
    <w:rsid w:val="00C40ECA"/>
    <w:rsid w:val="00C411AC"/>
    <w:rsid w:val="00C41B04"/>
    <w:rsid w:val="00C42041"/>
    <w:rsid w:val="00C42949"/>
    <w:rsid w:val="00C42BD9"/>
    <w:rsid w:val="00C43934"/>
    <w:rsid w:val="00C43935"/>
    <w:rsid w:val="00C439FB"/>
    <w:rsid w:val="00C43AA8"/>
    <w:rsid w:val="00C43F23"/>
    <w:rsid w:val="00C441A4"/>
    <w:rsid w:val="00C452E1"/>
    <w:rsid w:val="00C45C1B"/>
    <w:rsid w:val="00C463C9"/>
    <w:rsid w:val="00C47648"/>
    <w:rsid w:val="00C47852"/>
    <w:rsid w:val="00C50011"/>
    <w:rsid w:val="00C51827"/>
    <w:rsid w:val="00C5254B"/>
    <w:rsid w:val="00C53973"/>
    <w:rsid w:val="00C5569A"/>
    <w:rsid w:val="00C55D39"/>
    <w:rsid w:val="00C55FBF"/>
    <w:rsid w:val="00C57E68"/>
    <w:rsid w:val="00C601C9"/>
    <w:rsid w:val="00C6038C"/>
    <w:rsid w:val="00C616D0"/>
    <w:rsid w:val="00C623C6"/>
    <w:rsid w:val="00C62C8A"/>
    <w:rsid w:val="00C631D3"/>
    <w:rsid w:val="00C631E8"/>
    <w:rsid w:val="00C645E6"/>
    <w:rsid w:val="00C64813"/>
    <w:rsid w:val="00C64D82"/>
    <w:rsid w:val="00C64FBC"/>
    <w:rsid w:val="00C65A83"/>
    <w:rsid w:val="00C66A00"/>
    <w:rsid w:val="00C66CBE"/>
    <w:rsid w:val="00C67118"/>
    <w:rsid w:val="00C67276"/>
    <w:rsid w:val="00C67DDD"/>
    <w:rsid w:val="00C70139"/>
    <w:rsid w:val="00C7072A"/>
    <w:rsid w:val="00C7191D"/>
    <w:rsid w:val="00C72603"/>
    <w:rsid w:val="00C728C2"/>
    <w:rsid w:val="00C72C6F"/>
    <w:rsid w:val="00C73BE3"/>
    <w:rsid w:val="00C74453"/>
    <w:rsid w:val="00C7473A"/>
    <w:rsid w:val="00C750E4"/>
    <w:rsid w:val="00C75AB0"/>
    <w:rsid w:val="00C75EDE"/>
    <w:rsid w:val="00C76166"/>
    <w:rsid w:val="00C76B7B"/>
    <w:rsid w:val="00C76BBD"/>
    <w:rsid w:val="00C76DE2"/>
    <w:rsid w:val="00C772BA"/>
    <w:rsid w:val="00C77555"/>
    <w:rsid w:val="00C7770C"/>
    <w:rsid w:val="00C802D1"/>
    <w:rsid w:val="00C8036C"/>
    <w:rsid w:val="00C80CD8"/>
    <w:rsid w:val="00C80F23"/>
    <w:rsid w:val="00C81151"/>
    <w:rsid w:val="00C82AC2"/>
    <w:rsid w:val="00C82CC6"/>
    <w:rsid w:val="00C839CB"/>
    <w:rsid w:val="00C841CE"/>
    <w:rsid w:val="00C84593"/>
    <w:rsid w:val="00C850A3"/>
    <w:rsid w:val="00C85C32"/>
    <w:rsid w:val="00C85D4F"/>
    <w:rsid w:val="00C85F45"/>
    <w:rsid w:val="00C86C8C"/>
    <w:rsid w:val="00C87473"/>
    <w:rsid w:val="00C87568"/>
    <w:rsid w:val="00C87FD0"/>
    <w:rsid w:val="00C902C8"/>
    <w:rsid w:val="00C903E7"/>
    <w:rsid w:val="00C90DB6"/>
    <w:rsid w:val="00C92603"/>
    <w:rsid w:val="00C93649"/>
    <w:rsid w:val="00C9394F"/>
    <w:rsid w:val="00C93B1A"/>
    <w:rsid w:val="00C95E97"/>
    <w:rsid w:val="00C96D24"/>
    <w:rsid w:val="00C96F5F"/>
    <w:rsid w:val="00C97055"/>
    <w:rsid w:val="00C97D41"/>
    <w:rsid w:val="00CA0351"/>
    <w:rsid w:val="00CA1E82"/>
    <w:rsid w:val="00CA2B4F"/>
    <w:rsid w:val="00CA30C3"/>
    <w:rsid w:val="00CA3549"/>
    <w:rsid w:val="00CA5927"/>
    <w:rsid w:val="00CA5D23"/>
    <w:rsid w:val="00CA635E"/>
    <w:rsid w:val="00CA6BB0"/>
    <w:rsid w:val="00CA70CE"/>
    <w:rsid w:val="00CA79EC"/>
    <w:rsid w:val="00CB002C"/>
    <w:rsid w:val="00CB1E4B"/>
    <w:rsid w:val="00CB259F"/>
    <w:rsid w:val="00CB389B"/>
    <w:rsid w:val="00CB39C2"/>
    <w:rsid w:val="00CB45FC"/>
    <w:rsid w:val="00CB4C8C"/>
    <w:rsid w:val="00CB4E90"/>
    <w:rsid w:val="00CB5850"/>
    <w:rsid w:val="00CB5C99"/>
    <w:rsid w:val="00CB633B"/>
    <w:rsid w:val="00CB6782"/>
    <w:rsid w:val="00CB6E3E"/>
    <w:rsid w:val="00CB72CD"/>
    <w:rsid w:val="00CC080A"/>
    <w:rsid w:val="00CC09EB"/>
    <w:rsid w:val="00CC0D0F"/>
    <w:rsid w:val="00CC1275"/>
    <w:rsid w:val="00CC12EE"/>
    <w:rsid w:val="00CC1A4D"/>
    <w:rsid w:val="00CC3588"/>
    <w:rsid w:val="00CC5767"/>
    <w:rsid w:val="00CC5D2F"/>
    <w:rsid w:val="00CC667C"/>
    <w:rsid w:val="00CC68CC"/>
    <w:rsid w:val="00CC6CB9"/>
    <w:rsid w:val="00CC701E"/>
    <w:rsid w:val="00CC7735"/>
    <w:rsid w:val="00CC7CAD"/>
    <w:rsid w:val="00CD0310"/>
    <w:rsid w:val="00CD0D09"/>
    <w:rsid w:val="00CD268B"/>
    <w:rsid w:val="00CD2E48"/>
    <w:rsid w:val="00CD4826"/>
    <w:rsid w:val="00CD4E19"/>
    <w:rsid w:val="00CD6219"/>
    <w:rsid w:val="00CD700F"/>
    <w:rsid w:val="00CD70EB"/>
    <w:rsid w:val="00CD7319"/>
    <w:rsid w:val="00CD7BA2"/>
    <w:rsid w:val="00CD7DF8"/>
    <w:rsid w:val="00CE04BC"/>
    <w:rsid w:val="00CE0A6E"/>
    <w:rsid w:val="00CE148E"/>
    <w:rsid w:val="00CE208D"/>
    <w:rsid w:val="00CE242D"/>
    <w:rsid w:val="00CE2453"/>
    <w:rsid w:val="00CE356D"/>
    <w:rsid w:val="00CE3FA4"/>
    <w:rsid w:val="00CE44F8"/>
    <w:rsid w:val="00CE485F"/>
    <w:rsid w:val="00CE5277"/>
    <w:rsid w:val="00CE58F6"/>
    <w:rsid w:val="00CE5B4D"/>
    <w:rsid w:val="00CE6358"/>
    <w:rsid w:val="00CE6686"/>
    <w:rsid w:val="00CE6E97"/>
    <w:rsid w:val="00CE7868"/>
    <w:rsid w:val="00CE789A"/>
    <w:rsid w:val="00CE7968"/>
    <w:rsid w:val="00CE796C"/>
    <w:rsid w:val="00CF0DB0"/>
    <w:rsid w:val="00CF1B70"/>
    <w:rsid w:val="00CF1DD1"/>
    <w:rsid w:val="00CF2161"/>
    <w:rsid w:val="00CF2307"/>
    <w:rsid w:val="00CF26AE"/>
    <w:rsid w:val="00CF2D54"/>
    <w:rsid w:val="00CF311F"/>
    <w:rsid w:val="00CF44D0"/>
    <w:rsid w:val="00CF5047"/>
    <w:rsid w:val="00D007BA"/>
    <w:rsid w:val="00D01344"/>
    <w:rsid w:val="00D01B90"/>
    <w:rsid w:val="00D024CD"/>
    <w:rsid w:val="00D02C7C"/>
    <w:rsid w:val="00D034DA"/>
    <w:rsid w:val="00D03538"/>
    <w:rsid w:val="00D0421D"/>
    <w:rsid w:val="00D046FD"/>
    <w:rsid w:val="00D047F7"/>
    <w:rsid w:val="00D049B8"/>
    <w:rsid w:val="00D04C8A"/>
    <w:rsid w:val="00D04EB2"/>
    <w:rsid w:val="00D0516C"/>
    <w:rsid w:val="00D05B56"/>
    <w:rsid w:val="00D05BBE"/>
    <w:rsid w:val="00D05C2F"/>
    <w:rsid w:val="00D05EE7"/>
    <w:rsid w:val="00D068D0"/>
    <w:rsid w:val="00D06FE0"/>
    <w:rsid w:val="00D07307"/>
    <w:rsid w:val="00D076A9"/>
    <w:rsid w:val="00D07754"/>
    <w:rsid w:val="00D078D1"/>
    <w:rsid w:val="00D07B2E"/>
    <w:rsid w:val="00D10824"/>
    <w:rsid w:val="00D1188B"/>
    <w:rsid w:val="00D1293B"/>
    <w:rsid w:val="00D129A8"/>
    <w:rsid w:val="00D12FB9"/>
    <w:rsid w:val="00D13431"/>
    <w:rsid w:val="00D135F2"/>
    <w:rsid w:val="00D13D00"/>
    <w:rsid w:val="00D147C0"/>
    <w:rsid w:val="00D15696"/>
    <w:rsid w:val="00D15C51"/>
    <w:rsid w:val="00D16C68"/>
    <w:rsid w:val="00D17FDD"/>
    <w:rsid w:val="00D200BD"/>
    <w:rsid w:val="00D201AA"/>
    <w:rsid w:val="00D204A7"/>
    <w:rsid w:val="00D20AA5"/>
    <w:rsid w:val="00D20DC4"/>
    <w:rsid w:val="00D21059"/>
    <w:rsid w:val="00D22399"/>
    <w:rsid w:val="00D26223"/>
    <w:rsid w:val="00D2662C"/>
    <w:rsid w:val="00D27FA3"/>
    <w:rsid w:val="00D30711"/>
    <w:rsid w:val="00D316D2"/>
    <w:rsid w:val="00D3176C"/>
    <w:rsid w:val="00D31B3F"/>
    <w:rsid w:val="00D31DE7"/>
    <w:rsid w:val="00D321AF"/>
    <w:rsid w:val="00D3249F"/>
    <w:rsid w:val="00D33751"/>
    <w:rsid w:val="00D34AB9"/>
    <w:rsid w:val="00D35D4A"/>
    <w:rsid w:val="00D36F6E"/>
    <w:rsid w:val="00D372B0"/>
    <w:rsid w:val="00D37343"/>
    <w:rsid w:val="00D376AD"/>
    <w:rsid w:val="00D41E6A"/>
    <w:rsid w:val="00D42034"/>
    <w:rsid w:val="00D4205E"/>
    <w:rsid w:val="00D44EB8"/>
    <w:rsid w:val="00D464AE"/>
    <w:rsid w:val="00D47399"/>
    <w:rsid w:val="00D47BB2"/>
    <w:rsid w:val="00D47D04"/>
    <w:rsid w:val="00D5056A"/>
    <w:rsid w:val="00D510A0"/>
    <w:rsid w:val="00D51F73"/>
    <w:rsid w:val="00D527EE"/>
    <w:rsid w:val="00D5286F"/>
    <w:rsid w:val="00D529C4"/>
    <w:rsid w:val="00D53929"/>
    <w:rsid w:val="00D539B5"/>
    <w:rsid w:val="00D539D0"/>
    <w:rsid w:val="00D53F2B"/>
    <w:rsid w:val="00D540DC"/>
    <w:rsid w:val="00D54CA4"/>
    <w:rsid w:val="00D55616"/>
    <w:rsid w:val="00D5574C"/>
    <w:rsid w:val="00D55DAC"/>
    <w:rsid w:val="00D561C5"/>
    <w:rsid w:val="00D5636F"/>
    <w:rsid w:val="00D57FDF"/>
    <w:rsid w:val="00D6153F"/>
    <w:rsid w:val="00D61982"/>
    <w:rsid w:val="00D61A2D"/>
    <w:rsid w:val="00D61EA9"/>
    <w:rsid w:val="00D61EFF"/>
    <w:rsid w:val="00D62655"/>
    <w:rsid w:val="00D6267A"/>
    <w:rsid w:val="00D62998"/>
    <w:rsid w:val="00D636B6"/>
    <w:rsid w:val="00D6468E"/>
    <w:rsid w:val="00D647DE"/>
    <w:rsid w:val="00D6501F"/>
    <w:rsid w:val="00D65347"/>
    <w:rsid w:val="00D6575E"/>
    <w:rsid w:val="00D67D12"/>
    <w:rsid w:val="00D700D9"/>
    <w:rsid w:val="00D70309"/>
    <w:rsid w:val="00D705FF"/>
    <w:rsid w:val="00D70B0C"/>
    <w:rsid w:val="00D70DE6"/>
    <w:rsid w:val="00D7145C"/>
    <w:rsid w:val="00D7332F"/>
    <w:rsid w:val="00D744BC"/>
    <w:rsid w:val="00D7585A"/>
    <w:rsid w:val="00D7604B"/>
    <w:rsid w:val="00D7751E"/>
    <w:rsid w:val="00D77C53"/>
    <w:rsid w:val="00D77E96"/>
    <w:rsid w:val="00D80618"/>
    <w:rsid w:val="00D8068C"/>
    <w:rsid w:val="00D807DF"/>
    <w:rsid w:val="00D81006"/>
    <w:rsid w:val="00D82339"/>
    <w:rsid w:val="00D82494"/>
    <w:rsid w:val="00D82696"/>
    <w:rsid w:val="00D82FF2"/>
    <w:rsid w:val="00D830B9"/>
    <w:rsid w:val="00D83774"/>
    <w:rsid w:val="00D83C1D"/>
    <w:rsid w:val="00D84A4B"/>
    <w:rsid w:val="00D84E83"/>
    <w:rsid w:val="00D8555A"/>
    <w:rsid w:val="00D85631"/>
    <w:rsid w:val="00D85D98"/>
    <w:rsid w:val="00D85F8D"/>
    <w:rsid w:val="00D879CB"/>
    <w:rsid w:val="00D87C11"/>
    <w:rsid w:val="00D90A81"/>
    <w:rsid w:val="00D90B7D"/>
    <w:rsid w:val="00D90B81"/>
    <w:rsid w:val="00D90CC7"/>
    <w:rsid w:val="00D90DCE"/>
    <w:rsid w:val="00D92168"/>
    <w:rsid w:val="00D9231C"/>
    <w:rsid w:val="00D92356"/>
    <w:rsid w:val="00D92A5E"/>
    <w:rsid w:val="00D935BD"/>
    <w:rsid w:val="00D93CEC"/>
    <w:rsid w:val="00D93EEC"/>
    <w:rsid w:val="00D940B5"/>
    <w:rsid w:val="00D953F2"/>
    <w:rsid w:val="00D9582D"/>
    <w:rsid w:val="00D95CB0"/>
    <w:rsid w:val="00D9654F"/>
    <w:rsid w:val="00D966FE"/>
    <w:rsid w:val="00D977C0"/>
    <w:rsid w:val="00D97E14"/>
    <w:rsid w:val="00DA00A3"/>
    <w:rsid w:val="00DA13F3"/>
    <w:rsid w:val="00DA2DE3"/>
    <w:rsid w:val="00DA3633"/>
    <w:rsid w:val="00DA400B"/>
    <w:rsid w:val="00DA4130"/>
    <w:rsid w:val="00DA4909"/>
    <w:rsid w:val="00DA5999"/>
    <w:rsid w:val="00DA6443"/>
    <w:rsid w:val="00DA6B5E"/>
    <w:rsid w:val="00DA7146"/>
    <w:rsid w:val="00DA716A"/>
    <w:rsid w:val="00DA7B82"/>
    <w:rsid w:val="00DB02ED"/>
    <w:rsid w:val="00DB02EE"/>
    <w:rsid w:val="00DB0843"/>
    <w:rsid w:val="00DB1F4F"/>
    <w:rsid w:val="00DB2CD0"/>
    <w:rsid w:val="00DB37EE"/>
    <w:rsid w:val="00DB401F"/>
    <w:rsid w:val="00DB4450"/>
    <w:rsid w:val="00DB4EE7"/>
    <w:rsid w:val="00DB5102"/>
    <w:rsid w:val="00DB521D"/>
    <w:rsid w:val="00DB5971"/>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2FF"/>
    <w:rsid w:val="00DD0925"/>
    <w:rsid w:val="00DD24F9"/>
    <w:rsid w:val="00DD26EC"/>
    <w:rsid w:val="00DD2C06"/>
    <w:rsid w:val="00DD2DFB"/>
    <w:rsid w:val="00DD3604"/>
    <w:rsid w:val="00DD36B0"/>
    <w:rsid w:val="00DD3F4D"/>
    <w:rsid w:val="00DD6F2E"/>
    <w:rsid w:val="00DD72E1"/>
    <w:rsid w:val="00DD7848"/>
    <w:rsid w:val="00DD796C"/>
    <w:rsid w:val="00DD7EA2"/>
    <w:rsid w:val="00DE00F2"/>
    <w:rsid w:val="00DE1120"/>
    <w:rsid w:val="00DE117F"/>
    <w:rsid w:val="00DE22D3"/>
    <w:rsid w:val="00DE2D17"/>
    <w:rsid w:val="00DE353C"/>
    <w:rsid w:val="00DE401C"/>
    <w:rsid w:val="00DE549C"/>
    <w:rsid w:val="00DE5510"/>
    <w:rsid w:val="00DE5954"/>
    <w:rsid w:val="00DE5EC7"/>
    <w:rsid w:val="00DE6E2F"/>
    <w:rsid w:val="00DE6F47"/>
    <w:rsid w:val="00DE7D13"/>
    <w:rsid w:val="00DE7DD2"/>
    <w:rsid w:val="00DF1EAE"/>
    <w:rsid w:val="00DF2AF6"/>
    <w:rsid w:val="00DF2B22"/>
    <w:rsid w:val="00DF3816"/>
    <w:rsid w:val="00DF3818"/>
    <w:rsid w:val="00DF3F94"/>
    <w:rsid w:val="00DF4369"/>
    <w:rsid w:val="00DF4B8D"/>
    <w:rsid w:val="00DF55FC"/>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39F9"/>
    <w:rsid w:val="00E042A1"/>
    <w:rsid w:val="00E05E82"/>
    <w:rsid w:val="00E069E3"/>
    <w:rsid w:val="00E07425"/>
    <w:rsid w:val="00E1043E"/>
    <w:rsid w:val="00E104FA"/>
    <w:rsid w:val="00E1082A"/>
    <w:rsid w:val="00E10956"/>
    <w:rsid w:val="00E10B68"/>
    <w:rsid w:val="00E110B5"/>
    <w:rsid w:val="00E11166"/>
    <w:rsid w:val="00E12818"/>
    <w:rsid w:val="00E12887"/>
    <w:rsid w:val="00E12D39"/>
    <w:rsid w:val="00E13182"/>
    <w:rsid w:val="00E13426"/>
    <w:rsid w:val="00E141AF"/>
    <w:rsid w:val="00E14523"/>
    <w:rsid w:val="00E14972"/>
    <w:rsid w:val="00E14A89"/>
    <w:rsid w:val="00E14CB9"/>
    <w:rsid w:val="00E151F2"/>
    <w:rsid w:val="00E15383"/>
    <w:rsid w:val="00E15C82"/>
    <w:rsid w:val="00E1738C"/>
    <w:rsid w:val="00E17797"/>
    <w:rsid w:val="00E17C9D"/>
    <w:rsid w:val="00E201C0"/>
    <w:rsid w:val="00E21ABD"/>
    <w:rsid w:val="00E22775"/>
    <w:rsid w:val="00E22D28"/>
    <w:rsid w:val="00E22F81"/>
    <w:rsid w:val="00E22F87"/>
    <w:rsid w:val="00E230E3"/>
    <w:rsid w:val="00E23C97"/>
    <w:rsid w:val="00E244B0"/>
    <w:rsid w:val="00E24727"/>
    <w:rsid w:val="00E24D5F"/>
    <w:rsid w:val="00E250DB"/>
    <w:rsid w:val="00E265A7"/>
    <w:rsid w:val="00E26FC5"/>
    <w:rsid w:val="00E27B80"/>
    <w:rsid w:val="00E30EDF"/>
    <w:rsid w:val="00E31B43"/>
    <w:rsid w:val="00E31FBA"/>
    <w:rsid w:val="00E326D0"/>
    <w:rsid w:val="00E33513"/>
    <w:rsid w:val="00E33A4F"/>
    <w:rsid w:val="00E33F3E"/>
    <w:rsid w:val="00E341E5"/>
    <w:rsid w:val="00E34315"/>
    <w:rsid w:val="00E35FBC"/>
    <w:rsid w:val="00E36AAE"/>
    <w:rsid w:val="00E37198"/>
    <w:rsid w:val="00E3774C"/>
    <w:rsid w:val="00E41013"/>
    <w:rsid w:val="00E41313"/>
    <w:rsid w:val="00E41773"/>
    <w:rsid w:val="00E41ACD"/>
    <w:rsid w:val="00E42FE6"/>
    <w:rsid w:val="00E43B4A"/>
    <w:rsid w:val="00E44D25"/>
    <w:rsid w:val="00E44E78"/>
    <w:rsid w:val="00E45C40"/>
    <w:rsid w:val="00E460B6"/>
    <w:rsid w:val="00E46BD2"/>
    <w:rsid w:val="00E46CF3"/>
    <w:rsid w:val="00E473D4"/>
    <w:rsid w:val="00E474CF"/>
    <w:rsid w:val="00E513F6"/>
    <w:rsid w:val="00E519A7"/>
    <w:rsid w:val="00E51A4C"/>
    <w:rsid w:val="00E51EC6"/>
    <w:rsid w:val="00E5203E"/>
    <w:rsid w:val="00E52F3B"/>
    <w:rsid w:val="00E52F80"/>
    <w:rsid w:val="00E53BEE"/>
    <w:rsid w:val="00E53D94"/>
    <w:rsid w:val="00E53DEA"/>
    <w:rsid w:val="00E5424B"/>
    <w:rsid w:val="00E544BA"/>
    <w:rsid w:val="00E55B64"/>
    <w:rsid w:val="00E573EF"/>
    <w:rsid w:val="00E616DB"/>
    <w:rsid w:val="00E62442"/>
    <w:rsid w:val="00E627A4"/>
    <w:rsid w:val="00E62A5E"/>
    <w:rsid w:val="00E630ED"/>
    <w:rsid w:val="00E6395F"/>
    <w:rsid w:val="00E6437C"/>
    <w:rsid w:val="00E65237"/>
    <w:rsid w:val="00E66367"/>
    <w:rsid w:val="00E67862"/>
    <w:rsid w:val="00E67ADD"/>
    <w:rsid w:val="00E70ACF"/>
    <w:rsid w:val="00E70D46"/>
    <w:rsid w:val="00E712A9"/>
    <w:rsid w:val="00E713BC"/>
    <w:rsid w:val="00E72444"/>
    <w:rsid w:val="00E726A8"/>
    <w:rsid w:val="00E72D3D"/>
    <w:rsid w:val="00E72E07"/>
    <w:rsid w:val="00E72EAD"/>
    <w:rsid w:val="00E7410F"/>
    <w:rsid w:val="00E74EC5"/>
    <w:rsid w:val="00E75161"/>
    <w:rsid w:val="00E76B86"/>
    <w:rsid w:val="00E773F4"/>
    <w:rsid w:val="00E8000D"/>
    <w:rsid w:val="00E809F3"/>
    <w:rsid w:val="00E80C21"/>
    <w:rsid w:val="00E820BD"/>
    <w:rsid w:val="00E8227B"/>
    <w:rsid w:val="00E8342F"/>
    <w:rsid w:val="00E84210"/>
    <w:rsid w:val="00E844CD"/>
    <w:rsid w:val="00E847A7"/>
    <w:rsid w:val="00E84FE5"/>
    <w:rsid w:val="00E860D6"/>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EEF"/>
    <w:rsid w:val="00E936DA"/>
    <w:rsid w:val="00E9399B"/>
    <w:rsid w:val="00E939A7"/>
    <w:rsid w:val="00E94008"/>
    <w:rsid w:val="00E94762"/>
    <w:rsid w:val="00E94884"/>
    <w:rsid w:val="00E94BDB"/>
    <w:rsid w:val="00E95208"/>
    <w:rsid w:val="00E956BA"/>
    <w:rsid w:val="00E96B52"/>
    <w:rsid w:val="00EA0018"/>
    <w:rsid w:val="00EA08BE"/>
    <w:rsid w:val="00EA0A85"/>
    <w:rsid w:val="00EA14B0"/>
    <w:rsid w:val="00EA2244"/>
    <w:rsid w:val="00EA4DDC"/>
    <w:rsid w:val="00EA6FA7"/>
    <w:rsid w:val="00EB067F"/>
    <w:rsid w:val="00EB150C"/>
    <w:rsid w:val="00EB17BE"/>
    <w:rsid w:val="00EB1A1B"/>
    <w:rsid w:val="00EB1F02"/>
    <w:rsid w:val="00EB2A00"/>
    <w:rsid w:val="00EB2E64"/>
    <w:rsid w:val="00EB2FEF"/>
    <w:rsid w:val="00EB3290"/>
    <w:rsid w:val="00EB3F7A"/>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5D33"/>
    <w:rsid w:val="00EC638F"/>
    <w:rsid w:val="00EC68BF"/>
    <w:rsid w:val="00EC7927"/>
    <w:rsid w:val="00ED095E"/>
    <w:rsid w:val="00ED1A0B"/>
    <w:rsid w:val="00ED27DD"/>
    <w:rsid w:val="00ED312F"/>
    <w:rsid w:val="00ED31E5"/>
    <w:rsid w:val="00ED4E9C"/>
    <w:rsid w:val="00ED5162"/>
    <w:rsid w:val="00ED697C"/>
    <w:rsid w:val="00EE06CA"/>
    <w:rsid w:val="00EE1E0C"/>
    <w:rsid w:val="00EE43AD"/>
    <w:rsid w:val="00EE4874"/>
    <w:rsid w:val="00EE48D6"/>
    <w:rsid w:val="00EE4A6E"/>
    <w:rsid w:val="00EE4BAB"/>
    <w:rsid w:val="00EE4D3B"/>
    <w:rsid w:val="00EE511D"/>
    <w:rsid w:val="00EE6FC6"/>
    <w:rsid w:val="00EE7922"/>
    <w:rsid w:val="00EE79A6"/>
    <w:rsid w:val="00EF11DF"/>
    <w:rsid w:val="00EF130D"/>
    <w:rsid w:val="00EF2E26"/>
    <w:rsid w:val="00EF30E0"/>
    <w:rsid w:val="00EF3A81"/>
    <w:rsid w:val="00EF3D05"/>
    <w:rsid w:val="00EF42CF"/>
    <w:rsid w:val="00EF45D8"/>
    <w:rsid w:val="00EF5403"/>
    <w:rsid w:val="00EF567D"/>
    <w:rsid w:val="00EF5B08"/>
    <w:rsid w:val="00EF5F11"/>
    <w:rsid w:val="00EF6111"/>
    <w:rsid w:val="00EF6CFA"/>
    <w:rsid w:val="00F005A0"/>
    <w:rsid w:val="00F01835"/>
    <w:rsid w:val="00F01891"/>
    <w:rsid w:val="00F01DE9"/>
    <w:rsid w:val="00F0229D"/>
    <w:rsid w:val="00F02B1B"/>
    <w:rsid w:val="00F0322F"/>
    <w:rsid w:val="00F032BB"/>
    <w:rsid w:val="00F032C8"/>
    <w:rsid w:val="00F03522"/>
    <w:rsid w:val="00F03567"/>
    <w:rsid w:val="00F03DD3"/>
    <w:rsid w:val="00F04BBE"/>
    <w:rsid w:val="00F0580C"/>
    <w:rsid w:val="00F06616"/>
    <w:rsid w:val="00F07485"/>
    <w:rsid w:val="00F07EDE"/>
    <w:rsid w:val="00F10BC6"/>
    <w:rsid w:val="00F11352"/>
    <w:rsid w:val="00F11AD0"/>
    <w:rsid w:val="00F12313"/>
    <w:rsid w:val="00F13D34"/>
    <w:rsid w:val="00F14308"/>
    <w:rsid w:val="00F14602"/>
    <w:rsid w:val="00F1498D"/>
    <w:rsid w:val="00F14DDF"/>
    <w:rsid w:val="00F152AD"/>
    <w:rsid w:val="00F15BA3"/>
    <w:rsid w:val="00F15D52"/>
    <w:rsid w:val="00F165B7"/>
    <w:rsid w:val="00F1722F"/>
    <w:rsid w:val="00F20C9C"/>
    <w:rsid w:val="00F21827"/>
    <w:rsid w:val="00F21A00"/>
    <w:rsid w:val="00F2285F"/>
    <w:rsid w:val="00F23155"/>
    <w:rsid w:val="00F23EE4"/>
    <w:rsid w:val="00F24236"/>
    <w:rsid w:val="00F24E0E"/>
    <w:rsid w:val="00F2525F"/>
    <w:rsid w:val="00F25504"/>
    <w:rsid w:val="00F25707"/>
    <w:rsid w:val="00F26693"/>
    <w:rsid w:val="00F26A13"/>
    <w:rsid w:val="00F26CEB"/>
    <w:rsid w:val="00F27D3B"/>
    <w:rsid w:val="00F30F7A"/>
    <w:rsid w:val="00F31261"/>
    <w:rsid w:val="00F31334"/>
    <w:rsid w:val="00F31BB3"/>
    <w:rsid w:val="00F31C67"/>
    <w:rsid w:val="00F323C3"/>
    <w:rsid w:val="00F32A15"/>
    <w:rsid w:val="00F32C93"/>
    <w:rsid w:val="00F32EE6"/>
    <w:rsid w:val="00F32F3C"/>
    <w:rsid w:val="00F339EC"/>
    <w:rsid w:val="00F3414F"/>
    <w:rsid w:val="00F3443B"/>
    <w:rsid w:val="00F34FDD"/>
    <w:rsid w:val="00F35279"/>
    <w:rsid w:val="00F35CC2"/>
    <w:rsid w:val="00F35F1A"/>
    <w:rsid w:val="00F36130"/>
    <w:rsid w:val="00F36278"/>
    <w:rsid w:val="00F3644F"/>
    <w:rsid w:val="00F36B71"/>
    <w:rsid w:val="00F373AE"/>
    <w:rsid w:val="00F37D22"/>
    <w:rsid w:val="00F4032F"/>
    <w:rsid w:val="00F40360"/>
    <w:rsid w:val="00F40444"/>
    <w:rsid w:val="00F40CE6"/>
    <w:rsid w:val="00F40EC2"/>
    <w:rsid w:val="00F41B59"/>
    <w:rsid w:val="00F42099"/>
    <w:rsid w:val="00F423BD"/>
    <w:rsid w:val="00F42AFB"/>
    <w:rsid w:val="00F42ED8"/>
    <w:rsid w:val="00F431C5"/>
    <w:rsid w:val="00F432FF"/>
    <w:rsid w:val="00F433C2"/>
    <w:rsid w:val="00F4457F"/>
    <w:rsid w:val="00F44B9C"/>
    <w:rsid w:val="00F456D2"/>
    <w:rsid w:val="00F45B0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5E6D"/>
    <w:rsid w:val="00F56024"/>
    <w:rsid w:val="00F565E8"/>
    <w:rsid w:val="00F56CB4"/>
    <w:rsid w:val="00F5754B"/>
    <w:rsid w:val="00F576DE"/>
    <w:rsid w:val="00F57747"/>
    <w:rsid w:val="00F578BC"/>
    <w:rsid w:val="00F633F1"/>
    <w:rsid w:val="00F63BF7"/>
    <w:rsid w:val="00F6453E"/>
    <w:rsid w:val="00F65215"/>
    <w:rsid w:val="00F655C6"/>
    <w:rsid w:val="00F65617"/>
    <w:rsid w:val="00F65A88"/>
    <w:rsid w:val="00F66494"/>
    <w:rsid w:val="00F700B9"/>
    <w:rsid w:val="00F7011F"/>
    <w:rsid w:val="00F710BE"/>
    <w:rsid w:val="00F71BF5"/>
    <w:rsid w:val="00F72016"/>
    <w:rsid w:val="00F72C08"/>
    <w:rsid w:val="00F72DAD"/>
    <w:rsid w:val="00F736D2"/>
    <w:rsid w:val="00F74CEE"/>
    <w:rsid w:val="00F7564C"/>
    <w:rsid w:val="00F76220"/>
    <w:rsid w:val="00F769BE"/>
    <w:rsid w:val="00F7735C"/>
    <w:rsid w:val="00F77BD5"/>
    <w:rsid w:val="00F82E6B"/>
    <w:rsid w:val="00F83662"/>
    <w:rsid w:val="00F838C0"/>
    <w:rsid w:val="00F85F83"/>
    <w:rsid w:val="00F86374"/>
    <w:rsid w:val="00F86739"/>
    <w:rsid w:val="00F87E7F"/>
    <w:rsid w:val="00F90D75"/>
    <w:rsid w:val="00F91049"/>
    <w:rsid w:val="00F912FD"/>
    <w:rsid w:val="00F91D43"/>
    <w:rsid w:val="00F92B65"/>
    <w:rsid w:val="00F9367F"/>
    <w:rsid w:val="00F9512B"/>
    <w:rsid w:val="00F95411"/>
    <w:rsid w:val="00F9619C"/>
    <w:rsid w:val="00F96339"/>
    <w:rsid w:val="00F9759C"/>
    <w:rsid w:val="00F97859"/>
    <w:rsid w:val="00F97973"/>
    <w:rsid w:val="00F97B71"/>
    <w:rsid w:val="00FA06A3"/>
    <w:rsid w:val="00FA0E23"/>
    <w:rsid w:val="00FA230F"/>
    <w:rsid w:val="00FA2CFC"/>
    <w:rsid w:val="00FA2DDA"/>
    <w:rsid w:val="00FA34CA"/>
    <w:rsid w:val="00FA3E3E"/>
    <w:rsid w:val="00FA4A55"/>
    <w:rsid w:val="00FA4D4F"/>
    <w:rsid w:val="00FA54E8"/>
    <w:rsid w:val="00FA5FE8"/>
    <w:rsid w:val="00FA668B"/>
    <w:rsid w:val="00FA67CF"/>
    <w:rsid w:val="00FA7659"/>
    <w:rsid w:val="00FA7F6F"/>
    <w:rsid w:val="00FB10EC"/>
    <w:rsid w:val="00FB2D17"/>
    <w:rsid w:val="00FB2F69"/>
    <w:rsid w:val="00FB368B"/>
    <w:rsid w:val="00FB3A3A"/>
    <w:rsid w:val="00FB3D98"/>
    <w:rsid w:val="00FB4217"/>
    <w:rsid w:val="00FB4379"/>
    <w:rsid w:val="00FB45FF"/>
    <w:rsid w:val="00FB4C09"/>
    <w:rsid w:val="00FB55D8"/>
    <w:rsid w:val="00FB5D97"/>
    <w:rsid w:val="00FB61EA"/>
    <w:rsid w:val="00FB6C7A"/>
    <w:rsid w:val="00FB732E"/>
    <w:rsid w:val="00FB79F7"/>
    <w:rsid w:val="00FC09E7"/>
    <w:rsid w:val="00FC1CA5"/>
    <w:rsid w:val="00FC1D8E"/>
    <w:rsid w:val="00FC24EB"/>
    <w:rsid w:val="00FC2733"/>
    <w:rsid w:val="00FC2979"/>
    <w:rsid w:val="00FC5041"/>
    <w:rsid w:val="00FC5407"/>
    <w:rsid w:val="00FC6D6C"/>
    <w:rsid w:val="00FC6E91"/>
    <w:rsid w:val="00FC71A8"/>
    <w:rsid w:val="00FD1BEF"/>
    <w:rsid w:val="00FD1C3C"/>
    <w:rsid w:val="00FD24F6"/>
    <w:rsid w:val="00FD2DB1"/>
    <w:rsid w:val="00FD38A8"/>
    <w:rsid w:val="00FD3A23"/>
    <w:rsid w:val="00FD5348"/>
    <w:rsid w:val="00FD6AC8"/>
    <w:rsid w:val="00FD6ADD"/>
    <w:rsid w:val="00FE06DF"/>
    <w:rsid w:val="00FE0A6C"/>
    <w:rsid w:val="00FE1727"/>
    <w:rsid w:val="00FE1738"/>
    <w:rsid w:val="00FE225B"/>
    <w:rsid w:val="00FE3638"/>
    <w:rsid w:val="00FE3EA1"/>
    <w:rsid w:val="00FE4818"/>
    <w:rsid w:val="00FE4CA4"/>
    <w:rsid w:val="00FE5AE4"/>
    <w:rsid w:val="00FE5D80"/>
    <w:rsid w:val="00FE637F"/>
    <w:rsid w:val="00FE64EE"/>
    <w:rsid w:val="00FE73F7"/>
    <w:rsid w:val="00FE745E"/>
    <w:rsid w:val="00FE7865"/>
    <w:rsid w:val="00FF05DE"/>
    <w:rsid w:val="00FF06C4"/>
    <w:rsid w:val="00FF0BB0"/>
    <w:rsid w:val="00FF1342"/>
    <w:rsid w:val="00FF1513"/>
    <w:rsid w:val="00FF1577"/>
    <w:rsid w:val="00FF17DD"/>
    <w:rsid w:val="00FF2145"/>
    <w:rsid w:val="00FF314D"/>
    <w:rsid w:val="00FF3334"/>
    <w:rsid w:val="00FF50AB"/>
    <w:rsid w:val="00FF54A3"/>
    <w:rsid w:val="00FF5733"/>
    <w:rsid w:val="00FF59BE"/>
    <w:rsid w:val="00FF5BA7"/>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88765ED-A342-4F6D-B32A-662D23978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paragraph" w:styleId="40">
    <w:name w:val="heading 4"/>
    <w:basedOn w:val="a"/>
    <w:next w:val="a"/>
    <w:link w:val="4Char"/>
    <w:unhideWhenUsed/>
    <w:qFormat/>
    <w:locked/>
    <w:rsid w:val="0091064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4">
    <w:name w:val="Balloon Text"/>
    <w:basedOn w:val="a"/>
    <w:link w:val="Char"/>
    <w:uiPriority w:val="99"/>
    <w:semiHidden/>
    <w:rsid w:val="00FB732E"/>
    <w:rPr>
      <w:sz w:val="18"/>
      <w:szCs w:val="18"/>
    </w:rPr>
  </w:style>
  <w:style w:type="character" w:customStyle="1" w:styleId="Char">
    <w:name w:val="批注框文本 Char"/>
    <w:link w:val="a4"/>
    <w:uiPriority w:val="99"/>
    <w:semiHidden/>
    <w:locked/>
    <w:rsid w:val="006D141C"/>
    <w:rPr>
      <w:rFonts w:cs="Times New Roman"/>
      <w:kern w:val="2"/>
      <w:sz w:val="18"/>
      <w:szCs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0">
    <w:name w:val="正文文本缩进 Char"/>
    <w:link w:val="a5"/>
    <w:uiPriority w:val="99"/>
    <w:locked/>
    <w:rsid w:val="006D141C"/>
    <w:rPr>
      <w:rFonts w:ascii="Arial Unicode MS" w:eastAsia="Times New Roman" w:hAnsi="Arial Unicode MS" w:cs="Arial Unicode MS"/>
      <w:sz w:val="24"/>
      <w:szCs w:val="24"/>
    </w:rPr>
  </w:style>
  <w:style w:type="paragraph" w:styleId="a6">
    <w:name w:val="Plain Text"/>
    <w:basedOn w:val="a"/>
    <w:link w:val="Char1"/>
    <w:uiPriority w:val="99"/>
    <w:rsid w:val="00FB732E"/>
    <w:rPr>
      <w:rFonts w:ascii="宋体" w:hAnsi="Courier New"/>
      <w:szCs w:val="21"/>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7">
    <w:name w:val="footer"/>
    <w:basedOn w:val="a"/>
    <w:link w:val="Char2"/>
    <w:uiPriority w:val="99"/>
    <w:rsid w:val="00FB732E"/>
    <w:pPr>
      <w:tabs>
        <w:tab w:val="center" w:pos="4153"/>
        <w:tab w:val="right" w:pos="8306"/>
      </w:tabs>
      <w:snapToGrid w:val="0"/>
      <w:jc w:val="left"/>
    </w:pPr>
    <w:rPr>
      <w:sz w:val="18"/>
      <w:szCs w:val="18"/>
    </w:rPr>
  </w:style>
  <w:style w:type="character" w:customStyle="1" w:styleId="Char2">
    <w:name w:val="页脚 Char"/>
    <w:link w:val="a7"/>
    <w:uiPriority w:val="99"/>
    <w:locked/>
    <w:rsid w:val="006D141C"/>
    <w:rPr>
      <w:rFonts w:cs="Times New Roman"/>
      <w:kern w:val="2"/>
      <w:sz w:val="18"/>
      <w:szCs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a"/>
    <w:uiPriority w:val="99"/>
    <w:locked/>
    <w:rsid w:val="006D141C"/>
    <w:rPr>
      <w:rFonts w:cs="Times New Roman"/>
      <w:kern w:val="2"/>
      <w:sz w:val="18"/>
      <w:szCs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rPr>
      <w:szCs w:val="20"/>
    </w:rPr>
  </w:style>
  <w:style w:type="paragraph" w:styleId="ad">
    <w:name w:val="Body Text"/>
    <w:basedOn w:val="a"/>
    <w:link w:val="Char4"/>
    <w:uiPriority w:val="99"/>
    <w:rsid w:val="00FB732E"/>
    <w:pPr>
      <w:spacing w:after="120"/>
    </w:pPr>
  </w:style>
  <w:style w:type="character" w:customStyle="1" w:styleId="Char4">
    <w:name w:val="正文文本 Char"/>
    <w:link w:val="ad"/>
    <w:uiPriority w:val="99"/>
    <w:locked/>
    <w:rsid w:val="006D141C"/>
    <w:rPr>
      <w:rFonts w:cs="Times New Roman"/>
      <w:kern w:val="2"/>
      <w:sz w:val="24"/>
      <w:szCs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semiHidden/>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qFormat/>
    <w:rsid w:val="003D3725"/>
    <w:pPr>
      <w:tabs>
        <w:tab w:val="left" w:pos="1260"/>
        <w:tab w:val="right" w:leader="dot" w:pos="9072"/>
      </w:tabs>
      <w:ind w:leftChars="200" w:left="20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937FC6"/>
    <w:pPr>
      <w:tabs>
        <w:tab w:val="left" w:pos="420"/>
        <w:tab w:val="right" w:leader="dot" w:pos="9072"/>
      </w:tabs>
    </w:pPr>
  </w:style>
  <w:style w:type="paragraph" w:styleId="32">
    <w:name w:val="toc 3"/>
    <w:basedOn w:val="a"/>
    <w:next w:val="a"/>
    <w:autoRedefine/>
    <w:uiPriority w:val="99"/>
    <w:semiHidden/>
    <w:qFormat/>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numbering" w:customStyle="1" w:styleId="5">
    <w:name w:val="样式5"/>
    <w:rsid w:val="00CB660F"/>
    <w:pPr>
      <w:numPr>
        <w:numId w:val="8"/>
      </w:numPr>
    </w:pPr>
  </w:style>
  <w:style w:type="numbering" w:customStyle="1" w:styleId="3">
    <w:name w:val="样式3"/>
    <w:rsid w:val="00CB660F"/>
    <w:pPr>
      <w:numPr>
        <w:numId w:val="7"/>
      </w:numPr>
    </w:pPr>
  </w:style>
  <w:style w:type="numbering" w:customStyle="1" w:styleId="4">
    <w:name w:val="样式4"/>
    <w:rsid w:val="00CB660F"/>
    <w:pPr>
      <w:numPr>
        <w:numId w:val="9"/>
      </w:numPr>
    </w:pPr>
  </w:style>
  <w:style w:type="numbering" w:customStyle="1" w:styleId="2">
    <w:name w:val="样式2"/>
    <w:rsid w:val="00CB660F"/>
    <w:pPr>
      <w:numPr>
        <w:numId w:val="16"/>
      </w:numPr>
    </w:pPr>
  </w:style>
  <w:style w:type="character" w:styleId="af8">
    <w:name w:val="Strong"/>
    <w:basedOn w:val="a1"/>
    <w:uiPriority w:val="22"/>
    <w:qFormat/>
    <w:locked/>
    <w:rsid w:val="00490561"/>
    <w:rPr>
      <w:b/>
      <w:bCs/>
    </w:rPr>
  </w:style>
  <w:style w:type="paragraph" w:customStyle="1" w:styleId="af9">
    <w:name w:val="目录模式"/>
    <w:basedOn w:val="22"/>
    <w:link w:val="Charb"/>
    <w:qFormat/>
    <w:rsid w:val="00F655C6"/>
    <w:rPr>
      <w:rFonts w:ascii="宋体" w:hAnsi="宋体"/>
      <w:noProof/>
      <w:szCs w:val="24"/>
    </w:rPr>
  </w:style>
  <w:style w:type="paragraph" w:customStyle="1" w:styleId="12">
    <w:name w:val="样式1"/>
    <w:basedOn w:val="22"/>
    <w:link w:val="1Char0"/>
    <w:autoRedefine/>
    <w:qFormat/>
    <w:rsid w:val="00F655C6"/>
    <w:rPr>
      <w:rFonts w:ascii="宋体" w:hAnsi="宋体"/>
      <w:noProof/>
      <w:szCs w:val="24"/>
    </w:rPr>
  </w:style>
  <w:style w:type="character" w:customStyle="1" w:styleId="2Char1">
    <w:name w:val="目录 2 Char"/>
    <w:basedOn w:val="a1"/>
    <w:link w:val="22"/>
    <w:uiPriority w:val="99"/>
    <w:rsid w:val="003D3725"/>
    <w:rPr>
      <w:sz w:val="21"/>
      <w:szCs w:val="21"/>
    </w:rPr>
  </w:style>
  <w:style w:type="character" w:customStyle="1" w:styleId="Charb">
    <w:name w:val="目录模式 Char"/>
    <w:basedOn w:val="2Char1"/>
    <w:link w:val="af9"/>
    <w:rsid w:val="00F655C6"/>
    <w:rPr>
      <w:rFonts w:ascii="宋体" w:hAnsi="宋体"/>
      <w:noProof/>
      <w:sz w:val="24"/>
      <w:szCs w:val="24"/>
    </w:rPr>
  </w:style>
  <w:style w:type="character" w:customStyle="1" w:styleId="1Char0">
    <w:name w:val="样式1 Char"/>
    <w:basedOn w:val="2Char1"/>
    <w:link w:val="12"/>
    <w:rsid w:val="00F655C6"/>
    <w:rPr>
      <w:rFonts w:ascii="宋体" w:hAnsi="宋体"/>
      <w:noProof/>
      <w:sz w:val="24"/>
      <w:szCs w:val="24"/>
    </w:rPr>
  </w:style>
  <w:style w:type="character" w:customStyle="1" w:styleId="4Char">
    <w:name w:val="标题 4 Char"/>
    <w:basedOn w:val="a1"/>
    <w:link w:val="40"/>
    <w:rsid w:val="00910642"/>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45285">
      <w:bodyDiv w:val="1"/>
      <w:marLeft w:val="0"/>
      <w:marRight w:val="0"/>
      <w:marTop w:val="0"/>
      <w:marBottom w:val="0"/>
      <w:divBdr>
        <w:top w:val="none" w:sz="0" w:space="0" w:color="auto"/>
        <w:left w:val="none" w:sz="0" w:space="0" w:color="auto"/>
        <w:bottom w:val="none" w:sz="0" w:space="0" w:color="auto"/>
        <w:right w:val="none" w:sz="0" w:space="0" w:color="auto"/>
      </w:divBdr>
    </w:div>
    <w:div w:id="79330798">
      <w:bodyDiv w:val="1"/>
      <w:marLeft w:val="0"/>
      <w:marRight w:val="0"/>
      <w:marTop w:val="0"/>
      <w:marBottom w:val="0"/>
      <w:divBdr>
        <w:top w:val="none" w:sz="0" w:space="0" w:color="auto"/>
        <w:left w:val="none" w:sz="0" w:space="0" w:color="auto"/>
        <w:bottom w:val="none" w:sz="0" w:space="0" w:color="auto"/>
        <w:right w:val="none" w:sz="0" w:space="0" w:color="auto"/>
      </w:divBdr>
    </w:div>
    <w:div w:id="213123387">
      <w:marLeft w:val="0"/>
      <w:marRight w:val="0"/>
      <w:marTop w:val="0"/>
      <w:marBottom w:val="0"/>
      <w:divBdr>
        <w:top w:val="none" w:sz="0" w:space="0" w:color="auto"/>
        <w:left w:val="none" w:sz="0" w:space="0" w:color="auto"/>
        <w:bottom w:val="none" w:sz="0" w:space="0" w:color="auto"/>
        <w:right w:val="none" w:sz="0" w:space="0" w:color="auto"/>
      </w:divBdr>
    </w:div>
    <w:div w:id="213123388">
      <w:marLeft w:val="0"/>
      <w:marRight w:val="0"/>
      <w:marTop w:val="0"/>
      <w:marBottom w:val="0"/>
      <w:divBdr>
        <w:top w:val="none" w:sz="0" w:space="0" w:color="auto"/>
        <w:left w:val="none" w:sz="0" w:space="0" w:color="auto"/>
        <w:bottom w:val="none" w:sz="0" w:space="0" w:color="auto"/>
        <w:right w:val="none" w:sz="0" w:space="0" w:color="auto"/>
      </w:divBdr>
    </w:div>
    <w:div w:id="213123389">
      <w:marLeft w:val="0"/>
      <w:marRight w:val="0"/>
      <w:marTop w:val="0"/>
      <w:marBottom w:val="0"/>
      <w:divBdr>
        <w:top w:val="none" w:sz="0" w:space="0" w:color="auto"/>
        <w:left w:val="none" w:sz="0" w:space="0" w:color="auto"/>
        <w:bottom w:val="none" w:sz="0" w:space="0" w:color="auto"/>
        <w:right w:val="none" w:sz="0" w:space="0" w:color="auto"/>
      </w:divBdr>
    </w:div>
    <w:div w:id="213123390">
      <w:marLeft w:val="0"/>
      <w:marRight w:val="0"/>
      <w:marTop w:val="0"/>
      <w:marBottom w:val="0"/>
      <w:divBdr>
        <w:top w:val="none" w:sz="0" w:space="0" w:color="auto"/>
        <w:left w:val="none" w:sz="0" w:space="0" w:color="auto"/>
        <w:bottom w:val="none" w:sz="0" w:space="0" w:color="auto"/>
        <w:right w:val="none" w:sz="0" w:space="0" w:color="auto"/>
      </w:divBdr>
    </w:div>
    <w:div w:id="213123391">
      <w:marLeft w:val="0"/>
      <w:marRight w:val="0"/>
      <w:marTop w:val="0"/>
      <w:marBottom w:val="0"/>
      <w:divBdr>
        <w:top w:val="none" w:sz="0" w:space="0" w:color="auto"/>
        <w:left w:val="none" w:sz="0" w:space="0" w:color="auto"/>
        <w:bottom w:val="none" w:sz="0" w:space="0" w:color="auto"/>
        <w:right w:val="none" w:sz="0" w:space="0" w:color="auto"/>
      </w:divBdr>
    </w:div>
    <w:div w:id="213123392">
      <w:marLeft w:val="0"/>
      <w:marRight w:val="0"/>
      <w:marTop w:val="0"/>
      <w:marBottom w:val="0"/>
      <w:divBdr>
        <w:top w:val="none" w:sz="0" w:space="0" w:color="auto"/>
        <w:left w:val="none" w:sz="0" w:space="0" w:color="auto"/>
        <w:bottom w:val="none" w:sz="0" w:space="0" w:color="auto"/>
        <w:right w:val="none" w:sz="0" w:space="0" w:color="auto"/>
      </w:divBdr>
    </w:div>
    <w:div w:id="213123393">
      <w:marLeft w:val="0"/>
      <w:marRight w:val="0"/>
      <w:marTop w:val="0"/>
      <w:marBottom w:val="0"/>
      <w:divBdr>
        <w:top w:val="none" w:sz="0" w:space="0" w:color="auto"/>
        <w:left w:val="none" w:sz="0" w:space="0" w:color="auto"/>
        <w:bottom w:val="none" w:sz="0" w:space="0" w:color="auto"/>
        <w:right w:val="none" w:sz="0" w:space="0" w:color="auto"/>
      </w:divBdr>
    </w:div>
    <w:div w:id="213123394">
      <w:marLeft w:val="0"/>
      <w:marRight w:val="0"/>
      <w:marTop w:val="0"/>
      <w:marBottom w:val="0"/>
      <w:divBdr>
        <w:top w:val="none" w:sz="0" w:space="0" w:color="auto"/>
        <w:left w:val="none" w:sz="0" w:space="0" w:color="auto"/>
        <w:bottom w:val="none" w:sz="0" w:space="0" w:color="auto"/>
        <w:right w:val="none" w:sz="0" w:space="0" w:color="auto"/>
      </w:divBdr>
    </w:div>
    <w:div w:id="213123395">
      <w:marLeft w:val="0"/>
      <w:marRight w:val="0"/>
      <w:marTop w:val="0"/>
      <w:marBottom w:val="0"/>
      <w:divBdr>
        <w:top w:val="none" w:sz="0" w:space="0" w:color="auto"/>
        <w:left w:val="none" w:sz="0" w:space="0" w:color="auto"/>
        <w:bottom w:val="none" w:sz="0" w:space="0" w:color="auto"/>
        <w:right w:val="none" w:sz="0" w:space="0" w:color="auto"/>
      </w:divBdr>
    </w:div>
    <w:div w:id="213123396">
      <w:marLeft w:val="0"/>
      <w:marRight w:val="0"/>
      <w:marTop w:val="0"/>
      <w:marBottom w:val="0"/>
      <w:divBdr>
        <w:top w:val="none" w:sz="0" w:space="0" w:color="auto"/>
        <w:left w:val="none" w:sz="0" w:space="0" w:color="auto"/>
        <w:bottom w:val="none" w:sz="0" w:space="0" w:color="auto"/>
        <w:right w:val="none" w:sz="0" w:space="0" w:color="auto"/>
      </w:divBdr>
    </w:div>
    <w:div w:id="213123397">
      <w:marLeft w:val="0"/>
      <w:marRight w:val="0"/>
      <w:marTop w:val="0"/>
      <w:marBottom w:val="0"/>
      <w:divBdr>
        <w:top w:val="none" w:sz="0" w:space="0" w:color="auto"/>
        <w:left w:val="none" w:sz="0" w:space="0" w:color="auto"/>
        <w:bottom w:val="none" w:sz="0" w:space="0" w:color="auto"/>
        <w:right w:val="none" w:sz="0" w:space="0" w:color="auto"/>
      </w:divBdr>
    </w:div>
    <w:div w:id="213123398">
      <w:marLeft w:val="0"/>
      <w:marRight w:val="0"/>
      <w:marTop w:val="0"/>
      <w:marBottom w:val="0"/>
      <w:divBdr>
        <w:top w:val="none" w:sz="0" w:space="0" w:color="auto"/>
        <w:left w:val="none" w:sz="0" w:space="0" w:color="auto"/>
        <w:bottom w:val="none" w:sz="0" w:space="0" w:color="auto"/>
        <w:right w:val="none" w:sz="0" w:space="0" w:color="auto"/>
      </w:divBdr>
    </w:div>
    <w:div w:id="213123399">
      <w:marLeft w:val="0"/>
      <w:marRight w:val="0"/>
      <w:marTop w:val="0"/>
      <w:marBottom w:val="0"/>
      <w:divBdr>
        <w:top w:val="none" w:sz="0" w:space="0" w:color="auto"/>
        <w:left w:val="none" w:sz="0" w:space="0" w:color="auto"/>
        <w:bottom w:val="none" w:sz="0" w:space="0" w:color="auto"/>
        <w:right w:val="none" w:sz="0" w:space="0" w:color="auto"/>
      </w:divBdr>
    </w:div>
    <w:div w:id="213123400">
      <w:marLeft w:val="0"/>
      <w:marRight w:val="0"/>
      <w:marTop w:val="0"/>
      <w:marBottom w:val="0"/>
      <w:divBdr>
        <w:top w:val="none" w:sz="0" w:space="0" w:color="auto"/>
        <w:left w:val="none" w:sz="0" w:space="0" w:color="auto"/>
        <w:bottom w:val="none" w:sz="0" w:space="0" w:color="auto"/>
        <w:right w:val="none" w:sz="0" w:space="0" w:color="auto"/>
      </w:divBdr>
    </w:div>
    <w:div w:id="213123401">
      <w:marLeft w:val="0"/>
      <w:marRight w:val="0"/>
      <w:marTop w:val="0"/>
      <w:marBottom w:val="0"/>
      <w:divBdr>
        <w:top w:val="none" w:sz="0" w:space="0" w:color="auto"/>
        <w:left w:val="none" w:sz="0" w:space="0" w:color="auto"/>
        <w:bottom w:val="none" w:sz="0" w:space="0" w:color="auto"/>
        <w:right w:val="none" w:sz="0" w:space="0" w:color="auto"/>
      </w:divBdr>
    </w:div>
    <w:div w:id="213123402">
      <w:marLeft w:val="0"/>
      <w:marRight w:val="0"/>
      <w:marTop w:val="0"/>
      <w:marBottom w:val="0"/>
      <w:divBdr>
        <w:top w:val="none" w:sz="0" w:space="0" w:color="auto"/>
        <w:left w:val="none" w:sz="0" w:space="0" w:color="auto"/>
        <w:bottom w:val="none" w:sz="0" w:space="0" w:color="auto"/>
        <w:right w:val="none" w:sz="0" w:space="0" w:color="auto"/>
      </w:divBdr>
    </w:div>
    <w:div w:id="213123403">
      <w:marLeft w:val="0"/>
      <w:marRight w:val="0"/>
      <w:marTop w:val="0"/>
      <w:marBottom w:val="0"/>
      <w:divBdr>
        <w:top w:val="none" w:sz="0" w:space="0" w:color="auto"/>
        <w:left w:val="none" w:sz="0" w:space="0" w:color="auto"/>
        <w:bottom w:val="none" w:sz="0" w:space="0" w:color="auto"/>
        <w:right w:val="none" w:sz="0" w:space="0" w:color="auto"/>
      </w:divBdr>
    </w:div>
    <w:div w:id="213123404">
      <w:marLeft w:val="0"/>
      <w:marRight w:val="0"/>
      <w:marTop w:val="0"/>
      <w:marBottom w:val="0"/>
      <w:divBdr>
        <w:top w:val="none" w:sz="0" w:space="0" w:color="auto"/>
        <w:left w:val="none" w:sz="0" w:space="0" w:color="auto"/>
        <w:bottom w:val="none" w:sz="0" w:space="0" w:color="auto"/>
        <w:right w:val="none" w:sz="0" w:space="0" w:color="auto"/>
      </w:divBdr>
    </w:div>
    <w:div w:id="213123405">
      <w:marLeft w:val="0"/>
      <w:marRight w:val="0"/>
      <w:marTop w:val="0"/>
      <w:marBottom w:val="0"/>
      <w:divBdr>
        <w:top w:val="none" w:sz="0" w:space="0" w:color="auto"/>
        <w:left w:val="none" w:sz="0" w:space="0" w:color="auto"/>
        <w:bottom w:val="none" w:sz="0" w:space="0" w:color="auto"/>
        <w:right w:val="none" w:sz="0" w:space="0" w:color="auto"/>
      </w:divBdr>
    </w:div>
    <w:div w:id="213123406">
      <w:marLeft w:val="0"/>
      <w:marRight w:val="0"/>
      <w:marTop w:val="0"/>
      <w:marBottom w:val="0"/>
      <w:divBdr>
        <w:top w:val="none" w:sz="0" w:space="0" w:color="auto"/>
        <w:left w:val="none" w:sz="0" w:space="0" w:color="auto"/>
        <w:bottom w:val="none" w:sz="0" w:space="0" w:color="auto"/>
        <w:right w:val="none" w:sz="0" w:space="0" w:color="auto"/>
      </w:divBdr>
    </w:div>
    <w:div w:id="213123407">
      <w:marLeft w:val="0"/>
      <w:marRight w:val="0"/>
      <w:marTop w:val="0"/>
      <w:marBottom w:val="0"/>
      <w:divBdr>
        <w:top w:val="none" w:sz="0" w:space="0" w:color="auto"/>
        <w:left w:val="none" w:sz="0" w:space="0" w:color="auto"/>
        <w:bottom w:val="none" w:sz="0" w:space="0" w:color="auto"/>
        <w:right w:val="none" w:sz="0" w:space="0" w:color="auto"/>
      </w:divBdr>
    </w:div>
    <w:div w:id="213123408">
      <w:marLeft w:val="0"/>
      <w:marRight w:val="0"/>
      <w:marTop w:val="0"/>
      <w:marBottom w:val="0"/>
      <w:divBdr>
        <w:top w:val="none" w:sz="0" w:space="0" w:color="auto"/>
        <w:left w:val="none" w:sz="0" w:space="0" w:color="auto"/>
        <w:bottom w:val="none" w:sz="0" w:space="0" w:color="auto"/>
        <w:right w:val="none" w:sz="0" w:space="0" w:color="auto"/>
      </w:divBdr>
    </w:div>
    <w:div w:id="213123409">
      <w:marLeft w:val="0"/>
      <w:marRight w:val="0"/>
      <w:marTop w:val="0"/>
      <w:marBottom w:val="0"/>
      <w:divBdr>
        <w:top w:val="none" w:sz="0" w:space="0" w:color="auto"/>
        <w:left w:val="none" w:sz="0" w:space="0" w:color="auto"/>
        <w:bottom w:val="none" w:sz="0" w:space="0" w:color="auto"/>
        <w:right w:val="none" w:sz="0" w:space="0" w:color="auto"/>
      </w:divBdr>
    </w:div>
    <w:div w:id="213123410">
      <w:marLeft w:val="0"/>
      <w:marRight w:val="0"/>
      <w:marTop w:val="0"/>
      <w:marBottom w:val="0"/>
      <w:divBdr>
        <w:top w:val="none" w:sz="0" w:space="0" w:color="auto"/>
        <w:left w:val="none" w:sz="0" w:space="0" w:color="auto"/>
        <w:bottom w:val="none" w:sz="0" w:space="0" w:color="auto"/>
        <w:right w:val="none" w:sz="0" w:space="0" w:color="auto"/>
      </w:divBdr>
    </w:div>
    <w:div w:id="213123411">
      <w:marLeft w:val="0"/>
      <w:marRight w:val="0"/>
      <w:marTop w:val="0"/>
      <w:marBottom w:val="0"/>
      <w:divBdr>
        <w:top w:val="none" w:sz="0" w:space="0" w:color="auto"/>
        <w:left w:val="none" w:sz="0" w:space="0" w:color="auto"/>
        <w:bottom w:val="none" w:sz="0" w:space="0" w:color="auto"/>
        <w:right w:val="none" w:sz="0" w:space="0" w:color="auto"/>
      </w:divBdr>
    </w:div>
    <w:div w:id="213123412">
      <w:marLeft w:val="0"/>
      <w:marRight w:val="0"/>
      <w:marTop w:val="0"/>
      <w:marBottom w:val="0"/>
      <w:divBdr>
        <w:top w:val="none" w:sz="0" w:space="0" w:color="auto"/>
        <w:left w:val="none" w:sz="0" w:space="0" w:color="auto"/>
        <w:bottom w:val="none" w:sz="0" w:space="0" w:color="auto"/>
        <w:right w:val="none" w:sz="0" w:space="0" w:color="auto"/>
      </w:divBdr>
      <w:divsChild>
        <w:div w:id="213123536">
          <w:marLeft w:val="0"/>
          <w:marRight w:val="0"/>
          <w:marTop w:val="0"/>
          <w:marBottom w:val="0"/>
          <w:divBdr>
            <w:top w:val="none" w:sz="0" w:space="0" w:color="auto"/>
            <w:left w:val="none" w:sz="0" w:space="0" w:color="auto"/>
            <w:bottom w:val="none" w:sz="0" w:space="0" w:color="auto"/>
            <w:right w:val="none" w:sz="0" w:space="0" w:color="auto"/>
          </w:divBdr>
        </w:div>
      </w:divsChild>
    </w:div>
    <w:div w:id="213123413">
      <w:marLeft w:val="0"/>
      <w:marRight w:val="0"/>
      <w:marTop w:val="0"/>
      <w:marBottom w:val="0"/>
      <w:divBdr>
        <w:top w:val="none" w:sz="0" w:space="0" w:color="auto"/>
        <w:left w:val="none" w:sz="0" w:space="0" w:color="auto"/>
        <w:bottom w:val="none" w:sz="0" w:space="0" w:color="auto"/>
        <w:right w:val="none" w:sz="0" w:space="0" w:color="auto"/>
      </w:divBdr>
    </w:div>
    <w:div w:id="213123414">
      <w:marLeft w:val="0"/>
      <w:marRight w:val="0"/>
      <w:marTop w:val="0"/>
      <w:marBottom w:val="0"/>
      <w:divBdr>
        <w:top w:val="none" w:sz="0" w:space="0" w:color="auto"/>
        <w:left w:val="none" w:sz="0" w:space="0" w:color="auto"/>
        <w:bottom w:val="none" w:sz="0" w:space="0" w:color="auto"/>
        <w:right w:val="none" w:sz="0" w:space="0" w:color="auto"/>
      </w:divBdr>
    </w:div>
    <w:div w:id="213123415">
      <w:marLeft w:val="0"/>
      <w:marRight w:val="0"/>
      <w:marTop w:val="0"/>
      <w:marBottom w:val="0"/>
      <w:divBdr>
        <w:top w:val="none" w:sz="0" w:space="0" w:color="auto"/>
        <w:left w:val="none" w:sz="0" w:space="0" w:color="auto"/>
        <w:bottom w:val="none" w:sz="0" w:space="0" w:color="auto"/>
        <w:right w:val="none" w:sz="0" w:space="0" w:color="auto"/>
      </w:divBdr>
    </w:div>
    <w:div w:id="213123416">
      <w:marLeft w:val="0"/>
      <w:marRight w:val="0"/>
      <w:marTop w:val="0"/>
      <w:marBottom w:val="0"/>
      <w:divBdr>
        <w:top w:val="none" w:sz="0" w:space="0" w:color="auto"/>
        <w:left w:val="none" w:sz="0" w:space="0" w:color="auto"/>
        <w:bottom w:val="none" w:sz="0" w:space="0" w:color="auto"/>
        <w:right w:val="none" w:sz="0" w:space="0" w:color="auto"/>
      </w:divBdr>
    </w:div>
    <w:div w:id="213123417">
      <w:marLeft w:val="0"/>
      <w:marRight w:val="0"/>
      <w:marTop w:val="0"/>
      <w:marBottom w:val="0"/>
      <w:divBdr>
        <w:top w:val="none" w:sz="0" w:space="0" w:color="auto"/>
        <w:left w:val="none" w:sz="0" w:space="0" w:color="auto"/>
        <w:bottom w:val="none" w:sz="0" w:space="0" w:color="auto"/>
        <w:right w:val="none" w:sz="0" w:space="0" w:color="auto"/>
      </w:divBdr>
    </w:div>
    <w:div w:id="213123418">
      <w:marLeft w:val="0"/>
      <w:marRight w:val="0"/>
      <w:marTop w:val="0"/>
      <w:marBottom w:val="0"/>
      <w:divBdr>
        <w:top w:val="none" w:sz="0" w:space="0" w:color="auto"/>
        <w:left w:val="none" w:sz="0" w:space="0" w:color="auto"/>
        <w:bottom w:val="none" w:sz="0" w:space="0" w:color="auto"/>
        <w:right w:val="none" w:sz="0" w:space="0" w:color="auto"/>
      </w:divBdr>
    </w:div>
    <w:div w:id="213123419">
      <w:marLeft w:val="0"/>
      <w:marRight w:val="0"/>
      <w:marTop w:val="0"/>
      <w:marBottom w:val="0"/>
      <w:divBdr>
        <w:top w:val="none" w:sz="0" w:space="0" w:color="auto"/>
        <w:left w:val="none" w:sz="0" w:space="0" w:color="auto"/>
        <w:bottom w:val="none" w:sz="0" w:space="0" w:color="auto"/>
        <w:right w:val="none" w:sz="0" w:space="0" w:color="auto"/>
      </w:divBdr>
    </w:div>
    <w:div w:id="213123420">
      <w:marLeft w:val="0"/>
      <w:marRight w:val="0"/>
      <w:marTop w:val="0"/>
      <w:marBottom w:val="0"/>
      <w:divBdr>
        <w:top w:val="none" w:sz="0" w:space="0" w:color="auto"/>
        <w:left w:val="none" w:sz="0" w:space="0" w:color="auto"/>
        <w:bottom w:val="none" w:sz="0" w:space="0" w:color="auto"/>
        <w:right w:val="none" w:sz="0" w:space="0" w:color="auto"/>
      </w:divBdr>
    </w:div>
    <w:div w:id="213123421">
      <w:marLeft w:val="0"/>
      <w:marRight w:val="0"/>
      <w:marTop w:val="0"/>
      <w:marBottom w:val="0"/>
      <w:divBdr>
        <w:top w:val="none" w:sz="0" w:space="0" w:color="auto"/>
        <w:left w:val="none" w:sz="0" w:space="0" w:color="auto"/>
        <w:bottom w:val="none" w:sz="0" w:space="0" w:color="auto"/>
        <w:right w:val="none" w:sz="0" w:space="0" w:color="auto"/>
      </w:divBdr>
    </w:div>
    <w:div w:id="213123422">
      <w:marLeft w:val="0"/>
      <w:marRight w:val="0"/>
      <w:marTop w:val="0"/>
      <w:marBottom w:val="0"/>
      <w:divBdr>
        <w:top w:val="none" w:sz="0" w:space="0" w:color="auto"/>
        <w:left w:val="none" w:sz="0" w:space="0" w:color="auto"/>
        <w:bottom w:val="none" w:sz="0" w:space="0" w:color="auto"/>
        <w:right w:val="none" w:sz="0" w:space="0" w:color="auto"/>
      </w:divBdr>
    </w:div>
    <w:div w:id="213123423">
      <w:marLeft w:val="0"/>
      <w:marRight w:val="0"/>
      <w:marTop w:val="0"/>
      <w:marBottom w:val="0"/>
      <w:divBdr>
        <w:top w:val="none" w:sz="0" w:space="0" w:color="auto"/>
        <w:left w:val="none" w:sz="0" w:space="0" w:color="auto"/>
        <w:bottom w:val="none" w:sz="0" w:space="0" w:color="auto"/>
        <w:right w:val="none" w:sz="0" w:space="0" w:color="auto"/>
      </w:divBdr>
    </w:div>
    <w:div w:id="213123424">
      <w:marLeft w:val="0"/>
      <w:marRight w:val="0"/>
      <w:marTop w:val="0"/>
      <w:marBottom w:val="0"/>
      <w:divBdr>
        <w:top w:val="none" w:sz="0" w:space="0" w:color="auto"/>
        <w:left w:val="none" w:sz="0" w:space="0" w:color="auto"/>
        <w:bottom w:val="none" w:sz="0" w:space="0" w:color="auto"/>
        <w:right w:val="none" w:sz="0" w:space="0" w:color="auto"/>
      </w:divBdr>
    </w:div>
    <w:div w:id="213123425">
      <w:marLeft w:val="0"/>
      <w:marRight w:val="0"/>
      <w:marTop w:val="0"/>
      <w:marBottom w:val="0"/>
      <w:divBdr>
        <w:top w:val="none" w:sz="0" w:space="0" w:color="auto"/>
        <w:left w:val="none" w:sz="0" w:space="0" w:color="auto"/>
        <w:bottom w:val="none" w:sz="0" w:space="0" w:color="auto"/>
        <w:right w:val="none" w:sz="0" w:space="0" w:color="auto"/>
      </w:divBdr>
    </w:div>
    <w:div w:id="213123426">
      <w:marLeft w:val="0"/>
      <w:marRight w:val="0"/>
      <w:marTop w:val="0"/>
      <w:marBottom w:val="0"/>
      <w:divBdr>
        <w:top w:val="none" w:sz="0" w:space="0" w:color="auto"/>
        <w:left w:val="none" w:sz="0" w:space="0" w:color="auto"/>
        <w:bottom w:val="none" w:sz="0" w:space="0" w:color="auto"/>
        <w:right w:val="none" w:sz="0" w:space="0" w:color="auto"/>
      </w:divBdr>
    </w:div>
    <w:div w:id="213123427">
      <w:marLeft w:val="0"/>
      <w:marRight w:val="0"/>
      <w:marTop w:val="0"/>
      <w:marBottom w:val="0"/>
      <w:divBdr>
        <w:top w:val="none" w:sz="0" w:space="0" w:color="auto"/>
        <w:left w:val="none" w:sz="0" w:space="0" w:color="auto"/>
        <w:bottom w:val="none" w:sz="0" w:space="0" w:color="auto"/>
        <w:right w:val="none" w:sz="0" w:space="0" w:color="auto"/>
      </w:divBdr>
    </w:div>
    <w:div w:id="213123428">
      <w:marLeft w:val="0"/>
      <w:marRight w:val="0"/>
      <w:marTop w:val="0"/>
      <w:marBottom w:val="0"/>
      <w:divBdr>
        <w:top w:val="none" w:sz="0" w:space="0" w:color="auto"/>
        <w:left w:val="none" w:sz="0" w:space="0" w:color="auto"/>
        <w:bottom w:val="none" w:sz="0" w:space="0" w:color="auto"/>
        <w:right w:val="none" w:sz="0" w:space="0" w:color="auto"/>
      </w:divBdr>
    </w:div>
    <w:div w:id="213123429">
      <w:marLeft w:val="0"/>
      <w:marRight w:val="0"/>
      <w:marTop w:val="0"/>
      <w:marBottom w:val="0"/>
      <w:divBdr>
        <w:top w:val="none" w:sz="0" w:space="0" w:color="auto"/>
        <w:left w:val="none" w:sz="0" w:space="0" w:color="auto"/>
        <w:bottom w:val="none" w:sz="0" w:space="0" w:color="auto"/>
        <w:right w:val="none" w:sz="0" w:space="0" w:color="auto"/>
      </w:divBdr>
    </w:div>
    <w:div w:id="213123430">
      <w:marLeft w:val="0"/>
      <w:marRight w:val="0"/>
      <w:marTop w:val="0"/>
      <w:marBottom w:val="0"/>
      <w:divBdr>
        <w:top w:val="none" w:sz="0" w:space="0" w:color="auto"/>
        <w:left w:val="none" w:sz="0" w:space="0" w:color="auto"/>
        <w:bottom w:val="none" w:sz="0" w:space="0" w:color="auto"/>
        <w:right w:val="none" w:sz="0" w:space="0" w:color="auto"/>
      </w:divBdr>
    </w:div>
    <w:div w:id="213123431">
      <w:marLeft w:val="0"/>
      <w:marRight w:val="0"/>
      <w:marTop w:val="0"/>
      <w:marBottom w:val="0"/>
      <w:divBdr>
        <w:top w:val="none" w:sz="0" w:space="0" w:color="auto"/>
        <w:left w:val="none" w:sz="0" w:space="0" w:color="auto"/>
        <w:bottom w:val="none" w:sz="0" w:space="0" w:color="auto"/>
        <w:right w:val="none" w:sz="0" w:space="0" w:color="auto"/>
      </w:divBdr>
    </w:div>
    <w:div w:id="213123432">
      <w:marLeft w:val="0"/>
      <w:marRight w:val="0"/>
      <w:marTop w:val="0"/>
      <w:marBottom w:val="0"/>
      <w:divBdr>
        <w:top w:val="none" w:sz="0" w:space="0" w:color="auto"/>
        <w:left w:val="none" w:sz="0" w:space="0" w:color="auto"/>
        <w:bottom w:val="none" w:sz="0" w:space="0" w:color="auto"/>
        <w:right w:val="none" w:sz="0" w:space="0" w:color="auto"/>
      </w:divBdr>
    </w:div>
    <w:div w:id="213123433">
      <w:marLeft w:val="0"/>
      <w:marRight w:val="0"/>
      <w:marTop w:val="0"/>
      <w:marBottom w:val="0"/>
      <w:divBdr>
        <w:top w:val="none" w:sz="0" w:space="0" w:color="auto"/>
        <w:left w:val="none" w:sz="0" w:space="0" w:color="auto"/>
        <w:bottom w:val="none" w:sz="0" w:space="0" w:color="auto"/>
        <w:right w:val="none" w:sz="0" w:space="0" w:color="auto"/>
      </w:divBdr>
    </w:div>
    <w:div w:id="213123434">
      <w:marLeft w:val="0"/>
      <w:marRight w:val="0"/>
      <w:marTop w:val="0"/>
      <w:marBottom w:val="0"/>
      <w:divBdr>
        <w:top w:val="none" w:sz="0" w:space="0" w:color="auto"/>
        <w:left w:val="none" w:sz="0" w:space="0" w:color="auto"/>
        <w:bottom w:val="none" w:sz="0" w:space="0" w:color="auto"/>
        <w:right w:val="none" w:sz="0" w:space="0" w:color="auto"/>
      </w:divBdr>
    </w:div>
    <w:div w:id="213123435">
      <w:marLeft w:val="0"/>
      <w:marRight w:val="0"/>
      <w:marTop w:val="0"/>
      <w:marBottom w:val="0"/>
      <w:divBdr>
        <w:top w:val="none" w:sz="0" w:space="0" w:color="auto"/>
        <w:left w:val="none" w:sz="0" w:space="0" w:color="auto"/>
        <w:bottom w:val="none" w:sz="0" w:space="0" w:color="auto"/>
        <w:right w:val="none" w:sz="0" w:space="0" w:color="auto"/>
      </w:divBdr>
    </w:div>
    <w:div w:id="213123436">
      <w:marLeft w:val="0"/>
      <w:marRight w:val="0"/>
      <w:marTop w:val="0"/>
      <w:marBottom w:val="0"/>
      <w:divBdr>
        <w:top w:val="none" w:sz="0" w:space="0" w:color="auto"/>
        <w:left w:val="none" w:sz="0" w:space="0" w:color="auto"/>
        <w:bottom w:val="none" w:sz="0" w:space="0" w:color="auto"/>
        <w:right w:val="none" w:sz="0" w:space="0" w:color="auto"/>
      </w:divBdr>
    </w:div>
    <w:div w:id="213123437">
      <w:marLeft w:val="0"/>
      <w:marRight w:val="0"/>
      <w:marTop w:val="0"/>
      <w:marBottom w:val="0"/>
      <w:divBdr>
        <w:top w:val="none" w:sz="0" w:space="0" w:color="auto"/>
        <w:left w:val="none" w:sz="0" w:space="0" w:color="auto"/>
        <w:bottom w:val="none" w:sz="0" w:space="0" w:color="auto"/>
        <w:right w:val="none" w:sz="0" w:space="0" w:color="auto"/>
      </w:divBdr>
    </w:div>
    <w:div w:id="213123438">
      <w:marLeft w:val="0"/>
      <w:marRight w:val="0"/>
      <w:marTop w:val="0"/>
      <w:marBottom w:val="0"/>
      <w:divBdr>
        <w:top w:val="none" w:sz="0" w:space="0" w:color="auto"/>
        <w:left w:val="none" w:sz="0" w:space="0" w:color="auto"/>
        <w:bottom w:val="none" w:sz="0" w:space="0" w:color="auto"/>
        <w:right w:val="none" w:sz="0" w:space="0" w:color="auto"/>
      </w:divBdr>
    </w:div>
    <w:div w:id="213123439">
      <w:marLeft w:val="0"/>
      <w:marRight w:val="0"/>
      <w:marTop w:val="0"/>
      <w:marBottom w:val="0"/>
      <w:divBdr>
        <w:top w:val="none" w:sz="0" w:space="0" w:color="auto"/>
        <w:left w:val="none" w:sz="0" w:space="0" w:color="auto"/>
        <w:bottom w:val="none" w:sz="0" w:space="0" w:color="auto"/>
        <w:right w:val="none" w:sz="0" w:space="0" w:color="auto"/>
      </w:divBdr>
    </w:div>
    <w:div w:id="213123440">
      <w:marLeft w:val="0"/>
      <w:marRight w:val="0"/>
      <w:marTop w:val="0"/>
      <w:marBottom w:val="0"/>
      <w:divBdr>
        <w:top w:val="none" w:sz="0" w:space="0" w:color="auto"/>
        <w:left w:val="none" w:sz="0" w:space="0" w:color="auto"/>
        <w:bottom w:val="none" w:sz="0" w:space="0" w:color="auto"/>
        <w:right w:val="none" w:sz="0" w:space="0" w:color="auto"/>
      </w:divBdr>
    </w:div>
    <w:div w:id="213123441">
      <w:marLeft w:val="0"/>
      <w:marRight w:val="0"/>
      <w:marTop w:val="0"/>
      <w:marBottom w:val="0"/>
      <w:divBdr>
        <w:top w:val="none" w:sz="0" w:space="0" w:color="auto"/>
        <w:left w:val="none" w:sz="0" w:space="0" w:color="auto"/>
        <w:bottom w:val="none" w:sz="0" w:space="0" w:color="auto"/>
        <w:right w:val="none" w:sz="0" w:space="0" w:color="auto"/>
      </w:divBdr>
    </w:div>
    <w:div w:id="213123442">
      <w:marLeft w:val="0"/>
      <w:marRight w:val="0"/>
      <w:marTop w:val="0"/>
      <w:marBottom w:val="0"/>
      <w:divBdr>
        <w:top w:val="none" w:sz="0" w:space="0" w:color="auto"/>
        <w:left w:val="none" w:sz="0" w:space="0" w:color="auto"/>
        <w:bottom w:val="none" w:sz="0" w:space="0" w:color="auto"/>
        <w:right w:val="none" w:sz="0" w:space="0" w:color="auto"/>
      </w:divBdr>
    </w:div>
    <w:div w:id="213123443">
      <w:marLeft w:val="0"/>
      <w:marRight w:val="0"/>
      <w:marTop w:val="0"/>
      <w:marBottom w:val="0"/>
      <w:divBdr>
        <w:top w:val="none" w:sz="0" w:space="0" w:color="auto"/>
        <w:left w:val="none" w:sz="0" w:space="0" w:color="auto"/>
        <w:bottom w:val="none" w:sz="0" w:space="0" w:color="auto"/>
        <w:right w:val="none" w:sz="0" w:space="0" w:color="auto"/>
      </w:divBdr>
    </w:div>
    <w:div w:id="213123444">
      <w:marLeft w:val="0"/>
      <w:marRight w:val="0"/>
      <w:marTop w:val="0"/>
      <w:marBottom w:val="0"/>
      <w:divBdr>
        <w:top w:val="none" w:sz="0" w:space="0" w:color="auto"/>
        <w:left w:val="none" w:sz="0" w:space="0" w:color="auto"/>
        <w:bottom w:val="none" w:sz="0" w:space="0" w:color="auto"/>
        <w:right w:val="none" w:sz="0" w:space="0" w:color="auto"/>
      </w:divBdr>
    </w:div>
    <w:div w:id="213123445">
      <w:marLeft w:val="0"/>
      <w:marRight w:val="0"/>
      <w:marTop w:val="0"/>
      <w:marBottom w:val="0"/>
      <w:divBdr>
        <w:top w:val="none" w:sz="0" w:space="0" w:color="auto"/>
        <w:left w:val="none" w:sz="0" w:space="0" w:color="auto"/>
        <w:bottom w:val="none" w:sz="0" w:space="0" w:color="auto"/>
        <w:right w:val="none" w:sz="0" w:space="0" w:color="auto"/>
      </w:divBdr>
    </w:div>
    <w:div w:id="213123446">
      <w:marLeft w:val="0"/>
      <w:marRight w:val="0"/>
      <w:marTop w:val="0"/>
      <w:marBottom w:val="0"/>
      <w:divBdr>
        <w:top w:val="none" w:sz="0" w:space="0" w:color="auto"/>
        <w:left w:val="none" w:sz="0" w:space="0" w:color="auto"/>
        <w:bottom w:val="none" w:sz="0" w:space="0" w:color="auto"/>
        <w:right w:val="none" w:sz="0" w:space="0" w:color="auto"/>
      </w:divBdr>
    </w:div>
    <w:div w:id="213123447">
      <w:marLeft w:val="0"/>
      <w:marRight w:val="0"/>
      <w:marTop w:val="0"/>
      <w:marBottom w:val="0"/>
      <w:divBdr>
        <w:top w:val="none" w:sz="0" w:space="0" w:color="auto"/>
        <w:left w:val="none" w:sz="0" w:space="0" w:color="auto"/>
        <w:bottom w:val="none" w:sz="0" w:space="0" w:color="auto"/>
        <w:right w:val="none" w:sz="0" w:space="0" w:color="auto"/>
      </w:divBdr>
    </w:div>
    <w:div w:id="213123448">
      <w:marLeft w:val="0"/>
      <w:marRight w:val="0"/>
      <w:marTop w:val="0"/>
      <w:marBottom w:val="0"/>
      <w:divBdr>
        <w:top w:val="none" w:sz="0" w:space="0" w:color="auto"/>
        <w:left w:val="none" w:sz="0" w:space="0" w:color="auto"/>
        <w:bottom w:val="none" w:sz="0" w:space="0" w:color="auto"/>
        <w:right w:val="none" w:sz="0" w:space="0" w:color="auto"/>
      </w:divBdr>
    </w:div>
    <w:div w:id="213123449">
      <w:marLeft w:val="0"/>
      <w:marRight w:val="0"/>
      <w:marTop w:val="0"/>
      <w:marBottom w:val="0"/>
      <w:divBdr>
        <w:top w:val="none" w:sz="0" w:space="0" w:color="auto"/>
        <w:left w:val="none" w:sz="0" w:space="0" w:color="auto"/>
        <w:bottom w:val="none" w:sz="0" w:space="0" w:color="auto"/>
        <w:right w:val="none" w:sz="0" w:space="0" w:color="auto"/>
      </w:divBdr>
    </w:div>
    <w:div w:id="213123450">
      <w:marLeft w:val="0"/>
      <w:marRight w:val="0"/>
      <w:marTop w:val="0"/>
      <w:marBottom w:val="0"/>
      <w:divBdr>
        <w:top w:val="none" w:sz="0" w:space="0" w:color="auto"/>
        <w:left w:val="none" w:sz="0" w:space="0" w:color="auto"/>
        <w:bottom w:val="none" w:sz="0" w:space="0" w:color="auto"/>
        <w:right w:val="none" w:sz="0" w:space="0" w:color="auto"/>
      </w:divBdr>
    </w:div>
    <w:div w:id="213123451">
      <w:marLeft w:val="0"/>
      <w:marRight w:val="0"/>
      <w:marTop w:val="0"/>
      <w:marBottom w:val="0"/>
      <w:divBdr>
        <w:top w:val="none" w:sz="0" w:space="0" w:color="auto"/>
        <w:left w:val="none" w:sz="0" w:space="0" w:color="auto"/>
        <w:bottom w:val="none" w:sz="0" w:space="0" w:color="auto"/>
        <w:right w:val="none" w:sz="0" w:space="0" w:color="auto"/>
      </w:divBdr>
    </w:div>
    <w:div w:id="213123452">
      <w:marLeft w:val="0"/>
      <w:marRight w:val="0"/>
      <w:marTop w:val="0"/>
      <w:marBottom w:val="0"/>
      <w:divBdr>
        <w:top w:val="none" w:sz="0" w:space="0" w:color="auto"/>
        <w:left w:val="none" w:sz="0" w:space="0" w:color="auto"/>
        <w:bottom w:val="none" w:sz="0" w:space="0" w:color="auto"/>
        <w:right w:val="none" w:sz="0" w:space="0" w:color="auto"/>
      </w:divBdr>
    </w:div>
    <w:div w:id="213123453">
      <w:marLeft w:val="0"/>
      <w:marRight w:val="0"/>
      <w:marTop w:val="0"/>
      <w:marBottom w:val="0"/>
      <w:divBdr>
        <w:top w:val="none" w:sz="0" w:space="0" w:color="auto"/>
        <w:left w:val="none" w:sz="0" w:space="0" w:color="auto"/>
        <w:bottom w:val="none" w:sz="0" w:space="0" w:color="auto"/>
        <w:right w:val="none" w:sz="0" w:space="0" w:color="auto"/>
      </w:divBdr>
    </w:div>
    <w:div w:id="213123454">
      <w:marLeft w:val="0"/>
      <w:marRight w:val="0"/>
      <w:marTop w:val="0"/>
      <w:marBottom w:val="0"/>
      <w:divBdr>
        <w:top w:val="none" w:sz="0" w:space="0" w:color="auto"/>
        <w:left w:val="none" w:sz="0" w:space="0" w:color="auto"/>
        <w:bottom w:val="none" w:sz="0" w:space="0" w:color="auto"/>
        <w:right w:val="none" w:sz="0" w:space="0" w:color="auto"/>
      </w:divBdr>
    </w:div>
    <w:div w:id="213123455">
      <w:marLeft w:val="0"/>
      <w:marRight w:val="0"/>
      <w:marTop w:val="0"/>
      <w:marBottom w:val="0"/>
      <w:divBdr>
        <w:top w:val="none" w:sz="0" w:space="0" w:color="auto"/>
        <w:left w:val="none" w:sz="0" w:space="0" w:color="auto"/>
        <w:bottom w:val="none" w:sz="0" w:space="0" w:color="auto"/>
        <w:right w:val="none" w:sz="0" w:space="0" w:color="auto"/>
      </w:divBdr>
    </w:div>
    <w:div w:id="213123456">
      <w:marLeft w:val="0"/>
      <w:marRight w:val="0"/>
      <w:marTop w:val="0"/>
      <w:marBottom w:val="0"/>
      <w:divBdr>
        <w:top w:val="none" w:sz="0" w:space="0" w:color="auto"/>
        <w:left w:val="none" w:sz="0" w:space="0" w:color="auto"/>
        <w:bottom w:val="none" w:sz="0" w:space="0" w:color="auto"/>
        <w:right w:val="none" w:sz="0" w:space="0" w:color="auto"/>
      </w:divBdr>
    </w:div>
    <w:div w:id="213123457">
      <w:marLeft w:val="0"/>
      <w:marRight w:val="0"/>
      <w:marTop w:val="0"/>
      <w:marBottom w:val="0"/>
      <w:divBdr>
        <w:top w:val="none" w:sz="0" w:space="0" w:color="auto"/>
        <w:left w:val="none" w:sz="0" w:space="0" w:color="auto"/>
        <w:bottom w:val="none" w:sz="0" w:space="0" w:color="auto"/>
        <w:right w:val="none" w:sz="0" w:space="0" w:color="auto"/>
      </w:divBdr>
    </w:div>
    <w:div w:id="213123458">
      <w:marLeft w:val="0"/>
      <w:marRight w:val="0"/>
      <w:marTop w:val="0"/>
      <w:marBottom w:val="0"/>
      <w:divBdr>
        <w:top w:val="none" w:sz="0" w:space="0" w:color="auto"/>
        <w:left w:val="none" w:sz="0" w:space="0" w:color="auto"/>
        <w:bottom w:val="none" w:sz="0" w:space="0" w:color="auto"/>
        <w:right w:val="none" w:sz="0" w:space="0" w:color="auto"/>
      </w:divBdr>
    </w:div>
    <w:div w:id="213123459">
      <w:marLeft w:val="0"/>
      <w:marRight w:val="0"/>
      <w:marTop w:val="0"/>
      <w:marBottom w:val="0"/>
      <w:divBdr>
        <w:top w:val="none" w:sz="0" w:space="0" w:color="auto"/>
        <w:left w:val="none" w:sz="0" w:space="0" w:color="auto"/>
        <w:bottom w:val="none" w:sz="0" w:space="0" w:color="auto"/>
        <w:right w:val="none" w:sz="0" w:space="0" w:color="auto"/>
      </w:divBdr>
    </w:div>
    <w:div w:id="213123460">
      <w:marLeft w:val="0"/>
      <w:marRight w:val="0"/>
      <w:marTop w:val="0"/>
      <w:marBottom w:val="0"/>
      <w:divBdr>
        <w:top w:val="none" w:sz="0" w:space="0" w:color="auto"/>
        <w:left w:val="none" w:sz="0" w:space="0" w:color="auto"/>
        <w:bottom w:val="none" w:sz="0" w:space="0" w:color="auto"/>
        <w:right w:val="none" w:sz="0" w:space="0" w:color="auto"/>
      </w:divBdr>
    </w:div>
    <w:div w:id="213123461">
      <w:marLeft w:val="0"/>
      <w:marRight w:val="0"/>
      <w:marTop w:val="0"/>
      <w:marBottom w:val="0"/>
      <w:divBdr>
        <w:top w:val="none" w:sz="0" w:space="0" w:color="auto"/>
        <w:left w:val="none" w:sz="0" w:space="0" w:color="auto"/>
        <w:bottom w:val="none" w:sz="0" w:space="0" w:color="auto"/>
        <w:right w:val="none" w:sz="0" w:space="0" w:color="auto"/>
      </w:divBdr>
    </w:div>
    <w:div w:id="213123462">
      <w:marLeft w:val="0"/>
      <w:marRight w:val="0"/>
      <w:marTop w:val="0"/>
      <w:marBottom w:val="0"/>
      <w:divBdr>
        <w:top w:val="none" w:sz="0" w:space="0" w:color="auto"/>
        <w:left w:val="none" w:sz="0" w:space="0" w:color="auto"/>
        <w:bottom w:val="none" w:sz="0" w:space="0" w:color="auto"/>
        <w:right w:val="none" w:sz="0" w:space="0" w:color="auto"/>
      </w:divBdr>
    </w:div>
    <w:div w:id="213123463">
      <w:marLeft w:val="0"/>
      <w:marRight w:val="0"/>
      <w:marTop w:val="0"/>
      <w:marBottom w:val="0"/>
      <w:divBdr>
        <w:top w:val="none" w:sz="0" w:space="0" w:color="auto"/>
        <w:left w:val="none" w:sz="0" w:space="0" w:color="auto"/>
        <w:bottom w:val="none" w:sz="0" w:space="0" w:color="auto"/>
        <w:right w:val="none" w:sz="0" w:space="0" w:color="auto"/>
      </w:divBdr>
    </w:div>
    <w:div w:id="213123464">
      <w:marLeft w:val="0"/>
      <w:marRight w:val="0"/>
      <w:marTop w:val="0"/>
      <w:marBottom w:val="0"/>
      <w:divBdr>
        <w:top w:val="none" w:sz="0" w:space="0" w:color="auto"/>
        <w:left w:val="none" w:sz="0" w:space="0" w:color="auto"/>
        <w:bottom w:val="none" w:sz="0" w:space="0" w:color="auto"/>
        <w:right w:val="none" w:sz="0" w:space="0" w:color="auto"/>
      </w:divBdr>
    </w:div>
    <w:div w:id="213123465">
      <w:marLeft w:val="0"/>
      <w:marRight w:val="0"/>
      <w:marTop w:val="0"/>
      <w:marBottom w:val="0"/>
      <w:divBdr>
        <w:top w:val="none" w:sz="0" w:space="0" w:color="auto"/>
        <w:left w:val="none" w:sz="0" w:space="0" w:color="auto"/>
        <w:bottom w:val="none" w:sz="0" w:space="0" w:color="auto"/>
        <w:right w:val="none" w:sz="0" w:space="0" w:color="auto"/>
      </w:divBdr>
    </w:div>
    <w:div w:id="213123466">
      <w:marLeft w:val="0"/>
      <w:marRight w:val="0"/>
      <w:marTop w:val="0"/>
      <w:marBottom w:val="0"/>
      <w:divBdr>
        <w:top w:val="none" w:sz="0" w:space="0" w:color="auto"/>
        <w:left w:val="none" w:sz="0" w:space="0" w:color="auto"/>
        <w:bottom w:val="none" w:sz="0" w:space="0" w:color="auto"/>
        <w:right w:val="none" w:sz="0" w:space="0" w:color="auto"/>
      </w:divBdr>
    </w:div>
    <w:div w:id="213123467">
      <w:marLeft w:val="0"/>
      <w:marRight w:val="0"/>
      <w:marTop w:val="0"/>
      <w:marBottom w:val="0"/>
      <w:divBdr>
        <w:top w:val="none" w:sz="0" w:space="0" w:color="auto"/>
        <w:left w:val="none" w:sz="0" w:space="0" w:color="auto"/>
        <w:bottom w:val="none" w:sz="0" w:space="0" w:color="auto"/>
        <w:right w:val="none" w:sz="0" w:space="0" w:color="auto"/>
      </w:divBdr>
    </w:div>
    <w:div w:id="213123468">
      <w:marLeft w:val="0"/>
      <w:marRight w:val="0"/>
      <w:marTop w:val="0"/>
      <w:marBottom w:val="0"/>
      <w:divBdr>
        <w:top w:val="none" w:sz="0" w:space="0" w:color="auto"/>
        <w:left w:val="none" w:sz="0" w:space="0" w:color="auto"/>
        <w:bottom w:val="none" w:sz="0" w:space="0" w:color="auto"/>
        <w:right w:val="none" w:sz="0" w:space="0" w:color="auto"/>
      </w:divBdr>
    </w:div>
    <w:div w:id="213123469">
      <w:marLeft w:val="0"/>
      <w:marRight w:val="0"/>
      <w:marTop w:val="0"/>
      <w:marBottom w:val="0"/>
      <w:divBdr>
        <w:top w:val="none" w:sz="0" w:space="0" w:color="auto"/>
        <w:left w:val="none" w:sz="0" w:space="0" w:color="auto"/>
        <w:bottom w:val="none" w:sz="0" w:space="0" w:color="auto"/>
        <w:right w:val="none" w:sz="0" w:space="0" w:color="auto"/>
      </w:divBdr>
    </w:div>
    <w:div w:id="213123470">
      <w:marLeft w:val="0"/>
      <w:marRight w:val="0"/>
      <w:marTop w:val="0"/>
      <w:marBottom w:val="0"/>
      <w:divBdr>
        <w:top w:val="none" w:sz="0" w:space="0" w:color="auto"/>
        <w:left w:val="none" w:sz="0" w:space="0" w:color="auto"/>
        <w:bottom w:val="none" w:sz="0" w:space="0" w:color="auto"/>
        <w:right w:val="none" w:sz="0" w:space="0" w:color="auto"/>
      </w:divBdr>
    </w:div>
    <w:div w:id="213123471">
      <w:marLeft w:val="0"/>
      <w:marRight w:val="0"/>
      <w:marTop w:val="0"/>
      <w:marBottom w:val="0"/>
      <w:divBdr>
        <w:top w:val="none" w:sz="0" w:space="0" w:color="auto"/>
        <w:left w:val="none" w:sz="0" w:space="0" w:color="auto"/>
        <w:bottom w:val="none" w:sz="0" w:space="0" w:color="auto"/>
        <w:right w:val="none" w:sz="0" w:space="0" w:color="auto"/>
      </w:divBdr>
    </w:div>
    <w:div w:id="213123472">
      <w:marLeft w:val="0"/>
      <w:marRight w:val="0"/>
      <w:marTop w:val="0"/>
      <w:marBottom w:val="0"/>
      <w:divBdr>
        <w:top w:val="none" w:sz="0" w:space="0" w:color="auto"/>
        <w:left w:val="none" w:sz="0" w:space="0" w:color="auto"/>
        <w:bottom w:val="none" w:sz="0" w:space="0" w:color="auto"/>
        <w:right w:val="none" w:sz="0" w:space="0" w:color="auto"/>
      </w:divBdr>
    </w:div>
    <w:div w:id="213123473">
      <w:marLeft w:val="0"/>
      <w:marRight w:val="0"/>
      <w:marTop w:val="0"/>
      <w:marBottom w:val="0"/>
      <w:divBdr>
        <w:top w:val="none" w:sz="0" w:space="0" w:color="auto"/>
        <w:left w:val="none" w:sz="0" w:space="0" w:color="auto"/>
        <w:bottom w:val="none" w:sz="0" w:space="0" w:color="auto"/>
        <w:right w:val="none" w:sz="0" w:space="0" w:color="auto"/>
      </w:divBdr>
    </w:div>
    <w:div w:id="213123474">
      <w:marLeft w:val="0"/>
      <w:marRight w:val="0"/>
      <w:marTop w:val="0"/>
      <w:marBottom w:val="0"/>
      <w:divBdr>
        <w:top w:val="none" w:sz="0" w:space="0" w:color="auto"/>
        <w:left w:val="none" w:sz="0" w:space="0" w:color="auto"/>
        <w:bottom w:val="none" w:sz="0" w:space="0" w:color="auto"/>
        <w:right w:val="none" w:sz="0" w:space="0" w:color="auto"/>
      </w:divBdr>
    </w:div>
    <w:div w:id="213123475">
      <w:marLeft w:val="0"/>
      <w:marRight w:val="0"/>
      <w:marTop w:val="0"/>
      <w:marBottom w:val="0"/>
      <w:divBdr>
        <w:top w:val="none" w:sz="0" w:space="0" w:color="auto"/>
        <w:left w:val="none" w:sz="0" w:space="0" w:color="auto"/>
        <w:bottom w:val="none" w:sz="0" w:space="0" w:color="auto"/>
        <w:right w:val="none" w:sz="0" w:space="0" w:color="auto"/>
      </w:divBdr>
    </w:div>
    <w:div w:id="213123476">
      <w:marLeft w:val="0"/>
      <w:marRight w:val="0"/>
      <w:marTop w:val="0"/>
      <w:marBottom w:val="0"/>
      <w:divBdr>
        <w:top w:val="none" w:sz="0" w:space="0" w:color="auto"/>
        <w:left w:val="none" w:sz="0" w:space="0" w:color="auto"/>
        <w:bottom w:val="none" w:sz="0" w:space="0" w:color="auto"/>
        <w:right w:val="none" w:sz="0" w:space="0" w:color="auto"/>
      </w:divBdr>
    </w:div>
    <w:div w:id="213123477">
      <w:marLeft w:val="0"/>
      <w:marRight w:val="0"/>
      <w:marTop w:val="0"/>
      <w:marBottom w:val="0"/>
      <w:divBdr>
        <w:top w:val="none" w:sz="0" w:space="0" w:color="auto"/>
        <w:left w:val="none" w:sz="0" w:space="0" w:color="auto"/>
        <w:bottom w:val="none" w:sz="0" w:space="0" w:color="auto"/>
        <w:right w:val="none" w:sz="0" w:space="0" w:color="auto"/>
      </w:divBdr>
    </w:div>
    <w:div w:id="213123478">
      <w:marLeft w:val="0"/>
      <w:marRight w:val="0"/>
      <w:marTop w:val="0"/>
      <w:marBottom w:val="0"/>
      <w:divBdr>
        <w:top w:val="none" w:sz="0" w:space="0" w:color="auto"/>
        <w:left w:val="none" w:sz="0" w:space="0" w:color="auto"/>
        <w:bottom w:val="none" w:sz="0" w:space="0" w:color="auto"/>
        <w:right w:val="none" w:sz="0" w:space="0" w:color="auto"/>
      </w:divBdr>
    </w:div>
    <w:div w:id="213123479">
      <w:marLeft w:val="0"/>
      <w:marRight w:val="0"/>
      <w:marTop w:val="0"/>
      <w:marBottom w:val="0"/>
      <w:divBdr>
        <w:top w:val="none" w:sz="0" w:space="0" w:color="auto"/>
        <w:left w:val="none" w:sz="0" w:space="0" w:color="auto"/>
        <w:bottom w:val="none" w:sz="0" w:space="0" w:color="auto"/>
        <w:right w:val="none" w:sz="0" w:space="0" w:color="auto"/>
      </w:divBdr>
    </w:div>
    <w:div w:id="213123480">
      <w:marLeft w:val="0"/>
      <w:marRight w:val="0"/>
      <w:marTop w:val="0"/>
      <w:marBottom w:val="0"/>
      <w:divBdr>
        <w:top w:val="none" w:sz="0" w:space="0" w:color="auto"/>
        <w:left w:val="none" w:sz="0" w:space="0" w:color="auto"/>
        <w:bottom w:val="none" w:sz="0" w:space="0" w:color="auto"/>
        <w:right w:val="none" w:sz="0" w:space="0" w:color="auto"/>
      </w:divBdr>
    </w:div>
    <w:div w:id="213123481">
      <w:marLeft w:val="0"/>
      <w:marRight w:val="0"/>
      <w:marTop w:val="0"/>
      <w:marBottom w:val="0"/>
      <w:divBdr>
        <w:top w:val="none" w:sz="0" w:space="0" w:color="auto"/>
        <w:left w:val="none" w:sz="0" w:space="0" w:color="auto"/>
        <w:bottom w:val="none" w:sz="0" w:space="0" w:color="auto"/>
        <w:right w:val="none" w:sz="0" w:space="0" w:color="auto"/>
      </w:divBdr>
    </w:div>
    <w:div w:id="213123482">
      <w:marLeft w:val="0"/>
      <w:marRight w:val="0"/>
      <w:marTop w:val="0"/>
      <w:marBottom w:val="0"/>
      <w:divBdr>
        <w:top w:val="none" w:sz="0" w:space="0" w:color="auto"/>
        <w:left w:val="none" w:sz="0" w:space="0" w:color="auto"/>
        <w:bottom w:val="none" w:sz="0" w:space="0" w:color="auto"/>
        <w:right w:val="none" w:sz="0" w:space="0" w:color="auto"/>
      </w:divBdr>
    </w:div>
    <w:div w:id="213123483">
      <w:marLeft w:val="0"/>
      <w:marRight w:val="0"/>
      <w:marTop w:val="0"/>
      <w:marBottom w:val="0"/>
      <w:divBdr>
        <w:top w:val="none" w:sz="0" w:space="0" w:color="auto"/>
        <w:left w:val="none" w:sz="0" w:space="0" w:color="auto"/>
        <w:bottom w:val="none" w:sz="0" w:space="0" w:color="auto"/>
        <w:right w:val="none" w:sz="0" w:space="0" w:color="auto"/>
      </w:divBdr>
    </w:div>
    <w:div w:id="213123484">
      <w:marLeft w:val="0"/>
      <w:marRight w:val="0"/>
      <w:marTop w:val="0"/>
      <w:marBottom w:val="0"/>
      <w:divBdr>
        <w:top w:val="none" w:sz="0" w:space="0" w:color="auto"/>
        <w:left w:val="none" w:sz="0" w:space="0" w:color="auto"/>
        <w:bottom w:val="none" w:sz="0" w:space="0" w:color="auto"/>
        <w:right w:val="none" w:sz="0" w:space="0" w:color="auto"/>
      </w:divBdr>
    </w:div>
    <w:div w:id="213123485">
      <w:marLeft w:val="0"/>
      <w:marRight w:val="0"/>
      <w:marTop w:val="0"/>
      <w:marBottom w:val="0"/>
      <w:divBdr>
        <w:top w:val="none" w:sz="0" w:space="0" w:color="auto"/>
        <w:left w:val="none" w:sz="0" w:space="0" w:color="auto"/>
        <w:bottom w:val="none" w:sz="0" w:space="0" w:color="auto"/>
        <w:right w:val="none" w:sz="0" w:space="0" w:color="auto"/>
      </w:divBdr>
    </w:div>
    <w:div w:id="213123486">
      <w:marLeft w:val="0"/>
      <w:marRight w:val="0"/>
      <w:marTop w:val="0"/>
      <w:marBottom w:val="0"/>
      <w:divBdr>
        <w:top w:val="none" w:sz="0" w:space="0" w:color="auto"/>
        <w:left w:val="none" w:sz="0" w:space="0" w:color="auto"/>
        <w:bottom w:val="none" w:sz="0" w:space="0" w:color="auto"/>
        <w:right w:val="none" w:sz="0" w:space="0" w:color="auto"/>
      </w:divBdr>
    </w:div>
    <w:div w:id="213123487">
      <w:marLeft w:val="0"/>
      <w:marRight w:val="0"/>
      <w:marTop w:val="0"/>
      <w:marBottom w:val="0"/>
      <w:divBdr>
        <w:top w:val="none" w:sz="0" w:space="0" w:color="auto"/>
        <w:left w:val="none" w:sz="0" w:space="0" w:color="auto"/>
        <w:bottom w:val="none" w:sz="0" w:space="0" w:color="auto"/>
        <w:right w:val="none" w:sz="0" w:space="0" w:color="auto"/>
      </w:divBdr>
    </w:div>
    <w:div w:id="213123488">
      <w:marLeft w:val="0"/>
      <w:marRight w:val="0"/>
      <w:marTop w:val="0"/>
      <w:marBottom w:val="0"/>
      <w:divBdr>
        <w:top w:val="none" w:sz="0" w:space="0" w:color="auto"/>
        <w:left w:val="none" w:sz="0" w:space="0" w:color="auto"/>
        <w:bottom w:val="none" w:sz="0" w:space="0" w:color="auto"/>
        <w:right w:val="none" w:sz="0" w:space="0" w:color="auto"/>
      </w:divBdr>
    </w:div>
    <w:div w:id="213123489">
      <w:marLeft w:val="0"/>
      <w:marRight w:val="0"/>
      <w:marTop w:val="0"/>
      <w:marBottom w:val="0"/>
      <w:divBdr>
        <w:top w:val="none" w:sz="0" w:space="0" w:color="auto"/>
        <w:left w:val="none" w:sz="0" w:space="0" w:color="auto"/>
        <w:bottom w:val="none" w:sz="0" w:space="0" w:color="auto"/>
        <w:right w:val="none" w:sz="0" w:space="0" w:color="auto"/>
      </w:divBdr>
    </w:div>
    <w:div w:id="213123490">
      <w:marLeft w:val="0"/>
      <w:marRight w:val="0"/>
      <w:marTop w:val="0"/>
      <w:marBottom w:val="0"/>
      <w:divBdr>
        <w:top w:val="none" w:sz="0" w:space="0" w:color="auto"/>
        <w:left w:val="none" w:sz="0" w:space="0" w:color="auto"/>
        <w:bottom w:val="none" w:sz="0" w:space="0" w:color="auto"/>
        <w:right w:val="none" w:sz="0" w:space="0" w:color="auto"/>
      </w:divBdr>
    </w:div>
    <w:div w:id="213123491">
      <w:marLeft w:val="0"/>
      <w:marRight w:val="0"/>
      <w:marTop w:val="0"/>
      <w:marBottom w:val="0"/>
      <w:divBdr>
        <w:top w:val="none" w:sz="0" w:space="0" w:color="auto"/>
        <w:left w:val="none" w:sz="0" w:space="0" w:color="auto"/>
        <w:bottom w:val="none" w:sz="0" w:space="0" w:color="auto"/>
        <w:right w:val="none" w:sz="0" w:space="0" w:color="auto"/>
      </w:divBdr>
    </w:div>
    <w:div w:id="213123492">
      <w:marLeft w:val="0"/>
      <w:marRight w:val="0"/>
      <w:marTop w:val="0"/>
      <w:marBottom w:val="0"/>
      <w:divBdr>
        <w:top w:val="none" w:sz="0" w:space="0" w:color="auto"/>
        <w:left w:val="none" w:sz="0" w:space="0" w:color="auto"/>
        <w:bottom w:val="none" w:sz="0" w:space="0" w:color="auto"/>
        <w:right w:val="none" w:sz="0" w:space="0" w:color="auto"/>
      </w:divBdr>
    </w:div>
    <w:div w:id="213123493">
      <w:marLeft w:val="0"/>
      <w:marRight w:val="0"/>
      <w:marTop w:val="0"/>
      <w:marBottom w:val="0"/>
      <w:divBdr>
        <w:top w:val="none" w:sz="0" w:space="0" w:color="auto"/>
        <w:left w:val="none" w:sz="0" w:space="0" w:color="auto"/>
        <w:bottom w:val="none" w:sz="0" w:space="0" w:color="auto"/>
        <w:right w:val="none" w:sz="0" w:space="0" w:color="auto"/>
      </w:divBdr>
    </w:div>
    <w:div w:id="213123494">
      <w:marLeft w:val="0"/>
      <w:marRight w:val="0"/>
      <w:marTop w:val="0"/>
      <w:marBottom w:val="0"/>
      <w:divBdr>
        <w:top w:val="none" w:sz="0" w:space="0" w:color="auto"/>
        <w:left w:val="none" w:sz="0" w:space="0" w:color="auto"/>
        <w:bottom w:val="none" w:sz="0" w:space="0" w:color="auto"/>
        <w:right w:val="none" w:sz="0" w:space="0" w:color="auto"/>
      </w:divBdr>
    </w:div>
    <w:div w:id="213123495">
      <w:marLeft w:val="0"/>
      <w:marRight w:val="0"/>
      <w:marTop w:val="0"/>
      <w:marBottom w:val="0"/>
      <w:divBdr>
        <w:top w:val="none" w:sz="0" w:space="0" w:color="auto"/>
        <w:left w:val="none" w:sz="0" w:space="0" w:color="auto"/>
        <w:bottom w:val="none" w:sz="0" w:space="0" w:color="auto"/>
        <w:right w:val="none" w:sz="0" w:space="0" w:color="auto"/>
      </w:divBdr>
    </w:div>
    <w:div w:id="213123496">
      <w:marLeft w:val="0"/>
      <w:marRight w:val="0"/>
      <w:marTop w:val="0"/>
      <w:marBottom w:val="0"/>
      <w:divBdr>
        <w:top w:val="none" w:sz="0" w:space="0" w:color="auto"/>
        <w:left w:val="none" w:sz="0" w:space="0" w:color="auto"/>
        <w:bottom w:val="none" w:sz="0" w:space="0" w:color="auto"/>
        <w:right w:val="none" w:sz="0" w:space="0" w:color="auto"/>
      </w:divBdr>
    </w:div>
    <w:div w:id="213123497">
      <w:marLeft w:val="0"/>
      <w:marRight w:val="0"/>
      <w:marTop w:val="0"/>
      <w:marBottom w:val="0"/>
      <w:divBdr>
        <w:top w:val="none" w:sz="0" w:space="0" w:color="auto"/>
        <w:left w:val="none" w:sz="0" w:space="0" w:color="auto"/>
        <w:bottom w:val="none" w:sz="0" w:space="0" w:color="auto"/>
        <w:right w:val="none" w:sz="0" w:space="0" w:color="auto"/>
      </w:divBdr>
    </w:div>
    <w:div w:id="213123498">
      <w:marLeft w:val="0"/>
      <w:marRight w:val="0"/>
      <w:marTop w:val="0"/>
      <w:marBottom w:val="0"/>
      <w:divBdr>
        <w:top w:val="none" w:sz="0" w:space="0" w:color="auto"/>
        <w:left w:val="none" w:sz="0" w:space="0" w:color="auto"/>
        <w:bottom w:val="none" w:sz="0" w:space="0" w:color="auto"/>
        <w:right w:val="none" w:sz="0" w:space="0" w:color="auto"/>
      </w:divBdr>
    </w:div>
    <w:div w:id="213123499">
      <w:marLeft w:val="0"/>
      <w:marRight w:val="0"/>
      <w:marTop w:val="0"/>
      <w:marBottom w:val="0"/>
      <w:divBdr>
        <w:top w:val="none" w:sz="0" w:space="0" w:color="auto"/>
        <w:left w:val="none" w:sz="0" w:space="0" w:color="auto"/>
        <w:bottom w:val="none" w:sz="0" w:space="0" w:color="auto"/>
        <w:right w:val="none" w:sz="0" w:space="0" w:color="auto"/>
      </w:divBdr>
    </w:div>
    <w:div w:id="213123500">
      <w:marLeft w:val="0"/>
      <w:marRight w:val="0"/>
      <w:marTop w:val="0"/>
      <w:marBottom w:val="0"/>
      <w:divBdr>
        <w:top w:val="none" w:sz="0" w:space="0" w:color="auto"/>
        <w:left w:val="none" w:sz="0" w:space="0" w:color="auto"/>
        <w:bottom w:val="none" w:sz="0" w:space="0" w:color="auto"/>
        <w:right w:val="none" w:sz="0" w:space="0" w:color="auto"/>
      </w:divBdr>
    </w:div>
    <w:div w:id="213123501">
      <w:marLeft w:val="0"/>
      <w:marRight w:val="0"/>
      <w:marTop w:val="0"/>
      <w:marBottom w:val="0"/>
      <w:divBdr>
        <w:top w:val="none" w:sz="0" w:space="0" w:color="auto"/>
        <w:left w:val="none" w:sz="0" w:space="0" w:color="auto"/>
        <w:bottom w:val="none" w:sz="0" w:space="0" w:color="auto"/>
        <w:right w:val="none" w:sz="0" w:space="0" w:color="auto"/>
      </w:divBdr>
    </w:div>
    <w:div w:id="213123502">
      <w:marLeft w:val="0"/>
      <w:marRight w:val="0"/>
      <w:marTop w:val="0"/>
      <w:marBottom w:val="0"/>
      <w:divBdr>
        <w:top w:val="none" w:sz="0" w:space="0" w:color="auto"/>
        <w:left w:val="none" w:sz="0" w:space="0" w:color="auto"/>
        <w:bottom w:val="none" w:sz="0" w:space="0" w:color="auto"/>
        <w:right w:val="none" w:sz="0" w:space="0" w:color="auto"/>
      </w:divBdr>
    </w:div>
    <w:div w:id="213123503">
      <w:marLeft w:val="0"/>
      <w:marRight w:val="0"/>
      <w:marTop w:val="0"/>
      <w:marBottom w:val="0"/>
      <w:divBdr>
        <w:top w:val="none" w:sz="0" w:space="0" w:color="auto"/>
        <w:left w:val="none" w:sz="0" w:space="0" w:color="auto"/>
        <w:bottom w:val="none" w:sz="0" w:space="0" w:color="auto"/>
        <w:right w:val="none" w:sz="0" w:space="0" w:color="auto"/>
      </w:divBdr>
    </w:div>
    <w:div w:id="213123504">
      <w:marLeft w:val="0"/>
      <w:marRight w:val="0"/>
      <w:marTop w:val="0"/>
      <w:marBottom w:val="0"/>
      <w:divBdr>
        <w:top w:val="none" w:sz="0" w:space="0" w:color="auto"/>
        <w:left w:val="none" w:sz="0" w:space="0" w:color="auto"/>
        <w:bottom w:val="none" w:sz="0" w:space="0" w:color="auto"/>
        <w:right w:val="none" w:sz="0" w:space="0" w:color="auto"/>
      </w:divBdr>
    </w:div>
    <w:div w:id="213123505">
      <w:marLeft w:val="0"/>
      <w:marRight w:val="0"/>
      <w:marTop w:val="0"/>
      <w:marBottom w:val="0"/>
      <w:divBdr>
        <w:top w:val="none" w:sz="0" w:space="0" w:color="auto"/>
        <w:left w:val="none" w:sz="0" w:space="0" w:color="auto"/>
        <w:bottom w:val="none" w:sz="0" w:space="0" w:color="auto"/>
        <w:right w:val="none" w:sz="0" w:space="0" w:color="auto"/>
      </w:divBdr>
    </w:div>
    <w:div w:id="213123506">
      <w:marLeft w:val="0"/>
      <w:marRight w:val="0"/>
      <w:marTop w:val="0"/>
      <w:marBottom w:val="0"/>
      <w:divBdr>
        <w:top w:val="none" w:sz="0" w:space="0" w:color="auto"/>
        <w:left w:val="none" w:sz="0" w:space="0" w:color="auto"/>
        <w:bottom w:val="none" w:sz="0" w:space="0" w:color="auto"/>
        <w:right w:val="none" w:sz="0" w:space="0" w:color="auto"/>
      </w:divBdr>
    </w:div>
    <w:div w:id="213123507">
      <w:marLeft w:val="0"/>
      <w:marRight w:val="0"/>
      <w:marTop w:val="0"/>
      <w:marBottom w:val="0"/>
      <w:divBdr>
        <w:top w:val="none" w:sz="0" w:space="0" w:color="auto"/>
        <w:left w:val="none" w:sz="0" w:space="0" w:color="auto"/>
        <w:bottom w:val="none" w:sz="0" w:space="0" w:color="auto"/>
        <w:right w:val="none" w:sz="0" w:space="0" w:color="auto"/>
      </w:divBdr>
    </w:div>
    <w:div w:id="213123508">
      <w:marLeft w:val="0"/>
      <w:marRight w:val="0"/>
      <w:marTop w:val="0"/>
      <w:marBottom w:val="0"/>
      <w:divBdr>
        <w:top w:val="none" w:sz="0" w:space="0" w:color="auto"/>
        <w:left w:val="none" w:sz="0" w:space="0" w:color="auto"/>
        <w:bottom w:val="none" w:sz="0" w:space="0" w:color="auto"/>
        <w:right w:val="none" w:sz="0" w:space="0" w:color="auto"/>
      </w:divBdr>
    </w:div>
    <w:div w:id="213123509">
      <w:marLeft w:val="0"/>
      <w:marRight w:val="0"/>
      <w:marTop w:val="0"/>
      <w:marBottom w:val="0"/>
      <w:divBdr>
        <w:top w:val="none" w:sz="0" w:space="0" w:color="auto"/>
        <w:left w:val="none" w:sz="0" w:space="0" w:color="auto"/>
        <w:bottom w:val="none" w:sz="0" w:space="0" w:color="auto"/>
        <w:right w:val="none" w:sz="0" w:space="0" w:color="auto"/>
      </w:divBdr>
    </w:div>
    <w:div w:id="213123510">
      <w:marLeft w:val="0"/>
      <w:marRight w:val="0"/>
      <w:marTop w:val="0"/>
      <w:marBottom w:val="0"/>
      <w:divBdr>
        <w:top w:val="none" w:sz="0" w:space="0" w:color="auto"/>
        <w:left w:val="none" w:sz="0" w:space="0" w:color="auto"/>
        <w:bottom w:val="none" w:sz="0" w:space="0" w:color="auto"/>
        <w:right w:val="none" w:sz="0" w:space="0" w:color="auto"/>
      </w:divBdr>
    </w:div>
    <w:div w:id="213123511">
      <w:marLeft w:val="0"/>
      <w:marRight w:val="0"/>
      <w:marTop w:val="0"/>
      <w:marBottom w:val="0"/>
      <w:divBdr>
        <w:top w:val="none" w:sz="0" w:space="0" w:color="auto"/>
        <w:left w:val="none" w:sz="0" w:space="0" w:color="auto"/>
        <w:bottom w:val="none" w:sz="0" w:space="0" w:color="auto"/>
        <w:right w:val="none" w:sz="0" w:space="0" w:color="auto"/>
      </w:divBdr>
    </w:div>
    <w:div w:id="213123512">
      <w:marLeft w:val="0"/>
      <w:marRight w:val="0"/>
      <w:marTop w:val="0"/>
      <w:marBottom w:val="0"/>
      <w:divBdr>
        <w:top w:val="none" w:sz="0" w:space="0" w:color="auto"/>
        <w:left w:val="none" w:sz="0" w:space="0" w:color="auto"/>
        <w:bottom w:val="none" w:sz="0" w:space="0" w:color="auto"/>
        <w:right w:val="none" w:sz="0" w:space="0" w:color="auto"/>
      </w:divBdr>
    </w:div>
    <w:div w:id="213123513">
      <w:marLeft w:val="0"/>
      <w:marRight w:val="0"/>
      <w:marTop w:val="0"/>
      <w:marBottom w:val="0"/>
      <w:divBdr>
        <w:top w:val="none" w:sz="0" w:space="0" w:color="auto"/>
        <w:left w:val="none" w:sz="0" w:space="0" w:color="auto"/>
        <w:bottom w:val="none" w:sz="0" w:space="0" w:color="auto"/>
        <w:right w:val="none" w:sz="0" w:space="0" w:color="auto"/>
      </w:divBdr>
    </w:div>
    <w:div w:id="213123514">
      <w:marLeft w:val="0"/>
      <w:marRight w:val="0"/>
      <w:marTop w:val="0"/>
      <w:marBottom w:val="0"/>
      <w:divBdr>
        <w:top w:val="none" w:sz="0" w:space="0" w:color="auto"/>
        <w:left w:val="none" w:sz="0" w:space="0" w:color="auto"/>
        <w:bottom w:val="none" w:sz="0" w:space="0" w:color="auto"/>
        <w:right w:val="none" w:sz="0" w:space="0" w:color="auto"/>
      </w:divBdr>
    </w:div>
    <w:div w:id="213123515">
      <w:marLeft w:val="0"/>
      <w:marRight w:val="0"/>
      <w:marTop w:val="0"/>
      <w:marBottom w:val="0"/>
      <w:divBdr>
        <w:top w:val="none" w:sz="0" w:space="0" w:color="auto"/>
        <w:left w:val="none" w:sz="0" w:space="0" w:color="auto"/>
        <w:bottom w:val="none" w:sz="0" w:space="0" w:color="auto"/>
        <w:right w:val="none" w:sz="0" w:space="0" w:color="auto"/>
      </w:divBdr>
    </w:div>
    <w:div w:id="213123516">
      <w:marLeft w:val="0"/>
      <w:marRight w:val="0"/>
      <w:marTop w:val="0"/>
      <w:marBottom w:val="0"/>
      <w:divBdr>
        <w:top w:val="none" w:sz="0" w:space="0" w:color="auto"/>
        <w:left w:val="none" w:sz="0" w:space="0" w:color="auto"/>
        <w:bottom w:val="none" w:sz="0" w:space="0" w:color="auto"/>
        <w:right w:val="none" w:sz="0" w:space="0" w:color="auto"/>
      </w:divBdr>
    </w:div>
    <w:div w:id="213123517">
      <w:marLeft w:val="0"/>
      <w:marRight w:val="0"/>
      <w:marTop w:val="0"/>
      <w:marBottom w:val="0"/>
      <w:divBdr>
        <w:top w:val="none" w:sz="0" w:space="0" w:color="auto"/>
        <w:left w:val="none" w:sz="0" w:space="0" w:color="auto"/>
        <w:bottom w:val="none" w:sz="0" w:space="0" w:color="auto"/>
        <w:right w:val="none" w:sz="0" w:space="0" w:color="auto"/>
      </w:divBdr>
    </w:div>
    <w:div w:id="213123518">
      <w:marLeft w:val="0"/>
      <w:marRight w:val="0"/>
      <w:marTop w:val="0"/>
      <w:marBottom w:val="0"/>
      <w:divBdr>
        <w:top w:val="none" w:sz="0" w:space="0" w:color="auto"/>
        <w:left w:val="none" w:sz="0" w:space="0" w:color="auto"/>
        <w:bottom w:val="none" w:sz="0" w:space="0" w:color="auto"/>
        <w:right w:val="none" w:sz="0" w:space="0" w:color="auto"/>
      </w:divBdr>
    </w:div>
    <w:div w:id="213123519">
      <w:marLeft w:val="0"/>
      <w:marRight w:val="0"/>
      <w:marTop w:val="0"/>
      <w:marBottom w:val="0"/>
      <w:divBdr>
        <w:top w:val="none" w:sz="0" w:space="0" w:color="auto"/>
        <w:left w:val="none" w:sz="0" w:space="0" w:color="auto"/>
        <w:bottom w:val="none" w:sz="0" w:space="0" w:color="auto"/>
        <w:right w:val="none" w:sz="0" w:space="0" w:color="auto"/>
      </w:divBdr>
    </w:div>
    <w:div w:id="213123520">
      <w:marLeft w:val="0"/>
      <w:marRight w:val="0"/>
      <w:marTop w:val="0"/>
      <w:marBottom w:val="0"/>
      <w:divBdr>
        <w:top w:val="none" w:sz="0" w:space="0" w:color="auto"/>
        <w:left w:val="none" w:sz="0" w:space="0" w:color="auto"/>
        <w:bottom w:val="none" w:sz="0" w:space="0" w:color="auto"/>
        <w:right w:val="none" w:sz="0" w:space="0" w:color="auto"/>
      </w:divBdr>
    </w:div>
    <w:div w:id="213123521">
      <w:marLeft w:val="0"/>
      <w:marRight w:val="0"/>
      <w:marTop w:val="0"/>
      <w:marBottom w:val="0"/>
      <w:divBdr>
        <w:top w:val="none" w:sz="0" w:space="0" w:color="auto"/>
        <w:left w:val="none" w:sz="0" w:space="0" w:color="auto"/>
        <w:bottom w:val="none" w:sz="0" w:space="0" w:color="auto"/>
        <w:right w:val="none" w:sz="0" w:space="0" w:color="auto"/>
      </w:divBdr>
    </w:div>
    <w:div w:id="213123522">
      <w:marLeft w:val="0"/>
      <w:marRight w:val="0"/>
      <w:marTop w:val="0"/>
      <w:marBottom w:val="0"/>
      <w:divBdr>
        <w:top w:val="none" w:sz="0" w:space="0" w:color="auto"/>
        <w:left w:val="none" w:sz="0" w:space="0" w:color="auto"/>
        <w:bottom w:val="none" w:sz="0" w:space="0" w:color="auto"/>
        <w:right w:val="none" w:sz="0" w:space="0" w:color="auto"/>
      </w:divBdr>
    </w:div>
    <w:div w:id="213123523">
      <w:marLeft w:val="0"/>
      <w:marRight w:val="0"/>
      <w:marTop w:val="0"/>
      <w:marBottom w:val="0"/>
      <w:divBdr>
        <w:top w:val="none" w:sz="0" w:space="0" w:color="auto"/>
        <w:left w:val="none" w:sz="0" w:space="0" w:color="auto"/>
        <w:bottom w:val="none" w:sz="0" w:space="0" w:color="auto"/>
        <w:right w:val="none" w:sz="0" w:space="0" w:color="auto"/>
      </w:divBdr>
    </w:div>
    <w:div w:id="213123525">
      <w:marLeft w:val="0"/>
      <w:marRight w:val="0"/>
      <w:marTop w:val="0"/>
      <w:marBottom w:val="0"/>
      <w:divBdr>
        <w:top w:val="none" w:sz="0" w:space="0" w:color="auto"/>
        <w:left w:val="none" w:sz="0" w:space="0" w:color="auto"/>
        <w:bottom w:val="none" w:sz="0" w:space="0" w:color="auto"/>
        <w:right w:val="none" w:sz="0" w:space="0" w:color="auto"/>
      </w:divBdr>
    </w:div>
    <w:div w:id="213123526">
      <w:marLeft w:val="0"/>
      <w:marRight w:val="0"/>
      <w:marTop w:val="0"/>
      <w:marBottom w:val="0"/>
      <w:divBdr>
        <w:top w:val="none" w:sz="0" w:space="0" w:color="auto"/>
        <w:left w:val="none" w:sz="0" w:space="0" w:color="auto"/>
        <w:bottom w:val="none" w:sz="0" w:space="0" w:color="auto"/>
        <w:right w:val="none" w:sz="0" w:space="0" w:color="auto"/>
      </w:divBdr>
    </w:div>
    <w:div w:id="213123527">
      <w:marLeft w:val="0"/>
      <w:marRight w:val="0"/>
      <w:marTop w:val="0"/>
      <w:marBottom w:val="0"/>
      <w:divBdr>
        <w:top w:val="none" w:sz="0" w:space="0" w:color="auto"/>
        <w:left w:val="none" w:sz="0" w:space="0" w:color="auto"/>
        <w:bottom w:val="none" w:sz="0" w:space="0" w:color="auto"/>
        <w:right w:val="none" w:sz="0" w:space="0" w:color="auto"/>
      </w:divBdr>
    </w:div>
    <w:div w:id="213123528">
      <w:marLeft w:val="0"/>
      <w:marRight w:val="0"/>
      <w:marTop w:val="0"/>
      <w:marBottom w:val="0"/>
      <w:divBdr>
        <w:top w:val="none" w:sz="0" w:space="0" w:color="auto"/>
        <w:left w:val="none" w:sz="0" w:space="0" w:color="auto"/>
        <w:bottom w:val="none" w:sz="0" w:space="0" w:color="auto"/>
        <w:right w:val="none" w:sz="0" w:space="0" w:color="auto"/>
      </w:divBdr>
    </w:div>
    <w:div w:id="213123529">
      <w:marLeft w:val="0"/>
      <w:marRight w:val="0"/>
      <w:marTop w:val="0"/>
      <w:marBottom w:val="0"/>
      <w:divBdr>
        <w:top w:val="none" w:sz="0" w:space="0" w:color="auto"/>
        <w:left w:val="none" w:sz="0" w:space="0" w:color="auto"/>
        <w:bottom w:val="none" w:sz="0" w:space="0" w:color="auto"/>
        <w:right w:val="none" w:sz="0" w:space="0" w:color="auto"/>
      </w:divBdr>
    </w:div>
    <w:div w:id="213123530">
      <w:marLeft w:val="0"/>
      <w:marRight w:val="0"/>
      <w:marTop w:val="0"/>
      <w:marBottom w:val="0"/>
      <w:divBdr>
        <w:top w:val="none" w:sz="0" w:space="0" w:color="auto"/>
        <w:left w:val="none" w:sz="0" w:space="0" w:color="auto"/>
        <w:bottom w:val="none" w:sz="0" w:space="0" w:color="auto"/>
        <w:right w:val="none" w:sz="0" w:space="0" w:color="auto"/>
      </w:divBdr>
    </w:div>
    <w:div w:id="213123531">
      <w:marLeft w:val="0"/>
      <w:marRight w:val="0"/>
      <w:marTop w:val="0"/>
      <w:marBottom w:val="0"/>
      <w:divBdr>
        <w:top w:val="none" w:sz="0" w:space="0" w:color="auto"/>
        <w:left w:val="none" w:sz="0" w:space="0" w:color="auto"/>
        <w:bottom w:val="none" w:sz="0" w:space="0" w:color="auto"/>
        <w:right w:val="none" w:sz="0" w:space="0" w:color="auto"/>
      </w:divBdr>
    </w:div>
    <w:div w:id="213123532">
      <w:marLeft w:val="0"/>
      <w:marRight w:val="0"/>
      <w:marTop w:val="0"/>
      <w:marBottom w:val="0"/>
      <w:divBdr>
        <w:top w:val="none" w:sz="0" w:space="0" w:color="auto"/>
        <w:left w:val="none" w:sz="0" w:space="0" w:color="auto"/>
        <w:bottom w:val="none" w:sz="0" w:space="0" w:color="auto"/>
        <w:right w:val="none" w:sz="0" w:space="0" w:color="auto"/>
      </w:divBdr>
    </w:div>
    <w:div w:id="213123533">
      <w:marLeft w:val="0"/>
      <w:marRight w:val="0"/>
      <w:marTop w:val="0"/>
      <w:marBottom w:val="0"/>
      <w:divBdr>
        <w:top w:val="none" w:sz="0" w:space="0" w:color="auto"/>
        <w:left w:val="none" w:sz="0" w:space="0" w:color="auto"/>
        <w:bottom w:val="none" w:sz="0" w:space="0" w:color="auto"/>
        <w:right w:val="none" w:sz="0" w:space="0" w:color="auto"/>
      </w:divBdr>
    </w:div>
    <w:div w:id="213123534">
      <w:marLeft w:val="0"/>
      <w:marRight w:val="0"/>
      <w:marTop w:val="0"/>
      <w:marBottom w:val="0"/>
      <w:divBdr>
        <w:top w:val="none" w:sz="0" w:space="0" w:color="auto"/>
        <w:left w:val="none" w:sz="0" w:space="0" w:color="auto"/>
        <w:bottom w:val="none" w:sz="0" w:space="0" w:color="auto"/>
        <w:right w:val="none" w:sz="0" w:space="0" w:color="auto"/>
      </w:divBdr>
    </w:div>
    <w:div w:id="213123535">
      <w:marLeft w:val="0"/>
      <w:marRight w:val="0"/>
      <w:marTop w:val="0"/>
      <w:marBottom w:val="0"/>
      <w:divBdr>
        <w:top w:val="none" w:sz="0" w:space="0" w:color="auto"/>
        <w:left w:val="none" w:sz="0" w:space="0" w:color="auto"/>
        <w:bottom w:val="none" w:sz="0" w:space="0" w:color="auto"/>
        <w:right w:val="none" w:sz="0" w:space="0" w:color="auto"/>
      </w:divBdr>
    </w:div>
    <w:div w:id="213123537">
      <w:marLeft w:val="0"/>
      <w:marRight w:val="0"/>
      <w:marTop w:val="0"/>
      <w:marBottom w:val="0"/>
      <w:divBdr>
        <w:top w:val="none" w:sz="0" w:space="0" w:color="auto"/>
        <w:left w:val="none" w:sz="0" w:space="0" w:color="auto"/>
        <w:bottom w:val="none" w:sz="0" w:space="0" w:color="auto"/>
        <w:right w:val="none" w:sz="0" w:space="0" w:color="auto"/>
      </w:divBdr>
    </w:div>
    <w:div w:id="213123538">
      <w:marLeft w:val="0"/>
      <w:marRight w:val="0"/>
      <w:marTop w:val="0"/>
      <w:marBottom w:val="0"/>
      <w:divBdr>
        <w:top w:val="none" w:sz="0" w:space="0" w:color="auto"/>
        <w:left w:val="none" w:sz="0" w:space="0" w:color="auto"/>
        <w:bottom w:val="none" w:sz="0" w:space="0" w:color="auto"/>
        <w:right w:val="none" w:sz="0" w:space="0" w:color="auto"/>
      </w:divBdr>
    </w:div>
    <w:div w:id="213123539">
      <w:marLeft w:val="0"/>
      <w:marRight w:val="0"/>
      <w:marTop w:val="0"/>
      <w:marBottom w:val="0"/>
      <w:divBdr>
        <w:top w:val="none" w:sz="0" w:space="0" w:color="auto"/>
        <w:left w:val="none" w:sz="0" w:space="0" w:color="auto"/>
        <w:bottom w:val="none" w:sz="0" w:space="0" w:color="auto"/>
        <w:right w:val="none" w:sz="0" w:space="0" w:color="auto"/>
      </w:divBdr>
    </w:div>
    <w:div w:id="213123540">
      <w:marLeft w:val="0"/>
      <w:marRight w:val="0"/>
      <w:marTop w:val="0"/>
      <w:marBottom w:val="0"/>
      <w:divBdr>
        <w:top w:val="none" w:sz="0" w:space="0" w:color="auto"/>
        <w:left w:val="none" w:sz="0" w:space="0" w:color="auto"/>
        <w:bottom w:val="none" w:sz="0" w:space="0" w:color="auto"/>
        <w:right w:val="none" w:sz="0" w:space="0" w:color="auto"/>
      </w:divBdr>
    </w:div>
    <w:div w:id="213123541">
      <w:marLeft w:val="0"/>
      <w:marRight w:val="0"/>
      <w:marTop w:val="0"/>
      <w:marBottom w:val="0"/>
      <w:divBdr>
        <w:top w:val="none" w:sz="0" w:space="0" w:color="auto"/>
        <w:left w:val="none" w:sz="0" w:space="0" w:color="auto"/>
        <w:bottom w:val="none" w:sz="0" w:space="0" w:color="auto"/>
        <w:right w:val="none" w:sz="0" w:space="0" w:color="auto"/>
      </w:divBdr>
    </w:div>
    <w:div w:id="213123542">
      <w:marLeft w:val="0"/>
      <w:marRight w:val="0"/>
      <w:marTop w:val="0"/>
      <w:marBottom w:val="0"/>
      <w:divBdr>
        <w:top w:val="none" w:sz="0" w:space="0" w:color="auto"/>
        <w:left w:val="none" w:sz="0" w:space="0" w:color="auto"/>
        <w:bottom w:val="none" w:sz="0" w:space="0" w:color="auto"/>
        <w:right w:val="none" w:sz="0" w:space="0" w:color="auto"/>
      </w:divBdr>
    </w:div>
    <w:div w:id="213123543">
      <w:marLeft w:val="0"/>
      <w:marRight w:val="0"/>
      <w:marTop w:val="0"/>
      <w:marBottom w:val="0"/>
      <w:divBdr>
        <w:top w:val="none" w:sz="0" w:space="0" w:color="auto"/>
        <w:left w:val="none" w:sz="0" w:space="0" w:color="auto"/>
        <w:bottom w:val="none" w:sz="0" w:space="0" w:color="auto"/>
        <w:right w:val="none" w:sz="0" w:space="0" w:color="auto"/>
      </w:divBdr>
    </w:div>
    <w:div w:id="213123544">
      <w:marLeft w:val="0"/>
      <w:marRight w:val="0"/>
      <w:marTop w:val="0"/>
      <w:marBottom w:val="0"/>
      <w:divBdr>
        <w:top w:val="none" w:sz="0" w:space="0" w:color="auto"/>
        <w:left w:val="none" w:sz="0" w:space="0" w:color="auto"/>
        <w:bottom w:val="none" w:sz="0" w:space="0" w:color="auto"/>
        <w:right w:val="none" w:sz="0" w:space="0" w:color="auto"/>
      </w:divBdr>
    </w:div>
    <w:div w:id="213123545">
      <w:marLeft w:val="0"/>
      <w:marRight w:val="0"/>
      <w:marTop w:val="0"/>
      <w:marBottom w:val="0"/>
      <w:divBdr>
        <w:top w:val="none" w:sz="0" w:space="0" w:color="auto"/>
        <w:left w:val="none" w:sz="0" w:space="0" w:color="auto"/>
        <w:bottom w:val="none" w:sz="0" w:space="0" w:color="auto"/>
        <w:right w:val="none" w:sz="0" w:space="0" w:color="auto"/>
      </w:divBdr>
    </w:div>
    <w:div w:id="213123546">
      <w:marLeft w:val="0"/>
      <w:marRight w:val="0"/>
      <w:marTop w:val="0"/>
      <w:marBottom w:val="0"/>
      <w:divBdr>
        <w:top w:val="none" w:sz="0" w:space="0" w:color="auto"/>
        <w:left w:val="none" w:sz="0" w:space="0" w:color="auto"/>
        <w:bottom w:val="none" w:sz="0" w:space="0" w:color="auto"/>
        <w:right w:val="none" w:sz="0" w:space="0" w:color="auto"/>
      </w:divBdr>
    </w:div>
    <w:div w:id="213123547">
      <w:marLeft w:val="0"/>
      <w:marRight w:val="0"/>
      <w:marTop w:val="0"/>
      <w:marBottom w:val="0"/>
      <w:divBdr>
        <w:top w:val="none" w:sz="0" w:space="0" w:color="auto"/>
        <w:left w:val="none" w:sz="0" w:space="0" w:color="auto"/>
        <w:bottom w:val="none" w:sz="0" w:space="0" w:color="auto"/>
        <w:right w:val="none" w:sz="0" w:space="0" w:color="auto"/>
      </w:divBdr>
    </w:div>
    <w:div w:id="213123548">
      <w:marLeft w:val="0"/>
      <w:marRight w:val="0"/>
      <w:marTop w:val="0"/>
      <w:marBottom w:val="0"/>
      <w:divBdr>
        <w:top w:val="none" w:sz="0" w:space="0" w:color="auto"/>
        <w:left w:val="none" w:sz="0" w:space="0" w:color="auto"/>
        <w:bottom w:val="none" w:sz="0" w:space="0" w:color="auto"/>
        <w:right w:val="none" w:sz="0" w:space="0" w:color="auto"/>
      </w:divBdr>
    </w:div>
    <w:div w:id="213123549">
      <w:marLeft w:val="0"/>
      <w:marRight w:val="0"/>
      <w:marTop w:val="0"/>
      <w:marBottom w:val="0"/>
      <w:divBdr>
        <w:top w:val="none" w:sz="0" w:space="0" w:color="auto"/>
        <w:left w:val="none" w:sz="0" w:space="0" w:color="auto"/>
        <w:bottom w:val="none" w:sz="0" w:space="0" w:color="auto"/>
        <w:right w:val="none" w:sz="0" w:space="0" w:color="auto"/>
      </w:divBdr>
    </w:div>
    <w:div w:id="213123550">
      <w:marLeft w:val="0"/>
      <w:marRight w:val="0"/>
      <w:marTop w:val="0"/>
      <w:marBottom w:val="0"/>
      <w:divBdr>
        <w:top w:val="none" w:sz="0" w:space="0" w:color="auto"/>
        <w:left w:val="none" w:sz="0" w:space="0" w:color="auto"/>
        <w:bottom w:val="none" w:sz="0" w:space="0" w:color="auto"/>
        <w:right w:val="none" w:sz="0" w:space="0" w:color="auto"/>
      </w:divBdr>
    </w:div>
    <w:div w:id="213123551">
      <w:marLeft w:val="0"/>
      <w:marRight w:val="0"/>
      <w:marTop w:val="0"/>
      <w:marBottom w:val="0"/>
      <w:divBdr>
        <w:top w:val="none" w:sz="0" w:space="0" w:color="auto"/>
        <w:left w:val="none" w:sz="0" w:space="0" w:color="auto"/>
        <w:bottom w:val="none" w:sz="0" w:space="0" w:color="auto"/>
        <w:right w:val="none" w:sz="0" w:space="0" w:color="auto"/>
      </w:divBdr>
    </w:div>
    <w:div w:id="213123552">
      <w:marLeft w:val="0"/>
      <w:marRight w:val="0"/>
      <w:marTop w:val="0"/>
      <w:marBottom w:val="0"/>
      <w:divBdr>
        <w:top w:val="none" w:sz="0" w:space="0" w:color="auto"/>
        <w:left w:val="none" w:sz="0" w:space="0" w:color="auto"/>
        <w:bottom w:val="none" w:sz="0" w:space="0" w:color="auto"/>
        <w:right w:val="none" w:sz="0" w:space="0" w:color="auto"/>
      </w:divBdr>
    </w:div>
    <w:div w:id="213123553">
      <w:marLeft w:val="0"/>
      <w:marRight w:val="0"/>
      <w:marTop w:val="0"/>
      <w:marBottom w:val="0"/>
      <w:divBdr>
        <w:top w:val="none" w:sz="0" w:space="0" w:color="auto"/>
        <w:left w:val="none" w:sz="0" w:space="0" w:color="auto"/>
        <w:bottom w:val="none" w:sz="0" w:space="0" w:color="auto"/>
        <w:right w:val="none" w:sz="0" w:space="0" w:color="auto"/>
      </w:divBdr>
    </w:div>
    <w:div w:id="213123554">
      <w:marLeft w:val="0"/>
      <w:marRight w:val="0"/>
      <w:marTop w:val="0"/>
      <w:marBottom w:val="0"/>
      <w:divBdr>
        <w:top w:val="none" w:sz="0" w:space="0" w:color="auto"/>
        <w:left w:val="none" w:sz="0" w:space="0" w:color="auto"/>
        <w:bottom w:val="none" w:sz="0" w:space="0" w:color="auto"/>
        <w:right w:val="none" w:sz="0" w:space="0" w:color="auto"/>
      </w:divBdr>
    </w:div>
    <w:div w:id="213123555">
      <w:marLeft w:val="0"/>
      <w:marRight w:val="0"/>
      <w:marTop w:val="0"/>
      <w:marBottom w:val="0"/>
      <w:divBdr>
        <w:top w:val="none" w:sz="0" w:space="0" w:color="auto"/>
        <w:left w:val="none" w:sz="0" w:space="0" w:color="auto"/>
        <w:bottom w:val="none" w:sz="0" w:space="0" w:color="auto"/>
        <w:right w:val="none" w:sz="0" w:space="0" w:color="auto"/>
      </w:divBdr>
    </w:div>
    <w:div w:id="213123556">
      <w:marLeft w:val="0"/>
      <w:marRight w:val="0"/>
      <w:marTop w:val="0"/>
      <w:marBottom w:val="0"/>
      <w:divBdr>
        <w:top w:val="none" w:sz="0" w:space="0" w:color="auto"/>
        <w:left w:val="none" w:sz="0" w:space="0" w:color="auto"/>
        <w:bottom w:val="none" w:sz="0" w:space="0" w:color="auto"/>
        <w:right w:val="none" w:sz="0" w:space="0" w:color="auto"/>
      </w:divBdr>
    </w:div>
    <w:div w:id="213123557">
      <w:marLeft w:val="0"/>
      <w:marRight w:val="0"/>
      <w:marTop w:val="0"/>
      <w:marBottom w:val="0"/>
      <w:divBdr>
        <w:top w:val="none" w:sz="0" w:space="0" w:color="auto"/>
        <w:left w:val="none" w:sz="0" w:space="0" w:color="auto"/>
        <w:bottom w:val="none" w:sz="0" w:space="0" w:color="auto"/>
        <w:right w:val="none" w:sz="0" w:space="0" w:color="auto"/>
      </w:divBdr>
    </w:div>
    <w:div w:id="213123558">
      <w:marLeft w:val="0"/>
      <w:marRight w:val="0"/>
      <w:marTop w:val="0"/>
      <w:marBottom w:val="0"/>
      <w:divBdr>
        <w:top w:val="none" w:sz="0" w:space="0" w:color="auto"/>
        <w:left w:val="none" w:sz="0" w:space="0" w:color="auto"/>
        <w:bottom w:val="none" w:sz="0" w:space="0" w:color="auto"/>
        <w:right w:val="none" w:sz="0" w:space="0" w:color="auto"/>
      </w:divBdr>
    </w:div>
    <w:div w:id="213123559">
      <w:marLeft w:val="0"/>
      <w:marRight w:val="0"/>
      <w:marTop w:val="0"/>
      <w:marBottom w:val="0"/>
      <w:divBdr>
        <w:top w:val="none" w:sz="0" w:space="0" w:color="auto"/>
        <w:left w:val="none" w:sz="0" w:space="0" w:color="auto"/>
        <w:bottom w:val="none" w:sz="0" w:space="0" w:color="auto"/>
        <w:right w:val="none" w:sz="0" w:space="0" w:color="auto"/>
      </w:divBdr>
    </w:div>
    <w:div w:id="213123560">
      <w:marLeft w:val="0"/>
      <w:marRight w:val="0"/>
      <w:marTop w:val="0"/>
      <w:marBottom w:val="0"/>
      <w:divBdr>
        <w:top w:val="none" w:sz="0" w:space="0" w:color="auto"/>
        <w:left w:val="none" w:sz="0" w:space="0" w:color="auto"/>
        <w:bottom w:val="none" w:sz="0" w:space="0" w:color="auto"/>
        <w:right w:val="none" w:sz="0" w:space="0" w:color="auto"/>
      </w:divBdr>
    </w:div>
    <w:div w:id="213123561">
      <w:marLeft w:val="0"/>
      <w:marRight w:val="0"/>
      <w:marTop w:val="0"/>
      <w:marBottom w:val="0"/>
      <w:divBdr>
        <w:top w:val="none" w:sz="0" w:space="0" w:color="auto"/>
        <w:left w:val="none" w:sz="0" w:space="0" w:color="auto"/>
        <w:bottom w:val="none" w:sz="0" w:space="0" w:color="auto"/>
        <w:right w:val="none" w:sz="0" w:space="0" w:color="auto"/>
      </w:divBdr>
    </w:div>
    <w:div w:id="213123562">
      <w:marLeft w:val="0"/>
      <w:marRight w:val="0"/>
      <w:marTop w:val="0"/>
      <w:marBottom w:val="0"/>
      <w:divBdr>
        <w:top w:val="none" w:sz="0" w:space="0" w:color="auto"/>
        <w:left w:val="none" w:sz="0" w:space="0" w:color="auto"/>
        <w:bottom w:val="none" w:sz="0" w:space="0" w:color="auto"/>
        <w:right w:val="none" w:sz="0" w:space="0" w:color="auto"/>
      </w:divBdr>
    </w:div>
    <w:div w:id="213123563">
      <w:marLeft w:val="0"/>
      <w:marRight w:val="0"/>
      <w:marTop w:val="0"/>
      <w:marBottom w:val="0"/>
      <w:divBdr>
        <w:top w:val="none" w:sz="0" w:space="0" w:color="auto"/>
        <w:left w:val="none" w:sz="0" w:space="0" w:color="auto"/>
        <w:bottom w:val="none" w:sz="0" w:space="0" w:color="auto"/>
        <w:right w:val="none" w:sz="0" w:space="0" w:color="auto"/>
      </w:divBdr>
    </w:div>
    <w:div w:id="213123564">
      <w:marLeft w:val="0"/>
      <w:marRight w:val="0"/>
      <w:marTop w:val="0"/>
      <w:marBottom w:val="0"/>
      <w:divBdr>
        <w:top w:val="none" w:sz="0" w:space="0" w:color="auto"/>
        <w:left w:val="none" w:sz="0" w:space="0" w:color="auto"/>
        <w:bottom w:val="none" w:sz="0" w:space="0" w:color="auto"/>
        <w:right w:val="none" w:sz="0" w:space="0" w:color="auto"/>
      </w:divBdr>
    </w:div>
    <w:div w:id="213123565">
      <w:marLeft w:val="0"/>
      <w:marRight w:val="0"/>
      <w:marTop w:val="0"/>
      <w:marBottom w:val="0"/>
      <w:divBdr>
        <w:top w:val="none" w:sz="0" w:space="0" w:color="auto"/>
        <w:left w:val="none" w:sz="0" w:space="0" w:color="auto"/>
        <w:bottom w:val="none" w:sz="0" w:space="0" w:color="auto"/>
        <w:right w:val="none" w:sz="0" w:space="0" w:color="auto"/>
      </w:divBdr>
    </w:div>
    <w:div w:id="213123566">
      <w:marLeft w:val="0"/>
      <w:marRight w:val="0"/>
      <w:marTop w:val="0"/>
      <w:marBottom w:val="0"/>
      <w:divBdr>
        <w:top w:val="none" w:sz="0" w:space="0" w:color="auto"/>
        <w:left w:val="none" w:sz="0" w:space="0" w:color="auto"/>
        <w:bottom w:val="none" w:sz="0" w:space="0" w:color="auto"/>
        <w:right w:val="none" w:sz="0" w:space="0" w:color="auto"/>
      </w:divBdr>
    </w:div>
    <w:div w:id="213123567">
      <w:marLeft w:val="0"/>
      <w:marRight w:val="0"/>
      <w:marTop w:val="0"/>
      <w:marBottom w:val="0"/>
      <w:divBdr>
        <w:top w:val="none" w:sz="0" w:space="0" w:color="auto"/>
        <w:left w:val="none" w:sz="0" w:space="0" w:color="auto"/>
        <w:bottom w:val="none" w:sz="0" w:space="0" w:color="auto"/>
        <w:right w:val="none" w:sz="0" w:space="0" w:color="auto"/>
      </w:divBdr>
    </w:div>
    <w:div w:id="213123568">
      <w:marLeft w:val="0"/>
      <w:marRight w:val="0"/>
      <w:marTop w:val="0"/>
      <w:marBottom w:val="0"/>
      <w:divBdr>
        <w:top w:val="none" w:sz="0" w:space="0" w:color="auto"/>
        <w:left w:val="none" w:sz="0" w:space="0" w:color="auto"/>
        <w:bottom w:val="none" w:sz="0" w:space="0" w:color="auto"/>
        <w:right w:val="none" w:sz="0" w:space="0" w:color="auto"/>
      </w:divBdr>
    </w:div>
    <w:div w:id="213123569">
      <w:marLeft w:val="0"/>
      <w:marRight w:val="0"/>
      <w:marTop w:val="0"/>
      <w:marBottom w:val="0"/>
      <w:divBdr>
        <w:top w:val="none" w:sz="0" w:space="0" w:color="auto"/>
        <w:left w:val="none" w:sz="0" w:space="0" w:color="auto"/>
        <w:bottom w:val="none" w:sz="0" w:space="0" w:color="auto"/>
        <w:right w:val="none" w:sz="0" w:space="0" w:color="auto"/>
      </w:divBdr>
    </w:div>
    <w:div w:id="213123570">
      <w:marLeft w:val="0"/>
      <w:marRight w:val="0"/>
      <w:marTop w:val="0"/>
      <w:marBottom w:val="0"/>
      <w:divBdr>
        <w:top w:val="none" w:sz="0" w:space="0" w:color="auto"/>
        <w:left w:val="none" w:sz="0" w:space="0" w:color="auto"/>
        <w:bottom w:val="none" w:sz="0" w:space="0" w:color="auto"/>
        <w:right w:val="none" w:sz="0" w:space="0" w:color="auto"/>
      </w:divBdr>
    </w:div>
    <w:div w:id="213123571">
      <w:marLeft w:val="0"/>
      <w:marRight w:val="0"/>
      <w:marTop w:val="0"/>
      <w:marBottom w:val="0"/>
      <w:divBdr>
        <w:top w:val="none" w:sz="0" w:space="0" w:color="auto"/>
        <w:left w:val="none" w:sz="0" w:space="0" w:color="auto"/>
        <w:bottom w:val="none" w:sz="0" w:space="0" w:color="auto"/>
        <w:right w:val="none" w:sz="0" w:space="0" w:color="auto"/>
      </w:divBdr>
    </w:div>
    <w:div w:id="213123572">
      <w:marLeft w:val="0"/>
      <w:marRight w:val="0"/>
      <w:marTop w:val="0"/>
      <w:marBottom w:val="0"/>
      <w:divBdr>
        <w:top w:val="none" w:sz="0" w:space="0" w:color="auto"/>
        <w:left w:val="none" w:sz="0" w:space="0" w:color="auto"/>
        <w:bottom w:val="none" w:sz="0" w:space="0" w:color="auto"/>
        <w:right w:val="none" w:sz="0" w:space="0" w:color="auto"/>
      </w:divBdr>
    </w:div>
    <w:div w:id="213123573">
      <w:marLeft w:val="0"/>
      <w:marRight w:val="0"/>
      <w:marTop w:val="0"/>
      <w:marBottom w:val="0"/>
      <w:divBdr>
        <w:top w:val="none" w:sz="0" w:space="0" w:color="auto"/>
        <w:left w:val="none" w:sz="0" w:space="0" w:color="auto"/>
        <w:bottom w:val="none" w:sz="0" w:space="0" w:color="auto"/>
        <w:right w:val="none" w:sz="0" w:space="0" w:color="auto"/>
      </w:divBdr>
    </w:div>
    <w:div w:id="213123574">
      <w:marLeft w:val="0"/>
      <w:marRight w:val="0"/>
      <w:marTop w:val="0"/>
      <w:marBottom w:val="0"/>
      <w:divBdr>
        <w:top w:val="none" w:sz="0" w:space="0" w:color="auto"/>
        <w:left w:val="none" w:sz="0" w:space="0" w:color="auto"/>
        <w:bottom w:val="none" w:sz="0" w:space="0" w:color="auto"/>
        <w:right w:val="none" w:sz="0" w:space="0" w:color="auto"/>
      </w:divBdr>
    </w:div>
    <w:div w:id="213123575">
      <w:marLeft w:val="0"/>
      <w:marRight w:val="0"/>
      <w:marTop w:val="0"/>
      <w:marBottom w:val="0"/>
      <w:divBdr>
        <w:top w:val="none" w:sz="0" w:space="0" w:color="auto"/>
        <w:left w:val="none" w:sz="0" w:space="0" w:color="auto"/>
        <w:bottom w:val="none" w:sz="0" w:space="0" w:color="auto"/>
        <w:right w:val="none" w:sz="0" w:space="0" w:color="auto"/>
      </w:divBdr>
    </w:div>
    <w:div w:id="213123576">
      <w:marLeft w:val="0"/>
      <w:marRight w:val="0"/>
      <w:marTop w:val="0"/>
      <w:marBottom w:val="0"/>
      <w:divBdr>
        <w:top w:val="none" w:sz="0" w:space="0" w:color="auto"/>
        <w:left w:val="none" w:sz="0" w:space="0" w:color="auto"/>
        <w:bottom w:val="none" w:sz="0" w:space="0" w:color="auto"/>
        <w:right w:val="none" w:sz="0" w:space="0" w:color="auto"/>
      </w:divBdr>
    </w:div>
    <w:div w:id="213123577">
      <w:marLeft w:val="0"/>
      <w:marRight w:val="0"/>
      <w:marTop w:val="0"/>
      <w:marBottom w:val="0"/>
      <w:divBdr>
        <w:top w:val="none" w:sz="0" w:space="0" w:color="auto"/>
        <w:left w:val="none" w:sz="0" w:space="0" w:color="auto"/>
        <w:bottom w:val="none" w:sz="0" w:space="0" w:color="auto"/>
        <w:right w:val="none" w:sz="0" w:space="0" w:color="auto"/>
      </w:divBdr>
    </w:div>
    <w:div w:id="213123578">
      <w:marLeft w:val="0"/>
      <w:marRight w:val="0"/>
      <w:marTop w:val="0"/>
      <w:marBottom w:val="0"/>
      <w:divBdr>
        <w:top w:val="none" w:sz="0" w:space="0" w:color="auto"/>
        <w:left w:val="none" w:sz="0" w:space="0" w:color="auto"/>
        <w:bottom w:val="none" w:sz="0" w:space="0" w:color="auto"/>
        <w:right w:val="none" w:sz="0" w:space="0" w:color="auto"/>
      </w:divBdr>
    </w:div>
    <w:div w:id="213123579">
      <w:marLeft w:val="0"/>
      <w:marRight w:val="0"/>
      <w:marTop w:val="0"/>
      <w:marBottom w:val="0"/>
      <w:divBdr>
        <w:top w:val="none" w:sz="0" w:space="0" w:color="auto"/>
        <w:left w:val="none" w:sz="0" w:space="0" w:color="auto"/>
        <w:bottom w:val="none" w:sz="0" w:space="0" w:color="auto"/>
        <w:right w:val="none" w:sz="0" w:space="0" w:color="auto"/>
      </w:divBdr>
    </w:div>
    <w:div w:id="213123580">
      <w:marLeft w:val="0"/>
      <w:marRight w:val="0"/>
      <w:marTop w:val="0"/>
      <w:marBottom w:val="0"/>
      <w:divBdr>
        <w:top w:val="none" w:sz="0" w:space="0" w:color="auto"/>
        <w:left w:val="none" w:sz="0" w:space="0" w:color="auto"/>
        <w:bottom w:val="none" w:sz="0" w:space="0" w:color="auto"/>
        <w:right w:val="none" w:sz="0" w:space="0" w:color="auto"/>
      </w:divBdr>
    </w:div>
    <w:div w:id="213123581">
      <w:marLeft w:val="0"/>
      <w:marRight w:val="0"/>
      <w:marTop w:val="0"/>
      <w:marBottom w:val="0"/>
      <w:divBdr>
        <w:top w:val="none" w:sz="0" w:space="0" w:color="auto"/>
        <w:left w:val="none" w:sz="0" w:space="0" w:color="auto"/>
        <w:bottom w:val="none" w:sz="0" w:space="0" w:color="auto"/>
        <w:right w:val="none" w:sz="0" w:space="0" w:color="auto"/>
      </w:divBdr>
    </w:div>
    <w:div w:id="213123582">
      <w:marLeft w:val="0"/>
      <w:marRight w:val="0"/>
      <w:marTop w:val="0"/>
      <w:marBottom w:val="0"/>
      <w:divBdr>
        <w:top w:val="none" w:sz="0" w:space="0" w:color="auto"/>
        <w:left w:val="none" w:sz="0" w:space="0" w:color="auto"/>
        <w:bottom w:val="none" w:sz="0" w:space="0" w:color="auto"/>
        <w:right w:val="none" w:sz="0" w:space="0" w:color="auto"/>
      </w:divBdr>
    </w:div>
    <w:div w:id="213123583">
      <w:marLeft w:val="0"/>
      <w:marRight w:val="0"/>
      <w:marTop w:val="0"/>
      <w:marBottom w:val="0"/>
      <w:divBdr>
        <w:top w:val="none" w:sz="0" w:space="0" w:color="auto"/>
        <w:left w:val="none" w:sz="0" w:space="0" w:color="auto"/>
        <w:bottom w:val="none" w:sz="0" w:space="0" w:color="auto"/>
        <w:right w:val="none" w:sz="0" w:space="0" w:color="auto"/>
      </w:divBdr>
    </w:div>
    <w:div w:id="213123584">
      <w:marLeft w:val="0"/>
      <w:marRight w:val="0"/>
      <w:marTop w:val="0"/>
      <w:marBottom w:val="0"/>
      <w:divBdr>
        <w:top w:val="none" w:sz="0" w:space="0" w:color="auto"/>
        <w:left w:val="none" w:sz="0" w:space="0" w:color="auto"/>
        <w:bottom w:val="none" w:sz="0" w:space="0" w:color="auto"/>
        <w:right w:val="none" w:sz="0" w:space="0" w:color="auto"/>
      </w:divBdr>
    </w:div>
    <w:div w:id="213123585">
      <w:marLeft w:val="0"/>
      <w:marRight w:val="0"/>
      <w:marTop w:val="0"/>
      <w:marBottom w:val="0"/>
      <w:divBdr>
        <w:top w:val="none" w:sz="0" w:space="0" w:color="auto"/>
        <w:left w:val="none" w:sz="0" w:space="0" w:color="auto"/>
        <w:bottom w:val="none" w:sz="0" w:space="0" w:color="auto"/>
        <w:right w:val="none" w:sz="0" w:space="0" w:color="auto"/>
      </w:divBdr>
    </w:div>
    <w:div w:id="213123586">
      <w:marLeft w:val="0"/>
      <w:marRight w:val="0"/>
      <w:marTop w:val="0"/>
      <w:marBottom w:val="0"/>
      <w:divBdr>
        <w:top w:val="none" w:sz="0" w:space="0" w:color="auto"/>
        <w:left w:val="none" w:sz="0" w:space="0" w:color="auto"/>
        <w:bottom w:val="none" w:sz="0" w:space="0" w:color="auto"/>
        <w:right w:val="none" w:sz="0" w:space="0" w:color="auto"/>
      </w:divBdr>
    </w:div>
    <w:div w:id="213123587">
      <w:marLeft w:val="0"/>
      <w:marRight w:val="0"/>
      <w:marTop w:val="0"/>
      <w:marBottom w:val="0"/>
      <w:divBdr>
        <w:top w:val="none" w:sz="0" w:space="0" w:color="auto"/>
        <w:left w:val="none" w:sz="0" w:space="0" w:color="auto"/>
        <w:bottom w:val="none" w:sz="0" w:space="0" w:color="auto"/>
        <w:right w:val="none" w:sz="0" w:space="0" w:color="auto"/>
      </w:divBdr>
      <w:divsChild>
        <w:div w:id="213123524">
          <w:marLeft w:val="0"/>
          <w:marRight w:val="0"/>
          <w:marTop w:val="0"/>
          <w:marBottom w:val="0"/>
          <w:divBdr>
            <w:top w:val="none" w:sz="0" w:space="0" w:color="auto"/>
            <w:left w:val="none" w:sz="0" w:space="0" w:color="auto"/>
            <w:bottom w:val="none" w:sz="0" w:space="0" w:color="auto"/>
            <w:right w:val="none" w:sz="0" w:space="0" w:color="auto"/>
          </w:divBdr>
        </w:div>
      </w:divsChild>
    </w:div>
    <w:div w:id="213123588">
      <w:marLeft w:val="0"/>
      <w:marRight w:val="0"/>
      <w:marTop w:val="0"/>
      <w:marBottom w:val="0"/>
      <w:divBdr>
        <w:top w:val="none" w:sz="0" w:space="0" w:color="auto"/>
        <w:left w:val="none" w:sz="0" w:space="0" w:color="auto"/>
        <w:bottom w:val="none" w:sz="0" w:space="0" w:color="auto"/>
        <w:right w:val="none" w:sz="0" w:space="0" w:color="auto"/>
      </w:divBdr>
    </w:div>
    <w:div w:id="213123589">
      <w:marLeft w:val="0"/>
      <w:marRight w:val="0"/>
      <w:marTop w:val="0"/>
      <w:marBottom w:val="0"/>
      <w:divBdr>
        <w:top w:val="none" w:sz="0" w:space="0" w:color="auto"/>
        <w:left w:val="none" w:sz="0" w:space="0" w:color="auto"/>
        <w:bottom w:val="none" w:sz="0" w:space="0" w:color="auto"/>
        <w:right w:val="none" w:sz="0" w:space="0" w:color="auto"/>
      </w:divBdr>
    </w:div>
    <w:div w:id="213123590">
      <w:marLeft w:val="0"/>
      <w:marRight w:val="0"/>
      <w:marTop w:val="0"/>
      <w:marBottom w:val="0"/>
      <w:divBdr>
        <w:top w:val="none" w:sz="0" w:space="0" w:color="auto"/>
        <w:left w:val="none" w:sz="0" w:space="0" w:color="auto"/>
        <w:bottom w:val="none" w:sz="0" w:space="0" w:color="auto"/>
        <w:right w:val="none" w:sz="0" w:space="0" w:color="auto"/>
      </w:divBdr>
    </w:div>
    <w:div w:id="213123591">
      <w:marLeft w:val="0"/>
      <w:marRight w:val="0"/>
      <w:marTop w:val="0"/>
      <w:marBottom w:val="0"/>
      <w:divBdr>
        <w:top w:val="none" w:sz="0" w:space="0" w:color="auto"/>
        <w:left w:val="none" w:sz="0" w:space="0" w:color="auto"/>
        <w:bottom w:val="none" w:sz="0" w:space="0" w:color="auto"/>
        <w:right w:val="none" w:sz="0" w:space="0" w:color="auto"/>
      </w:divBdr>
    </w:div>
    <w:div w:id="213123592">
      <w:marLeft w:val="0"/>
      <w:marRight w:val="0"/>
      <w:marTop w:val="0"/>
      <w:marBottom w:val="0"/>
      <w:divBdr>
        <w:top w:val="none" w:sz="0" w:space="0" w:color="auto"/>
        <w:left w:val="none" w:sz="0" w:space="0" w:color="auto"/>
        <w:bottom w:val="none" w:sz="0" w:space="0" w:color="auto"/>
        <w:right w:val="none" w:sz="0" w:space="0" w:color="auto"/>
      </w:divBdr>
    </w:div>
    <w:div w:id="213123593">
      <w:marLeft w:val="0"/>
      <w:marRight w:val="0"/>
      <w:marTop w:val="0"/>
      <w:marBottom w:val="0"/>
      <w:divBdr>
        <w:top w:val="none" w:sz="0" w:space="0" w:color="auto"/>
        <w:left w:val="none" w:sz="0" w:space="0" w:color="auto"/>
        <w:bottom w:val="none" w:sz="0" w:space="0" w:color="auto"/>
        <w:right w:val="none" w:sz="0" w:space="0" w:color="auto"/>
      </w:divBdr>
    </w:div>
    <w:div w:id="213123594">
      <w:marLeft w:val="0"/>
      <w:marRight w:val="0"/>
      <w:marTop w:val="0"/>
      <w:marBottom w:val="0"/>
      <w:divBdr>
        <w:top w:val="none" w:sz="0" w:space="0" w:color="auto"/>
        <w:left w:val="none" w:sz="0" w:space="0" w:color="auto"/>
        <w:bottom w:val="none" w:sz="0" w:space="0" w:color="auto"/>
        <w:right w:val="none" w:sz="0" w:space="0" w:color="auto"/>
      </w:divBdr>
    </w:div>
    <w:div w:id="213123595">
      <w:marLeft w:val="0"/>
      <w:marRight w:val="0"/>
      <w:marTop w:val="0"/>
      <w:marBottom w:val="0"/>
      <w:divBdr>
        <w:top w:val="none" w:sz="0" w:space="0" w:color="auto"/>
        <w:left w:val="none" w:sz="0" w:space="0" w:color="auto"/>
        <w:bottom w:val="none" w:sz="0" w:space="0" w:color="auto"/>
        <w:right w:val="none" w:sz="0" w:space="0" w:color="auto"/>
      </w:divBdr>
    </w:div>
    <w:div w:id="213123596">
      <w:marLeft w:val="0"/>
      <w:marRight w:val="0"/>
      <w:marTop w:val="0"/>
      <w:marBottom w:val="0"/>
      <w:divBdr>
        <w:top w:val="none" w:sz="0" w:space="0" w:color="auto"/>
        <w:left w:val="none" w:sz="0" w:space="0" w:color="auto"/>
        <w:bottom w:val="none" w:sz="0" w:space="0" w:color="auto"/>
        <w:right w:val="none" w:sz="0" w:space="0" w:color="auto"/>
      </w:divBdr>
    </w:div>
    <w:div w:id="213123597">
      <w:marLeft w:val="0"/>
      <w:marRight w:val="0"/>
      <w:marTop w:val="0"/>
      <w:marBottom w:val="0"/>
      <w:divBdr>
        <w:top w:val="none" w:sz="0" w:space="0" w:color="auto"/>
        <w:left w:val="none" w:sz="0" w:space="0" w:color="auto"/>
        <w:bottom w:val="none" w:sz="0" w:space="0" w:color="auto"/>
        <w:right w:val="none" w:sz="0" w:space="0" w:color="auto"/>
      </w:divBdr>
    </w:div>
    <w:div w:id="213123598">
      <w:marLeft w:val="0"/>
      <w:marRight w:val="0"/>
      <w:marTop w:val="0"/>
      <w:marBottom w:val="0"/>
      <w:divBdr>
        <w:top w:val="none" w:sz="0" w:space="0" w:color="auto"/>
        <w:left w:val="none" w:sz="0" w:space="0" w:color="auto"/>
        <w:bottom w:val="none" w:sz="0" w:space="0" w:color="auto"/>
        <w:right w:val="none" w:sz="0" w:space="0" w:color="auto"/>
      </w:divBdr>
    </w:div>
    <w:div w:id="213123599">
      <w:marLeft w:val="0"/>
      <w:marRight w:val="0"/>
      <w:marTop w:val="0"/>
      <w:marBottom w:val="0"/>
      <w:divBdr>
        <w:top w:val="none" w:sz="0" w:space="0" w:color="auto"/>
        <w:left w:val="none" w:sz="0" w:space="0" w:color="auto"/>
        <w:bottom w:val="none" w:sz="0" w:space="0" w:color="auto"/>
        <w:right w:val="none" w:sz="0" w:space="0" w:color="auto"/>
      </w:divBdr>
    </w:div>
    <w:div w:id="213123600">
      <w:marLeft w:val="0"/>
      <w:marRight w:val="0"/>
      <w:marTop w:val="0"/>
      <w:marBottom w:val="0"/>
      <w:divBdr>
        <w:top w:val="none" w:sz="0" w:space="0" w:color="auto"/>
        <w:left w:val="none" w:sz="0" w:space="0" w:color="auto"/>
        <w:bottom w:val="none" w:sz="0" w:space="0" w:color="auto"/>
        <w:right w:val="none" w:sz="0" w:space="0" w:color="auto"/>
      </w:divBdr>
    </w:div>
    <w:div w:id="213123601">
      <w:marLeft w:val="0"/>
      <w:marRight w:val="0"/>
      <w:marTop w:val="0"/>
      <w:marBottom w:val="0"/>
      <w:divBdr>
        <w:top w:val="none" w:sz="0" w:space="0" w:color="auto"/>
        <w:left w:val="none" w:sz="0" w:space="0" w:color="auto"/>
        <w:bottom w:val="none" w:sz="0" w:space="0" w:color="auto"/>
        <w:right w:val="none" w:sz="0" w:space="0" w:color="auto"/>
      </w:divBdr>
    </w:div>
    <w:div w:id="213123602">
      <w:marLeft w:val="0"/>
      <w:marRight w:val="0"/>
      <w:marTop w:val="0"/>
      <w:marBottom w:val="0"/>
      <w:divBdr>
        <w:top w:val="none" w:sz="0" w:space="0" w:color="auto"/>
        <w:left w:val="none" w:sz="0" w:space="0" w:color="auto"/>
        <w:bottom w:val="none" w:sz="0" w:space="0" w:color="auto"/>
        <w:right w:val="none" w:sz="0" w:space="0" w:color="auto"/>
      </w:divBdr>
    </w:div>
    <w:div w:id="213123603">
      <w:marLeft w:val="0"/>
      <w:marRight w:val="0"/>
      <w:marTop w:val="0"/>
      <w:marBottom w:val="0"/>
      <w:divBdr>
        <w:top w:val="none" w:sz="0" w:space="0" w:color="auto"/>
        <w:left w:val="none" w:sz="0" w:space="0" w:color="auto"/>
        <w:bottom w:val="none" w:sz="0" w:space="0" w:color="auto"/>
        <w:right w:val="none" w:sz="0" w:space="0" w:color="auto"/>
      </w:divBdr>
    </w:div>
    <w:div w:id="213123604">
      <w:marLeft w:val="0"/>
      <w:marRight w:val="0"/>
      <w:marTop w:val="0"/>
      <w:marBottom w:val="0"/>
      <w:divBdr>
        <w:top w:val="none" w:sz="0" w:space="0" w:color="auto"/>
        <w:left w:val="none" w:sz="0" w:space="0" w:color="auto"/>
        <w:bottom w:val="none" w:sz="0" w:space="0" w:color="auto"/>
        <w:right w:val="none" w:sz="0" w:space="0" w:color="auto"/>
      </w:divBdr>
    </w:div>
    <w:div w:id="213123605">
      <w:marLeft w:val="0"/>
      <w:marRight w:val="0"/>
      <w:marTop w:val="0"/>
      <w:marBottom w:val="0"/>
      <w:divBdr>
        <w:top w:val="none" w:sz="0" w:space="0" w:color="auto"/>
        <w:left w:val="none" w:sz="0" w:space="0" w:color="auto"/>
        <w:bottom w:val="none" w:sz="0" w:space="0" w:color="auto"/>
        <w:right w:val="none" w:sz="0" w:space="0" w:color="auto"/>
      </w:divBdr>
    </w:div>
    <w:div w:id="213123606">
      <w:marLeft w:val="0"/>
      <w:marRight w:val="0"/>
      <w:marTop w:val="0"/>
      <w:marBottom w:val="0"/>
      <w:divBdr>
        <w:top w:val="none" w:sz="0" w:space="0" w:color="auto"/>
        <w:left w:val="none" w:sz="0" w:space="0" w:color="auto"/>
        <w:bottom w:val="none" w:sz="0" w:space="0" w:color="auto"/>
        <w:right w:val="none" w:sz="0" w:space="0" w:color="auto"/>
      </w:divBdr>
    </w:div>
    <w:div w:id="213123607">
      <w:marLeft w:val="0"/>
      <w:marRight w:val="0"/>
      <w:marTop w:val="0"/>
      <w:marBottom w:val="0"/>
      <w:divBdr>
        <w:top w:val="none" w:sz="0" w:space="0" w:color="auto"/>
        <w:left w:val="none" w:sz="0" w:space="0" w:color="auto"/>
        <w:bottom w:val="none" w:sz="0" w:space="0" w:color="auto"/>
        <w:right w:val="none" w:sz="0" w:space="0" w:color="auto"/>
      </w:divBdr>
    </w:div>
    <w:div w:id="213123608">
      <w:marLeft w:val="0"/>
      <w:marRight w:val="0"/>
      <w:marTop w:val="0"/>
      <w:marBottom w:val="0"/>
      <w:divBdr>
        <w:top w:val="none" w:sz="0" w:space="0" w:color="auto"/>
        <w:left w:val="none" w:sz="0" w:space="0" w:color="auto"/>
        <w:bottom w:val="none" w:sz="0" w:space="0" w:color="auto"/>
        <w:right w:val="none" w:sz="0" w:space="0" w:color="auto"/>
      </w:divBdr>
    </w:div>
    <w:div w:id="213123609">
      <w:marLeft w:val="0"/>
      <w:marRight w:val="0"/>
      <w:marTop w:val="0"/>
      <w:marBottom w:val="0"/>
      <w:divBdr>
        <w:top w:val="none" w:sz="0" w:space="0" w:color="auto"/>
        <w:left w:val="none" w:sz="0" w:space="0" w:color="auto"/>
        <w:bottom w:val="none" w:sz="0" w:space="0" w:color="auto"/>
        <w:right w:val="none" w:sz="0" w:space="0" w:color="auto"/>
      </w:divBdr>
    </w:div>
    <w:div w:id="213123610">
      <w:marLeft w:val="0"/>
      <w:marRight w:val="0"/>
      <w:marTop w:val="0"/>
      <w:marBottom w:val="0"/>
      <w:divBdr>
        <w:top w:val="none" w:sz="0" w:space="0" w:color="auto"/>
        <w:left w:val="none" w:sz="0" w:space="0" w:color="auto"/>
        <w:bottom w:val="none" w:sz="0" w:space="0" w:color="auto"/>
        <w:right w:val="none" w:sz="0" w:space="0" w:color="auto"/>
      </w:divBdr>
    </w:div>
    <w:div w:id="213123611">
      <w:marLeft w:val="0"/>
      <w:marRight w:val="0"/>
      <w:marTop w:val="0"/>
      <w:marBottom w:val="0"/>
      <w:divBdr>
        <w:top w:val="none" w:sz="0" w:space="0" w:color="auto"/>
        <w:left w:val="none" w:sz="0" w:space="0" w:color="auto"/>
        <w:bottom w:val="none" w:sz="0" w:space="0" w:color="auto"/>
        <w:right w:val="none" w:sz="0" w:space="0" w:color="auto"/>
      </w:divBdr>
    </w:div>
    <w:div w:id="213123612">
      <w:marLeft w:val="0"/>
      <w:marRight w:val="0"/>
      <w:marTop w:val="0"/>
      <w:marBottom w:val="0"/>
      <w:divBdr>
        <w:top w:val="none" w:sz="0" w:space="0" w:color="auto"/>
        <w:left w:val="none" w:sz="0" w:space="0" w:color="auto"/>
        <w:bottom w:val="none" w:sz="0" w:space="0" w:color="auto"/>
        <w:right w:val="none" w:sz="0" w:space="0" w:color="auto"/>
      </w:divBdr>
    </w:div>
    <w:div w:id="213123613">
      <w:marLeft w:val="0"/>
      <w:marRight w:val="0"/>
      <w:marTop w:val="0"/>
      <w:marBottom w:val="0"/>
      <w:divBdr>
        <w:top w:val="none" w:sz="0" w:space="0" w:color="auto"/>
        <w:left w:val="none" w:sz="0" w:space="0" w:color="auto"/>
        <w:bottom w:val="none" w:sz="0" w:space="0" w:color="auto"/>
        <w:right w:val="none" w:sz="0" w:space="0" w:color="auto"/>
      </w:divBdr>
    </w:div>
    <w:div w:id="213123614">
      <w:marLeft w:val="0"/>
      <w:marRight w:val="0"/>
      <w:marTop w:val="0"/>
      <w:marBottom w:val="0"/>
      <w:divBdr>
        <w:top w:val="none" w:sz="0" w:space="0" w:color="auto"/>
        <w:left w:val="none" w:sz="0" w:space="0" w:color="auto"/>
        <w:bottom w:val="none" w:sz="0" w:space="0" w:color="auto"/>
        <w:right w:val="none" w:sz="0" w:space="0" w:color="auto"/>
      </w:divBdr>
    </w:div>
    <w:div w:id="213123615">
      <w:marLeft w:val="0"/>
      <w:marRight w:val="0"/>
      <w:marTop w:val="0"/>
      <w:marBottom w:val="0"/>
      <w:divBdr>
        <w:top w:val="none" w:sz="0" w:space="0" w:color="auto"/>
        <w:left w:val="none" w:sz="0" w:space="0" w:color="auto"/>
        <w:bottom w:val="none" w:sz="0" w:space="0" w:color="auto"/>
        <w:right w:val="none" w:sz="0" w:space="0" w:color="auto"/>
      </w:divBdr>
    </w:div>
    <w:div w:id="213123616">
      <w:marLeft w:val="0"/>
      <w:marRight w:val="0"/>
      <w:marTop w:val="0"/>
      <w:marBottom w:val="0"/>
      <w:divBdr>
        <w:top w:val="none" w:sz="0" w:space="0" w:color="auto"/>
        <w:left w:val="none" w:sz="0" w:space="0" w:color="auto"/>
        <w:bottom w:val="none" w:sz="0" w:space="0" w:color="auto"/>
        <w:right w:val="none" w:sz="0" w:space="0" w:color="auto"/>
      </w:divBdr>
    </w:div>
    <w:div w:id="213123617">
      <w:marLeft w:val="0"/>
      <w:marRight w:val="0"/>
      <w:marTop w:val="0"/>
      <w:marBottom w:val="0"/>
      <w:divBdr>
        <w:top w:val="none" w:sz="0" w:space="0" w:color="auto"/>
        <w:left w:val="none" w:sz="0" w:space="0" w:color="auto"/>
        <w:bottom w:val="none" w:sz="0" w:space="0" w:color="auto"/>
        <w:right w:val="none" w:sz="0" w:space="0" w:color="auto"/>
      </w:divBdr>
    </w:div>
    <w:div w:id="213123618">
      <w:marLeft w:val="0"/>
      <w:marRight w:val="0"/>
      <w:marTop w:val="0"/>
      <w:marBottom w:val="0"/>
      <w:divBdr>
        <w:top w:val="none" w:sz="0" w:space="0" w:color="auto"/>
        <w:left w:val="none" w:sz="0" w:space="0" w:color="auto"/>
        <w:bottom w:val="none" w:sz="0" w:space="0" w:color="auto"/>
        <w:right w:val="none" w:sz="0" w:space="0" w:color="auto"/>
      </w:divBdr>
    </w:div>
    <w:div w:id="213123619">
      <w:marLeft w:val="0"/>
      <w:marRight w:val="0"/>
      <w:marTop w:val="0"/>
      <w:marBottom w:val="0"/>
      <w:divBdr>
        <w:top w:val="none" w:sz="0" w:space="0" w:color="auto"/>
        <w:left w:val="none" w:sz="0" w:space="0" w:color="auto"/>
        <w:bottom w:val="none" w:sz="0" w:space="0" w:color="auto"/>
        <w:right w:val="none" w:sz="0" w:space="0" w:color="auto"/>
      </w:divBdr>
    </w:div>
    <w:div w:id="213123620">
      <w:marLeft w:val="0"/>
      <w:marRight w:val="0"/>
      <w:marTop w:val="0"/>
      <w:marBottom w:val="0"/>
      <w:divBdr>
        <w:top w:val="none" w:sz="0" w:space="0" w:color="auto"/>
        <w:left w:val="none" w:sz="0" w:space="0" w:color="auto"/>
        <w:bottom w:val="none" w:sz="0" w:space="0" w:color="auto"/>
        <w:right w:val="none" w:sz="0" w:space="0" w:color="auto"/>
      </w:divBdr>
    </w:div>
    <w:div w:id="213123621">
      <w:marLeft w:val="0"/>
      <w:marRight w:val="0"/>
      <w:marTop w:val="0"/>
      <w:marBottom w:val="0"/>
      <w:divBdr>
        <w:top w:val="none" w:sz="0" w:space="0" w:color="auto"/>
        <w:left w:val="none" w:sz="0" w:space="0" w:color="auto"/>
        <w:bottom w:val="none" w:sz="0" w:space="0" w:color="auto"/>
        <w:right w:val="none" w:sz="0" w:space="0" w:color="auto"/>
      </w:divBdr>
    </w:div>
    <w:div w:id="213123622">
      <w:marLeft w:val="0"/>
      <w:marRight w:val="0"/>
      <w:marTop w:val="0"/>
      <w:marBottom w:val="0"/>
      <w:divBdr>
        <w:top w:val="none" w:sz="0" w:space="0" w:color="auto"/>
        <w:left w:val="none" w:sz="0" w:space="0" w:color="auto"/>
        <w:bottom w:val="none" w:sz="0" w:space="0" w:color="auto"/>
        <w:right w:val="none" w:sz="0" w:space="0" w:color="auto"/>
      </w:divBdr>
    </w:div>
    <w:div w:id="213123623">
      <w:marLeft w:val="0"/>
      <w:marRight w:val="0"/>
      <w:marTop w:val="0"/>
      <w:marBottom w:val="0"/>
      <w:divBdr>
        <w:top w:val="none" w:sz="0" w:space="0" w:color="auto"/>
        <w:left w:val="none" w:sz="0" w:space="0" w:color="auto"/>
        <w:bottom w:val="none" w:sz="0" w:space="0" w:color="auto"/>
        <w:right w:val="none" w:sz="0" w:space="0" w:color="auto"/>
      </w:divBdr>
    </w:div>
    <w:div w:id="213123624">
      <w:marLeft w:val="0"/>
      <w:marRight w:val="0"/>
      <w:marTop w:val="0"/>
      <w:marBottom w:val="0"/>
      <w:divBdr>
        <w:top w:val="none" w:sz="0" w:space="0" w:color="auto"/>
        <w:left w:val="none" w:sz="0" w:space="0" w:color="auto"/>
        <w:bottom w:val="none" w:sz="0" w:space="0" w:color="auto"/>
        <w:right w:val="none" w:sz="0" w:space="0" w:color="auto"/>
      </w:divBdr>
    </w:div>
    <w:div w:id="213123625">
      <w:marLeft w:val="0"/>
      <w:marRight w:val="0"/>
      <w:marTop w:val="0"/>
      <w:marBottom w:val="0"/>
      <w:divBdr>
        <w:top w:val="none" w:sz="0" w:space="0" w:color="auto"/>
        <w:left w:val="none" w:sz="0" w:space="0" w:color="auto"/>
        <w:bottom w:val="none" w:sz="0" w:space="0" w:color="auto"/>
        <w:right w:val="none" w:sz="0" w:space="0" w:color="auto"/>
      </w:divBdr>
    </w:div>
    <w:div w:id="213123626">
      <w:marLeft w:val="0"/>
      <w:marRight w:val="0"/>
      <w:marTop w:val="0"/>
      <w:marBottom w:val="0"/>
      <w:divBdr>
        <w:top w:val="none" w:sz="0" w:space="0" w:color="auto"/>
        <w:left w:val="none" w:sz="0" w:space="0" w:color="auto"/>
        <w:bottom w:val="none" w:sz="0" w:space="0" w:color="auto"/>
        <w:right w:val="none" w:sz="0" w:space="0" w:color="auto"/>
      </w:divBdr>
    </w:div>
    <w:div w:id="213123627">
      <w:marLeft w:val="0"/>
      <w:marRight w:val="0"/>
      <w:marTop w:val="0"/>
      <w:marBottom w:val="0"/>
      <w:divBdr>
        <w:top w:val="none" w:sz="0" w:space="0" w:color="auto"/>
        <w:left w:val="none" w:sz="0" w:space="0" w:color="auto"/>
        <w:bottom w:val="none" w:sz="0" w:space="0" w:color="auto"/>
        <w:right w:val="none" w:sz="0" w:space="0" w:color="auto"/>
      </w:divBdr>
    </w:div>
    <w:div w:id="213123628">
      <w:marLeft w:val="0"/>
      <w:marRight w:val="0"/>
      <w:marTop w:val="0"/>
      <w:marBottom w:val="0"/>
      <w:divBdr>
        <w:top w:val="none" w:sz="0" w:space="0" w:color="auto"/>
        <w:left w:val="none" w:sz="0" w:space="0" w:color="auto"/>
        <w:bottom w:val="none" w:sz="0" w:space="0" w:color="auto"/>
        <w:right w:val="none" w:sz="0" w:space="0" w:color="auto"/>
      </w:divBdr>
    </w:div>
    <w:div w:id="213123629">
      <w:marLeft w:val="0"/>
      <w:marRight w:val="0"/>
      <w:marTop w:val="0"/>
      <w:marBottom w:val="0"/>
      <w:divBdr>
        <w:top w:val="none" w:sz="0" w:space="0" w:color="auto"/>
        <w:left w:val="none" w:sz="0" w:space="0" w:color="auto"/>
        <w:bottom w:val="none" w:sz="0" w:space="0" w:color="auto"/>
        <w:right w:val="none" w:sz="0" w:space="0" w:color="auto"/>
      </w:divBdr>
    </w:div>
    <w:div w:id="213123630">
      <w:marLeft w:val="0"/>
      <w:marRight w:val="0"/>
      <w:marTop w:val="0"/>
      <w:marBottom w:val="0"/>
      <w:divBdr>
        <w:top w:val="none" w:sz="0" w:space="0" w:color="auto"/>
        <w:left w:val="none" w:sz="0" w:space="0" w:color="auto"/>
        <w:bottom w:val="none" w:sz="0" w:space="0" w:color="auto"/>
        <w:right w:val="none" w:sz="0" w:space="0" w:color="auto"/>
      </w:divBdr>
    </w:div>
    <w:div w:id="213123631">
      <w:marLeft w:val="0"/>
      <w:marRight w:val="0"/>
      <w:marTop w:val="0"/>
      <w:marBottom w:val="0"/>
      <w:divBdr>
        <w:top w:val="none" w:sz="0" w:space="0" w:color="auto"/>
        <w:left w:val="none" w:sz="0" w:space="0" w:color="auto"/>
        <w:bottom w:val="none" w:sz="0" w:space="0" w:color="auto"/>
        <w:right w:val="none" w:sz="0" w:space="0" w:color="auto"/>
      </w:divBdr>
    </w:div>
    <w:div w:id="213123632">
      <w:marLeft w:val="0"/>
      <w:marRight w:val="0"/>
      <w:marTop w:val="0"/>
      <w:marBottom w:val="0"/>
      <w:divBdr>
        <w:top w:val="none" w:sz="0" w:space="0" w:color="auto"/>
        <w:left w:val="none" w:sz="0" w:space="0" w:color="auto"/>
        <w:bottom w:val="none" w:sz="0" w:space="0" w:color="auto"/>
        <w:right w:val="none" w:sz="0" w:space="0" w:color="auto"/>
      </w:divBdr>
    </w:div>
    <w:div w:id="213123633">
      <w:marLeft w:val="0"/>
      <w:marRight w:val="0"/>
      <w:marTop w:val="0"/>
      <w:marBottom w:val="0"/>
      <w:divBdr>
        <w:top w:val="none" w:sz="0" w:space="0" w:color="auto"/>
        <w:left w:val="none" w:sz="0" w:space="0" w:color="auto"/>
        <w:bottom w:val="none" w:sz="0" w:space="0" w:color="auto"/>
        <w:right w:val="none" w:sz="0" w:space="0" w:color="auto"/>
      </w:divBdr>
    </w:div>
    <w:div w:id="213123634">
      <w:marLeft w:val="0"/>
      <w:marRight w:val="0"/>
      <w:marTop w:val="0"/>
      <w:marBottom w:val="0"/>
      <w:divBdr>
        <w:top w:val="none" w:sz="0" w:space="0" w:color="auto"/>
        <w:left w:val="none" w:sz="0" w:space="0" w:color="auto"/>
        <w:bottom w:val="none" w:sz="0" w:space="0" w:color="auto"/>
        <w:right w:val="none" w:sz="0" w:space="0" w:color="auto"/>
      </w:divBdr>
    </w:div>
    <w:div w:id="213123635">
      <w:marLeft w:val="0"/>
      <w:marRight w:val="0"/>
      <w:marTop w:val="0"/>
      <w:marBottom w:val="0"/>
      <w:divBdr>
        <w:top w:val="none" w:sz="0" w:space="0" w:color="auto"/>
        <w:left w:val="none" w:sz="0" w:space="0" w:color="auto"/>
        <w:bottom w:val="none" w:sz="0" w:space="0" w:color="auto"/>
        <w:right w:val="none" w:sz="0" w:space="0" w:color="auto"/>
      </w:divBdr>
    </w:div>
    <w:div w:id="213123636">
      <w:marLeft w:val="0"/>
      <w:marRight w:val="0"/>
      <w:marTop w:val="0"/>
      <w:marBottom w:val="0"/>
      <w:divBdr>
        <w:top w:val="none" w:sz="0" w:space="0" w:color="auto"/>
        <w:left w:val="none" w:sz="0" w:space="0" w:color="auto"/>
        <w:bottom w:val="none" w:sz="0" w:space="0" w:color="auto"/>
        <w:right w:val="none" w:sz="0" w:space="0" w:color="auto"/>
      </w:divBdr>
    </w:div>
    <w:div w:id="213123637">
      <w:marLeft w:val="0"/>
      <w:marRight w:val="0"/>
      <w:marTop w:val="0"/>
      <w:marBottom w:val="0"/>
      <w:divBdr>
        <w:top w:val="none" w:sz="0" w:space="0" w:color="auto"/>
        <w:left w:val="none" w:sz="0" w:space="0" w:color="auto"/>
        <w:bottom w:val="none" w:sz="0" w:space="0" w:color="auto"/>
        <w:right w:val="none" w:sz="0" w:space="0" w:color="auto"/>
      </w:divBdr>
    </w:div>
    <w:div w:id="213123638">
      <w:marLeft w:val="0"/>
      <w:marRight w:val="0"/>
      <w:marTop w:val="0"/>
      <w:marBottom w:val="0"/>
      <w:divBdr>
        <w:top w:val="none" w:sz="0" w:space="0" w:color="auto"/>
        <w:left w:val="none" w:sz="0" w:space="0" w:color="auto"/>
        <w:bottom w:val="none" w:sz="0" w:space="0" w:color="auto"/>
        <w:right w:val="none" w:sz="0" w:space="0" w:color="auto"/>
      </w:divBdr>
    </w:div>
    <w:div w:id="273754158">
      <w:bodyDiv w:val="1"/>
      <w:marLeft w:val="0"/>
      <w:marRight w:val="0"/>
      <w:marTop w:val="0"/>
      <w:marBottom w:val="0"/>
      <w:divBdr>
        <w:top w:val="none" w:sz="0" w:space="0" w:color="auto"/>
        <w:left w:val="none" w:sz="0" w:space="0" w:color="auto"/>
        <w:bottom w:val="none" w:sz="0" w:space="0" w:color="auto"/>
        <w:right w:val="none" w:sz="0" w:space="0" w:color="auto"/>
      </w:divBdr>
    </w:div>
    <w:div w:id="322703213">
      <w:bodyDiv w:val="1"/>
      <w:marLeft w:val="0"/>
      <w:marRight w:val="0"/>
      <w:marTop w:val="0"/>
      <w:marBottom w:val="0"/>
      <w:divBdr>
        <w:top w:val="none" w:sz="0" w:space="0" w:color="auto"/>
        <w:left w:val="none" w:sz="0" w:space="0" w:color="auto"/>
        <w:bottom w:val="none" w:sz="0" w:space="0" w:color="auto"/>
        <w:right w:val="none" w:sz="0" w:space="0" w:color="auto"/>
      </w:divBdr>
    </w:div>
    <w:div w:id="644042538">
      <w:bodyDiv w:val="1"/>
      <w:marLeft w:val="0"/>
      <w:marRight w:val="0"/>
      <w:marTop w:val="0"/>
      <w:marBottom w:val="0"/>
      <w:divBdr>
        <w:top w:val="none" w:sz="0" w:space="0" w:color="auto"/>
        <w:left w:val="none" w:sz="0" w:space="0" w:color="auto"/>
        <w:bottom w:val="none" w:sz="0" w:space="0" w:color="auto"/>
        <w:right w:val="none" w:sz="0" w:space="0" w:color="auto"/>
      </w:divBdr>
    </w:div>
    <w:div w:id="670062225">
      <w:bodyDiv w:val="1"/>
      <w:marLeft w:val="0"/>
      <w:marRight w:val="0"/>
      <w:marTop w:val="0"/>
      <w:marBottom w:val="0"/>
      <w:divBdr>
        <w:top w:val="none" w:sz="0" w:space="0" w:color="auto"/>
        <w:left w:val="none" w:sz="0" w:space="0" w:color="auto"/>
        <w:bottom w:val="none" w:sz="0" w:space="0" w:color="auto"/>
        <w:right w:val="none" w:sz="0" w:space="0" w:color="auto"/>
      </w:divBdr>
    </w:div>
    <w:div w:id="1005747553">
      <w:bodyDiv w:val="1"/>
      <w:marLeft w:val="0"/>
      <w:marRight w:val="0"/>
      <w:marTop w:val="0"/>
      <w:marBottom w:val="0"/>
      <w:divBdr>
        <w:top w:val="none" w:sz="0" w:space="0" w:color="auto"/>
        <w:left w:val="none" w:sz="0" w:space="0" w:color="auto"/>
        <w:bottom w:val="none" w:sz="0" w:space="0" w:color="auto"/>
        <w:right w:val="none" w:sz="0" w:space="0" w:color="auto"/>
      </w:divBdr>
    </w:div>
    <w:div w:id="1114250943">
      <w:bodyDiv w:val="1"/>
      <w:marLeft w:val="0"/>
      <w:marRight w:val="0"/>
      <w:marTop w:val="0"/>
      <w:marBottom w:val="0"/>
      <w:divBdr>
        <w:top w:val="none" w:sz="0" w:space="0" w:color="auto"/>
        <w:left w:val="none" w:sz="0" w:space="0" w:color="auto"/>
        <w:bottom w:val="none" w:sz="0" w:space="0" w:color="auto"/>
        <w:right w:val="none" w:sz="0" w:space="0" w:color="auto"/>
      </w:divBdr>
    </w:div>
    <w:div w:id="1115947171">
      <w:bodyDiv w:val="1"/>
      <w:marLeft w:val="0"/>
      <w:marRight w:val="0"/>
      <w:marTop w:val="0"/>
      <w:marBottom w:val="0"/>
      <w:divBdr>
        <w:top w:val="none" w:sz="0" w:space="0" w:color="auto"/>
        <w:left w:val="none" w:sz="0" w:space="0" w:color="auto"/>
        <w:bottom w:val="none" w:sz="0" w:space="0" w:color="auto"/>
        <w:right w:val="none" w:sz="0" w:space="0" w:color="auto"/>
      </w:divBdr>
    </w:div>
    <w:div w:id="1117068689">
      <w:bodyDiv w:val="1"/>
      <w:marLeft w:val="0"/>
      <w:marRight w:val="0"/>
      <w:marTop w:val="0"/>
      <w:marBottom w:val="0"/>
      <w:divBdr>
        <w:top w:val="none" w:sz="0" w:space="0" w:color="auto"/>
        <w:left w:val="none" w:sz="0" w:space="0" w:color="auto"/>
        <w:bottom w:val="none" w:sz="0" w:space="0" w:color="auto"/>
        <w:right w:val="none" w:sz="0" w:space="0" w:color="auto"/>
      </w:divBdr>
    </w:div>
    <w:div w:id="1170172822">
      <w:bodyDiv w:val="1"/>
      <w:marLeft w:val="0"/>
      <w:marRight w:val="0"/>
      <w:marTop w:val="0"/>
      <w:marBottom w:val="0"/>
      <w:divBdr>
        <w:top w:val="none" w:sz="0" w:space="0" w:color="auto"/>
        <w:left w:val="none" w:sz="0" w:space="0" w:color="auto"/>
        <w:bottom w:val="none" w:sz="0" w:space="0" w:color="auto"/>
        <w:right w:val="none" w:sz="0" w:space="0" w:color="auto"/>
      </w:divBdr>
    </w:div>
    <w:div w:id="1210190248">
      <w:bodyDiv w:val="1"/>
      <w:marLeft w:val="0"/>
      <w:marRight w:val="0"/>
      <w:marTop w:val="0"/>
      <w:marBottom w:val="0"/>
      <w:divBdr>
        <w:top w:val="none" w:sz="0" w:space="0" w:color="auto"/>
        <w:left w:val="none" w:sz="0" w:space="0" w:color="auto"/>
        <w:bottom w:val="none" w:sz="0" w:space="0" w:color="auto"/>
        <w:right w:val="none" w:sz="0" w:space="0" w:color="auto"/>
      </w:divBdr>
    </w:div>
    <w:div w:id="1289781119">
      <w:bodyDiv w:val="1"/>
      <w:marLeft w:val="0"/>
      <w:marRight w:val="0"/>
      <w:marTop w:val="0"/>
      <w:marBottom w:val="0"/>
      <w:divBdr>
        <w:top w:val="none" w:sz="0" w:space="0" w:color="auto"/>
        <w:left w:val="none" w:sz="0" w:space="0" w:color="auto"/>
        <w:bottom w:val="none" w:sz="0" w:space="0" w:color="auto"/>
        <w:right w:val="none" w:sz="0" w:space="0" w:color="auto"/>
      </w:divBdr>
    </w:div>
    <w:div w:id="1530484841">
      <w:bodyDiv w:val="1"/>
      <w:marLeft w:val="0"/>
      <w:marRight w:val="0"/>
      <w:marTop w:val="0"/>
      <w:marBottom w:val="0"/>
      <w:divBdr>
        <w:top w:val="none" w:sz="0" w:space="0" w:color="auto"/>
        <w:left w:val="none" w:sz="0" w:space="0" w:color="auto"/>
        <w:bottom w:val="none" w:sz="0" w:space="0" w:color="auto"/>
        <w:right w:val="none" w:sz="0" w:space="0" w:color="auto"/>
      </w:divBdr>
    </w:div>
    <w:div w:id="1549417623">
      <w:bodyDiv w:val="1"/>
      <w:marLeft w:val="0"/>
      <w:marRight w:val="0"/>
      <w:marTop w:val="0"/>
      <w:marBottom w:val="0"/>
      <w:divBdr>
        <w:top w:val="none" w:sz="0" w:space="0" w:color="auto"/>
        <w:left w:val="none" w:sz="0" w:space="0" w:color="auto"/>
        <w:bottom w:val="none" w:sz="0" w:space="0" w:color="auto"/>
        <w:right w:val="none" w:sz="0" w:space="0" w:color="auto"/>
      </w:divBdr>
    </w:div>
    <w:div w:id="1556355356">
      <w:bodyDiv w:val="1"/>
      <w:marLeft w:val="0"/>
      <w:marRight w:val="0"/>
      <w:marTop w:val="0"/>
      <w:marBottom w:val="0"/>
      <w:divBdr>
        <w:top w:val="none" w:sz="0" w:space="0" w:color="auto"/>
        <w:left w:val="none" w:sz="0" w:space="0" w:color="auto"/>
        <w:bottom w:val="none" w:sz="0" w:space="0" w:color="auto"/>
        <w:right w:val="none" w:sz="0" w:space="0" w:color="auto"/>
      </w:divBdr>
    </w:div>
    <w:div w:id="1630475139">
      <w:bodyDiv w:val="1"/>
      <w:marLeft w:val="0"/>
      <w:marRight w:val="0"/>
      <w:marTop w:val="0"/>
      <w:marBottom w:val="0"/>
      <w:divBdr>
        <w:top w:val="none" w:sz="0" w:space="0" w:color="auto"/>
        <w:left w:val="none" w:sz="0" w:space="0" w:color="auto"/>
        <w:bottom w:val="none" w:sz="0" w:space="0" w:color="auto"/>
        <w:right w:val="none" w:sz="0" w:space="0" w:color="auto"/>
      </w:divBdr>
    </w:div>
    <w:div w:id="1782407786">
      <w:bodyDiv w:val="1"/>
      <w:marLeft w:val="180"/>
      <w:marRight w:val="180"/>
      <w:marTop w:val="180"/>
      <w:marBottom w:val="180"/>
      <w:divBdr>
        <w:top w:val="none" w:sz="0" w:space="0" w:color="auto"/>
        <w:left w:val="none" w:sz="0" w:space="0" w:color="auto"/>
        <w:bottom w:val="none" w:sz="0" w:space="0" w:color="auto"/>
        <w:right w:val="none" w:sz="0" w:space="0" w:color="auto"/>
      </w:divBdr>
      <w:divsChild>
        <w:div w:id="776758508">
          <w:marLeft w:val="0"/>
          <w:marRight w:val="0"/>
          <w:marTop w:val="0"/>
          <w:marBottom w:val="0"/>
          <w:divBdr>
            <w:top w:val="none" w:sz="0" w:space="0" w:color="auto"/>
            <w:left w:val="none" w:sz="0" w:space="0" w:color="auto"/>
            <w:bottom w:val="none" w:sz="0" w:space="0" w:color="auto"/>
            <w:right w:val="none" w:sz="0" w:space="0" w:color="auto"/>
          </w:divBdr>
        </w:div>
      </w:divsChild>
    </w:div>
    <w:div w:id="1875339606">
      <w:bodyDiv w:val="1"/>
      <w:marLeft w:val="0"/>
      <w:marRight w:val="0"/>
      <w:marTop w:val="0"/>
      <w:marBottom w:val="0"/>
      <w:divBdr>
        <w:top w:val="none" w:sz="0" w:space="0" w:color="auto"/>
        <w:left w:val="none" w:sz="0" w:space="0" w:color="auto"/>
        <w:bottom w:val="none" w:sz="0" w:space="0" w:color="auto"/>
        <w:right w:val="none" w:sz="0" w:space="0" w:color="auto"/>
      </w:divBdr>
    </w:div>
    <w:div w:id="191077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FB9AF-3533-4DD1-8A2E-2AB720A0C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6101</Words>
  <Characters>34777</Characters>
  <Application>Microsoft Office Word</Application>
  <DocSecurity>0</DocSecurity>
  <Lines>289</Lines>
  <Paragraphs>81</Paragraphs>
  <ScaleCrop>false</ScaleCrop>
  <Company/>
  <LinksUpToDate>false</LinksUpToDate>
  <CharactersWithSpaces>40797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2020-08-17T12:17:00Z</dcterms:created>
  <dcterms:modified xsi:type="dcterms:W3CDTF">2020-08-18T06:47:00Z</dcterms:modified>
</cp:coreProperties>
</file>