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A5D" w:rsidRPr="00862636" w:rsidRDefault="008A5A5D" w:rsidP="006D141C">
      <w:pPr>
        <w:autoSpaceDE w:val="0"/>
        <w:autoSpaceDN w:val="0"/>
        <w:adjustRightInd w:val="0"/>
        <w:spacing w:line="360" w:lineRule="auto"/>
        <w:jc w:val="left"/>
        <w:rPr>
          <w:rFonts w:eastAsiaTheme="minorEastAsia"/>
          <w:color w:val="000000"/>
          <w:kern w:val="0"/>
          <w:szCs w:val="21"/>
        </w:rPr>
      </w:pPr>
      <w:bookmarkStart w:id="0" w:name="_GoBack"/>
    </w:p>
    <w:p w:rsidR="008A5A5D" w:rsidRPr="00862636" w:rsidRDefault="008A5A5D" w:rsidP="006D141C">
      <w:pPr>
        <w:autoSpaceDE w:val="0"/>
        <w:autoSpaceDN w:val="0"/>
        <w:adjustRightInd w:val="0"/>
        <w:spacing w:line="360" w:lineRule="auto"/>
        <w:jc w:val="left"/>
        <w:rPr>
          <w:rFonts w:eastAsiaTheme="minorEastAsia"/>
          <w:color w:val="000000"/>
          <w:kern w:val="0"/>
          <w:szCs w:val="21"/>
        </w:rPr>
      </w:pPr>
    </w:p>
    <w:p w:rsidR="006A28BF" w:rsidRPr="00862636" w:rsidRDefault="006A28BF" w:rsidP="006D141C">
      <w:pPr>
        <w:autoSpaceDE w:val="0"/>
        <w:autoSpaceDN w:val="0"/>
        <w:adjustRightInd w:val="0"/>
        <w:spacing w:line="360" w:lineRule="auto"/>
        <w:jc w:val="left"/>
        <w:rPr>
          <w:rFonts w:eastAsiaTheme="minorEastAsia"/>
          <w:color w:val="000000"/>
          <w:kern w:val="0"/>
          <w:szCs w:val="21"/>
        </w:rPr>
      </w:pPr>
    </w:p>
    <w:p w:rsidR="008A5A5D" w:rsidRPr="00862636" w:rsidRDefault="008A5A5D" w:rsidP="006D141C">
      <w:pPr>
        <w:autoSpaceDE w:val="0"/>
        <w:autoSpaceDN w:val="0"/>
        <w:adjustRightInd w:val="0"/>
        <w:spacing w:line="360" w:lineRule="auto"/>
        <w:jc w:val="left"/>
        <w:rPr>
          <w:rStyle w:val="af8"/>
          <w:rFonts w:eastAsiaTheme="minorEastAsia"/>
          <w:szCs w:val="21"/>
        </w:rPr>
      </w:pPr>
    </w:p>
    <w:p w:rsidR="008A5A5D" w:rsidRPr="00307E35" w:rsidRDefault="008A5A5D" w:rsidP="00F07EDE">
      <w:pPr>
        <w:spacing w:line="360" w:lineRule="auto"/>
        <w:jc w:val="center"/>
        <w:rPr>
          <w:b/>
          <w:sz w:val="44"/>
          <w:szCs w:val="44"/>
        </w:rPr>
      </w:pPr>
      <w:bookmarkStart w:id="1" w:name="_Toc352254876"/>
      <w:bookmarkStart w:id="2" w:name="_Toc352255956"/>
      <w:bookmarkStart w:id="3" w:name="_Toc352256024"/>
      <w:bookmarkStart w:id="4" w:name="_Toc352256201"/>
      <w:bookmarkStart w:id="5" w:name="_Toc352331202"/>
      <w:r w:rsidRPr="00307E35">
        <w:rPr>
          <w:b/>
          <w:sz w:val="44"/>
          <w:szCs w:val="44"/>
        </w:rPr>
        <w:t>易方达中证海外中国互联网</w:t>
      </w:r>
      <w:r w:rsidRPr="00307E35">
        <w:rPr>
          <w:b/>
          <w:sz w:val="44"/>
          <w:szCs w:val="44"/>
        </w:rPr>
        <w:t>50</w:t>
      </w:r>
      <w:r w:rsidRPr="00307E35">
        <w:rPr>
          <w:b/>
          <w:sz w:val="44"/>
          <w:szCs w:val="44"/>
        </w:rPr>
        <w:t>交易型开放式指数证券投资基金联接基金</w:t>
      </w:r>
      <w:bookmarkEnd w:id="1"/>
      <w:bookmarkEnd w:id="2"/>
      <w:bookmarkEnd w:id="3"/>
      <w:bookmarkEnd w:id="4"/>
      <w:bookmarkEnd w:id="5"/>
    </w:p>
    <w:p w:rsidR="008A5A5D" w:rsidRPr="00307E35" w:rsidRDefault="008A5A5D" w:rsidP="00F07EDE">
      <w:pPr>
        <w:spacing w:line="360" w:lineRule="auto"/>
        <w:jc w:val="center"/>
        <w:rPr>
          <w:b/>
          <w:sz w:val="44"/>
          <w:szCs w:val="44"/>
        </w:rPr>
      </w:pPr>
      <w:bookmarkStart w:id="6" w:name="_Toc352254877"/>
      <w:bookmarkStart w:id="7" w:name="_Toc352255957"/>
      <w:bookmarkStart w:id="8" w:name="_Toc352256025"/>
      <w:bookmarkStart w:id="9" w:name="_Toc352256202"/>
      <w:bookmarkStart w:id="10" w:name="_Toc352331203"/>
      <w:r w:rsidRPr="00307E35">
        <w:rPr>
          <w:b/>
          <w:sz w:val="44"/>
          <w:szCs w:val="44"/>
        </w:rPr>
        <w:t>2020</w:t>
      </w:r>
      <w:r w:rsidRPr="00307E35">
        <w:rPr>
          <w:b/>
          <w:sz w:val="44"/>
          <w:szCs w:val="44"/>
        </w:rPr>
        <w:t>年中期报告</w:t>
      </w:r>
      <w:bookmarkEnd w:id="6"/>
      <w:bookmarkEnd w:id="7"/>
      <w:bookmarkEnd w:id="8"/>
      <w:bookmarkEnd w:id="9"/>
      <w:bookmarkEnd w:id="10"/>
    </w:p>
    <w:p w:rsidR="008A5A5D" w:rsidRPr="00307E35" w:rsidRDefault="00146FBA" w:rsidP="00F07EDE">
      <w:pPr>
        <w:spacing w:line="360" w:lineRule="auto"/>
        <w:jc w:val="center"/>
        <w:rPr>
          <w:b/>
          <w:sz w:val="44"/>
          <w:szCs w:val="44"/>
        </w:rPr>
      </w:pPr>
      <w:r w:rsidRPr="00307E35">
        <w:rPr>
          <w:b/>
          <w:sz w:val="44"/>
          <w:szCs w:val="44"/>
        </w:rPr>
        <w:t>2020</w:t>
      </w:r>
      <w:r w:rsidRPr="00307E35">
        <w:rPr>
          <w:b/>
          <w:sz w:val="44"/>
          <w:szCs w:val="44"/>
        </w:rPr>
        <w:t>年</w:t>
      </w:r>
      <w:r w:rsidRPr="00307E35">
        <w:rPr>
          <w:b/>
          <w:sz w:val="44"/>
          <w:szCs w:val="44"/>
        </w:rPr>
        <w:t>6</w:t>
      </w:r>
      <w:r w:rsidRPr="00307E35">
        <w:rPr>
          <w:b/>
          <w:sz w:val="44"/>
          <w:szCs w:val="44"/>
        </w:rPr>
        <w:t>月</w:t>
      </w:r>
      <w:r w:rsidRPr="00307E35">
        <w:rPr>
          <w:b/>
          <w:sz w:val="44"/>
          <w:szCs w:val="44"/>
        </w:rPr>
        <w:t>30</w:t>
      </w:r>
      <w:r w:rsidRPr="00307E35">
        <w:rPr>
          <w:b/>
          <w:sz w:val="44"/>
          <w:szCs w:val="44"/>
        </w:rPr>
        <w:t>日</w:t>
      </w:r>
    </w:p>
    <w:p w:rsidR="008A5A5D" w:rsidRPr="008134C7" w:rsidRDefault="008A5A5D" w:rsidP="006D141C">
      <w:pPr>
        <w:spacing w:line="360" w:lineRule="auto"/>
        <w:jc w:val="center"/>
        <w:rPr>
          <w:rStyle w:val="af8"/>
          <w:rFonts w:eastAsiaTheme="minorEastAsia"/>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rPr>
          <w:rFonts w:eastAsiaTheme="minorEastAsia"/>
          <w:b/>
          <w:color w:val="000000"/>
          <w:sz w:val="24"/>
        </w:rPr>
      </w:pPr>
    </w:p>
    <w:p w:rsidR="008A5A5D" w:rsidRPr="008134C7"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基金管理人：易方达基金管理有限公司</w:t>
      </w:r>
    </w:p>
    <w:p w:rsidR="008A5A5D" w:rsidRPr="008134C7"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基金托管人：招商银行股份有限公司</w:t>
      </w:r>
    </w:p>
    <w:p w:rsidR="008A5A5D" w:rsidRPr="00862636"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送出日期：二〇二〇年八月二十八日</w:t>
      </w:r>
    </w:p>
    <w:p w:rsidR="008A5A5D" w:rsidRPr="00862636" w:rsidRDefault="008A5A5D" w:rsidP="00F07EDE">
      <w:pPr>
        <w:spacing w:line="288" w:lineRule="auto"/>
        <w:ind w:firstLineChars="900" w:firstLine="1897"/>
        <w:rPr>
          <w:rFonts w:eastAsiaTheme="minorEastAsia"/>
          <w:b/>
          <w:color w:val="000000"/>
          <w:szCs w:val="21"/>
        </w:rPr>
        <w:sectPr w:rsidR="008A5A5D" w:rsidRPr="00862636">
          <w:headerReference w:type="default" r:id="rId8"/>
          <w:footerReference w:type="default" r:id="rId9"/>
          <w:pgSz w:w="11926" w:h="15840"/>
          <w:pgMar w:top="1418" w:right="1418" w:bottom="851" w:left="1418" w:header="851" w:footer="992" w:gutter="0"/>
          <w:cols w:space="720"/>
        </w:sectPr>
      </w:pPr>
    </w:p>
    <w:p w:rsidR="00937FC6" w:rsidRPr="00A432E9" w:rsidRDefault="00937FC6"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1" w:name="_Toc225498243"/>
      <w:bookmarkStart w:id="12" w:name="_Toc352255958"/>
      <w:bookmarkStart w:id="13" w:name="_Toc352256026"/>
      <w:bookmarkStart w:id="14" w:name="_Toc352331204"/>
      <w:bookmarkStart w:id="15" w:name="_Toc48659021"/>
      <w:r w:rsidRPr="000C6CCD">
        <w:rPr>
          <w:rFonts w:ascii="宋体" w:hAnsi="宋体"/>
          <w:bCs w:val="0"/>
          <w:color w:val="000000"/>
          <w:sz w:val="21"/>
          <w:szCs w:val="21"/>
        </w:rPr>
        <w:lastRenderedPageBreak/>
        <w:t>1</w:t>
      </w:r>
      <w:r w:rsidR="000C6CCD">
        <w:rPr>
          <w:rFonts w:ascii="Times New Roman" w:hAnsi="Times New Roman"/>
          <w:bCs w:val="0"/>
          <w:color w:val="000000"/>
          <w:sz w:val="21"/>
          <w:szCs w:val="21"/>
        </w:rPr>
        <w:t xml:space="preserve">    </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重要提示及目录</w:t>
      </w:r>
      <w:bookmarkEnd w:id="11"/>
      <w:bookmarkEnd w:id="12"/>
      <w:bookmarkEnd w:id="13"/>
      <w:bookmarkEnd w:id="14"/>
      <w:bookmarkEnd w:id="15"/>
    </w:p>
    <w:p w:rsidR="00C24ACA" w:rsidRPr="00A432E9" w:rsidRDefault="00C24ACA" w:rsidP="006C64F3">
      <w:pPr>
        <w:pStyle w:val="20"/>
        <w:spacing w:beforeLines="100" w:before="312" w:after="0"/>
        <w:rPr>
          <w:rFonts w:ascii="Times New Roman" w:eastAsiaTheme="minorEastAsia" w:hAnsi="Times New Roman"/>
          <w:kern w:val="0"/>
          <w:sz w:val="21"/>
          <w:szCs w:val="21"/>
        </w:rPr>
      </w:pPr>
      <w:bookmarkStart w:id="16" w:name="_Toc352255959"/>
      <w:bookmarkStart w:id="17" w:name="_Toc352256027"/>
      <w:bookmarkStart w:id="18" w:name="_Toc352331205"/>
      <w:bookmarkStart w:id="19" w:name="_Toc48659022"/>
      <w:r w:rsidRPr="0087359D">
        <w:rPr>
          <w:rFonts w:ascii="宋体" w:hAnsi="宋体"/>
          <w:kern w:val="0"/>
          <w:sz w:val="21"/>
          <w:szCs w:val="21"/>
        </w:rPr>
        <w:t>1.1</w:t>
      </w:r>
      <w:r w:rsidR="009A2157" w:rsidRPr="009A2157">
        <w:rPr>
          <w:rFonts w:ascii="Times New Roman" w:eastAsiaTheme="minorEastAsia" w:hAnsi="Times New Roman"/>
          <w:kern w:val="0"/>
          <w:sz w:val="21"/>
          <w:szCs w:val="21"/>
        </w:rPr>
        <w:t xml:space="preserve">   </w:t>
      </w:r>
      <w:r w:rsidRPr="00A432E9">
        <w:rPr>
          <w:rFonts w:ascii="Times New Roman" w:eastAsiaTheme="minorEastAsia" w:hAnsi="Times New Roman" w:hint="eastAsia"/>
          <w:kern w:val="0"/>
          <w:sz w:val="21"/>
          <w:szCs w:val="21"/>
        </w:rPr>
        <w:t>重要提示</w:t>
      </w:r>
      <w:bookmarkEnd w:id="16"/>
      <w:bookmarkEnd w:id="17"/>
      <w:bookmarkEnd w:id="18"/>
      <w:bookmarkEnd w:id="19"/>
    </w:p>
    <w:p w:rsidR="007F3F42" w:rsidRDefault="00781698">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7F3F42" w:rsidRDefault="00781698">
      <w:pPr>
        <w:spacing w:line="360" w:lineRule="auto"/>
        <w:ind w:firstLineChars="200" w:firstLine="420"/>
        <w:rPr>
          <w:szCs w:val="21"/>
        </w:rPr>
      </w:pPr>
      <w:r>
        <w:rPr>
          <w:color w:val="000000"/>
          <w:szCs w:val="21"/>
        </w:rPr>
        <w:t>基金托管人招商银行股份有限公司根据本基金合同规定，于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7F3F42" w:rsidRDefault="00781698">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7F3F42" w:rsidRDefault="00781698">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7F3F42" w:rsidRDefault="00781698">
      <w:pPr>
        <w:spacing w:line="360" w:lineRule="auto"/>
        <w:ind w:firstLineChars="200" w:firstLine="420"/>
        <w:rPr>
          <w:szCs w:val="21"/>
        </w:rPr>
      </w:pPr>
      <w:r>
        <w:rPr>
          <w:color w:val="000000"/>
          <w:szCs w:val="21"/>
        </w:rPr>
        <w:t>本报告中财务资料未经审计。</w:t>
      </w:r>
      <w:r>
        <w:rPr>
          <w:color w:val="000000"/>
          <w:szCs w:val="21"/>
        </w:rPr>
        <w:t xml:space="preserve"> </w:t>
      </w:r>
    </w:p>
    <w:p w:rsidR="00C24ACA" w:rsidRPr="00C24ACA" w:rsidRDefault="00C24ACA" w:rsidP="008707EB">
      <w:pPr>
        <w:spacing w:line="360" w:lineRule="auto"/>
        <w:ind w:firstLineChars="200" w:firstLine="420"/>
        <w:rPr>
          <w:szCs w:val="21"/>
        </w:rPr>
      </w:pPr>
      <w:r w:rsidRPr="00C24ACA">
        <w:rPr>
          <w:color w:val="000000"/>
          <w:szCs w:val="21"/>
        </w:rPr>
        <w:t>本报告期自</w:t>
      </w:r>
      <w:r w:rsidRPr="00C24ACA">
        <w:rPr>
          <w:color w:val="000000"/>
          <w:szCs w:val="21"/>
        </w:rPr>
        <w:t>2020</w:t>
      </w:r>
      <w:r w:rsidRPr="00C24ACA">
        <w:rPr>
          <w:color w:val="000000"/>
          <w:szCs w:val="21"/>
        </w:rPr>
        <w:t>年</w:t>
      </w:r>
      <w:r w:rsidRPr="00C24ACA">
        <w:rPr>
          <w:color w:val="000000"/>
          <w:szCs w:val="21"/>
        </w:rPr>
        <w:t>1</w:t>
      </w:r>
      <w:r w:rsidRPr="00C24ACA">
        <w:rPr>
          <w:color w:val="000000"/>
          <w:szCs w:val="21"/>
        </w:rPr>
        <w:t>月</w:t>
      </w:r>
      <w:r w:rsidRPr="00C24ACA">
        <w:rPr>
          <w:color w:val="000000"/>
          <w:szCs w:val="21"/>
        </w:rPr>
        <w:t>1</w:t>
      </w:r>
      <w:r w:rsidRPr="00C24ACA">
        <w:rPr>
          <w:color w:val="000000"/>
          <w:szCs w:val="21"/>
        </w:rPr>
        <w:t>日起至</w:t>
      </w:r>
      <w:r w:rsidRPr="00C24ACA">
        <w:rPr>
          <w:color w:val="000000"/>
          <w:szCs w:val="21"/>
        </w:rPr>
        <w:t>6</w:t>
      </w:r>
      <w:r w:rsidRPr="00C24ACA">
        <w:rPr>
          <w:color w:val="000000"/>
          <w:szCs w:val="21"/>
        </w:rPr>
        <w:t>月</w:t>
      </w:r>
      <w:r w:rsidRPr="00C24ACA">
        <w:rPr>
          <w:color w:val="000000"/>
          <w:szCs w:val="21"/>
        </w:rPr>
        <w:t>30</w:t>
      </w:r>
      <w:r w:rsidRPr="00C24ACA">
        <w:rPr>
          <w:color w:val="000000"/>
          <w:szCs w:val="21"/>
        </w:rPr>
        <w:t>日止。</w:t>
      </w:r>
    </w:p>
    <w:p w:rsidR="00937FC6" w:rsidRPr="00C24ACA" w:rsidRDefault="00871A0D" w:rsidP="006C64F3">
      <w:pPr>
        <w:pStyle w:val="20"/>
        <w:spacing w:beforeLines="100" w:before="312" w:after="0"/>
        <w:rPr>
          <w:rFonts w:eastAsiaTheme="minorEastAsia"/>
          <w:b w:val="0"/>
          <w:szCs w:val="21"/>
        </w:rPr>
      </w:pPr>
      <w:r w:rsidRPr="00C24ACA">
        <w:rPr>
          <w:rFonts w:eastAsiaTheme="minorEastAsia"/>
          <w:szCs w:val="21"/>
        </w:rPr>
        <w:br w:type="page"/>
      </w:r>
      <w:bookmarkStart w:id="20" w:name="_Toc48659023"/>
      <w:r w:rsidR="00937FC6" w:rsidRPr="00E141AF">
        <w:rPr>
          <w:rFonts w:ascii="宋体" w:hAnsi="宋体"/>
          <w:kern w:val="0"/>
          <w:sz w:val="21"/>
          <w:szCs w:val="21"/>
        </w:rPr>
        <w:lastRenderedPageBreak/>
        <w:t>1.2</w:t>
      </w:r>
      <w:r w:rsidR="00EC4AF6" w:rsidRPr="00EC4AF6">
        <w:rPr>
          <w:rFonts w:ascii="宋体" w:hAnsi="宋体"/>
          <w:kern w:val="0"/>
          <w:sz w:val="21"/>
          <w:szCs w:val="21"/>
        </w:rPr>
        <w:t xml:space="preserve">   </w:t>
      </w:r>
      <w:r w:rsidR="00937FC6" w:rsidRPr="00E141AF">
        <w:rPr>
          <w:rFonts w:ascii="宋体" w:hAnsi="宋体"/>
          <w:kern w:val="0"/>
          <w:sz w:val="21"/>
          <w:szCs w:val="21"/>
        </w:rPr>
        <w:t>目录</w:t>
      </w:r>
      <w:bookmarkEnd w:id="20"/>
    </w:p>
    <w:p w:rsidR="00A025BF" w:rsidRDefault="00EF5FA8">
      <w:pPr>
        <w:pStyle w:val="22"/>
        <w:ind w:left="420"/>
        <w:rPr>
          <w:rFonts w:asciiTheme="minorHAnsi" w:eastAsiaTheme="minorEastAsia" w:hAnsiTheme="minorHAnsi" w:cstheme="minorBidi"/>
          <w:noProof/>
          <w:kern w:val="2"/>
          <w:szCs w:val="22"/>
        </w:rPr>
      </w:pPr>
      <w:r w:rsidRPr="006F3222">
        <w:rPr>
          <w:rFonts w:eastAsiaTheme="minorEastAsia"/>
        </w:rPr>
        <w:fldChar w:fldCharType="begin"/>
      </w:r>
      <w:r w:rsidR="00937FC6" w:rsidRPr="006F3222">
        <w:rPr>
          <w:rFonts w:eastAsiaTheme="minorEastAsia"/>
        </w:rPr>
        <w:instrText xml:space="preserve"> TOC \o "1-3" \h \z \u </w:instrText>
      </w:r>
      <w:r w:rsidRPr="006F3222">
        <w:rPr>
          <w:rFonts w:eastAsiaTheme="minorEastAsia"/>
        </w:rPr>
        <w:fldChar w:fldCharType="separate"/>
      </w:r>
      <w:hyperlink w:anchor="_Toc48659021" w:history="1">
        <w:r w:rsidR="00A025BF" w:rsidRPr="00E60DB8">
          <w:rPr>
            <w:rStyle w:val="a9"/>
            <w:rFonts w:ascii="宋体" w:hAnsi="宋体"/>
            <w:noProof/>
          </w:rPr>
          <w:t>1</w:t>
        </w:r>
        <w:r w:rsidR="00A025BF" w:rsidRPr="00E60DB8">
          <w:rPr>
            <w:rStyle w:val="a9"/>
            <w:noProof/>
          </w:rPr>
          <w:t xml:space="preserve">     </w:t>
        </w:r>
        <w:r w:rsidR="00A025BF" w:rsidRPr="00E60DB8">
          <w:rPr>
            <w:rStyle w:val="a9"/>
            <w:rFonts w:hint="eastAsia"/>
            <w:noProof/>
          </w:rPr>
          <w:t>重要提示及目录</w:t>
        </w:r>
        <w:r w:rsidR="00A025BF">
          <w:rPr>
            <w:noProof/>
            <w:webHidden/>
          </w:rPr>
          <w:tab/>
        </w:r>
        <w:r w:rsidR="00A025BF">
          <w:rPr>
            <w:noProof/>
            <w:webHidden/>
          </w:rPr>
          <w:fldChar w:fldCharType="begin"/>
        </w:r>
        <w:r w:rsidR="00A025BF">
          <w:rPr>
            <w:noProof/>
            <w:webHidden/>
          </w:rPr>
          <w:instrText xml:space="preserve"> PAGEREF _Toc48659021 \h </w:instrText>
        </w:r>
        <w:r w:rsidR="00A025BF">
          <w:rPr>
            <w:noProof/>
            <w:webHidden/>
          </w:rPr>
        </w:r>
        <w:r w:rsidR="00A025BF">
          <w:rPr>
            <w:noProof/>
            <w:webHidden/>
          </w:rPr>
          <w:fldChar w:fldCharType="separate"/>
        </w:r>
        <w:r w:rsidR="00A025BF">
          <w:rPr>
            <w:noProof/>
            <w:webHidden/>
          </w:rPr>
          <w:t>2</w:t>
        </w:r>
        <w:r w:rsidR="00A025BF">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22" w:history="1">
        <w:r w:rsidRPr="00E60DB8">
          <w:rPr>
            <w:rStyle w:val="a9"/>
            <w:rFonts w:ascii="宋体" w:hAnsi="宋体"/>
            <w:noProof/>
          </w:rPr>
          <w:t>1.1</w:t>
        </w:r>
        <w:r w:rsidRPr="00E60DB8">
          <w:rPr>
            <w:rStyle w:val="a9"/>
            <w:noProof/>
          </w:rPr>
          <w:t xml:space="preserve">   </w:t>
        </w:r>
        <w:r w:rsidRPr="00E60DB8">
          <w:rPr>
            <w:rStyle w:val="a9"/>
            <w:rFonts w:hint="eastAsia"/>
            <w:noProof/>
          </w:rPr>
          <w:t>重要提示</w:t>
        </w:r>
        <w:r>
          <w:rPr>
            <w:noProof/>
            <w:webHidden/>
          </w:rPr>
          <w:tab/>
        </w:r>
        <w:r>
          <w:rPr>
            <w:noProof/>
            <w:webHidden/>
          </w:rPr>
          <w:fldChar w:fldCharType="begin"/>
        </w:r>
        <w:r>
          <w:rPr>
            <w:noProof/>
            <w:webHidden/>
          </w:rPr>
          <w:instrText xml:space="preserve"> PAGEREF _Toc48659022 \h </w:instrText>
        </w:r>
        <w:r>
          <w:rPr>
            <w:noProof/>
            <w:webHidden/>
          </w:rPr>
        </w:r>
        <w:r>
          <w:rPr>
            <w:noProof/>
            <w:webHidden/>
          </w:rPr>
          <w:fldChar w:fldCharType="separate"/>
        </w:r>
        <w:r>
          <w:rPr>
            <w:noProof/>
            <w:webHidden/>
          </w:rPr>
          <w:t>2</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23" w:history="1">
        <w:r w:rsidRPr="00E60DB8">
          <w:rPr>
            <w:rStyle w:val="a9"/>
            <w:rFonts w:ascii="宋体" w:hAnsi="宋体"/>
            <w:noProof/>
          </w:rPr>
          <w:t xml:space="preserve">1.2   </w:t>
        </w:r>
        <w:r w:rsidRPr="00E60DB8">
          <w:rPr>
            <w:rStyle w:val="a9"/>
            <w:rFonts w:ascii="宋体" w:hAnsi="宋体" w:hint="eastAsia"/>
            <w:noProof/>
          </w:rPr>
          <w:t>目录</w:t>
        </w:r>
        <w:r>
          <w:rPr>
            <w:noProof/>
            <w:webHidden/>
          </w:rPr>
          <w:tab/>
        </w:r>
        <w:r>
          <w:rPr>
            <w:noProof/>
            <w:webHidden/>
          </w:rPr>
          <w:fldChar w:fldCharType="begin"/>
        </w:r>
        <w:r>
          <w:rPr>
            <w:noProof/>
            <w:webHidden/>
          </w:rPr>
          <w:instrText xml:space="preserve"> PAGEREF _Toc48659023 \h </w:instrText>
        </w:r>
        <w:r>
          <w:rPr>
            <w:noProof/>
            <w:webHidden/>
          </w:rPr>
        </w:r>
        <w:r>
          <w:rPr>
            <w:noProof/>
            <w:webHidden/>
          </w:rPr>
          <w:fldChar w:fldCharType="separate"/>
        </w:r>
        <w:r>
          <w:rPr>
            <w:noProof/>
            <w:webHidden/>
          </w:rPr>
          <w:t>3</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24" w:history="1">
        <w:r w:rsidRPr="00E60DB8">
          <w:rPr>
            <w:rStyle w:val="a9"/>
            <w:rFonts w:ascii="宋体" w:hAnsi="宋体"/>
            <w:noProof/>
          </w:rPr>
          <w:t>2</w:t>
        </w:r>
        <w:r w:rsidRPr="00E60DB8">
          <w:rPr>
            <w:rStyle w:val="a9"/>
            <w:noProof/>
          </w:rPr>
          <w:t xml:space="preserve">     </w:t>
        </w:r>
        <w:r w:rsidRPr="00E60DB8">
          <w:rPr>
            <w:rStyle w:val="a9"/>
            <w:rFonts w:hint="eastAsia"/>
            <w:noProof/>
          </w:rPr>
          <w:t>基金简介</w:t>
        </w:r>
        <w:r>
          <w:rPr>
            <w:noProof/>
            <w:webHidden/>
          </w:rPr>
          <w:tab/>
        </w:r>
        <w:r>
          <w:rPr>
            <w:noProof/>
            <w:webHidden/>
          </w:rPr>
          <w:fldChar w:fldCharType="begin"/>
        </w:r>
        <w:r>
          <w:rPr>
            <w:noProof/>
            <w:webHidden/>
          </w:rPr>
          <w:instrText xml:space="preserve"> PAGEREF _Toc48659024 \h </w:instrText>
        </w:r>
        <w:r>
          <w:rPr>
            <w:noProof/>
            <w:webHidden/>
          </w:rPr>
        </w:r>
        <w:r>
          <w:rPr>
            <w:noProof/>
            <w:webHidden/>
          </w:rPr>
          <w:fldChar w:fldCharType="separate"/>
        </w:r>
        <w:r>
          <w:rPr>
            <w:noProof/>
            <w:webHidden/>
          </w:rPr>
          <w:t>5</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25" w:history="1">
        <w:r w:rsidRPr="00E60DB8">
          <w:rPr>
            <w:rStyle w:val="a9"/>
            <w:rFonts w:ascii="宋体" w:hAnsi="宋体"/>
            <w:noProof/>
          </w:rPr>
          <w:t>2.1</w:t>
        </w:r>
        <w:r w:rsidRPr="00E60DB8">
          <w:rPr>
            <w:rStyle w:val="a9"/>
            <w:noProof/>
          </w:rPr>
          <w:t xml:space="preserve">   </w:t>
        </w:r>
        <w:r w:rsidRPr="00E60DB8">
          <w:rPr>
            <w:rStyle w:val="a9"/>
            <w:rFonts w:hint="eastAsia"/>
            <w:noProof/>
          </w:rPr>
          <w:t>基金基本情况</w:t>
        </w:r>
        <w:r>
          <w:rPr>
            <w:noProof/>
            <w:webHidden/>
          </w:rPr>
          <w:tab/>
        </w:r>
        <w:r>
          <w:rPr>
            <w:noProof/>
            <w:webHidden/>
          </w:rPr>
          <w:fldChar w:fldCharType="begin"/>
        </w:r>
        <w:r>
          <w:rPr>
            <w:noProof/>
            <w:webHidden/>
          </w:rPr>
          <w:instrText xml:space="preserve"> PAGEREF _Toc48659025 \h </w:instrText>
        </w:r>
        <w:r>
          <w:rPr>
            <w:noProof/>
            <w:webHidden/>
          </w:rPr>
        </w:r>
        <w:r>
          <w:rPr>
            <w:noProof/>
            <w:webHidden/>
          </w:rPr>
          <w:fldChar w:fldCharType="separate"/>
        </w:r>
        <w:r>
          <w:rPr>
            <w:noProof/>
            <w:webHidden/>
          </w:rPr>
          <w:t>5</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26" w:history="1">
        <w:r w:rsidRPr="00E60DB8">
          <w:rPr>
            <w:rStyle w:val="a9"/>
            <w:rFonts w:ascii="宋体" w:hAnsi="宋体"/>
            <w:noProof/>
          </w:rPr>
          <w:t>2.2</w:t>
        </w:r>
        <w:r w:rsidRPr="00E60DB8">
          <w:rPr>
            <w:rStyle w:val="a9"/>
            <w:noProof/>
          </w:rPr>
          <w:t xml:space="preserve">   </w:t>
        </w:r>
        <w:r w:rsidRPr="00E60DB8">
          <w:rPr>
            <w:rStyle w:val="a9"/>
            <w:rFonts w:hint="eastAsia"/>
            <w:noProof/>
          </w:rPr>
          <w:t>基金产品说明</w:t>
        </w:r>
        <w:r>
          <w:rPr>
            <w:noProof/>
            <w:webHidden/>
          </w:rPr>
          <w:tab/>
        </w:r>
        <w:r>
          <w:rPr>
            <w:noProof/>
            <w:webHidden/>
          </w:rPr>
          <w:fldChar w:fldCharType="begin"/>
        </w:r>
        <w:r>
          <w:rPr>
            <w:noProof/>
            <w:webHidden/>
          </w:rPr>
          <w:instrText xml:space="preserve"> PAGEREF _Toc48659026 \h </w:instrText>
        </w:r>
        <w:r>
          <w:rPr>
            <w:noProof/>
            <w:webHidden/>
          </w:rPr>
        </w:r>
        <w:r>
          <w:rPr>
            <w:noProof/>
            <w:webHidden/>
          </w:rPr>
          <w:fldChar w:fldCharType="separate"/>
        </w:r>
        <w:r>
          <w:rPr>
            <w:noProof/>
            <w:webHidden/>
          </w:rPr>
          <w:t>5</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27" w:history="1">
        <w:r w:rsidRPr="00E60DB8">
          <w:rPr>
            <w:rStyle w:val="a9"/>
            <w:rFonts w:ascii="宋体" w:hAnsi="宋体"/>
            <w:noProof/>
          </w:rPr>
          <w:t>2.3</w:t>
        </w:r>
        <w:r w:rsidRPr="00E60DB8">
          <w:rPr>
            <w:rStyle w:val="a9"/>
            <w:noProof/>
          </w:rPr>
          <w:t xml:space="preserve">   </w:t>
        </w:r>
        <w:r w:rsidRPr="00E60DB8">
          <w:rPr>
            <w:rStyle w:val="a9"/>
            <w:rFonts w:hint="eastAsia"/>
            <w:noProof/>
          </w:rPr>
          <w:t>基金管理人和基金托管人</w:t>
        </w:r>
        <w:r>
          <w:rPr>
            <w:noProof/>
            <w:webHidden/>
          </w:rPr>
          <w:tab/>
        </w:r>
        <w:r>
          <w:rPr>
            <w:noProof/>
            <w:webHidden/>
          </w:rPr>
          <w:fldChar w:fldCharType="begin"/>
        </w:r>
        <w:r>
          <w:rPr>
            <w:noProof/>
            <w:webHidden/>
          </w:rPr>
          <w:instrText xml:space="preserve"> PAGEREF _Toc48659027 \h </w:instrText>
        </w:r>
        <w:r>
          <w:rPr>
            <w:noProof/>
            <w:webHidden/>
          </w:rPr>
        </w:r>
        <w:r>
          <w:rPr>
            <w:noProof/>
            <w:webHidden/>
          </w:rPr>
          <w:fldChar w:fldCharType="separate"/>
        </w:r>
        <w:r>
          <w:rPr>
            <w:noProof/>
            <w:webHidden/>
          </w:rPr>
          <w:t>6</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28" w:history="1">
        <w:r w:rsidRPr="00E60DB8">
          <w:rPr>
            <w:rStyle w:val="a9"/>
            <w:rFonts w:ascii="宋体" w:hAnsi="宋体"/>
            <w:noProof/>
          </w:rPr>
          <w:t>2.4</w:t>
        </w:r>
        <w:r w:rsidRPr="00E60DB8">
          <w:rPr>
            <w:rStyle w:val="a9"/>
            <w:noProof/>
          </w:rPr>
          <w:t xml:space="preserve">   </w:t>
        </w:r>
        <w:r w:rsidRPr="00E60DB8">
          <w:rPr>
            <w:rStyle w:val="a9"/>
            <w:rFonts w:hint="eastAsia"/>
            <w:noProof/>
          </w:rPr>
          <w:t>境外投资顾问和境外资产托管人</w:t>
        </w:r>
        <w:r>
          <w:rPr>
            <w:noProof/>
            <w:webHidden/>
          </w:rPr>
          <w:tab/>
        </w:r>
        <w:r>
          <w:rPr>
            <w:noProof/>
            <w:webHidden/>
          </w:rPr>
          <w:fldChar w:fldCharType="begin"/>
        </w:r>
        <w:r>
          <w:rPr>
            <w:noProof/>
            <w:webHidden/>
          </w:rPr>
          <w:instrText xml:space="preserve"> PAGEREF _Toc48659028 \h </w:instrText>
        </w:r>
        <w:r>
          <w:rPr>
            <w:noProof/>
            <w:webHidden/>
          </w:rPr>
        </w:r>
        <w:r>
          <w:rPr>
            <w:noProof/>
            <w:webHidden/>
          </w:rPr>
          <w:fldChar w:fldCharType="separate"/>
        </w:r>
        <w:r>
          <w:rPr>
            <w:noProof/>
            <w:webHidden/>
          </w:rPr>
          <w:t>7</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29" w:history="1">
        <w:r w:rsidRPr="00E60DB8">
          <w:rPr>
            <w:rStyle w:val="a9"/>
            <w:rFonts w:ascii="宋体" w:hAnsi="宋体"/>
            <w:noProof/>
          </w:rPr>
          <w:t>2.5</w:t>
        </w:r>
        <w:r w:rsidRPr="00E60DB8">
          <w:rPr>
            <w:rStyle w:val="a9"/>
            <w:noProof/>
          </w:rPr>
          <w:t xml:space="preserve">   </w:t>
        </w:r>
        <w:r w:rsidRPr="00E60DB8">
          <w:rPr>
            <w:rStyle w:val="a9"/>
            <w:rFonts w:hint="eastAsia"/>
            <w:noProof/>
          </w:rPr>
          <w:t>信息披露方式</w:t>
        </w:r>
        <w:r>
          <w:rPr>
            <w:noProof/>
            <w:webHidden/>
          </w:rPr>
          <w:tab/>
        </w:r>
        <w:r>
          <w:rPr>
            <w:noProof/>
            <w:webHidden/>
          </w:rPr>
          <w:fldChar w:fldCharType="begin"/>
        </w:r>
        <w:r>
          <w:rPr>
            <w:noProof/>
            <w:webHidden/>
          </w:rPr>
          <w:instrText xml:space="preserve"> PAGEREF _Toc48659029 \h </w:instrText>
        </w:r>
        <w:r>
          <w:rPr>
            <w:noProof/>
            <w:webHidden/>
          </w:rPr>
        </w:r>
        <w:r>
          <w:rPr>
            <w:noProof/>
            <w:webHidden/>
          </w:rPr>
          <w:fldChar w:fldCharType="separate"/>
        </w:r>
        <w:r>
          <w:rPr>
            <w:noProof/>
            <w:webHidden/>
          </w:rPr>
          <w:t>7</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30" w:history="1">
        <w:r w:rsidRPr="00E60DB8">
          <w:rPr>
            <w:rStyle w:val="a9"/>
            <w:rFonts w:ascii="宋体" w:hAnsi="宋体"/>
            <w:noProof/>
          </w:rPr>
          <w:t>2.6</w:t>
        </w:r>
        <w:r w:rsidRPr="00E60DB8">
          <w:rPr>
            <w:rStyle w:val="a9"/>
            <w:noProof/>
          </w:rPr>
          <w:t xml:space="preserve">   </w:t>
        </w:r>
        <w:r w:rsidRPr="00E60DB8">
          <w:rPr>
            <w:rStyle w:val="a9"/>
            <w:rFonts w:hint="eastAsia"/>
            <w:noProof/>
          </w:rPr>
          <w:t>其他相关资料</w:t>
        </w:r>
        <w:r>
          <w:rPr>
            <w:noProof/>
            <w:webHidden/>
          </w:rPr>
          <w:tab/>
        </w:r>
        <w:r>
          <w:rPr>
            <w:noProof/>
            <w:webHidden/>
          </w:rPr>
          <w:fldChar w:fldCharType="begin"/>
        </w:r>
        <w:r>
          <w:rPr>
            <w:noProof/>
            <w:webHidden/>
          </w:rPr>
          <w:instrText xml:space="preserve"> PAGEREF _Toc48659030 \h </w:instrText>
        </w:r>
        <w:r>
          <w:rPr>
            <w:noProof/>
            <w:webHidden/>
          </w:rPr>
        </w:r>
        <w:r>
          <w:rPr>
            <w:noProof/>
            <w:webHidden/>
          </w:rPr>
          <w:fldChar w:fldCharType="separate"/>
        </w:r>
        <w:r>
          <w:rPr>
            <w:noProof/>
            <w:webHidden/>
          </w:rPr>
          <w:t>7</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31" w:history="1">
        <w:r w:rsidRPr="00E60DB8">
          <w:rPr>
            <w:rStyle w:val="a9"/>
            <w:rFonts w:ascii="宋体" w:hAnsi="宋体"/>
            <w:noProof/>
          </w:rPr>
          <w:t>3</w:t>
        </w:r>
        <w:r w:rsidRPr="00E60DB8">
          <w:rPr>
            <w:rStyle w:val="a9"/>
            <w:noProof/>
          </w:rPr>
          <w:t xml:space="preserve">     </w:t>
        </w:r>
        <w:r w:rsidRPr="00E60DB8">
          <w:rPr>
            <w:rStyle w:val="a9"/>
            <w:rFonts w:hint="eastAsia"/>
            <w:noProof/>
          </w:rPr>
          <w:t>主要财务指标和基金净值表现</w:t>
        </w:r>
        <w:r>
          <w:rPr>
            <w:noProof/>
            <w:webHidden/>
          </w:rPr>
          <w:tab/>
        </w:r>
        <w:r>
          <w:rPr>
            <w:noProof/>
            <w:webHidden/>
          </w:rPr>
          <w:fldChar w:fldCharType="begin"/>
        </w:r>
        <w:r>
          <w:rPr>
            <w:noProof/>
            <w:webHidden/>
          </w:rPr>
          <w:instrText xml:space="preserve"> PAGEREF _Toc48659031 \h </w:instrText>
        </w:r>
        <w:r>
          <w:rPr>
            <w:noProof/>
            <w:webHidden/>
          </w:rPr>
        </w:r>
        <w:r>
          <w:rPr>
            <w:noProof/>
            <w:webHidden/>
          </w:rPr>
          <w:fldChar w:fldCharType="separate"/>
        </w:r>
        <w:r>
          <w:rPr>
            <w:noProof/>
            <w:webHidden/>
          </w:rPr>
          <w:t>7</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32" w:history="1">
        <w:r w:rsidRPr="00E60DB8">
          <w:rPr>
            <w:rStyle w:val="a9"/>
            <w:rFonts w:ascii="宋体" w:hAnsi="宋体"/>
            <w:noProof/>
          </w:rPr>
          <w:t>3.1</w:t>
        </w:r>
        <w:r w:rsidRPr="00E60DB8">
          <w:rPr>
            <w:rStyle w:val="a9"/>
            <w:noProof/>
          </w:rPr>
          <w:t xml:space="preserve">   </w:t>
        </w:r>
        <w:r w:rsidRPr="00E60DB8">
          <w:rPr>
            <w:rStyle w:val="a9"/>
            <w:rFonts w:hint="eastAsia"/>
            <w:noProof/>
          </w:rPr>
          <w:t>主要会计数据和财务指标</w:t>
        </w:r>
        <w:r>
          <w:rPr>
            <w:noProof/>
            <w:webHidden/>
          </w:rPr>
          <w:tab/>
        </w:r>
        <w:r>
          <w:rPr>
            <w:noProof/>
            <w:webHidden/>
          </w:rPr>
          <w:fldChar w:fldCharType="begin"/>
        </w:r>
        <w:r>
          <w:rPr>
            <w:noProof/>
            <w:webHidden/>
          </w:rPr>
          <w:instrText xml:space="preserve"> PAGEREF _Toc48659032 \h </w:instrText>
        </w:r>
        <w:r>
          <w:rPr>
            <w:noProof/>
            <w:webHidden/>
          </w:rPr>
        </w:r>
        <w:r>
          <w:rPr>
            <w:noProof/>
            <w:webHidden/>
          </w:rPr>
          <w:fldChar w:fldCharType="separate"/>
        </w:r>
        <w:r>
          <w:rPr>
            <w:noProof/>
            <w:webHidden/>
          </w:rPr>
          <w:t>7</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33" w:history="1">
        <w:r w:rsidRPr="00E60DB8">
          <w:rPr>
            <w:rStyle w:val="a9"/>
            <w:rFonts w:ascii="宋体" w:hAnsi="宋体"/>
            <w:noProof/>
          </w:rPr>
          <w:t>3.2</w:t>
        </w:r>
        <w:r w:rsidRPr="00E60DB8">
          <w:rPr>
            <w:rStyle w:val="a9"/>
            <w:noProof/>
          </w:rPr>
          <w:t xml:space="preserve">   </w:t>
        </w:r>
        <w:r w:rsidRPr="00E60DB8">
          <w:rPr>
            <w:rStyle w:val="a9"/>
            <w:rFonts w:hint="eastAsia"/>
            <w:noProof/>
          </w:rPr>
          <w:t>基金净值表现</w:t>
        </w:r>
        <w:r>
          <w:rPr>
            <w:noProof/>
            <w:webHidden/>
          </w:rPr>
          <w:tab/>
        </w:r>
        <w:r>
          <w:rPr>
            <w:noProof/>
            <w:webHidden/>
          </w:rPr>
          <w:fldChar w:fldCharType="begin"/>
        </w:r>
        <w:r>
          <w:rPr>
            <w:noProof/>
            <w:webHidden/>
          </w:rPr>
          <w:instrText xml:space="preserve"> PAGEREF _Toc48659033 \h </w:instrText>
        </w:r>
        <w:r>
          <w:rPr>
            <w:noProof/>
            <w:webHidden/>
          </w:rPr>
        </w:r>
        <w:r>
          <w:rPr>
            <w:noProof/>
            <w:webHidden/>
          </w:rPr>
          <w:fldChar w:fldCharType="separate"/>
        </w:r>
        <w:r>
          <w:rPr>
            <w:noProof/>
            <w:webHidden/>
          </w:rPr>
          <w:t>8</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34" w:history="1">
        <w:r w:rsidRPr="00E60DB8">
          <w:rPr>
            <w:rStyle w:val="a9"/>
            <w:rFonts w:ascii="宋体" w:hAnsi="宋体"/>
            <w:noProof/>
          </w:rPr>
          <w:t>4</w:t>
        </w:r>
        <w:r w:rsidRPr="00E60DB8">
          <w:rPr>
            <w:rStyle w:val="a9"/>
            <w:noProof/>
          </w:rPr>
          <w:t xml:space="preserve">     </w:t>
        </w:r>
        <w:r w:rsidRPr="00E60DB8">
          <w:rPr>
            <w:rStyle w:val="a9"/>
            <w:rFonts w:hint="eastAsia"/>
            <w:noProof/>
          </w:rPr>
          <w:t>管理人报告</w:t>
        </w:r>
        <w:r>
          <w:rPr>
            <w:noProof/>
            <w:webHidden/>
          </w:rPr>
          <w:tab/>
        </w:r>
        <w:r>
          <w:rPr>
            <w:noProof/>
            <w:webHidden/>
          </w:rPr>
          <w:fldChar w:fldCharType="begin"/>
        </w:r>
        <w:r>
          <w:rPr>
            <w:noProof/>
            <w:webHidden/>
          </w:rPr>
          <w:instrText xml:space="preserve"> PAGEREF _Toc48659034 \h </w:instrText>
        </w:r>
        <w:r>
          <w:rPr>
            <w:noProof/>
            <w:webHidden/>
          </w:rPr>
        </w:r>
        <w:r>
          <w:rPr>
            <w:noProof/>
            <w:webHidden/>
          </w:rPr>
          <w:fldChar w:fldCharType="separate"/>
        </w:r>
        <w:r>
          <w:rPr>
            <w:noProof/>
            <w:webHidden/>
          </w:rPr>
          <w:t>10</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35" w:history="1">
        <w:r w:rsidRPr="00E60DB8">
          <w:rPr>
            <w:rStyle w:val="a9"/>
            <w:rFonts w:ascii="宋体" w:hAnsi="宋体"/>
            <w:noProof/>
          </w:rPr>
          <w:t>4.1</w:t>
        </w:r>
        <w:r w:rsidRPr="00E60DB8">
          <w:rPr>
            <w:rStyle w:val="a9"/>
            <w:noProof/>
          </w:rPr>
          <w:t xml:space="preserve">   </w:t>
        </w:r>
        <w:r w:rsidRPr="00E60DB8">
          <w:rPr>
            <w:rStyle w:val="a9"/>
            <w:rFonts w:hint="eastAsia"/>
            <w:noProof/>
          </w:rPr>
          <w:t>基金管理人及基金经理情况</w:t>
        </w:r>
        <w:r>
          <w:rPr>
            <w:noProof/>
            <w:webHidden/>
          </w:rPr>
          <w:tab/>
        </w:r>
        <w:r>
          <w:rPr>
            <w:noProof/>
            <w:webHidden/>
          </w:rPr>
          <w:fldChar w:fldCharType="begin"/>
        </w:r>
        <w:r>
          <w:rPr>
            <w:noProof/>
            <w:webHidden/>
          </w:rPr>
          <w:instrText xml:space="preserve"> PAGEREF _Toc48659035 \h </w:instrText>
        </w:r>
        <w:r>
          <w:rPr>
            <w:noProof/>
            <w:webHidden/>
          </w:rPr>
        </w:r>
        <w:r>
          <w:rPr>
            <w:noProof/>
            <w:webHidden/>
          </w:rPr>
          <w:fldChar w:fldCharType="separate"/>
        </w:r>
        <w:r>
          <w:rPr>
            <w:noProof/>
            <w:webHidden/>
          </w:rPr>
          <w:t>10</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36" w:history="1">
        <w:r w:rsidRPr="00E60DB8">
          <w:rPr>
            <w:rStyle w:val="a9"/>
            <w:rFonts w:ascii="宋体" w:hAnsi="宋体"/>
            <w:noProof/>
          </w:rPr>
          <w:t>4.2</w:t>
        </w:r>
        <w:r w:rsidRPr="00E60DB8">
          <w:rPr>
            <w:rStyle w:val="a9"/>
            <w:noProof/>
          </w:rPr>
          <w:t xml:space="preserve">   </w:t>
        </w:r>
        <w:r w:rsidRPr="00E60DB8">
          <w:rPr>
            <w:rStyle w:val="a9"/>
            <w:rFonts w:hint="eastAsia"/>
            <w:noProof/>
          </w:rPr>
          <w:t>境外投资顾问为本基金提供投资建议的主要成员简介</w:t>
        </w:r>
        <w:r>
          <w:rPr>
            <w:noProof/>
            <w:webHidden/>
          </w:rPr>
          <w:tab/>
        </w:r>
        <w:r>
          <w:rPr>
            <w:noProof/>
            <w:webHidden/>
          </w:rPr>
          <w:fldChar w:fldCharType="begin"/>
        </w:r>
        <w:r>
          <w:rPr>
            <w:noProof/>
            <w:webHidden/>
          </w:rPr>
          <w:instrText xml:space="preserve"> PAGEREF _Toc48659036 \h </w:instrText>
        </w:r>
        <w:r>
          <w:rPr>
            <w:noProof/>
            <w:webHidden/>
          </w:rPr>
        </w:r>
        <w:r>
          <w:rPr>
            <w:noProof/>
            <w:webHidden/>
          </w:rPr>
          <w:fldChar w:fldCharType="separate"/>
        </w:r>
        <w:r>
          <w:rPr>
            <w:noProof/>
            <w:webHidden/>
          </w:rPr>
          <w:t>15</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37" w:history="1">
        <w:r w:rsidRPr="00E60DB8">
          <w:rPr>
            <w:rStyle w:val="a9"/>
            <w:rFonts w:ascii="宋体" w:hAnsi="宋体"/>
            <w:noProof/>
          </w:rPr>
          <w:t>4.3</w:t>
        </w:r>
        <w:r w:rsidRPr="00E60DB8">
          <w:rPr>
            <w:rStyle w:val="a9"/>
            <w:noProof/>
          </w:rPr>
          <w:t xml:space="preserve">   </w:t>
        </w:r>
        <w:r w:rsidRPr="00E60DB8">
          <w:rPr>
            <w:rStyle w:val="a9"/>
            <w:rFonts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_Toc48659037 \h </w:instrText>
        </w:r>
        <w:r>
          <w:rPr>
            <w:noProof/>
            <w:webHidden/>
          </w:rPr>
        </w:r>
        <w:r>
          <w:rPr>
            <w:noProof/>
            <w:webHidden/>
          </w:rPr>
          <w:fldChar w:fldCharType="separate"/>
        </w:r>
        <w:r>
          <w:rPr>
            <w:noProof/>
            <w:webHidden/>
          </w:rPr>
          <w:t>15</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38" w:history="1">
        <w:r w:rsidRPr="00E60DB8">
          <w:rPr>
            <w:rStyle w:val="a9"/>
            <w:rFonts w:ascii="宋体" w:hAnsi="宋体"/>
            <w:noProof/>
          </w:rPr>
          <w:t>4.4</w:t>
        </w:r>
        <w:r w:rsidRPr="00E60DB8">
          <w:rPr>
            <w:rStyle w:val="a9"/>
            <w:noProof/>
          </w:rPr>
          <w:t xml:space="preserve">   </w:t>
        </w:r>
        <w:r w:rsidRPr="00E60DB8">
          <w:rPr>
            <w:rStyle w:val="a9"/>
            <w:rFonts w:hint="eastAsia"/>
            <w:noProof/>
          </w:rPr>
          <w:t>管理人对报告期内公平交易情况的专项说明</w:t>
        </w:r>
        <w:r>
          <w:rPr>
            <w:noProof/>
            <w:webHidden/>
          </w:rPr>
          <w:tab/>
        </w:r>
        <w:r>
          <w:rPr>
            <w:noProof/>
            <w:webHidden/>
          </w:rPr>
          <w:fldChar w:fldCharType="begin"/>
        </w:r>
        <w:r>
          <w:rPr>
            <w:noProof/>
            <w:webHidden/>
          </w:rPr>
          <w:instrText xml:space="preserve"> PAGEREF _Toc48659038 \h </w:instrText>
        </w:r>
        <w:r>
          <w:rPr>
            <w:noProof/>
            <w:webHidden/>
          </w:rPr>
        </w:r>
        <w:r>
          <w:rPr>
            <w:noProof/>
            <w:webHidden/>
          </w:rPr>
          <w:fldChar w:fldCharType="separate"/>
        </w:r>
        <w:r>
          <w:rPr>
            <w:noProof/>
            <w:webHidden/>
          </w:rPr>
          <w:t>15</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39" w:history="1">
        <w:r w:rsidRPr="00E60DB8">
          <w:rPr>
            <w:rStyle w:val="a9"/>
            <w:rFonts w:ascii="宋体" w:hAnsi="宋体"/>
            <w:noProof/>
          </w:rPr>
          <w:t>4.5</w:t>
        </w:r>
        <w:r w:rsidRPr="00E60DB8">
          <w:rPr>
            <w:rStyle w:val="a9"/>
            <w:noProof/>
          </w:rPr>
          <w:t xml:space="preserve">   </w:t>
        </w:r>
        <w:r w:rsidRPr="00E60DB8">
          <w:rPr>
            <w:rStyle w:val="a9"/>
            <w:rFonts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_Toc48659039 \h </w:instrText>
        </w:r>
        <w:r>
          <w:rPr>
            <w:noProof/>
            <w:webHidden/>
          </w:rPr>
        </w:r>
        <w:r>
          <w:rPr>
            <w:noProof/>
            <w:webHidden/>
          </w:rPr>
          <w:fldChar w:fldCharType="separate"/>
        </w:r>
        <w:r>
          <w:rPr>
            <w:noProof/>
            <w:webHidden/>
          </w:rPr>
          <w:t>16</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40" w:history="1">
        <w:r w:rsidRPr="00E60DB8">
          <w:rPr>
            <w:rStyle w:val="a9"/>
            <w:rFonts w:ascii="宋体" w:hAnsi="宋体"/>
            <w:noProof/>
          </w:rPr>
          <w:t>4.6</w:t>
        </w:r>
        <w:r w:rsidRPr="00E60DB8">
          <w:rPr>
            <w:rStyle w:val="a9"/>
            <w:noProof/>
          </w:rPr>
          <w:t xml:space="preserve">   </w:t>
        </w:r>
        <w:r w:rsidRPr="00E60DB8">
          <w:rPr>
            <w:rStyle w:val="a9"/>
            <w:rFonts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_Toc48659040 \h </w:instrText>
        </w:r>
        <w:r>
          <w:rPr>
            <w:noProof/>
            <w:webHidden/>
          </w:rPr>
        </w:r>
        <w:r>
          <w:rPr>
            <w:noProof/>
            <w:webHidden/>
          </w:rPr>
          <w:fldChar w:fldCharType="separate"/>
        </w:r>
        <w:r>
          <w:rPr>
            <w:noProof/>
            <w:webHidden/>
          </w:rPr>
          <w:t>16</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41" w:history="1">
        <w:r w:rsidRPr="00E60DB8">
          <w:rPr>
            <w:rStyle w:val="a9"/>
            <w:rFonts w:ascii="宋体" w:hAnsi="宋体"/>
            <w:noProof/>
          </w:rPr>
          <w:t>4.7</w:t>
        </w:r>
        <w:r w:rsidRPr="00E60DB8">
          <w:rPr>
            <w:rStyle w:val="a9"/>
            <w:noProof/>
          </w:rPr>
          <w:t xml:space="preserve">   </w:t>
        </w:r>
        <w:r w:rsidRPr="00E60DB8">
          <w:rPr>
            <w:rStyle w:val="a9"/>
            <w:rFonts w:hint="eastAsia"/>
            <w:noProof/>
          </w:rPr>
          <w:t>管理人对报告期内基金估值程序等事项的说明</w:t>
        </w:r>
        <w:r>
          <w:rPr>
            <w:noProof/>
            <w:webHidden/>
          </w:rPr>
          <w:tab/>
        </w:r>
        <w:r>
          <w:rPr>
            <w:noProof/>
            <w:webHidden/>
          </w:rPr>
          <w:fldChar w:fldCharType="begin"/>
        </w:r>
        <w:r>
          <w:rPr>
            <w:noProof/>
            <w:webHidden/>
          </w:rPr>
          <w:instrText xml:space="preserve"> PAGEREF _Toc48659041 \h </w:instrText>
        </w:r>
        <w:r>
          <w:rPr>
            <w:noProof/>
            <w:webHidden/>
          </w:rPr>
        </w:r>
        <w:r>
          <w:rPr>
            <w:noProof/>
            <w:webHidden/>
          </w:rPr>
          <w:fldChar w:fldCharType="separate"/>
        </w:r>
        <w:r>
          <w:rPr>
            <w:noProof/>
            <w:webHidden/>
          </w:rPr>
          <w:t>16</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42" w:history="1">
        <w:r w:rsidRPr="00E60DB8">
          <w:rPr>
            <w:rStyle w:val="a9"/>
            <w:rFonts w:ascii="宋体" w:hAnsi="宋体"/>
            <w:noProof/>
          </w:rPr>
          <w:t>4.8</w:t>
        </w:r>
        <w:r w:rsidRPr="00E60DB8">
          <w:rPr>
            <w:rStyle w:val="a9"/>
            <w:noProof/>
          </w:rPr>
          <w:t xml:space="preserve">   </w:t>
        </w:r>
        <w:r w:rsidRPr="00E60DB8">
          <w:rPr>
            <w:rStyle w:val="a9"/>
            <w:rFonts w:hint="eastAsia"/>
            <w:noProof/>
          </w:rPr>
          <w:t>管理人对报告期内基金利润分配情况的说明</w:t>
        </w:r>
        <w:r>
          <w:rPr>
            <w:noProof/>
            <w:webHidden/>
          </w:rPr>
          <w:tab/>
        </w:r>
        <w:r>
          <w:rPr>
            <w:noProof/>
            <w:webHidden/>
          </w:rPr>
          <w:fldChar w:fldCharType="begin"/>
        </w:r>
        <w:r>
          <w:rPr>
            <w:noProof/>
            <w:webHidden/>
          </w:rPr>
          <w:instrText xml:space="preserve"> PAGEREF _Toc48659042 \h </w:instrText>
        </w:r>
        <w:r>
          <w:rPr>
            <w:noProof/>
            <w:webHidden/>
          </w:rPr>
        </w:r>
        <w:r>
          <w:rPr>
            <w:noProof/>
            <w:webHidden/>
          </w:rPr>
          <w:fldChar w:fldCharType="separate"/>
        </w:r>
        <w:r>
          <w:rPr>
            <w:noProof/>
            <w:webHidden/>
          </w:rPr>
          <w:t>17</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43" w:history="1">
        <w:r w:rsidRPr="00E60DB8">
          <w:rPr>
            <w:rStyle w:val="a9"/>
            <w:rFonts w:ascii="宋体" w:hAnsi="宋体"/>
            <w:noProof/>
          </w:rPr>
          <w:t>5</w:t>
        </w:r>
        <w:r w:rsidRPr="00E60DB8">
          <w:rPr>
            <w:rStyle w:val="a9"/>
            <w:noProof/>
          </w:rPr>
          <w:t xml:space="preserve">     </w:t>
        </w:r>
        <w:r w:rsidRPr="00E60DB8">
          <w:rPr>
            <w:rStyle w:val="a9"/>
            <w:rFonts w:hint="eastAsia"/>
            <w:noProof/>
          </w:rPr>
          <w:t>托管人报告</w:t>
        </w:r>
        <w:r>
          <w:rPr>
            <w:noProof/>
            <w:webHidden/>
          </w:rPr>
          <w:tab/>
        </w:r>
        <w:r>
          <w:rPr>
            <w:noProof/>
            <w:webHidden/>
          </w:rPr>
          <w:fldChar w:fldCharType="begin"/>
        </w:r>
        <w:r>
          <w:rPr>
            <w:noProof/>
            <w:webHidden/>
          </w:rPr>
          <w:instrText xml:space="preserve"> PAGEREF _Toc48659043 \h </w:instrText>
        </w:r>
        <w:r>
          <w:rPr>
            <w:noProof/>
            <w:webHidden/>
          </w:rPr>
        </w:r>
        <w:r>
          <w:rPr>
            <w:noProof/>
            <w:webHidden/>
          </w:rPr>
          <w:fldChar w:fldCharType="separate"/>
        </w:r>
        <w:r>
          <w:rPr>
            <w:noProof/>
            <w:webHidden/>
          </w:rPr>
          <w:t>17</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44" w:history="1">
        <w:r w:rsidRPr="00E60DB8">
          <w:rPr>
            <w:rStyle w:val="a9"/>
            <w:rFonts w:ascii="宋体" w:hAnsi="宋体"/>
            <w:noProof/>
          </w:rPr>
          <w:t>5.1</w:t>
        </w:r>
        <w:r w:rsidRPr="00E60DB8">
          <w:rPr>
            <w:rStyle w:val="a9"/>
            <w:noProof/>
          </w:rPr>
          <w:t xml:space="preserve">   </w:t>
        </w:r>
        <w:r w:rsidRPr="00E60DB8">
          <w:rPr>
            <w:rStyle w:val="a9"/>
            <w:rFonts w:hint="eastAsia"/>
            <w:noProof/>
          </w:rPr>
          <w:t>报告期内本基金托管人遵规守信情况声明</w:t>
        </w:r>
        <w:r>
          <w:rPr>
            <w:noProof/>
            <w:webHidden/>
          </w:rPr>
          <w:tab/>
        </w:r>
        <w:r>
          <w:rPr>
            <w:noProof/>
            <w:webHidden/>
          </w:rPr>
          <w:fldChar w:fldCharType="begin"/>
        </w:r>
        <w:r>
          <w:rPr>
            <w:noProof/>
            <w:webHidden/>
          </w:rPr>
          <w:instrText xml:space="preserve"> PAGEREF _Toc48659044 \h </w:instrText>
        </w:r>
        <w:r>
          <w:rPr>
            <w:noProof/>
            <w:webHidden/>
          </w:rPr>
        </w:r>
        <w:r>
          <w:rPr>
            <w:noProof/>
            <w:webHidden/>
          </w:rPr>
          <w:fldChar w:fldCharType="separate"/>
        </w:r>
        <w:r>
          <w:rPr>
            <w:noProof/>
            <w:webHidden/>
          </w:rPr>
          <w:t>17</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45" w:history="1">
        <w:r w:rsidRPr="00E60DB8">
          <w:rPr>
            <w:rStyle w:val="a9"/>
            <w:rFonts w:ascii="宋体" w:hAnsi="宋体"/>
            <w:noProof/>
          </w:rPr>
          <w:t>5.2</w:t>
        </w:r>
        <w:r w:rsidRPr="00E60DB8">
          <w:rPr>
            <w:rStyle w:val="a9"/>
            <w:noProof/>
          </w:rPr>
          <w:t xml:space="preserve">   </w:t>
        </w:r>
        <w:r w:rsidRPr="00E60DB8">
          <w:rPr>
            <w:rStyle w:val="a9"/>
            <w:rFonts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_Toc48659045 \h </w:instrText>
        </w:r>
        <w:r>
          <w:rPr>
            <w:noProof/>
            <w:webHidden/>
          </w:rPr>
        </w:r>
        <w:r>
          <w:rPr>
            <w:noProof/>
            <w:webHidden/>
          </w:rPr>
          <w:fldChar w:fldCharType="separate"/>
        </w:r>
        <w:r>
          <w:rPr>
            <w:noProof/>
            <w:webHidden/>
          </w:rPr>
          <w:t>17</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46" w:history="1">
        <w:r w:rsidRPr="00E60DB8">
          <w:rPr>
            <w:rStyle w:val="a9"/>
            <w:rFonts w:ascii="宋体" w:hAnsi="宋体"/>
            <w:noProof/>
          </w:rPr>
          <w:t>5.3</w:t>
        </w:r>
        <w:r w:rsidRPr="00E60DB8">
          <w:rPr>
            <w:rStyle w:val="a9"/>
            <w:noProof/>
          </w:rPr>
          <w:t xml:space="preserve">   </w:t>
        </w:r>
        <w:r w:rsidRPr="00E60DB8">
          <w:rPr>
            <w:rStyle w:val="a9"/>
            <w:rFonts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_Toc48659046 \h </w:instrText>
        </w:r>
        <w:r>
          <w:rPr>
            <w:noProof/>
            <w:webHidden/>
          </w:rPr>
        </w:r>
        <w:r>
          <w:rPr>
            <w:noProof/>
            <w:webHidden/>
          </w:rPr>
          <w:fldChar w:fldCharType="separate"/>
        </w:r>
        <w:r>
          <w:rPr>
            <w:noProof/>
            <w:webHidden/>
          </w:rPr>
          <w:t>17</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47" w:history="1">
        <w:r w:rsidRPr="00E60DB8">
          <w:rPr>
            <w:rStyle w:val="a9"/>
            <w:rFonts w:ascii="宋体" w:hAnsi="宋体"/>
            <w:noProof/>
          </w:rPr>
          <w:t>6</w:t>
        </w:r>
        <w:r w:rsidRPr="00E60DB8">
          <w:rPr>
            <w:rStyle w:val="a9"/>
            <w:noProof/>
          </w:rPr>
          <w:t xml:space="preserve">     </w:t>
        </w:r>
        <w:r w:rsidRPr="00E60DB8">
          <w:rPr>
            <w:rStyle w:val="a9"/>
            <w:rFonts w:hint="eastAsia"/>
            <w:noProof/>
          </w:rPr>
          <w:t>半年度财务会计报告（未经审计）</w:t>
        </w:r>
        <w:r>
          <w:rPr>
            <w:noProof/>
            <w:webHidden/>
          </w:rPr>
          <w:tab/>
        </w:r>
        <w:r>
          <w:rPr>
            <w:noProof/>
            <w:webHidden/>
          </w:rPr>
          <w:fldChar w:fldCharType="begin"/>
        </w:r>
        <w:r>
          <w:rPr>
            <w:noProof/>
            <w:webHidden/>
          </w:rPr>
          <w:instrText xml:space="preserve"> PAGEREF _Toc48659047 \h </w:instrText>
        </w:r>
        <w:r>
          <w:rPr>
            <w:noProof/>
            <w:webHidden/>
          </w:rPr>
        </w:r>
        <w:r>
          <w:rPr>
            <w:noProof/>
            <w:webHidden/>
          </w:rPr>
          <w:fldChar w:fldCharType="separate"/>
        </w:r>
        <w:r>
          <w:rPr>
            <w:noProof/>
            <w:webHidden/>
          </w:rPr>
          <w:t>18</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48" w:history="1">
        <w:r w:rsidRPr="00E60DB8">
          <w:rPr>
            <w:rStyle w:val="a9"/>
            <w:rFonts w:ascii="宋体" w:hAnsi="宋体"/>
            <w:noProof/>
          </w:rPr>
          <w:t>6.1</w:t>
        </w:r>
        <w:r w:rsidRPr="00E60DB8">
          <w:rPr>
            <w:rStyle w:val="a9"/>
            <w:noProof/>
          </w:rPr>
          <w:t xml:space="preserve">   </w:t>
        </w:r>
        <w:r w:rsidRPr="00E60DB8">
          <w:rPr>
            <w:rStyle w:val="a9"/>
            <w:rFonts w:hint="eastAsia"/>
            <w:noProof/>
          </w:rPr>
          <w:t>资产负债表</w:t>
        </w:r>
        <w:r>
          <w:rPr>
            <w:noProof/>
            <w:webHidden/>
          </w:rPr>
          <w:tab/>
        </w:r>
        <w:r>
          <w:rPr>
            <w:noProof/>
            <w:webHidden/>
          </w:rPr>
          <w:fldChar w:fldCharType="begin"/>
        </w:r>
        <w:r>
          <w:rPr>
            <w:noProof/>
            <w:webHidden/>
          </w:rPr>
          <w:instrText xml:space="preserve"> PAGEREF _Toc48659048 \h </w:instrText>
        </w:r>
        <w:r>
          <w:rPr>
            <w:noProof/>
            <w:webHidden/>
          </w:rPr>
        </w:r>
        <w:r>
          <w:rPr>
            <w:noProof/>
            <w:webHidden/>
          </w:rPr>
          <w:fldChar w:fldCharType="separate"/>
        </w:r>
        <w:r>
          <w:rPr>
            <w:noProof/>
            <w:webHidden/>
          </w:rPr>
          <w:t>18</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49" w:history="1">
        <w:r w:rsidRPr="00E60DB8">
          <w:rPr>
            <w:rStyle w:val="a9"/>
            <w:rFonts w:ascii="宋体" w:hAnsi="宋体"/>
            <w:noProof/>
          </w:rPr>
          <w:t>6.2</w:t>
        </w:r>
        <w:r w:rsidRPr="00E60DB8">
          <w:rPr>
            <w:rStyle w:val="a9"/>
            <w:noProof/>
          </w:rPr>
          <w:t xml:space="preserve">   </w:t>
        </w:r>
        <w:r w:rsidRPr="00E60DB8">
          <w:rPr>
            <w:rStyle w:val="a9"/>
            <w:rFonts w:hint="eastAsia"/>
            <w:noProof/>
          </w:rPr>
          <w:t>利润表</w:t>
        </w:r>
        <w:r>
          <w:rPr>
            <w:noProof/>
            <w:webHidden/>
          </w:rPr>
          <w:tab/>
        </w:r>
        <w:r>
          <w:rPr>
            <w:noProof/>
            <w:webHidden/>
          </w:rPr>
          <w:fldChar w:fldCharType="begin"/>
        </w:r>
        <w:r>
          <w:rPr>
            <w:noProof/>
            <w:webHidden/>
          </w:rPr>
          <w:instrText xml:space="preserve"> PAGEREF _Toc48659049 \h </w:instrText>
        </w:r>
        <w:r>
          <w:rPr>
            <w:noProof/>
            <w:webHidden/>
          </w:rPr>
        </w:r>
        <w:r>
          <w:rPr>
            <w:noProof/>
            <w:webHidden/>
          </w:rPr>
          <w:fldChar w:fldCharType="separate"/>
        </w:r>
        <w:r>
          <w:rPr>
            <w:noProof/>
            <w:webHidden/>
          </w:rPr>
          <w:t>19</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50" w:history="1">
        <w:r w:rsidRPr="00E60DB8">
          <w:rPr>
            <w:rStyle w:val="a9"/>
            <w:rFonts w:ascii="宋体" w:hAnsi="宋体"/>
            <w:noProof/>
          </w:rPr>
          <w:t>6.3</w:t>
        </w:r>
        <w:r w:rsidRPr="00E60DB8">
          <w:rPr>
            <w:rStyle w:val="a9"/>
            <w:noProof/>
          </w:rPr>
          <w:t xml:space="preserve">   </w:t>
        </w:r>
        <w:r w:rsidRPr="00E60DB8">
          <w:rPr>
            <w:rStyle w:val="a9"/>
            <w:rFonts w:hint="eastAsia"/>
            <w:noProof/>
          </w:rPr>
          <w:t>所有者权益（基金净值）变动表</w:t>
        </w:r>
        <w:r>
          <w:rPr>
            <w:noProof/>
            <w:webHidden/>
          </w:rPr>
          <w:tab/>
        </w:r>
        <w:r>
          <w:rPr>
            <w:noProof/>
            <w:webHidden/>
          </w:rPr>
          <w:fldChar w:fldCharType="begin"/>
        </w:r>
        <w:r>
          <w:rPr>
            <w:noProof/>
            <w:webHidden/>
          </w:rPr>
          <w:instrText xml:space="preserve"> PAGEREF _Toc48659050 \h </w:instrText>
        </w:r>
        <w:r>
          <w:rPr>
            <w:noProof/>
            <w:webHidden/>
          </w:rPr>
        </w:r>
        <w:r>
          <w:rPr>
            <w:noProof/>
            <w:webHidden/>
          </w:rPr>
          <w:fldChar w:fldCharType="separate"/>
        </w:r>
        <w:r>
          <w:rPr>
            <w:noProof/>
            <w:webHidden/>
          </w:rPr>
          <w:t>20</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51" w:history="1">
        <w:r w:rsidRPr="00E60DB8">
          <w:rPr>
            <w:rStyle w:val="a9"/>
            <w:rFonts w:ascii="宋体" w:hAnsi="宋体"/>
            <w:noProof/>
          </w:rPr>
          <w:t>6.4</w:t>
        </w:r>
        <w:r w:rsidRPr="00E60DB8">
          <w:rPr>
            <w:rStyle w:val="a9"/>
            <w:noProof/>
          </w:rPr>
          <w:t xml:space="preserve">   </w:t>
        </w:r>
        <w:r w:rsidRPr="00E60DB8">
          <w:rPr>
            <w:rStyle w:val="a9"/>
            <w:rFonts w:hint="eastAsia"/>
            <w:noProof/>
          </w:rPr>
          <w:t>报表附注</w:t>
        </w:r>
        <w:r>
          <w:rPr>
            <w:noProof/>
            <w:webHidden/>
          </w:rPr>
          <w:tab/>
        </w:r>
        <w:r>
          <w:rPr>
            <w:noProof/>
            <w:webHidden/>
          </w:rPr>
          <w:fldChar w:fldCharType="begin"/>
        </w:r>
        <w:r>
          <w:rPr>
            <w:noProof/>
            <w:webHidden/>
          </w:rPr>
          <w:instrText xml:space="preserve"> PAGEREF _Toc48659051 \h </w:instrText>
        </w:r>
        <w:r>
          <w:rPr>
            <w:noProof/>
            <w:webHidden/>
          </w:rPr>
        </w:r>
        <w:r>
          <w:rPr>
            <w:noProof/>
            <w:webHidden/>
          </w:rPr>
          <w:fldChar w:fldCharType="separate"/>
        </w:r>
        <w:r>
          <w:rPr>
            <w:noProof/>
            <w:webHidden/>
          </w:rPr>
          <w:t>21</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52" w:history="1">
        <w:r w:rsidRPr="00E60DB8">
          <w:rPr>
            <w:rStyle w:val="a9"/>
            <w:rFonts w:ascii="宋体" w:hAnsi="宋体"/>
            <w:noProof/>
          </w:rPr>
          <w:t>7</w:t>
        </w:r>
        <w:r w:rsidRPr="00E60DB8">
          <w:rPr>
            <w:rStyle w:val="a9"/>
            <w:noProof/>
          </w:rPr>
          <w:t xml:space="preserve">     </w:t>
        </w:r>
        <w:r w:rsidRPr="00E60DB8">
          <w:rPr>
            <w:rStyle w:val="a9"/>
            <w:rFonts w:hint="eastAsia"/>
            <w:noProof/>
          </w:rPr>
          <w:t>投资组合报告</w:t>
        </w:r>
        <w:r>
          <w:rPr>
            <w:noProof/>
            <w:webHidden/>
          </w:rPr>
          <w:tab/>
        </w:r>
        <w:r>
          <w:rPr>
            <w:noProof/>
            <w:webHidden/>
          </w:rPr>
          <w:fldChar w:fldCharType="begin"/>
        </w:r>
        <w:r>
          <w:rPr>
            <w:noProof/>
            <w:webHidden/>
          </w:rPr>
          <w:instrText xml:space="preserve"> PAGEREF _Toc48659052 \h </w:instrText>
        </w:r>
        <w:r>
          <w:rPr>
            <w:noProof/>
            <w:webHidden/>
          </w:rPr>
        </w:r>
        <w:r>
          <w:rPr>
            <w:noProof/>
            <w:webHidden/>
          </w:rPr>
          <w:fldChar w:fldCharType="separate"/>
        </w:r>
        <w:r>
          <w:rPr>
            <w:noProof/>
            <w:webHidden/>
          </w:rPr>
          <w:t>42</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53" w:history="1">
        <w:r w:rsidRPr="00E60DB8">
          <w:rPr>
            <w:rStyle w:val="a9"/>
            <w:rFonts w:ascii="宋体" w:hAnsi="宋体"/>
            <w:noProof/>
          </w:rPr>
          <w:t>7.1</w:t>
        </w:r>
        <w:r w:rsidRPr="00E60DB8">
          <w:rPr>
            <w:rStyle w:val="a9"/>
            <w:noProof/>
          </w:rPr>
          <w:t xml:space="preserve">   </w:t>
        </w:r>
        <w:r w:rsidRPr="00E60DB8">
          <w:rPr>
            <w:rStyle w:val="a9"/>
            <w:rFonts w:hint="eastAsia"/>
            <w:noProof/>
          </w:rPr>
          <w:t>期末基金资产组合情况</w:t>
        </w:r>
        <w:r>
          <w:rPr>
            <w:noProof/>
            <w:webHidden/>
          </w:rPr>
          <w:tab/>
        </w:r>
        <w:r>
          <w:rPr>
            <w:noProof/>
            <w:webHidden/>
          </w:rPr>
          <w:fldChar w:fldCharType="begin"/>
        </w:r>
        <w:r>
          <w:rPr>
            <w:noProof/>
            <w:webHidden/>
          </w:rPr>
          <w:instrText xml:space="preserve"> PAGEREF _Toc48659053 \h </w:instrText>
        </w:r>
        <w:r>
          <w:rPr>
            <w:noProof/>
            <w:webHidden/>
          </w:rPr>
        </w:r>
        <w:r>
          <w:rPr>
            <w:noProof/>
            <w:webHidden/>
          </w:rPr>
          <w:fldChar w:fldCharType="separate"/>
        </w:r>
        <w:r>
          <w:rPr>
            <w:noProof/>
            <w:webHidden/>
          </w:rPr>
          <w:t>42</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54" w:history="1">
        <w:r w:rsidRPr="00E60DB8">
          <w:rPr>
            <w:rStyle w:val="a9"/>
            <w:rFonts w:ascii="宋体" w:hAnsi="宋体"/>
            <w:noProof/>
          </w:rPr>
          <w:t>7.2</w:t>
        </w:r>
        <w:r w:rsidRPr="00E60DB8">
          <w:rPr>
            <w:rStyle w:val="a9"/>
            <w:noProof/>
          </w:rPr>
          <w:t xml:space="preserve">   </w:t>
        </w:r>
        <w:r w:rsidRPr="00E60DB8">
          <w:rPr>
            <w:rStyle w:val="a9"/>
            <w:rFonts w:hint="eastAsia"/>
            <w:noProof/>
          </w:rPr>
          <w:t>期末投资目标基金明细</w:t>
        </w:r>
        <w:r>
          <w:rPr>
            <w:noProof/>
            <w:webHidden/>
          </w:rPr>
          <w:tab/>
        </w:r>
        <w:r>
          <w:rPr>
            <w:noProof/>
            <w:webHidden/>
          </w:rPr>
          <w:fldChar w:fldCharType="begin"/>
        </w:r>
        <w:r>
          <w:rPr>
            <w:noProof/>
            <w:webHidden/>
          </w:rPr>
          <w:instrText xml:space="preserve"> PAGEREF _Toc48659054 \h </w:instrText>
        </w:r>
        <w:r>
          <w:rPr>
            <w:noProof/>
            <w:webHidden/>
          </w:rPr>
        </w:r>
        <w:r>
          <w:rPr>
            <w:noProof/>
            <w:webHidden/>
          </w:rPr>
          <w:fldChar w:fldCharType="separate"/>
        </w:r>
        <w:r>
          <w:rPr>
            <w:noProof/>
            <w:webHidden/>
          </w:rPr>
          <w:t>43</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55" w:history="1">
        <w:r w:rsidRPr="00E60DB8">
          <w:rPr>
            <w:rStyle w:val="a9"/>
            <w:rFonts w:ascii="宋体" w:hAnsi="宋体"/>
            <w:noProof/>
          </w:rPr>
          <w:t>7.3</w:t>
        </w:r>
        <w:r w:rsidRPr="00E60DB8">
          <w:rPr>
            <w:rStyle w:val="a9"/>
            <w:noProof/>
          </w:rPr>
          <w:t xml:space="preserve">   </w:t>
        </w:r>
        <w:r w:rsidRPr="00E60DB8">
          <w:rPr>
            <w:rStyle w:val="a9"/>
            <w:rFonts w:hint="eastAsia"/>
            <w:noProof/>
          </w:rPr>
          <w:t>期末在各个国家（地区）证券市场的权益投资分布</w:t>
        </w:r>
        <w:r>
          <w:rPr>
            <w:noProof/>
            <w:webHidden/>
          </w:rPr>
          <w:tab/>
        </w:r>
        <w:r>
          <w:rPr>
            <w:noProof/>
            <w:webHidden/>
          </w:rPr>
          <w:fldChar w:fldCharType="begin"/>
        </w:r>
        <w:r>
          <w:rPr>
            <w:noProof/>
            <w:webHidden/>
          </w:rPr>
          <w:instrText xml:space="preserve"> PAGEREF _Toc48659055 \h </w:instrText>
        </w:r>
        <w:r>
          <w:rPr>
            <w:noProof/>
            <w:webHidden/>
          </w:rPr>
        </w:r>
        <w:r>
          <w:rPr>
            <w:noProof/>
            <w:webHidden/>
          </w:rPr>
          <w:fldChar w:fldCharType="separate"/>
        </w:r>
        <w:r>
          <w:rPr>
            <w:noProof/>
            <w:webHidden/>
          </w:rPr>
          <w:t>43</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56" w:history="1">
        <w:r w:rsidRPr="00E60DB8">
          <w:rPr>
            <w:rStyle w:val="a9"/>
            <w:rFonts w:ascii="宋体" w:hAnsi="宋体"/>
            <w:noProof/>
          </w:rPr>
          <w:t>7.4</w:t>
        </w:r>
        <w:r w:rsidRPr="00E60DB8">
          <w:rPr>
            <w:rStyle w:val="a9"/>
            <w:noProof/>
          </w:rPr>
          <w:t xml:space="preserve">   </w:t>
        </w:r>
        <w:r w:rsidRPr="00E60DB8">
          <w:rPr>
            <w:rStyle w:val="a9"/>
            <w:rFonts w:hint="eastAsia"/>
            <w:noProof/>
          </w:rPr>
          <w:t>期末按行业分类的权益投资组合</w:t>
        </w:r>
        <w:r>
          <w:rPr>
            <w:noProof/>
            <w:webHidden/>
          </w:rPr>
          <w:tab/>
        </w:r>
        <w:r>
          <w:rPr>
            <w:noProof/>
            <w:webHidden/>
          </w:rPr>
          <w:fldChar w:fldCharType="begin"/>
        </w:r>
        <w:r>
          <w:rPr>
            <w:noProof/>
            <w:webHidden/>
          </w:rPr>
          <w:instrText xml:space="preserve"> PAGEREF _Toc48659056 \h </w:instrText>
        </w:r>
        <w:r>
          <w:rPr>
            <w:noProof/>
            <w:webHidden/>
          </w:rPr>
        </w:r>
        <w:r>
          <w:rPr>
            <w:noProof/>
            <w:webHidden/>
          </w:rPr>
          <w:fldChar w:fldCharType="separate"/>
        </w:r>
        <w:r>
          <w:rPr>
            <w:noProof/>
            <w:webHidden/>
          </w:rPr>
          <w:t>43</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57" w:history="1">
        <w:r w:rsidRPr="00E60DB8">
          <w:rPr>
            <w:rStyle w:val="a9"/>
            <w:rFonts w:ascii="宋体" w:hAnsi="宋体"/>
            <w:noProof/>
          </w:rPr>
          <w:t>7.5</w:t>
        </w:r>
        <w:r w:rsidRPr="00E60DB8">
          <w:rPr>
            <w:rStyle w:val="a9"/>
            <w:noProof/>
          </w:rPr>
          <w:t xml:space="preserve">   </w:t>
        </w:r>
        <w:r w:rsidRPr="00E60DB8">
          <w:rPr>
            <w:rStyle w:val="a9"/>
            <w:rFonts w:hint="eastAsia"/>
            <w:noProof/>
          </w:rPr>
          <w:t>期末按公允价值占基金资产净值比例大小排序的所有权益投资明细</w:t>
        </w:r>
        <w:r>
          <w:rPr>
            <w:noProof/>
            <w:webHidden/>
          </w:rPr>
          <w:tab/>
        </w:r>
        <w:r>
          <w:rPr>
            <w:noProof/>
            <w:webHidden/>
          </w:rPr>
          <w:fldChar w:fldCharType="begin"/>
        </w:r>
        <w:r>
          <w:rPr>
            <w:noProof/>
            <w:webHidden/>
          </w:rPr>
          <w:instrText xml:space="preserve"> PAGEREF _Toc48659057 \h </w:instrText>
        </w:r>
        <w:r>
          <w:rPr>
            <w:noProof/>
            <w:webHidden/>
          </w:rPr>
        </w:r>
        <w:r>
          <w:rPr>
            <w:noProof/>
            <w:webHidden/>
          </w:rPr>
          <w:fldChar w:fldCharType="separate"/>
        </w:r>
        <w:r>
          <w:rPr>
            <w:noProof/>
            <w:webHidden/>
          </w:rPr>
          <w:t>44</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58" w:history="1">
        <w:r w:rsidRPr="00E60DB8">
          <w:rPr>
            <w:rStyle w:val="a9"/>
            <w:rFonts w:ascii="宋体" w:hAnsi="宋体"/>
            <w:noProof/>
          </w:rPr>
          <w:t>7.6</w:t>
        </w:r>
        <w:r w:rsidRPr="00E60DB8">
          <w:rPr>
            <w:rStyle w:val="a9"/>
            <w:noProof/>
          </w:rPr>
          <w:t xml:space="preserve">   </w:t>
        </w:r>
        <w:r w:rsidRPr="00E60DB8">
          <w:rPr>
            <w:rStyle w:val="a9"/>
            <w:rFonts w:hint="eastAsia"/>
            <w:noProof/>
          </w:rPr>
          <w:t>报告期内权益投资组合的重大变动</w:t>
        </w:r>
        <w:r>
          <w:rPr>
            <w:noProof/>
            <w:webHidden/>
          </w:rPr>
          <w:tab/>
        </w:r>
        <w:r>
          <w:rPr>
            <w:noProof/>
            <w:webHidden/>
          </w:rPr>
          <w:fldChar w:fldCharType="begin"/>
        </w:r>
        <w:r>
          <w:rPr>
            <w:noProof/>
            <w:webHidden/>
          </w:rPr>
          <w:instrText xml:space="preserve"> PAGEREF _Toc48659058 \h </w:instrText>
        </w:r>
        <w:r>
          <w:rPr>
            <w:noProof/>
            <w:webHidden/>
          </w:rPr>
        </w:r>
        <w:r>
          <w:rPr>
            <w:noProof/>
            <w:webHidden/>
          </w:rPr>
          <w:fldChar w:fldCharType="separate"/>
        </w:r>
        <w:r>
          <w:rPr>
            <w:noProof/>
            <w:webHidden/>
          </w:rPr>
          <w:t>44</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59" w:history="1">
        <w:r w:rsidRPr="00E60DB8">
          <w:rPr>
            <w:rStyle w:val="a9"/>
            <w:rFonts w:ascii="宋体" w:hAnsi="宋体"/>
            <w:noProof/>
          </w:rPr>
          <w:t>7.7</w:t>
        </w:r>
        <w:r w:rsidRPr="00E60DB8">
          <w:rPr>
            <w:rStyle w:val="a9"/>
            <w:noProof/>
          </w:rPr>
          <w:t xml:space="preserve">   </w:t>
        </w:r>
        <w:r w:rsidRPr="00E60DB8">
          <w:rPr>
            <w:rStyle w:val="a9"/>
            <w:rFonts w:hint="eastAsia"/>
            <w:noProof/>
          </w:rPr>
          <w:t>期末按债券信用等级分类的债券投资组合</w:t>
        </w:r>
        <w:r>
          <w:rPr>
            <w:noProof/>
            <w:webHidden/>
          </w:rPr>
          <w:tab/>
        </w:r>
        <w:r>
          <w:rPr>
            <w:noProof/>
            <w:webHidden/>
          </w:rPr>
          <w:fldChar w:fldCharType="begin"/>
        </w:r>
        <w:r>
          <w:rPr>
            <w:noProof/>
            <w:webHidden/>
          </w:rPr>
          <w:instrText xml:space="preserve"> PAGEREF _Toc48659059 \h </w:instrText>
        </w:r>
        <w:r>
          <w:rPr>
            <w:noProof/>
            <w:webHidden/>
          </w:rPr>
        </w:r>
        <w:r>
          <w:rPr>
            <w:noProof/>
            <w:webHidden/>
          </w:rPr>
          <w:fldChar w:fldCharType="separate"/>
        </w:r>
        <w:r>
          <w:rPr>
            <w:noProof/>
            <w:webHidden/>
          </w:rPr>
          <w:t>44</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60" w:history="1">
        <w:r w:rsidRPr="00E60DB8">
          <w:rPr>
            <w:rStyle w:val="a9"/>
            <w:rFonts w:ascii="宋体" w:hAnsi="宋体"/>
            <w:noProof/>
          </w:rPr>
          <w:t>7.8</w:t>
        </w:r>
        <w:r w:rsidRPr="00E60DB8">
          <w:rPr>
            <w:rStyle w:val="a9"/>
            <w:noProof/>
          </w:rPr>
          <w:t xml:space="preserve">   </w:t>
        </w:r>
        <w:r w:rsidRPr="00E60DB8">
          <w:rPr>
            <w:rStyle w:val="a9"/>
            <w:rFonts w:hint="eastAsia"/>
            <w:noProof/>
          </w:rPr>
          <w:t>期末按公允价值占基金资产净值比例大小排名的前五名债券投资明细</w:t>
        </w:r>
        <w:r>
          <w:rPr>
            <w:noProof/>
            <w:webHidden/>
          </w:rPr>
          <w:tab/>
        </w:r>
        <w:r>
          <w:rPr>
            <w:noProof/>
            <w:webHidden/>
          </w:rPr>
          <w:fldChar w:fldCharType="begin"/>
        </w:r>
        <w:r>
          <w:rPr>
            <w:noProof/>
            <w:webHidden/>
          </w:rPr>
          <w:instrText xml:space="preserve"> PAGEREF _Toc48659060 \h </w:instrText>
        </w:r>
        <w:r>
          <w:rPr>
            <w:noProof/>
            <w:webHidden/>
          </w:rPr>
        </w:r>
        <w:r>
          <w:rPr>
            <w:noProof/>
            <w:webHidden/>
          </w:rPr>
          <w:fldChar w:fldCharType="separate"/>
        </w:r>
        <w:r>
          <w:rPr>
            <w:noProof/>
            <w:webHidden/>
          </w:rPr>
          <w:t>44</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61" w:history="1">
        <w:r w:rsidRPr="00E60DB8">
          <w:rPr>
            <w:rStyle w:val="a9"/>
            <w:rFonts w:ascii="宋体" w:hAnsi="宋体"/>
            <w:noProof/>
          </w:rPr>
          <w:t>7.9</w:t>
        </w:r>
        <w:r w:rsidRPr="00E60DB8">
          <w:rPr>
            <w:rStyle w:val="a9"/>
            <w:noProof/>
          </w:rPr>
          <w:t xml:space="preserve">   </w:t>
        </w:r>
        <w:r w:rsidRPr="00E60DB8">
          <w:rPr>
            <w:rStyle w:val="a9"/>
            <w:rFonts w:hint="eastAsia"/>
            <w:noProof/>
          </w:rPr>
          <w:t>期末按公允价值占基金资产净值比例大小排名的所有资产支持证券投资明细</w:t>
        </w:r>
        <w:r>
          <w:rPr>
            <w:noProof/>
            <w:webHidden/>
          </w:rPr>
          <w:tab/>
        </w:r>
        <w:r>
          <w:rPr>
            <w:noProof/>
            <w:webHidden/>
          </w:rPr>
          <w:fldChar w:fldCharType="begin"/>
        </w:r>
        <w:r>
          <w:rPr>
            <w:noProof/>
            <w:webHidden/>
          </w:rPr>
          <w:instrText xml:space="preserve"> PAGEREF _Toc48659061 \h </w:instrText>
        </w:r>
        <w:r>
          <w:rPr>
            <w:noProof/>
            <w:webHidden/>
          </w:rPr>
        </w:r>
        <w:r>
          <w:rPr>
            <w:noProof/>
            <w:webHidden/>
          </w:rPr>
          <w:fldChar w:fldCharType="separate"/>
        </w:r>
        <w:r>
          <w:rPr>
            <w:noProof/>
            <w:webHidden/>
          </w:rPr>
          <w:t>44</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62" w:history="1">
        <w:r w:rsidRPr="00E60DB8">
          <w:rPr>
            <w:rStyle w:val="a9"/>
            <w:rFonts w:ascii="宋体" w:hAnsi="宋体"/>
            <w:noProof/>
          </w:rPr>
          <w:t>7.10</w:t>
        </w:r>
        <w:r w:rsidRPr="00E60DB8">
          <w:rPr>
            <w:rStyle w:val="a9"/>
            <w:noProof/>
          </w:rPr>
          <w:t xml:space="preserve">   </w:t>
        </w:r>
        <w:r w:rsidRPr="00E60DB8">
          <w:rPr>
            <w:rStyle w:val="a9"/>
            <w:rFonts w:hint="eastAsia"/>
            <w:noProof/>
          </w:rPr>
          <w:t>期末按公允价值占基金资产净值比例大小排名的前五名金融衍生品投资明细</w:t>
        </w:r>
        <w:r>
          <w:rPr>
            <w:noProof/>
            <w:webHidden/>
          </w:rPr>
          <w:tab/>
        </w:r>
        <w:r>
          <w:rPr>
            <w:noProof/>
            <w:webHidden/>
          </w:rPr>
          <w:fldChar w:fldCharType="begin"/>
        </w:r>
        <w:r>
          <w:rPr>
            <w:noProof/>
            <w:webHidden/>
          </w:rPr>
          <w:instrText xml:space="preserve"> PAGEREF _Toc48659062 \h </w:instrText>
        </w:r>
        <w:r>
          <w:rPr>
            <w:noProof/>
            <w:webHidden/>
          </w:rPr>
        </w:r>
        <w:r>
          <w:rPr>
            <w:noProof/>
            <w:webHidden/>
          </w:rPr>
          <w:fldChar w:fldCharType="separate"/>
        </w:r>
        <w:r>
          <w:rPr>
            <w:noProof/>
            <w:webHidden/>
          </w:rPr>
          <w:t>44</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63" w:history="1">
        <w:r w:rsidRPr="00E60DB8">
          <w:rPr>
            <w:rStyle w:val="a9"/>
            <w:rFonts w:ascii="宋体" w:hAnsi="宋体"/>
            <w:noProof/>
          </w:rPr>
          <w:t>7.11</w:t>
        </w:r>
        <w:r w:rsidRPr="00E60DB8">
          <w:rPr>
            <w:rStyle w:val="a9"/>
            <w:noProof/>
          </w:rPr>
          <w:t xml:space="preserve">   </w:t>
        </w:r>
        <w:r w:rsidRPr="00E60DB8">
          <w:rPr>
            <w:rStyle w:val="a9"/>
            <w:rFonts w:hint="eastAsia"/>
            <w:noProof/>
          </w:rPr>
          <w:t>期末按公允价值占基金资产净值比例大小排序的前十名基金投资明细</w:t>
        </w:r>
        <w:r>
          <w:rPr>
            <w:noProof/>
            <w:webHidden/>
          </w:rPr>
          <w:tab/>
        </w:r>
        <w:r>
          <w:rPr>
            <w:noProof/>
            <w:webHidden/>
          </w:rPr>
          <w:fldChar w:fldCharType="begin"/>
        </w:r>
        <w:r>
          <w:rPr>
            <w:noProof/>
            <w:webHidden/>
          </w:rPr>
          <w:instrText xml:space="preserve"> PAGEREF _Toc48659063 \h </w:instrText>
        </w:r>
        <w:r>
          <w:rPr>
            <w:noProof/>
            <w:webHidden/>
          </w:rPr>
        </w:r>
        <w:r>
          <w:rPr>
            <w:noProof/>
            <w:webHidden/>
          </w:rPr>
          <w:fldChar w:fldCharType="separate"/>
        </w:r>
        <w:r>
          <w:rPr>
            <w:noProof/>
            <w:webHidden/>
          </w:rPr>
          <w:t>44</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64" w:history="1">
        <w:r w:rsidRPr="00E60DB8">
          <w:rPr>
            <w:rStyle w:val="a9"/>
            <w:rFonts w:ascii="宋体" w:hAnsi="宋体"/>
            <w:noProof/>
          </w:rPr>
          <w:t>7.12</w:t>
        </w:r>
        <w:r w:rsidRPr="00E60DB8">
          <w:rPr>
            <w:rStyle w:val="a9"/>
            <w:noProof/>
          </w:rPr>
          <w:t xml:space="preserve">   </w:t>
        </w:r>
        <w:r w:rsidRPr="00E60DB8">
          <w:rPr>
            <w:rStyle w:val="a9"/>
            <w:rFonts w:hint="eastAsia"/>
            <w:noProof/>
          </w:rPr>
          <w:t>投资组合报告附注</w:t>
        </w:r>
        <w:r>
          <w:rPr>
            <w:noProof/>
            <w:webHidden/>
          </w:rPr>
          <w:tab/>
        </w:r>
        <w:r>
          <w:rPr>
            <w:noProof/>
            <w:webHidden/>
          </w:rPr>
          <w:fldChar w:fldCharType="begin"/>
        </w:r>
        <w:r>
          <w:rPr>
            <w:noProof/>
            <w:webHidden/>
          </w:rPr>
          <w:instrText xml:space="preserve"> PAGEREF _Toc48659064 \h </w:instrText>
        </w:r>
        <w:r>
          <w:rPr>
            <w:noProof/>
            <w:webHidden/>
          </w:rPr>
        </w:r>
        <w:r>
          <w:rPr>
            <w:noProof/>
            <w:webHidden/>
          </w:rPr>
          <w:fldChar w:fldCharType="separate"/>
        </w:r>
        <w:r>
          <w:rPr>
            <w:noProof/>
            <w:webHidden/>
          </w:rPr>
          <w:t>45</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65" w:history="1">
        <w:r w:rsidRPr="00E60DB8">
          <w:rPr>
            <w:rStyle w:val="a9"/>
            <w:rFonts w:ascii="宋体" w:hAnsi="宋体"/>
            <w:noProof/>
          </w:rPr>
          <w:t>8</w:t>
        </w:r>
        <w:r w:rsidRPr="00E60DB8">
          <w:rPr>
            <w:rStyle w:val="a9"/>
            <w:noProof/>
          </w:rPr>
          <w:t xml:space="preserve">     </w:t>
        </w:r>
        <w:r w:rsidRPr="00E60DB8">
          <w:rPr>
            <w:rStyle w:val="a9"/>
            <w:rFonts w:hint="eastAsia"/>
            <w:noProof/>
          </w:rPr>
          <w:t>基金份额持有人信息</w:t>
        </w:r>
        <w:r>
          <w:rPr>
            <w:noProof/>
            <w:webHidden/>
          </w:rPr>
          <w:tab/>
        </w:r>
        <w:r>
          <w:rPr>
            <w:noProof/>
            <w:webHidden/>
          </w:rPr>
          <w:fldChar w:fldCharType="begin"/>
        </w:r>
        <w:r>
          <w:rPr>
            <w:noProof/>
            <w:webHidden/>
          </w:rPr>
          <w:instrText xml:space="preserve"> PAGEREF _Toc48659065 \h </w:instrText>
        </w:r>
        <w:r>
          <w:rPr>
            <w:noProof/>
            <w:webHidden/>
          </w:rPr>
        </w:r>
        <w:r>
          <w:rPr>
            <w:noProof/>
            <w:webHidden/>
          </w:rPr>
          <w:fldChar w:fldCharType="separate"/>
        </w:r>
        <w:r>
          <w:rPr>
            <w:noProof/>
            <w:webHidden/>
          </w:rPr>
          <w:t>45</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66" w:history="1">
        <w:r w:rsidRPr="00E60DB8">
          <w:rPr>
            <w:rStyle w:val="a9"/>
            <w:rFonts w:ascii="宋体" w:hAnsi="宋体"/>
            <w:noProof/>
          </w:rPr>
          <w:t>8.1</w:t>
        </w:r>
        <w:r w:rsidRPr="00E60DB8">
          <w:rPr>
            <w:rStyle w:val="a9"/>
            <w:noProof/>
          </w:rPr>
          <w:t xml:space="preserve">   </w:t>
        </w:r>
        <w:r w:rsidRPr="00E60DB8">
          <w:rPr>
            <w:rStyle w:val="a9"/>
            <w:rFonts w:hint="eastAsia"/>
            <w:noProof/>
          </w:rPr>
          <w:t>期末基金份额持有人户数及持有人结构</w:t>
        </w:r>
        <w:r>
          <w:rPr>
            <w:noProof/>
            <w:webHidden/>
          </w:rPr>
          <w:tab/>
        </w:r>
        <w:r>
          <w:rPr>
            <w:noProof/>
            <w:webHidden/>
          </w:rPr>
          <w:fldChar w:fldCharType="begin"/>
        </w:r>
        <w:r>
          <w:rPr>
            <w:noProof/>
            <w:webHidden/>
          </w:rPr>
          <w:instrText xml:space="preserve"> PAGEREF _Toc48659066 \h </w:instrText>
        </w:r>
        <w:r>
          <w:rPr>
            <w:noProof/>
            <w:webHidden/>
          </w:rPr>
        </w:r>
        <w:r>
          <w:rPr>
            <w:noProof/>
            <w:webHidden/>
          </w:rPr>
          <w:fldChar w:fldCharType="separate"/>
        </w:r>
        <w:r>
          <w:rPr>
            <w:noProof/>
            <w:webHidden/>
          </w:rPr>
          <w:t>45</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67" w:history="1">
        <w:r w:rsidRPr="00E60DB8">
          <w:rPr>
            <w:rStyle w:val="a9"/>
            <w:rFonts w:ascii="宋体" w:hAnsi="宋体"/>
            <w:noProof/>
          </w:rPr>
          <w:t>8.2</w:t>
        </w:r>
        <w:r w:rsidRPr="00E60DB8">
          <w:rPr>
            <w:rStyle w:val="a9"/>
            <w:noProof/>
          </w:rPr>
          <w:t xml:space="preserve">   </w:t>
        </w:r>
        <w:r w:rsidRPr="00E60DB8">
          <w:rPr>
            <w:rStyle w:val="a9"/>
            <w:rFonts w:hint="eastAsia"/>
            <w:noProof/>
          </w:rPr>
          <w:t>期末基金管理人的从业人员持有本基金的情况</w:t>
        </w:r>
        <w:r>
          <w:rPr>
            <w:noProof/>
            <w:webHidden/>
          </w:rPr>
          <w:tab/>
        </w:r>
        <w:r>
          <w:rPr>
            <w:noProof/>
            <w:webHidden/>
          </w:rPr>
          <w:fldChar w:fldCharType="begin"/>
        </w:r>
        <w:r>
          <w:rPr>
            <w:noProof/>
            <w:webHidden/>
          </w:rPr>
          <w:instrText xml:space="preserve"> PAGEREF _Toc48659067 \h </w:instrText>
        </w:r>
        <w:r>
          <w:rPr>
            <w:noProof/>
            <w:webHidden/>
          </w:rPr>
        </w:r>
        <w:r>
          <w:rPr>
            <w:noProof/>
            <w:webHidden/>
          </w:rPr>
          <w:fldChar w:fldCharType="separate"/>
        </w:r>
        <w:r>
          <w:rPr>
            <w:noProof/>
            <w:webHidden/>
          </w:rPr>
          <w:t>46</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68" w:history="1">
        <w:r w:rsidRPr="00E60DB8">
          <w:rPr>
            <w:rStyle w:val="a9"/>
            <w:rFonts w:ascii="宋体" w:hAnsi="宋体"/>
            <w:noProof/>
          </w:rPr>
          <w:t>8.3</w:t>
        </w:r>
        <w:r w:rsidRPr="00E60DB8">
          <w:rPr>
            <w:rStyle w:val="a9"/>
            <w:noProof/>
          </w:rPr>
          <w:t xml:space="preserve">   </w:t>
        </w:r>
        <w:r w:rsidRPr="00E60DB8">
          <w:rPr>
            <w:rStyle w:val="a9"/>
            <w:rFonts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_Toc48659068 \h </w:instrText>
        </w:r>
        <w:r>
          <w:rPr>
            <w:noProof/>
            <w:webHidden/>
          </w:rPr>
        </w:r>
        <w:r>
          <w:rPr>
            <w:noProof/>
            <w:webHidden/>
          </w:rPr>
          <w:fldChar w:fldCharType="separate"/>
        </w:r>
        <w:r>
          <w:rPr>
            <w:noProof/>
            <w:webHidden/>
          </w:rPr>
          <w:t>46</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69" w:history="1">
        <w:r w:rsidRPr="00E60DB8">
          <w:rPr>
            <w:rStyle w:val="a9"/>
            <w:noProof/>
          </w:rPr>
          <w:t xml:space="preserve">9     </w:t>
        </w:r>
        <w:r w:rsidRPr="00E60DB8">
          <w:rPr>
            <w:rStyle w:val="a9"/>
            <w:rFonts w:hint="eastAsia"/>
            <w:noProof/>
          </w:rPr>
          <w:t>开放式基金份额变动</w:t>
        </w:r>
        <w:r>
          <w:rPr>
            <w:noProof/>
            <w:webHidden/>
          </w:rPr>
          <w:tab/>
        </w:r>
        <w:r>
          <w:rPr>
            <w:noProof/>
            <w:webHidden/>
          </w:rPr>
          <w:fldChar w:fldCharType="begin"/>
        </w:r>
        <w:r>
          <w:rPr>
            <w:noProof/>
            <w:webHidden/>
          </w:rPr>
          <w:instrText xml:space="preserve"> PAGEREF _Toc48659069 \h </w:instrText>
        </w:r>
        <w:r>
          <w:rPr>
            <w:noProof/>
            <w:webHidden/>
          </w:rPr>
        </w:r>
        <w:r>
          <w:rPr>
            <w:noProof/>
            <w:webHidden/>
          </w:rPr>
          <w:fldChar w:fldCharType="separate"/>
        </w:r>
        <w:r>
          <w:rPr>
            <w:noProof/>
            <w:webHidden/>
          </w:rPr>
          <w:t>47</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70" w:history="1">
        <w:r w:rsidRPr="00E60DB8">
          <w:rPr>
            <w:rStyle w:val="a9"/>
            <w:rFonts w:ascii="宋体" w:hAnsi="宋体"/>
            <w:noProof/>
          </w:rPr>
          <w:t>10</w:t>
        </w:r>
        <w:r w:rsidRPr="00E60DB8">
          <w:rPr>
            <w:rStyle w:val="a9"/>
            <w:noProof/>
          </w:rPr>
          <w:t xml:space="preserve">     </w:t>
        </w:r>
        <w:r w:rsidRPr="00E60DB8">
          <w:rPr>
            <w:rStyle w:val="a9"/>
            <w:rFonts w:hint="eastAsia"/>
            <w:noProof/>
          </w:rPr>
          <w:t>重大事件揭示</w:t>
        </w:r>
        <w:r>
          <w:rPr>
            <w:noProof/>
            <w:webHidden/>
          </w:rPr>
          <w:tab/>
        </w:r>
        <w:r>
          <w:rPr>
            <w:noProof/>
            <w:webHidden/>
          </w:rPr>
          <w:fldChar w:fldCharType="begin"/>
        </w:r>
        <w:r>
          <w:rPr>
            <w:noProof/>
            <w:webHidden/>
          </w:rPr>
          <w:instrText xml:space="preserve"> PAGEREF _Toc48659070 \h </w:instrText>
        </w:r>
        <w:r>
          <w:rPr>
            <w:noProof/>
            <w:webHidden/>
          </w:rPr>
        </w:r>
        <w:r>
          <w:rPr>
            <w:noProof/>
            <w:webHidden/>
          </w:rPr>
          <w:fldChar w:fldCharType="separate"/>
        </w:r>
        <w:r>
          <w:rPr>
            <w:noProof/>
            <w:webHidden/>
          </w:rPr>
          <w:t>47</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71" w:history="1">
        <w:r w:rsidRPr="00E60DB8">
          <w:rPr>
            <w:rStyle w:val="a9"/>
            <w:rFonts w:ascii="宋体" w:hAnsi="宋体"/>
            <w:noProof/>
          </w:rPr>
          <w:t>10.1</w:t>
        </w:r>
        <w:r w:rsidRPr="00E60DB8">
          <w:rPr>
            <w:rStyle w:val="a9"/>
            <w:noProof/>
          </w:rPr>
          <w:t xml:space="preserve">   </w:t>
        </w:r>
        <w:r w:rsidRPr="00E60DB8">
          <w:rPr>
            <w:rStyle w:val="a9"/>
            <w:rFonts w:hint="eastAsia"/>
            <w:noProof/>
          </w:rPr>
          <w:t>基金份额持有人大会决议</w:t>
        </w:r>
        <w:r>
          <w:rPr>
            <w:noProof/>
            <w:webHidden/>
          </w:rPr>
          <w:tab/>
        </w:r>
        <w:r>
          <w:rPr>
            <w:noProof/>
            <w:webHidden/>
          </w:rPr>
          <w:fldChar w:fldCharType="begin"/>
        </w:r>
        <w:r>
          <w:rPr>
            <w:noProof/>
            <w:webHidden/>
          </w:rPr>
          <w:instrText xml:space="preserve"> PAGEREF _Toc48659071 \h </w:instrText>
        </w:r>
        <w:r>
          <w:rPr>
            <w:noProof/>
            <w:webHidden/>
          </w:rPr>
        </w:r>
        <w:r>
          <w:rPr>
            <w:noProof/>
            <w:webHidden/>
          </w:rPr>
          <w:fldChar w:fldCharType="separate"/>
        </w:r>
        <w:r>
          <w:rPr>
            <w:noProof/>
            <w:webHidden/>
          </w:rPr>
          <w:t>47</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72" w:history="1">
        <w:r w:rsidRPr="00E60DB8">
          <w:rPr>
            <w:rStyle w:val="a9"/>
            <w:rFonts w:ascii="宋体" w:hAnsi="宋体"/>
            <w:noProof/>
          </w:rPr>
          <w:t>10.2</w:t>
        </w:r>
        <w:r w:rsidRPr="00E60DB8">
          <w:rPr>
            <w:rStyle w:val="a9"/>
            <w:noProof/>
          </w:rPr>
          <w:t xml:space="preserve">   </w:t>
        </w:r>
        <w:r w:rsidRPr="00E60DB8">
          <w:rPr>
            <w:rStyle w:val="a9"/>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_Toc48659072 \h </w:instrText>
        </w:r>
        <w:r>
          <w:rPr>
            <w:noProof/>
            <w:webHidden/>
          </w:rPr>
        </w:r>
        <w:r>
          <w:rPr>
            <w:noProof/>
            <w:webHidden/>
          </w:rPr>
          <w:fldChar w:fldCharType="separate"/>
        </w:r>
        <w:r>
          <w:rPr>
            <w:noProof/>
            <w:webHidden/>
          </w:rPr>
          <w:t>47</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73" w:history="1">
        <w:r w:rsidRPr="00E60DB8">
          <w:rPr>
            <w:rStyle w:val="a9"/>
            <w:rFonts w:ascii="宋体" w:hAnsi="宋体"/>
            <w:noProof/>
          </w:rPr>
          <w:t>10.3</w:t>
        </w:r>
        <w:r w:rsidRPr="00E60DB8">
          <w:rPr>
            <w:rStyle w:val="a9"/>
            <w:noProof/>
          </w:rPr>
          <w:t xml:space="preserve">   </w:t>
        </w:r>
        <w:r w:rsidRPr="00E60DB8">
          <w:rPr>
            <w:rStyle w:val="a9"/>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_Toc48659073 \h </w:instrText>
        </w:r>
        <w:r>
          <w:rPr>
            <w:noProof/>
            <w:webHidden/>
          </w:rPr>
        </w:r>
        <w:r>
          <w:rPr>
            <w:noProof/>
            <w:webHidden/>
          </w:rPr>
          <w:fldChar w:fldCharType="separate"/>
        </w:r>
        <w:r>
          <w:rPr>
            <w:noProof/>
            <w:webHidden/>
          </w:rPr>
          <w:t>47</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74" w:history="1">
        <w:r w:rsidRPr="00E60DB8">
          <w:rPr>
            <w:rStyle w:val="a9"/>
            <w:rFonts w:ascii="宋体" w:hAnsi="宋体"/>
            <w:noProof/>
          </w:rPr>
          <w:t>10.4</w:t>
        </w:r>
        <w:r w:rsidRPr="00E60DB8">
          <w:rPr>
            <w:rStyle w:val="a9"/>
            <w:noProof/>
          </w:rPr>
          <w:t xml:space="preserve">   </w:t>
        </w:r>
        <w:r w:rsidRPr="00E60DB8">
          <w:rPr>
            <w:rStyle w:val="a9"/>
            <w:rFonts w:hint="eastAsia"/>
            <w:noProof/>
          </w:rPr>
          <w:t>基金投资策略的改变</w:t>
        </w:r>
        <w:r>
          <w:rPr>
            <w:noProof/>
            <w:webHidden/>
          </w:rPr>
          <w:tab/>
        </w:r>
        <w:r>
          <w:rPr>
            <w:noProof/>
            <w:webHidden/>
          </w:rPr>
          <w:fldChar w:fldCharType="begin"/>
        </w:r>
        <w:r>
          <w:rPr>
            <w:noProof/>
            <w:webHidden/>
          </w:rPr>
          <w:instrText xml:space="preserve"> PAGEREF _Toc48659074 \h </w:instrText>
        </w:r>
        <w:r>
          <w:rPr>
            <w:noProof/>
            <w:webHidden/>
          </w:rPr>
        </w:r>
        <w:r>
          <w:rPr>
            <w:noProof/>
            <w:webHidden/>
          </w:rPr>
          <w:fldChar w:fldCharType="separate"/>
        </w:r>
        <w:r>
          <w:rPr>
            <w:noProof/>
            <w:webHidden/>
          </w:rPr>
          <w:t>48</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75" w:history="1">
        <w:r w:rsidRPr="00E60DB8">
          <w:rPr>
            <w:rStyle w:val="a9"/>
            <w:rFonts w:ascii="宋体" w:hAnsi="宋体"/>
            <w:noProof/>
          </w:rPr>
          <w:t>10.5</w:t>
        </w:r>
        <w:r w:rsidRPr="00E60DB8">
          <w:rPr>
            <w:rStyle w:val="a9"/>
            <w:noProof/>
          </w:rPr>
          <w:t xml:space="preserve">  </w:t>
        </w:r>
        <w:r w:rsidRPr="00E60DB8">
          <w:rPr>
            <w:rStyle w:val="a9"/>
            <w:rFonts w:ascii="宋体" w:hAnsi="宋体" w:hint="eastAsia"/>
            <w:noProof/>
          </w:rPr>
          <w:t>为基金进行审计的会计师事务所情况</w:t>
        </w:r>
        <w:r>
          <w:rPr>
            <w:noProof/>
            <w:webHidden/>
          </w:rPr>
          <w:tab/>
        </w:r>
        <w:r>
          <w:rPr>
            <w:noProof/>
            <w:webHidden/>
          </w:rPr>
          <w:fldChar w:fldCharType="begin"/>
        </w:r>
        <w:r>
          <w:rPr>
            <w:noProof/>
            <w:webHidden/>
          </w:rPr>
          <w:instrText xml:space="preserve"> PAGEREF _Toc48659075 \h </w:instrText>
        </w:r>
        <w:r>
          <w:rPr>
            <w:noProof/>
            <w:webHidden/>
          </w:rPr>
        </w:r>
        <w:r>
          <w:rPr>
            <w:noProof/>
            <w:webHidden/>
          </w:rPr>
          <w:fldChar w:fldCharType="separate"/>
        </w:r>
        <w:r>
          <w:rPr>
            <w:noProof/>
            <w:webHidden/>
          </w:rPr>
          <w:t>48</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76" w:history="1">
        <w:r w:rsidRPr="00E60DB8">
          <w:rPr>
            <w:rStyle w:val="a9"/>
            <w:rFonts w:ascii="宋体" w:hAnsi="宋体"/>
            <w:noProof/>
          </w:rPr>
          <w:t>10.6</w:t>
        </w:r>
        <w:r w:rsidRPr="00E60DB8">
          <w:rPr>
            <w:rStyle w:val="a9"/>
            <w:noProof/>
          </w:rPr>
          <w:t xml:space="preserve">  </w:t>
        </w:r>
        <w:r w:rsidRPr="00E60DB8">
          <w:rPr>
            <w:rStyle w:val="a9"/>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_Toc48659076 \h </w:instrText>
        </w:r>
        <w:r>
          <w:rPr>
            <w:noProof/>
            <w:webHidden/>
          </w:rPr>
        </w:r>
        <w:r>
          <w:rPr>
            <w:noProof/>
            <w:webHidden/>
          </w:rPr>
          <w:fldChar w:fldCharType="separate"/>
        </w:r>
        <w:r>
          <w:rPr>
            <w:noProof/>
            <w:webHidden/>
          </w:rPr>
          <w:t>48</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77" w:history="1">
        <w:r w:rsidRPr="00E60DB8">
          <w:rPr>
            <w:rStyle w:val="a9"/>
            <w:rFonts w:ascii="宋体" w:hAnsi="宋体"/>
            <w:noProof/>
          </w:rPr>
          <w:t>10.7</w:t>
        </w:r>
        <w:r w:rsidRPr="00E60DB8">
          <w:rPr>
            <w:rStyle w:val="a9"/>
            <w:noProof/>
          </w:rPr>
          <w:t xml:space="preserve">  </w:t>
        </w:r>
        <w:r w:rsidRPr="00E60DB8">
          <w:rPr>
            <w:rStyle w:val="a9"/>
            <w:rFonts w:hint="eastAsia"/>
            <w:noProof/>
          </w:rPr>
          <w:t>基金租用证券公司交易单元的有关情况</w:t>
        </w:r>
        <w:r>
          <w:rPr>
            <w:noProof/>
            <w:webHidden/>
          </w:rPr>
          <w:tab/>
        </w:r>
        <w:r>
          <w:rPr>
            <w:noProof/>
            <w:webHidden/>
          </w:rPr>
          <w:fldChar w:fldCharType="begin"/>
        </w:r>
        <w:r>
          <w:rPr>
            <w:noProof/>
            <w:webHidden/>
          </w:rPr>
          <w:instrText xml:space="preserve"> PAGEREF _Toc48659077 \h </w:instrText>
        </w:r>
        <w:r>
          <w:rPr>
            <w:noProof/>
            <w:webHidden/>
          </w:rPr>
        </w:r>
        <w:r>
          <w:rPr>
            <w:noProof/>
            <w:webHidden/>
          </w:rPr>
          <w:fldChar w:fldCharType="separate"/>
        </w:r>
        <w:r>
          <w:rPr>
            <w:noProof/>
            <w:webHidden/>
          </w:rPr>
          <w:t>48</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78" w:history="1">
        <w:r w:rsidRPr="00E60DB8">
          <w:rPr>
            <w:rStyle w:val="a9"/>
            <w:rFonts w:ascii="宋体" w:hAnsi="宋体"/>
            <w:noProof/>
          </w:rPr>
          <w:t>10.8</w:t>
        </w:r>
        <w:r w:rsidRPr="00E60DB8">
          <w:rPr>
            <w:rStyle w:val="a9"/>
            <w:noProof/>
          </w:rPr>
          <w:t xml:space="preserve">   </w:t>
        </w:r>
        <w:r w:rsidRPr="00E60DB8">
          <w:rPr>
            <w:rStyle w:val="a9"/>
            <w:rFonts w:hint="eastAsia"/>
            <w:noProof/>
          </w:rPr>
          <w:t>其他重大事件</w:t>
        </w:r>
        <w:r>
          <w:rPr>
            <w:noProof/>
            <w:webHidden/>
          </w:rPr>
          <w:tab/>
        </w:r>
        <w:r>
          <w:rPr>
            <w:noProof/>
            <w:webHidden/>
          </w:rPr>
          <w:fldChar w:fldCharType="begin"/>
        </w:r>
        <w:r>
          <w:rPr>
            <w:noProof/>
            <w:webHidden/>
          </w:rPr>
          <w:instrText xml:space="preserve"> PAGEREF _Toc48659078 \h </w:instrText>
        </w:r>
        <w:r>
          <w:rPr>
            <w:noProof/>
            <w:webHidden/>
          </w:rPr>
        </w:r>
        <w:r>
          <w:rPr>
            <w:noProof/>
            <w:webHidden/>
          </w:rPr>
          <w:fldChar w:fldCharType="separate"/>
        </w:r>
        <w:r>
          <w:rPr>
            <w:noProof/>
            <w:webHidden/>
          </w:rPr>
          <w:t>49</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79" w:history="1">
        <w:r w:rsidRPr="00E60DB8">
          <w:rPr>
            <w:rStyle w:val="a9"/>
            <w:rFonts w:ascii="宋体" w:hAnsi="宋体"/>
            <w:noProof/>
          </w:rPr>
          <w:t>11</w:t>
        </w:r>
        <w:r w:rsidRPr="00E60DB8">
          <w:rPr>
            <w:rStyle w:val="a9"/>
            <w:noProof/>
          </w:rPr>
          <w:t xml:space="preserve">     </w:t>
        </w:r>
        <w:r w:rsidRPr="00E60DB8">
          <w:rPr>
            <w:rStyle w:val="a9"/>
            <w:rFonts w:hint="eastAsia"/>
            <w:noProof/>
          </w:rPr>
          <w:t>备查文件目录</w:t>
        </w:r>
        <w:r>
          <w:rPr>
            <w:noProof/>
            <w:webHidden/>
          </w:rPr>
          <w:tab/>
        </w:r>
        <w:r>
          <w:rPr>
            <w:noProof/>
            <w:webHidden/>
          </w:rPr>
          <w:fldChar w:fldCharType="begin"/>
        </w:r>
        <w:r>
          <w:rPr>
            <w:noProof/>
            <w:webHidden/>
          </w:rPr>
          <w:instrText xml:space="preserve"> PAGEREF _Toc48659079 \h </w:instrText>
        </w:r>
        <w:r>
          <w:rPr>
            <w:noProof/>
            <w:webHidden/>
          </w:rPr>
        </w:r>
        <w:r>
          <w:rPr>
            <w:noProof/>
            <w:webHidden/>
          </w:rPr>
          <w:fldChar w:fldCharType="separate"/>
        </w:r>
        <w:r>
          <w:rPr>
            <w:noProof/>
            <w:webHidden/>
          </w:rPr>
          <w:t>51</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80" w:history="1">
        <w:r w:rsidRPr="00E60DB8">
          <w:rPr>
            <w:rStyle w:val="a9"/>
            <w:rFonts w:ascii="宋体" w:hAnsi="宋体"/>
            <w:noProof/>
          </w:rPr>
          <w:t>11.1</w:t>
        </w:r>
        <w:r w:rsidRPr="00E60DB8">
          <w:rPr>
            <w:rStyle w:val="a9"/>
            <w:noProof/>
          </w:rPr>
          <w:t xml:space="preserve">   </w:t>
        </w:r>
        <w:r w:rsidRPr="00E60DB8">
          <w:rPr>
            <w:rStyle w:val="a9"/>
            <w:rFonts w:hint="eastAsia"/>
            <w:noProof/>
          </w:rPr>
          <w:t>备查文件目录</w:t>
        </w:r>
        <w:r>
          <w:rPr>
            <w:noProof/>
            <w:webHidden/>
          </w:rPr>
          <w:tab/>
        </w:r>
        <w:r>
          <w:rPr>
            <w:noProof/>
            <w:webHidden/>
          </w:rPr>
          <w:fldChar w:fldCharType="begin"/>
        </w:r>
        <w:r>
          <w:rPr>
            <w:noProof/>
            <w:webHidden/>
          </w:rPr>
          <w:instrText xml:space="preserve"> PAGEREF _Toc48659080 \h </w:instrText>
        </w:r>
        <w:r>
          <w:rPr>
            <w:noProof/>
            <w:webHidden/>
          </w:rPr>
        </w:r>
        <w:r>
          <w:rPr>
            <w:noProof/>
            <w:webHidden/>
          </w:rPr>
          <w:fldChar w:fldCharType="separate"/>
        </w:r>
        <w:r>
          <w:rPr>
            <w:noProof/>
            <w:webHidden/>
          </w:rPr>
          <w:t>51</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81" w:history="1">
        <w:r w:rsidRPr="00E60DB8">
          <w:rPr>
            <w:rStyle w:val="a9"/>
            <w:rFonts w:ascii="宋体" w:hAnsi="宋体"/>
            <w:noProof/>
          </w:rPr>
          <w:t>11.2</w:t>
        </w:r>
        <w:r w:rsidRPr="00E60DB8">
          <w:rPr>
            <w:rStyle w:val="a9"/>
            <w:noProof/>
          </w:rPr>
          <w:t xml:space="preserve">   </w:t>
        </w:r>
        <w:r w:rsidRPr="00E60DB8">
          <w:rPr>
            <w:rStyle w:val="a9"/>
            <w:rFonts w:hint="eastAsia"/>
            <w:noProof/>
          </w:rPr>
          <w:t>存放地点</w:t>
        </w:r>
        <w:r>
          <w:rPr>
            <w:noProof/>
            <w:webHidden/>
          </w:rPr>
          <w:tab/>
        </w:r>
        <w:r>
          <w:rPr>
            <w:noProof/>
            <w:webHidden/>
          </w:rPr>
          <w:fldChar w:fldCharType="begin"/>
        </w:r>
        <w:r>
          <w:rPr>
            <w:noProof/>
            <w:webHidden/>
          </w:rPr>
          <w:instrText xml:space="preserve"> PAGEREF _Toc48659081 \h </w:instrText>
        </w:r>
        <w:r>
          <w:rPr>
            <w:noProof/>
            <w:webHidden/>
          </w:rPr>
        </w:r>
        <w:r>
          <w:rPr>
            <w:noProof/>
            <w:webHidden/>
          </w:rPr>
          <w:fldChar w:fldCharType="separate"/>
        </w:r>
        <w:r>
          <w:rPr>
            <w:noProof/>
            <w:webHidden/>
          </w:rPr>
          <w:t>51</w:t>
        </w:r>
        <w:r>
          <w:rPr>
            <w:noProof/>
            <w:webHidden/>
          </w:rPr>
          <w:fldChar w:fldCharType="end"/>
        </w:r>
      </w:hyperlink>
    </w:p>
    <w:p w:rsidR="00A025BF" w:rsidRDefault="00A025BF">
      <w:pPr>
        <w:pStyle w:val="22"/>
        <w:ind w:left="420"/>
        <w:rPr>
          <w:rFonts w:asciiTheme="minorHAnsi" w:eastAsiaTheme="minorEastAsia" w:hAnsiTheme="minorHAnsi" w:cstheme="minorBidi"/>
          <w:noProof/>
          <w:kern w:val="2"/>
          <w:szCs w:val="22"/>
        </w:rPr>
      </w:pPr>
      <w:hyperlink w:anchor="_Toc48659082" w:history="1">
        <w:r w:rsidRPr="00E60DB8">
          <w:rPr>
            <w:rStyle w:val="a9"/>
            <w:rFonts w:ascii="宋体" w:hAnsi="宋体"/>
            <w:noProof/>
          </w:rPr>
          <w:t>11.3</w:t>
        </w:r>
        <w:r w:rsidRPr="00E60DB8">
          <w:rPr>
            <w:rStyle w:val="a9"/>
            <w:noProof/>
          </w:rPr>
          <w:t xml:space="preserve">   </w:t>
        </w:r>
        <w:r w:rsidRPr="00E60DB8">
          <w:rPr>
            <w:rStyle w:val="a9"/>
            <w:rFonts w:hint="eastAsia"/>
            <w:noProof/>
          </w:rPr>
          <w:t>查阅方式</w:t>
        </w:r>
        <w:r>
          <w:rPr>
            <w:noProof/>
            <w:webHidden/>
          </w:rPr>
          <w:tab/>
        </w:r>
        <w:r>
          <w:rPr>
            <w:noProof/>
            <w:webHidden/>
          </w:rPr>
          <w:fldChar w:fldCharType="begin"/>
        </w:r>
        <w:r>
          <w:rPr>
            <w:noProof/>
            <w:webHidden/>
          </w:rPr>
          <w:instrText xml:space="preserve"> PAGEREF _Toc48659082 \h </w:instrText>
        </w:r>
        <w:r>
          <w:rPr>
            <w:noProof/>
            <w:webHidden/>
          </w:rPr>
        </w:r>
        <w:r>
          <w:rPr>
            <w:noProof/>
            <w:webHidden/>
          </w:rPr>
          <w:fldChar w:fldCharType="separate"/>
        </w:r>
        <w:r>
          <w:rPr>
            <w:noProof/>
            <w:webHidden/>
          </w:rPr>
          <w:t>52</w:t>
        </w:r>
        <w:r>
          <w:rPr>
            <w:noProof/>
            <w:webHidden/>
          </w:rPr>
          <w:fldChar w:fldCharType="end"/>
        </w:r>
      </w:hyperlink>
    </w:p>
    <w:p w:rsidR="00871A0D" w:rsidRPr="00C24ACA" w:rsidRDefault="00EF5FA8" w:rsidP="00793233">
      <w:pPr>
        <w:pStyle w:val="22"/>
        <w:tabs>
          <w:tab w:val="clear" w:pos="9072"/>
          <w:tab w:val="right" w:leader="dot" w:pos="8834"/>
        </w:tabs>
        <w:ind w:left="420"/>
        <w:rPr>
          <w:rFonts w:eastAsiaTheme="minorEastAsia"/>
        </w:rPr>
      </w:pPr>
      <w:r w:rsidRPr="006F3222">
        <w:rPr>
          <w:rFonts w:eastAsiaTheme="minorEastAsia"/>
          <w:color w:val="000000"/>
        </w:rPr>
        <w:fldChar w:fldCharType="end"/>
      </w:r>
      <w:r w:rsidR="00871A0D" w:rsidRPr="00C24ACA">
        <w:rPr>
          <w:rFonts w:eastAsiaTheme="minorEastAsia"/>
        </w:rPr>
        <w:br w:type="page"/>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21" w:name="_Toc225498244"/>
      <w:bookmarkStart w:id="22" w:name="_Toc352255960"/>
      <w:bookmarkStart w:id="23" w:name="_Toc352256028"/>
      <w:bookmarkStart w:id="24" w:name="_Toc352331206"/>
      <w:bookmarkStart w:id="25" w:name="_Toc390164792"/>
      <w:bookmarkStart w:id="26" w:name="_Toc48659024"/>
      <w:r w:rsidRPr="000C6CCD">
        <w:rPr>
          <w:rFonts w:ascii="宋体" w:hAnsi="宋体"/>
          <w:bCs w:val="0"/>
          <w:color w:val="000000"/>
          <w:sz w:val="21"/>
          <w:szCs w:val="21"/>
        </w:rPr>
        <w:t>2</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基金简介</w:t>
      </w:r>
      <w:bookmarkEnd w:id="21"/>
      <w:bookmarkEnd w:id="22"/>
      <w:bookmarkEnd w:id="23"/>
      <w:bookmarkEnd w:id="24"/>
      <w:bookmarkEnd w:id="25"/>
      <w:bookmarkEnd w:id="26"/>
    </w:p>
    <w:p w:rsidR="008A5A5D" w:rsidRPr="00A317EA" w:rsidRDefault="008A5A5D" w:rsidP="006C64F3">
      <w:pPr>
        <w:pStyle w:val="20"/>
        <w:spacing w:beforeLines="100" w:before="312" w:after="0"/>
        <w:rPr>
          <w:rFonts w:ascii="Times New Roman" w:eastAsiaTheme="minorEastAsia" w:hAnsi="Times New Roman"/>
          <w:kern w:val="0"/>
          <w:sz w:val="21"/>
          <w:szCs w:val="21"/>
        </w:rPr>
      </w:pPr>
      <w:bookmarkStart w:id="27" w:name="_Toc352255961"/>
      <w:bookmarkStart w:id="28" w:name="_Toc352256029"/>
      <w:bookmarkStart w:id="29" w:name="_Toc352331207"/>
      <w:bookmarkStart w:id="30" w:name="_Toc390164793"/>
      <w:bookmarkStart w:id="31" w:name="_Toc48659025"/>
      <w:r w:rsidRPr="0087359D">
        <w:rPr>
          <w:rFonts w:ascii="宋体" w:hAnsi="宋体"/>
          <w:kern w:val="0"/>
          <w:sz w:val="21"/>
          <w:szCs w:val="21"/>
        </w:rPr>
        <w:t>2.1</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基金基本情况</w:t>
      </w:r>
      <w:bookmarkEnd w:id="27"/>
      <w:bookmarkEnd w:id="28"/>
      <w:bookmarkEnd w:id="29"/>
      <w:bookmarkEnd w:id="30"/>
      <w:bookmarkEnd w:id="3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58"/>
        <w:gridCol w:w="2580"/>
        <w:gridCol w:w="2637"/>
      </w:tblGrid>
      <w:tr w:rsidR="008A5A5D" w:rsidRPr="00C24ACA" w:rsidTr="00862636">
        <w:tc>
          <w:tcPr>
            <w:tcW w:w="3258" w:type="dxa"/>
          </w:tcPr>
          <w:p w:rsidR="008A5A5D" w:rsidRPr="00C24ACA" w:rsidRDefault="008A5A5D" w:rsidP="008F4C10">
            <w:pPr>
              <w:rPr>
                <w:rFonts w:eastAsiaTheme="minorEastAsia"/>
                <w:color w:val="000000"/>
                <w:kern w:val="0"/>
                <w:szCs w:val="21"/>
              </w:rPr>
            </w:pPr>
            <w:r w:rsidRPr="00C24ACA">
              <w:rPr>
                <w:rFonts w:eastAsiaTheme="minorEastAsia"/>
                <w:szCs w:val="21"/>
              </w:rPr>
              <w:t>基金名称</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易方达中证海外中国互联网</w:t>
            </w:r>
            <w:r w:rsidRPr="00C24ACA">
              <w:rPr>
                <w:rFonts w:eastAsiaTheme="minorEastAsia"/>
                <w:szCs w:val="21"/>
              </w:rPr>
              <w:t>50</w:t>
            </w:r>
            <w:r w:rsidRPr="00C24ACA">
              <w:rPr>
                <w:rFonts w:eastAsiaTheme="minorEastAsia"/>
                <w:szCs w:val="21"/>
              </w:rPr>
              <w:t>交易型开放式指数证券投资基金联接基金</w:t>
            </w:r>
          </w:p>
        </w:tc>
      </w:tr>
      <w:tr w:rsidR="008A5A5D" w:rsidRPr="00C24ACA" w:rsidTr="00862636">
        <w:tc>
          <w:tcPr>
            <w:tcW w:w="3258" w:type="dxa"/>
          </w:tcPr>
          <w:p w:rsidR="008A5A5D" w:rsidRPr="00C24ACA" w:rsidRDefault="008A5A5D" w:rsidP="008F4C10">
            <w:pPr>
              <w:rPr>
                <w:rFonts w:eastAsiaTheme="minorEastAsia"/>
                <w:color w:val="000000"/>
                <w:kern w:val="0"/>
                <w:szCs w:val="21"/>
              </w:rPr>
            </w:pPr>
            <w:r w:rsidRPr="00C24ACA">
              <w:rPr>
                <w:rFonts w:eastAsiaTheme="minorEastAsia"/>
                <w:szCs w:val="21"/>
              </w:rPr>
              <w:t>基金简称</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易方达中证海外中国互联网</w:t>
            </w:r>
            <w:r w:rsidRPr="00C24ACA">
              <w:rPr>
                <w:rFonts w:eastAsiaTheme="minorEastAsia"/>
                <w:szCs w:val="21"/>
              </w:rPr>
              <w:t>50ETF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p>
        </w:tc>
      </w:tr>
      <w:tr w:rsidR="008A5A5D" w:rsidRPr="00C24ACA" w:rsidTr="00862636">
        <w:tc>
          <w:tcPr>
            <w:tcW w:w="3258" w:type="dxa"/>
            <w:vAlign w:val="center"/>
          </w:tcPr>
          <w:p w:rsidR="008A5A5D" w:rsidRPr="00C24ACA" w:rsidRDefault="008A5A5D" w:rsidP="008F4C10">
            <w:pPr>
              <w:rPr>
                <w:rFonts w:eastAsiaTheme="minorEastAsia"/>
                <w:color w:val="000000"/>
                <w:kern w:val="0"/>
                <w:szCs w:val="21"/>
              </w:rPr>
            </w:pPr>
            <w:r w:rsidRPr="00C24ACA">
              <w:rPr>
                <w:rFonts w:eastAsiaTheme="minorEastAsia"/>
                <w:szCs w:val="21"/>
              </w:rPr>
              <w:t>基金主代码</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006327</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基金运作方式</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契约型开放式</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基金合同生效日</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2019</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18</w:t>
            </w:r>
            <w:r w:rsidRPr="00C24ACA">
              <w:rPr>
                <w:rFonts w:eastAsiaTheme="minorEastAsia"/>
                <w:szCs w:val="21"/>
              </w:rPr>
              <w:t>日</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基金管理人</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易方达基金管理有限公司</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基金托管人</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招商银行股份有限公司</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报告期末基金份额总额</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554,642,975.13</w:t>
            </w:r>
            <w:r w:rsidRPr="00C24ACA">
              <w:rPr>
                <w:rFonts w:eastAsiaTheme="minorEastAsia"/>
                <w:szCs w:val="21"/>
              </w:rPr>
              <w:t>份</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基金合同存续期</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不定期</w:t>
            </w:r>
          </w:p>
        </w:tc>
      </w:tr>
      <w:tr w:rsidR="008F4C10" w:rsidRPr="00C24ACA" w:rsidTr="00DC4F67">
        <w:tc>
          <w:tcPr>
            <w:tcW w:w="3258" w:type="dxa"/>
            <w:vAlign w:val="center"/>
          </w:tcPr>
          <w:p w:rsidR="008F4C10" w:rsidRPr="00C24ACA" w:rsidRDefault="008F4C10" w:rsidP="008F4C10">
            <w:pPr>
              <w:rPr>
                <w:rFonts w:eastAsiaTheme="minorEastAsia"/>
                <w:szCs w:val="21"/>
              </w:rPr>
            </w:pPr>
            <w:r w:rsidRPr="00C24ACA">
              <w:rPr>
                <w:rFonts w:eastAsiaTheme="minorEastAsia"/>
                <w:szCs w:val="21"/>
              </w:rPr>
              <w:t>下属分级基金的基金简称</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易方达中证海外中国互联网</w:t>
            </w:r>
            <w:r w:rsidRPr="00C24ACA">
              <w:rPr>
                <w:rFonts w:eastAsiaTheme="minorEastAsia"/>
                <w:szCs w:val="21"/>
              </w:rPr>
              <w:t>50ETF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易方达中证海外中国互联网</w:t>
            </w:r>
            <w:r w:rsidRPr="00C24ACA">
              <w:rPr>
                <w:rFonts w:eastAsiaTheme="minorEastAsia"/>
                <w:szCs w:val="21"/>
              </w:rPr>
              <w:t>50ETF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8F4C10" w:rsidRPr="00C24ACA" w:rsidTr="00DC4F67">
        <w:tc>
          <w:tcPr>
            <w:tcW w:w="3258" w:type="dxa"/>
            <w:vAlign w:val="center"/>
          </w:tcPr>
          <w:p w:rsidR="008F4C10" w:rsidRPr="00C24ACA" w:rsidRDefault="008F4C10" w:rsidP="008F4C10">
            <w:pPr>
              <w:rPr>
                <w:rFonts w:eastAsiaTheme="minorEastAsia"/>
                <w:szCs w:val="21"/>
              </w:rPr>
            </w:pPr>
            <w:r w:rsidRPr="00C24ACA">
              <w:rPr>
                <w:rFonts w:eastAsiaTheme="minorEastAsia"/>
                <w:szCs w:val="21"/>
              </w:rPr>
              <w:t>下属分级基金的交易代码</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006327</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006328</w:t>
            </w:r>
          </w:p>
        </w:tc>
      </w:tr>
      <w:tr w:rsidR="008F4C10" w:rsidRPr="00C24ACA" w:rsidTr="00DC4F67">
        <w:tc>
          <w:tcPr>
            <w:tcW w:w="3258" w:type="dxa"/>
            <w:vAlign w:val="center"/>
          </w:tcPr>
          <w:p w:rsidR="008F4C10" w:rsidRPr="00C24ACA" w:rsidRDefault="008F4C10" w:rsidP="008F4C10">
            <w:pPr>
              <w:rPr>
                <w:rFonts w:eastAsiaTheme="minorEastAsia"/>
                <w:szCs w:val="21"/>
              </w:rPr>
            </w:pPr>
            <w:r w:rsidRPr="00C24ACA">
              <w:rPr>
                <w:rFonts w:eastAsiaTheme="minorEastAsia"/>
                <w:szCs w:val="21"/>
              </w:rPr>
              <w:t>报告期末下属分级基金的份额总额</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528,153,985.41</w:t>
            </w:r>
            <w:r w:rsidRPr="00C24ACA">
              <w:rPr>
                <w:rFonts w:eastAsiaTheme="minorEastAsia"/>
                <w:szCs w:val="21"/>
              </w:rPr>
              <w:t>份</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26,488,989.72</w:t>
            </w:r>
            <w:r w:rsidRPr="00C24ACA">
              <w:rPr>
                <w:rFonts w:eastAsiaTheme="minorEastAsia"/>
                <w:szCs w:val="21"/>
              </w:rPr>
              <w:t>份</w:t>
            </w:r>
          </w:p>
        </w:tc>
      </w:tr>
    </w:tbl>
    <w:p w:rsidR="008A5A5D"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ab/>
      </w:r>
      <w:r w:rsidRPr="00C24ACA">
        <w:rPr>
          <w:rFonts w:eastAsiaTheme="minorEastAsia"/>
          <w:kern w:val="0"/>
          <w:szCs w:val="21"/>
        </w:rPr>
        <w:t>注：易方达中证海外中国互联网</w:t>
      </w:r>
      <w:r w:rsidRPr="00C24ACA">
        <w:rPr>
          <w:rFonts w:eastAsiaTheme="minorEastAsia"/>
          <w:kern w:val="0"/>
          <w:szCs w:val="21"/>
        </w:rPr>
        <w:t>50ETF</w:t>
      </w:r>
      <w:r w:rsidRPr="00C24ACA">
        <w:rPr>
          <w:rFonts w:eastAsiaTheme="minorEastAsia"/>
          <w:kern w:val="0"/>
          <w:szCs w:val="21"/>
        </w:rPr>
        <w:t>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r w:rsidRPr="00C24ACA">
        <w:rPr>
          <w:rFonts w:eastAsiaTheme="minorEastAsia"/>
          <w:kern w:val="0"/>
          <w:szCs w:val="21"/>
        </w:rPr>
        <w:t>含</w:t>
      </w:r>
      <w:r w:rsidRPr="00C24ACA">
        <w:rPr>
          <w:rFonts w:eastAsiaTheme="minorEastAsia"/>
          <w:kern w:val="0"/>
          <w:szCs w:val="21"/>
        </w:rPr>
        <w:t>A</w:t>
      </w:r>
      <w:r w:rsidRPr="00C24ACA">
        <w:rPr>
          <w:rFonts w:eastAsiaTheme="minorEastAsia"/>
          <w:kern w:val="0"/>
          <w:szCs w:val="21"/>
        </w:rPr>
        <w:t>类人民币份额（份额代码：</w:t>
      </w:r>
      <w:r w:rsidRPr="00C24ACA">
        <w:rPr>
          <w:rFonts w:eastAsiaTheme="minorEastAsia"/>
          <w:kern w:val="0"/>
          <w:szCs w:val="21"/>
        </w:rPr>
        <w:t>006327</w:t>
      </w:r>
      <w:r w:rsidRPr="00C24ACA">
        <w:rPr>
          <w:rFonts w:eastAsiaTheme="minorEastAsia"/>
          <w:kern w:val="0"/>
          <w:szCs w:val="21"/>
        </w:rPr>
        <w:t>）及</w:t>
      </w:r>
      <w:r w:rsidRPr="00C24ACA">
        <w:rPr>
          <w:rFonts w:eastAsiaTheme="minorEastAsia"/>
          <w:kern w:val="0"/>
          <w:szCs w:val="21"/>
        </w:rPr>
        <w:t>A</w:t>
      </w:r>
      <w:r w:rsidRPr="00C24ACA">
        <w:rPr>
          <w:rFonts w:eastAsiaTheme="minorEastAsia"/>
          <w:kern w:val="0"/>
          <w:szCs w:val="21"/>
        </w:rPr>
        <w:t>类美元现汇份额（份额代码：</w:t>
      </w:r>
      <w:r w:rsidRPr="00C24ACA">
        <w:rPr>
          <w:rFonts w:eastAsiaTheme="minorEastAsia"/>
          <w:kern w:val="0"/>
          <w:szCs w:val="21"/>
        </w:rPr>
        <w:t>006329</w:t>
      </w:r>
      <w:r w:rsidRPr="00C24ACA">
        <w:rPr>
          <w:rFonts w:eastAsiaTheme="minorEastAsia"/>
          <w:kern w:val="0"/>
          <w:szCs w:val="21"/>
        </w:rPr>
        <w:t>），交易代码仅列示</w:t>
      </w:r>
      <w:r w:rsidRPr="00C24ACA">
        <w:rPr>
          <w:rFonts w:eastAsiaTheme="minorEastAsia"/>
          <w:kern w:val="0"/>
          <w:szCs w:val="21"/>
        </w:rPr>
        <w:t>A</w:t>
      </w:r>
      <w:r w:rsidRPr="00C24ACA">
        <w:rPr>
          <w:rFonts w:eastAsiaTheme="minorEastAsia"/>
          <w:kern w:val="0"/>
          <w:szCs w:val="21"/>
        </w:rPr>
        <w:t>类人民币份额代码；易方达中证海外中国互联网</w:t>
      </w:r>
      <w:r w:rsidRPr="00C24ACA">
        <w:rPr>
          <w:rFonts w:eastAsiaTheme="minorEastAsia"/>
          <w:kern w:val="0"/>
          <w:szCs w:val="21"/>
        </w:rPr>
        <w:t>50ETF</w:t>
      </w:r>
      <w:r w:rsidRPr="00C24ACA">
        <w:rPr>
          <w:rFonts w:eastAsiaTheme="minorEastAsia"/>
          <w:kern w:val="0"/>
          <w:szCs w:val="21"/>
        </w:rPr>
        <w:t>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含</w:t>
      </w:r>
      <w:r w:rsidRPr="00C24ACA">
        <w:rPr>
          <w:rFonts w:eastAsiaTheme="minorEastAsia"/>
          <w:kern w:val="0"/>
          <w:szCs w:val="21"/>
        </w:rPr>
        <w:t>C</w:t>
      </w:r>
      <w:r w:rsidRPr="00C24ACA">
        <w:rPr>
          <w:rFonts w:eastAsiaTheme="minorEastAsia"/>
          <w:kern w:val="0"/>
          <w:szCs w:val="21"/>
        </w:rPr>
        <w:t>类人民币份额（份额代码：</w:t>
      </w:r>
      <w:r w:rsidRPr="00C24ACA">
        <w:rPr>
          <w:rFonts w:eastAsiaTheme="minorEastAsia"/>
          <w:kern w:val="0"/>
          <w:szCs w:val="21"/>
        </w:rPr>
        <w:t>006328</w:t>
      </w:r>
      <w:r w:rsidRPr="00C24ACA">
        <w:rPr>
          <w:rFonts w:eastAsiaTheme="minorEastAsia"/>
          <w:kern w:val="0"/>
          <w:szCs w:val="21"/>
        </w:rPr>
        <w:t>）及</w:t>
      </w:r>
      <w:r w:rsidRPr="00C24ACA">
        <w:rPr>
          <w:rFonts w:eastAsiaTheme="minorEastAsia"/>
          <w:kern w:val="0"/>
          <w:szCs w:val="21"/>
        </w:rPr>
        <w:t>C</w:t>
      </w:r>
      <w:r w:rsidRPr="00C24ACA">
        <w:rPr>
          <w:rFonts w:eastAsiaTheme="minorEastAsia"/>
          <w:kern w:val="0"/>
          <w:szCs w:val="21"/>
        </w:rPr>
        <w:t>类美元现汇份额（份额代码：</w:t>
      </w:r>
      <w:r w:rsidRPr="00C24ACA">
        <w:rPr>
          <w:rFonts w:eastAsiaTheme="minorEastAsia"/>
          <w:kern w:val="0"/>
          <w:szCs w:val="21"/>
        </w:rPr>
        <w:t>006330</w:t>
      </w:r>
      <w:r w:rsidRPr="00C24ACA">
        <w:rPr>
          <w:rFonts w:eastAsiaTheme="minorEastAsia"/>
          <w:kern w:val="0"/>
          <w:szCs w:val="21"/>
        </w:rPr>
        <w:t>），交易代码仅列示</w:t>
      </w:r>
      <w:r w:rsidRPr="00C24ACA">
        <w:rPr>
          <w:rFonts w:eastAsiaTheme="minorEastAsia"/>
          <w:kern w:val="0"/>
          <w:szCs w:val="21"/>
        </w:rPr>
        <w:t>C</w:t>
      </w:r>
      <w:r w:rsidRPr="00C24ACA">
        <w:rPr>
          <w:rFonts w:eastAsiaTheme="minorEastAsia"/>
          <w:kern w:val="0"/>
          <w:szCs w:val="21"/>
        </w:rPr>
        <w:t>类人民币份额代码。</w:t>
      </w:r>
    </w:p>
    <w:p w:rsidR="005A152F" w:rsidRPr="00F33D3D" w:rsidRDefault="005A152F" w:rsidP="00820BF6">
      <w:pPr>
        <w:spacing w:line="360" w:lineRule="auto"/>
        <w:rPr>
          <w:rFonts w:ascii="宋体" w:hAnsi="宋体"/>
          <w:b/>
          <w:bCs/>
          <w:color w:val="000000"/>
          <w:kern w:val="0"/>
          <w:szCs w:val="21"/>
        </w:rPr>
      </w:pPr>
      <w:r w:rsidRPr="00740D02">
        <w:rPr>
          <w:rFonts w:ascii="宋体" w:hAnsi="宋体"/>
          <w:b/>
          <w:bCs/>
          <w:color w:val="000000"/>
          <w:kern w:val="0"/>
          <w:szCs w:val="21"/>
        </w:rPr>
        <w:t xml:space="preserve">2.1.1 </w:t>
      </w:r>
      <w:r w:rsidRPr="00740D02">
        <w:rPr>
          <w:rFonts w:ascii="宋体" w:hAnsi="宋体" w:hint="eastAsia"/>
          <w:b/>
          <w:bCs/>
          <w:color w:val="000000"/>
          <w:kern w:val="0"/>
          <w:szCs w:val="21"/>
        </w:rPr>
        <w:t>目标基金基本情况</w:t>
      </w:r>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5670"/>
      </w:tblGrid>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基金名称</w:t>
            </w:r>
          </w:p>
        </w:tc>
        <w:tc>
          <w:tcPr>
            <w:tcW w:w="5670" w:type="dxa"/>
            <w:vAlign w:val="center"/>
          </w:tcPr>
          <w:p w:rsidR="005A152F" w:rsidRPr="003B55A6" w:rsidRDefault="005A152F" w:rsidP="005D2965">
            <w:pPr>
              <w:jc w:val="right"/>
              <w:rPr>
                <w:szCs w:val="21"/>
              </w:rPr>
            </w:pPr>
            <w:r w:rsidRPr="003B55A6">
              <w:rPr>
                <w:szCs w:val="21"/>
              </w:rPr>
              <w:t>易方达中证海外中国互联网</w:t>
            </w:r>
            <w:r w:rsidRPr="003B55A6">
              <w:rPr>
                <w:szCs w:val="21"/>
              </w:rPr>
              <w:t>50</w:t>
            </w:r>
            <w:r w:rsidRPr="003B55A6">
              <w:rPr>
                <w:szCs w:val="21"/>
              </w:rPr>
              <w:t>交易型开放式指数证券投资基金</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基金主代码</w:t>
            </w:r>
          </w:p>
        </w:tc>
        <w:tc>
          <w:tcPr>
            <w:tcW w:w="5670" w:type="dxa"/>
            <w:vAlign w:val="center"/>
          </w:tcPr>
          <w:p w:rsidR="005A152F" w:rsidRPr="003B55A6" w:rsidRDefault="005A152F" w:rsidP="005D2965">
            <w:pPr>
              <w:jc w:val="right"/>
              <w:rPr>
                <w:szCs w:val="21"/>
              </w:rPr>
            </w:pPr>
            <w:r w:rsidRPr="003B55A6">
              <w:rPr>
                <w:szCs w:val="21"/>
              </w:rPr>
              <w:t>513050</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基金运作方式</w:t>
            </w:r>
          </w:p>
        </w:tc>
        <w:tc>
          <w:tcPr>
            <w:tcW w:w="5670" w:type="dxa"/>
            <w:vAlign w:val="center"/>
          </w:tcPr>
          <w:p w:rsidR="005A152F" w:rsidRPr="003B55A6" w:rsidRDefault="005A152F" w:rsidP="005D2965">
            <w:pPr>
              <w:jc w:val="right"/>
              <w:rPr>
                <w:szCs w:val="21"/>
              </w:rPr>
            </w:pPr>
            <w:r w:rsidRPr="003B55A6">
              <w:rPr>
                <w:szCs w:val="21"/>
              </w:rPr>
              <w:t>交易型开放式（</w:t>
            </w:r>
            <w:r w:rsidRPr="003B55A6">
              <w:rPr>
                <w:szCs w:val="21"/>
              </w:rPr>
              <w:t>ETF</w:t>
            </w:r>
            <w:r w:rsidRPr="003B55A6">
              <w:rPr>
                <w:szCs w:val="21"/>
              </w:rPr>
              <w:t>）</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基金合同生效日</w:t>
            </w:r>
          </w:p>
        </w:tc>
        <w:tc>
          <w:tcPr>
            <w:tcW w:w="5670" w:type="dxa"/>
            <w:vAlign w:val="center"/>
          </w:tcPr>
          <w:p w:rsidR="005A152F" w:rsidRPr="003B55A6" w:rsidRDefault="005A152F" w:rsidP="005D2965">
            <w:pPr>
              <w:jc w:val="right"/>
              <w:rPr>
                <w:szCs w:val="21"/>
              </w:rPr>
            </w:pPr>
            <w:r w:rsidRPr="003B55A6">
              <w:rPr>
                <w:szCs w:val="21"/>
              </w:rPr>
              <w:t>2017</w:t>
            </w:r>
            <w:r w:rsidRPr="003B55A6">
              <w:rPr>
                <w:szCs w:val="21"/>
              </w:rPr>
              <w:t>年</w:t>
            </w:r>
            <w:r w:rsidRPr="003B55A6">
              <w:rPr>
                <w:szCs w:val="21"/>
              </w:rPr>
              <w:t>1</w:t>
            </w:r>
            <w:r w:rsidRPr="003B55A6">
              <w:rPr>
                <w:szCs w:val="21"/>
              </w:rPr>
              <w:t>月</w:t>
            </w:r>
            <w:r w:rsidRPr="003B55A6">
              <w:rPr>
                <w:szCs w:val="21"/>
              </w:rPr>
              <w:t>4</w:t>
            </w:r>
            <w:r w:rsidRPr="003B55A6">
              <w:rPr>
                <w:szCs w:val="21"/>
              </w:rPr>
              <w:t>日</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基金份额上市的证券交易所</w:t>
            </w:r>
          </w:p>
        </w:tc>
        <w:tc>
          <w:tcPr>
            <w:tcW w:w="5670" w:type="dxa"/>
            <w:vAlign w:val="center"/>
          </w:tcPr>
          <w:p w:rsidR="005A152F" w:rsidRPr="003B55A6" w:rsidRDefault="005A152F" w:rsidP="005D2965">
            <w:pPr>
              <w:jc w:val="right"/>
              <w:rPr>
                <w:szCs w:val="21"/>
              </w:rPr>
            </w:pPr>
            <w:r w:rsidRPr="003B55A6">
              <w:rPr>
                <w:szCs w:val="21"/>
              </w:rPr>
              <w:t>上海证券交易所</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上市日期</w:t>
            </w:r>
          </w:p>
        </w:tc>
        <w:tc>
          <w:tcPr>
            <w:tcW w:w="5670" w:type="dxa"/>
            <w:vAlign w:val="center"/>
          </w:tcPr>
          <w:p w:rsidR="005A152F" w:rsidRPr="003B55A6" w:rsidRDefault="005A152F" w:rsidP="005D2965">
            <w:pPr>
              <w:jc w:val="right"/>
              <w:rPr>
                <w:szCs w:val="21"/>
              </w:rPr>
            </w:pPr>
            <w:r w:rsidRPr="003B55A6">
              <w:rPr>
                <w:szCs w:val="21"/>
              </w:rPr>
              <w:t>2017</w:t>
            </w:r>
            <w:r w:rsidRPr="003B55A6">
              <w:rPr>
                <w:szCs w:val="21"/>
              </w:rPr>
              <w:t>年</w:t>
            </w:r>
            <w:r w:rsidRPr="003B55A6">
              <w:rPr>
                <w:szCs w:val="21"/>
              </w:rPr>
              <w:t>1</w:t>
            </w:r>
            <w:r w:rsidRPr="003B55A6">
              <w:rPr>
                <w:szCs w:val="21"/>
              </w:rPr>
              <w:t>月</w:t>
            </w:r>
            <w:r w:rsidRPr="003B55A6">
              <w:rPr>
                <w:szCs w:val="21"/>
              </w:rPr>
              <w:t>18</w:t>
            </w:r>
            <w:r w:rsidRPr="003B55A6">
              <w:rPr>
                <w:szCs w:val="21"/>
              </w:rPr>
              <w:t>日</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基金管理人名称</w:t>
            </w:r>
          </w:p>
        </w:tc>
        <w:tc>
          <w:tcPr>
            <w:tcW w:w="5670" w:type="dxa"/>
            <w:vAlign w:val="center"/>
          </w:tcPr>
          <w:p w:rsidR="005A152F" w:rsidRPr="003B55A6" w:rsidRDefault="005A152F" w:rsidP="005D2965">
            <w:pPr>
              <w:jc w:val="right"/>
              <w:rPr>
                <w:szCs w:val="21"/>
              </w:rPr>
            </w:pPr>
            <w:r w:rsidRPr="003B55A6">
              <w:rPr>
                <w:szCs w:val="21"/>
              </w:rPr>
              <w:t>易方达基金管理有限公司</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基金托管人名称</w:t>
            </w:r>
          </w:p>
        </w:tc>
        <w:tc>
          <w:tcPr>
            <w:tcW w:w="5670" w:type="dxa"/>
            <w:vAlign w:val="center"/>
          </w:tcPr>
          <w:p w:rsidR="005A152F" w:rsidRPr="003B55A6" w:rsidRDefault="005A152F" w:rsidP="005D2965">
            <w:pPr>
              <w:jc w:val="right"/>
              <w:rPr>
                <w:szCs w:val="21"/>
              </w:rPr>
            </w:pPr>
            <w:r w:rsidRPr="003B55A6">
              <w:rPr>
                <w:szCs w:val="21"/>
              </w:rPr>
              <w:t>招商银行股份有限公司</w:t>
            </w:r>
          </w:p>
        </w:tc>
      </w:tr>
    </w:tbl>
    <w:p w:rsidR="008A5A5D" w:rsidRPr="00A317EA" w:rsidRDefault="008A5A5D" w:rsidP="006C64F3">
      <w:pPr>
        <w:pStyle w:val="20"/>
        <w:spacing w:beforeLines="100" w:before="312" w:after="0"/>
        <w:rPr>
          <w:rFonts w:ascii="Times New Roman" w:eastAsiaTheme="minorEastAsia" w:hAnsi="Times New Roman"/>
          <w:kern w:val="0"/>
          <w:sz w:val="21"/>
          <w:szCs w:val="21"/>
        </w:rPr>
      </w:pPr>
      <w:bookmarkStart w:id="32" w:name="_Toc352255962"/>
      <w:bookmarkStart w:id="33" w:name="_Toc352256030"/>
      <w:bookmarkStart w:id="34" w:name="_Toc352331208"/>
      <w:bookmarkStart w:id="35" w:name="_Toc390164794"/>
      <w:bookmarkStart w:id="36" w:name="_Toc48659026"/>
      <w:r w:rsidRPr="0087359D">
        <w:rPr>
          <w:rFonts w:ascii="宋体" w:hAnsi="宋体"/>
          <w:kern w:val="0"/>
          <w:sz w:val="21"/>
          <w:szCs w:val="21"/>
        </w:rPr>
        <w:t>2.2</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基金产品说明</w:t>
      </w:r>
      <w:bookmarkEnd w:id="32"/>
      <w:bookmarkEnd w:id="33"/>
      <w:bookmarkEnd w:id="34"/>
      <w:bookmarkEnd w:id="35"/>
      <w:bookmarkEnd w:id="3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投资目标</w:t>
            </w:r>
          </w:p>
        </w:tc>
        <w:tc>
          <w:tcPr>
            <w:tcW w:w="6873" w:type="dxa"/>
            <w:vAlign w:val="bottom"/>
          </w:tcPr>
          <w:p w:rsidR="008A5A5D" w:rsidRPr="00C24ACA" w:rsidRDefault="008A5A5D">
            <w:pPr>
              <w:rPr>
                <w:rFonts w:eastAsiaTheme="minorEastAsia"/>
                <w:szCs w:val="21"/>
              </w:rPr>
            </w:pPr>
            <w:r w:rsidRPr="00C24ACA">
              <w:rPr>
                <w:rFonts w:eastAsiaTheme="minorEastAsia"/>
                <w:szCs w:val="21"/>
              </w:rPr>
              <w:t>紧密跟踪业绩比较基准，追求跟踪偏离度及跟踪误差的最小化。</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投资策略</w:t>
            </w:r>
          </w:p>
        </w:tc>
        <w:tc>
          <w:tcPr>
            <w:tcW w:w="6873" w:type="dxa"/>
            <w:vAlign w:val="bottom"/>
          </w:tcPr>
          <w:p w:rsidR="008A5A5D" w:rsidRPr="00C24ACA" w:rsidRDefault="008A5A5D">
            <w:pPr>
              <w:rPr>
                <w:rFonts w:eastAsiaTheme="minorEastAsia"/>
                <w:szCs w:val="21"/>
              </w:rPr>
            </w:pPr>
            <w:r w:rsidRPr="00C24ACA">
              <w:rPr>
                <w:rFonts w:eastAsiaTheme="minorEastAsia"/>
                <w:szCs w:val="21"/>
              </w:rPr>
              <w:t>本基金力求紧密跟踪业绩比较基准，追求跟踪偏离度及跟踪误差的最小化。本基金资产主要投资于具有良好流动性的金融工具，包括目标</w:t>
            </w:r>
            <w:r w:rsidRPr="00C24ACA">
              <w:rPr>
                <w:rFonts w:eastAsiaTheme="minorEastAsia"/>
                <w:szCs w:val="21"/>
              </w:rPr>
              <w:t>ETF</w:t>
            </w:r>
            <w:r w:rsidRPr="00C24ACA">
              <w:rPr>
                <w:rFonts w:eastAsiaTheme="minorEastAsia"/>
                <w:szCs w:val="21"/>
              </w:rPr>
              <w:t>，已与中国证监会签署双边监管合作谅解备忘录的国家或地区证券监管机构登记注册的跟踪同一标的指数的公募基金，已与中国证监会签署双边监管合作谅解备忘录的国家或地区证券市场挂牌交易的标的指数成份股及备选成份股，经中国证监会认可的境外交易所上市交易的跟踪标的指数的股指期货等金融衍生品。在正常市场情况下，本基金力争净值增长率与业绩比较基准之间的日均跟踪偏离度不超过</w:t>
            </w:r>
            <w:r w:rsidRPr="00C24ACA">
              <w:rPr>
                <w:rFonts w:eastAsiaTheme="minorEastAsia"/>
                <w:szCs w:val="21"/>
              </w:rPr>
              <w:t>0.35%</w:t>
            </w:r>
            <w:r w:rsidRPr="00C24ACA">
              <w:rPr>
                <w:rFonts w:eastAsiaTheme="minorEastAsia"/>
                <w:szCs w:val="21"/>
              </w:rPr>
              <w:t>，年跟踪误差不超过</w:t>
            </w:r>
            <w:r w:rsidRPr="00C24ACA">
              <w:rPr>
                <w:rFonts w:eastAsiaTheme="minorEastAsia"/>
                <w:szCs w:val="21"/>
              </w:rPr>
              <w:t>4%</w:t>
            </w:r>
            <w:r w:rsidRPr="00C24ACA">
              <w:rPr>
                <w:rFonts w:eastAsiaTheme="minorEastAsia"/>
                <w:szCs w:val="21"/>
              </w:rPr>
              <w:t>。如因指数编制规则调整或其他因素导致跟踪偏离度和跟踪误差超过上述范围，基金管理人应采取合理措施避免跟踪偏离度、跟踪误差进一步扩大。为实现投资目标，本基金将以不低于基金资产净值</w:t>
            </w:r>
            <w:r w:rsidRPr="00C24ACA">
              <w:rPr>
                <w:rFonts w:eastAsiaTheme="minorEastAsia"/>
                <w:szCs w:val="21"/>
              </w:rPr>
              <w:t>90%</w:t>
            </w:r>
            <w:r w:rsidRPr="00C24ACA">
              <w:rPr>
                <w:rFonts w:eastAsiaTheme="minorEastAsia"/>
                <w:szCs w:val="21"/>
              </w:rPr>
              <w:t>的资产投资于目标</w:t>
            </w:r>
            <w:r w:rsidRPr="00C24ACA">
              <w:rPr>
                <w:rFonts w:eastAsiaTheme="minorEastAsia"/>
                <w:szCs w:val="21"/>
              </w:rPr>
              <w:t>ETF</w:t>
            </w:r>
            <w:r w:rsidRPr="00C24ACA">
              <w:rPr>
                <w:rFonts w:eastAsiaTheme="minorEastAsia"/>
                <w:szCs w:val="21"/>
              </w:rPr>
              <w:t>。为更好地实现投资目标，本基金可少量投资于非成份股、债券、资产支持证券、债券回购、银行存款、货币市场工具、权证、股指期货以及经中国证监会允许基金投资的其他金融工具，但需符合中国证监会的相关规定。</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业绩比较基准</w:t>
            </w:r>
          </w:p>
        </w:tc>
        <w:tc>
          <w:tcPr>
            <w:tcW w:w="6873" w:type="dxa"/>
            <w:vAlign w:val="bottom"/>
          </w:tcPr>
          <w:p w:rsidR="008A5A5D" w:rsidRPr="00C24ACA" w:rsidRDefault="008A5A5D">
            <w:pPr>
              <w:rPr>
                <w:rFonts w:eastAsiaTheme="minorEastAsia"/>
                <w:szCs w:val="21"/>
              </w:rPr>
            </w:pPr>
            <w:r w:rsidRPr="00C24ACA">
              <w:rPr>
                <w:rFonts w:eastAsiaTheme="minorEastAsia"/>
                <w:szCs w:val="21"/>
              </w:rPr>
              <w:t>中证海外中国互联网</w:t>
            </w:r>
            <w:r w:rsidRPr="00C24ACA">
              <w:rPr>
                <w:rFonts w:eastAsiaTheme="minorEastAsia"/>
                <w:szCs w:val="21"/>
              </w:rPr>
              <w:t>50</w:t>
            </w:r>
            <w:r w:rsidRPr="00C24ACA">
              <w:rPr>
                <w:rFonts w:eastAsiaTheme="minorEastAsia"/>
                <w:szCs w:val="21"/>
              </w:rPr>
              <w:t>指数收益率</w:t>
            </w:r>
            <w:r w:rsidRPr="00C24ACA">
              <w:rPr>
                <w:rFonts w:eastAsiaTheme="minorEastAsia"/>
                <w:szCs w:val="21"/>
              </w:rPr>
              <w:t>×95%+</w:t>
            </w:r>
            <w:r w:rsidRPr="00C24ACA">
              <w:rPr>
                <w:rFonts w:eastAsiaTheme="minorEastAsia"/>
                <w:szCs w:val="21"/>
              </w:rPr>
              <w:t>活期存款利率</w:t>
            </w:r>
            <w:r w:rsidRPr="00C24ACA">
              <w:rPr>
                <w:rFonts w:eastAsiaTheme="minorEastAsia"/>
                <w:szCs w:val="21"/>
              </w:rPr>
              <w:t>(</w:t>
            </w:r>
            <w:r w:rsidRPr="00C24ACA">
              <w:rPr>
                <w:rFonts w:eastAsiaTheme="minorEastAsia"/>
                <w:szCs w:val="21"/>
              </w:rPr>
              <w:t>税后</w:t>
            </w:r>
            <w:r w:rsidRPr="00C24ACA">
              <w:rPr>
                <w:rFonts w:eastAsiaTheme="minorEastAsia"/>
                <w:szCs w:val="21"/>
              </w:rPr>
              <w:t>) ×5%</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风险收益特征</w:t>
            </w:r>
          </w:p>
        </w:tc>
        <w:tc>
          <w:tcPr>
            <w:tcW w:w="6873" w:type="dxa"/>
            <w:vAlign w:val="bottom"/>
          </w:tcPr>
          <w:p w:rsidR="007F3F42" w:rsidRDefault="00781698">
            <w:pPr>
              <w:rPr>
                <w:rFonts w:eastAsiaTheme="minorEastAsia"/>
                <w:szCs w:val="21"/>
              </w:rPr>
            </w:pPr>
            <w:r>
              <w:rPr>
                <w:rFonts w:eastAsiaTheme="minorEastAsia"/>
                <w:szCs w:val="21"/>
              </w:rPr>
              <w:t>本基金是</w:t>
            </w:r>
            <w:r>
              <w:rPr>
                <w:rFonts w:eastAsiaTheme="minorEastAsia"/>
                <w:szCs w:val="21"/>
              </w:rPr>
              <w:t>ETF</w:t>
            </w:r>
            <w:r>
              <w:rPr>
                <w:rFonts w:eastAsiaTheme="minorEastAsia"/>
                <w:szCs w:val="21"/>
              </w:rPr>
              <w:t>联接基金，预期风险与收益水平高于混合型基金、债券基金和货币市场基金。</w:t>
            </w:r>
          </w:p>
          <w:p w:rsidR="008A5A5D" w:rsidRPr="00C24ACA" w:rsidRDefault="008A5A5D">
            <w:pPr>
              <w:rPr>
                <w:rFonts w:eastAsiaTheme="minorEastAsia"/>
                <w:szCs w:val="21"/>
              </w:rPr>
            </w:pPr>
            <w:r w:rsidRPr="00C24ACA">
              <w:rPr>
                <w:rFonts w:eastAsiaTheme="minorEastAsia"/>
                <w:szCs w:val="21"/>
              </w:rPr>
              <w:t>本基金主要通过投资于易方达中证海外中国互联网</w:t>
            </w:r>
            <w:r w:rsidRPr="00C24ACA">
              <w:rPr>
                <w:rFonts w:eastAsiaTheme="minorEastAsia"/>
                <w:szCs w:val="21"/>
              </w:rPr>
              <w:t>50</w:t>
            </w:r>
            <w:r w:rsidRPr="00C24ACA">
              <w:rPr>
                <w:rFonts w:eastAsiaTheme="minorEastAsia"/>
                <w:szCs w:val="21"/>
              </w:rPr>
              <w:t>指数</w:t>
            </w:r>
            <w:r w:rsidRPr="00C24ACA">
              <w:rPr>
                <w:rFonts w:eastAsiaTheme="minorEastAsia"/>
                <w:szCs w:val="21"/>
              </w:rPr>
              <w:t>ETF</w:t>
            </w:r>
            <w:r w:rsidRPr="00C24ACA">
              <w:rPr>
                <w:rFonts w:eastAsiaTheme="minorEastAsia"/>
                <w:szCs w:val="21"/>
              </w:rPr>
              <w:t>实现对业绩比较基准的紧密跟踪。因此，本基金的业绩表现与中证海外中国互联网</w:t>
            </w:r>
            <w:r w:rsidRPr="00C24ACA">
              <w:rPr>
                <w:rFonts w:eastAsiaTheme="minorEastAsia"/>
                <w:szCs w:val="21"/>
              </w:rPr>
              <w:t>50</w:t>
            </w:r>
            <w:r w:rsidRPr="00C24ACA">
              <w:rPr>
                <w:rFonts w:eastAsiaTheme="minorEastAsia"/>
                <w:szCs w:val="21"/>
              </w:rPr>
              <w:t>指数的表现密切相关。此外，本基金为境外股票指数基金，需承担汇率风险以及境外市场的风险。</w:t>
            </w:r>
          </w:p>
        </w:tc>
      </w:tr>
    </w:tbl>
    <w:p w:rsidR="006C64F3" w:rsidRPr="006C64F3" w:rsidRDefault="006C64F3" w:rsidP="00152AB0">
      <w:pPr>
        <w:spacing w:line="360" w:lineRule="auto"/>
        <w:rPr>
          <w:rFonts w:eastAsiaTheme="minorEastAsia"/>
          <w:b/>
          <w:color w:val="000000"/>
          <w:kern w:val="0"/>
          <w:szCs w:val="21"/>
        </w:rPr>
      </w:pPr>
      <w:r w:rsidRPr="00152AB0">
        <w:rPr>
          <w:rFonts w:ascii="宋体" w:hAnsi="宋体"/>
          <w:b/>
          <w:bCs/>
          <w:color w:val="000000"/>
          <w:kern w:val="0"/>
          <w:szCs w:val="21"/>
        </w:rPr>
        <w:t xml:space="preserve">2.2.1 </w:t>
      </w:r>
      <w:r w:rsidRPr="00152AB0">
        <w:rPr>
          <w:rFonts w:ascii="宋体" w:hAnsi="宋体" w:hint="eastAsia"/>
          <w:b/>
          <w:bCs/>
          <w:color w:val="000000"/>
          <w:kern w:val="0"/>
          <w:szCs w:val="21"/>
        </w:rPr>
        <w:t>目标基金产品说明</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5652"/>
      </w:tblGrid>
      <w:tr w:rsidR="006C64F3" w:rsidRPr="00F059CF" w:rsidTr="00DC4F67">
        <w:tc>
          <w:tcPr>
            <w:tcW w:w="2835" w:type="dxa"/>
            <w:vAlign w:val="center"/>
          </w:tcPr>
          <w:p w:rsidR="006C64F3" w:rsidRPr="0009709F" w:rsidRDefault="006C64F3" w:rsidP="005D2965">
            <w:pPr>
              <w:rPr>
                <w:szCs w:val="21"/>
              </w:rPr>
            </w:pPr>
            <w:r w:rsidRPr="0009709F">
              <w:rPr>
                <w:rFonts w:hint="eastAsia"/>
                <w:szCs w:val="21"/>
              </w:rPr>
              <w:t>投资目标</w:t>
            </w:r>
          </w:p>
        </w:tc>
        <w:tc>
          <w:tcPr>
            <w:tcW w:w="5652" w:type="dxa"/>
            <w:vAlign w:val="center"/>
          </w:tcPr>
          <w:p w:rsidR="006C64F3" w:rsidRPr="0009709F" w:rsidRDefault="006C64F3" w:rsidP="005D2965">
            <w:pPr>
              <w:rPr>
                <w:szCs w:val="21"/>
              </w:rPr>
            </w:pPr>
            <w:r w:rsidRPr="0009709F">
              <w:rPr>
                <w:szCs w:val="21"/>
              </w:rPr>
              <w:t>紧密跟踪标的指数，追求跟踪偏离度及跟踪误差的最小化。</w:t>
            </w:r>
          </w:p>
        </w:tc>
      </w:tr>
      <w:tr w:rsidR="006C64F3" w:rsidRPr="00F059CF" w:rsidTr="00DC4F67">
        <w:tc>
          <w:tcPr>
            <w:tcW w:w="2835" w:type="dxa"/>
            <w:vAlign w:val="center"/>
          </w:tcPr>
          <w:p w:rsidR="006C64F3" w:rsidRPr="0009709F" w:rsidRDefault="006C64F3" w:rsidP="005D2965">
            <w:pPr>
              <w:rPr>
                <w:szCs w:val="21"/>
              </w:rPr>
            </w:pPr>
            <w:r w:rsidRPr="0009709F">
              <w:rPr>
                <w:rFonts w:hint="eastAsia"/>
                <w:szCs w:val="21"/>
              </w:rPr>
              <w:t>投资策略</w:t>
            </w:r>
          </w:p>
        </w:tc>
        <w:tc>
          <w:tcPr>
            <w:tcW w:w="5652" w:type="dxa"/>
            <w:vAlign w:val="center"/>
          </w:tcPr>
          <w:p w:rsidR="006C64F3" w:rsidRPr="0009709F" w:rsidRDefault="006C64F3" w:rsidP="005D2965">
            <w:pPr>
              <w:rPr>
                <w:szCs w:val="21"/>
              </w:rPr>
            </w:pPr>
            <w:r w:rsidRPr="0009709F">
              <w:rPr>
                <w:szCs w:val="21"/>
              </w:rPr>
              <w:t>作为追踪中证海外中国互联网</w:t>
            </w:r>
            <w:r w:rsidRPr="0009709F">
              <w:rPr>
                <w:szCs w:val="21"/>
              </w:rPr>
              <w:t>50</w:t>
            </w:r>
            <w:r w:rsidRPr="0009709F">
              <w:rPr>
                <w:szCs w:val="21"/>
              </w:rPr>
              <w:t>指数的被动式海外指数基金，本基金主要采取组合复制策略和适当的替代性策略实现对标的指数的紧密跟踪。</w:t>
            </w:r>
          </w:p>
        </w:tc>
      </w:tr>
      <w:tr w:rsidR="006C64F3" w:rsidRPr="00F059CF" w:rsidTr="00DC4F67">
        <w:tc>
          <w:tcPr>
            <w:tcW w:w="2835" w:type="dxa"/>
            <w:vAlign w:val="center"/>
          </w:tcPr>
          <w:p w:rsidR="006C64F3" w:rsidRPr="0009709F" w:rsidRDefault="006C64F3" w:rsidP="005D2965">
            <w:pPr>
              <w:rPr>
                <w:szCs w:val="21"/>
              </w:rPr>
            </w:pPr>
            <w:r w:rsidRPr="0009709F">
              <w:rPr>
                <w:rFonts w:hint="eastAsia"/>
                <w:szCs w:val="21"/>
              </w:rPr>
              <w:t>业绩比较基准</w:t>
            </w:r>
          </w:p>
        </w:tc>
        <w:tc>
          <w:tcPr>
            <w:tcW w:w="5652" w:type="dxa"/>
            <w:vAlign w:val="center"/>
          </w:tcPr>
          <w:p w:rsidR="006C64F3" w:rsidRPr="0009709F" w:rsidRDefault="006C64F3" w:rsidP="005D2965">
            <w:pPr>
              <w:rPr>
                <w:szCs w:val="21"/>
              </w:rPr>
            </w:pPr>
            <w:r w:rsidRPr="0009709F">
              <w:rPr>
                <w:szCs w:val="21"/>
              </w:rPr>
              <w:t>中证海外中国互联网</w:t>
            </w:r>
            <w:r w:rsidRPr="0009709F">
              <w:rPr>
                <w:szCs w:val="21"/>
              </w:rPr>
              <w:t>50</w:t>
            </w:r>
            <w:r w:rsidRPr="0009709F">
              <w:rPr>
                <w:szCs w:val="21"/>
              </w:rPr>
              <w:t>指数</w:t>
            </w:r>
          </w:p>
        </w:tc>
      </w:tr>
      <w:tr w:rsidR="006C64F3" w:rsidRPr="00F059CF" w:rsidTr="00DC4F67">
        <w:tc>
          <w:tcPr>
            <w:tcW w:w="2835" w:type="dxa"/>
            <w:vAlign w:val="center"/>
          </w:tcPr>
          <w:p w:rsidR="006C64F3" w:rsidRPr="0009709F" w:rsidRDefault="006C64F3" w:rsidP="005D2965">
            <w:pPr>
              <w:rPr>
                <w:szCs w:val="21"/>
              </w:rPr>
            </w:pPr>
            <w:r w:rsidRPr="0009709F">
              <w:rPr>
                <w:rFonts w:hint="eastAsia"/>
                <w:szCs w:val="21"/>
              </w:rPr>
              <w:t>风险收益特征</w:t>
            </w:r>
          </w:p>
        </w:tc>
        <w:tc>
          <w:tcPr>
            <w:tcW w:w="5652" w:type="dxa"/>
            <w:vAlign w:val="center"/>
          </w:tcPr>
          <w:p w:rsidR="006C64F3" w:rsidRPr="0009709F" w:rsidRDefault="006C64F3" w:rsidP="005D2965">
            <w:pPr>
              <w:rPr>
                <w:szCs w:val="21"/>
              </w:rPr>
            </w:pPr>
            <w:r w:rsidRPr="0009709F">
              <w:rPr>
                <w:szCs w:val="21"/>
              </w:rPr>
              <w:t>本基金属股票指数基金，预期风险与收益水平高于混合基金、债券基金与货币市场基金。本基金主要采用完全复制法跟踪标的指数的表现，具有与标的指数相似的风险收益特征。</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7" w:name="_Toc225498247"/>
      <w:bookmarkStart w:id="38" w:name="_Toc352255963"/>
      <w:bookmarkStart w:id="39" w:name="_Toc352256031"/>
      <w:bookmarkStart w:id="40" w:name="_Toc352331209"/>
      <w:bookmarkStart w:id="41" w:name="_Toc390164795"/>
      <w:bookmarkStart w:id="42" w:name="_Toc48659027"/>
      <w:r w:rsidRPr="0087359D">
        <w:rPr>
          <w:rFonts w:ascii="宋体" w:hAnsi="宋体"/>
          <w:kern w:val="0"/>
          <w:sz w:val="21"/>
          <w:szCs w:val="21"/>
        </w:rPr>
        <w:t>2.3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w:t>
      </w:r>
      <w:r w:rsidRPr="00A317EA">
        <w:rPr>
          <w:rFonts w:ascii="Times New Roman" w:eastAsiaTheme="minorEastAsia" w:hAnsi="Times New Roman"/>
          <w:kern w:val="0"/>
          <w:sz w:val="21"/>
          <w:szCs w:val="21"/>
        </w:rPr>
        <w:t>管理</w:t>
      </w:r>
      <w:r w:rsidRPr="00C24ACA">
        <w:rPr>
          <w:rFonts w:ascii="Times New Roman" w:eastAsiaTheme="minorEastAsia" w:hAnsi="Times New Roman"/>
          <w:kern w:val="0"/>
          <w:sz w:val="21"/>
          <w:szCs w:val="21"/>
        </w:rPr>
        <w:t>人和基金托管人</w:t>
      </w:r>
      <w:bookmarkEnd w:id="37"/>
      <w:bookmarkEnd w:id="38"/>
      <w:bookmarkEnd w:id="39"/>
      <w:bookmarkEnd w:id="40"/>
      <w:bookmarkEnd w:id="41"/>
      <w:bookmarkEnd w:id="4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8A5A5D" w:rsidRPr="00C24ACA" w:rsidTr="006D141C">
        <w:tc>
          <w:tcPr>
            <w:tcW w:w="2631" w:type="dxa"/>
            <w:gridSpan w:val="2"/>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项目</w:t>
            </w:r>
          </w:p>
        </w:tc>
        <w:tc>
          <w:tcPr>
            <w:tcW w:w="3060" w:type="dxa"/>
            <w:vAlign w:val="center"/>
          </w:tcPr>
          <w:p w:rsidR="008A5A5D" w:rsidRPr="00C24ACA" w:rsidRDefault="008A5A5D" w:rsidP="00EC549A">
            <w:pPr>
              <w:jc w:val="center"/>
              <w:rPr>
                <w:rFonts w:eastAsiaTheme="minorEastAsia"/>
                <w:color w:val="000000"/>
                <w:szCs w:val="21"/>
              </w:rPr>
            </w:pPr>
            <w:r w:rsidRPr="00C24ACA">
              <w:rPr>
                <w:rFonts w:eastAsiaTheme="minorEastAsia"/>
                <w:color w:val="000000"/>
                <w:szCs w:val="21"/>
              </w:rPr>
              <w:t>基金管理人</w:t>
            </w:r>
          </w:p>
        </w:tc>
        <w:tc>
          <w:tcPr>
            <w:tcW w:w="3060" w:type="dxa"/>
            <w:vAlign w:val="center"/>
          </w:tcPr>
          <w:p w:rsidR="008A5A5D" w:rsidRPr="00C24ACA" w:rsidRDefault="008A5A5D" w:rsidP="00EC549A">
            <w:pPr>
              <w:jc w:val="center"/>
              <w:rPr>
                <w:rFonts w:eastAsiaTheme="minorEastAsia"/>
                <w:color w:val="000000"/>
                <w:szCs w:val="21"/>
              </w:rPr>
            </w:pPr>
            <w:r w:rsidRPr="00C24ACA">
              <w:rPr>
                <w:rFonts w:eastAsiaTheme="minorEastAsia"/>
                <w:color w:val="000000"/>
                <w:szCs w:val="21"/>
              </w:rPr>
              <w:t>基金托管人</w:t>
            </w:r>
          </w:p>
        </w:tc>
      </w:tr>
      <w:tr w:rsidR="008A5A5D" w:rsidRPr="00C24ACA" w:rsidTr="006D141C">
        <w:tc>
          <w:tcPr>
            <w:tcW w:w="2631" w:type="dxa"/>
            <w:gridSpan w:val="2"/>
            <w:vAlign w:val="center"/>
          </w:tcPr>
          <w:p w:rsidR="008A5A5D" w:rsidRPr="00C24ACA" w:rsidRDefault="008A5A5D">
            <w:pPr>
              <w:autoSpaceDE w:val="0"/>
              <w:autoSpaceDN w:val="0"/>
              <w:adjustRightInd w:val="0"/>
              <w:spacing w:before="29" w:line="288" w:lineRule="auto"/>
              <w:ind w:left="15"/>
              <w:rPr>
                <w:rFonts w:eastAsiaTheme="minorEastAsia"/>
                <w:color w:val="000000"/>
                <w:kern w:val="0"/>
                <w:szCs w:val="21"/>
              </w:rPr>
            </w:pPr>
            <w:r w:rsidRPr="00C24ACA">
              <w:rPr>
                <w:rFonts w:eastAsiaTheme="minorEastAsia"/>
                <w:color w:val="000000"/>
                <w:kern w:val="0"/>
                <w:szCs w:val="21"/>
              </w:rPr>
              <w:t>名称</w:t>
            </w:r>
          </w:p>
        </w:tc>
        <w:tc>
          <w:tcPr>
            <w:tcW w:w="3060" w:type="dxa"/>
            <w:vAlign w:val="center"/>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易方达基金管理有限公司</w:t>
            </w:r>
          </w:p>
        </w:tc>
        <w:tc>
          <w:tcPr>
            <w:tcW w:w="3060" w:type="dxa"/>
            <w:vAlign w:val="center"/>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招商银行股份有限公司</w:t>
            </w:r>
          </w:p>
        </w:tc>
      </w:tr>
      <w:tr w:rsidR="008A5A5D" w:rsidRPr="00C24ACA" w:rsidTr="006D141C">
        <w:tc>
          <w:tcPr>
            <w:tcW w:w="1260" w:type="dxa"/>
            <w:vMerge w:val="restart"/>
            <w:vAlign w:val="center"/>
          </w:tcPr>
          <w:p w:rsidR="008A5A5D" w:rsidRPr="00C24ACA" w:rsidRDefault="008A5A5D">
            <w:pPr>
              <w:autoSpaceDE w:val="0"/>
              <w:autoSpaceDN w:val="0"/>
              <w:adjustRightInd w:val="0"/>
              <w:spacing w:before="29" w:line="360" w:lineRule="auto"/>
              <w:ind w:left="15"/>
              <w:rPr>
                <w:rFonts w:eastAsiaTheme="minorEastAsia"/>
                <w:color w:val="000000"/>
                <w:kern w:val="0"/>
                <w:szCs w:val="21"/>
              </w:rPr>
            </w:pPr>
            <w:r w:rsidRPr="00C24ACA">
              <w:rPr>
                <w:rFonts w:eastAsiaTheme="minorEastAsia"/>
                <w:color w:val="000000"/>
                <w:szCs w:val="21"/>
              </w:rPr>
              <w:t>信息披露负责人</w:t>
            </w:r>
          </w:p>
        </w:tc>
        <w:tc>
          <w:tcPr>
            <w:tcW w:w="1371" w:type="dxa"/>
            <w:vAlign w:val="center"/>
          </w:tcPr>
          <w:p w:rsidR="008A5A5D" w:rsidRPr="00C24ACA" w:rsidRDefault="008A5A5D">
            <w:pPr>
              <w:jc w:val="center"/>
              <w:rPr>
                <w:rFonts w:eastAsiaTheme="minorEastAsia"/>
                <w:color w:val="000000"/>
                <w:szCs w:val="21"/>
              </w:rPr>
            </w:pPr>
            <w:r w:rsidRPr="00C24ACA">
              <w:rPr>
                <w:rFonts w:eastAsiaTheme="minorEastAsia"/>
                <w:color w:val="000000"/>
                <w:szCs w:val="21"/>
              </w:rPr>
              <w:t>姓名</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张南</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张燕</w:t>
            </w:r>
          </w:p>
        </w:tc>
      </w:tr>
      <w:tr w:rsidR="008A5A5D" w:rsidRPr="00C24ACA" w:rsidTr="006D141C">
        <w:tc>
          <w:tcPr>
            <w:tcW w:w="2631" w:type="dxa"/>
            <w:vMerge/>
            <w:vAlign w:val="center"/>
          </w:tcPr>
          <w:p w:rsidR="008A5A5D" w:rsidRPr="00C24ACA" w:rsidRDefault="008A5A5D">
            <w:pPr>
              <w:widowControl/>
              <w:jc w:val="left"/>
              <w:rPr>
                <w:rFonts w:eastAsiaTheme="minorEastAsia"/>
                <w:color w:val="000000"/>
                <w:kern w:val="0"/>
                <w:szCs w:val="21"/>
              </w:rPr>
            </w:pPr>
          </w:p>
        </w:tc>
        <w:tc>
          <w:tcPr>
            <w:tcW w:w="1371" w:type="dxa"/>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szCs w:val="21"/>
              </w:rPr>
              <w:t>联系电话</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020-85102688</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0755-83199084</w:t>
            </w:r>
          </w:p>
        </w:tc>
      </w:tr>
      <w:tr w:rsidR="008A5A5D" w:rsidRPr="00C24ACA" w:rsidTr="006D141C">
        <w:tc>
          <w:tcPr>
            <w:tcW w:w="2631" w:type="dxa"/>
            <w:vMerge/>
            <w:vAlign w:val="center"/>
          </w:tcPr>
          <w:p w:rsidR="008A5A5D" w:rsidRPr="00C24ACA" w:rsidRDefault="008A5A5D">
            <w:pPr>
              <w:widowControl/>
              <w:jc w:val="left"/>
              <w:rPr>
                <w:rFonts w:eastAsiaTheme="minorEastAsia"/>
                <w:color w:val="000000"/>
                <w:kern w:val="0"/>
                <w:szCs w:val="21"/>
              </w:rPr>
            </w:pPr>
          </w:p>
        </w:tc>
        <w:tc>
          <w:tcPr>
            <w:tcW w:w="1371" w:type="dxa"/>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szCs w:val="21"/>
              </w:rPr>
              <w:t>电子邮箱</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service@efunds.com.cn</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yan_zhang@cmbchina.com</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客户服务电话</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400 881 8088</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95555</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传真</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020-85104666</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0755-83195201</w:t>
            </w:r>
          </w:p>
        </w:tc>
      </w:tr>
      <w:tr w:rsidR="008A5A5D" w:rsidRPr="00C24ACA" w:rsidTr="00976F71">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注册地址</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广东省珠海市横琴新区宝华路</w:t>
            </w:r>
            <w:r w:rsidRPr="00C24ACA">
              <w:rPr>
                <w:rFonts w:eastAsiaTheme="minorEastAsia"/>
                <w:color w:val="000000"/>
                <w:kern w:val="0"/>
                <w:szCs w:val="21"/>
              </w:rPr>
              <w:t>6</w:t>
            </w:r>
            <w:r w:rsidRPr="00C24ACA">
              <w:rPr>
                <w:rFonts w:eastAsiaTheme="minorEastAsia"/>
                <w:color w:val="000000"/>
                <w:kern w:val="0"/>
                <w:szCs w:val="21"/>
              </w:rPr>
              <w:t>号</w:t>
            </w:r>
            <w:r w:rsidRPr="00C24ACA">
              <w:rPr>
                <w:rFonts w:eastAsiaTheme="minorEastAsia"/>
                <w:color w:val="000000"/>
                <w:kern w:val="0"/>
                <w:szCs w:val="21"/>
              </w:rPr>
              <w:t>105</w:t>
            </w:r>
            <w:r w:rsidRPr="00C24ACA">
              <w:rPr>
                <w:rFonts w:eastAsiaTheme="minorEastAsia"/>
                <w:color w:val="000000"/>
                <w:kern w:val="0"/>
                <w:szCs w:val="21"/>
              </w:rPr>
              <w:t>室－</w:t>
            </w:r>
            <w:r w:rsidRPr="00C24ACA">
              <w:rPr>
                <w:rFonts w:eastAsiaTheme="minorEastAsia"/>
                <w:color w:val="000000"/>
                <w:kern w:val="0"/>
                <w:szCs w:val="21"/>
              </w:rPr>
              <w:t>42891</w:t>
            </w:r>
            <w:r w:rsidRPr="00C24ACA">
              <w:rPr>
                <w:rFonts w:eastAsiaTheme="minorEastAsia"/>
                <w:color w:val="000000"/>
                <w:kern w:val="0"/>
                <w:szCs w:val="21"/>
              </w:rPr>
              <w:t>（集中办公区）</w:t>
            </w:r>
          </w:p>
        </w:tc>
        <w:tc>
          <w:tcPr>
            <w:tcW w:w="3060" w:type="dxa"/>
          </w:tcPr>
          <w:p w:rsidR="008A5A5D" w:rsidRPr="00C24ACA" w:rsidRDefault="008A5A5D" w:rsidP="00976F71">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深圳市深南大道</w:t>
            </w:r>
            <w:r w:rsidRPr="00C24ACA">
              <w:rPr>
                <w:rFonts w:eastAsiaTheme="minorEastAsia"/>
                <w:color w:val="000000"/>
                <w:kern w:val="0"/>
                <w:szCs w:val="21"/>
              </w:rPr>
              <w:t>7088</w:t>
            </w:r>
            <w:r w:rsidRPr="00C24ACA">
              <w:rPr>
                <w:rFonts w:eastAsiaTheme="minorEastAsia"/>
                <w:color w:val="000000"/>
                <w:kern w:val="0"/>
                <w:szCs w:val="21"/>
              </w:rPr>
              <w:t>号招商银行大厦</w:t>
            </w:r>
          </w:p>
        </w:tc>
      </w:tr>
      <w:tr w:rsidR="008A5A5D" w:rsidRPr="00C24ACA" w:rsidTr="00976F71">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办公地址</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广州市天河区珠江新城珠江东路</w:t>
            </w:r>
            <w:r w:rsidRPr="00C24ACA">
              <w:rPr>
                <w:rFonts w:eastAsiaTheme="minorEastAsia"/>
                <w:color w:val="000000"/>
                <w:kern w:val="0"/>
                <w:szCs w:val="21"/>
              </w:rPr>
              <w:t>30</w:t>
            </w:r>
            <w:r w:rsidRPr="00C24ACA">
              <w:rPr>
                <w:rFonts w:eastAsiaTheme="minorEastAsia"/>
                <w:color w:val="000000"/>
                <w:kern w:val="0"/>
                <w:szCs w:val="21"/>
              </w:rPr>
              <w:t>号广州银行大厦</w:t>
            </w:r>
            <w:r w:rsidRPr="00C24ACA">
              <w:rPr>
                <w:rFonts w:eastAsiaTheme="minorEastAsia"/>
                <w:color w:val="000000"/>
                <w:kern w:val="0"/>
                <w:szCs w:val="21"/>
              </w:rPr>
              <w:t>40-43</w:t>
            </w:r>
            <w:r w:rsidRPr="00C24ACA">
              <w:rPr>
                <w:rFonts w:eastAsiaTheme="minorEastAsia"/>
                <w:color w:val="000000"/>
                <w:kern w:val="0"/>
                <w:szCs w:val="21"/>
              </w:rPr>
              <w:t>楼</w:t>
            </w:r>
          </w:p>
        </w:tc>
        <w:tc>
          <w:tcPr>
            <w:tcW w:w="3060" w:type="dxa"/>
          </w:tcPr>
          <w:p w:rsidR="008A5A5D" w:rsidRPr="00C24ACA" w:rsidRDefault="008A5A5D" w:rsidP="00976F71">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深圳市深南大道</w:t>
            </w:r>
            <w:r w:rsidRPr="00C24ACA">
              <w:rPr>
                <w:rFonts w:eastAsiaTheme="minorEastAsia"/>
                <w:color w:val="000000"/>
                <w:kern w:val="0"/>
                <w:szCs w:val="21"/>
              </w:rPr>
              <w:t>7088</w:t>
            </w:r>
            <w:r w:rsidRPr="00C24ACA">
              <w:rPr>
                <w:rFonts w:eastAsiaTheme="minorEastAsia"/>
                <w:color w:val="000000"/>
                <w:kern w:val="0"/>
                <w:szCs w:val="21"/>
              </w:rPr>
              <w:t>号招商银行大厦</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邮政编码</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510620</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518040</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法定代表人</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刘晓艳</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李建红</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43" w:name="_Toc224618346"/>
      <w:bookmarkStart w:id="44" w:name="_Toc235605676"/>
      <w:bookmarkStart w:id="45" w:name="_Toc286929724"/>
      <w:bookmarkStart w:id="46" w:name="_Toc352255964"/>
      <w:bookmarkStart w:id="47" w:name="_Toc352256032"/>
      <w:bookmarkStart w:id="48" w:name="_Toc352331210"/>
      <w:bookmarkStart w:id="49" w:name="_Toc390164796"/>
      <w:bookmarkStart w:id="50" w:name="_Toc48659028"/>
      <w:r w:rsidRPr="0087359D">
        <w:rPr>
          <w:rFonts w:ascii="宋体" w:hAnsi="宋体"/>
          <w:kern w:val="0"/>
          <w:sz w:val="21"/>
          <w:szCs w:val="21"/>
        </w:rPr>
        <w:t>2.4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境外投资顾问和境外资产托管人</w:t>
      </w:r>
      <w:bookmarkEnd w:id="43"/>
      <w:bookmarkEnd w:id="44"/>
      <w:bookmarkEnd w:id="45"/>
      <w:bookmarkEnd w:id="46"/>
      <w:bookmarkEnd w:id="47"/>
      <w:bookmarkEnd w:id="48"/>
      <w:bookmarkEnd w:id="49"/>
      <w:bookmarkEnd w:id="5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900"/>
        <w:gridCol w:w="3600"/>
        <w:gridCol w:w="3600"/>
      </w:tblGrid>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项目</w:t>
            </w:r>
          </w:p>
        </w:tc>
        <w:tc>
          <w:tcPr>
            <w:tcW w:w="3600" w:type="dxa"/>
            <w:vAlign w:val="center"/>
          </w:tcPr>
          <w:p w:rsidR="008A5A5D" w:rsidRPr="00C24ACA" w:rsidRDefault="008A5A5D" w:rsidP="004B68EC">
            <w:pPr>
              <w:spacing w:line="360" w:lineRule="auto"/>
              <w:jc w:val="center"/>
              <w:rPr>
                <w:rFonts w:eastAsiaTheme="minorEastAsia"/>
                <w:szCs w:val="21"/>
              </w:rPr>
            </w:pPr>
            <w:r w:rsidRPr="00C24ACA">
              <w:rPr>
                <w:rFonts w:eastAsiaTheme="minorEastAsia"/>
                <w:kern w:val="0"/>
                <w:szCs w:val="21"/>
              </w:rPr>
              <w:t>境外投资顾问</w:t>
            </w:r>
          </w:p>
        </w:tc>
        <w:tc>
          <w:tcPr>
            <w:tcW w:w="3600" w:type="dxa"/>
            <w:vAlign w:val="center"/>
          </w:tcPr>
          <w:p w:rsidR="008A5A5D" w:rsidRPr="00C24ACA" w:rsidRDefault="008A5A5D" w:rsidP="004B68EC">
            <w:pPr>
              <w:spacing w:line="360" w:lineRule="auto"/>
              <w:jc w:val="center"/>
              <w:rPr>
                <w:rFonts w:eastAsiaTheme="minorEastAsia"/>
                <w:szCs w:val="21"/>
              </w:rPr>
            </w:pPr>
            <w:r w:rsidRPr="00C24ACA">
              <w:rPr>
                <w:rFonts w:eastAsiaTheme="minorEastAsia"/>
                <w:kern w:val="0"/>
                <w:szCs w:val="21"/>
              </w:rPr>
              <w:t>境外资产托管人</w:t>
            </w:r>
          </w:p>
        </w:tc>
      </w:tr>
      <w:tr w:rsidR="008A5A5D" w:rsidRPr="00C24ACA" w:rsidTr="004B68EC">
        <w:trPr>
          <w:trHeight w:val="370"/>
        </w:trPr>
        <w:tc>
          <w:tcPr>
            <w:tcW w:w="900" w:type="dxa"/>
            <w:vMerge w:val="restart"/>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名称</w:t>
            </w:r>
          </w:p>
        </w:tc>
        <w:tc>
          <w:tcPr>
            <w:tcW w:w="900" w:type="dxa"/>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英文</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The Hongkong and Shanghai Banking Corporation Limited</w:t>
            </w:r>
          </w:p>
        </w:tc>
      </w:tr>
      <w:tr w:rsidR="008A5A5D" w:rsidRPr="00C24ACA" w:rsidTr="004B68EC">
        <w:trPr>
          <w:trHeight w:val="335"/>
        </w:trPr>
        <w:tc>
          <w:tcPr>
            <w:tcW w:w="900" w:type="dxa"/>
            <w:vMerge/>
            <w:vAlign w:val="center"/>
          </w:tcPr>
          <w:p w:rsidR="008A5A5D" w:rsidRPr="00C24ACA" w:rsidRDefault="008A5A5D" w:rsidP="004B68EC">
            <w:pPr>
              <w:jc w:val="center"/>
              <w:rPr>
                <w:rFonts w:eastAsiaTheme="minorEastAsia"/>
                <w:color w:val="000000"/>
                <w:szCs w:val="21"/>
              </w:rPr>
            </w:pPr>
          </w:p>
        </w:tc>
        <w:tc>
          <w:tcPr>
            <w:tcW w:w="900" w:type="dxa"/>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中文</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香港上海汇丰银行有限公司</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注册地址</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香港皇后大道中一号</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办公地址</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香港九龙深旺道</w:t>
            </w:r>
            <w:r w:rsidRPr="00C24ACA">
              <w:rPr>
                <w:rFonts w:eastAsiaTheme="minorEastAsia"/>
                <w:szCs w:val="21"/>
              </w:rPr>
              <w:t>1</w:t>
            </w:r>
            <w:r w:rsidRPr="00C24ACA">
              <w:rPr>
                <w:rFonts w:eastAsiaTheme="minorEastAsia"/>
                <w:szCs w:val="21"/>
              </w:rPr>
              <w:t>号汇丰中心</w:t>
            </w:r>
            <w:r w:rsidRPr="00C24ACA">
              <w:rPr>
                <w:rFonts w:eastAsiaTheme="minorEastAsia"/>
                <w:szCs w:val="21"/>
              </w:rPr>
              <w:t>1</w:t>
            </w:r>
            <w:r w:rsidRPr="00C24ACA">
              <w:rPr>
                <w:rFonts w:eastAsiaTheme="minorEastAsia"/>
                <w:szCs w:val="21"/>
              </w:rPr>
              <w:t>座</w:t>
            </w:r>
            <w:r w:rsidRPr="00C24ACA">
              <w:rPr>
                <w:rFonts w:eastAsiaTheme="minorEastAsia"/>
                <w:szCs w:val="21"/>
              </w:rPr>
              <w:t>6</w:t>
            </w:r>
            <w:r w:rsidRPr="00C24ACA">
              <w:rPr>
                <w:rFonts w:eastAsiaTheme="minorEastAsia"/>
                <w:szCs w:val="21"/>
              </w:rPr>
              <w:t>楼</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邮政编码</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51" w:name="_Toc225498248"/>
      <w:bookmarkStart w:id="52" w:name="_Toc352255965"/>
      <w:bookmarkStart w:id="53" w:name="_Toc352256033"/>
      <w:bookmarkStart w:id="54" w:name="_Toc352331211"/>
      <w:bookmarkStart w:id="55" w:name="_Toc390164797"/>
      <w:bookmarkStart w:id="56" w:name="_Toc48659029"/>
      <w:r w:rsidRPr="0087359D">
        <w:rPr>
          <w:rFonts w:ascii="宋体" w:hAnsi="宋体"/>
          <w:kern w:val="0"/>
          <w:sz w:val="21"/>
          <w:szCs w:val="21"/>
        </w:rPr>
        <w:t>2.5</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信息披露方式</w:t>
      </w:r>
      <w:bookmarkEnd w:id="51"/>
      <w:bookmarkEnd w:id="52"/>
      <w:bookmarkEnd w:id="53"/>
      <w:bookmarkEnd w:id="54"/>
      <w:bookmarkEnd w:id="55"/>
      <w:bookmarkEnd w:id="5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本基金选定的信息披露报纸名称</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证券时报</w:t>
            </w:r>
          </w:p>
        </w:tc>
      </w:tr>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登载基金</w:t>
            </w:r>
            <w:r w:rsidR="00A85FA3">
              <w:rPr>
                <w:rFonts w:eastAsiaTheme="minorEastAsia"/>
                <w:color w:val="000000"/>
                <w:szCs w:val="21"/>
              </w:rPr>
              <w:t>中期</w:t>
            </w:r>
            <w:r w:rsidRPr="00C24ACA">
              <w:rPr>
                <w:rFonts w:eastAsiaTheme="minorEastAsia"/>
                <w:color w:val="000000"/>
                <w:szCs w:val="21"/>
              </w:rPr>
              <w:t>报告正文的管理人互联网网址</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http://www.efunds.com.cn</w:t>
            </w:r>
          </w:p>
        </w:tc>
      </w:tr>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基金</w:t>
            </w:r>
            <w:r w:rsidR="00A85FA3">
              <w:rPr>
                <w:rFonts w:eastAsiaTheme="minorEastAsia"/>
                <w:color w:val="000000"/>
                <w:szCs w:val="21"/>
              </w:rPr>
              <w:t>中期</w:t>
            </w:r>
            <w:r w:rsidRPr="00C24ACA">
              <w:rPr>
                <w:rFonts w:eastAsiaTheme="minorEastAsia"/>
                <w:color w:val="000000"/>
                <w:szCs w:val="21"/>
              </w:rPr>
              <w:t>报告备置地点</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广州市天河区珠江新城珠江东路</w:t>
            </w:r>
            <w:r w:rsidRPr="00C24ACA">
              <w:rPr>
                <w:rFonts w:eastAsiaTheme="minorEastAsia"/>
                <w:color w:val="000000"/>
                <w:szCs w:val="21"/>
              </w:rPr>
              <w:t>30</w:t>
            </w:r>
            <w:r w:rsidRPr="00C24ACA">
              <w:rPr>
                <w:rFonts w:eastAsiaTheme="minorEastAsia"/>
                <w:color w:val="000000"/>
                <w:szCs w:val="21"/>
              </w:rPr>
              <w:t>号广州银行大厦</w:t>
            </w:r>
            <w:r w:rsidRPr="00C24ACA">
              <w:rPr>
                <w:rFonts w:eastAsiaTheme="minorEastAsia"/>
                <w:color w:val="000000"/>
                <w:szCs w:val="21"/>
              </w:rPr>
              <w:t>43</w:t>
            </w:r>
            <w:r w:rsidRPr="00C24ACA">
              <w:rPr>
                <w:rFonts w:eastAsiaTheme="minorEastAsia"/>
                <w:color w:val="000000"/>
                <w:szCs w:val="21"/>
              </w:rPr>
              <w:t>楼</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57" w:name="_Toc225498249"/>
      <w:bookmarkStart w:id="58" w:name="_Toc352255966"/>
      <w:bookmarkStart w:id="59" w:name="_Toc352256034"/>
      <w:bookmarkStart w:id="60" w:name="_Toc352331212"/>
      <w:bookmarkStart w:id="61" w:name="_Toc390164798"/>
      <w:bookmarkStart w:id="62" w:name="_Toc48659030"/>
      <w:r w:rsidRPr="0087359D">
        <w:rPr>
          <w:rFonts w:ascii="宋体" w:hAnsi="宋体"/>
          <w:kern w:val="0"/>
          <w:sz w:val="21"/>
          <w:szCs w:val="21"/>
        </w:rPr>
        <w:t>2.6</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其他相关资料</w:t>
      </w:r>
      <w:bookmarkEnd w:id="57"/>
      <w:bookmarkEnd w:id="58"/>
      <w:bookmarkEnd w:id="59"/>
      <w:bookmarkEnd w:id="60"/>
      <w:bookmarkEnd w:id="61"/>
      <w:bookmarkEnd w:id="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8A5A5D" w:rsidRPr="00C24ACA" w:rsidTr="00862636">
        <w:tc>
          <w:tcPr>
            <w:tcW w:w="1951"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项目</w:t>
            </w:r>
          </w:p>
        </w:tc>
        <w:tc>
          <w:tcPr>
            <w:tcW w:w="3260"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名称</w:t>
            </w:r>
          </w:p>
        </w:tc>
        <w:tc>
          <w:tcPr>
            <w:tcW w:w="4075"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办公地址</w:t>
            </w:r>
          </w:p>
        </w:tc>
      </w:tr>
      <w:tr w:rsidR="008A5A5D" w:rsidRPr="00C24ACA" w:rsidTr="00862636">
        <w:tc>
          <w:tcPr>
            <w:tcW w:w="1951" w:type="dxa"/>
          </w:tcPr>
          <w:p w:rsidR="008A5A5D" w:rsidRPr="00C24ACA" w:rsidRDefault="008A5A5D">
            <w:pPr>
              <w:tabs>
                <w:tab w:val="left" w:pos="1740"/>
              </w:tabs>
              <w:rPr>
                <w:rFonts w:eastAsiaTheme="minorEastAsia"/>
                <w:color w:val="000000"/>
                <w:szCs w:val="21"/>
              </w:rPr>
            </w:pPr>
            <w:r w:rsidRPr="00C24ACA">
              <w:rPr>
                <w:rFonts w:eastAsiaTheme="minorEastAsia"/>
                <w:color w:val="000000"/>
                <w:szCs w:val="21"/>
              </w:rPr>
              <w:t>注册登记机构</w:t>
            </w:r>
          </w:p>
        </w:tc>
        <w:tc>
          <w:tcPr>
            <w:tcW w:w="3260" w:type="dxa"/>
            <w:vAlign w:val="bottom"/>
          </w:tcPr>
          <w:p w:rsidR="008A5A5D" w:rsidRPr="00C24ACA" w:rsidRDefault="008A5A5D" w:rsidP="00EC549A">
            <w:pPr>
              <w:tabs>
                <w:tab w:val="left" w:pos="1740"/>
              </w:tabs>
              <w:jc w:val="left"/>
              <w:rPr>
                <w:rFonts w:eastAsiaTheme="minorEastAsia"/>
                <w:color w:val="000000"/>
                <w:szCs w:val="21"/>
              </w:rPr>
            </w:pPr>
            <w:r w:rsidRPr="00C24ACA">
              <w:rPr>
                <w:rFonts w:eastAsiaTheme="minorEastAsia"/>
                <w:color w:val="000000"/>
                <w:szCs w:val="21"/>
              </w:rPr>
              <w:t>易方达基金管理有限公司</w:t>
            </w:r>
          </w:p>
        </w:tc>
        <w:tc>
          <w:tcPr>
            <w:tcW w:w="4075" w:type="dxa"/>
            <w:vAlign w:val="bottom"/>
          </w:tcPr>
          <w:p w:rsidR="008A5A5D" w:rsidRPr="00C24ACA" w:rsidRDefault="008A5A5D">
            <w:pPr>
              <w:tabs>
                <w:tab w:val="left" w:pos="1740"/>
              </w:tabs>
              <w:rPr>
                <w:rFonts w:eastAsiaTheme="minorEastAsia"/>
                <w:color w:val="000000"/>
                <w:szCs w:val="21"/>
              </w:rPr>
            </w:pPr>
            <w:r w:rsidRPr="00C24ACA">
              <w:rPr>
                <w:rFonts w:eastAsiaTheme="minorEastAsia"/>
                <w:color w:val="000000"/>
                <w:szCs w:val="21"/>
              </w:rPr>
              <w:t>广州市天河区珠江新城珠江东路</w:t>
            </w:r>
            <w:r w:rsidRPr="00C24ACA">
              <w:rPr>
                <w:rFonts w:eastAsiaTheme="minorEastAsia"/>
                <w:color w:val="000000"/>
                <w:szCs w:val="21"/>
              </w:rPr>
              <w:t>30</w:t>
            </w:r>
            <w:r w:rsidRPr="00C24ACA">
              <w:rPr>
                <w:rFonts w:eastAsiaTheme="minorEastAsia"/>
                <w:color w:val="000000"/>
                <w:szCs w:val="21"/>
              </w:rPr>
              <w:t>号广州银行大厦</w:t>
            </w:r>
            <w:r w:rsidRPr="00C24ACA">
              <w:rPr>
                <w:rFonts w:eastAsiaTheme="minorEastAsia"/>
                <w:color w:val="000000"/>
                <w:szCs w:val="21"/>
              </w:rPr>
              <w:t>40-43</w:t>
            </w:r>
            <w:r w:rsidRPr="00C24ACA">
              <w:rPr>
                <w:rFonts w:eastAsiaTheme="minorEastAsia"/>
                <w:color w:val="000000"/>
                <w:szCs w:val="21"/>
              </w:rPr>
              <w:t>楼</w:t>
            </w:r>
          </w:p>
        </w:tc>
      </w:tr>
    </w:tbl>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63" w:name="_Toc352255967"/>
      <w:bookmarkStart w:id="64" w:name="_Toc352256035"/>
      <w:bookmarkStart w:id="65" w:name="_Toc352331213"/>
      <w:bookmarkStart w:id="66" w:name="_Toc390164799"/>
      <w:bookmarkStart w:id="67" w:name="_Toc48659031"/>
      <w:r w:rsidRPr="000C6CCD">
        <w:rPr>
          <w:rFonts w:ascii="宋体" w:hAnsi="宋体"/>
          <w:bCs w:val="0"/>
          <w:color w:val="000000"/>
          <w:sz w:val="21"/>
          <w:szCs w:val="21"/>
        </w:rPr>
        <w:t>3</w:t>
      </w:r>
      <w:r w:rsidR="00643DBD">
        <w:rPr>
          <w:rFonts w:ascii="Times New Roman" w:hAnsi="Times New Roman"/>
          <w:bCs w:val="0"/>
          <w:color w:val="000000"/>
          <w:sz w:val="21"/>
          <w:szCs w:val="21"/>
        </w:rPr>
        <w:t xml:space="preserve">     </w:t>
      </w:r>
      <w:r w:rsidR="004C753B" w:rsidRPr="00A432E9">
        <w:rPr>
          <w:rFonts w:ascii="Times New Roman" w:hAnsi="Times New Roman"/>
          <w:bCs w:val="0"/>
          <w:color w:val="000000"/>
          <w:sz w:val="21"/>
          <w:szCs w:val="21"/>
        </w:rPr>
        <w:t>主要财务指标和</w:t>
      </w:r>
      <w:r w:rsidRPr="00A432E9">
        <w:rPr>
          <w:rFonts w:ascii="Times New Roman" w:hAnsi="Times New Roman"/>
          <w:bCs w:val="0"/>
          <w:color w:val="000000"/>
          <w:sz w:val="21"/>
          <w:szCs w:val="21"/>
        </w:rPr>
        <w:t>基金净值表现</w:t>
      </w:r>
      <w:bookmarkEnd w:id="63"/>
      <w:bookmarkEnd w:id="64"/>
      <w:bookmarkEnd w:id="65"/>
      <w:bookmarkEnd w:id="66"/>
      <w:bookmarkEnd w:id="67"/>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68" w:name="_Toc286996129"/>
      <w:bookmarkStart w:id="69" w:name="_Toc352255968"/>
      <w:bookmarkStart w:id="70" w:name="_Toc352256036"/>
      <w:bookmarkStart w:id="71" w:name="_Toc352331214"/>
      <w:bookmarkStart w:id="72" w:name="_Toc390164800"/>
      <w:bookmarkStart w:id="73" w:name="_Toc48659032"/>
      <w:r w:rsidRPr="0087359D">
        <w:rPr>
          <w:rFonts w:ascii="宋体" w:hAnsi="宋体"/>
          <w:kern w:val="0"/>
          <w:sz w:val="21"/>
          <w:szCs w:val="21"/>
        </w:rPr>
        <w:t>3.1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主要会计数据和财务指标</w:t>
      </w:r>
      <w:bookmarkEnd w:id="68"/>
      <w:bookmarkEnd w:id="69"/>
      <w:bookmarkEnd w:id="70"/>
      <w:bookmarkEnd w:id="71"/>
      <w:bookmarkEnd w:id="72"/>
      <w:bookmarkEnd w:id="73"/>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金额单位：人民币元</w:t>
      </w:r>
    </w:p>
    <w:tbl>
      <w:tblPr>
        <w:tblW w:w="93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D2230" w:rsidRPr="00C24ACA" w:rsidTr="005C3575">
        <w:trPr>
          <w:trHeight w:val="487"/>
        </w:trPr>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3.1.1</w:t>
            </w:r>
            <w:r w:rsidRPr="00C24ACA">
              <w:rPr>
                <w:rFonts w:eastAsiaTheme="minorEastAsia"/>
                <w:b/>
                <w:color w:val="000000"/>
                <w:szCs w:val="21"/>
              </w:rPr>
              <w:t>期间数据和指标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w:t>
            </w:r>
            <w:r w:rsidRPr="00C24ACA">
              <w:rPr>
                <w:rFonts w:eastAsiaTheme="minorEastAsia"/>
                <w:b/>
                <w:szCs w:val="21"/>
              </w:rPr>
              <w:t>2020</w:t>
            </w:r>
            <w:r w:rsidRPr="00C24ACA">
              <w:rPr>
                <w:rFonts w:eastAsiaTheme="minorEastAsia"/>
                <w:b/>
                <w:szCs w:val="21"/>
              </w:rPr>
              <w:t>年</w:t>
            </w:r>
            <w:r w:rsidRPr="00C24ACA">
              <w:rPr>
                <w:rFonts w:eastAsiaTheme="minorEastAsia"/>
                <w:b/>
                <w:szCs w:val="21"/>
              </w:rPr>
              <w:t>1</w:t>
            </w:r>
            <w:r w:rsidRPr="00C24ACA">
              <w:rPr>
                <w:rFonts w:eastAsiaTheme="minorEastAsia"/>
                <w:b/>
                <w:szCs w:val="21"/>
              </w:rPr>
              <w:t>月</w:t>
            </w:r>
            <w:r w:rsidRPr="00C24ACA">
              <w:rPr>
                <w:rFonts w:eastAsiaTheme="minorEastAsia"/>
                <w:b/>
                <w:szCs w:val="21"/>
              </w:rPr>
              <w:t>1</w:t>
            </w:r>
            <w:r w:rsidRPr="00C24ACA">
              <w:rPr>
                <w:rFonts w:eastAsiaTheme="minorEastAsia"/>
                <w:b/>
                <w:szCs w:val="21"/>
              </w:rPr>
              <w:t>日至</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p>
        </w:tc>
      </w:tr>
      <w:tr w:rsidR="001D2230" w:rsidRPr="00C24ACA" w:rsidTr="005C3575">
        <w:trPr>
          <w:trHeight w:val="487"/>
        </w:trPr>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易方达中证海外中国互联网</w:t>
            </w:r>
            <w:r w:rsidRPr="00C24ACA">
              <w:rPr>
                <w:rFonts w:eastAsiaTheme="minorEastAsia"/>
                <w:szCs w:val="21"/>
              </w:rPr>
              <w:t>50ETF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558"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易方达中证海外中国互联网</w:t>
            </w:r>
            <w:r w:rsidRPr="00C24ACA">
              <w:rPr>
                <w:rFonts w:eastAsiaTheme="minorEastAsia"/>
                <w:szCs w:val="21"/>
              </w:rPr>
              <w:t>50ETF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本期已实现收益</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10,357,775.97</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630,069.60</w:t>
            </w:r>
          </w:p>
        </w:tc>
      </w:tr>
      <w:tr w:rsidR="001D2230" w:rsidRPr="00C24ACA" w:rsidTr="005C3575">
        <w:trPr>
          <w:trHeight w:val="754"/>
        </w:trPr>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133,673,198.62</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6,608,715.84</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加权平均基金份额本期利润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0.3182</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0.2159</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本期加权平均净值利润率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26.99%</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18.65%</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本期基金份额净值增长率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23.58%</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23.36%</w:t>
            </w:r>
          </w:p>
        </w:tc>
      </w:tr>
      <w:tr w:rsidR="001D2230" w:rsidRPr="00C24ACA" w:rsidTr="005C3575">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3.1.2</w:t>
            </w:r>
            <w:r w:rsidRPr="00C24ACA">
              <w:rPr>
                <w:rFonts w:eastAsiaTheme="minorEastAsia"/>
                <w:b/>
                <w:color w:val="000000"/>
                <w:szCs w:val="21"/>
              </w:rPr>
              <w:t>期末数据和指标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报告期末</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r w:rsidRPr="00C24ACA">
              <w:rPr>
                <w:rFonts w:eastAsiaTheme="minorEastAsia"/>
                <w:b/>
                <w:szCs w:val="21"/>
              </w:rPr>
              <w:t>)</w:t>
            </w:r>
          </w:p>
        </w:tc>
      </w:tr>
      <w:tr w:rsidR="001D2230" w:rsidRPr="00C24ACA" w:rsidTr="005C3575">
        <w:trPr>
          <w:trHeight w:val="373"/>
        </w:trPr>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ind w:leftChars="-51" w:left="-107" w:rightChars="-51" w:right="-107"/>
              <w:jc w:val="center"/>
              <w:rPr>
                <w:rFonts w:eastAsiaTheme="minorEastAsia"/>
                <w:color w:val="000000"/>
                <w:szCs w:val="21"/>
              </w:rPr>
            </w:pPr>
            <w:r w:rsidRPr="00C24ACA">
              <w:rPr>
                <w:rFonts w:eastAsiaTheme="minorEastAsia"/>
                <w:color w:val="000000"/>
                <w:szCs w:val="21"/>
              </w:rPr>
              <w:t>易方达中证海外中国互联网</w:t>
            </w:r>
            <w:r w:rsidRPr="00C24ACA">
              <w:rPr>
                <w:rFonts w:eastAsiaTheme="minorEastAsia"/>
                <w:color w:val="000000"/>
                <w:szCs w:val="21"/>
              </w:rPr>
              <w:t>50ETF</w:t>
            </w:r>
            <w:r w:rsidRPr="00C24ACA">
              <w:rPr>
                <w:rFonts w:eastAsiaTheme="minorEastAsia"/>
                <w:color w:val="000000"/>
                <w:szCs w:val="21"/>
              </w:rPr>
              <w:t>联接（</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A</w:t>
            </w:r>
          </w:p>
        </w:tc>
        <w:tc>
          <w:tcPr>
            <w:tcW w:w="2558" w:type="dxa"/>
            <w:vAlign w:val="center"/>
          </w:tcPr>
          <w:p w:rsidR="001D2230" w:rsidRPr="00C24ACA" w:rsidRDefault="001D2230" w:rsidP="001D2230">
            <w:pPr>
              <w:ind w:leftChars="-51" w:left="-107" w:rightChars="-51" w:right="-107"/>
              <w:jc w:val="center"/>
              <w:rPr>
                <w:rFonts w:eastAsiaTheme="minorEastAsia"/>
                <w:color w:val="000000"/>
                <w:szCs w:val="21"/>
              </w:rPr>
            </w:pPr>
            <w:r w:rsidRPr="00C24ACA">
              <w:rPr>
                <w:rFonts w:eastAsiaTheme="minorEastAsia"/>
                <w:color w:val="000000"/>
                <w:szCs w:val="21"/>
              </w:rPr>
              <w:t>易方达中证海外中国互联网</w:t>
            </w:r>
            <w:r w:rsidRPr="00C24ACA">
              <w:rPr>
                <w:rFonts w:eastAsiaTheme="minorEastAsia"/>
                <w:color w:val="000000"/>
                <w:szCs w:val="21"/>
              </w:rPr>
              <w:t>50ETF</w:t>
            </w:r>
            <w:r w:rsidRPr="00C24ACA">
              <w:rPr>
                <w:rFonts w:eastAsiaTheme="minorEastAsia"/>
                <w:color w:val="000000"/>
                <w:szCs w:val="21"/>
              </w:rPr>
              <w:t>联接（</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期末可供分配利润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18,705,606.46</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642,674.47</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期末可供分配基金份额利润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0.0354</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0.0243</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期末基金资产净值</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735,348,032.95</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36,499,696.05</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期末基金份额净值</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1.3923</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1.3779</w:t>
            </w:r>
          </w:p>
        </w:tc>
      </w:tr>
      <w:tr w:rsidR="001D2230" w:rsidRPr="00C24ACA" w:rsidTr="005C3575">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3.1.3</w:t>
            </w:r>
            <w:r w:rsidRPr="00C24ACA">
              <w:rPr>
                <w:rFonts w:eastAsiaTheme="minorEastAsia"/>
                <w:b/>
                <w:color w:val="000000"/>
                <w:szCs w:val="21"/>
              </w:rPr>
              <w:t>累计期末指标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报告期末</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r w:rsidRPr="00C24ACA">
              <w:rPr>
                <w:rFonts w:eastAsiaTheme="minorEastAsia"/>
                <w:b/>
                <w:szCs w:val="21"/>
              </w:rPr>
              <w:t>)</w:t>
            </w:r>
          </w:p>
        </w:tc>
      </w:tr>
      <w:tr w:rsidR="001D2230" w:rsidRPr="00C24ACA" w:rsidTr="005C3575">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易方达中证海外中国互联网</w:t>
            </w:r>
            <w:r w:rsidRPr="00C24ACA">
              <w:rPr>
                <w:rFonts w:eastAsiaTheme="minorEastAsia"/>
                <w:szCs w:val="21"/>
              </w:rPr>
              <w:t>50ETF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558"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易方达中证海外中国互联网</w:t>
            </w:r>
            <w:r w:rsidRPr="00C24ACA">
              <w:rPr>
                <w:rFonts w:eastAsiaTheme="minorEastAsia"/>
                <w:szCs w:val="21"/>
              </w:rPr>
              <w:t>50ETF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基金份额累计净值增长率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39.23%</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37.79%</w:t>
            </w:r>
          </w:p>
        </w:tc>
      </w:tr>
    </w:tbl>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所述基金业绩指标不包括持有人认购或交易基金的各项费用，计入费用后实际收益水平要低于所列数字。</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2.</w:t>
      </w:r>
      <w:r>
        <w:rPr>
          <w:rFonts w:eastAsiaTheme="minorEastAsia"/>
          <w:kern w:val="0"/>
          <w:szCs w:val="21"/>
        </w:rPr>
        <w:t>本期已实现收益指基金本期利息收入、投资收益、其他收入（不含公允价值变动收益）扣除相关费用后的余额，本期利润为本期已实现收益加上本期公允价值变动收益。</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3.</w:t>
      </w:r>
      <w:r w:rsidRPr="00C24ACA">
        <w:rPr>
          <w:rFonts w:eastAsiaTheme="minorEastAsia"/>
          <w:kern w:val="0"/>
          <w:szCs w:val="21"/>
        </w:rPr>
        <w:t>期末可供分配利润，为期末资产负债表中未分配利润与未分配利润中已实现部分的孰低数。</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74" w:name="_Toc225498252"/>
      <w:bookmarkStart w:id="75" w:name="_Toc352255969"/>
      <w:bookmarkStart w:id="76" w:name="_Toc352256037"/>
      <w:bookmarkStart w:id="77" w:name="_Toc352331215"/>
      <w:bookmarkStart w:id="78" w:name="_Toc390164801"/>
      <w:bookmarkStart w:id="79" w:name="_Toc48659033"/>
      <w:r w:rsidRPr="0087359D">
        <w:rPr>
          <w:rFonts w:ascii="宋体" w:hAnsi="宋体"/>
          <w:kern w:val="0"/>
          <w:sz w:val="21"/>
          <w:szCs w:val="21"/>
        </w:rPr>
        <w:t>3.2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基金净值表现</w:t>
      </w:r>
      <w:bookmarkEnd w:id="74"/>
      <w:bookmarkEnd w:id="75"/>
      <w:bookmarkEnd w:id="76"/>
      <w:bookmarkEnd w:id="77"/>
      <w:bookmarkEnd w:id="78"/>
      <w:bookmarkEnd w:id="79"/>
    </w:p>
    <w:p w:rsidR="008A5A5D" w:rsidRPr="00C24ACA" w:rsidRDefault="008A5A5D" w:rsidP="00635EA5">
      <w:pPr>
        <w:autoSpaceDE w:val="0"/>
        <w:autoSpaceDN w:val="0"/>
        <w:adjustRightInd w:val="0"/>
        <w:spacing w:line="360" w:lineRule="auto"/>
        <w:jc w:val="left"/>
        <w:rPr>
          <w:rFonts w:eastAsiaTheme="minorEastAsia"/>
          <w:b/>
          <w:color w:val="000000"/>
          <w:kern w:val="0"/>
          <w:szCs w:val="21"/>
        </w:rPr>
      </w:pPr>
      <w:r w:rsidRPr="00C24ACA">
        <w:rPr>
          <w:rFonts w:eastAsiaTheme="minorEastAsia"/>
          <w:b/>
          <w:color w:val="000000"/>
          <w:kern w:val="0"/>
          <w:szCs w:val="21"/>
        </w:rPr>
        <w:t xml:space="preserve">3.2.1 </w:t>
      </w:r>
      <w:r w:rsidRPr="00C24ACA">
        <w:rPr>
          <w:rFonts w:eastAsiaTheme="minorEastAsia"/>
          <w:b/>
          <w:color w:val="000000"/>
          <w:kern w:val="0"/>
          <w:szCs w:val="21"/>
        </w:rPr>
        <w:t>基金份额净值增长率及其与同期业绩比较基准收益率的比较</w:t>
      </w:r>
    </w:p>
    <w:p w:rsidR="00FC6E91" w:rsidRPr="00C24ACA" w:rsidRDefault="00FC6E91" w:rsidP="00FC6E91">
      <w:pPr>
        <w:pStyle w:val="21"/>
        <w:spacing w:line="360" w:lineRule="auto"/>
        <w:ind w:firstLineChars="0" w:firstLine="0"/>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易方达中证海外中国互联网</w:t>
      </w:r>
      <w:r w:rsidRPr="00C24ACA">
        <w:rPr>
          <w:rFonts w:ascii="Times New Roman" w:eastAsiaTheme="minorEastAsia" w:hAnsi="Times New Roman"/>
          <w:color w:val="auto"/>
          <w:sz w:val="21"/>
          <w:szCs w:val="21"/>
        </w:rPr>
        <w:t>50ETF</w:t>
      </w:r>
      <w:r w:rsidRPr="00C24ACA">
        <w:rPr>
          <w:rFonts w:ascii="Times New Roman" w:eastAsiaTheme="minorEastAsia" w:hAnsi="Times New Roman"/>
          <w:color w:val="auto"/>
          <w:sz w:val="21"/>
          <w:szCs w:val="21"/>
        </w:rPr>
        <w:t>联接（</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C6E91" w:rsidRPr="00C24ACA" w:rsidTr="005C3575">
        <w:tc>
          <w:tcPr>
            <w:tcW w:w="162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阶段</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w:t>
            </w:r>
            <w:r w:rsidRPr="00C24ACA">
              <w:rPr>
                <w:rFonts w:ascii="宋体" w:hAnsi="宋体" w:cs="宋体" w:hint="eastAsia"/>
                <w:color w:val="000000"/>
                <w:szCs w:val="21"/>
              </w:rPr>
              <w:t>①</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份额净值增长率标准差</w:t>
            </w:r>
            <w:r w:rsidRPr="00C24ACA">
              <w:rPr>
                <w:rFonts w:ascii="宋体" w:hAnsi="宋体" w:cs="宋体" w:hint="eastAsia"/>
                <w:color w:val="000000"/>
                <w:szCs w:val="21"/>
              </w:rPr>
              <w:t>②</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业绩比较基准收益率标准差</w:t>
            </w:r>
            <w:r w:rsidRPr="00C24ACA">
              <w:rPr>
                <w:rFonts w:ascii="宋体" w:hAnsi="宋体" w:cs="宋体" w:hint="eastAsia"/>
                <w:color w:val="000000"/>
                <w:szCs w:val="21"/>
              </w:rPr>
              <w:t>④</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①</w:t>
            </w:r>
            <w:r w:rsidRPr="00C24ACA">
              <w:rPr>
                <w:rFonts w:eastAsiaTheme="minorEastAsia"/>
                <w:color w:val="000000"/>
                <w:szCs w:val="21"/>
              </w:rPr>
              <w:t>－</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②</w:t>
            </w:r>
            <w:r w:rsidRPr="00C24ACA">
              <w:rPr>
                <w:rFonts w:eastAsiaTheme="minorEastAsia"/>
                <w:color w:val="000000"/>
                <w:szCs w:val="21"/>
              </w:rPr>
              <w:t>－</w:t>
            </w:r>
            <w:r w:rsidRPr="00C24ACA">
              <w:rPr>
                <w:rFonts w:ascii="宋体" w:hAnsi="宋体" w:cs="宋体" w:hint="eastAsia"/>
                <w:color w:val="000000"/>
                <w:szCs w:val="21"/>
              </w:rPr>
              <w:t>④</w:t>
            </w:r>
          </w:p>
        </w:tc>
      </w:tr>
      <w:tr w:rsidR="007F3F42">
        <w:tc>
          <w:tcPr>
            <w:tcW w:w="1620" w:type="dxa"/>
            <w:vAlign w:val="center"/>
          </w:tcPr>
          <w:p w:rsidR="007F3F42" w:rsidRDefault="00781698">
            <w:pPr>
              <w:jc w:val="left"/>
            </w:pPr>
            <w:r>
              <w:rPr>
                <w:rFonts w:eastAsiaTheme="minorEastAsia"/>
                <w:color w:val="000000"/>
                <w:szCs w:val="21"/>
              </w:rPr>
              <w:t>过去一个月</w:t>
            </w:r>
          </w:p>
        </w:tc>
        <w:tc>
          <w:tcPr>
            <w:tcW w:w="1350" w:type="dxa"/>
            <w:vAlign w:val="center"/>
          </w:tcPr>
          <w:p w:rsidR="007F3F42" w:rsidRDefault="00781698">
            <w:pPr>
              <w:jc w:val="center"/>
            </w:pPr>
            <w:r>
              <w:rPr>
                <w:rFonts w:eastAsiaTheme="minorEastAsia"/>
                <w:color w:val="000000"/>
                <w:szCs w:val="21"/>
              </w:rPr>
              <w:t>12.86%</w:t>
            </w:r>
          </w:p>
        </w:tc>
        <w:tc>
          <w:tcPr>
            <w:tcW w:w="1350" w:type="dxa"/>
            <w:vAlign w:val="center"/>
          </w:tcPr>
          <w:p w:rsidR="007F3F42" w:rsidRDefault="00781698">
            <w:pPr>
              <w:jc w:val="center"/>
            </w:pPr>
            <w:r>
              <w:rPr>
                <w:rFonts w:eastAsiaTheme="minorEastAsia"/>
                <w:color w:val="000000"/>
                <w:szCs w:val="21"/>
              </w:rPr>
              <w:t>1.37%</w:t>
            </w:r>
          </w:p>
        </w:tc>
        <w:tc>
          <w:tcPr>
            <w:tcW w:w="1350" w:type="dxa"/>
            <w:vAlign w:val="center"/>
          </w:tcPr>
          <w:p w:rsidR="007F3F42" w:rsidRDefault="00781698">
            <w:pPr>
              <w:jc w:val="center"/>
            </w:pPr>
            <w:r>
              <w:rPr>
                <w:rFonts w:eastAsiaTheme="minorEastAsia"/>
                <w:color w:val="000000"/>
                <w:szCs w:val="21"/>
              </w:rPr>
              <w:t>13.18%</w:t>
            </w:r>
          </w:p>
        </w:tc>
        <w:tc>
          <w:tcPr>
            <w:tcW w:w="1350" w:type="dxa"/>
            <w:vAlign w:val="center"/>
          </w:tcPr>
          <w:p w:rsidR="007F3F42" w:rsidRDefault="00781698">
            <w:pPr>
              <w:jc w:val="center"/>
            </w:pPr>
            <w:r>
              <w:rPr>
                <w:rFonts w:eastAsiaTheme="minorEastAsia"/>
                <w:color w:val="000000"/>
                <w:szCs w:val="21"/>
              </w:rPr>
              <w:t>1.37%</w:t>
            </w:r>
          </w:p>
        </w:tc>
        <w:tc>
          <w:tcPr>
            <w:tcW w:w="1350" w:type="dxa"/>
            <w:vAlign w:val="center"/>
          </w:tcPr>
          <w:p w:rsidR="007F3F42" w:rsidRDefault="00781698">
            <w:pPr>
              <w:jc w:val="center"/>
            </w:pPr>
            <w:r>
              <w:rPr>
                <w:rFonts w:eastAsiaTheme="minorEastAsia"/>
                <w:color w:val="000000"/>
                <w:szCs w:val="21"/>
              </w:rPr>
              <w:t>-0.32%</w:t>
            </w:r>
          </w:p>
        </w:tc>
        <w:tc>
          <w:tcPr>
            <w:tcW w:w="1350" w:type="dxa"/>
            <w:vAlign w:val="center"/>
          </w:tcPr>
          <w:p w:rsidR="007F3F42" w:rsidRDefault="00781698">
            <w:pPr>
              <w:jc w:val="center"/>
            </w:pPr>
            <w:r>
              <w:rPr>
                <w:rFonts w:eastAsiaTheme="minorEastAsia"/>
                <w:color w:val="000000"/>
                <w:szCs w:val="21"/>
              </w:rPr>
              <w:t>0.00%</w:t>
            </w:r>
          </w:p>
        </w:tc>
      </w:tr>
      <w:tr w:rsidR="007F3F42">
        <w:tc>
          <w:tcPr>
            <w:tcW w:w="1620" w:type="dxa"/>
            <w:vAlign w:val="center"/>
          </w:tcPr>
          <w:p w:rsidR="007F3F42" w:rsidRDefault="00781698">
            <w:pPr>
              <w:jc w:val="left"/>
            </w:pPr>
            <w:r>
              <w:rPr>
                <w:rFonts w:eastAsiaTheme="minorEastAsia"/>
                <w:color w:val="000000"/>
                <w:szCs w:val="21"/>
              </w:rPr>
              <w:t>过去三个月</w:t>
            </w:r>
          </w:p>
        </w:tc>
        <w:tc>
          <w:tcPr>
            <w:tcW w:w="1350" w:type="dxa"/>
            <w:vAlign w:val="center"/>
          </w:tcPr>
          <w:p w:rsidR="007F3F42" w:rsidRDefault="00781698">
            <w:pPr>
              <w:jc w:val="center"/>
            </w:pPr>
            <w:r>
              <w:rPr>
                <w:rFonts w:eastAsiaTheme="minorEastAsia"/>
                <w:color w:val="000000"/>
                <w:szCs w:val="21"/>
              </w:rPr>
              <w:t>28.62%</w:t>
            </w:r>
          </w:p>
        </w:tc>
        <w:tc>
          <w:tcPr>
            <w:tcW w:w="1350" w:type="dxa"/>
            <w:vAlign w:val="center"/>
          </w:tcPr>
          <w:p w:rsidR="007F3F42" w:rsidRDefault="00781698">
            <w:pPr>
              <w:jc w:val="center"/>
            </w:pPr>
            <w:r>
              <w:rPr>
                <w:rFonts w:eastAsiaTheme="minorEastAsia"/>
                <w:color w:val="000000"/>
                <w:szCs w:val="21"/>
              </w:rPr>
              <w:t>1.65%</w:t>
            </w:r>
          </w:p>
        </w:tc>
        <w:tc>
          <w:tcPr>
            <w:tcW w:w="1350" w:type="dxa"/>
            <w:vAlign w:val="center"/>
          </w:tcPr>
          <w:p w:rsidR="007F3F42" w:rsidRDefault="00781698">
            <w:pPr>
              <w:jc w:val="center"/>
            </w:pPr>
            <w:r>
              <w:rPr>
                <w:rFonts w:eastAsiaTheme="minorEastAsia"/>
                <w:color w:val="000000"/>
                <w:szCs w:val="21"/>
              </w:rPr>
              <w:t>29.51%</w:t>
            </w:r>
          </w:p>
        </w:tc>
        <w:tc>
          <w:tcPr>
            <w:tcW w:w="1350" w:type="dxa"/>
            <w:vAlign w:val="center"/>
          </w:tcPr>
          <w:p w:rsidR="007F3F42" w:rsidRDefault="00781698">
            <w:pPr>
              <w:jc w:val="center"/>
            </w:pPr>
            <w:r>
              <w:rPr>
                <w:rFonts w:eastAsiaTheme="minorEastAsia"/>
                <w:color w:val="000000"/>
                <w:szCs w:val="21"/>
              </w:rPr>
              <w:t>1.67%</w:t>
            </w:r>
          </w:p>
        </w:tc>
        <w:tc>
          <w:tcPr>
            <w:tcW w:w="1350" w:type="dxa"/>
            <w:vAlign w:val="center"/>
          </w:tcPr>
          <w:p w:rsidR="007F3F42" w:rsidRDefault="00781698">
            <w:pPr>
              <w:jc w:val="center"/>
            </w:pPr>
            <w:r>
              <w:rPr>
                <w:rFonts w:eastAsiaTheme="minorEastAsia"/>
                <w:color w:val="000000"/>
                <w:szCs w:val="21"/>
              </w:rPr>
              <w:t>-0.89%</w:t>
            </w:r>
          </w:p>
        </w:tc>
        <w:tc>
          <w:tcPr>
            <w:tcW w:w="1350" w:type="dxa"/>
            <w:vAlign w:val="center"/>
          </w:tcPr>
          <w:p w:rsidR="007F3F42" w:rsidRDefault="00781698">
            <w:pPr>
              <w:jc w:val="center"/>
            </w:pPr>
            <w:r>
              <w:rPr>
                <w:rFonts w:eastAsiaTheme="minorEastAsia"/>
                <w:color w:val="000000"/>
                <w:szCs w:val="21"/>
              </w:rPr>
              <w:t>-0.02%</w:t>
            </w:r>
          </w:p>
        </w:tc>
      </w:tr>
      <w:tr w:rsidR="007F3F42">
        <w:tc>
          <w:tcPr>
            <w:tcW w:w="1620" w:type="dxa"/>
            <w:vAlign w:val="center"/>
          </w:tcPr>
          <w:p w:rsidR="007F3F42" w:rsidRDefault="00781698">
            <w:pPr>
              <w:jc w:val="left"/>
            </w:pPr>
            <w:r>
              <w:rPr>
                <w:rFonts w:eastAsiaTheme="minorEastAsia"/>
                <w:color w:val="000000"/>
                <w:szCs w:val="21"/>
              </w:rPr>
              <w:t>过去六个月</w:t>
            </w:r>
          </w:p>
        </w:tc>
        <w:tc>
          <w:tcPr>
            <w:tcW w:w="1350" w:type="dxa"/>
            <w:vAlign w:val="center"/>
          </w:tcPr>
          <w:p w:rsidR="007F3F42" w:rsidRDefault="00781698">
            <w:pPr>
              <w:jc w:val="center"/>
            </w:pPr>
            <w:r>
              <w:rPr>
                <w:rFonts w:eastAsiaTheme="minorEastAsia"/>
                <w:color w:val="000000"/>
                <w:szCs w:val="21"/>
              </w:rPr>
              <w:t>23.58%</w:t>
            </w:r>
          </w:p>
        </w:tc>
        <w:tc>
          <w:tcPr>
            <w:tcW w:w="1350" w:type="dxa"/>
            <w:vAlign w:val="center"/>
          </w:tcPr>
          <w:p w:rsidR="007F3F42" w:rsidRDefault="00781698">
            <w:pPr>
              <w:jc w:val="center"/>
            </w:pPr>
            <w:r>
              <w:rPr>
                <w:rFonts w:eastAsiaTheme="minorEastAsia"/>
                <w:color w:val="000000"/>
                <w:szCs w:val="21"/>
              </w:rPr>
              <w:t>1.94%</w:t>
            </w:r>
          </w:p>
        </w:tc>
        <w:tc>
          <w:tcPr>
            <w:tcW w:w="1350" w:type="dxa"/>
            <w:vAlign w:val="center"/>
          </w:tcPr>
          <w:p w:rsidR="007F3F42" w:rsidRDefault="00781698">
            <w:pPr>
              <w:jc w:val="center"/>
            </w:pPr>
            <w:r>
              <w:rPr>
                <w:rFonts w:eastAsiaTheme="minorEastAsia"/>
                <w:color w:val="000000"/>
                <w:szCs w:val="21"/>
              </w:rPr>
              <w:t>26.23%</w:t>
            </w:r>
          </w:p>
        </w:tc>
        <w:tc>
          <w:tcPr>
            <w:tcW w:w="1350" w:type="dxa"/>
            <w:vAlign w:val="center"/>
          </w:tcPr>
          <w:p w:rsidR="007F3F42" w:rsidRDefault="00781698">
            <w:pPr>
              <w:jc w:val="center"/>
            </w:pPr>
            <w:r>
              <w:rPr>
                <w:rFonts w:eastAsiaTheme="minorEastAsia"/>
                <w:color w:val="000000"/>
                <w:szCs w:val="21"/>
              </w:rPr>
              <w:t>2.03%</w:t>
            </w:r>
          </w:p>
        </w:tc>
        <w:tc>
          <w:tcPr>
            <w:tcW w:w="1350" w:type="dxa"/>
            <w:vAlign w:val="center"/>
          </w:tcPr>
          <w:p w:rsidR="007F3F42" w:rsidRDefault="00781698">
            <w:pPr>
              <w:jc w:val="center"/>
            </w:pPr>
            <w:r>
              <w:rPr>
                <w:rFonts w:eastAsiaTheme="minorEastAsia"/>
                <w:color w:val="000000"/>
                <w:szCs w:val="21"/>
              </w:rPr>
              <w:t>-2.65%</w:t>
            </w:r>
          </w:p>
        </w:tc>
        <w:tc>
          <w:tcPr>
            <w:tcW w:w="1350" w:type="dxa"/>
            <w:vAlign w:val="center"/>
          </w:tcPr>
          <w:p w:rsidR="007F3F42" w:rsidRDefault="00781698">
            <w:pPr>
              <w:jc w:val="center"/>
            </w:pPr>
            <w:r>
              <w:rPr>
                <w:rFonts w:eastAsiaTheme="minorEastAsia"/>
                <w:color w:val="000000"/>
                <w:szCs w:val="21"/>
              </w:rPr>
              <w:t>-0.09%</w:t>
            </w:r>
          </w:p>
        </w:tc>
      </w:tr>
      <w:tr w:rsidR="007F3F42">
        <w:tc>
          <w:tcPr>
            <w:tcW w:w="1620" w:type="dxa"/>
            <w:vAlign w:val="center"/>
          </w:tcPr>
          <w:p w:rsidR="007F3F42" w:rsidRDefault="00781698">
            <w:pPr>
              <w:jc w:val="left"/>
            </w:pPr>
            <w:r>
              <w:rPr>
                <w:rFonts w:eastAsiaTheme="minorEastAsia"/>
                <w:color w:val="000000"/>
                <w:szCs w:val="21"/>
              </w:rPr>
              <w:t>过去一年</w:t>
            </w:r>
          </w:p>
        </w:tc>
        <w:tc>
          <w:tcPr>
            <w:tcW w:w="1350" w:type="dxa"/>
            <w:vAlign w:val="center"/>
          </w:tcPr>
          <w:p w:rsidR="007F3F42" w:rsidRDefault="00781698">
            <w:pPr>
              <w:jc w:val="center"/>
            </w:pPr>
            <w:r>
              <w:rPr>
                <w:rFonts w:eastAsiaTheme="minorEastAsia"/>
                <w:color w:val="000000"/>
                <w:szCs w:val="21"/>
              </w:rPr>
              <w:t>42.86%</w:t>
            </w:r>
          </w:p>
        </w:tc>
        <w:tc>
          <w:tcPr>
            <w:tcW w:w="1350" w:type="dxa"/>
            <w:vAlign w:val="center"/>
          </w:tcPr>
          <w:p w:rsidR="007F3F42" w:rsidRDefault="00781698">
            <w:pPr>
              <w:jc w:val="center"/>
            </w:pPr>
            <w:r>
              <w:rPr>
                <w:rFonts w:eastAsiaTheme="minorEastAsia"/>
                <w:color w:val="000000"/>
                <w:szCs w:val="21"/>
              </w:rPr>
              <w:t>1.59%</w:t>
            </w:r>
          </w:p>
        </w:tc>
        <w:tc>
          <w:tcPr>
            <w:tcW w:w="1350" w:type="dxa"/>
            <w:vAlign w:val="center"/>
          </w:tcPr>
          <w:p w:rsidR="007F3F42" w:rsidRDefault="00781698">
            <w:pPr>
              <w:jc w:val="center"/>
            </w:pPr>
            <w:r>
              <w:rPr>
                <w:rFonts w:eastAsiaTheme="minorEastAsia"/>
                <w:color w:val="000000"/>
                <w:szCs w:val="21"/>
              </w:rPr>
              <w:t>46.57%</w:t>
            </w:r>
          </w:p>
        </w:tc>
        <w:tc>
          <w:tcPr>
            <w:tcW w:w="1350" w:type="dxa"/>
            <w:vAlign w:val="center"/>
          </w:tcPr>
          <w:p w:rsidR="007F3F42" w:rsidRDefault="00781698">
            <w:pPr>
              <w:jc w:val="center"/>
            </w:pPr>
            <w:r>
              <w:rPr>
                <w:rFonts w:eastAsiaTheme="minorEastAsia"/>
                <w:color w:val="000000"/>
                <w:szCs w:val="21"/>
              </w:rPr>
              <w:t>1.65%</w:t>
            </w:r>
          </w:p>
        </w:tc>
        <w:tc>
          <w:tcPr>
            <w:tcW w:w="1350" w:type="dxa"/>
            <w:vAlign w:val="center"/>
          </w:tcPr>
          <w:p w:rsidR="007F3F42" w:rsidRDefault="00781698">
            <w:pPr>
              <w:jc w:val="center"/>
            </w:pPr>
            <w:r>
              <w:rPr>
                <w:rFonts w:eastAsiaTheme="minorEastAsia"/>
                <w:color w:val="000000"/>
                <w:szCs w:val="21"/>
              </w:rPr>
              <w:t>-3.71%</w:t>
            </w:r>
          </w:p>
        </w:tc>
        <w:tc>
          <w:tcPr>
            <w:tcW w:w="1350" w:type="dxa"/>
            <w:vAlign w:val="center"/>
          </w:tcPr>
          <w:p w:rsidR="007F3F42" w:rsidRDefault="00781698">
            <w:pPr>
              <w:jc w:val="center"/>
            </w:pPr>
            <w:r>
              <w:rPr>
                <w:rFonts w:eastAsiaTheme="minorEastAsia"/>
                <w:color w:val="000000"/>
                <w:szCs w:val="21"/>
              </w:rPr>
              <w:t>-0.06%</w:t>
            </w:r>
          </w:p>
        </w:tc>
      </w:tr>
      <w:tr w:rsidR="007F3F42">
        <w:tc>
          <w:tcPr>
            <w:tcW w:w="1620" w:type="dxa"/>
            <w:vAlign w:val="center"/>
          </w:tcPr>
          <w:p w:rsidR="007F3F42" w:rsidRDefault="00781698">
            <w:pPr>
              <w:jc w:val="left"/>
            </w:pPr>
            <w:r>
              <w:rPr>
                <w:rFonts w:eastAsiaTheme="minorEastAsia"/>
                <w:color w:val="000000"/>
                <w:szCs w:val="21"/>
              </w:rPr>
              <w:t>过去三年</w:t>
            </w:r>
          </w:p>
        </w:tc>
        <w:tc>
          <w:tcPr>
            <w:tcW w:w="1350" w:type="dxa"/>
            <w:vAlign w:val="center"/>
          </w:tcPr>
          <w:p w:rsidR="007F3F42" w:rsidRDefault="00781698">
            <w:pPr>
              <w:jc w:val="center"/>
            </w:pPr>
            <w:r>
              <w:rPr>
                <w:rFonts w:eastAsiaTheme="minorEastAsia"/>
                <w:color w:val="000000"/>
                <w:szCs w:val="21"/>
              </w:rPr>
              <w:t>-</w:t>
            </w:r>
          </w:p>
        </w:tc>
        <w:tc>
          <w:tcPr>
            <w:tcW w:w="1350" w:type="dxa"/>
            <w:vAlign w:val="center"/>
          </w:tcPr>
          <w:p w:rsidR="007F3F42" w:rsidRDefault="00781698">
            <w:pPr>
              <w:jc w:val="center"/>
            </w:pPr>
            <w:r>
              <w:rPr>
                <w:rFonts w:eastAsiaTheme="minorEastAsia"/>
                <w:color w:val="000000"/>
                <w:szCs w:val="21"/>
              </w:rPr>
              <w:t>-</w:t>
            </w:r>
          </w:p>
        </w:tc>
        <w:tc>
          <w:tcPr>
            <w:tcW w:w="1350" w:type="dxa"/>
            <w:vAlign w:val="center"/>
          </w:tcPr>
          <w:p w:rsidR="007F3F42" w:rsidRDefault="00781698">
            <w:pPr>
              <w:jc w:val="center"/>
            </w:pPr>
            <w:r>
              <w:rPr>
                <w:rFonts w:eastAsiaTheme="minorEastAsia"/>
                <w:color w:val="000000"/>
                <w:szCs w:val="21"/>
              </w:rPr>
              <w:t>-</w:t>
            </w:r>
          </w:p>
        </w:tc>
        <w:tc>
          <w:tcPr>
            <w:tcW w:w="1350" w:type="dxa"/>
            <w:vAlign w:val="center"/>
          </w:tcPr>
          <w:p w:rsidR="007F3F42" w:rsidRDefault="00781698">
            <w:pPr>
              <w:jc w:val="center"/>
            </w:pPr>
            <w:r>
              <w:rPr>
                <w:rFonts w:eastAsiaTheme="minorEastAsia"/>
                <w:color w:val="000000"/>
                <w:szCs w:val="21"/>
              </w:rPr>
              <w:t>-</w:t>
            </w:r>
          </w:p>
        </w:tc>
        <w:tc>
          <w:tcPr>
            <w:tcW w:w="1350" w:type="dxa"/>
            <w:vAlign w:val="center"/>
          </w:tcPr>
          <w:p w:rsidR="007F3F42" w:rsidRDefault="00781698">
            <w:pPr>
              <w:jc w:val="center"/>
            </w:pPr>
            <w:r>
              <w:rPr>
                <w:rFonts w:eastAsiaTheme="minorEastAsia"/>
                <w:color w:val="000000"/>
                <w:szCs w:val="21"/>
              </w:rPr>
              <w:t>-</w:t>
            </w:r>
          </w:p>
        </w:tc>
        <w:tc>
          <w:tcPr>
            <w:tcW w:w="1350" w:type="dxa"/>
            <w:vAlign w:val="center"/>
          </w:tcPr>
          <w:p w:rsidR="007F3F42" w:rsidRDefault="00781698">
            <w:pPr>
              <w:jc w:val="center"/>
            </w:pPr>
            <w:r>
              <w:rPr>
                <w:rFonts w:eastAsiaTheme="minorEastAsia"/>
                <w:color w:val="000000"/>
                <w:szCs w:val="21"/>
              </w:rPr>
              <w:t>-</w:t>
            </w:r>
          </w:p>
        </w:tc>
      </w:tr>
      <w:tr w:rsidR="007F3F42">
        <w:tc>
          <w:tcPr>
            <w:tcW w:w="1620" w:type="dxa"/>
            <w:vAlign w:val="center"/>
          </w:tcPr>
          <w:p w:rsidR="007F3F42" w:rsidRDefault="00781698">
            <w:pPr>
              <w:jc w:val="left"/>
            </w:pPr>
            <w:r>
              <w:rPr>
                <w:rFonts w:eastAsiaTheme="minorEastAsia"/>
                <w:color w:val="000000"/>
                <w:szCs w:val="21"/>
              </w:rPr>
              <w:t>自基金合同生效起至今</w:t>
            </w:r>
          </w:p>
        </w:tc>
        <w:tc>
          <w:tcPr>
            <w:tcW w:w="1350" w:type="dxa"/>
            <w:vAlign w:val="center"/>
          </w:tcPr>
          <w:p w:rsidR="007F3F42" w:rsidRDefault="00781698">
            <w:pPr>
              <w:jc w:val="center"/>
            </w:pPr>
            <w:r>
              <w:rPr>
                <w:rFonts w:eastAsiaTheme="minorEastAsia"/>
                <w:color w:val="000000"/>
                <w:szCs w:val="21"/>
              </w:rPr>
              <w:t>39.23%</w:t>
            </w:r>
          </w:p>
        </w:tc>
        <w:tc>
          <w:tcPr>
            <w:tcW w:w="1350" w:type="dxa"/>
            <w:vAlign w:val="center"/>
          </w:tcPr>
          <w:p w:rsidR="007F3F42" w:rsidRDefault="00781698">
            <w:pPr>
              <w:jc w:val="center"/>
            </w:pPr>
            <w:r>
              <w:rPr>
                <w:rFonts w:eastAsiaTheme="minorEastAsia"/>
                <w:color w:val="000000"/>
                <w:szCs w:val="21"/>
              </w:rPr>
              <w:t>1.47%</w:t>
            </w:r>
          </w:p>
        </w:tc>
        <w:tc>
          <w:tcPr>
            <w:tcW w:w="1350" w:type="dxa"/>
            <w:vAlign w:val="center"/>
          </w:tcPr>
          <w:p w:rsidR="007F3F42" w:rsidRDefault="00781698">
            <w:pPr>
              <w:jc w:val="center"/>
            </w:pPr>
            <w:r>
              <w:rPr>
                <w:rFonts w:eastAsiaTheme="minorEastAsia"/>
                <w:color w:val="000000"/>
                <w:szCs w:val="21"/>
              </w:rPr>
              <w:t>57.47%</w:t>
            </w:r>
          </w:p>
        </w:tc>
        <w:tc>
          <w:tcPr>
            <w:tcW w:w="1350" w:type="dxa"/>
            <w:vAlign w:val="center"/>
          </w:tcPr>
          <w:p w:rsidR="007F3F42" w:rsidRDefault="00781698">
            <w:pPr>
              <w:jc w:val="center"/>
            </w:pPr>
            <w:r>
              <w:rPr>
                <w:rFonts w:eastAsiaTheme="minorEastAsia"/>
                <w:color w:val="000000"/>
                <w:szCs w:val="21"/>
              </w:rPr>
              <w:t>1.58%</w:t>
            </w:r>
          </w:p>
        </w:tc>
        <w:tc>
          <w:tcPr>
            <w:tcW w:w="1350" w:type="dxa"/>
            <w:vAlign w:val="center"/>
          </w:tcPr>
          <w:p w:rsidR="007F3F42" w:rsidRDefault="00781698">
            <w:pPr>
              <w:jc w:val="center"/>
            </w:pPr>
            <w:r>
              <w:rPr>
                <w:rFonts w:eastAsiaTheme="minorEastAsia"/>
                <w:color w:val="000000"/>
                <w:szCs w:val="21"/>
              </w:rPr>
              <w:t>-18.24%</w:t>
            </w:r>
          </w:p>
        </w:tc>
        <w:tc>
          <w:tcPr>
            <w:tcW w:w="1350" w:type="dxa"/>
            <w:vAlign w:val="center"/>
          </w:tcPr>
          <w:p w:rsidR="007F3F42" w:rsidRDefault="00781698">
            <w:pPr>
              <w:jc w:val="center"/>
            </w:pPr>
            <w:r>
              <w:rPr>
                <w:rFonts w:eastAsiaTheme="minorEastAsia"/>
                <w:color w:val="000000"/>
                <w:szCs w:val="21"/>
              </w:rPr>
              <w:t>-0.11%</w:t>
            </w:r>
          </w:p>
        </w:tc>
      </w:tr>
    </w:tbl>
    <w:p w:rsidR="00FC6E91" w:rsidRPr="00C24ACA" w:rsidRDefault="00FC6E91" w:rsidP="00FC6E91">
      <w:pPr>
        <w:pStyle w:val="21"/>
        <w:spacing w:line="288" w:lineRule="auto"/>
        <w:ind w:firstLineChars="0" w:firstLine="0"/>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易方达中证海外中国互联网</w:t>
      </w:r>
      <w:r w:rsidRPr="00C24ACA">
        <w:rPr>
          <w:rFonts w:ascii="Times New Roman" w:eastAsiaTheme="minorEastAsia" w:hAnsi="Times New Roman"/>
          <w:color w:val="auto"/>
          <w:sz w:val="21"/>
          <w:szCs w:val="21"/>
        </w:rPr>
        <w:t>50ETF</w:t>
      </w:r>
      <w:r w:rsidRPr="00C24ACA">
        <w:rPr>
          <w:rFonts w:ascii="Times New Roman" w:eastAsiaTheme="minorEastAsia" w:hAnsi="Times New Roman"/>
          <w:color w:val="auto"/>
          <w:sz w:val="21"/>
          <w:szCs w:val="21"/>
        </w:rPr>
        <w:t>联接（</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C</w:t>
      </w: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C6E91" w:rsidRPr="00C24ACA" w:rsidTr="005C3575">
        <w:tc>
          <w:tcPr>
            <w:tcW w:w="162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阶段</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w:t>
            </w:r>
            <w:r w:rsidRPr="00C24ACA">
              <w:rPr>
                <w:rFonts w:ascii="宋体" w:hAnsi="宋体" w:cs="宋体" w:hint="eastAsia"/>
                <w:color w:val="000000"/>
                <w:szCs w:val="21"/>
              </w:rPr>
              <w:t>①</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份额净值增长率标准差</w:t>
            </w:r>
            <w:r w:rsidRPr="00C24ACA">
              <w:rPr>
                <w:rFonts w:ascii="宋体" w:hAnsi="宋体" w:cs="宋体" w:hint="eastAsia"/>
                <w:color w:val="000000"/>
                <w:szCs w:val="21"/>
              </w:rPr>
              <w:t>②</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业绩比较基准收益率标准差</w:t>
            </w:r>
            <w:r w:rsidRPr="00C24ACA">
              <w:rPr>
                <w:rFonts w:ascii="宋体" w:hAnsi="宋体" w:cs="宋体" w:hint="eastAsia"/>
                <w:color w:val="000000"/>
                <w:szCs w:val="21"/>
              </w:rPr>
              <w:t>④</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①</w:t>
            </w:r>
            <w:r w:rsidRPr="00C24ACA">
              <w:rPr>
                <w:rFonts w:eastAsiaTheme="minorEastAsia"/>
                <w:color w:val="000000"/>
                <w:szCs w:val="21"/>
              </w:rPr>
              <w:t>－</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②</w:t>
            </w:r>
            <w:r w:rsidRPr="00C24ACA">
              <w:rPr>
                <w:rFonts w:eastAsiaTheme="minorEastAsia"/>
                <w:color w:val="000000"/>
                <w:szCs w:val="21"/>
              </w:rPr>
              <w:t>－</w:t>
            </w:r>
            <w:r w:rsidRPr="00C24ACA">
              <w:rPr>
                <w:rFonts w:ascii="宋体" w:hAnsi="宋体" w:cs="宋体" w:hint="eastAsia"/>
                <w:color w:val="000000"/>
                <w:szCs w:val="21"/>
              </w:rPr>
              <w:t>④</w:t>
            </w:r>
          </w:p>
        </w:tc>
      </w:tr>
      <w:tr w:rsidR="007F3F42">
        <w:tc>
          <w:tcPr>
            <w:tcW w:w="1620" w:type="dxa"/>
            <w:vAlign w:val="center"/>
          </w:tcPr>
          <w:p w:rsidR="007F3F42" w:rsidRDefault="00781698">
            <w:pPr>
              <w:jc w:val="left"/>
            </w:pPr>
            <w:r>
              <w:rPr>
                <w:rFonts w:eastAsiaTheme="minorEastAsia"/>
                <w:color w:val="000000"/>
                <w:szCs w:val="21"/>
              </w:rPr>
              <w:t>过去一个月</w:t>
            </w:r>
          </w:p>
        </w:tc>
        <w:tc>
          <w:tcPr>
            <w:tcW w:w="1350" w:type="dxa"/>
            <w:vAlign w:val="center"/>
          </w:tcPr>
          <w:p w:rsidR="007F3F42" w:rsidRDefault="00781698">
            <w:pPr>
              <w:jc w:val="center"/>
            </w:pPr>
            <w:r>
              <w:rPr>
                <w:rFonts w:eastAsiaTheme="minorEastAsia"/>
                <w:color w:val="000000"/>
                <w:szCs w:val="21"/>
              </w:rPr>
              <w:t>12.82%</w:t>
            </w:r>
          </w:p>
        </w:tc>
        <w:tc>
          <w:tcPr>
            <w:tcW w:w="1350" w:type="dxa"/>
            <w:vAlign w:val="center"/>
          </w:tcPr>
          <w:p w:rsidR="007F3F42" w:rsidRDefault="00781698">
            <w:pPr>
              <w:jc w:val="center"/>
            </w:pPr>
            <w:r>
              <w:rPr>
                <w:rFonts w:eastAsiaTheme="minorEastAsia"/>
                <w:color w:val="000000"/>
                <w:szCs w:val="21"/>
              </w:rPr>
              <w:t>1.37%</w:t>
            </w:r>
          </w:p>
        </w:tc>
        <w:tc>
          <w:tcPr>
            <w:tcW w:w="1350" w:type="dxa"/>
            <w:vAlign w:val="center"/>
          </w:tcPr>
          <w:p w:rsidR="007F3F42" w:rsidRDefault="00781698">
            <w:pPr>
              <w:jc w:val="center"/>
            </w:pPr>
            <w:r>
              <w:rPr>
                <w:rFonts w:eastAsiaTheme="minorEastAsia"/>
                <w:color w:val="000000"/>
                <w:szCs w:val="21"/>
              </w:rPr>
              <w:t>13.18%</w:t>
            </w:r>
          </w:p>
        </w:tc>
        <w:tc>
          <w:tcPr>
            <w:tcW w:w="1350" w:type="dxa"/>
            <w:vAlign w:val="center"/>
          </w:tcPr>
          <w:p w:rsidR="007F3F42" w:rsidRDefault="00781698">
            <w:pPr>
              <w:jc w:val="center"/>
            </w:pPr>
            <w:r>
              <w:rPr>
                <w:rFonts w:eastAsiaTheme="minorEastAsia"/>
                <w:color w:val="000000"/>
                <w:szCs w:val="21"/>
              </w:rPr>
              <w:t>1.37%</w:t>
            </w:r>
          </w:p>
        </w:tc>
        <w:tc>
          <w:tcPr>
            <w:tcW w:w="1350" w:type="dxa"/>
            <w:vAlign w:val="center"/>
          </w:tcPr>
          <w:p w:rsidR="007F3F42" w:rsidRDefault="00781698">
            <w:pPr>
              <w:jc w:val="center"/>
            </w:pPr>
            <w:r>
              <w:rPr>
                <w:rFonts w:eastAsiaTheme="minorEastAsia"/>
                <w:color w:val="000000"/>
                <w:szCs w:val="21"/>
              </w:rPr>
              <w:t>-0.36%</w:t>
            </w:r>
          </w:p>
        </w:tc>
        <w:tc>
          <w:tcPr>
            <w:tcW w:w="1350" w:type="dxa"/>
            <w:vAlign w:val="center"/>
          </w:tcPr>
          <w:p w:rsidR="007F3F42" w:rsidRDefault="00781698">
            <w:pPr>
              <w:jc w:val="center"/>
            </w:pPr>
            <w:r>
              <w:rPr>
                <w:rFonts w:eastAsiaTheme="minorEastAsia"/>
                <w:color w:val="000000"/>
                <w:szCs w:val="21"/>
              </w:rPr>
              <w:t>0.00%</w:t>
            </w:r>
          </w:p>
        </w:tc>
      </w:tr>
      <w:tr w:rsidR="007F3F42">
        <w:tc>
          <w:tcPr>
            <w:tcW w:w="1620" w:type="dxa"/>
            <w:vAlign w:val="center"/>
          </w:tcPr>
          <w:p w:rsidR="007F3F42" w:rsidRDefault="00781698">
            <w:pPr>
              <w:jc w:val="left"/>
            </w:pPr>
            <w:r>
              <w:rPr>
                <w:rFonts w:eastAsiaTheme="minorEastAsia"/>
                <w:color w:val="000000"/>
                <w:szCs w:val="21"/>
              </w:rPr>
              <w:t>过去三个月</w:t>
            </w:r>
          </w:p>
        </w:tc>
        <w:tc>
          <w:tcPr>
            <w:tcW w:w="1350" w:type="dxa"/>
            <w:vAlign w:val="center"/>
          </w:tcPr>
          <w:p w:rsidR="007F3F42" w:rsidRDefault="00781698">
            <w:pPr>
              <w:jc w:val="center"/>
            </w:pPr>
            <w:r>
              <w:rPr>
                <w:rFonts w:eastAsiaTheme="minorEastAsia"/>
                <w:color w:val="000000"/>
                <w:szCs w:val="21"/>
              </w:rPr>
              <w:t>28.48%</w:t>
            </w:r>
          </w:p>
        </w:tc>
        <w:tc>
          <w:tcPr>
            <w:tcW w:w="1350" w:type="dxa"/>
            <w:vAlign w:val="center"/>
          </w:tcPr>
          <w:p w:rsidR="007F3F42" w:rsidRDefault="00781698">
            <w:pPr>
              <w:jc w:val="center"/>
            </w:pPr>
            <w:r>
              <w:rPr>
                <w:rFonts w:eastAsiaTheme="minorEastAsia"/>
                <w:color w:val="000000"/>
                <w:szCs w:val="21"/>
              </w:rPr>
              <w:t>1.64%</w:t>
            </w:r>
          </w:p>
        </w:tc>
        <w:tc>
          <w:tcPr>
            <w:tcW w:w="1350" w:type="dxa"/>
            <w:vAlign w:val="center"/>
          </w:tcPr>
          <w:p w:rsidR="007F3F42" w:rsidRDefault="00781698">
            <w:pPr>
              <w:jc w:val="center"/>
            </w:pPr>
            <w:r>
              <w:rPr>
                <w:rFonts w:eastAsiaTheme="minorEastAsia"/>
                <w:color w:val="000000"/>
                <w:szCs w:val="21"/>
              </w:rPr>
              <w:t>29.51%</w:t>
            </w:r>
          </w:p>
        </w:tc>
        <w:tc>
          <w:tcPr>
            <w:tcW w:w="1350" w:type="dxa"/>
            <w:vAlign w:val="center"/>
          </w:tcPr>
          <w:p w:rsidR="007F3F42" w:rsidRDefault="00781698">
            <w:pPr>
              <w:jc w:val="center"/>
            </w:pPr>
            <w:r>
              <w:rPr>
                <w:rFonts w:eastAsiaTheme="minorEastAsia"/>
                <w:color w:val="000000"/>
                <w:szCs w:val="21"/>
              </w:rPr>
              <w:t>1.67%</w:t>
            </w:r>
          </w:p>
        </w:tc>
        <w:tc>
          <w:tcPr>
            <w:tcW w:w="1350" w:type="dxa"/>
            <w:vAlign w:val="center"/>
          </w:tcPr>
          <w:p w:rsidR="007F3F42" w:rsidRDefault="00781698">
            <w:pPr>
              <w:jc w:val="center"/>
            </w:pPr>
            <w:r>
              <w:rPr>
                <w:rFonts w:eastAsiaTheme="minorEastAsia"/>
                <w:color w:val="000000"/>
                <w:szCs w:val="21"/>
              </w:rPr>
              <w:t>-1.03%</w:t>
            </w:r>
          </w:p>
        </w:tc>
        <w:tc>
          <w:tcPr>
            <w:tcW w:w="1350" w:type="dxa"/>
            <w:vAlign w:val="center"/>
          </w:tcPr>
          <w:p w:rsidR="007F3F42" w:rsidRDefault="00781698">
            <w:pPr>
              <w:jc w:val="center"/>
            </w:pPr>
            <w:r>
              <w:rPr>
                <w:rFonts w:eastAsiaTheme="minorEastAsia"/>
                <w:color w:val="000000"/>
                <w:szCs w:val="21"/>
              </w:rPr>
              <w:t>-0.03%</w:t>
            </w:r>
          </w:p>
        </w:tc>
      </w:tr>
      <w:tr w:rsidR="007F3F42">
        <w:tc>
          <w:tcPr>
            <w:tcW w:w="1620" w:type="dxa"/>
            <w:vAlign w:val="center"/>
          </w:tcPr>
          <w:p w:rsidR="007F3F42" w:rsidRDefault="00781698">
            <w:pPr>
              <w:jc w:val="left"/>
            </w:pPr>
            <w:r>
              <w:rPr>
                <w:rFonts w:eastAsiaTheme="minorEastAsia"/>
                <w:color w:val="000000"/>
                <w:szCs w:val="21"/>
              </w:rPr>
              <w:t>过去六个月</w:t>
            </w:r>
          </w:p>
        </w:tc>
        <w:tc>
          <w:tcPr>
            <w:tcW w:w="1350" w:type="dxa"/>
            <w:vAlign w:val="center"/>
          </w:tcPr>
          <w:p w:rsidR="007F3F42" w:rsidRDefault="00781698">
            <w:pPr>
              <w:jc w:val="center"/>
            </w:pPr>
            <w:r>
              <w:rPr>
                <w:rFonts w:eastAsiaTheme="minorEastAsia"/>
                <w:color w:val="000000"/>
                <w:szCs w:val="21"/>
              </w:rPr>
              <w:t>23.36%</w:t>
            </w:r>
          </w:p>
        </w:tc>
        <w:tc>
          <w:tcPr>
            <w:tcW w:w="1350" w:type="dxa"/>
            <w:vAlign w:val="center"/>
          </w:tcPr>
          <w:p w:rsidR="007F3F42" w:rsidRDefault="00781698">
            <w:pPr>
              <w:jc w:val="center"/>
            </w:pPr>
            <w:r>
              <w:rPr>
                <w:rFonts w:eastAsiaTheme="minorEastAsia"/>
                <w:color w:val="000000"/>
                <w:szCs w:val="21"/>
              </w:rPr>
              <w:t>1.94%</w:t>
            </w:r>
          </w:p>
        </w:tc>
        <w:tc>
          <w:tcPr>
            <w:tcW w:w="1350" w:type="dxa"/>
            <w:vAlign w:val="center"/>
          </w:tcPr>
          <w:p w:rsidR="007F3F42" w:rsidRDefault="00781698">
            <w:pPr>
              <w:jc w:val="center"/>
            </w:pPr>
            <w:r>
              <w:rPr>
                <w:rFonts w:eastAsiaTheme="minorEastAsia"/>
                <w:color w:val="000000"/>
                <w:szCs w:val="21"/>
              </w:rPr>
              <w:t>26.23%</w:t>
            </w:r>
          </w:p>
        </w:tc>
        <w:tc>
          <w:tcPr>
            <w:tcW w:w="1350" w:type="dxa"/>
            <w:vAlign w:val="center"/>
          </w:tcPr>
          <w:p w:rsidR="007F3F42" w:rsidRDefault="00781698">
            <w:pPr>
              <w:jc w:val="center"/>
            </w:pPr>
            <w:r>
              <w:rPr>
                <w:rFonts w:eastAsiaTheme="minorEastAsia"/>
                <w:color w:val="000000"/>
                <w:szCs w:val="21"/>
              </w:rPr>
              <w:t>2.03%</w:t>
            </w:r>
          </w:p>
        </w:tc>
        <w:tc>
          <w:tcPr>
            <w:tcW w:w="1350" w:type="dxa"/>
            <w:vAlign w:val="center"/>
          </w:tcPr>
          <w:p w:rsidR="007F3F42" w:rsidRDefault="00781698">
            <w:pPr>
              <w:jc w:val="center"/>
            </w:pPr>
            <w:r>
              <w:rPr>
                <w:rFonts w:eastAsiaTheme="minorEastAsia"/>
                <w:color w:val="000000"/>
                <w:szCs w:val="21"/>
              </w:rPr>
              <w:t>-2.87%</w:t>
            </w:r>
          </w:p>
        </w:tc>
        <w:tc>
          <w:tcPr>
            <w:tcW w:w="1350" w:type="dxa"/>
            <w:vAlign w:val="center"/>
          </w:tcPr>
          <w:p w:rsidR="007F3F42" w:rsidRDefault="00781698">
            <w:pPr>
              <w:jc w:val="center"/>
            </w:pPr>
            <w:r>
              <w:rPr>
                <w:rFonts w:eastAsiaTheme="minorEastAsia"/>
                <w:color w:val="000000"/>
                <w:szCs w:val="21"/>
              </w:rPr>
              <w:t>-0.09%</w:t>
            </w:r>
          </w:p>
        </w:tc>
      </w:tr>
      <w:tr w:rsidR="007F3F42">
        <w:tc>
          <w:tcPr>
            <w:tcW w:w="1620" w:type="dxa"/>
            <w:vAlign w:val="center"/>
          </w:tcPr>
          <w:p w:rsidR="007F3F42" w:rsidRDefault="00781698">
            <w:pPr>
              <w:jc w:val="left"/>
            </w:pPr>
            <w:r>
              <w:rPr>
                <w:rFonts w:eastAsiaTheme="minorEastAsia"/>
                <w:color w:val="000000"/>
                <w:szCs w:val="21"/>
              </w:rPr>
              <w:t>过去一年</w:t>
            </w:r>
          </w:p>
        </w:tc>
        <w:tc>
          <w:tcPr>
            <w:tcW w:w="1350" w:type="dxa"/>
            <w:vAlign w:val="center"/>
          </w:tcPr>
          <w:p w:rsidR="007F3F42" w:rsidRDefault="00781698">
            <w:pPr>
              <w:jc w:val="center"/>
            </w:pPr>
            <w:r>
              <w:rPr>
                <w:rFonts w:eastAsiaTheme="minorEastAsia"/>
                <w:color w:val="000000"/>
                <w:szCs w:val="21"/>
              </w:rPr>
              <w:t>42.35%</w:t>
            </w:r>
          </w:p>
        </w:tc>
        <w:tc>
          <w:tcPr>
            <w:tcW w:w="1350" w:type="dxa"/>
            <w:vAlign w:val="center"/>
          </w:tcPr>
          <w:p w:rsidR="007F3F42" w:rsidRDefault="00781698">
            <w:pPr>
              <w:jc w:val="center"/>
            </w:pPr>
            <w:r>
              <w:rPr>
                <w:rFonts w:eastAsiaTheme="minorEastAsia"/>
                <w:color w:val="000000"/>
                <w:szCs w:val="21"/>
              </w:rPr>
              <w:t>1.59%</w:t>
            </w:r>
          </w:p>
        </w:tc>
        <w:tc>
          <w:tcPr>
            <w:tcW w:w="1350" w:type="dxa"/>
            <w:vAlign w:val="center"/>
          </w:tcPr>
          <w:p w:rsidR="007F3F42" w:rsidRDefault="00781698">
            <w:pPr>
              <w:jc w:val="center"/>
            </w:pPr>
            <w:r>
              <w:rPr>
                <w:rFonts w:eastAsiaTheme="minorEastAsia"/>
                <w:color w:val="000000"/>
                <w:szCs w:val="21"/>
              </w:rPr>
              <w:t>46.57%</w:t>
            </w:r>
          </w:p>
        </w:tc>
        <w:tc>
          <w:tcPr>
            <w:tcW w:w="1350" w:type="dxa"/>
            <w:vAlign w:val="center"/>
          </w:tcPr>
          <w:p w:rsidR="007F3F42" w:rsidRDefault="00781698">
            <w:pPr>
              <w:jc w:val="center"/>
            </w:pPr>
            <w:r>
              <w:rPr>
                <w:rFonts w:eastAsiaTheme="minorEastAsia"/>
                <w:color w:val="000000"/>
                <w:szCs w:val="21"/>
              </w:rPr>
              <w:t>1.65%</w:t>
            </w:r>
          </w:p>
        </w:tc>
        <w:tc>
          <w:tcPr>
            <w:tcW w:w="1350" w:type="dxa"/>
            <w:vAlign w:val="center"/>
          </w:tcPr>
          <w:p w:rsidR="007F3F42" w:rsidRDefault="00781698">
            <w:pPr>
              <w:jc w:val="center"/>
            </w:pPr>
            <w:r>
              <w:rPr>
                <w:rFonts w:eastAsiaTheme="minorEastAsia"/>
                <w:color w:val="000000"/>
                <w:szCs w:val="21"/>
              </w:rPr>
              <w:t>-4.22%</w:t>
            </w:r>
          </w:p>
        </w:tc>
        <w:tc>
          <w:tcPr>
            <w:tcW w:w="1350" w:type="dxa"/>
            <w:vAlign w:val="center"/>
          </w:tcPr>
          <w:p w:rsidR="007F3F42" w:rsidRDefault="00781698">
            <w:pPr>
              <w:jc w:val="center"/>
            </w:pPr>
            <w:r>
              <w:rPr>
                <w:rFonts w:eastAsiaTheme="minorEastAsia"/>
                <w:color w:val="000000"/>
                <w:szCs w:val="21"/>
              </w:rPr>
              <w:t>-0.06%</w:t>
            </w:r>
          </w:p>
        </w:tc>
      </w:tr>
      <w:tr w:rsidR="007F3F42">
        <w:tc>
          <w:tcPr>
            <w:tcW w:w="1620" w:type="dxa"/>
            <w:vAlign w:val="center"/>
          </w:tcPr>
          <w:p w:rsidR="007F3F42" w:rsidRDefault="00781698">
            <w:pPr>
              <w:jc w:val="left"/>
            </w:pPr>
            <w:r>
              <w:rPr>
                <w:rFonts w:eastAsiaTheme="minorEastAsia"/>
                <w:color w:val="000000"/>
                <w:szCs w:val="21"/>
              </w:rPr>
              <w:t>过去三年</w:t>
            </w:r>
          </w:p>
        </w:tc>
        <w:tc>
          <w:tcPr>
            <w:tcW w:w="1350" w:type="dxa"/>
            <w:vAlign w:val="center"/>
          </w:tcPr>
          <w:p w:rsidR="007F3F42" w:rsidRDefault="00781698">
            <w:pPr>
              <w:jc w:val="center"/>
            </w:pPr>
            <w:r>
              <w:rPr>
                <w:rFonts w:eastAsiaTheme="minorEastAsia"/>
                <w:color w:val="000000"/>
                <w:szCs w:val="21"/>
              </w:rPr>
              <w:t>-</w:t>
            </w:r>
          </w:p>
        </w:tc>
        <w:tc>
          <w:tcPr>
            <w:tcW w:w="1350" w:type="dxa"/>
            <w:vAlign w:val="center"/>
          </w:tcPr>
          <w:p w:rsidR="007F3F42" w:rsidRDefault="00781698">
            <w:pPr>
              <w:jc w:val="center"/>
            </w:pPr>
            <w:r>
              <w:rPr>
                <w:rFonts w:eastAsiaTheme="minorEastAsia"/>
                <w:color w:val="000000"/>
                <w:szCs w:val="21"/>
              </w:rPr>
              <w:t>-</w:t>
            </w:r>
          </w:p>
        </w:tc>
        <w:tc>
          <w:tcPr>
            <w:tcW w:w="1350" w:type="dxa"/>
            <w:vAlign w:val="center"/>
          </w:tcPr>
          <w:p w:rsidR="007F3F42" w:rsidRDefault="00781698">
            <w:pPr>
              <w:jc w:val="center"/>
            </w:pPr>
            <w:r>
              <w:rPr>
                <w:rFonts w:eastAsiaTheme="minorEastAsia"/>
                <w:color w:val="000000"/>
                <w:szCs w:val="21"/>
              </w:rPr>
              <w:t>-</w:t>
            </w:r>
          </w:p>
        </w:tc>
        <w:tc>
          <w:tcPr>
            <w:tcW w:w="1350" w:type="dxa"/>
            <w:vAlign w:val="center"/>
          </w:tcPr>
          <w:p w:rsidR="007F3F42" w:rsidRDefault="00781698">
            <w:pPr>
              <w:jc w:val="center"/>
            </w:pPr>
            <w:r>
              <w:rPr>
                <w:rFonts w:eastAsiaTheme="minorEastAsia"/>
                <w:color w:val="000000"/>
                <w:szCs w:val="21"/>
              </w:rPr>
              <w:t>-</w:t>
            </w:r>
          </w:p>
        </w:tc>
        <w:tc>
          <w:tcPr>
            <w:tcW w:w="1350" w:type="dxa"/>
            <w:vAlign w:val="center"/>
          </w:tcPr>
          <w:p w:rsidR="007F3F42" w:rsidRDefault="00781698">
            <w:pPr>
              <w:jc w:val="center"/>
            </w:pPr>
            <w:r>
              <w:rPr>
                <w:rFonts w:eastAsiaTheme="minorEastAsia"/>
                <w:color w:val="000000"/>
                <w:szCs w:val="21"/>
              </w:rPr>
              <w:t>-</w:t>
            </w:r>
          </w:p>
        </w:tc>
        <w:tc>
          <w:tcPr>
            <w:tcW w:w="1350" w:type="dxa"/>
            <w:vAlign w:val="center"/>
          </w:tcPr>
          <w:p w:rsidR="007F3F42" w:rsidRDefault="00781698">
            <w:pPr>
              <w:jc w:val="center"/>
            </w:pPr>
            <w:r>
              <w:rPr>
                <w:rFonts w:eastAsiaTheme="minorEastAsia"/>
                <w:color w:val="000000"/>
                <w:szCs w:val="21"/>
              </w:rPr>
              <w:t>-</w:t>
            </w:r>
          </w:p>
        </w:tc>
      </w:tr>
      <w:tr w:rsidR="007F3F42">
        <w:tc>
          <w:tcPr>
            <w:tcW w:w="1620" w:type="dxa"/>
            <w:vAlign w:val="center"/>
          </w:tcPr>
          <w:p w:rsidR="007F3F42" w:rsidRDefault="00781698">
            <w:pPr>
              <w:jc w:val="left"/>
            </w:pPr>
            <w:r>
              <w:rPr>
                <w:rFonts w:eastAsiaTheme="minorEastAsia"/>
                <w:color w:val="000000"/>
                <w:szCs w:val="21"/>
              </w:rPr>
              <w:t>自基金合同生效起至今</w:t>
            </w:r>
          </w:p>
        </w:tc>
        <w:tc>
          <w:tcPr>
            <w:tcW w:w="1350" w:type="dxa"/>
            <w:vAlign w:val="center"/>
          </w:tcPr>
          <w:p w:rsidR="007F3F42" w:rsidRDefault="00781698">
            <w:pPr>
              <w:jc w:val="center"/>
            </w:pPr>
            <w:r>
              <w:rPr>
                <w:rFonts w:eastAsiaTheme="minorEastAsia"/>
                <w:color w:val="000000"/>
                <w:szCs w:val="21"/>
              </w:rPr>
              <w:t>37.79%</w:t>
            </w:r>
          </w:p>
        </w:tc>
        <w:tc>
          <w:tcPr>
            <w:tcW w:w="1350" w:type="dxa"/>
            <w:vAlign w:val="center"/>
          </w:tcPr>
          <w:p w:rsidR="007F3F42" w:rsidRDefault="00781698">
            <w:pPr>
              <w:jc w:val="center"/>
            </w:pPr>
            <w:r>
              <w:rPr>
                <w:rFonts w:eastAsiaTheme="minorEastAsia"/>
                <w:color w:val="000000"/>
                <w:szCs w:val="21"/>
              </w:rPr>
              <w:t>1.47%</w:t>
            </w:r>
          </w:p>
        </w:tc>
        <w:tc>
          <w:tcPr>
            <w:tcW w:w="1350" w:type="dxa"/>
            <w:vAlign w:val="center"/>
          </w:tcPr>
          <w:p w:rsidR="007F3F42" w:rsidRDefault="00781698">
            <w:pPr>
              <w:jc w:val="center"/>
            </w:pPr>
            <w:r>
              <w:rPr>
                <w:rFonts w:eastAsiaTheme="minorEastAsia"/>
                <w:color w:val="000000"/>
                <w:szCs w:val="21"/>
              </w:rPr>
              <w:t>57.47%</w:t>
            </w:r>
          </w:p>
        </w:tc>
        <w:tc>
          <w:tcPr>
            <w:tcW w:w="1350" w:type="dxa"/>
            <w:vAlign w:val="center"/>
          </w:tcPr>
          <w:p w:rsidR="007F3F42" w:rsidRDefault="00781698">
            <w:pPr>
              <w:jc w:val="center"/>
            </w:pPr>
            <w:r>
              <w:rPr>
                <w:rFonts w:eastAsiaTheme="minorEastAsia"/>
                <w:color w:val="000000"/>
                <w:szCs w:val="21"/>
              </w:rPr>
              <w:t>1.58%</w:t>
            </w:r>
          </w:p>
        </w:tc>
        <w:tc>
          <w:tcPr>
            <w:tcW w:w="1350" w:type="dxa"/>
            <w:vAlign w:val="center"/>
          </w:tcPr>
          <w:p w:rsidR="007F3F42" w:rsidRDefault="00781698">
            <w:pPr>
              <w:jc w:val="center"/>
            </w:pPr>
            <w:r>
              <w:rPr>
                <w:rFonts w:eastAsiaTheme="minorEastAsia"/>
                <w:color w:val="000000"/>
                <w:szCs w:val="21"/>
              </w:rPr>
              <w:t>-19.68%</w:t>
            </w:r>
          </w:p>
        </w:tc>
        <w:tc>
          <w:tcPr>
            <w:tcW w:w="1350" w:type="dxa"/>
            <w:vAlign w:val="center"/>
          </w:tcPr>
          <w:p w:rsidR="007F3F42" w:rsidRDefault="00781698">
            <w:pPr>
              <w:jc w:val="center"/>
            </w:pPr>
            <w:r>
              <w:rPr>
                <w:rFonts w:eastAsiaTheme="minorEastAsia"/>
                <w:color w:val="000000"/>
                <w:szCs w:val="21"/>
              </w:rPr>
              <w:t>-0.11%</w:t>
            </w:r>
          </w:p>
        </w:tc>
      </w:tr>
    </w:tbl>
    <w:p w:rsidR="00FC6E91" w:rsidRPr="00C24ACA" w:rsidRDefault="00FC6E91" w:rsidP="006C64F3">
      <w:pPr>
        <w:spacing w:beforeLines="100" w:before="312" w:line="360" w:lineRule="auto"/>
        <w:rPr>
          <w:rFonts w:eastAsiaTheme="minorEastAsia"/>
          <w:b/>
          <w:kern w:val="0"/>
          <w:szCs w:val="21"/>
        </w:rPr>
      </w:pPr>
      <w:r w:rsidRPr="00C24ACA">
        <w:rPr>
          <w:rFonts w:eastAsiaTheme="minorEastAsia"/>
          <w:b/>
          <w:kern w:val="0"/>
          <w:szCs w:val="21"/>
        </w:rPr>
        <w:t>3.2.2</w:t>
      </w:r>
      <w:r w:rsidR="00587AF5">
        <w:rPr>
          <w:rStyle w:val="af8"/>
          <w:rFonts w:hAnsi="宋体" w:cs="宋体"/>
          <w:color w:val="000000"/>
          <w:shd w:val="clear" w:color="auto" w:fill="FFFFFF"/>
        </w:rPr>
        <w:t>自基金合同生效以来</w:t>
      </w:r>
      <w:r w:rsidRPr="00C24ACA">
        <w:rPr>
          <w:rFonts w:eastAsiaTheme="minorEastAsia"/>
          <w:b/>
          <w:kern w:val="0"/>
          <w:szCs w:val="21"/>
        </w:rPr>
        <w:t>基金份额累计净值增长率变动及其与同期业绩比较基准收益率变动的比较</w:t>
      </w:r>
    </w:p>
    <w:p w:rsidR="00855B21" w:rsidRDefault="00855B21" w:rsidP="00855B21">
      <w:pPr>
        <w:spacing w:line="360" w:lineRule="auto"/>
        <w:ind w:firstLine="420"/>
        <w:jc w:val="center"/>
        <w:rPr>
          <w:rFonts w:eastAsiaTheme="minorEastAsia"/>
          <w:color w:val="000000"/>
          <w:kern w:val="0"/>
          <w:szCs w:val="21"/>
        </w:rPr>
      </w:pPr>
      <w:r w:rsidRPr="00D749D4">
        <w:rPr>
          <w:color w:val="000000"/>
          <w:szCs w:val="21"/>
        </w:rPr>
        <w:t>易方达中证海外中国互联网</w:t>
      </w:r>
      <w:r w:rsidRPr="00D749D4">
        <w:rPr>
          <w:color w:val="000000"/>
          <w:szCs w:val="21"/>
        </w:rPr>
        <w:t>50</w:t>
      </w:r>
      <w:r w:rsidRPr="00D749D4">
        <w:rPr>
          <w:color w:val="000000"/>
          <w:szCs w:val="21"/>
        </w:rPr>
        <w:t>交易型开放式指数证券投资基金联接基金</w:t>
      </w:r>
    </w:p>
    <w:p w:rsidR="009C3047" w:rsidRDefault="00855B21" w:rsidP="009C3047">
      <w:pPr>
        <w:pStyle w:val="a6"/>
        <w:snapToGrid w:val="0"/>
        <w:spacing w:line="360" w:lineRule="auto"/>
        <w:jc w:val="center"/>
        <w:rPr>
          <w:rFonts w:ascii="Times New Roman" w:eastAsiaTheme="minorEastAsia" w:hAnsi="Times New Roman"/>
          <w:color w:val="000000" w:themeColor="text1"/>
          <w:sz w:val="24"/>
          <w:szCs w:val="24"/>
        </w:rPr>
      </w:pPr>
      <w:r w:rsidRPr="00D749D4">
        <w:rPr>
          <w:rFonts w:ascii="Times New Roman" w:hAnsi="Times New Roman" w:hint="eastAsia"/>
          <w:color w:val="000000"/>
        </w:rPr>
        <w:t>份额累计净值增长率与业绩比较基准收益率历史走势对比图</w:t>
      </w:r>
    </w:p>
    <w:p w:rsidR="00B3456F" w:rsidRPr="002A5FBD" w:rsidRDefault="009C3047" w:rsidP="009C3047">
      <w:pPr>
        <w:pStyle w:val="a6"/>
        <w:snapToGrid w:val="0"/>
        <w:spacing w:line="360" w:lineRule="auto"/>
        <w:jc w:val="center"/>
        <w:rPr>
          <w:rFonts w:ascii="Times New Roman" w:eastAsiaTheme="minorEastAsia" w:hAnsi="Times New Roman"/>
          <w:color w:val="000000"/>
        </w:rPr>
      </w:pPr>
      <w:r w:rsidRPr="002A5FBD">
        <w:rPr>
          <w:rFonts w:ascii="Times New Roman" w:hAnsi="Times New Roman"/>
        </w:rPr>
        <w:t>（</w:t>
      </w:r>
      <w:r w:rsidRPr="002A5FBD">
        <w:rPr>
          <w:rFonts w:ascii="Times New Roman" w:hAnsi="Times New Roman"/>
        </w:rPr>
        <w:t>2019</w:t>
      </w:r>
      <w:r w:rsidRPr="002A5FBD">
        <w:rPr>
          <w:rFonts w:ascii="Times New Roman" w:hAnsi="Times New Roman"/>
        </w:rPr>
        <w:t>年</w:t>
      </w:r>
      <w:r w:rsidRPr="002A5FBD">
        <w:rPr>
          <w:rFonts w:ascii="Times New Roman" w:hAnsi="Times New Roman"/>
        </w:rPr>
        <w:t>1</w:t>
      </w:r>
      <w:r w:rsidRPr="002A5FBD">
        <w:rPr>
          <w:rFonts w:ascii="Times New Roman" w:hAnsi="Times New Roman"/>
        </w:rPr>
        <w:t>月</w:t>
      </w:r>
      <w:r w:rsidRPr="002A5FBD">
        <w:rPr>
          <w:rFonts w:ascii="Times New Roman" w:hAnsi="Times New Roman"/>
        </w:rPr>
        <w:t>18</w:t>
      </w:r>
      <w:r w:rsidRPr="002A5FBD">
        <w:rPr>
          <w:rFonts w:ascii="Times New Roman" w:hAnsi="Times New Roman"/>
        </w:rPr>
        <w:t>日至</w:t>
      </w:r>
      <w:r w:rsidRPr="002A5FBD">
        <w:rPr>
          <w:rFonts w:ascii="Times New Roman" w:hAnsi="Times New Roman"/>
        </w:rPr>
        <w:t>2020</w:t>
      </w:r>
      <w:r w:rsidRPr="002A5FBD">
        <w:rPr>
          <w:rFonts w:ascii="Times New Roman" w:hAnsi="Times New Roman"/>
        </w:rPr>
        <w:t>年</w:t>
      </w:r>
      <w:r w:rsidRPr="002A5FBD">
        <w:rPr>
          <w:rFonts w:ascii="Times New Roman" w:hAnsi="Times New Roman"/>
        </w:rPr>
        <w:t>6</w:t>
      </w:r>
      <w:r w:rsidRPr="002A5FBD">
        <w:rPr>
          <w:rFonts w:ascii="Times New Roman" w:hAnsi="Times New Roman"/>
        </w:rPr>
        <w:t>月</w:t>
      </w:r>
      <w:r w:rsidRPr="002A5FBD">
        <w:rPr>
          <w:rFonts w:ascii="Times New Roman" w:hAnsi="Times New Roman"/>
        </w:rPr>
        <w:t>30</w:t>
      </w:r>
      <w:r w:rsidRPr="002A5FBD">
        <w:rPr>
          <w:rFonts w:ascii="Times New Roman" w:hAnsi="Times New Roman"/>
        </w:rPr>
        <w:t>日）</w:t>
      </w:r>
    </w:p>
    <w:p w:rsidR="00D0262B" w:rsidRDefault="0038047C" w:rsidP="00B3456F">
      <w:pPr>
        <w:pStyle w:val="21"/>
        <w:spacing w:line="288" w:lineRule="auto"/>
        <w:ind w:firstLineChars="0" w:firstLine="0"/>
        <w:jc w:val="left"/>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易方达中证海外中国互联网</w:t>
      </w:r>
      <w:r w:rsidRPr="00C24ACA">
        <w:rPr>
          <w:rFonts w:ascii="Times New Roman" w:eastAsiaTheme="minorEastAsia" w:hAnsi="Times New Roman"/>
          <w:color w:val="auto"/>
          <w:sz w:val="21"/>
          <w:szCs w:val="21"/>
        </w:rPr>
        <w:t>50ETF</w:t>
      </w:r>
      <w:r w:rsidRPr="00C24ACA">
        <w:rPr>
          <w:rFonts w:ascii="Times New Roman" w:eastAsiaTheme="minorEastAsia" w:hAnsi="Times New Roman"/>
          <w:color w:val="auto"/>
          <w:sz w:val="21"/>
          <w:szCs w:val="21"/>
        </w:rPr>
        <w:t>联接（</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A</w:t>
      </w:r>
    </w:p>
    <w:p w:rsidR="00E039F9" w:rsidRPr="00C24ACA" w:rsidRDefault="00DE6FC0" w:rsidP="00E039F9">
      <w:pPr>
        <w:pStyle w:val="a6"/>
        <w:snapToGrid w:val="0"/>
        <w:spacing w:line="360" w:lineRule="auto"/>
        <w:ind w:firstLine="480"/>
        <w:jc w:val="center"/>
        <w:rPr>
          <w:rFonts w:ascii="Times New Roman" w:eastAsiaTheme="minorEastAsia" w:hAnsi="Times New Roman"/>
          <w:color w:val="000000"/>
        </w:rPr>
      </w:pPr>
      <w:r w:rsidRPr="00C24ACA">
        <w:rPr>
          <w:rFonts w:eastAsiaTheme="minorEastAsia"/>
          <w:noProof/>
          <w:color w:val="000000"/>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DB344D" w:rsidRDefault="00E039F9" w:rsidP="00DB344D">
      <w:pPr>
        <w:pStyle w:val="21"/>
        <w:spacing w:line="288" w:lineRule="auto"/>
        <w:ind w:firstLineChars="0" w:firstLine="0"/>
        <w:jc w:val="left"/>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易方达中证海外中国互联网</w:t>
      </w:r>
      <w:r w:rsidRPr="00C24ACA">
        <w:rPr>
          <w:rFonts w:ascii="Times New Roman" w:eastAsiaTheme="minorEastAsia" w:hAnsi="Times New Roman"/>
          <w:color w:val="auto"/>
          <w:sz w:val="21"/>
          <w:szCs w:val="21"/>
        </w:rPr>
        <w:t>50ETF</w:t>
      </w:r>
      <w:r w:rsidRPr="00C24ACA">
        <w:rPr>
          <w:rFonts w:ascii="Times New Roman" w:eastAsiaTheme="minorEastAsia" w:hAnsi="Times New Roman"/>
          <w:color w:val="auto"/>
          <w:sz w:val="21"/>
          <w:szCs w:val="21"/>
        </w:rPr>
        <w:t>联接（</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C</w:t>
      </w:r>
      <w:r w:rsidR="00CB6FD3" w:rsidRPr="00CB6FD3">
        <w:rPr>
          <w:rFonts w:eastAsiaTheme="minorEastAsia"/>
          <w:noProof/>
          <w:color w:val="000000"/>
        </w:rPr>
        <w:t xml:space="preserve"> </w:t>
      </w:r>
    </w:p>
    <w:p w:rsidR="00E039F9" w:rsidRPr="00C24ACA" w:rsidRDefault="00CB6FD3" w:rsidP="00DB344D">
      <w:pPr>
        <w:pStyle w:val="21"/>
        <w:spacing w:line="288" w:lineRule="auto"/>
        <w:ind w:firstLineChars="0" w:firstLine="0"/>
        <w:jc w:val="center"/>
        <w:rPr>
          <w:rFonts w:ascii="Times New Roman" w:eastAsiaTheme="minorEastAsia" w:hAnsi="Times New Roman"/>
          <w:color w:val="000000"/>
        </w:rPr>
      </w:pPr>
      <w:r w:rsidRPr="00C24ACA">
        <w:rPr>
          <w:rFonts w:eastAsiaTheme="minorEastAsia"/>
          <w:noProof/>
          <w:color w:val="000000"/>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按基金合同和招募说明书的约定，本基金的建仓期为六个月，建仓期结束时各项资产配置比例符合基金合同（第十二部分二、投资范围，三、投资策略和四、投资限制）的有关约定。</w:t>
      </w:r>
    </w:p>
    <w:p w:rsidR="00FC6E91" w:rsidRPr="00C24ACA" w:rsidRDefault="00FC6E91"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2.</w:t>
      </w:r>
      <w:r w:rsidRPr="00C24ACA">
        <w:rPr>
          <w:rFonts w:eastAsiaTheme="minorEastAsia"/>
          <w:kern w:val="0"/>
          <w:szCs w:val="21"/>
        </w:rPr>
        <w:t>自基金合同生效至报告期末，</w:t>
      </w:r>
      <w:r w:rsidRPr="00C24ACA">
        <w:rPr>
          <w:rFonts w:eastAsiaTheme="minorEastAsia"/>
          <w:kern w:val="0"/>
          <w:szCs w:val="21"/>
        </w:rPr>
        <w:t>A</w:t>
      </w:r>
      <w:r w:rsidRPr="00C24ACA">
        <w:rPr>
          <w:rFonts w:eastAsiaTheme="minorEastAsia"/>
          <w:kern w:val="0"/>
          <w:szCs w:val="21"/>
        </w:rPr>
        <w:t>类基金份额净值增长率为</w:t>
      </w:r>
      <w:r w:rsidRPr="00C24ACA">
        <w:rPr>
          <w:rFonts w:eastAsiaTheme="minorEastAsia"/>
          <w:kern w:val="0"/>
          <w:szCs w:val="21"/>
        </w:rPr>
        <w:t>39.23%</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类基金份额净值增长率为</w:t>
      </w:r>
      <w:r w:rsidRPr="00C24ACA">
        <w:rPr>
          <w:rFonts w:eastAsiaTheme="minorEastAsia"/>
          <w:kern w:val="0"/>
          <w:szCs w:val="21"/>
        </w:rPr>
        <w:t>37.79%</w:t>
      </w:r>
      <w:r w:rsidRPr="00C24ACA">
        <w:rPr>
          <w:rFonts w:eastAsiaTheme="minorEastAsia"/>
          <w:kern w:val="0"/>
          <w:szCs w:val="21"/>
        </w:rPr>
        <w:t>，同期业绩比较基准收益率为</w:t>
      </w:r>
      <w:r w:rsidRPr="00C24ACA">
        <w:rPr>
          <w:rFonts w:eastAsiaTheme="minorEastAsia"/>
          <w:kern w:val="0"/>
          <w:szCs w:val="21"/>
        </w:rPr>
        <w:t>57.47%</w:t>
      </w:r>
      <w:r w:rsidRPr="00C24ACA">
        <w:rPr>
          <w:rFonts w:eastAsiaTheme="minorEastAsia"/>
          <w:kern w:val="0"/>
          <w:szCs w:val="21"/>
        </w:rPr>
        <w:t>。</w:t>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80" w:name="_Toc225498254"/>
      <w:bookmarkStart w:id="81" w:name="_Toc352255971"/>
      <w:bookmarkStart w:id="82" w:name="_Toc352256039"/>
      <w:bookmarkStart w:id="83" w:name="_Toc352331217"/>
      <w:bookmarkStart w:id="84" w:name="_Toc390164802"/>
      <w:bookmarkStart w:id="85" w:name="_Toc48659034"/>
      <w:r w:rsidRPr="000C6CCD">
        <w:rPr>
          <w:rFonts w:ascii="宋体" w:hAnsi="宋体"/>
          <w:bCs w:val="0"/>
          <w:color w:val="000000"/>
          <w:sz w:val="21"/>
          <w:szCs w:val="21"/>
        </w:rPr>
        <w:t>4</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管理人报告</w:t>
      </w:r>
      <w:bookmarkEnd w:id="80"/>
      <w:bookmarkEnd w:id="81"/>
      <w:bookmarkEnd w:id="82"/>
      <w:bookmarkEnd w:id="83"/>
      <w:bookmarkEnd w:id="84"/>
      <w:bookmarkEnd w:id="85"/>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86" w:name="_Toc352255972"/>
      <w:bookmarkStart w:id="87" w:name="_Toc352256040"/>
      <w:bookmarkStart w:id="88" w:name="_Toc352331218"/>
      <w:bookmarkStart w:id="89" w:name="_Toc362423996"/>
      <w:bookmarkStart w:id="90" w:name="_Toc374459258"/>
      <w:bookmarkStart w:id="91" w:name="_Toc48659035"/>
      <w:r w:rsidRPr="0087359D">
        <w:rPr>
          <w:rFonts w:ascii="宋体" w:hAnsi="宋体"/>
          <w:kern w:val="0"/>
          <w:sz w:val="21"/>
          <w:szCs w:val="21"/>
        </w:rPr>
        <w:t>4.1</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基金管理人及基金经理情况</w:t>
      </w:r>
      <w:bookmarkEnd w:id="86"/>
      <w:bookmarkEnd w:id="87"/>
      <w:bookmarkEnd w:id="88"/>
      <w:bookmarkEnd w:id="89"/>
      <w:bookmarkEnd w:id="90"/>
      <w:bookmarkEnd w:id="91"/>
    </w:p>
    <w:p w:rsidR="00FC5407" w:rsidRPr="00C24ACA" w:rsidRDefault="00FC5407" w:rsidP="00FC5407">
      <w:pPr>
        <w:autoSpaceDE w:val="0"/>
        <w:autoSpaceDN w:val="0"/>
        <w:adjustRightInd w:val="0"/>
        <w:spacing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4.1.1 </w:t>
      </w:r>
      <w:r w:rsidRPr="00C24ACA">
        <w:rPr>
          <w:rFonts w:eastAsiaTheme="minorEastAsia"/>
          <w:b/>
          <w:color w:val="000000" w:themeColor="text1"/>
          <w:kern w:val="0"/>
          <w:szCs w:val="21"/>
        </w:rPr>
        <w:t>基金管理人及其管理基金的经验</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经中国证监会证监基金字</w:t>
      </w:r>
      <w:r w:rsidRPr="008707EB">
        <w:rPr>
          <w:rFonts w:eastAsiaTheme="minorEastAsia"/>
          <w:kern w:val="0"/>
          <w:szCs w:val="21"/>
        </w:rPr>
        <w:t>[2001]4</w:t>
      </w:r>
      <w:r w:rsidRPr="008707EB">
        <w:rPr>
          <w:rFonts w:eastAsiaTheme="minorEastAsia"/>
          <w:kern w:val="0"/>
          <w:szCs w:val="21"/>
        </w:rPr>
        <w:t>号文批准，本基金管理人成立于</w:t>
      </w:r>
      <w:r w:rsidRPr="008707EB">
        <w:rPr>
          <w:rFonts w:eastAsiaTheme="minorEastAsia"/>
          <w:kern w:val="0"/>
          <w:szCs w:val="21"/>
        </w:rPr>
        <w:t>2001</w:t>
      </w:r>
      <w:r w:rsidRPr="008707EB">
        <w:rPr>
          <w:rFonts w:eastAsiaTheme="minorEastAsia"/>
          <w:kern w:val="0"/>
          <w:szCs w:val="21"/>
        </w:rPr>
        <w:t>年</w:t>
      </w:r>
      <w:r w:rsidRPr="008707EB">
        <w:rPr>
          <w:rFonts w:eastAsiaTheme="minorEastAsia"/>
          <w:kern w:val="0"/>
          <w:szCs w:val="21"/>
        </w:rPr>
        <w:t>4</w:t>
      </w:r>
      <w:r w:rsidRPr="008707EB">
        <w:rPr>
          <w:rFonts w:eastAsiaTheme="minorEastAsia"/>
          <w:kern w:val="0"/>
          <w:szCs w:val="21"/>
        </w:rPr>
        <w:t>月</w:t>
      </w:r>
      <w:r w:rsidRPr="008707EB">
        <w:rPr>
          <w:rFonts w:eastAsiaTheme="minorEastAsia"/>
          <w:kern w:val="0"/>
          <w:szCs w:val="21"/>
        </w:rPr>
        <w:t>17</w:t>
      </w:r>
      <w:r w:rsidRPr="008707EB">
        <w:rPr>
          <w:rFonts w:eastAsiaTheme="minorEastAsia"/>
          <w:kern w:val="0"/>
          <w:szCs w:val="21"/>
        </w:rPr>
        <w:t>日，总部设在广州，在北京、上海、香港等地设有分公司或子公司。本基金管理人拥有公募、社保、年金、特定客户资产管理、</w:t>
      </w:r>
      <w:r w:rsidRPr="008707EB">
        <w:rPr>
          <w:rFonts w:eastAsiaTheme="minorEastAsia"/>
          <w:kern w:val="0"/>
          <w:szCs w:val="21"/>
        </w:rPr>
        <w:t>QDII</w:t>
      </w:r>
      <w:r w:rsidRPr="008707EB">
        <w:rPr>
          <w:rFonts w:eastAsiaTheme="minorEastAsia"/>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FC5407" w:rsidRPr="00C24ACA" w:rsidRDefault="00FC5407" w:rsidP="006C64F3">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4.1.2 </w:t>
      </w:r>
      <w:r w:rsidRPr="00C24ACA">
        <w:rPr>
          <w:rFonts w:eastAsiaTheme="minorEastAsia"/>
          <w:b/>
          <w:color w:val="000000" w:themeColor="text1"/>
          <w:kern w:val="0"/>
          <w:szCs w:val="21"/>
        </w:rPr>
        <w:t>基金经理（或基金经理小组）及基金经理助理的简介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9"/>
        <w:gridCol w:w="1568"/>
        <w:gridCol w:w="1292"/>
        <w:gridCol w:w="1294"/>
        <w:gridCol w:w="1200"/>
        <w:gridCol w:w="2625"/>
      </w:tblGrid>
      <w:tr w:rsidR="00FC5407" w:rsidRPr="00C24ACA" w:rsidTr="008F4C10">
        <w:tc>
          <w:tcPr>
            <w:tcW w:w="653"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姓名</w:t>
            </w:r>
          </w:p>
        </w:tc>
        <w:tc>
          <w:tcPr>
            <w:tcW w:w="854"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职务</w:t>
            </w:r>
          </w:p>
        </w:tc>
        <w:tc>
          <w:tcPr>
            <w:tcW w:w="1409" w:type="pct"/>
            <w:gridSpan w:val="2"/>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任本基金的基金经理（助理）期限</w:t>
            </w:r>
          </w:p>
        </w:tc>
        <w:tc>
          <w:tcPr>
            <w:tcW w:w="654"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证券从业年限</w:t>
            </w:r>
          </w:p>
        </w:tc>
        <w:tc>
          <w:tcPr>
            <w:tcW w:w="1431"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说明</w:t>
            </w:r>
          </w:p>
        </w:tc>
      </w:tr>
      <w:tr w:rsidR="00FC5407" w:rsidRPr="00C24ACA" w:rsidTr="008F4C10">
        <w:tc>
          <w:tcPr>
            <w:tcW w:w="653"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854"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704" w:type="pc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任职日期</w:t>
            </w:r>
          </w:p>
        </w:tc>
        <w:tc>
          <w:tcPr>
            <w:tcW w:w="704" w:type="pc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离任日期</w:t>
            </w:r>
          </w:p>
        </w:tc>
        <w:tc>
          <w:tcPr>
            <w:tcW w:w="654"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1431"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r>
      <w:tr w:rsidR="007F3F42">
        <w:tc>
          <w:tcPr>
            <w:tcW w:w="0" w:type="auto"/>
            <w:vAlign w:val="center"/>
          </w:tcPr>
          <w:p w:rsidR="007F3F42" w:rsidRDefault="00781698">
            <w:pPr>
              <w:jc w:val="center"/>
            </w:pPr>
            <w:r>
              <w:rPr>
                <w:rFonts w:eastAsiaTheme="minorEastAsia"/>
                <w:color w:val="000000" w:themeColor="text1"/>
                <w:szCs w:val="21"/>
              </w:rPr>
              <w:t>FAN BING</w:t>
            </w:r>
            <w:r>
              <w:rPr>
                <w:rFonts w:eastAsiaTheme="minorEastAsia"/>
                <w:color w:val="000000" w:themeColor="text1"/>
                <w:szCs w:val="21"/>
              </w:rPr>
              <w:t>（范冰）</w:t>
            </w:r>
          </w:p>
        </w:tc>
        <w:tc>
          <w:tcPr>
            <w:tcW w:w="0" w:type="auto"/>
            <w:vAlign w:val="center"/>
          </w:tcPr>
          <w:p w:rsidR="007F3F42" w:rsidRDefault="00781698">
            <w:pPr>
              <w:jc w:val="left"/>
            </w:pPr>
            <w:r>
              <w:rPr>
                <w:rFonts w:eastAsiaTheme="minorEastAsia"/>
                <w:color w:val="000000" w:themeColor="text1"/>
                <w:szCs w:val="21"/>
              </w:rPr>
              <w:t>本基金的基金经理、易方达标普全球高端消费品指数增强型证券投资基金的基金经理（自</w:t>
            </w:r>
            <w:r>
              <w:rPr>
                <w:rFonts w:eastAsiaTheme="minorEastAsia"/>
                <w:color w:val="000000" w:themeColor="text1"/>
                <w:szCs w:val="21"/>
              </w:rPr>
              <w:t>2017</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25</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19</w:t>
            </w:r>
            <w:r>
              <w:rPr>
                <w:rFonts w:eastAsiaTheme="minorEastAsia"/>
                <w:color w:val="000000" w:themeColor="text1"/>
                <w:szCs w:val="21"/>
              </w:rPr>
              <w:t>日）、易方达黄金交易型开放式证券投资基金的基金经理、易方达中证海外中国互联网</w:t>
            </w:r>
            <w:r>
              <w:rPr>
                <w:rFonts w:eastAsiaTheme="minorEastAsia"/>
                <w:color w:val="000000" w:themeColor="text1"/>
                <w:szCs w:val="21"/>
              </w:rPr>
              <w:t>50</w:t>
            </w:r>
            <w:r>
              <w:rPr>
                <w:rFonts w:eastAsiaTheme="minorEastAsia"/>
                <w:color w:val="000000" w:themeColor="text1"/>
                <w:szCs w:val="21"/>
              </w:rPr>
              <w:t>交易型开放式指数证券投资基金的基金经理、易方达原油证券投资基金（</w:t>
            </w:r>
            <w:r>
              <w:rPr>
                <w:rFonts w:eastAsiaTheme="minorEastAsia"/>
                <w:color w:val="000000" w:themeColor="text1"/>
                <w:szCs w:val="21"/>
              </w:rPr>
              <w:t>QDII</w:t>
            </w:r>
            <w:r>
              <w:rPr>
                <w:rFonts w:eastAsiaTheme="minorEastAsia"/>
                <w:color w:val="000000" w:themeColor="text1"/>
                <w:szCs w:val="21"/>
              </w:rPr>
              <w:t>）的基金经理、易方达标普信息科技指数证券投资基金（</w:t>
            </w:r>
            <w:r>
              <w:rPr>
                <w:rFonts w:eastAsiaTheme="minorEastAsia"/>
                <w:color w:val="000000" w:themeColor="text1"/>
                <w:szCs w:val="21"/>
              </w:rPr>
              <w:t>LOF</w:t>
            </w:r>
            <w:r>
              <w:rPr>
                <w:rFonts w:eastAsiaTheme="minorEastAsia"/>
                <w:color w:val="000000" w:themeColor="text1"/>
                <w:szCs w:val="21"/>
              </w:rPr>
              <w:t>）的基金经理、易方达标普生物科技指数证券投资基金（</w:t>
            </w:r>
            <w:r>
              <w:rPr>
                <w:rFonts w:eastAsiaTheme="minorEastAsia"/>
                <w:color w:val="000000" w:themeColor="text1"/>
                <w:szCs w:val="21"/>
              </w:rPr>
              <w:t>LOF</w:t>
            </w:r>
            <w:r>
              <w:rPr>
                <w:rFonts w:eastAsiaTheme="minorEastAsia"/>
                <w:color w:val="000000" w:themeColor="text1"/>
                <w:szCs w:val="21"/>
              </w:rPr>
              <w:t>）的基金经理、易方达标普</w:t>
            </w:r>
            <w:r>
              <w:rPr>
                <w:rFonts w:eastAsiaTheme="minorEastAsia"/>
                <w:color w:val="000000" w:themeColor="text1"/>
                <w:szCs w:val="21"/>
              </w:rPr>
              <w:t>500</w:t>
            </w:r>
            <w:r>
              <w:rPr>
                <w:rFonts w:eastAsiaTheme="minorEastAsia"/>
                <w:color w:val="000000" w:themeColor="text1"/>
                <w:szCs w:val="21"/>
              </w:rPr>
              <w:t>指数证券投资基金（</w:t>
            </w:r>
            <w:r>
              <w:rPr>
                <w:rFonts w:eastAsiaTheme="minorEastAsia"/>
                <w:color w:val="000000" w:themeColor="text1"/>
                <w:szCs w:val="21"/>
              </w:rPr>
              <w:t>LOF</w:t>
            </w:r>
            <w:r>
              <w:rPr>
                <w:rFonts w:eastAsiaTheme="minorEastAsia"/>
                <w:color w:val="000000" w:themeColor="text1"/>
                <w:szCs w:val="21"/>
              </w:rPr>
              <w:t>）的基金经理、易方达标普医疗保健指数证券投资基金（</w:t>
            </w:r>
            <w:r>
              <w:rPr>
                <w:rFonts w:eastAsiaTheme="minorEastAsia"/>
                <w:color w:val="000000" w:themeColor="text1"/>
                <w:szCs w:val="21"/>
              </w:rPr>
              <w:t>LOF</w:t>
            </w:r>
            <w:r>
              <w:rPr>
                <w:rFonts w:eastAsiaTheme="minorEastAsia"/>
                <w:color w:val="000000" w:themeColor="text1"/>
                <w:szCs w:val="21"/>
              </w:rPr>
              <w:t>）的基金经理、易方达黄金交易型开放式证券投资基金联接基金的基金经理、易方达纳斯达克</w:t>
            </w:r>
            <w:r>
              <w:rPr>
                <w:rFonts w:eastAsiaTheme="minorEastAsia"/>
                <w:color w:val="000000" w:themeColor="text1"/>
                <w:szCs w:val="21"/>
              </w:rPr>
              <w:t>100</w:t>
            </w:r>
            <w:r>
              <w:rPr>
                <w:rFonts w:eastAsiaTheme="minorEastAsia"/>
                <w:color w:val="000000" w:themeColor="text1"/>
                <w:szCs w:val="21"/>
              </w:rPr>
              <w:t>指数证券投资基金（</w:t>
            </w:r>
            <w:r>
              <w:rPr>
                <w:rFonts w:eastAsiaTheme="minorEastAsia"/>
                <w:color w:val="000000" w:themeColor="text1"/>
                <w:szCs w:val="21"/>
              </w:rPr>
              <w:t>LOF</w:t>
            </w:r>
            <w:r>
              <w:rPr>
                <w:rFonts w:eastAsiaTheme="minorEastAsia"/>
                <w:color w:val="000000" w:themeColor="text1"/>
                <w:szCs w:val="21"/>
              </w:rPr>
              <w:t>）的基金经理、易方达</w:t>
            </w:r>
            <w:r>
              <w:rPr>
                <w:rFonts w:eastAsiaTheme="minorEastAsia"/>
                <w:color w:val="000000" w:themeColor="text1"/>
                <w:szCs w:val="21"/>
              </w:rPr>
              <w:t>MSCI</w:t>
            </w:r>
            <w:r>
              <w:rPr>
                <w:rFonts w:eastAsiaTheme="minorEastAsia"/>
                <w:color w:val="000000" w:themeColor="text1"/>
                <w:szCs w:val="21"/>
              </w:rPr>
              <w:t>中国</w:t>
            </w:r>
            <w:r>
              <w:rPr>
                <w:rFonts w:eastAsiaTheme="minorEastAsia"/>
                <w:color w:val="000000" w:themeColor="text1"/>
                <w:szCs w:val="21"/>
              </w:rPr>
              <w:t>A</w:t>
            </w:r>
            <w:r>
              <w:rPr>
                <w:rFonts w:eastAsiaTheme="minorEastAsia"/>
                <w:color w:val="000000" w:themeColor="text1"/>
                <w:szCs w:val="21"/>
              </w:rPr>
              <w:t>股国际通交易型开放式指数证券投资基金的基金经理、易方达</w:t>
            </w:r>
            <w:r>
              <w:rPr>
                <w:rFonts w:eastAsiaTheme="minorEastAsia"/>
                <w:color w:val="000000" w:themeColor="text1"/>
                <w:szCs w:val="21"/>
              </w:rPr>
              <w:t>MSCI</w:t>
            </w:r>
            <w:r>
              <w:rPr>
                <w:rFonts w:eastAsiaTheme="minorEastAsia"/>
                <w:color w:val="000000" w:themeColor="text1"/>
                <w:szCs w:val="21"/>
              </w:rPr>
              <w:t>中国</w:t>
            </w:r>
            <w:r>
              <w:rPr>
                <w:rFonts w:eastAsiaTheme="minorEastAsia"/>
                <w:color w:val="000000" w:themeColor="text1"/>
                <w:szCs w:val="21"/>
              </w:rPr>
              <w:t>A</w:t>
            </w:r>
            <w:r>
              <w:rPr>
                <w:rFonts w:eastAsiaTheme="minorEastAsia"/>
                <w:color w:val="000000" w:themeColor="text1"/>
                <w:szCs w:val="21"/>
              </w:rPr>
              <w:t>股国际通交易型开放式指数证券投资基金发起式联接基金的基金经理、易方达日兴资管日经</w:t>
            </w:r>
            <w:r>
              <w:rPr>
                <w:rFonts w:eastAsiaTheme="minorEastAsia"/>
                <w:color w:val="000000" w:themeColor="text1"/>
                <w:szCs w:val="21"/>
              </w:rPr>
              <w:t>225</w:t>
            </w:r>
            <w:r>
              <w:rPr>
                <w:rFonts w:eastAsiaTheme="minorEastAsia"/>
                <w:color w:val="000000" w:themeColor="text1"/>
                <w:szCs w:val="21"/>
              </w:rPr>
              <w:t>交易型开放式指数证券投资基金（</w:t>
            </w:r>
            <w:r>
              <w:rPr>
                <w:rFonts w:eastAsiaTheme="minorEastAsia"/>
                <w:color w:val="000000" w:themeColor="text1"/>
                <w:szCs w:val="21"/>
              </w:rPr>
              <w:t>QDII</w:t>
            </w:r>
            <w:r>
              <w:rPr>
                <w:rFonts w:eastAsiaTheme="minorEastAsia"/>
                <w:color w:val="000000" w:themeColor="text1"/>
                <w:szCs w:val="21"/>
              </w:rPr>
              <w:t>）的基金经理、易方达中证香港证券投资主题交易型开放式指数证券投资基金的基金经理</w:t>
            </w:r>
          </w:p>
        </w:tc>
        <w:tc>
          <w:tcPr>
            <w:tcW w:w="0" w:type="auto"/>
            <w:vAlign w:val="center"/>
          </w:tcPr>
          <w:p w:rsidR="007F3F42" w:rsidRDefault="00781698">
            <w:pPr>
              <w:jc w:val="center"/>
            </w:pPr>
            <w:r>
              <w:rPr>
                <w:rFonts w:eastAsiaTheme="minorEastAsia"/>
                <w:color w:val="000000" w:themeColor="text1"/>
                <w:szCs w:val="21"/>
              </w:rPr>
              <w:t>2019-01-18</w:t>
            </w:r>
          </w:p>
        </w:tc>
        <w:tc>
          <w:tcPr>
            <w:tcW w:w="0" w:type="auto"/>
            <w:vAlign w:val="center"/>
          </w:tcPr>
          <w:p w:rsidR="007F3F42" w:rsidRDefault="00781698">
            <w:pPr>
              <w:jc w:val="center"/>
            </w:pPr>
            <w:r>
              <w:rPr>
                <w:rFonts w:eastAsiaTheme="minorEastAsia"/>
                <w:color w:val="000000" w:themeColor="text1"/>
                <w:szCs w:val="21"/>
              </w:rPr>
              <w:t>-</w:t>
            </w:r>
          </w:p>
        </w:tc>
        <w:tc>
          <w:tcPr>
            <w:tcW w:w="0" w:type="auto"/>
            <w:vAlign w:val="center"/>
          </w:tcPr>
          <w:p w:rsidR="007F3F42" w:rsidRDefault="00781698">
            <w:pPr>
              <w:jc w:val="center"/>
            </w:pPr>
            <w:r>
              <w:rPr>
                <w:rFonts w:eastAsiaTheme="minorEastAsia"/>
                <w:color w:val="000000" w:themeColor="text1"/>
                <w:szCs w:val="21"/>
              </w:rPr>
              <w:t>15</w:t>
            </w:r>
            <w:r>
              <w:rPr>
                <w:rFonts w:eastAsiaTheme="minorEastAsia"/>
                <w:color w:val="000000" w:themeColor="text1"/>
                <w:szCs w:val="21"/>
              </w:rPr>
              <w:t>年</w:t>
            </w:r>
          </w:p>
        </w:tc>
        <w:tc>
          <w:tcPr>
            <w:tcW w:w="0" w:type="auto"/>
            <w:vAlign w:val="center"/>
          </w:tcPr>
          <w:p w:rsidR="007F3F42" w:rsidRDefault="00781698">
            <w:pPr>
              <w:jc w:val="left"/>
            </w:pPr>
            <w:r>
              <w:rPr>
                <w:rFonts w:eastAsiaTheme="minorEastAsia"/>
                <w:color w:val="000000" w:themeColor="text1"/>
                <w:szCs w:val="21"/>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w:t>
            </w:r>
          </w:p>
        </w:tc>
      </w:tr>
      <w:tr w:rsidR="007F3F42">
        <w:tc>
          <w:tcPr>
            <w:tcW w:w="0" w:type="auto"/>
            <w:vAlign w:val="center"/>
          </w:tcPr>
          <w:p w:rsidR="007F3F42" w:rsidRDefault="00781698">
            <w:pPr>
              <w:jc w:val="center"/>
            </w:pPr>
            <w:r>
              <w:rPr>
                <w:rFonts w:eastAsiaTheme="minorEastAsia"/>
                <w:color w:val="000000" w:themeColor="text1"/>
                <w:szCs w:val="21"/>
              </w:rPr>
              <w:t>余海燕</w:t>
            </w:r>
          </w:p>
        </w:tc>
        <w:tc>
          <w:tcPr>
            <w:tcW w:w="0" w:type="auto"/>
            <w:vAlign w:val="center"/>
          </w:tcPr>
          <w:p w:rsidR="007F3F42" w:rsidRDefault="00781698">
            <w:pPr>
              <w:jc w:val="left"/>
            </w:pPr>
            <w:r>
              <w:rPr>
                <w:rFonts w:eastAsiaTheme="minorEastAsia"/>
                <w:color w:val="000000" w:themeColor="text1"/>
                <w:szCs w:val="21"/>
              </w:rPr>
              <w:t>本基金的基金经理、易方达沪深</w:t>
            </w:r>
            <w:r>
              <w:rPr>
                <w:rFonts w:eastAsiaTheme="minorEastAsia"/>
                <w:color w:val="000000" w:themeColor="text1"/>
                <w:szCs w:val="21"/>
              </w:rPr>
              <w:t>300</w:t>
            </w:r>
            <w:r>
              <w:rPr>
                <w:rFonts w:eastAsiaTheme="minorEastAsia"/>
                <w:color w:val="000000" w:themeColor="text1"/>
                <w:szCs w:val="21"/>
              </w:rPr>
              <w:t>医药卫生交易型开放式指数证券投资基金的基金经理、易方达沪深</w:t>
            </w:r>
            <w:r>
              <w:rPr>
                <w:rFonts w:eastAsiaTheme="minorEastAsia"/>
                <w:color w:val="000000" w:themeColor="text1"/>
                <w:szCs w:val="21"/>
              </w:rPr>
              <w:t>300</w:t>
            </w:r>
            <w:r>
              <w:rPr>
                <w:rFonts w:eastAsiaTheme="minorEastAsia"/>
                <w:color w:val="000000" w:themeColor="text1"/>
                <w:szCs w:val="21"/>
              </w:rPr>
              <w:t>非银行金融交易型开放式指数证券投资基金的基金经理、易方达沪深</w:t>
            </w:r>
            <w:r>
              <w:rPr>
                <w:rFonts w:eastAsiaTheme="minorEastAsia"/>
                <w:color w:val="000000" w:themeColor="text1"/>
                <w:szCs w:val="21"/>
              </w:rPr>
              <w:t>300</w:t>
            </w:r>
            <w:r>
              <w:rPr>
                <w:rFonts w:eastAsiaTheme="minorEastAsia"/>
                <w:color w:val="000000" w:themeColor="text1"/>
                <w:szCs w:val="21"/>
              </w:rPr>
              <w:t>非银行金融交易型开放式指数证券投资基金联接基金的基金经理、易方达上证</w:t>
            </w:r>
            <w:r>
              <w:rPr>
                <w:rFonts w:eastAsiaTheme="minorEastAsia"/>
                <w:color w:val="000000" w:themeColor="text1"/>
                <w:szCs w:val="21"/>
              </w:rPr>
              <w:t>50</w:t>
            </w:r>
            <w:r>
              <w:rPr>
                <w:rFonts w:eastAsiaTheme="minorEastAsia"/>
                <w:color w:val="000000" w:themeColor="text1"/>
                <w:szCs w:val="21"/>
              </w:rPr>
              <w:t>指数分级证券投资基金的基金经理、易方达国企改革指数分级证券投资基金的基金经理、易方达证券公司指数分级证券投资基金的基金经理、易方达军工指数分级证券投资基金的基金经理、易方达中证</w:t>
            </w:r>
            <w:r>
              <w:rPr>
                <w:rFonts w:eastAsiaTheme="minorEastAsia"/>
                <w:color w:val="000000" w:themeColor="text1"/>
                <w:szCs w:val="21"/>
              </w:rPr>
              <w:t>500</w:t>
            </w:r>
            <w:r>
              <w:rPr>
                <w:rFonts w:eastAsiaTheme="minorEastAsia"/>
                <w:color w:val="000000" w:themeColor="text1"/>
                <w:szCs w:val="21"/>
              </w:rPr>
              <w:t>交易型开放式指数证券投资基金的基金经理、易方达沪深</w:t>
            </w:r>
            <w:r>
              <w:rPr>
                <w:rFonts w:eastAsiaTheme="minorEastAsia"/>
                <w:color w:val="000000" w:themeColor="text1"/>
                <w:szCs w:val="21"/>
              </w:rPr>
              <w:t>300</w:t>
            </w:r>
            <w:r>
              <w:rPr>
                <w:rFonts w:eastAsiaTheme="minorEastAsia"/>
                <w:color w:val="000000" w:themeColor="text1"/>
                <w:szCs w:val="21"/>
              </w:rPr>
              <w:t>交易型开放式指数发起式证券投资基金联接基金的基金经理、易方达沪深</w:t>
            </w:r>
            <w:r>
              <w:rPr>
                <w:rFonts w:eastAsiaTheme="minorEastAsia"/>
                <w:color w:val="000000" w:themeColor="text1"/>
                <w:szCs w:val="21"/>
              </w:rPr>
              <w:t>300</w:t>
            </w:r>
            <w:r>
              <w:rPr>
                <w:rFonts w:eastAsiaTheme="minorEastAsia"/>
                <w:color w:val="000000" w:themeColor="text1"/>
                <w:szCs w:val="21"/>
              </w:rPr>
              <w:t>交易型开放式指数发起式证券投资基金的基金经理、易方达中证海外中国互联网</w:t>
            </w:r>
            <w:r>
              <w:rPr>
                <w:rFonts w:eastAsiaTheme="minorEastAsia"/>
                <w:color w:val="000000" w:themeColor="text1"/>
                <w:szCs w:val="21"/>
              </w:rPr>
              <w:t>50</w:t>
            </w:r>
            <w:r>
              <w:rPr>
                <w:rFonts w:eastAsiaTheme="minorEastAsia"/>
                <w:color w:val="000000" w:themeColor="text1"/>
                <w:szCs w:val="21"/>
              </w:rPr>
              <w:t>交易型开放式指数证券投资基金的基金经理、易方达中证军工交易型开放式指数证券投资基金的基金经理、易方达中证全指证券公司交易型开放式指数证券投资基金的基金经理、易方达沪深</w:t>
            </w:r>
            <w:r>
              <w:rPr>
                <w:rFonts w:eastAsiaTheme="minorEastAsia"/>
                <w:color w:val="000000" w:themeColor="text1"/>
                <w:szCs w:val="21"/>
              </w:rPr>
              <w:t>300</w:t>
            </w:r>
            <w:r>
              <w:rPr>
                <w:rFonts w:eastAsiaTheme="minorEastAsia"/>
                <w:color w:val="000000" w:themeColor="text1"/>
                <w:szCs w:val="21"/>
              </w:rPr>
              <w:t>医药卫生交易型开放式指数证券投资基金联接基金的基金经理、易方达恒生中国企业交易型开放式指数证券投资基金的基金经理、易方达黄金交易型开放式证券投资基金的基金经理、易方达黄金交易型开放式证券投资基金联接基金的基金经理、易方达恒生中国企业交易型开放式指数证券投资基金联接基金的基金经理、易方达中证</w:t>
            </w:r>
            <w:r>
              <w:rPr>
                <w:rFonts w:eastAsiaTheme="minorEastAsia"/>
                <w:color w:val="000000" w:themeColor="text1"/>
                <w:szCs w:val="21"/>
              </w:rPr>
              <w:t>500</w:t>
            </w:r>
            <w:r>
              <w:rPr>
                <w:rFonts w:eastAsiaTheme="minorEastAsia"/>
                <w:color w:val="000000" w:themeColor="text1"/>
                <w:szCs w:val="21"/>
              </w:rPr>
              <w:t>交易型开放式指数证券投资基金发起式联接基金的基金经理、易方达日兴资管日经</w:t>
            </w:r>
            <w:r>
              <w:rPr>
                <w:rFonts w:eastAsiaTheme="minorEastAsia"/>
                <w:color w:val="000000" w:themeColor="text1"/>
                <w:szCs w:val="21"/>
              </w:rPr>
              <w:t>225</w:t>
            </w:r>
            <w:r>
              <w:rPr>
                <w:rFonts w:eastAsiaTheme="minorEastAsia"/>
                <w:color w:val="000000" w:themeColor="text1"/>
                <w:szCs w:val="21"/>
              </w:rPr>
              <w:t>交易型开放式指数证券投资基金（</w:t>
            </w:r>
            <w:r>
              <w:rPr>
                <w:rFonts w:eastAsiaTheme="minorEastAsia"/>
                <w:color w:val="000000" w:themeColor="text1"/>
                <w:szCs w:val="21"/>
              </w:rPr>
              <w:t>QDII</w:t>
            </w:r>
            <w:r>
              <w:rPr>
                <w:rFonts w:eastAsiaTheme="minorEastAsia"/>
                <w:color w:val="000000" w:themeColor="text1"/>
                <w:szCs w:val="21"/>
              </w:rPr>
              <w:t>）的基金经理、易方达上证</w:t>
            </w:r>
            <w:r>
              <w:rPr>
                <w:rFonts w:eastAsiaTheme="minorEastAsia"/>
                <w:color w:val="000000" w:themeColor="text1"/>
                <w:szCs w:val="21"/>
              </w:rPr>
              <w:t>50</w:t>
            </w:r>
            <w:r>
              <w:rPr>
                <w:rFonts w:eastAsiaTheme="minorEastAsia"/>
                <w:color w:val="000000" w:themeColor="text1"/>
                <w:szCs w:val="21"/>
              </w:rPr>
              <w:t>交易型开放式指数证券投资基金的基金经理、易方达上证</w:t>
            </w:r>
            <w:r>
              <w:rPr>
                <w:rFonts w:eastAsiaTheme="minorEastAsia"/>
                <w:color w:val="000000" w:themeColor="text1"/>
                <w:szCs w:val="21"/>
              </w:rPr>
              <w:t>50</w:t>
            </w:r>
            <w:r>
              <w:rPr>
                <w:rFonts w:eastAsiaTheme="minorEastAsia"/>
                <w:color w:val="000000" w:themeColor="text1"/>
                <w:szCs w:val="21"/>
              </w:rPr>
              <w:t>交易型开放式指数证券投资基金发起式联接基金的基金经理、指数投资部副总经理、指数投资决策委员会委员</w:t>
            </w:r>
          </w:p>
        </w:tc>
        <w:tc>
          <w:tcPr>
            <w:tcW w:w="0" w:type="auto"/>
            <w:vAlign w:val="center"/>
          </w:tcPr>
          <w:p w:rsidR="007F3F42" w:rsidRDefault="00781698">
            <w:pPr>
              <w:jc w:val="center"/>
            </w:pPr>
            <w:r>
              <w:rPr>
                <w:rFonts w:eastAsiaTheme="minorEastAsia"/>
                <w:color w:val="000000" w:themeColor="text1"/>
                <w:szCs w:val="21"/>
              </w:rPr>
              <w:t>2019-01-18</w:t>
            </w:r>
          </w:p>
        </w:tc>
        <w:tc>
          <w:tcPr>
            <w:tcW w:w="0" w:type="auto"/>
            <w:vAlign w:val="center"/>
          </w:tcPr>
          <w:p w:rsidR="007F3F42" w:rsidRDefault="00781698">
            <w:pPr>
              <w:jc w:val="center"/>
            </w:pPr>
            <w:r>
              <w:rPr>
                <w:rFonts w:eastAsiaTheme="minorEastAsia"/>
                <w:color w:val="000000" w:themeColor="text1"/>
                <w:szCs w:val="21"/>
              </w:rPr>
              <w:t>-</w:t>
            </w:r>
          </w:p>
        </w:tc>
        <w:tc>
          <w:tcPr>
            <w:tcW w:w="0" w:type="auto"/>
            <w:vAlign w:val="center"/>
          </w:tcPr>
          <w:p w:rsidR="007F3F42" w:rsidRDefault="00781698">
            <w:pPr>
              <w:jc w:val="center"/>
            </w:pPr>
            <w:r>
              <w:rPr>
                <w:rFonts w:eastAsiaTheme="minorEastAsia"/>
                <w:color w:val="000000" w:themeColor="text1"/>
                <w:szCs w:val="21"/>
              </w:rPr>
              <w:t>15</w:t>
            </w:r>
            <w:r>
              <w:rPr>
                <w:rFonts w:eastAsiaTheme="minorEastAsia"/>
                <w:color w:val="000000" w:themeColor="text1"/>
                <w:szCs w:val="21"/>
              </w:rPr>
              <w:t>年</w:t>
            </w:r>
          </w:p>
        </w:tc>
        <w:tc>
          <w:tcPr>
            <w:tcW w:w="0" w:type="auto"/>
            <w:vAlign w:val="center"/>
          </w:tcPr>
          <w:p w:rsidR="007F3F42" w:rsidRDefault="00781698">
            <w:pPr>
              <w:jc w:val="left"/>
            </w:pPr>
            <w:r>
              <w:rPr>
                <w:rFonts w:eastAsiaTheme="minorEastAsia"/>
                <w:color w:val="000000" w:themeColor="text1"/>
                <w:szCs w:val="21"/>
              </w:rPr>
              <w:t>硕士研究生，具有基金从业资格。曾任汇丰银行</w:t>
            </w:r>
            <w:r>
              <w:rPr>
                <w:rFonts w:eastAsiaTheme="minorEastAsia"/>
                <w:color w:val="000000" w:themeColor="text1"/>
                <w:szCs w:val="21"/>
              </w:rPr>
              <w:t>Consumer Credit Risk</w:t>
            </w:r>
            <w:r>
              <w:rPr>
                <w:rFonts w:eastAsiaTheme="minorEastAsia"/>
                <w:color w:val="000000" w:themeColor="text1"/>
                <w:szCs w:val="21"/>
              </w:rPr>
              <w:t>信用风险分析师，华宝兴业基金管理有限公司分析师、基金经理助理、基金经理，易方达基金管理有限公司投资发展部产品经理。</w:t>
            </w:r>
          </w:p>
        </w:tc>
      </w:tr>
    </w:tbl>
    <w:p w:rsidR="007F3F42" w:rsidRDefault="00781698">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0A1449" w:rsidRDefault="00FC5407" w:rsidP="000A1449">
      <w:pPr>
        <w:tabs>
          <w:tab w:val="left" w:pos="426"/>
        </w:tabs>
        <w:spacing w:line="360" w:lineRule="auto"/>
        <w:ind w:firstLineChars="200" w:firstLine="420"/>
        <w:rPr>
          <w:kern w:val="0"/>
          <w:szCs w:val="21"/>
        </w:rPr>
      </w:pPr>
      <w:r w:rsidRPr="008707EB">
        <w:rPr>
          <w:rFonts w:eastAsiaTheme="minorEastAsia"/>
          <w:kern w:val="0"/>
          <w:szCs w:val="21"/>
        </w:rPr>
        <w:t>2.</w:t>
      </w:r>
      <w:r w:rsidRPr="008707EB">
        <w:rPr>
          <w:rFonts w:eastAsiaTheme="minorEastAsia"/>
          <w:kern w:val="0"/>
          <w:szCs w:val="21"/>
        </w:rPr>
        <w:t>证券从业的含义遵从《证券业从业人员资格管理办法》的相关规定。</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92" w:name="_Toc224618356"/>
      <w:bookmarkStart w:id="93" w:name="_Toc235605685"/>
      <w:bookmarkStart w:id="94" w:name="_Toc286929733"/>
      <w:bookmarkStart w:id="95" w:name="_Toc352255973"/>
      <w:bookmarkStart w:id="96" w:name="_Toc352256041"/>
      <w:bookmarkStart w:id="97" w:name="_Toc352331219"/>
      <w:bookmarkStart w:id="98" w:name="_Toc362423997"/>
      <w:bookmarkStart w:id="99" w:name="_Toc374459259"/>
      <w:bookmarkStart w:id="100" w:name="_Toc48659036"/>
      <w:r w:rsidRPr="0087359D">
        <w:rPr>
          <w:rFonts w:ascii="宋体" w:hAnsi="宋体"/>
          <w:kern w:val="0"/>
          <w:sz w:val="21"/>
          <w:szCs w:val="21"/>
        </w:rPr>
        <w:t>4.2</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境外投资顾问为本基金提供投资建议的主要成员简介</w:t>
      </w:r>
      <w:bookmarkEnd w:id="92"/>
      <w:bookmarkEnd w:id="93"/>
      <w:bookmarkEnd w:id="94"/>
      <w:bookmarkEnd w:id="95"/>
      <w:bookmarkEnd w:id="96"/>
      <w:bookmarkEnd w:id="97"/>
      <w:bookmarkEnd w:id="98"/>
      <w:bookmarkEnd w:id="99"/>
      <w:bookmarkEnd w:id="100"/>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本基金未聘请境外投资顾问。</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101" w:name="_Toc225498256"/>
      <w:bookmarkStart w:id="102" w:name="_Toc352255974"/>
      <w:bookmarkStart w:id="103" w:name="_Toc352256042"/>
      <w:bookmarkStart w:id="104" w:name="_Toc352331220"/>
      <w:bookmarkStart w:id="105" w:name="_Toc362423998"/>
      <w:bookmarkStart w:id="106" w:name="_Toc374459260"/>
      <w:bookmarkStart w:id="107" w:name="_Toc48659037"/>
      <w:r w:rsidRPr="0087359D">
        <w:rPr>
          <w:rFonts w:ascii="宋体" w:hAnsi="宋体"/>
          <w:kern w:val="0"/>
          <w:sz w:val="21"/>
          <w:szCs w:val="21"/>
        </w:rPr>
        <w:t>4.3</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管理人对报告期内本基金运作遵规守信情况的说明</w:t>
      </w:r>
      <w:bookmarkEnd w:id="101"/>
      <w:bookmarkEnd w:id="102"/>
      <w:bookmarkEnd w:id="103"/>
      <w:bookmarkEnd w:id="104"/>
      <w:bookmarkEnd w:id="105"/>
      <w:bookmarkEnd w:id="106"/>
      <w:bookmarkEnd w:id="107"/>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108" w:name="_Toc225498257"/>
      <w:bookmarkStart w:id="109" w:name="_Toc352255975"/>
      <w:bookmarkStart w:id="110" w:name="_Toc352256043"/>
      <w:bookmarkStart w:id="111" w:name="_Toc352331221"/>
      <w:bookmarkStart w:id="112" w:name="_Toc362423999"/>
      <w:bookmarkStart w:id="113" w:name="_Toc374459261"/>
      <w:bookmarkStart w:id="114" w:name="_Toc48659038"/>
      <w:r w:rsidRPr="0087359D">
        <w:rPr>
          <w:rFonts w:ascii="宋体" w:hAnsi="宋体"/>
          <w:kern w:val="0"/>
          <w:sz w:val="21"/>
          <w:szCs w:val="21"/>
        </w:rPr>
        <w:t>4.4</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管理人对报告期内公平交易情况的专项说明</w:t>
      </w:r>
      <w:bookmarkEnd w:id="108"/>
      <w:bookmarkEnd w:id="109"/>
      <w:bookmarkEnd w:id="110"/>
      <w:bookmarkEnd w:id="111"/>
      <w:bookmarkEnd w:id="112"/>
      <w:bookmarkEnd w:id="113"/>
      <w:bookmarkEnd w:id="114"/>
    </w:p>
    <w:p w:rsidR="00FC5407" w:rsidRPr="00C24ACA" w:rsidRDefault="00FC5407" w:rsidP="006C64F3">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4.4.1 </w:t>
      </w:r>
      <w:r w:rsidRPr="00C24ACA">
        <w:rPr>
          <w:rFonts w:eastAsiaTheme="minorEastAsia"/>
          <w:b/>
          <w:color w:val="000000" w:themeColor="text1"/>
          <w:kern w:val="0"/>
          <w:szCs w:val="21"/>
        </w:rPr>
        <w:t>公平交易制度的执行情况</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FC5407" w:rsidRPr="00C24ACA" w:rsidRDefault="00FC5407" w:rsidP="006C64F3">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4.4.2 </w:t>
      </w:r>
      <w:r w:rsidRPr="00C24ACA">
        <w:rPr>
          <w:rFonts w:eastAsiaTheme="minorEastAsia"/>
          <w:b/>
          <w:color w:val="000000" w:themeColor="text1"/>
          <w:kern w:val="0"/>
          <w:szCs w:val="21"/>
        </w:rPr>
        <w:t>异常交易行为的专项说明</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本报告期内，公司旗下所有投资组合参与的交易所公开竞价交易中，同日反向交易成交较少的单边交易量超过该证券当日成交量的</w:t>
      </w:r>
      <w:r>
        <w:rPr>
          <w:rFonts w:eastAsiaTheme="minorEastAsia"/>
          <w:kern w:val="0"/>
          <w:szCs w:val="21"/>
        </w:rPr>
        <w:t>5%</w:t>
      </w:r>
      <w:r>
        <w:rPr>
          <w:rFonts w:eastAsiaTheme="minorEastAsia"/>
          <w:kern w:val="0"/>
          <w:szCs w:val="21"/>
        </w:rPr>
        <w:t>的交易共</w:t>
      </w:r>
      <w:r>
        <w:rPr>
          <w:rFonts w:eastAsiaTheme="minorEastAsia"/>
          <w:kern w:val="0"/>
          <w:szCs w:val="21"/>
        </w:rPr>
        <w:t>59</w:t>
      </w:r>
      <w:r>
        <w:rPr>
          <w:rFonts w:eastAsiaTheme="minorEastAsia"/>
          <w:kern w:val="0"/>
          <w:szCs w:val="21"/>
        </w:rPr>
        <w:t>次，均为指数量化投资组合因投资策略需要和其他组合发生的反向交易。</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本报告期内，未发现本基金有可能导致不公平交易和利益输送的异常交易。</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115" w:name="_Toc225498258"/>
      <w:bookmarkStart w:id="116" w:name="_Toc352255976"/>
      <w:bookmarkStart w:id="117" w:name="_Toc352256044"/>
      <w:bookmarkStart w:id="118" w:name="_Toc352331222"/>
      <w:bookmarkStart w:id="119" w:name="_Toc362424000"/>
      <w:bookmarkStart w:id="120" w:name="_Toc374459262"/>
      <w:bookmarkStart w:id="121" w:name="_Toc48659039"/>
      <w:r w:rsidRPr="0087359D">
        <w:rPr>
          <w:rFonts w:ascii="宋体" w:hAnsi="宋体"/>
          <w:kern w:val="0"/>
          <w:sz w:val="21"/>
          <w:szCs w:val="21"/>
        </w:rPr>
        <w:t>4.5</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管理人对报告期内基金的投资策略和业绩表现的说明</w:t>
      </w:r>
      <w:bookmarkEnd w:id="115"/>
      <w:bookmarkEnd w:id="116"/>
      <w:bookmarkEnd w:id="117"/>
      <w:bookmarkEnd w:id="118"/>
      <w:bookmarkEnd w:id="119"/>
      <w:bookmarkEnd w:id="120"/>
      <w:bookmarkEnd w:id="121"/>
    </w:p>
    <w:p w:rsidR="00FC5407" w:rsidRPr="00C24ACA" w:rsidRDefault="00FC5407" w:rsidP="00FC5407">
      <w:pPr>
        <w:spacing w:line="360" w:lineRule="auto"/>
        <w:rPr>
          <w:rFonts w:eastAsiaTheme="minorEastAsia"/>
          <w:b/>
          <w:color w:val="000000" w:themeColor="text1"/>
          <w:szCs w:val="21"/>
        </w:rPr>
      </w:pPr>
      <w:r w:rsidRPr="00C24ACA">
        <w:rPr>
          <w:rFonts w:eastAsiaTheme="minorEastAsia"/>
          <w:b/>
          <w:color w:val="000000" w:themeColor="text1"/>
          <w:szCs w:val="21"/>
        </w:rPr>
        <w:t>4.5.1</w:t>
      </w:r>
      <w:r w:rsidRPr="00C24ACA">
        <w:rPr>
          <w:rFonts w:eastAsiaTheme="minorEastAsia"/>
          <w:b/>
          <w:color w:val="000000" w:themeColor="text1"/>
          <w:szCs w:val="21"/>
        </w:rPr>
        <w:t>报告期内基金投资策略和运作分析</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2020</w:t>
      </w:r>
      <w:r>
        <w:rPr>
          <w:rFonts w:eastAsiaTheme="minorEastAsia"/>
          <w:kern w:val="0"/>
          <w:szCs w:val="21"/>
        </w:rPr>
        <w:t>年一季度，在新冠疫情全球扩散的冲击下，全球经济增长的预期一再下调。中国国内对人员流动的严格管控给消费和服务带来较大的基本面压力，全球产业链在疫情蔓延下也受到供给和需求两个方面的冲击。美国失业救济申请人数远超市场预期。美股盈利预期转负，叠加之前高企的美股估值，造成了美股的大幅下跌，并在短时间内出现了多次熔断。美联储连续两次非常规紧急降息至零利率水平附近，并紧急向市场提供流动性和信贷支持，香港也跟随美联储降息。</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2020</w:t>
      </w:r>
      <w:r>
        <w:rPr>
          <w:rFonts w:eastAsiaTheme="minorEastAsia"/>
          <w:kern w:val="0"/>
          <w:szCs w:val="21"/>
        </w:rPr>
        <w:t>年二季度，在货币及财政政策刺激下，美股出现明显反弹，美国重启经济，进一步提高了市场的风险偏好。美联储</w:t>
      </w:r>
      <w:r>
        <w:rPr>
          <w:rFonts w:eastAsiaTheme="minorEastAsia"/>
          <w:kern w:val="0"/>
          <w:szCs w:val="21"/>
        </w:rPr>
        <w:t>6</w:t>
      </w:r>
      <w:r>
        <w:rPr>
          <w:rFonts w:eastAsiaTheme="minorEastAsia"/>
          <w:kern w:val="0"/>
          <w:szCs w:val="21"/>
        </w:rPr>
        <w:t>月货币政策会议决议鸽派基调明显，符合市场预期，加息路径点阵图显示，利率预计将维持在当前水平直至</w:t>
      </w:r>
      <w:r>
        <w:rPr>
          <w:rFonts w:eastAsiaTheme="minorEastAsia"/>
          <w:kern w:val="0"/>
          <w:szCs w:val="21"/>
        </w:rPr>
        <w:t>2022</w:t>
      </w:r>
      <w:r>
        <w:rPr>
          <w:rFonts w:eastAsiaTheme="minorEastAsia"/>
          <w:kern w:val="0"/>
          <w:szCs w:val="21"/>
        </w:rPr>
        <w:t>年。全球经济前景仍然充满不确定性，以科技互联网为代表的中国新经济体现出了很强的韧性，腾讯和阿里巴巴等中概互联指数代表性公司也交出了超预期的季报。网易和京东相继在香港完成第二上市，</w:t>
      </w:r>
      <w:r>
        <w:rPr>
          <w:rFonts w:eastAsiaTheme="minorEastAsia"/>
          <w:kern w:val="0"/>
          <w:szCs w:val="21"/>
        </w:rPr>
        <w:t>IPO</w:t>
      </w:r>
      <w:r>
        <w:rPr>
          <w:rFonts w:eastAsiaTheme="minorEastAsia"/>
          <w:kern w:val="0"/>
          <w:szCs w:val="21"/>
        </w:rPr>
        <w:t>期间均获得大幅超额认购，体现了投资者对其前景的认可。</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本基金是易方达中证海外互联</w:t>
      </w:r>
      <w:r w:rsidRPr="008707EB">
        <w:rPr>
          <w:rFonts w:eastAsiaTheme="minorEastAsia"/>
          <w:kern w:val="0"/>
          <w:szCs w:val="21"/>
        </w:rPr>
        <w:t>ETF</w:t>
      </w:r>
      <w:r w:rsidRPr="008707EB">
        <w:rPr>
          <w:rFonts w:eastAsiaTheme="minorEastAsia"/>
          <w:kern w:val="0"/>
          <w:szCs w:val="21"/>
        </w:rPr>
        <w:t>的联接基金，作为追踪中证海外中国互联网</w:t>
      </w:r>
      <w:r w:rsidRPr="008707EB">
        <w:rPr>
          <w:rFonts w:eastAsiaTheme="minorEastAsia"/>
          <w:kern w:val="0"/>
          <w:szCs w:val="21"/>
        </w:rPr>
        <w:t>50</w:t>
      </w:r>
      <w:r w:rsidRPr="008707EB">
        <w:rPr>
          <w:rFonts w:eastAsiaTheme="minorEastAsia"/>
          <w:kern w:val="0"/>
          <w:szCs w:val="21"/>
        </w:rPr>
        <w:t>指数的被动式海外指数基金，我们在操作中严格遵守基金合同，坚持既定的指数化投资策略，力求追踪误差最小化。</w:t>
      </w:r>
    </w:p>
    <w:p w:rsidR="00FC5407" w:rsidRPr="00C24ACA" w:rsidRDefault="00FC5407" w:rsidP="006C64F3">
      <w:pPr>
        <w:autoSpaceDE w:val="0"/>
        <w:autoSpaceDN w:val="0"/>
        <w:adjustRightInd w:val="0"/>
        <w:spacing w:beforeLines="100" w:before="312" w:line="360" w:lineRule="auto"/>
        <w:jc w:val="left"/>
        <w:rPr>
          <w:rFonts w:eastAsiaTheme="minorEastAsia"/>
          <w:b/>
          <w:color w:val="000000" w:themeColor="text1"/>
          <w:szCs w:val="21"/>
        </w:rPr>
      </w:pPr>
      <w:r w:rsidRPr="00C24ACA">
        <w:rPr>
          <w:rFonts w:eastAsiaTheme="minorEastAsia"/>
          <w:b/>
          <w:color w:val="000000" w:themeColor="text1"/>
          <w:szCs w:val="21"/>
        </w:rPr>
        <w:t xml:space="preserve">4.5.2 </w:t>
      </w:r>
      <w:r w:rsidRPr="00C24ACA">
        <w:rPr>
          <w:rFonts w:eastAsiaTheme="minorEastAsia"/>
          <w:b/>
          <w:color w:val="000000" w:themeColor="text1"/>
          <w:szCs w:val="21"/>
        </w:rPr>
        <w:t>报告期内基金的业绩表现</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截至报告期末，本基金</w:t>
      </w:r>
      <w:r w:rsidRPr="008707EB">
        <w:rPr>
          <w:rFonts w:eastAsiaTheme="minorEastAsia"/>
          <w:kern w:val="0"/>
          <w:szCs w:val="21"/>
        </w:rPr>
        <w:t>A</w:t>
      </w:r>
      <w:r w:rsidRPr="008707EB">
        <w:rPr>
          <w:rFonts w:eastAsiaTheme="minorEastAsia"/>
          <w:kern w:val="0"/>
          <w:szCs w:val="21"/>
        </w:rPr>
        <w:t>类基金份额净值为</w:t>
      </w:r>
      <w:r w:rsidRPr="008707EB">
        <w:rPr>
          <w:rFonts w:eastAsiaTheme="minorEastAsia"/>
          <w:kern w:val="0"/>
          <w:szCs w:val="21"/>
        </w:rPr>
        <w:t>1.3923</w:t>
      </w:r>
      <w:r w:rsidRPr="008707EB">
        <w:rPr>
          <w:rFonts w:eastAsiaTheme="minorEastAsia"/>
          <w:kern w:val="0"/>
          <w:szCs w:val="21"/>
        </w:rPr>
        <w:t>元，本报告期份额净值增长率为</w:t>
      </w:r>
      <w:r w:rsidRPr="008707EB">
        <w:rPr>
          <w:rFonts w:eastAsiaTheme="minorEastAsia"/>
          <w:kern w:val="0"/>
          <w:szCs w:val="21"/>
        </w:rPr>
        <w:t>23.58%</w:t>
      </w:r>
      <w:r w:rsidRPr="008707EB">
        <w:rPr>
          <w:rFonts w:eastAsiaTheme="minorEastAsia"/>
          <w:kern w:val="0"/>
          <w:szCs w:val="21"/>
        </w:rPr>
        <w:t>，同期业绩比较基准收益率为</w:t>
      </w:r>
      <w:r w:rsidRPr="008707EB">
        <w:rPr>
          <w:rFonts w:eastAsiaTheme="minorEastAsia"/>
          <w:kern w:val="0"/>
          <w:szCs w:val="21"/>
        </w:rPr>
        <w:t>26.23%</w:t>
      </w:r>
      <w:r w:rsidRPr="008707EB">
        <w:rPr>
          <w:rFonts w:eastAsiaTheme="minorEastAsia"/>
          <w:kern w:val="0"/>
          <w:szCs w:val="21"/>
        </w:rPr>
        <w:t>；</w:t>
      </w:r>
      <w:r w:rsidRPr="008707EB">
        <w:rPr>
          <w:rFonts w:eastAsiaTheme="minorEastAsia"/>
          <w:kern w:val="0"/>
          <w:szCs w:val="21"/>
        </w:rPr>
        <w:t>C</w:t>
      </w:r>
      <w:r w:rsidRPr="008707EB">
        <w:rPr>
          <w:rFonts w:eastAsiaTheme="minorEastAsia"/>
          <w:kern w:val="0"/>
          <w:szCs w:val="21"/>
        </w:rPr>
        <w:t>类基金份额净值为</w:t>
      </w:r>
      <w:r w:rsidRPr="008707EB">
        <w:rPr>
          <w:rFonts w:eastAsiaTheme="minorEastAsia"/>
          <w:kern w:val="0"/>
          <w:szCs w:val="21"/>
        </w:rPr>
        <w:t>1.3779</w:t>
      </w:r>
      <w:r w:rsidRPr="008707EB">
        <w:rPr>
          <w:rFonts w:eastAsiaTheme="minorEastAsia"/>
          <w:kern w:val="0"/>
          <w:szCs w:val="21"/>
        </w:rPr>
        <w:t>元，本报告期份额净值增长率为</w:t>
      </w:r>
      <w:r w:rsidRPr="008707EB">
        <w:rPr>
          <w:rFonts w:eastAsiaTheme="minorEastAsia"/>
          <w:kern w:val="0"/>
          <w:szCs w:val="21"/>
        </w:rPr>
        <w:t>23.36%</w:t>
      </w:r>
      <w:r w:rsidRPr="008707EB">
        <w:rPr>
          <w:rFonts w:eastAsiaTheme="minorEastAsia"/>
          <w:kern w:val="0"/>
          <w:szCs w:val="21"/>
        </w:rPr>
        <w:t>，同期业绩比较基准收益率为</w:t>
      </w:r>
      <w:r w:rsidRPr="008707EB">
        <w:rPr>
          <w:rFonts w:eastAsiaTheme="minorEastAsia"/>
          <w:kern w:val="0"/>
          <w:szCs w:val="21"/>
        </w:rPr>
        <w:t>26.23%</w:t>
      </w:r>
      <w:r w:rsidRPr="008707EB">
        <w:rPr>
          <w:rFonts w:eastAsiaTheme="minorEastAsia"/>
          <w:kern w:val="0"/>
          <w:szCs w:val="21"/>
        </w:rPr>
        <w:t>，年化跟踪误差</w:t>
      </w:r>
      <w:r w:rsidRPr="008707EB">
        <w:rPr>
          <w:rFonts w:eastAsiaTheme="minorEastAsia"/>
          <w:kern w:val="0"/>
          <w:szCs w:val="21"/>
        </w:rPr>
        <w:t>2.082%</w:t>
      </w:r>
      <w:r w:rsidRPr="008707EB">
        <w:rPr>
          <w:rFonts w:eastAsiaTheme="minorEastAsia"/>
          <w:kern w:val="0"/>
          <w:szCs w:val="21"/>
        </w:rPr>
        <w:t>，在合同规定的目标控制范围之内。</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122" w:name="_Toc225498259"/>
      <w:bookmarkStart w:id="123" w:name="_Toc352255977"/>
      <w:bookmarkStart w:id="124" w:name="_Toc352256045"/>
      <w:bookmarkStart w:id="125" w:name="_Toc352331223"/>
      <w:bookmarkStart w:id="126" w:name="_Toc362424001"/>
      <w:bookmarkStart w:id="127" w:name="_Toc374459263"/>
      <w:bookmarkStart w:id="128" w:name="_Toc48659040"/>
      <w:r w:rsidRPr="0087359D">
        <w:rPr>
          <w:rFonts w:ascii="宋体" w:hAnsi="宋体"/>
          <w:kern w:val="0"/>
          <w:sz w:val="21"/>
          <w:szCs w:val="21"/>
        </w:rPr>
        <w:t>4.6</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管理人对宏观经济、证券市场及行业走势的简要展望</w:t>
      </w:r>
      <w:bookmarkEnd w:id="122"/>
      <w:bookmarkEnd w:id="123"/>
      <w:bookmarkEnd w:id="124"/>
      <w:bookmarkEnd w:id="125"/>
      <w:bookmarkEnd w:id="126"/>
      <w:bookmarkEnd w:id="127"/>
      <w:bookmarkEnd w:id="128"/>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展望</w:t>
      </w:r>
      <w:r w:rsidRPr="008707EB">
        <w:rPr>
          <w:rFonts w:eastAsiaTheme="minorEastAsia"/>
          <w:kern w:val="0"/>
          <w:szCs w:val="21"/>
        </w:rPr>
        <w:t>2020</w:t>
      </w:r>
      <w:r w:rsidRPr="008707EB">
        <w:rPr>
          <w:rFonts w:eastAsiaTheme="minorEastAsia"/>
          <w:kern w:val="0"/>
          <w:szCs w:val="21"/>
        </w:rPr>
        <w:t>年下半年，中国对新冠疫情的应对得力，中国经济复苏的步伐领先全球其他主要经济体，以中概互联指数成分股为代表的数字经济继续保持增长势头。龙头中概股公司相继赴港二次上市，将逐步改变香港市场的生态，并相应带来投资机会。</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129" w:name="_Toc247959457"/>
      <w:bookmarkStart w:id="130" w:name="_Toc225570083"/>
      <w:bookmarkStart w:id="131" w:name="_Toc352255979"/>
      <w:bookmarkStart w:id="132" w:name="_Toc352256047"/>
      <w:bookmarkStart w:id="133" w:name="_Toc352331225"/>
      <w:bookmarkStart w:id="134" w:name="_Toc362424003"/>
      <w:bookmarkStart w:id="135" w:name="_Toc374459265"/>
      <w:bookmarkStart w:id="136" w:name="_Toc48659041"/>
      <w:r w:rsidRPr="0087359D">
        <w:rPr>
          <w:rFonts w:ascii="宋体" w:hAnsi="宋体"/>
          <w:kern w:val="0"/>
          <w:sz w:val="21"/>
          <w:szCs w:val="21"/>
        </w:rPr>
        <w:t>4.7</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管理人对报告期内基金估值程序等事项的说明</w:t>
      </w:r>
      <w:bookmarkEnd w:id="129"/>
      <w:bookmarkEnd w:id="130"/>
      <w:bookmarkEnd w:id="131"/>
      <w:bookmarkEnd w:id="132"/>
      <w:bookmarkEnd w:id="133"/>
      <w:bookmarkEnd w:id="134"/>
      <w:bookmarkEnd w:id="135"/>
      <w:bookmarkEnd w:id="136"/>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rFonts w:eastAsiaTheme="minorEastAsia"/>
          <w:kern w:val="0"/>
          <w:szCs w:val="21"/>
        </w:rPr>
        <w:t xml:space="preserve"> </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rFonts w:eastAsiaTheme="minorEastAsia"/>
          <w:kern w:val="0"/>
          <w:szCs w:val="21"/>
        </w:rPr>
        <w:t xml:space="preserve"> </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本报告期内，参与估值流程各方之间不存在任何重大利益冲突。</w:t>
      </w:r>
      <w:r>
        <w:rPr>
          <w:rFonts w:eastAsiaTheme="minorEastAsia"/>
          <w:kern w:val="0"/>
          <w:szCs w:val="21"/>
        </w:rPr>
        <w:t xml:space="preserve"> </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137" w:name="_Toc247959458"/>
      <w:bookmarkStart w:id="138" w:name="_Toc225570084"/>
      <w:bookmarkStart w:id="139" w:name="_Toc352255980"/>
      <w:bookmarkStart w:id="140" w:name="_Toc352256048"/>
      <w:bookmarkStart w:id="141" w:name="_Toc352331226"/>
      <w:bookmarkStart w:id="142" w:name="_Toc362424004"/>
      <w:bookmarkStart w:id="143" w:name="_Toc374459266"/>
      <w:bookmarkStart w:id="144" w:name="_Toc48659042"/>
      <w:r w:rsidRPr="0087359D">
        <w:rPr>
          <w:rFonts w:ascii="宋体" w:hAnsi="宋体"/>
          <w:kern w:val="0"/>
          <w:sz w:val="21"/>
          <w:szCs w:val="21"/>
        </w:rPr>
        <w:t>4.8</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管理人对报告期内基金利润分配情况的说明</w:t>
      </w:r>
      <w:bookmarkEnd w:id="137"/>
      <w:bookmarkEnd w:id="138"/>
      <w:bookmarkEnd w:id="139"/>
      <w:bookmarkEnd w:id="140"/>
      <w:bookmarkEnd w:id="141"/>
      <w:bookmarkEnd w:id="142"/>
      <w:bookmarkEnd w:id="143"/>
      <w:bookmarkEnd w:id="144"/>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易方达中证海外中国互联网</w:t>
      </w:r>
      <w:r>
        <w:rPr>
          <w:rFonts w:eastAsiaTheme="minorEastAsia"/>
          <w:kern w:val="0"/>
          <w:szCs w:val="21"/>
        </w:rPr>
        <w:t>50ETF</w:t>
      </w:r>
      <w:r>
        <w:rPr>
          <w:rFonts w:eastAsiaTheme="minorEastAsia"/>
          <w:kern w:val="0"/>
          <w:szCs w:val="21"/>
        </w:rPr>
        <w:t>联接</w:t>
      </w:r>
      <w:r>
        <w:rPr>
          <w:rFonts w:eastAsiaTheme="minorEastAsia"/>
          <w:kern w:val="0"/>
          <w:szCs w:val="21"/>
        </w:rPr>
        <w:t>(QDII)A:</w:t>
      </w:r>
      <w:r>
        <w:rPr>
          <w:rFonts w:eastAsiaTheme="minorEastAsia"/>
          <w:kern w:val="0"/>
          <w:szCs w:val="21"/>
        </w:rPr>
        <w:t>本报告期内未实施利润分配。</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易方达中证海外中国互联网</w:t>
      </w:r>
      <w:r w:rsidRPr="008707EB">
        <w:rPr>
          <w:rFonts w:eastAsiaTheme="minorEastAsia"/>
          <w:kern w:val="0"/>
          <w:szCs w:val="21"/>
        </w:rPr>
        <w:t>50ETF</w:t>
      </w:r>
      <w:r w:rsidRPr="008707EB">
        <w:rPr>
          <w:rFonts w:eastAsiaTheme="minorEastAsia"/>
          <w:kern w:val="0"/>
          <w:szCs w:val="21"/>
        </w:rPr>
        <w:t>联接</w:t>
      </w:r>
      <w:r w:rsidRPr="008707EB">
        <w:rPr>
          <w:rFonts w:eastAsiaTheme="minorEastAsia"/>
          <w:kern w:val="0"/>
          <w:szCs w:val="21"/>
        </w:rPr>
        <w:t xml:space="preserve">(QDII)C: </w:t>
      </w:r>
      <w:r w:rsidRPr="008707EB">
        <w:rPr>
          <w:rFonts w:eastAsiaTheme="minorEastAsia"/>
          <w:kern w:val="0"/>
          <w:szCs w:val="21"/>
        </w:rPr>
        <w:t>本报告期内未实施利润分配。</w:t>
      </w:r>
      <w:r w:rsidRPr="008707EB">
        <w:rPr>
          <w:rFonts w:eastAsiaTheme="minorEastAsia"/>
          <w:kern w:val="0"/>
          <w:szCs w:val="21"/>
        </w:rPr>
        <w:t xml:space="preserve"> </w:t>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45" w:name="_Toc225498263"/>
      <w:bookmarkStart w:id="146" w:name="_Toc352255982"/>
      <w:bookmarkStart w:id="147" w:name="_Toc352256050"/>
      <w:bookmarkStart w:id="148" w:name="_Toc352331228"/>
      <w:bookmarkStart w:id="149" w:name="_Toc390164811"/>
      <w:bookmarkStart w:id="150" w:name="_Toc48659043"/>
      <w:r w:rsidRPr="000C6CCD">
        <w:rPr>
          <w:rFonts w:ascii="宋体" w:hAnsi="宋体"/>
          <w:bCs w:val="0"/>
          <w:color w:val="000000"/>
          <w:sz w:val="21"/>
          <w:szCs w:val="21"/>
        </w:rPr>
        <w:t>5</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托管人报告</w:t>
      </w:r>
      <w:bookmarkEnd w:id="145"/>
      <w:bookmarkEnd w:id="146"/>
      <w:bookmarkEnd w:id="147"/>
      <w:bookmarkEnd w:id="148"/>
      <w:bookmarkEnd w:id="149"/>
      <w:bookmarkEnd w:id="150"/>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51" w:name="_Toc225498264"/>
      <w:bookmarkStart w:id="152" w:name="_Toc352255983"/>
      <w:bookmarkStart w:id="153" w:name="_Toc352256051"/>
      <w:bookmarkStart w:id="154" w:name="_Toc352331229"/>
      <w:bookmarkStart w:id="155" w:name="_Toc390164812"/>
      <w:bookmarkStart w:id="156" w:name="_Toc48659044"/>
      <w:r w:rsidRPr="0087359D">
        <w:rPr>
          <w:rFonts w:ascii="宋体" w:hAnsi="宋体"/>
          <w:kern w:val="0"/>
          <w:sz w:val="21"/>
          <w:szCs w:val="21"/>
        </w:rPr>
        <w:t>5.1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报告期内本基金托管人遵规守信情况声明</w:t>
      </w:r>
      <w:bookmarkEnd w:id="151"/>
      <w:bookmarkEnd w:id="152"/>
      <w:bookmarkEnd w:id="153"/>
      <w:bookmarkEnd w:id="154"/>
      <w:bookmarkEnd w:id="155"/>
      <w:bookmarkEnd w:id="156"/>
    </w:p>
    <w:p w:rsidR="002716B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招商银行具备完善的公司治理结构、内部稽核监控制度和风险控制制度，我行在履行托管职责中，严格遵守有关法律法规、托管协议的规定，尽职尽责地履行托管义务并安全保管托管资产。</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57" w:name="_Toc225498265"/>
      <w:bookmarkStart w:id="158" w:name="_Toc352255984"/>
      <w:bookmarkStart w:id="159" w:name="_Toc352256052"/>
      <w:bookmarkStart w:id="160" w:name="_Toc352331230"/>
      <w:bookmarkStart w:id="161" w:name="_Toc390164813"/>
      <w:bookmarkStart w:id="162" w:name="_Toc48659045"/>
      <w:r w:rsidRPr="0087359D">
        <w:rPr>
          <w:rFonts w:ascii="宋体" w:hAnsi="宋体"/>
          <w:kern w:val="0"/>
          <w:sz w:val="21"/>
          <w:szCs w:val="21"/>
        </w:rPr>
        <w:t>5.2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托管人对报告期内本基金投资运作遵规守信、净值计算、利润分配等情况的</w:t>
      </w:r>
      <w:bookmarkEnd w:id="157"/>
      <w:r w:rsidRPr="00C24ACA">
        <w:rPr>
          <w:rFonts w:ascii="Times New Roman" w:eastAsiaTheme="minorEastAsia" w:hAnsi="Times New Roman"/>
          <w:kern w:val="0"/>
          <w:sz w:val="21"/>
          <w:szCs w:val="21"/>
        </w:rPr>
        <w:t>说明</w:t>
      </w:r>
      <w:bookmarkEnd w:id="158"/>
      <w:bookmarkEnd w:id="159"/>
      <w:bookmarkEnd w:id="160"/>
      <w:bookmarkEnd w:id="161"/>
      <w:bookmarkEnd w:id="162"/>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招商银行根据法律法规、托管协议约定的投资监督条款，对托管产品的投资行为进行监督，并根据监管要求履行报告义务。</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招商银行按照托管协议约定的统一记账方法和会计处理原则，独立地设置、登录和保管本产品的全套账册，进行会计核算和资产估值并与管理人建立对账机制。</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本年度中期报告中利润分配情况真实、准确。</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63" w:name="_Toc225498266"/>
      <w:bookmarkStart w:id="164" w:name="_Toc352255985"/>
      <w:bookmarkStart w:id="165" w:name="_Toc352256053"/>
      <w:bookmarkStart w:id="166" w:name="_Toc352331231"/>
      <w:bookmarkStart w:id="167" w:name="_Toc390164814"/>
      <w:bookmarkStart w:id="168" w:name="_Toc48659046"/>
      <w:r w:rsidRPr="0087359D">
        <w:rPr>
          <w:rFonts w:ascii="宋体" w:hAnsi="宋体"/>
          <w:kern w:val="0"/>
          <w:sz w:val="21"/>
          <w:szCs w:val="21"/>
        </w:rPr>
        <w:t>5.3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托管人对本</w:t>
      </w:r>
      <w:r w:rsidR="00A85FA3">
        <w:rPr>
          <w:rFonts w:ascii="Times New Roman" w:eastAsiaTheme="minorEastAsia" w:hAnsi="Times New Roman"/>
          <w:kern w:val="0"/>
          <w:sz w:val="21"/>
          <w:szCs w:val="21"/>
        </w:rPr>
        <w:t>中期</w:t>
      </w:r>
      <w:r w:rsidRPr="00C24ACA">
        <w:rPr>
          <w:rFonts w:ascii="Times New Roman" w:eastAsiaTheme="minorEastAsia" w:hAnsi="Times New Roman"/>
          <w:kern w:val="0"/>
          <w:sz w:val="21"/>
          <w:szCs w:val="21"/>
        </w:rPr>
        <w:t>报告中财务信息等内容的真实、准确和完整发表意见</w:t>
      </w:r>
      <w:bookmarkEnd w:id="163"/>
      <w:bookmarkEnd w:id="164"/>
      <w:bookmarkEnd w:id="165"/>
      <w:bookmarkEnd w:id="166"/>
      <w:bookmarkEnd w:id="167"/>
      <w:bookmarkEnd w:id="168"/>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本年度中期报告中财务指标、净值表现、财务会计报告、投资组合报告内容真实、准确，不存在虚假记载、误导性陈述或者重大遗漏。</w:t>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69" w:name="_Toc331410096"/>
      <w:bookmarkStart w:id="170" w:name="_Toc390164815"/>
      <w:bookmarkStart w:id="171" w:name="_Toc48659047"/>
      <w:r w:rsidRPr="000C6CCD">
        <w:rPr>
          <w:rFonts w:ascii="宋体" w:hAnsi="宋体"/>
          <w:bCs w:val="0"/>
          <w:color w:val="000000"/>
          <w:sz w:val="21"/>
          <w:szCs w:val="21"/>
        </w:rPr>
        <w:t>6</w:t>
      </w:r>
      <w:bookmarkEnd w:id="169"/>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半年度财务会计报告（未经审计）</w:t>
      </w:r>
      <w:bookmarkEnd w:id="170"/>
      <w:bookmarkEnd w:id="171"/>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72" w:name="_Toc225498268"/>
      <w:bookmarkStart w:id="173" w:name="_Toc352255991"/>
      <w:bookmarkStart w:id="174" w:name="_Toc352256059"/>
      <w:bookmarkStart w:id="175" w:name="_Toc352331237"/>
      <w:bookmarkStart w:id="176" w:name="_Toc390164816"/>
      <w:bookmarkStart w:id="177" w:name="_Toc48659048"/>
      <w:r w:rsidRPr="0087359D">
        <w:rPr>
          <w:rFonts w:ascii="宋体" w:hAnsi="宋体"/>
          <w:kern w:val="0"/>
          <w:sz w:val="21"/>
          <w:szCs w:val="21"/>
        </w:rPr>
        <w:t>6.1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资产负债表</w:t>
      </w:r>
      <w:bookmarkEnd w:id="172"/>
      <w:bookmarkEnd w:id="173"/>
      <w:bookmarkEnd w:id="174"/>
      <w:bookmarkEnd w:id="175"/>
      <w:bookmarkEnd w:id="176"/>
      <w:bookmarkEnd w:id="177"/>
    </w:p>
    <w:p w:rsidR="008A5A5D" w:rsidRPr="00C24ACA" w:rsidRDefault="008A5A5D" w:rsidP="00316012">
      <w:pPr>
        <w:spacing w:line="360" w:lineRule="auto"/>
        <w:rPr>
          <w:rFonts w:eastAsiaTheme="minorEastAsia"/>
          <w:color w:val="000000"/>
          <w:szCs w:val="21"/>
        </w:rPr>
      </w:pPr>
      <w:r w:rsidRPr="00C24ACA">
        <w:rPr>
          <w:rFonts w:eastAsiaTheme="minorEastAsia"/>
          <w:color w:val="000000"/>
          <w:szCs w:val="21"/>
        </w:rPr>
        <w:t>会计主体：易方达中证海外中国互联网</w:t>
      </w:r>
      <w:r w:rsidRPr="00C24ACA">
        <w:rPr>
          <w:rFonts w:eastAsiaTheme="minorEastAsia"/>
          <w:color w:val="000000"/>
          <w:szCs w:val="21"/>
        </w:rPr>
        <w:t>50</w:t>
      </w:r>
      <w:r w:rsidRPr="00C24ACA">
        <w:rPr>
          <w:rFonts w:eastAsiaTheme="minorEastAsia"/>
          <w:color w:val="000000"/>
          <w:szCs w:val="21"/>
        </w:rPr>
        <w:t>交易型开放式指数证券投资基金联接基金</w:t>
      </w:r>
    </w:p>
    <w:p w:rsidR="008A5A5D" w:rsidRPr="00C24ACA" w:rsidRDefault="008A5A5D" w:rsidP="00316012">
      <w:pPr>
        <w:spacing w:line="360" w:lineRule="auto"/>
        <w:rPr>
          <w:rFonts w:eastAsiaTheme="minorEastAsia"/>
          <w:color w:val="000000"/>
          <w:szCs w:val="21"/>
        </w:rPr>
      </w:pPr>
      <w:r w:rsidRPr="00C24ACA">
        <w:rPr>
          <w:rFonts w:eastAsiaTheme="minorEastAsia"/>
          <w:color w:val="000000"/>
          <w:szCs w:val="21"/>
        </w:rPr>
        <w:t>报告截止日：</w:t>
      </w:r>
      <w:r w:rsidR="00AC4A34" w:rsidRPr="00C24ACA">
        <w:rPr>
          <w:rFonts w:eastAsiaTheme="minorEastAsia"/>
          <w:color w:val="000000"/>
          <w:szCs w:val="21"/>
        </w:rPr>
        <w:t>2020</w:t>
      </w:r>
      <w:r w:rsidR="00AC4A34" w:rsidRPr="00C24ACA">
        <w:rPr>
          <w:rFonts w:eastAsiaTheme="minorEastAsia"/>
          <w:color w:val="000000"/>
          <w:szCs w:val="21"/>
        </w:rPr>
        <w:t>年</w:t>
      </w:r>
      <w:r w:rsidR="00AC4A34" w:rsidRPr="00C24ACA">
        <w:rPr>
          <w:rFonts w:eastAsiaTheme="minorEastAsia"/>
          <w:color w:val="000000"/>
          <w:szCs w:val="21"/>
        </w:rPr>
        <w:t>6</w:t>
      </w:r>
      <w:r w:rsidR="00AC4A34" w:rsidRPr="00C24ACA">
        <w:rPr>
          <w:rFonts w:eastAsiaTheme="minorEastAsia"/>
          <w:color w:val="000000"/>
          <w:szCs w:val="21"/>
        </w:rPr>
        <w:t>月</w:t>
      </w:r>
      <w:r w:rsidR="00AC4A34" w:rsidRPr="00C24ACA">
        <w:rPr>
          <w:rFonts w:eastAsiaTheme="minorEastAsia"/>
          <w:color w:val="000000"/>
          <w:szCs w:val="21"/>
        </w:rPr>
        <w:t>30</w:t>
      </w:r>
      <w:r w:rsidR="00AC4A34" w:rsidRPr="00C24ACA">
        <w:rPr>
          <w:rFonts w:eastAsiaTheme="minorEastAsia"/>
          <w:color w:val="00000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8A5A5D" w:rsidRPr="00C24ACA" w:rsidTr="006D141C">
        <w:tc>
          <w:tcPr>
            <w:tcW w:w="2880" w:type="dxa"/>
            <w:vAlign w:val="center"/>
          </w:tcPr>
          <w:p w:rsidR="008A5A5D" w:rsidRPr="00C24ACA" w:rsidRDefault="008A5A5D" w:rsidP="00D321AF">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资产</w:t>
            </w:r>
          </w:p>
        </w:tc>
        <w:tc>
          <w:tcPr>
            <w:tcW w:w="10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本期末</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kern w:val="2"/>
                <w:sz w:val="21"/>
                <w:szCs w:val="21"/>
              </w:rPr>
              <w:t>2020</w:t>
            </w:r>
            <w:r w:rsidRPr="00C24ACA">
              <w:rPr>
                <w:rFonts w:ascii="Times New Roman" w:eastAsiaTheme="minorEastAsia" w:hAnsi="Times New Roman"/>
                <w:b/>
                <w:color w:val="000000"/>
                <w:kern w:val="2"/>
                <w:sz w:val="21"/>
                <w:szCs w:val="21"/>
              </w:rPr>
              <w:t>年</w:t>
            </w:r>
            <w:r w:rsidRPr="00C24ACA">
              <w:rPr>
                <w:rFonts w:ascii="Times New Roman" w:eastAsiaTheme="minorEastAsia" w:hAnsi="Times New Roman"/>
                <w:b/>
                <w:color w:val="000000"/>
                <w:kern w:val="2"/>
                <w:sz w:val="21"/>
                <w:szCs w:val="21"/>
              </w:rPr>
              <w:t>6</w:t>
            </w:r>
            <w:r w:rsidRPr="00C24ACA">
              <w:rPr>
                <w:rFonts w:ascii="Times New Roman" w:eastAsiaTheme="minorEastAsia" w:hAnsi="Times New Roman"/>
                <w:b/>
                <w:color w:val="000000"/>
                <w:kern w:val="2"/>
                <w:sz w:val="21"/>
                <w:szCs w:val="21"/>
              </w:rPr>
              <w:t>月</w:t>
            </w:r>
            <w:r w:rsidRPr="00C24ACA">
              <w:rPr>
                <w:rFonts w:ascii="Times New Roman" w:eastAsiaTheme="minorEastAsia" w:hAnsi="Times New Roman"/>
                <w:b/>
                <w:color w:val="000000"/>
                <w:kern w:val="2"/>
                <w:sz w:val="21"/>
                <w:szCs w:val="21"/>
              </w:rPr>
              <w:t>30</w:t>
            </w:r>
            <w:r w:rsidRPr="00C24ACA">
              <w:rPr>
                <w:rFonts w:ascii="Times New Roman" w:eastAsiaTheme="minorEastAsia" w:hAnsi="Times New Roman"/>
                <w:b/>
                <w:color w:val="000000"/>
                <w:kern w:val="2"/>
                <w:sz w:val="21"/>
                <w:szCs w:val="21"/>
              </w:rPr>
              <w:t>日</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上年度末</w:t>
            </w:r>
          </w:p>
          <w:p w:rsidR="008A5A5D" w:rsidRPr="00C24ACA" w:rsidRDefault="00D561C5">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12</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31</w:t>
            </w:r>
            <w:r w:rsidRPr="00C24ACA">
              <w:rPr>
                <w:rFonts w:ascii="Times New Roman" w:eastAsiaTheme="minorEastAsia" w:hAnsi="Times New Roman"/>
                <w:b/>
                <w:color w:val="000000"/>
                <w:sz w:val="21"/>
                <w:szCs w:val="21"/>
              </w:rPr>
              <w:t>日</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资产：</w:t>
            </w:r>
          </w:p>
        </w:tc>
        <w:tc>
          <w:tcPr>
            <w:tcW w:w="1080" w:type="dxa"/>
            <w:vAlign w:val="center"/>
          </w:tcPr>
          <w:p w:rsidR="00AE103C" w:rsidRPr="00C24ACA" w:rsidRDefault="00AE103C" w:rsidP="00A97A4E">
            <w:pPr>
              <w:widowControl/>
              <w:autoSpaceDE w:val="0"/>
              <w:autoSpaceDN w:val="0"/>
              <w:ind w:right="-15"/>
              <w:jc w:val="center"/>
              <w:textAlignment w:val="bottom"/>
              <w:rPr>
                <w:rFonts w:eastAsiaTheme="minorEastAsia"/>
                <w:color w:val="000000"/>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银行存款</w:t>
            </w:r>
          </w:p>
        </w:tc>
        <w:tc>
          <w:tcPr>
            <w:tcW w:w="1080" w:type="dxa"/>
            <w:vAlign w:val="center"/>
          </w:tcPr>
          <w:p w:rsidR="00AE103C" w:rsidRPr="00C24ACA" w:rsidRDefault="00AE103C" w:rsidP="00A97A4E">
            <w:pPr>
              <w:widowControl/>
              <w:autoSpaceDE w:val="0"/>
              <w:autoSpaceDN w:val="0"/>
              <w:ind w:right="-15"/>
              <w:jc w:val="center"/>
              <w:textAlignment w:val="bottom"/>
              <w:rPr>
                <w:rFonts w:eastAsiaTheme="minorEastAsia"/>
                <w:color w:val="000000"/>
                <w:szCs w:val="21"/>
              </w:rPr>
            </w:pPr>
            <w:r w:rsidRPr="00C24ACA">
              <w:rPr>
                <w:rFonts w:eastAsiaTheme="minorEastAsia"/>
                <w:color w:val="000000"/>
                <w:szCs w:val="21"/>
              </w:rPr>
              <w:t>6.4.7.1</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50,482,455.20</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8,371,334.24</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结算备付金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1,017,505.80</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62,340.45</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存出保证金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81,932.11</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16,586.04</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交易性金融资产</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6.4.7.2</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731,816,990.74</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141,971,964.92</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其中：股票投资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vAlign w:val="center"/>
          </w:tcPr>
          <w:p w:rsidR="00AE103C" w:rsidRPr="00C24ACA" w:rsidRDefault="00AE103C" w:rsidP="008134C7">
            <w:pPr>
              <w:pStyle w:val="af6"/>
              <w:ind w:firstLineChars="300" w:firstLine="630"/>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基金投资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731,816,990.74</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141,971,964.92</w:t>
            </w:r>
          </w:p>
        </w:tc>
      </w:tr>
      <w:tr w:rsidR="00AE103C" w:rsidRPr="00C24ACA" w:rsidTr="006D141C">
        <w:tc>
          <w:tcPr>
            <w:tcW w:w="288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76511D" w:rsidRPr="00C24ACA" w:rsidTr="00742218">
        <w:tc>
          <w:tcPr>
            <w:tcW w:w="2880" w:type="dxa"/>
            <w:vAlign w:val="center"/>
          </w:tcPr>
          <w:p w:rsidR="0076511D" w:rsidRPr="00390233" w:rsidRDefault="0076511D" w:rsidP="00742218">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6511D" w:rsidRPr="00390233" w:rsidRDefault="0076511D" w:rsidP="00742218">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6511D" w:rsidRPr="00390233" w:rsidRDefault="0076511D" w:rsidP="00742218">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6511D" w:rsidRPr="00390233" w:rsidRDefault="0076511D" w:rsidP="00742218">
            <w:pPr>
              <w:spacing w:line="360" w:lineRule="auto"/>
              <w:jc w:val="right"/>
              <w:rPr>
                <w:rFonts w:eastAsiaTheme="majorEastAsia"/>
                <w:color w:val="000000"/>
                <w:szCs w:val="21"/>
              </w:rPr>
            </w:pPr>
            <w:r w:rsidRPr="00390233">
              <w:rPr>
                <w:rFonts w:eastAsiaTheme="maj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衍生金融资产</w:t>
            </w:r>
          </w:p>
        </w:tc>
        <w:tc>
          <w:tcPr>
            <w:tcW w:w="1080" w:type="dxa"/>
            <w:vAlign w:val="center"/>
          </w:tcPr>
          <w:p w:rsidR="0076511D" w:rsidRPr="00C24ACA" w:rsidRDefault="0076511D" w:rsidP="00A97A4E">
            <w:pPr>
              <w:pStyle w:val="af6"/>
              <w:spacing w:line="360" w:lineRule="auto"/>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6.4.7.3</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买入返售金融资产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6.4.7.4</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应收证券清算款</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5,541,105.80</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应收利息</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6.4.7.5</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4,547.49</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1,651.49</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应收股利</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应收申购款</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4,816,466.37</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4,938,279.04</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递延所得税资产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其他资产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6.4.7.6</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b/>
                <w:color w:val="000000"/>
                <w:szCs w:val="21"/>
              </w:rPr>
            </w:pPr>
            <w:r w:rsidRPr="00C24ACA">
              <w:rPr>
                <w:rFonts w:eastAsiaTheme="minorEastAsia"/>
                <w:b/>
                <w:color w:val="000000"/>
                <w:szCs w:val="21"/>
              </w:rPr>
              <w:t>资产总计</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793,761,003.51</w:t>
            </w:r>
          </w:p>
        </w:tc>
        <w:tc>
          <w:tcPr>
            <w:tcW w:w="252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155,362,156.18</w:t>
            </w:r>
          </w:p>
        </w:tc>
      </w:tr>
      <w:tr w:rsidR="008A5A5D" w:rsidRPr="00C24ACA" w:rsidTr="006D141C">
        <w:tc>
          <w:tcPr>
            <w:tcW w:w="28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负债和所有者权益</w:t>
            </w:r>
          </w:p>
        </w:tc>
        <w:tc>
          <w:tcPr>
            <w:tcW w:w="10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本期末</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kern w:val="2"/>
                <w:sz w:val="21"/>
                <w:szCs w:val="21"/>
              </w:rPr>
              <w:t>2020</w:t>
            </w:r>
            <w:r w:rsidRPr="00C24ACA">
              <w:rPr>
                <w:rFonts w:ascii="Times New Roman" w:eastAsiaTheme="minorEastAsia" w:hAnsi="Times New Roman"/>
                <w:b/>
                <w:color w:val="000000"/>
                <w:kern w:val="2"/>
                <w:sz w:val="21"/>
                <w:szCs w:val="21"/>
              </w:rPr>
              <w:t>年</w:t>
            </w:r>
            <w:r w:rsidRPr="00C24ACA">
              <w:rPr>
                <w:rFonts w:ascii="Times New Roman" w:eastAsiaTheme="minorEastAsia" w:hAnsi="Times New Roman"/>
                <w:b/>
                <w:color w:val="000000"/>
                <w:kern w:val="2"/>
                <w:sz w:val="21"/>
                <w:szCs w:val="21"/>
              </w:rPr>
              <w:t>6</w:t>
            </w:r>
            <w:r w:rsidRPr="00C24ACA">
              <w:rPr>
                <w:rFonts w:ascii="Times New Roman" w:eastAsiaTheme="minorEastAsia" w:hAnsi="Times New Roman"/>
                <w:b/>
                <w:color w:val="000000"/>
                <w:kern w:val="2"/>
                <w:sz w:val="21"/>
                <w:szCs w:val="21"/>
              </w:rPr>
              <w:t>月</w:t>
            </w:r>
            <w:r w:rsidRPr="00C24ACA">
              <w:rPr>
                <w:rFonts w:ascii="Times New Roman" w:eastAsiaTheme="minorEastAsia" w:hAnsi="Times New Roman"/>
                <w:b/>
                <w:color w:val="000000"/>
                <w:kern w:val="2"/>
                <w:sz w:val="21"/>
                <w:szCs w:val="21"/>
              </w:rPr>
              <w:t>30</w:t>
            </w:r>
            <w:r w:rsidRPr="00C24ACA">
              <w:rPr>
                <w:rFonts w:ascii="Times New Roman" w:eastAsiaTheme="minorEastAsia" w:hAnsi="Times New Roman"/>
                <w:b/>
                <w:color w:val="000000"/>
                <w:kern w:val="2"/>
                <w:sz w:val="21"/>
                <w:szCs w:val="21"/>
              </w:rPr>
              <w:t>日</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上年度末</w:t>
            </w:r>
          </w:p>
          <w:p w:rsidR="008A5A5D" w:rsidRPr="00C24ACA" w:rsidRDefault="00D561C5">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12</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31</w:t>
            </w:r>
            <w:r w:rsidRPr="00C24ACA">
              <w:rPr>
                <w:rFonts w:ascii="Times New Roman" w:eastAsiaTheme="minorEastAsia" w:hAnsi="Times New Roman"/>
                <w:b/>
                <w:color w:val="000000"/>
                <w:sz w:val="21"/>
                <w:szCs w:val="21"/>
              </w:rPr>
              <w:t>日</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短期借款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交易性金融负债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衍生金融负债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6.4.7.3</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卖出回购金融资产款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应付证券清算款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1,426,064.17</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应付赎回款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21,577,481.79</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2,016,320.62</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应付管理人报酬</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19,317.09</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4,198.95</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应付托管费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8,048.83</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1,749.54</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应付销售服务费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11,794.53</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7,037.10</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应付交易费用</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6.4.7.7</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应交税费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185,398.22</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应付利息</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应付利润</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递延所得税负债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其他负债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6.4.7.8</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111,234.05</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31,488.41</w:t>
            </w:r>
          </w:p>
        </w:tc>
      </w:tr>
      <w:tr w:rsidR="00AE103C" w:rsidRPr="00C24ACA" w:rsidTr="006D141C">
        <w:tc>
          <w:tcPr>
            <w:tcW w:w="2880" w:type="dxa"/>
            <w:vAlign w:val="center"/>
          </w:tcPr>
          <w:p w:rsidR="00AE103C" w:rsidRPr="00C24ACA" w:rsidRDefault="00AE103C">
            <w:pPr>
              <w:pStyle w:val="af6"/>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负债合计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21,913,274.51</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3,486,858.79</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所有者权益：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实收基金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6.4.7.9</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554,642,975.13</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134,990,066.04</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未分配利润</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6.4.7.10</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217,204,753.87</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16,885,231.35</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所有者权益合计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771,847,729.00</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151,875,297.39</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负债和所有者权益总计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793,761,003.51</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155,362,156.18</w:t>
            </w:r>
          </w:p>
        </w:tc>
      </w:tr>
    </w:tbl>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本基金合同生效日为</w:t>
      </w:r>
      <w:r>
        <w:rPr>
          <w:rFonts w:eastAsiaTheme="minorEastAsia"/>
          <w:kern w:val="0"/>
          <w:szCs w:val="21"/>
        </w:rPr>
        <w:t>2019</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18</w:t>
      </w:r>
      <w:r>
        <w:rPr>
          <w:rFonts w:eastAsiaTheme="minorEastAsia"/>
          <w:kern w:val="0"/>
          <w:szCs w:val="21"/>
        </w:rPr>
        <w:t>日，</w:t>
      </w:r>
      <w:r>
        <w:rPr>
          <w:rFonts w:eastAsiaTheme="minorEastAsia"/>
          <w:kern w:val="0"/>
          <w:szCs w:val="21"/>
        </w:rPr>
        <w:t>2019</w:t>
      </w:r>
      <w:r>
        <w:rPr>
          <w:rFonts w:eastAsiaTheme="minorEastAsia"/>
          <w:kern w:val="0"/>
          <w:szCs w:val="21"/>
        </w:rPr>
        <w:t>年度实际报告期间为</w:t>
      </w:r>
      <w:r>
        <w:rPr>
          <w:rFonts w:eastAsiaTheme="minorEastAsia"/>
          <w:kern w:val="0"/>
          <w:szCs w:val="21"/>
        </w:rPr>
        <w:t>2019</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18</w:t>
      </w:r>
      <w:r>
        <w:rPr>
          <w:rFonts w:eastAsiaTheme="minorEastAsia"/>
          <w:kern w:val="0"/>
          <w:szCs w:val="21"/>
        </w:rPr>
        <w:t>日至</w:t>
      </w:r>
      <w:r>
        <w:rPr>
          <w:rFonts w:eastAsiaTheme="minorEastAsia"/>
          <w:kern w:val="0"/>
          <w:szCs w:val="21"/>
        </w:rPr>
        <w:t>2019</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2.</w:t>
      </w:r>
      <w:r w:rsidRPr="00C24ACA">
        <w:rPr>
          <w:rFonts w:eastAsiaTheme="minorEastAsia"/>
          <w:kern w:val="0"/>
          <w:szCs w:val="21"/>
        </w:rPr>
        <w:t>报告截止日</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w:t>
      </w:r>
      <w:r w:rsidRPr="00C24ACA">
        <w:rPr>
          <w:rFonts w:eastAsiaTheme="minorEastAsia"/>
          <w:kern w:val="0"/>
          <w:szCs w:val="21"/>
        </w:rPr>
        <w:t>A</w:t>
      </w:r>
      <w:r w:rsidRPr="00C24ACA">
        <w:rPr>
          <w:rFonts w:eastAsiaTheme="minorEastAsia"/>
          <w:kern w:val="0"/>
          <w:szCs w:val="21"/>
        </w:rPr>
        <w:t>类基金份额净值</w:t>
      </w:r>
      <w:r w:rsidRPr="00C24ACA">
        <w:rPr>
          <w:rFonts w:eastAsiaTheme="minorEastAsia"/>
          <w:kern w:val="0"/>
          <w:szCs w:val="21"/>
        </w:rPr>
        <w:t>1.3923</w:t>
      </w:r>
      <w:r w:rsidRPr="00C24ACA">
        <w:rPr>
          <w:rFonts w:eastAsiaTheme="minorEastAsia"/>
          <w:kern w:val="0"/>
          <w:szCs w:val="21"/>
        </w:rPr>
        <w:t>元，</w:t>
      </w:r>
      <w:r w:rsidRPr="00C24ACA">
        <w:rPr>
          <w:rFonts w:eastAsiaTheme="minorEastAsia"/>
          <w:kern w:val="0"/>
          <w:szCs w:val="21"/>
        </w:rPr>
        <w:t>C</w:t>
      </w:r>
      <w:r w:rsidRPr="00C24ACA">
        <w:rPr>
          <w:rFonts w:eastAsiaTheme="minorEastAsia"/>
          <w:kern w:val="0"/>
          <w:szCs w:val="21"/>
        </w:rPr>
        <w:t>类基金份额净值</w:t>
      </w:r>
      <w:r w:rsidRPr="00C24ACA">
        <w:rPr>
          <w:rFonts w:eastAsiaTheme="minorEastAsia"/>
          <w:kern w:val="0"/>
          <w:szCs w:val="21"/>
        </w:rPr>
        <w:t>1.3779</w:t>
      </w:r>
      <w:r w:rsidRPr="00C24ACA">
        <w:rPr>
          <w:rFonts w:eastAsiaTheme="minorEastAsia"/>
          <w:kern w:val="0"/>
          <w:szCs w:val="21"/>
        </w:rPr>
        <w:t>元；基金份额总额</w:t>
      </w:r>
      <w:r w:rsidRPr="00C24ACA">
        <w:rPr>
          <w:rFonts w:eastAsiaTheme="minorEastAsia"/>
          <w:kern w:val="0"/>
          <w:szCs w:val="21"/>
        </w:rPr>
        <w:t>554,642,975.13</w:t>
      </w:r>
      <w:r w:rsidRPr="00C24ACA">
        <w:rPr>
          <w:rFonts w:eastAsiaTheme="minorEastAsia"/>
          <w:kern w:val="0"/>
          <w:szCs w:val="21"/>
        </w:rPr>
        <w:t>份，下属分级基金的份额总额分别为：</w:t>
      </w:r>
      <w:r w:rsidRPr="00C24ACA">
        <w:rPr>
          <w:rFonts w:eastAsiaTheme="minorEastAsia"/>
          <w:kern w:val="0"/>
          <w:szCs w:val="21"/>
        </w:rPr>
        <w:t>A</w:t>
      </w:r>
      <w:r w:rsidRPr="00C24ACA">
        <w:rPr>
          <w:rFonts w:eastAsiaTheme="minorEastAsia"/>
          <w:kern w:val="0"/>
          <w:szCs w:val="21"/>
        </w:rPr>
        <w:t>类基金份额总额</w:t>
      </w:r>
      <w:r w:rsidRPr="00C24ACA">
        <w:rPr>
          <w:rFonts w:eastAsiaTheme="minorEastAsia"/>
          <w:kern w:val="0"/>
          <w:szCs w:val="21"/>
        </w:rPr>
        <w:t>528,153,985.41</w:t>
      </w:r>
      <w:r w:rsidRPr="00C24ACA">
        <w:rPr>
          <w:rFonts w:eastAsiaTheme="minorEastAsia"/>
          <w:kern w:val="0"/>
          <w:szCs w:val="21"/>
        </w:rPr>
        <w:t>份，</w:t>
      </w:r>
      <w:r w:rsidRPr="00C24ACA">
        <w:rPr>
          <w:rFonts w:eastAsiaTheme="minorEastAsia"/>
          <w:kern w:val="0"/>
          <w:szCs w:val="21"/>
        </w:rPr>
        <w:t>C</w:t>
      </w:r>
      <w:r w:rsidRPr="00C24ACA">
        <w:rPr>
          <w:rFonts w:eastAsiaTheme="minorEastAsia"/>
          <w:kern w:val="0"/>
          <w:szCs w:val="21"/>
        </w:rPr>
        <w:t>类基金份额总额</w:t>
      </w:r>
      <w:r w:rsidRPr="00C24ACA">
        <w:rPr>
          <w:rFonts w:eastAsiaTheme="minorEastAsia"/>
          <w:kern w:val="0"/>
          <w:szCs w:val="21"/>
        </w:rPr>
        <w:t>26,488,989.72</w:t>
      </w:r>
      <w:r w:rsidRPr="00C24ACA">
        <w:rPr>
          <w:rFonts w:eastAsiaTheme="minorEastAsia"/>
          <w:kern w:val="0"/>
          <w:szCs w:val="21"/>
        </w:rPr>
        <w:t>份。</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78" w:name="_Toc225498269"/>
      <w:bookmarkStart w:id="179" w:name="_Toc352255992"/>
      <w:bookmarkStart w:id="180" w:name="_Toc352256060"/>
      <w:bookmarkStart w:id="181" w:name="_Toc352331238"/>
      <w:bookmarkStart w:id="182" w:name="_Toc390164817"/>
      <w:bookmarkStart w:id="183" w:name="_Toc48659049"/>
      <w:r w:rsidRPr="0087359D">
        <w:rPr>
          <w:rFonts w:ascii="宋体" w:hAnsi="宋体"/>
          <w:kern w:val="0"/>
          <w:sz w:val="21"/>
          <w:szCs w:val="21"/>
        </w:rPr>
        <w:t>6.2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利润表</w:t>
      </w:r>
      <w:bookmarkEnd w:id="178"/>
      <w:bookmarkEnd w:id="179"/>
      <w:bookmarkEnd w:id="180"/>
      <w:bookmarkEnd w:id="181"/>
      <w:bookmarkEnd w:id="182"/>
      <w:bookmarkEnd w:id="183"/>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会计主体：</w:t>
      </w:r>
      <w:r w:rsidRPr="00C24ACA">
        <w:rPr>
          <w:rFonts w:eastAsiaTheme="minorEastAsia"/>
          <w:kern w:val="0"/>
          <w:szCs w:val="21"/>
        </w:rPr>
        <w:t>易方达中证海外中国互联网</w:t>
      </w:r>
      <w:r w:rsidRPr="00C24ACA">
        <w:rPr>
          <w:rFonts w:eastAsiaTheme="minorEastAsia"/>
          <w:kern w:val="0"/>
          <w:szCs w:val="21"/>
        </w:rPr>
        <w:t>50</w:t>
      </w:r>
      <w:r w:rsidRPr="00C24ACA">
        <w:rPr>
          <w:rFonts w:eastAsiaTheme="minorEastAsia"/>
          <w:kern w:val="0"/>
          <w:szCs w:val="21"/>
        </w:rPr>
        <w:t>交易型开放式指数证券投资基金联接基金</w:t>
      </w:r>
    </w:p>
    <w:p w:rsidR="008A5A5D" w:rsidRPr="00C24ACA" w:rsidRDefault="008A5A5D" w:rsidP="00316012">
      <w:pPr>
        <w:spacing w:line="360" w:lineRule="auto"/>
        <w:rPr>
          <w:rFonts w:eastAsiaTheme="minorEastAsia"/>
          <w:color w:val="000000"/>
          <w:kern w:val="0"/>
          <w:szCs w:val="21"/>
        </w:rPr>
      </w:pPr>
      <w:r w:rsidRPr="00C24ACA">
        <w:rPr>
          <w:rFonts w:eastAsiaTheme="minorEastAsia"/>
          <w:color w:val="000000"/>
          <w:szCs w:val="21"/>
        </w:rPr>
        <w:t>本报告期：</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1</w:t>
      </w:r>
      <w:r w:rsidR="00AC4A34" w:rsidRPr="00C24ACA">
        <w:rPr>
          <w:rFonts w:eastAsiaTheme="minorEastAsia"/>
          <w:kern w:val="0"/>
          <w:szCs w:val="21"/>
        </w:rPr>
        <w:t>月</w:t>
      </w:r>
      <w:r w:rsidR="00AC4A34" w:rsidRPr="00C24ACA">
        <w:rPr>
          <w:rFonts w:eastAsiaTheme="minorEastAsia"/>
          <w:kern w:val="0"/>
          <w:szCs w:val="21"/>
        </w:rPr>
        <w:t>1</w:t>
      </w:r>
      <w:r w:rsidR="00AC4A34" w:rsidRPr="00C24ACA">
        <w:rPr>
          <w:rFonts w:eastAsiaTheme="minorEastAsia"/>
          <w:kern w:val="0"/>
          <w:szCs w:val="21"/>
        </w:rPr>
        <w:t>日</w:t>
      </w:r>
      <w:r w:rsidRPr="00C24ACA">
        <w:rPr>
          <w:rFonts w:eastAsiaTheme="minorEastAsia"/>
          <w:kern w:val="0"/>
          <w:szCs w:val="21"/>
        </w:rPr>
        <w:t>至</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6</w:t>
      </w:r>
      <w:r w:rsidR="00AC4A34" w:rsidRPr="00C24ACA">
        <w:rPr>
          <w:rFonts w:eastAsiaTheme="minorEastAsia"/>
          <w:kern w:val="0"/>
          <w:szCs w:val="21"/>
        </w:rPr>
        <w:t>月</w:t>
      </w:r>
      <w:r w:rsidR="00AC4A34" w:rsidRPr="00C24ACA">
        <w:rPr>
          <w:rFonts w:eastAsiaTheme="minorEastAsia"/>
          <w:kern w:val="0"/>
          <w:szCs w:val="21"/>
        </w:rPr>
        <w:t>30</w:t>
      </w:r>
      <w:r w:rsidR="00AC4A34" w:rsidRPr="00C24ACA">
        <w:rPr>
          <w:rFonts w:eastAsiaTheme="minorEastAsia"/>
          <w:kern w:val="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8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49"/>
        <w:gridCol w:w="2249"/>
      </w:tblGrid>
      <w:tr w:rsidR="008A5A5D" w:rsidRPr="00C24ACA" w:rsidTr="00623305">
        <w:tc>
          <w:tcPr>
            <w:tcW w:w="3420" w:type="dxa"/>
            <w:vAlign w:val="center"/>
          </w:tcPr>
          <w:p w:rsidR="008A5A5D" w:rsidRPr="00C24ACA" w:rsidRDefault="008A5A5D" w:rsidP="00D321AF">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项目</w:t>
            </w:r>
          </w:p>
        </w:tc>
        <w:tc>
          <w:tcPr>
            <w:tcW w:w="108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25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w:t>
            </w:r>
          </w:p>
          <w:p w:rsidR="008A5A5D" w:rsidRPr="00C24ACA" w:rsidRDefault="00AC4A34"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日</w:t>
            </w:r>
            <w:r w:rsidR="008A5A5D" w:rsidRPr="00C24ACA">
              <w:rPr>
                <w:rFonts w:ascii="Times New Roman" w:eastAsiaTheme="minorEastAsia" w:hAnsi="Times New Roman"/>
                <w:b/>
                <w:sz w:val="21"/>
                <w:szCs w:val="21"/>
              </w:rPr>
              <w:t>至</w:t>
            </w: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6</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30</w:t>
            </w:r>
            <w:r w:rsidRPr="00C24ACA">
              <w:rPr>
                <w:rFonts w:ascii="Times New Roman" w:eastAsiaTheme="minorEastAsia" w:hAnsi="Times New Roman"/>
                <w:b/>
                <w:sz w:val="21"/>
                <w:szCs w:val="21"/>
              </w:rPr>
              <w:t>日</w:t>
            </w:r>
          </w:p>
        </w:tc>
        <w:tc>
          <w:tcPr>
            <w:tcW w:w="225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上年度可比期间</w:t>
            </w:r>
          </w:p>
          <w:p w:rsidR="008A5A5D" w:rsidRPr="00C24ACA" w:rsidRDefault="00BD0707"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18</w:t>
            </w:r>
            <w:r w:rsidRPr="00C24ACA">
              <w:rPr>
                <w:rFonts w:ascii="Times New Roman" w:eastAsiaTheme="minorEastAsia" w:hAnsi="Times New Roman"/>
                <w:b/>
                <w:color w:val="000000"/>
                <w:sz w:val="21"/>
                <w:szCs w:val="21"/>
              </w:rPr>
              <w:t>日（基金合同生效日）至</w:t>
            </w: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6</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30</w:t>
            </w:r>
            <w:r w:rsidRPr="00C24ACA">
              <w:rPr>
                <w:rFonts w:ascii="Times New Roman" w:eastAsiaTheme="minorEastAsia" w:hAnsi="Times New Roman"/>
                <w:b/>
                <w:color w:val="000000"/>
                <w:sz w:val="21"/>
                <w:szCs w:val="21"/>
              </w:rPr>
              <w:t>日</w:t>
            </w:r>
          </w:p>
        </w:tc>
      </w:tr>
      <w:tr w:rsidR="00AE103C" w:rsidRPr="00C24ACA" w:rsidTr="00623305">
        <w:tc>
          <w:tcPr>
            <w:tcW w:w="3420" w:type="dxa"/>
          </w:tcPr>
          <w:p w:rsidR="00AE103C" w:rsidRPr="00C24ACA" w:rsidRDefault="00AE103C">
            <w:pPr>
              <w:rPr>
                <w:rFonts w:eastAsiaTheme="minorEastAsia"/>
                <w:b/>
                <w:color w:val="000000"/>
                <w:szCs w:val="21"/>
              </w:rPr>
            </w:pPr>
            <w:r w:rsidRPr="00C24ACA">
              <w:rPr>
                <w:rFonts w:eastAsiaTheme="minorEastAsia"/>
                <w:b/>
                <w:color w:val="000000"/>
                <w:szCs w:val="21"/>
              </w:rPr>
              <w:t>一、收入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140,624,393.38</w:t>
            </w:r>
          </w:p>
        </w:tc>
        <w:tc>
          <w:tcPr>
            <w:tcW w:w="225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88,805.92</w:t>
            </w:r>
          </w:p>
        </w:tc>
      </w:tr>
      <w:tr w:rsidR="00AE103C" w:rsidRPr="00C24ACA" w:rsidTr="00623305">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84,055.76</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736,310.82</w:t>
            </w:r>
          </w:p>
        </w:tc>
      </w:tr>
      <w:tr w:rsidR="00AE103C" w:rsidRPr="00C24ACA" w:rsidTr="00623305">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其中：存款利息收入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6.4.7.11</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84,055.76</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358,100.77</w:t>
            </w:r>
          </w:p>
        </w:tc>
      </w:tr>
      <w:tr w:rsidR="00AE103C" w:rsidRPr="00C24ACA" w:rsidTr="00623305">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买入返售金融资产收入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378,210.05</w:t>
            </w:r>
          </w:p>
        </w:tc>
      </w:tr>
      <w:tr w:rsidR="00AE103C" w:rsidRPr="00C24ACA" w:rsidTr="00623305">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其他利息收入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投资收益（损失以</w:t>
            </w:r>
            <w:r w:rsidRPr="00C24ACA">
              <w:rPr>
                <w:rFonts w:eastAsiaTheme="minorEastAsia"/>
                <w:color w:val="000000"/>
                <w:szCs w:val="21"/>
              </w:rPr>
              <w:t>“-”</w:t>
            </w:r>
            <w:r w:rsidRPr="00C24ACA">
              <w:rPr>
                <w:rFonts w:eastAsiaTheme="minorEastAsia"/>
                <w:color w:val="000000"/>
                <w:szCs w:val="21"/>
              </w:rPr>
              <w:t>填列）</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10,409,364.38</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-26,708.82</w:t>
            </w:r>
          </w:p>
        </w:tc>
      </w:tr>
      <w:tr w:rsidR="00AE103C" w:rsidRPr="00C24ACA" w:rsidTr="00623305">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其中：股票投资收益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6.4.7.12</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vAlign w:val="center"/>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基金投资收益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6.4.7.13</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10,409,364.38</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-26,708.82</w:t>
            </w:r>
          </w:p>
        </w:tc>
      </w:tr>
      <w:tr w:rsidR="00AE103C" w:rsidRPr="00C24ACA" w:rsidTr="00623305">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6.4.7.14</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rsidP="008134C7">
            <w:pPr>
              <w:ind w:firstLineChars="300" w:firstLine="630"/>
              <w:rPr>
                <w:rFonts w:eastAsiaTheme="minorEastAsia"/>
                <w:color w:val="000000"/>
                <w:szCs w:val="21"/>
              </w:rPr>
            </w:pPr>
            <w:r w:rsidRPr="00224952">
              <w:rPr>
                <w:rFonts w:hint="eastAsia"/>
              </w:rPr>
              <w:t>贵金属投资收益</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center"/>
          </w:tcPr>
          <w:p w:rsidR="0076511D" w:rsidRPr="00224952" w:rsidRDefault="0076511D" w:rsidP="00742218">
            <w:pPr>
              <w:spacing w:line="360" w:lineRule="auto"/>
              <w:jc w:val="right"/>
              <w:rPr>
                <w:color w:val="000000"/>
                <w:szCs w:val="21"/>
              </w:rPr>
            </w:pPr>
            <w:r w:rsidRPr="00224952">
              <w:rPr>
                <w:color w:val="000000"/>
                <w:szCs w:val="21"/>
              </w:rPr>
              <w:t>-</w:t>
            </w:r>
          </w:p>
        </w:tc>
        <w:tc>
          <w:tcPr>
            <w:tcW w:w="2250" w:type="dxa"/>
            <w:vAlign w:val="center"/>
          </w:tcPr>
          <w:p w:rsidR="0076511D" w:rsidRPr="00224952" w:rsidRDefault="0076511D" w:rsidP="00742218">
            <w:pPr>
              <w:spacing w:line="360" w:lineRule="auto"/>
              <w:jc w:val="right"/>
              <w:rPr>
                <w:color w:val="000000"/>
                <w:szCs w:val="21"/>
              </w:rPr>
            </w:pPr>
            <w:r w:rsidRPr="00224952">
              <w:rPr>
                <w:color w:val="000000"/>
                <w:szCs w:val="21"/>
              </w:rPr>
              <w:t>-</w:t>
            </w:r>
          </w:p>
        </w:tc>
      </w:tr>
      <w:tr w:rsidR="0076511D" w:rsidRPr="00C24ACA" w:rsidTr="00623305">
        <w:tc>
          <w:tcPr>
            <w:tcW w:w="3420" w:type="dxa"/>
          </w:tcPr>
          <w:p w:rsidR="0076511D" w:rsidRPr="00C24ACA" w:rsidRDefault="0076511D" w:rsidP="008134C7">
            <w:pPr>
              <w:ind w:firstLineChars="300" w:firstLine="630"/>
              <w:rPr>
                <w:rFonts w:eastAsiaTheme="minorEastAsia"/>
                <w:color w:val="000000"/>
                <w:szCs w:val="21"/>
              </w:rPr>
            </w:pPr>
            <w:r w:rsidRPr="00C24ACA">
              <w:rPr>
                <w:rFonts w:eastAsiaTheme="minorEastAsia"/>
                <w:color w:val="000000"/>
                <w:szCs w:val="21"/>
              </w:rPr>
              <w:t>衍生工具收益</w:t>
            </w:r>
          </w:p>
        </w:tc>
        <w:tc>
          <w:tcPr>
            <w:tcW w:w="1080" w:type="dxa"/>
            <w:vAlign w:val="center"/>
          </w:tcPr>
          <w:p w:rsidR="0076511D" w:rsidRPr="00C24ACA" w:rsidRDefault="0076511D" w:rsidP="00A97A4E">
            <w:pPr>
              <w:pStyle w:val="af6"/>
              <w:spacing w:line="360" w:lineRule="auto"/>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6.4.7.15</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rsidP="008134C7">
            <w:pPr>
              <w:ind w:firstLineChars="300" w:firstLine="630"/>
              <w:rPr>
                <w:rFonts w:eastAsiaTheme="minorEastAsia"/>
                <w:color w:val="000000"/>
                <w:szCs w:val="21"/>
              </w:rPr>
            </w:pPr>
            <w:r w:rsidRPr="00C24ACA">
              <w:rPr>
                <w:rFonts w:eastAsiaTheme="minorEastAsia"/>
                <w:color w:val="000000"/>
                <w:szCs w:val="21"/>
              </w:rPr>
              <w:t>股利收益</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6.4.7.16</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3.</w:t>
            </w:r>
            <w:r w:rsidRPr="00C24ACA">
              <w:rPr>
                <w:rFonts w:eastAsiaTheme="minorEastAsia"/>
                <w:color w:val="000000"/>
                <w:szCs w:val="21"/>
              </w:rPr>
              <w:t>公允价值变动收益（损失以</w:t>
            </w:r>
            <w:r w:rsidRPr="00C24ACA">
              <w:rPr>
                <w:rFonts w:eastAsiaTheme="minorEastAsia"/>
                <w:color w:val="000000"/>
                <w:szCs w:val="21"/>
              </w:rPr>
              <w:t>“-”</w:t>
            </w:r>
            <w:r w:rsidRPr="00C24ACA">
              <w:rPr>
                <w:rFonts w:eastAsiaTheme="minorEastAsia"/>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6.4.7.17</w:t>
            </w:r>
          </w:p>
        </w:tc>
        <w:tc>
          <w:tcPr>
            <w:tcW w:w="2250" w:type="dxa"/>
            <w:vAlign w:val="center"/>
          </w:tcPr>
          <w:p w:rsidR="0076511D" w:rsidRPr="00C24ACA" w:rsidRDefault="0076511D" w:rsidP="00C903E7">
            <w:pPr>
              <w:jc w:val="right"/>
              <w:rPr>
                <w:rFonts w:eastAsiaTheme="minorEastAsia"/>
                <w:color w:val="000000"/>
                <w:szCs w:val="21"/>
              </w:rPr>
            </w:pPr>
            <w:r w:rsidRPr="00C24ACA">
              <w:rPr>
                <w:rFonts w:eastAsiaTheme="minorEastAsia"/>
                <w:color w:val="000000"/>
                <w:szCs w:val="21"/>
              </w:rPr>
              <w:t>129,294,068.89</w:t>
            </w:r>
          </w:p>
        </w:tc>
        <w:tc>
          <w:tcPr>
            <w:tcW w:w="2250" w:type="dxa"/>
            <w:vAlign w:val="center"/>
          </w:tcPr>
          <w:p w:rsidR="0076511D" w:rsidRPr="00C24ACA" w:rsidRDefault="0076511D" w:rsidP="00C903E7">
            <w:pPr>
              <w:jc w:val="right"/>
              <w:rPr>
                <w:rFonts w:eastAsiaTheme="minorEastAsia"/>
                <w:color w:val="000000"/>
                <w:szCs w:val="21"/>
              </w:rPr>
            </w:pPr>
            <w:r w:rsidRPr="00C24ACA">
              <w:rPr>
                <w:rFonts w:eastAsiaTheme="minorEastAsia"/>
                <w:color w:val="000000"/>
                <w:szCs w:val="21"/>
              </w:rPr>
              <w:t>-841,987.58</w:t>
            </w:r>
          </w:p>
        </w:tc>
      </w:tr>
      <w:tr w:rsidR="0076511D" w:rsidRPr="00C24ACA" w:rsidTr="00623305">
        <w:tc>
          <w:tcPr>
            <w:tcW w:w="3420" w:type="dxa"/>
            <w:vAlign w:val="center"/>
          </w:tcPr>
          <w:p w:rsidR="0076511D" w:rsidRPr="00C24ACA" w:rsidRDefault="0076511D">
            <w:pPr>
              <w:pStyle w:val="af6"/>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4.</w:t>
            </w:r>
            <w:r w:rsidRPr="00C24ACA">
              <w:rPr>
                <w:rFonts w:ascii="Times New Roman" w:eastAsiaTheme="minorEastAsia" w:hAnsi="Times New Roman"/>
                <w:color w:val="000000"/>
                <w:sz w:val="21"/>
                <w:szCs w:val="21"/>
              </w:rPr>
              <w:t>汇兑收益（损失以</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83,937.85</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27,999.11</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其他收入（损失以</w:t>
            </w:r>
            <w:r w:rsidRPr="00C24ACA">
              <w:rPr>
                <w:rFonts w:eastAsiaTheme="minorEastAsia"/>
                <w:color w:val="000000"/>
                <w:szCs w:val="21"/>
              </w:rPr>
              <w:t>“-”</w:t>
            </w:r>
            <w:r w:rsidRPr="00C24ACA">
              <w:rPr>
                <w:rFonts w:eastAsiaTheme="minorEastAsia"/>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6.4.7.18</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752,966.50</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193,192.39</w:t>
            </w:r>
          </w:p>
        </w:tc>
      </w:tr>
      <w:tr w:rsidR="0076511D" w:rsidRPr="00C24ACA" w:rsidTr="00623305">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减：二、费用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342,478.92</w:t>
            </w: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578,725.34</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．管理人报酬</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104,706.15</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261,314.64</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．托管费</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43,627.54</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108,881.12</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3</w:t>
            </w:r>
            <w:r w:rsidRPr="00C24ACA">
              <w:rPr>
                <w:rFonts w:eastAsiaTheme="minorEastAsia"/>
                <w:color w:val="000000"/>
                <w:szCs w:val="21"/>
              </w:rPr>
              <w:t>．销售服务费</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69,834.31</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174,593.39</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4</w:t>
            </w:r>
            <w:r w:rsidRPr="00C24ACA">
              <w:rPr>
                <w:rFonts w:eastAsiaTheme="minorEastAsia"/>
                <w:color w:val="000000"/>
                <w:szCs w:val="21"/>
              </w:rPr>
              <w:t>．交易费用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6.4.7.19</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17,228.15</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2,954.99</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．利息支出</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其中：卖出回购金融资产支出</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993316" w:rsidRPr="00C24ACA" w:rsidTr="00623305">
        <w:tc>
          <w:tcPr>
            <w:tcW w:w="3420" w:type="dxa"/>
          </w:tcPr>
          <w:p w:rsidR="00993316" w:rsidRDefault="00993316">
            <w:pPr>
              <w:rPr>
                <w:rFonts w:eastAsiaTheme="minorEastAsia"/>
                <w:color w:val="000000"/>
                <w:szCs w:val="21"/>
              </w:rPr>
            </w:pPr>
            <w:r>
              <w:rPr>
                <w:rFonts w:eastAsiaTheme="minorEastAsia"/>
                <w:color w:val="000000"/>
                <w:szCs w:val="21"/>
              </w:rPr>
              <w:t>6</w:t>
            </w:r>
            <w:r>
              <w:rPr>
                <w:rFonts w:eastAsiaTheme="minorEastAsia" w:hint="eastAsia"/>
                <w:color w:val="000000"/>
                <w:szCs w:val="21"/>
              </w:rPr>
              <w:t>．税金及附加</w:t>
            </w:r>
          </w:p>
        </w:tc>
        <w:tc>
          <w:tcPr>
            <w:tcW w:w="1080" w:type="dxa"/>
            <w:vAlign w:val="center"/>
          </w:tcPr>
          <w:p w:rsidR="00993316" w:rsidRDefault="00993316">
            <w:pPr>
              <w:pStyle w:val="af6"/>
              <w:jc w:val="center"/>
              <w:rPr>
                <w:rFonts w:ascii="Times New Roman" w:eastAsiaTheme="minorEastAsia" w:hAnsi="Times New Roman"/>
                <w:color w:val="000000"/>
                <w:sz w:val="21"/>
                <w:szCs w:val="21"/>
              </w:rPr>
            </w:pPr>
          </w:p>
        </w:tc>
        <w:tc>
          <w:tcPr>
            <w:tcW w:w="2250" w:type="dxa"/>
            <w:vAlign w:val="bottom"/>
          </w:tcPr>
          <w:p w:rsidR="00993316" w:rsidRDefault="00993316">
            <w:pPr>
              <w:jc w:val="right"/>
              <w:rPr>
                <w:rFonts w:eastAsiaTheme="minorEastAsia"/>
                <w:color w:val="000000"/>
                <w:szCs w:val="21"/>
              </w:rPr>
            </w:pPr>
            <w:r>
              <w:rPr>
                <w:rFonts w:eastAsiaTheme="minorEastAsia"/>
                <w:color w:val="000000"/>
                <w:szCs w:val="21"/>
              </w:rPr>
              <w:t>26,196.35</w:t>
            </w:r>
          </w:p>
        </w:tc>
        <w:tc>
          <w:tcPr>
            <w:tcW w:w="2250" w:type="dxa"/>
            <w:vAlign w:val="bottom"/>
          </w:tcPr>
          <w:p w:rsidR="00993316" w:rsidRDefault="00993316">
            <w:pPr>
              <w:jc w:val="right"/>
              <w:rPr>
                <w:rFonts w:eastAsiaTheme="minorEastAsia"/>
                <w:color w:val="000000"/>
                <w:szCs w:val="21"/>
              </w:rPr>
            </w:pPr>
            <w:r>
              <w:rPr>
                <w:rFonts w:eastAsiaTheme="minorEastAsia"/>
                <w:color w:val="000000"/>
                <w:szCs w:val="21"/>
              </w:rPr>
              <w:t>-</w:t>
            </w:r>
          </w:p>
        </w:tc>
      </w:tr>
      <w:tr w:rsidR="00993316" w:rsidRPr="00C24ACA" w:rsidTr="00623305">
        <w:tc>
          <w:tcPr>
            <w:tcW w:w="3420" w:type="dxa"/>
          </w:tcPr>
          <w:p w:rsidR="00993316" w:rsidRDefault="00993316">
            <w:pPr>
              <w:rPr>
                <w:rFonts w:eastAsiaTheme="minorEastAsia"/>
                <w:color w:val="000000"/>
                <w:szCs w:val="21"/>
              </w:rPr>
            </w:pPr>
            <w:r>
              <w:rPr>
                <w:rFonts w:eastAsiaTheme="minorEastAsia"/>
                <w:color w:val="000000"/>
                <w:szCs w:val="21"/>
              </w:rPr>
              <w:t>7</w:t>
            </w:r>
            <w:r>
              <w:rPr>
                <w:rFonts w:eastAsiaTheme="minorEastAsia" w:hint="eastAsia"/>
                <w:color w:val="000000"/>
                <w:szCs w:val="21"/>
              </w:rPr>
              <w:t>．其他费用</w:t>
            </w:r>
          </w:p>
        </w:tc>
        <w:tc>
          <w:tcPr>
            <w:tcW w:w="1080" w:type="dxa"/>
            <w:vAlign w:val="center"/>
          </w:tcPr>
          <w:p w:rsidR="00993316" w:rsidRDefault="00993316">
            <w:pPr>
              <w:pStyle w:val="af6"/>
              <w:jc w:val="center"/>
              <w:rPr>
                <w:rFonts w:ascii="Times New Roman" w:eastAsiaTheme="minorEastAsia" w:hAnsi="Times New Roman"/>
                <w:color w:val="000000"/>
                <w:sz w:val="21"/>
                <w:szCs w:val="21"/>
              </w:rPr>
            </w:pPr>
            <w:r>
              <w:rPr>
                <w:rFonts w:ascii="Times New Roman" w:eastAsiaTheme="minorEastAsia" w:hAnsi="Times New Roman"/>
                <w:color w:val="000000"/>
                <w:sz w:val="21"/>
                <w:szCs w:val="21"/>
              </w:rPr>
              <w:t>6.4.7.20</w:t>
            </w:r>
          </w:p>
        </w:tc>
        <w:tc>
          <w:tcPr>
            <w:tcW w:w="2250" w:type="dxa"/>
            <w:vAlign w:val="bottom"/>
          </w:tcPr>
          <w:p w:rsidR="00993316" w:rsidRDefault="00993316">
            <w:pPr>
              <w:jc w:val="right"/>
              <w:rPr>
                <w:rFonts w:eastAsiaTheme="minorEastAsia"/>
                <w:color w:val="000000"/>
                <w:szCs w:val="21"/>
              </w:rPr>
            </w:pPr>
            <w:r>
              <w:rPr>
                <w:rFonts w:eastAsiaTheme="minorEastAsia"/>
                <w:color w:val="000000"/>
                <w:szCs w:val="21"/>
              </w:rPr>
              <w:t>80,886.42</w:t>
            </w:r>
          </w:p>
        </w:tc>
        <w:tc>
          <w:tcPr>
            <w:tcW w:w="2250" w:type="dxa"/>
            <w:vAlign w:val="bottom"/>
          </w:tcPr>
          <w:p w:rsidR="00993316" w:rsidRDefault="00993316">
            <w:pPr>
              <w:jc w:val="right"/>
              <w:rPr>
                <w:rFonts w:eastAsiaTheme="minorEastAsia"/>
                <w:color w:val="000000"/>
                <w:szCs w:val="21"/>
              </w:rPr>
            </w:pPr>
            <w:r>
              <w:rPr>
                <w:rFonts w:eastAsiaTheme="minorEastAsia"/>
                <w:color w:val="000000"/>
                <w:szCs w:val="21"/>
              </w:rPr>
              <w:t>30,981.20</w:t>
            </w:r>
          </w:p>
        </w:tc>
      </w:tr>
      <w:tr w:rsidR="0076511D" w:rsidRPr="00C24ACA" w:rsidTr="00623305">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三、利润总额（亏损总额以</w:t>
            </w:r>
            <w:r w:rsidRPr="00C24ACA">
              <w:rPr>
                <w:rFonts w:eastAsiaTheme="minorEastAsia"/>
                <w:b/>
                <w:color w:val="000000"/>
                <w:szCs w:val="21"/>
              </w:rPr>
              <w:t>“-”</w:t>
            </w:r>
            <w:r w:rsidRPr="00C24ACA">
              <w:rPr>
                <w:rFonts w:eastAsiaTheme="minorEastAsia"/>
                <w:b/>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center"/>
          </w:tcPr>
          <w:p w:rsidR="0076511D" w:rsidRPr="00C24ACA" w:rsidRDefault="0076511D" w:rsidP="00C903E7">
            <w:pPr>
              <w:jc w:val="right"/>
              <w:rPr>
                <w:rFonts w:eastAsiaTheme="minorEastAsia"/>
                <w:b/>
                <w:color w:val="000000"/>
                <w:szCs w:val="21"/>
              </w:rPr>
            </w:pPr>
            <w:r w:rsidRPr="00C24ACA">
              <w:rPr>
                <w:rFonts w:eastAsiaTheme="minorEastAsia"/>
                <w:b/>
                <w:color w:val="000000"/>
                <w:szCs w:val="21"/>
              </w:rPr>
              <w:t>140,281,914.46</w:t>
            </w:r>
          </w:p>
        </w:tc>
        <w:tc>
          <w:tcPr>
            <w:tcW w:w="2250" w:type="dxa"/>
            <w:vAlign w:val="center"/>
          </w:tcPr>
          <w:p w:rsidR="0076511D" w:rsidRPr="00C24ACA" w:rsidRDefault="0076511D" w:rsidP="00C903E7">
            <w:pPr>
              <w:jc w:val="right"/>
              <w:rPr>
                <w:rFonts w:eastAsiaTheme="minorEastAsia"/>
                <w:b/>
                <w:color w:val="000000"/>
                <w:szCs w:val="21"/>
              </w:rPr>
            </w:pPr>
            <w:r w:rsidRPr="00C24ACA">
              <w:rPr>
                <w:rFonts w:eastAsiaTheme="minorEastAsia"/>
                <w:b/>
                <w:color w:val="000000"/>
                <w:szCs w:val="21"/>
              </w:rPr>
              <w:t>-489,919.42</w:t>
            </w:r>
          </w:p>
        </w:tc>
      </w:tr>
      <w:tr w:rsidR="0076511D" w:rsidRPr="00C24ACA" w:rsidTr="00623305">
        <w:tc>
          <w:tcPr>
            <w:tcW w:w="3420" w:type="dxa"/>
          </w:tcPr>
          <w:p w:rsidR="0076511D" w:rsidRPr="00C24ACA" w:rsidRDefault="0076511D">
            <w:pPr>
              <w:rPr>
                <w:rFonts w:eastAsiaTheme="minorEastAsia"/>
                <w:b/>
                <w:color w:val="000000"/>
                <w:szCs w:val="21"/>
              </w:rPr>
            </w:pPr>
            <w:r w:rsidRPr="00C24ACA">
              <w:rPr>
                <w:rFonts w:eastAsiaTheme="minorEastAsia"/>
                <w:szCs w:val="21"/>
              </w:rPr>
              <w:t>减：所得税费用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四、净利润（净亏损以</w:t>
            </w:r>
            <w:r w:rsidRPr="00C24ACA">
              <w:rPr>
                <w:rFonts w:eastAsiaTheme="minorEastAsia"/>
                <w:b/>
                <w:color w:val="000000"/>
                <w:szCs w:val="21"/>
              </w:rPr>
              <w:t>“-”</w:t>
            </w:r>
            <w:r w:rsidRPr="00C24ACA">
              <w:rPr>
                <w:rFonts w:eastAsiaTheme="minorEastAsia"/>
                <w:b/>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140,281,914.46</w:t>
            </w: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-489,919.42</w:t>
            </w:r>
          </w:p>
        </w:tc>
      </w:tr>
    </w:tbl>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注：本基金合同生效日为</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1</w:t>
      </w:r>
      <w:r w:rsidRPr="00C24ACA">
        <w:rPr>
          <w:rFonts w:eastAsiaTheme="minorEastAsia"/>
          <w:kern w:val="0"/>
          <w:szCs w:val="21"/>
        </w:rPr>
        <w:t>月</w:t>
      </w:r>
      <w:r w:rsidRPr="00C24ACA">
        <w:rPr>
          <w:rFonts w:eastAsiaTheme="minorEastAsia"/>
          <w:kern w:val="0"/>
          <w:szCs w:val="21"/>
        </w:rPr>
        <w:t>18</w:t>
      </w:r>
      <w:r w:rsidRPr="00C24ACA">
        <w:rPr>
          <w:rFonts w:eastAsiaTheme="minorEastAsia"/>
          <w:kern w:val="0"/>
          <w:szCs w:val="21"/>
        </w:rPr>
        <w:t>日，上年度可比期间为</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1</w:t>
      </w:r>
      <w:r w:rsidRPr="00C24ACA">
        <w:rPr>
          <w:rFonts w:eastAsiaTheme="minorEastAsia"/>
          <w:kern w:val="0"/>
          <w:szCs w:val="21"/>
        </w:rPr>
        <w:t>月</w:t>
      </w:r>
      <w:r w:rsidRPr="00C24ACA">
        <w:rPr>
          <w:rFonts w:eastAsiaTheme="minorEastAsia"/>
          <w:kern w:val="0"/>
          <w:szCs w:val="21"/>
        </w:rPr>
        <w:t>18</w:t>
      </w:r>
      <w:r w:rsidRPr="00C24ACA">
        <w:rPr>
          <w:rFonts w:eastAsiaTheme="minorEastAsia"/>
          <w:kern w:val="0"/>
          <w:szCs w:val="21"/>
        </w:rPr>
        <w:t>日至</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84" w:name="_Toc225498270"/>
      <w:bookmarkStart w:id="185" w:name="_Toc352255993"/>
      <w:bookmarkStart w:id="186" w:name="_Toc352256061"/>
      <w:bookmarkStart w:id="187" w:name="_Toc352331239"/>
      <w:bookmarkStart w:id="188" w:name="_Toc390164818"/>
      <w:bookmarkStart w:id="189" w:name="_Toc48659050"/>
      <w:r w:rsidRPr="0087359D">
        <w:rPr>
          <w:rFonts w:ascii="宋体" w:hAnsi="宋体"/>
          <w:kern w:val="0"/>
          <w:sz w:val="21"/>
          <w:szCs w:val="21"/>
        </w:rPr>
        <w:t>6.3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所有者权益（基金净值）变动表</w:t>
      </w:r>
      <w:bookmarkEnd w:id="184"/>
      <w:bookmarkEnd w:id="185"/>
      <w:bookmarkEnd w:id="186"/>
      <w:bookmarkEnd w:id="187"/>
      <w:bookmarkEnd w:id="188"/>
      <w:bookmarkEnd w:id="189"/>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会计主体：</w:t>
      </w:r>
      <w:r w:rsidRPr="00C24ACA">
        <w:rPr>
          <w:rFonts w:eastAsiaTheme="minorEastAsia"/>
          <w:kern w:val="0"/>
          <w:szCs w:val="21"/>
        </w:rPr>
        <w:t>易方达中证海外中国互联网</w:t>
      </w:r>
      <w:r w:rsidRPr="00C24ACA">
        <w:rPr>
          <w:rFonts w:eastAsiaTheme="minorEastAsia"/>
          <w:kern w:val="0"/>
          <w:szCs w:val="21"/>
        </w:rPr>
        <w:t>50</w:t>
      </w:r>
      <w:r w:rsidRPr="00C24ACA">
        <w:rPr>
          <w:rFonts w:eastAsiaTheme="minorEastAsia"/>
          <w:kern w:val="0"/>
          <w:szCs w:val="21"/>
        </w:rPr>
        <w:t>交易型开放式指数证券投资基金联接基金</w:t>
      </w:r>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本报告期：</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1</w:t>
      </w:r>
      <w:r w:rsidR="00AC4A34" w:rsidRPr="00C24ACA">
        <w:rPr>
          <w:rFonts w:eastAsiaTheme="minorEastAsia"/>
          <w:kern w:val="0"/>
          <w:szCs w:val="21"/>
        </w:rPr>
        <w:t>月</w:t>
      </w:r>
      <w:r w:rsidR="00AC4A34" w:rsidRPr="00C24ACA">
        <w:rPr>
          <w:rFonts w:eastAsiaTheme="minorEastAsia"/>
          <w:kern w:val="0"/>
          <w:szCs w:val="21"/>
        </w:rPr>
        <w:t>1</w:t>
      </w:r>
      <w:r w:rsidR="00AC4A34" w:rsidRPr="00C24ACA">
        <w:rPr>
          <w:rFonts w:eastAsiaTheme="minorEastAsia"/>
          <w:kern w:val="0"/>
          <w:szCs w:val="21"/>
        </w:rPr>
        <w:t>日</w:t>
      </w:r>
      <w:r w:rsidRPr="00C24ACA">
        <w:rPr>
          <w:rFonts w:eastAsiaTheme="minorEastAsia"/>
          <w:kern w:val="0"/>
          <w:szCs w:val="21"/>
        </w:rPr>
        <w:t>至</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6</w:t>
      </w:r>
      <w:r w:rsidR="00AC4A34" w:rsidRPr="00C24ACA">
        <w:rPr>
          <w:rFonts w:eastAsiaTheme="minorEastAsia"/>
          <w:kern w:val="0"/>
          <w:szCs w:val="21"/>
        </w:rPr>
        <w:t>月</w:t>
      </w:r>
      <w:r w:rsidR="00AC4A34" w:rsidRPr="00C24ACA">
        <w:rPr>
          <w:rFonts w:eastAsiaTheme="minorEastAsia"/>
          <w:kern w:val="0"/>
          <w:szCs w:val="21"/>
        </w:rPr>
        <w:t>30</w:t>
      </w:r>
      <w:r w:rsidR="00AC4A34" w:rsidRPr="00C24ACA">
        <w:rPr>
          <w:rFonts w:eastAsiaTheme="minorEastAsia"/>
          <w:kern w:val="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8A5A5D" w:rsidRPr="00C24ACA" w:rsidTr="006D141C">
        <w:tc>
          <w:tcPr>
            <w:tcW w:w="2835" w:type="dxa"/>
            <w:vMerge w:val="restart"/>
            <w:vAlign w:val="center"/>
          </w:tcPr>
          <w:p w:rsidR="008A5A5D" w:rsidRPr="00C24ACA" w:rsidRDefault="008A5A5D" w:rsidP="00C96D24">
            <w:pPr>
              <w:jc w:val="center"/>
              <w:rPr>
                <w:rFonts w:eastAsiaTheme="minorEastAsia"/>
                <w:b/>
                <w:color w:val="000000"/>
                <w:szCs w:val="21"/>
              </w:rPr>
            </w:pPr>
            <w:r w:rsidRPr="00C24ACA">
              <w:rPr>
                <w:rFonts w:eastAsiaTheme="minorEastAsia"/>
                <w:b/>
                <w:color w:val="000000"/>
                <w:szCs w:val="21"/>
              </w:rPr>
              <w:t>项目</w:t>
            </w:r>
          </w:p>
        </w:tc>
        <w:tc>
          <w:tcPr>
            <w:tcW w:w="6165" w:type="dxa"/>
            <w:gridSpan w:val="3"/>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本期</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日</w:t>
            </w:r>
            <w:r w:rsidR="008A5A5D" w:rsidRPr="00C24ACA">
              <w:rPr>
                <w:rFonts w:ascii="Times New Roman" w:eastAsiaTheme="minorEastAsia" w:hAnsi="Times New Roman"/>
                <w:b/>
                <w:sz w:val="21"/>
                <w:szCs w:val="21"/>
              </w:rPr>
              <w:t>至</w:t>
            </w: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6</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30</w:t>
            </w:r>
            <w:r w:rsidRPr="00C24ACA">
              <w:rPr>
                <w:rFonts w:ascii="Times New Roman" w:eastAsiaTheme="minorEastAsia" w:hAnsi="Times New Roman"/>
                <w:b/>
                <w:sz w:val="21"/>
                <w:szCs w:val="21"/>
              </w:rPr>
              <w:t>日</w:t>
            </w:r>
          </w:p>
        </w:tc>
      </w:tr>
      <w:tr w:rsidR="008A5A5D" w:rsidRPr="00C24ACA" w:rsidTr="006D141C">
        <w:tc>
          <w:tcPr>
            <w:tcW w:w="2835" w:type="dxa"/>
            <w:vMerge/>
            <w:vAlign w:val="center"/>
          </w:tcPr>
          <w:p w:rsidR="008A5A5D" w:rsidRPr="00C24ACA" w:rsidRDefault="008A5A5D">
            <w:pPr>
              <w:widowControl/>
              <w:jc w:val="left"/>
              <w:rPr>
                <w:rFonts w:eastAsiaTheme="minorEastAsia"/>
                <w:b/>
                <w:color w:val="000000"/>
                <w:szCs w:val="21"/>
              </w:rPr>
            </w:pPr>
          </w:p>
        </w:tc>
        <w:tc>
          <w:tcPr>
            <w:tcW w:w="2127" w:type="dxa"/>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实收基金</w:t>
            </w:r>
          </w:p>
        </w:tc>
        <w:tc>
          <w:tcPr>
            <w:tcW w:w="1984" w:type="dxa"/>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未分配利润</w:t>
            </w:r>
          </w:p>
        </w:tc>
        <w:tc>
          <w:tcPr>
            <w:tcW w:w="2054" w:type="dxa"/>
            <w:vAlign w:val="center"/>
          </w:tcPr>
          <w:p w:rsidR="008A5A5D" w:rsidRPr="00C24ACA" w:rsidRDefault="008A5A5D">
            <w:pPr>
              <w:jc w:val="center"/>
              <w:rPr>
                <w:rFonts w:eastAsiaTheme="minorEastAsia"/>
                <w:color w:val="000000"/>
                <w:szCs w:val="21"/>
              </w:rPr>
            </w:pPr>
            <w:r w:rsidRPr="00C24ACA">
              <w:rPr>
                <w:rFonts w:eastAsiaTheme="minorEastAsia"/>
                <w:b/>
                <w:color w:val="000000"/>
                <w:szCs w:val="21"/>
              </w:rPr>
              <w:t>所有者权益合计</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一、期初所有者权益（基金净值）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134,990,066.04</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16,885,231.35</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151,875,297.39</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二、本期经营活动产生的基金净值变动数（本期利润）</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140,281,914.46</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140,281,914.46</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三、本期基金份额交易产生的基金净值变动数（净值减少以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419,652,909.09</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60,037,608.06</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479,690,517.15</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其中：</w:t>
            </w:r>
            <w:r w:rsidRPr="00C24ACA">
              <w:rPr>
                <w:rFonts w:eastAsiaTheme="minorEastAsia"/>
                <w:color w:val="000000"/>
                <w:szCs w:val="21"/>
              </w:rPr>
              <w:t>1.</w:t>
            </w:r>
            <w:r w:rsidRPr="00C24ACA">
              <w:rPr>
                <w:rFonts w:eastAsiaTheme="minorEastAsia"/>
                <w:color w:val="000000"/>
                <w:szCs w:val="21"/>
              </w:rPr>
              <w:t>基金申购款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634,198,833.34</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102,118,828.01</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736,317,661.35</w:t>
            </w:r>
          </w:p>
        </w:tc>
      </w:tr>
      <w:tr w:rsidR="008A5A5D" w:rsidRPr="00C24ACA" w:rsidTr="00C903E7">
        <w:tc>
          <w:tcPr>
            <w:tcW w:w="2835" w:type="dxa"/>
          </w:tcPr>
          <w:p w:rsidR="008A5A5D" w:rsidRPr="00C24ACA" w:rsidRDefault="008A5A5D" w:rsidP="008134C7">
            <w:pPr>
              <w:ind w:firstLineChars="300" w:firstLine="630"/>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基金赎回款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-214,545,924.25</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-42,081,219.95</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-256,627,144.20</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四、本期向基金份额持有人分配利润产生的基金净值变动（净值减少以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五、期末所有者权益（基金净值）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554,642,975.13</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217,204,753.87</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771,847,729.00</w:t>
            </w:r>
          </w:p>
        </w:tc>
      </w:tr>
      <w:tr w:rsidR="008A5A5D" w:rsidRPr="00C24ACA" w:rsidTr="006D141C">
        <w:tc>
          <w:tcPr>
            <w:tcW w:w="2835" w:type="dxa"/>
            <w:vMerge w:val="restart"/>
            <w:vAlign w:val="center"/>
          </w:tcPr>
          <w:p w:rsidR="008A5A5D" w:rsidRPr="00C24ACA" w:rsidRDefault="008A5A5D">
            <w:pPr>
              <w:jc w:val="center"/>
              <w:rPr>
                <w:rFonts w:eastAsiaTheme="minorEastAsia"/>
                <w:color w:val="000000"/>
                <w:szCs w:val="21"/>
              </w:rPr>
            </w:pPr>
            <w:r w:rsidRPr="00C24ACA">
              <w:rPr>
                <w:rFonts w:eastAsiaTheme="minorEastAsia"/>
                <w:b/>
                <w:color w:val="000000"/>
                <w:szCs w:val="21"/>
              </w:rPr>
              <w:t>项目</w:t>
            </w:r>
          </w:p>
        </w:tc>
        <w:tc>
          <w:tcPr>
            <w:tcW w:w="6165" w:type="dxa"/>
            <w:gridSpan w:val="3"/>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上年度可比期间</w:t>
            </w:r>
          </w:p>
          <w:p w:rsidR="008A5A5D" w:rsidRPr="00C24ACA" w:rsidRDefault="00BD0707">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18</w:t>
            </w:r>
            <w:r w:rsidRPr="00C24ACA">
              <w:rPr>
                <w:rFonts w:ascii="Times New Roman" w:eastAsiaTheme="minorEastAsia" w:hAnsi="Times New Roman"/>
                <w:b/>
                <w:color w:val="000000"/>
                <w:sz w:val="21"/>
                <w:szCs w:val="21"/>
              </w:rPr>
              <w:t>日（基金合同生效日）至</w:t>
            </w: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6</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30</w:t>
            </w:r>
            <w:r w:rsidRPr="00C24ACA">
              <w:rPr>
                <w:rFonts w:ascii="Times New Roman" w:eastAsiaTheme="minorEastAsia" w:hAnsi="Times New Roman"/>
                <w:b/>
                <w:color w:val="000000"/>
                <w:sz w:val="21"/>
                <w:szCs w:val="21"/>
              </w:rPr>
              <w:t>日</w:t>
            </w:r>
          </w:p>
        </w:tc>
      </w:tr>
      <w:tr w:rsidR="008A5A5D" w:rsidRPr="00C24ACA" w:rsidTr="008964A8">
        <w:tc>
          <w:tcPr>
            <w:tcW w:w="2835" w:type="dxa"/>
            <w:vMerge/>
            <w:vAlign w:val="center"/>
          </w:tcPr>
          <w:p w:rsidR="008A5A5D" w:rsidRPr="00C24ACA" w:rsidRDefault="008A5A5D">
            <w:pPr>
              <w:widowControl/>
              <w:jc w:val="left"/>
              <w:rPr>
                <w:rFonts w:eastAsiaTheme="minorEastAsia"/>
                <w:color w:val="000000"/>
                <w:szCs w:val="21"/>
              </w:rPr>
            </w:pPr>
          </w:p>
        </w:tc>
        <w:tc>
          <w:tcPr>
            <w:tcW w:w="2127" w:type="dxa"/>
            <w:vAlign w:val="center"/>
          </w:tcPr>
          <w:p w:rsidR="008A5A5D" w:rsidRPr="00C24ACA" w:rsidRDefault="008A5A5D" w:rsidP="00E069E3">
            <w:pPr>
              <w:jc w:val="center"/>
              <w:rPr>
                <w:rFonts w:eastAsiaTheme="minorEastAsia"/>
                <w:color w:val="000000"/>
                <w:szCs w:val="21"/>
              </w:rPr>
            </w:pPr>
            <w:r w:rsidRPr="00C24ACA">
              <w:rPr>
                <w:rFonts w:eastAsiaTheme="minorEastAsia"/>
                <w:b/>
                <w:color w:val="000000"/>
                <w:szCs w:val="21"/>
              </w:rPr>
              <w:t>实收基金</w:t>
            </w:r>
          </w:p>
        </w:tc>
        <w:tc>
          <w:tcPr>
            <w:tcW w:w="1984" w:type="dxa"/>
            <w:vAlign w:val="center"/>
          </w:tcPr>
          <w:p w:rsidR="008A5A5D" w:rsidRPr="00C24ACA" w:rsidRDefault="008A5A5D" w:rsidP="008964A8">
            <w:pPr>
              <w:jc w:val="center"/>
              <w:rPr>
                <w:rFonts w:eastAsiaTheme="minorEastAsia"/>
                <w:color w:val="000000"/>
                <w:szCs w:val="21"/>
              </w:rPr>
            </w:pPr>
            <w:r w:rsidRPr="00C24ACA">
              <w:rPr>
                <w:rFonts w:eastAsiaTheme="minorEastAsia"/>
                <w:b/>
                <w:color w:val="000000"/>
                <w:szCs w:val="21"/>
              </w:rPr>
              <w:t>未分配利润</w:t>
            </w:r>
          </w:p>
        </w:tc>
        <w:tc>
          <w:tcPr>
            <w:tcW w:w="2054" w:type="dxa"/>
            <w:vAlign w:val="center"/>
          </w:tcPr>
          <w:p w:rsidR="008A5A5D" w:rsidRPr="00C24ACA" w:rsidRDefault="008A5A5D" w:rsidP="008964A8">
            <w:pPr>
              <w:jc w:val="center"/>
              <w:rPr>
                <w:rFonts w:eastAsiaTheme="minorEastAsia"/>
                <w:b/>
                <w:color w:val="000000"/>
                <w:szCs w:val="21"/>
              </w:rPr>
            </w:pPr>
            <w:r w:rsidRPr="00C24ACA">
              <w:rPr>
                <w:rFonts w:eastAsiaTheme="minorEastAsia"/>
                <w:b/>
                <w:color w:val="000000"/>
                <w:szCs w:val="21"/>
              </w:rPr>
              <w:t>所有者权益合计</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一、期初所有者权益（基金净值）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435,938,525.87</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435,938,525.87</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二、本期经营活动产生的基金净值变动数（本期利润）</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-489,919.42</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-489,919.42</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三、本期基金份额交易产生的基金净值变动数（净值减少以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-349,812,492.32</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-1,831,295.18</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-351,643,787.50</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其中：</w:t>
            </w:r>
            <w:r w:rsidRPr="00C24ACA">
              <w:rPr>
                <w:rFonts w:eastAsiaTheme="minorEastAsia"/>
                <w:color w:val="000000"/>
                <w:szCs w:val="21"/>
              </w:rPr>
              <w:t>1.</w:t>
            </w:r>
            <w:r w:rsidRPr="00C24ACA">
              <w:rPr>
                <w:rFonts w:eastAsiaTheme="minorEastAsia"/>
                <w:color w:val="000000"/>
                <w:szCs w:val="21"/>
              </w:rPr>
              <w:t>基金申购款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94,661,668.31</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-979,854.20</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93,681,814.11</w:t>
            </w:r>
          </w:p>
        </w:tc>
      </w:tr>
      <w:tr w:rsidR="008A5A5D" w:rsidRPr="00C24ACA" w:rsidTr="00C903E7">
        <w:tc>
          <w:tcPr>
            <w:tcW w:w="2835" w:type="dxa"/>
          </w:tcPr>
          <w:p w:rsidR="008A5A5D" w:rsidRPr="00C24ACA" w:rsidRDefault="008A5A5D" w:rsidP="008134C7">
            <w:pPr>
              <w:ind w:firstLineChars="300" w:firstLine="630"/>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基金赎回款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-444,474,160.63</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-851,440.98</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-445,325,601.61</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四、本期向基金份额持有人分配利润产生的基金净值变动（净值减少以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五、期末所有者权益（基金净值）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86,126,033.55</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-2,321,214.60</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83,804,818.95</w:t>
            </w:r>
          </w:p>
        </w:tc>
      </w:tr>
    </w:tbl>
    <w:p w:rsidR="0035753E"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注：本基金合同生效日为</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1</w:t>
      </w:r>
      <w:r w:rsidRPr="00C24ACA">
        <w:rPr>
          <w:rFonts w:eastAsiaTheme="minorEastAsia"/>
          <w:kern w:val="0"/>
          <w:szCs w:val="21"/>
        </w:rPr>
        <w:t>月</w:t>
      </w:r>
      <w:r w:rsidRPr="00C24ACA">
        <w:rPr>
          <w:rFonts w:eastAsiaTheme="minorEastAsia"/>
          <w:kern w:val="0"/>
          <w:szCs w:val="21"/>
        </w:rPr>
        <w:t>18</w:t>
      </w:r>
      <w:r w:rsidRPr="00C24ACA">
        <w:rPr>
          <w:rFonts w:eastAsiaTheme="minorEastAsia"/>
          <w:kern w:val="0"/>
          <w:szCs w:val="21"/>
        </w:rPr>
        <w:t>日，上年度可比期间为</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1</w:t>
      </w:r>
      <w:r w:rsidRPr="00C24ACA">
        <w:rPr>
          <w:rFonts w:eastAsiaTheme="minorEastAsia"/>
          <w:kern w:val="0"/>
          <w:szCs w:val="21"/>
        </w:rPr>
        <w:t>月</w:t>
      </w:r>
      <w:r w:rsidRPr="00C24ACA">
        <w:rPr>
          <w:rFonts w:eastAsiaTheme="minorEastAsia"/>
          <w:kern w:val="0"/>
          <w:szCs w:val="21"/>
        </w:rPr>
        <w:t>18</w:t>
      </w:r>
      <w:r w:rsidRPr="00C24ACA">
        <w:rPr>
          <w:rFonts w:eastAsiaTheme="minorEastAsia"/>
          <w:kern w:val="0"/>
          <w:szCs w:val="21"/>
        </w:rPr>
        <w:t>日至</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w:t>
      </w:r>
    </w:p>
    <w:p w:rsidR="0035753E" w:rsidRPr="00C24ACA" w:rsidRDefault="0035753E" w:rsidP="006C64F3">
      <w:pPr>
        <w:spacing w:beforeLines="100" w:before="312" w:line="360" w:lineRule="auto"/>
        <w:rPr>
          <w:rFonts w:eastAsiaTheme="minorEastAsia"/>
          <w:szCs w:val="21"/>
        </w:rPr>
      </w:pPr>
      <w:r w:rsidRPr="00C24ACA">
        <w:rPr>
          <w:rFonts w:eastAsiaTheme="minorEastAsia"/>
          <w:szCs w:val="21"/>
        </w:rPr>
        <w:t>报表附注为财务报表的组成部分。</w:t>
      </w:r>
    </w:p>
    <w:p w:rsidR="0035753E" w:rsidRPr="00C24ACA" w:rsidRDefault="0035753E" w:rsidP="00316012">
      <w:pPr>
        <w:spacing w:line="360" w:lineRule="auto"/>
        <w:rPr>
          <w:rFonts w:eastAsiaTheme="minorEastAsia"/>
          <w:szCs w:val="21"/>
        </w:rPr>
      </w:pPr>
      <w:r w:rsidRPr="00C24ACA">
        <w:rPr>
          <w:rFonts w:eastAsiaTheme="minorEastAsia"/>
          <w:szCs w:val="21"/>
        </w:rPr>
        <w:t>本报告</w:t>
      </w:r>
      <w:r w:rsidRPr="00C24ACA">
        <w:rPr>
          <w:rFonts w:eastAsiaTheme="minorEastAsia"/>
          <w:szCs w:val="21"/>
        </w:rPr>
        <w:t>6.1</w:t>
      </w:r>
      <w:r w:rsidRPr="00C24ACA">
        <w:rPr>
          <w:rFonts w:eastAsiaTheme="minorEastAsia"/>
          <w:szCs w:val="21"/>
        </w:rPr>
        <w:t>至</w:t>
      </w:r>
      <w:r w:rsidRPr="00C24ACA">
        <w:rPr>
          <w:rFonts w:eastAsiaTheme="minorEastAsia"/>
          <w:szCs w:val="21"/>
        </w:rPr>
        <w:t>6.4</w:t>
      </w:r>
      <w:r w:rsidRPr="00C24ACA">
        <w:rPr>
          <w:rFonts w:eastAsiaTheme="minorEastAsia"/>
          <w:szCs w:val="21"/>
        </w:rPr>
        <w:t>，财务报表由下列负责人签署：</w:t>
      </w:r>
    </w:p>
    <w:p w:rsidR="008A5A5D" w:rsidRPr="00C24ACA" w:rsidRDefault="00787FF8" w:rsidP="00862636">
      <w:pPr>
        <w:spacing w:line="360" w:lineRule="auto"/>
        <w:rPr>
          <w:rFonts w:eastAsiaTheme="minorEastAsia"/>
          <w:szCs w:val="21"/>
        </w:rPr>
      </w:pPr>
      <w:r w:rsidRPr="00C24ACA">
        <w:rPr>
          <w:rFonts w:eastAsiaTheme="minorEastAsia"/>
          <w:szCs w:val="21"/>
        </w:rPr>
        <w:t>基金管理人</w:t>
      </w:r>
      <w:r w:rsidR="0035753E" w:rsidRPr="00C24ACA">
        <w:rPr>
          <w:rFonts w:eastAsiaTheme="minorEastAsia"/>
          <w:szCs w:val="21"/>
        </w:rPr>
        <w:t>负责人：刘晓艳，主管会计工作负责人：陈荣，会计机构负责人：邱毅华</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90" w:name="_Toc225498271"/>
      <w:bookmarkStart w:id="191" w:name="_Toc352255994"/>
      <w:bookmarkStart w:id="192" w:name="_Toc352256062"/>
      <w:bookmarkStart w:id="193" w:name="_Toc352331240"/>
      <w:bookmarkStart w:id="194" w:name="_Toc390164819"/>
      <w:bookmarkStart w:id="195" w:name="_Toc48659051"/>
      <w:r w:rsidRPr="0087359D">
        <w:rPr>
          <w:rFonts w:ascii="宋体" w:hAnsi="宋体"/>
          <w:kern w:val="0"/>
          <w:sz w:val="21"/>
          <w:szCs w:val="21"/>
        </w:rPr>
        <w:t>6.4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报表附注</w:t>
      </w:r>
      <w:bookmarkEnd w:id="190"/>
      <w:bookmarkEnd w:id="191"/>
      <w:bookmarkEnd w:id="192"/>
      <w:bookmarkEnd w:id="193"/>
      <w:bookmarkEnd w:id="194"/>
      <w:bookmarkEnd w:id="195"/>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w:t>
      </w:r>
      <w:r w:rsidR="004F3E31" w:rsidRPr="00C24ACA">
        <w:rPr>
          <w:rFonts w:eastAsiaTheme="minorEastAsia"/>
          <w:b/>
          <w:bCs/>
          <w:color w:val="000000"/>
          <w:kern w:val="0"/>
          <w:szCs w:val="21"/>
        </w:rPr>
        <w:t xml:space="preserve"> </w:t>
      </w:r>
      <w:r w:rsidRPr="00C24ACA">
        <w:rPr>
          <w:rFonts w:eastAsiaTheme="minorEastAsia"/>
          <w:b/>
          <w:color w:val="000000"/>
          <w:kern w:val="0"/>
          <w:szCs w:val="21"/>
        </w:rPr>
        <w:t>基金基本情况</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易方达中证海外中国互联网</w:t>
      </w:r>
      <w:r w:rsidRPr="00C24ACA">
        <w:rPr>
          <w:rFonts w:eastAsiaTheme="minorEastAsia"/>
          <w:kern w:val="0"/>
          <w:szCs w:val="21"/>
        </w:rPr>
        <w:t>50</w:t>
      </w:r>
      <w:r w:rsidRPr="00C24ACA">
        <w:rPr>
          <w:rFonts w:eastAsiaTheme="minorEastAsia"/>
          <w:kern w:val="0"/>
          <w:szCs w:val="21"/>
        </w:rPr>
        <w:t>交易型开放式指数证券投资基金联接基金</w:t>
      </w:r>
      <w:r w:rsidRPr="00C24ACA">
        <w:rPr>
          <w:rFonts w:eastAsiaTheme="minorEastAsia"/>
          <w:kern w:val="0"/>
          <w:szCs w:val="21"/>
        </w:rPr>
        <w:t>(</w:t>
      </w:r>
      <w:r w:rsidRPr="00C24ACA">
        <w:rPr>
          <w:rFonts w:eastAsiaTheme="minorEastAsia"/>
          <w:kern w:val="0"/>
          <w:szCs w:val="21"/>
        </w:rPr>
        <w:t>以下简称</w:t>
      </w:r>
      <w:r w:rsidRPr="00C24ACA">
        <w:rPr>
          <w:rFonts w:eastAsiaTheme="minorEastAsia"/>
          <w:kern w:val="0"/>
          <w:szCs w:val="21"/>
        </w:rPr>
        <w:t>“</w:t>
      </w:r>
      <w:r w:rsidRPr="00C24ACA">
        <w:rPr>
          <w:rFonts w:eastAsiaTheme="minorEastAsia"/>
          <w:kern w:val="0"/>
          <w:szCs w:val="21"/>
        </w:rPr>
        <w:t>本基金</w:t>
      </w:r>
      <w:r w:rsidRPr="00C24ACA">
        <w:rPr>
          <w:rFonts w:eastAsiaTheme="minorEastAsia"/>
          <w:kern w:val="0"/>
          <w:szCs w:val="21"/>
        </w:rPr>
        <w:t>”)</w:t>
      </w:r>
      <w:r w:rsidRPr="00C24ACA">
        <w:rPr>
          <w:rFonts w:eastAsiaTheme="minorEastAsia"/>
          <w:kern w:val="0"/>
          <w:szCs w:val="21"/>
        </w:rPr>
        <w:t>根据中国证券监督管理委员会</w:t>
      </w:r>
      <w:r w:rsidRPr="00C24ACA">
        <w:rPr>
          <w:rFonts w:eastAsiaTheme="minorEastAsia"/>
          <w:kern w:val="0"/>
          <w:szCs w:val="21"/>
        </w:rPr>
        <w:t>(</w:t>
      </w:r>
      <w:r w:rsidRPr="00C24ACA">
        <w:rPr>
          <w:rFonts w:eastAsiaTheme="minorEastAsia"/>
          <w:kern w:val="0"/>
          <w:szCs w:val="21"/>
        </w:rPr>
        <w:t>以下简称</w:t>
      </w:r>
      <w:r w:rsidRPr="00C24ACA">
        <w:rPr>
          <w:rFonts w:eastAsiaTheme="minorEastAsia"/>
          <w:kern w:val="0"/>
          <w:szCs w:val="21"/>
        </w:rPr>
        <w:t>“</w:t>
      </w:r>
      <w:r w:rsidRPr="00C24ACA">
        <w:rPr>
          <w:rFonts w:eastAsiaTheme="minorEastAsia"/>
          <w:kern w:val="0"/>
          <w:szCs w:val="21"/>
        </w:rPr>
        <w:t>中国证监会</w:t>
      </w:r>
      <w:r w:rsidRPr="00C24ACA">
        <w:rPr>
          <w:rFonts w:eastAsiaTheme="minorEastAsia"/>
          <w:kern w:val="0"/>
          <w:szCs w:val="21"/>
        </w:rPr>
        <w:t>”)</w:t>
      </w:r>
      <w:r w:rsidRPr="00C24ACA">
        <w:rPr>
          <w:rFonts w:eastAsiaTheme="minorEastAsia"/>
          <w:kern w:val="0"/>
          <w:szCs w:val="21"/>
        </w:rPr>
        <w:t>证监许可</w:t>
      </w:r>
      <w:r w:rsidRPr="00C24ACA">
        <w:rPr>
          <w:rFonts w:eastAsiaTheme="minorEastAsia"/>
          <w:kern w:val="0"/>
          <w:szCs w:val="21"/>
        </w:rPr>
        <w:t>[2018]1270</w:t>
      </w:r>
      <w:r w:rsidRPr="00C24ACA">
        <w:rPr>
          <w:rFonts w:eastAsiaTheme="minorEastAsia"/>
          <w:kern w:val="0"/>
          <w:szCs w:val="21"/>
        </w:rPr>
        <w:t>号《关于准予易方达中证海外中国互联网</w:t>
      </w:r>
      <w:r w:rsidRPr="00C24ACA">
        <w:rPr>
          <w:rFonts w:eastAsiaTheme="minorEastAsia"/>
          <w:kern w:val="0"/>
          <w:szCs w:val="21"/>
        </w:rPr>
        <w:t>50</w:t>
      </w:r>
      <w:r w:rsidRPr="00C24ACA">
        <w:rPr>
          <w:rFonts w:eastAsiaTheme="minorEastAsia"/>
          <w:kern w:val="0"/>
          <w:szCs w:val="21"/>
        </w:rPr>
        <w:t>交易型开放式指数证券投资基金联接基金注册的批复》进行募集，由易方达基金管理有限公司依照《中华人民共和国证券投资基金法》和《易方达中证海外中国互联网</w:t>
      </w:r>
      <w:r w:rsidRPr="00C24ACA">
        <w:rPr>
          <w:rFonts w:eastAsiaTheme="minorEastAsia"/>
          <w:kern w:val="0"/>
          <w:szCs w:val="21"/>
        </w:rPr>
        <w:t>50</w:t>
      </w:r>
      <w:r w:rsidRPr="00C24ACA">
        <w:rPr>
          <w:rFonts w:eastAsiaTheme="minorEastAsia"/>
          <w:kern w:val="0"/>
          <w:szCs w:val="21"/>
        </w:rPr>
        <w:t>交易型开放式指数证券投资基金联接基金基金合同》公开募集。经向中国证监会备案，《易方达中证海外中国互联网</w:t>
      </w:r>
      <w:r w:rsidRPr="00C24ACA">
        <w:rPr>
          <w:rFonts w:eastAsiaTheme="minorEastAsia"/>
          <w:kern w:val="0"/>
          <w:szCs w:val="21"/>
        </w:rPr>
        <w:t>50</w:t>
      </w:r>
      <w:r w:rsidRPr="00C24ACA">
        <w:rPr>
          <w:rFonts w:eastAsiaTheme="minorEastAsia"/>
          <w:kern w:val="0"/>
          <w:szCs w:val="21"/>
        </w:rPr>
        <w:t>交易型开放式指数证券投资基金联接基金基金合同》于</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1</w:t>
      </w:r>
      <w:r w:rsidRPr="00C24ACA">
        <w:rPr>
          <w:rFonts w:eastAsiaTheme="minorEastAsia"/>
          <w:kern w:val="0"/>
          <w:szCs w:val="21"/>
        </w:rPr>
        <w:t>月</w:t>
      </w:r>
      <w:r w:rsidRPr="00C24ACA">
        <w:rPr>
          <w:rFonts w:eastAsiaTheme="minorEastAsia"/>
          <w:kern w:val="0"/>
          <w:szCs w:val="21"/>
        </w:rPr>
        <w:t>18</w:t>
      </w:r>
      <w:r w:rsidRPr="00C24ACA">
        <w:rPr>
          <w:rFonts w:eastAsiaTheme="minorEastAsia"/>
          <w:kern w:val="0"/>
          <w:szCs w:val="21"/>
        </w:rPr>
        <w:t>日正式生效，基金合同生效日的基金份额总额为</w:t>
      </w:r>
      <w:r w:rsidRPr="00C24ACA">
        <w:rPr>
          <w:rFonts w:eastAsiaTheme="minorEastAsia"/>
          <w:kern w:val="0"/>
          <w:szCs w:val="21"/>
        </w:rPr>
        <w:t>435,938,525.87</w:t>
      </w:r>
      <w:r w:rsidRPr="00C24ACA">
        <w:rPr>
          <w:rFonts w:eastAsiaTheme="minorEastAsia"/>
          <w:kern w:val="0"/>
          <w:szCs w:val="21"/>
        </w:rPr>
        <w:t>份基金份额，其中认购资金利息折合</w:t>
      </w:r>
      <w:r w:rsidRPr="00C24ACA">
        <w:rPr>
          <w:rFonts w:eastAsiaTheme="minorEastAsia"/>
          <w:kern w:val="0"/>
          <w:szCs w:val="21"/>
        </w:rPr>
        <w:t>54,939.44</w:t>
      </w:r>
      <w:r w:rsidRPr="00C24ACA">
        <w:rPr>
          <w:rFonts w:eastAsiaTheme="minorEastAsia"/>
          <w:kern w:val="0"/>
          <w:szCs w:val="21"/>
        </w:rPr>
        <w:t>份基金份额。本基金为契约型开放式基金，存续期限不定。本基金的基金管理人为易方达基金管理有限公司，基金托管人为招商银行股份有限公司，境外资产托管人为香港上海汇丰银行有限公司。</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6.4.2</w:t>
      </w:r>
      <w:r w:rsidR="004F3E31" w:rsidRPr="00C24ACA">
        <w:rPr>
          <w:rFonts w:eastAsiaTheme="minorEastAsia"/>
          <w:b/>
          <w:bCs/>
          <w:color w:val="000000"/>
          <w:kern w:val="0"/>
          <w:szCs w:val="21"/>
        </w:rPr>
        <w:t xml:space="preserve"> </w:t>
      </w:r>
      <w:r w:rsidRPr="00C24ACA">
        <w:rPr>
          <w:rFonts w:eastAsiaTheme="minorEastAsia"/>
          <w:b/>
          <w:color w:val="000000"/>
          <w:kern w:val="0"/>
          <w:szCs w:val="21"/>
        </w:rPr>
        <w:t>会计报表的编制基础</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本基金的财务报表按照财政部于</w:t>
      </w:r>
      <w:r>
        <w:rPr>
          <w:rFonts w:eastAsiaTheme="minorEastAsia"/>
          <w:kern w:val="0"/>
          <w:szCs w:val="21"/>
        </w:rPr>
        <w:t>2006</w:t>
      </w:r>
      <w:r>
        <w:rPr>
          <w:rFonts w:eastAsiaTheme="minorEastAsia"/>
          <w:kern w:val="0"/>
          <w:szCs w:val="21"/>
        </w:rPr>
        <w:t>年</w:t>
      </w:r>
      <w:r>
        <w:rPr>
          <w:rFonts w:eastAsiaTheme="minorEastAsia"/>
          <w:kern w:val="0"/>
          <w:szCs w:val="21"/>
        </w:rPr>
        <w:t>2</w:t>
      </w:r>
      <w:r>
        <w:rPr>
          <w:rFonts w:eastAsiaTheme="minorEastAsia"/>
          <w:kern w:val="0"/>
          <w:szCs w:val="21"/>
        </w:rPr>
        <w:t>月</w:t>
      </w:r>
      <w:r>
        <w:rPr>
          <w:rFonts w:eastAsiaTheme="minorEastAsia"/>
          <w:kern w:val="0"/>
          <w:szCs w:val="21"/>
        </w:rPr>
        <w:t>15</w:t>
      </w:r>
      <w:r>
        <w:rPr>
          <w:rFonts w:eastAsiaTheme="minorEastAsia"/>
          <w:kern w:val="0"/>
          <w:szCs w:val="21"/>
        </w:rPr>
        <w:t>日及以后期间颁布的《企业会计准则</w:t>
      </w:r>
      <w:r>
        <w:rPr>
          <w:rFonts w:eastAsiaTheme="minorEastAsia"/>
          <w:kern w:val="0"/>
          <w:szCs w:val="21"/>
        </w:rPr>
        <w:t>-</w:t>
      </w:r>
      <w:r>
        <w:rPr>
          <w:rFonts w:eastAsiaTheme="minorEastAsia"/>
          <w:kern w:val="0"/>
          <w:szCs w:val="21"/>
        </w:rPr>
        <w:t>基本准则》、各项具体会计准则及相关规定</w:t>
      </w:r>
      <w:r>
        <w:rPr>
          <w:rFonts w:eastAsiaTheme="minorEastAsia"/>
          <w:kern w:val="0"/>
          <w:szCs w:val="21"/>
        </w:rPr>
        <w:t>(</w:t>
      </w:r>
      <w:r>
        <w:rPr>
          <w:rFonts w:eastAsiaTheme="minorEastAsia"/>
          <w:kern w:val="0"/>
          <w:szCs w:val="21"/>
        </w:rPr>
        <w:t>以下合称</w:t>
      </w:r>
      <w:r>
        <w:rPr>
          <w:rFonts w:eastAsiaTheme="minorEastAsia"/>
          <w:kern w:val="0"/>
          <w:szCs w:val="21"/>
        </w:rPr>
        <w:t>“</w:t>
      </w:r>
      <w:r>
        <w:rPr>
          <w:rFonts w:eastAsiaTheme="minorEastAsia"/>
          <w:kern w:val="0"/>
          <w:szCs w:val="21"/>
        </w:rPr>
        <w:t>企业会计准则</w:t>
      </w:r>
      <w:r>
        <w:rPr>
          <w:rFonts w:eastAsiaTheme="minorEastAsia"/>
          <w:kern w:val="0"/>
          <w:szCs w:val="21"/>
        </w:rPr>
        <w:t>”)</w:t>
      </w:r>
      <w:r>
        <w:rPr>
          <w:rFonts w:eastAsiaTheme="minorEastAsia"/>
          <w:kern w:val="0"/>
          <w:szCs w:val="21"/>
        </w:rPr>
        <w:t>、中国证监会颁布的《证券投资基金信息披露</w:t>
      </w:r>
      <w:r>
        <w:rPr>
          <w:rFonts w:eastAsiaTheme="minorEastAsia"/>
          <w:kern w:val="0"/>
          <w:szCs w:val="21"/>
        </w:rPr>
        <w:t>XBRL</w:t>
      </w:r>
      <w:r>
        <w:rPr>
          <w:rFonts w:eastAsiaTheme="minorEastAsia"/>
          <w:kern w:val="0"/>
          <w:szCs w:val="21"/>
        </w:rPr>
        <w:t>模板第</w:t>
      </w:r>
      <w:r>
        <w:rPr>
          <w:rFonts w:eastAsiaTheme="minorEastAsia"/>
          <w:kern w:val="0"/>
          <w:szCs w:val="21"/>
        </w:rPr>
        <w:t>3</w:t>
      </w:r>
      <w:r>
        <w:rPr>
          <w:rFonts w:eastAsiaTheme="minorEastAsia"/>
          <w:kern w:val="0"/>
          <w:szCs w:val="21"/>
        </w:rPr>
        <w:t>号</w:t>
      </w:r>
      <w:r>
        <w:rPr>
          <w:rFonts w:eastAsiaTheme="minorEastAsia"/>
          <w:kern w:val="0"/>
          <w:szCs w:val="21"/>
        </w:rPr>
        <w:t>&lt;</w:t>
      </w:r>
      <w:r>
        <w:rPr>
          <w:rFonts w:eastAsiaTheme="minorEastAsia"/>
          <w:kern w:val="0"/>
          <w:szCs w:val="21"/>
        </w:rPr>
        <w:t>年度报告和中期报告</w:t>
      </w:r>
      <w:r>
        <w:rPr>
          <w:rFonts w:eastAsiaTheme="minorEastAsia"/>
          <w:kern w:val="0"/>
          <w:szCs w:val="21"/>
        </w:rPr>
        <w:t>&gt;</w:t>
      </w:r>
      <w:r>
        <w:rPr>
          <w:rFonts w:eastAsiaTheme="minorEastAsia"/>
          <w:kern w:val="0"/>
          <w:szCs w:val="21"/>
        </w:rPr>
        <w:t>》、中国证券投资基金业协会</w:t>
      </w:r>
      <w:r>
        <w:rPr>
          <w:rFonts w:eastAsiaTheme="minorEastAsia"/>
          <w:kern w:val="0"/>
          <w:szCs w:val="21"/>
        </w:rPr>
        <w:t>(</w:t>
      </w:r>
      <w:r>
        <w:rPr>
          <w:rFonts w:eastAsiaTheme="minorEastAsia"/>
          <w:kern w:val="0"/>
          <w:szCs w:val="21"/>
        </w:rPr>
        <w:t>以下简称</w:t>
      </w:r>
      <w:r>
        <w:rPr>
          <w:rFonts w:eastAsiaTheme="minorEastAsia"/>
          <w:kern w:val="0"/>
          <w:szCs w:val="21"/>
        </w:rPr>
        <w:t>“</w:t>
      </w:r>
      <w:r>
        <w:rPr>
          <w:rFonts w:eastAsiaTheme="minorEastAsia"/>
          <w:kern w:val="0"/>
          <w:szCs w:val="21"/>
        </w:rPr>
        <w:t>中国基金业协会</w:t>
      </w:r>
      <w:r>
        <w:rPr>
          <w:rFonts w:eastAsiaTheme="minorEastAsia"/>
          <w:kern w:val="0"/>
          <w:szCs w:val="21"/>
        </w:rPr>
        <w:t>”)</w:t>
      </w:r>
      <w:r>
        <w:rPr>
          <w:rFonts w:eastAsiaTheme="minorEastAsia"/>
          <w:kern w:val="0"/>
          <w:szCs w:val="21"/>
        </w:rPr>
        <w:t>颁布的《证券投资基金会计核算业务指引》、《易方达中证海外中国互联网</w:t>
      </w:r>
      <w:r>
        <w:rPr>
          <w:rFonts w:eastAsiaTheme="minorEastAsia"/>
          <w:kern w:val="0"/>
          <w:szCs w:val="21"/>
        </w:rPr>
        <w:t>50</w:t>
      </w:r>
      <w:r>
        <w:rPr>
          <w:rFonts w:eastAsiaTheme="minorEastAsia"/>
          <w:kern w:val="0"/>
          <w:szCs w:val="21"/>
        </w:rPr>
        <w:t>交易型开放式指数证券投资基金联接基金基金合同》和财务报表附注所列示的中国证监会、中国基金业协会发布的有关规定及允许的基金行业实务操作编制。</w:t>
      </w:r>
      <w:r>
        <w:rPr>
          <w:rFonts w:eastAsiaTheme="minorEastAsia"/>
          <w:kern w:val="0"/>
          <w:szCs w:val="21"/>
        </w:rPr>
        <w:t xml:space="preserve"> </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本财务报表以持续经营为基础编制。</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6.4.3</w:t>
      </w:r>
      <w:r w:rsidR="004F3E31" w:rsidRPr="00C24ACA">
        <w:rPr>
          <w:rFonts w:eastAsiaTheme="minorEastAsia"/>
          <w:b/>
          <w:bCs/>
          <w:color w:val="000000"/>
          <w:kern w:val="0"/>
          <w:szCs w:val="21"/>
        </w:rPr>
        <w:t xml:space="preserve"> </w:t>
      </w:r>
      <w:r w:rsidRPr="00C24ACA">
        <w:rPr>
          <w:rFonts w:eastAsiaTheme="minorEastAsia"/>
          <w:b/>
          <w:color w:val="000000"/>
          <w:kern w:val="0"/>
          <w:szCs w:val="21"/>
        </w:rPr>
        <w:t>遵循企业会计准则及其他有关规定的声明</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本财务报表符合企业会计准则的要求，真实、完整地反映了本基金本报告期末的财务状况以及本报告期间的经营成果和基金净值变动情况等有关信息。</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6.4.4</w:t>
      </w:r>
      <w:r w:rsidR="004F3E31" w:rsidRPr="00C24ACA">
        <w:rPr>
          <w:rFonts w:eastAsiaTheme="minorEastAsia"/>
          <w:b/>
          <w:bCs/>
          <w:color w:val="000000"/>
          <w:kern w:val="0"/>
          <w:szCs w:val="21"/>
        </w:rPr>
        <w:t xml:space="preserve"> </w:t>
      </w:r>
      <w:r w:rsidR="004F3E31" w:rsidRPr="00C24ACA">
        <w:rPr>
          <w:rFonts w:eastAsiaTheme="minorEastAsia"/>
          <w:b/>
          <w:kern w:val="0"/>
          <w:szCs w:val="21"/>
        </w:rPr>
        <w:t>本报告期所采用的会计政策、会计估计与最近一期年度报告相一致的说明</w:t>
      </w:r>
    </w:p>
    <w:p w:rsidR="006E59EA"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本报告期所采用的会计政策、会计估计与最近一期年度报告相一致。</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6.4.5</w:t>
      </w:r>
      <w:r w:rsidRPr="00C24ACA">
        <w:rPr>
          <w:rFonts w:eastAsiaTheme="minorEastAsia"/>
          <w:b/>
          <w:color w:val="000000"/>
          <w:kern w:val="0"/>
          <w:szCs w:val="21"/>
        </w:rPr>
        <w:t xml:space="preserve"> </w:t>
      </w:r>
      <w:r w:rsidRPr="00C24ACA">
        <w:rPr>
          <w:rFonts w:eastAsiaTheme="minorEastAsia"/>
          <w:b/>
          <w:color w:val="000000"/>
          <w:kern w:val="0"/>
          <w:szCs w:val="21"/>
        </w:rPr>
        <w:t>差错更正的说明</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本基金本报告期无会计差错更正。</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6.4.6</w:t>
      </w:r>
      <w:r w:rsidRPr="00C24ACA">
        <w:rPr>
          <w:rFonts w:eastAsiaTheme="minorEastAsia"/>
          <w:b/>
          <w:color w:val="000000"/>
          <w:kern w:val="0"/>
          <w:szCs w:val="21"/>
        </w:rPr>
        <w:t>税项</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根据财政部、国家税务总局财税</w:t>
      </w:r>
      <w:r>
        <w:rPr>
          <w:rFonts w:eastAsiaTheme="minorEastAsia"/>
          <w:kern w:val="0"/>
          <w:szCs w:val="21"/>
        </w:rPr>
        <w:t>[2002]128</w:t>
      </w:r>
      <w:r>
        <w:rPr>
          <w:rFonts w:eastAsiaTheme="minorEastAsia"/>
          <w:kern w:val="0"/>
          <w:szCs w:val="21"/>
        </w:rPr>
        <w:t>号《关于开放式证券投资基金有关税收问题的通知》、财税</w:t>
      </w:r>
      <w:r>
        <w:rPr>
          <w:rFonts w:eastAsiaTheme="minorEastAsia"/>
          <w:kern w:val="0"/>
          <w:szCs w:val="21"/>
        </w:rPr>
        <w:t>[2008]1</w:t>
      </w:r>
      <w:r>
        <w:rPr>
          <w:rFonts w:eastAsiaTheme="minorEastAsia"/>
          <w:kern w:val="0"/>
          <w:szCs w:val="21"/>
        </w:rPr>
        <w:t>号《关于企业所得税若干优惠政策的通知》、财税</w:t>
      </w:r>
      <w:r>
        <w:rPr>
          <w:rFonts w:eastAsiaTheme="minorEastAsia"/>
          <w:kern w:val="0"/>
          <w:szCs w:val="21"/>
        </w:rPr>
        <w:t>[2014]81</w:t>
      </w:r>
      <w:r>
        <w:rPr>
          <w:rFonts w:eastAsiaTheme="minorEastAsia"/>
          <w:kern w:val="0"/>
          <w:szCs w:val="21"/>
        </w:rPr>
        <w:t>号《财政部国家税务总局证监会关于沪港股票市场交易互联互通机制试点有关税收政策的通知》、财税</w:t>
      </w:r>
      <w:r>
        <w:rPr>
          <w:rFonts w:eastAsiaTheme="minorEastAsia"/>
          <w:kern w:val="0"/>
          <w:szCs w:val="21"/>
        </w:rPr>
        <w:t>[2016]36</w:t>
      </w:r>
      <w:r>
        <w:rPr>
          <w:rFonts w:eastAsiaTheme="minorEastAsia"/>
          <w:kern w:val="0"/>
          <w:szCs w:val="21"/>
        </w:rPr>
        <w:t>号《关于全面推开营业税改征增值税试点的通知》、财税</w:t>
      </w:r>
      <w:r>
        <w:rPr>
          <w:rFonts w:eastAsiaTheme="minorEastAsia"/>
          <w:kern w:val="0"/>
          <w:szCs w:val="21"/>
        </w:rPr>
        <w:t>[2016]46</w:t>
      </w:r>
      <w:r>
        <w:rPr>
          <w:rFonts w:eastAsiaTheme="minorEastAsia"/>
          <w:kern w:val="0"/>
          <w:szCs w:val="21"/>
        </w:rPr>
        <w:t>号《关于进一步明确全面推开营改增试点金融业有关政策的通知》、财税</w:t>
      </w:r>
      <w:r>
        <w:rPr>
          <w:rFonts w:eastAsiaTheme="minorEastAsia"/>
          <w:kern w:val="0"/>
          <w:szCs w:val="21"/>
        </w:rPr>
        <w:t>[2016]70</w:t>
      </w:r>
      <w:r>
        <w:rPr>
          <w:rFonts w:eastAsiaTheme="minorEastAsia"/>
          <w:kern w:val="0"/>
          <w:szCs w:val="21"/>
        </w:rPr>
        <w:t>号《关于金融机构同业往来等增值税政策的补充通知》、财税</w:t>
      </w:r>
      <w:r>
        <w:rPr>
          <w:rFonts w:eastAsiaTheme="minorEastAsia"/>
          <w:kern w:val="0"/>
          <w:szCs w:val="21"/>
        </w:rPr>
        <w:t>[2016]127</w:t>
      </w:r>
      <w:r>
        <w:rPr>
          <w:rFonts w:eastAsiaTheme="minorEastAsia"/>
          <w:kern w:val="0"/>
          <w:szCs w:val="21"/>
        </w:rPr>
        <w:t>号《财政部国家税务总局证监会关于深港股票市场交易互联互通机制试点有关税收政策的通知》、财税</w:t>
      </w:r>
      <w:r>
        <w:rPr>
          <w:rFonts w:eastAsiaTheme="minorEastAsia"/>
          <w:kern w:val="0"/>
          <w:szCs w:val="21"/>
        </w:rPr>
        <w:t>[2016]140</w:t>
      </w:r>
      <w:r>
        <w:rPr>
          <w:rFonts w:eastAsiaTheme="minorEastAsia"/>
          <w:kern w:val="0"/>
          <w:szCs w:val="21"/>
        </w:rPr>
        <w:t>号《关于明确金融房地产开发教育辅助服务等增值税政策的通知》、财税</w:t>
      </w:r>
      <w:r>
        <w:rPr>
          <w:rFonts w:eastAsiaTheme="minorEastAsia"/>
          <w:kern w:val="0"/>
          <w:szCs w:val="21"/>
        </w:rPr>
        <w:t>[2017]2</w:t>
      </w:r>
      <w:r>
        <w:rPr>
          <w:rFonts w:eastAsiaTheme="minorEastAsia"/>
          <w:kern w:val="0"/>
          <w:szCs w:val="21"/>
        </w:rPr>
        <w:t>号《关于资管产品增值税政策有关问题的补充通知》、财税</w:t>
      </w:r>
      <w:r>
        <w:rPr>
          <w:rFonts w:eastAsiaTheme="minorEastAsia"/>
          <w:kern w:val="0"/>
          <w:szCs w:val="21"/>
        </w:rPr>
        <w:t>[2017]56</w:t>
      </w:r>
      <w:r>
        <w:rPr>
          <w:rFonts w:eastAsiaTheme="minorEastAsia"/>
          <w:kern w:val="0"/>
          <w:szCs w:val="21"/>
        </w:rPr>
        <w:t>号《关于资管产品增值税有关问题的通知》、财税</w:t>
      </w:r>
      <w:r>
        <w:rPr>
          <w:rFonts w:eastAsiaTheme="minorEastAsia"/>
          <w:kern w:val="0"/>
          <w:szCs w:val="21"/>
        </w:rPr>
        <w:t>[2017]90</w:t>
      </w:r>
      <w:r>
        <w:rPr>
          <w:rFonts w:eastAsiaTheme="minorEastAsia"/>
          <w:kern w:val="0"/>
          <w:szCs w:val="21"/>
        </w:rPr>
        <w:t>号《关于租入固定资产进项税额抵扣等增值税政策的通知》及其他相关境内外财税法规和实务操作，主要税项列示如下：</w:t>
      </w:r>
      <w:r>
        <w:rPr>
          <w:rFonts w:eastAsiaTheme="minorEastAsia"/>
          <w:kern w:val="0"/>
          <w:szCs w:val="21"/>
        </w:rPr>
        <w:t xml:space="preserve"> </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(1)</w:t>
      </w:r>
      <w:r>
        <w:rPr>
          <w:rFonts w:eastAsiaTheme="minorEastAsia"/>
          <w:kern w:val="0"/>
          <w:szCs w:val="21"/>
        </w:rPr>
        <w:t>资管产品运营过程中发生的增值税应税行为，以资管产品管理人为增值税纳税人。资管产品管理人运营资管产品过程中发生的增值税应税行为，暂适用简易计税方法，按照</w:t>
      </w:r>
      <w:r>
        <w:rPr>
          <w:rFonts w:eastAsiaTheme="minorEastAsia"/>
          <w:kern w:val="0"/>
          <w:szCs w:val="21"/>
        </w:rPr>
        <w:t>3%</w:t>
      </w:r>
      <w:r>
        <w:rPr>
          <w:rFonts w:eastAsiaTheme="minorEastAsia"/>
          <w:kern w:val="0"/>
          <w:szCs w:val="21"/>
        </w:rPr>
        <w:t>的征收率缴纳增值税。对资管产品在</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日前运营过程中发生的增值税应税行为，未缴纳增值税的，不再缴纳；已缴纳增值税的，已纳税额从资管产品管理人以后月份的增值税应纳税额中抵减。</w:t>
      </w:r>
      <w:r>
        <w:rPr>
          <w:rFonts w:eastAsiaTheme="minorEastAsia"/>
          <w:kern w:val="0"/>
          <w:szCs w:val="21"/>
        </w:rPr>
        <w:t xml:space="preserve"> </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对证券投资基金管理人运用基金买卖股票、债券的转让收入免征增值税，对国债、地方政府债以及金融同业往来利息收入亦免征增值税。资管产品管理人运营资管产品提供的贷款服务，以</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日起产生的利息及利息性质的收入为销售额。资管产品管理人运营资管产品转让</w:t>
      </w:r>
      <w:r>
        <w:rPr>
          <w:rFonts w:eastAsiaTheme="minorEastAsia"/>
          <w:kern w:val="0"/>
          <w:szCs w:val="21"/>
        </w:rPr>
        <w:t>2017</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日前取得的基金、非货物期货，可以选择按照实际买入价计算销售额，或者以</w:t>
      </w:r>
      <w:r>
        <w:rPr>
          <w:rFonts w:eastAsiaTheme="minorEastAsia"/>
          <w:kern w:val="0"/>
          <w:szCs w:val="21"/>
        </w:rPr>
        <w:t xml:space="preserve"> 2017</w:t>
      </w:r>
      <w:r>
        <w:rPr>
          <w:rFonts w:eastAsiaTheme="minorEastAsia"/>
          <w:kern w:val="0"/>
          <w:szCs w:val="21"/>
        </w:rPr>
        <w:t>年最后一个交易日的基金份额净值、非货物期货结算价格作为买入价计算销售额。</w:t>
      </w:r>
      <w:r>
        <w:rPr>
          <w:rFonts w:eastAsiaTheme="minorEastAsia"/>
          <w:kern w:val="0"/>
          <w:szCs w:val="21"/>
        </w:rPr>
        <w:t xml:space="preserve"> </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 xml:space="preserve">(2)  </w:t>
      </w:r>
      <w:r>
        <w:rPr>
          <w:rFonts w:eastAsiaTheme="minorEastAsia"/>
          <w:kern w:val="0"/>
          <w:szCs w:val="21"/>
        </w:rPr>
        <w:t>目前基金取得的源自境外的差价收入，其涉及的境外所得税税收政策，按照相关国家或地区税收法律和法规执行，在境内暂不征收企业所得税。</w:t>
      </w:r>
      <w:r>
        <w:rPr>
          <w:rFonts w:eastAsiaTheme="minorEastAsia"/>
          <w:kern w:val="0"/>
          <w:szCs w:val="21"/>
        </w:rPr>
        <w:t xml:space="preserve"> </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 xml:space="preserve">(3) </w:t>
      </w:r>
      <w:r>
        <w:rPr>
          <w:rFonts w:eastAsiaTheme="minorEastAsia"/>
          <w:kern w:val="0"/>
          <w:szCs w:val="21"/>
        </w:rPr>
        <w:t>目前基金取得的源自境外的股利收益，其涉及的境外所得税税收政策，按照相关国家或地区税收法律和法规执行，在境内暂不征收个人所得税和企业所得税。</w:t>
      </w:r>
      <w:r>
        <w:rPr>
          <w:rFonts w:eastAsiaTheme="minorEastAsia"/>
          <w:kern w:val="0"/>
          <w:szCs w:val="21"/>
        </w:rPr>
        <w:t xml:space="preserve"> </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对基金通过沪港通</w:t>
      </w:r>
      <w:r>
        <w:rPr>
          <w:rFonts w:eastAsiaTheme="minorEastAsia"/>
          <w:kern w:val="0"/>
          <w:szCs w:val="21"/>
        </w:rPr>
        <w:t>/</w:t>
      </w:r>
      <w:r>
        <w:rPr>
          <w:rFonts w:eastAsiaTheme="minorEastAsia"/>
          <w:kern w:val="0"/>
          <w:szCs w:val="21"/>
        </w:rPr>
        <w:t>深港通投资香港联交所上市</w:t>
      </w:r>
      <w:r>
        <w:rPr>
          <w:rFonts w:eastAsiaTheme="minorEastAsia"/>
          <w:kern w:val="0"/>
          <w:szCs w:val="21"/>
        </w:rPr>
        <w:t>H</w:t>
      </w:r>
      <w:r>
        <w:rPr>
          <w:rFonts w:eastAsiaTheme="minorEastAsia"/>
          <w:kern w:val="0"/>
          <w:szCs w:val="21"/>
        </w:rPr>
        <w:t>股取得的股息红利，</w:t>
      </w:r>
      <w:r>
        <w:rPr>
          <w:rFonts w:eastAsiaTheme="minorEastAsia"/>
          <w:kern w:val="0"/>
          <w:szCs w:val="21"/>
        </w:rPr>
        <w:t>H</w:t>
      </w:r>
      <w:r>
        <w:rPr>
          <w:rFonts w:eastAsiaTheme="minorEastAsia"/>
          <w:kern w:val="0"/>
          <w:szCs w:val="21"/>
        </w:rPr>
        <w:t>股公司应向中国证券登记结算有限责任公司</w:t>
      </w:r>
      <w:r>
        <w:rPr>
          <w:rFonts w:eastAsiaTheme="minorEastAsia"/>
          <w:kern w:val="0"/>
          <w:szCs w:val="21"/>
        </w:rPr>
        <w:t>(</w:t>
      </w:r>
      <w:r>
        <w:rPr>
          <w:rFonts w:eastAsiaTheme="minorEastAsia"/>
          <w:kern w:val="0"/>
          <w:szCs w:val="21"/>
        </w:rPr>
        <w:t>以下简称</w:t>
      </w:r>
      <w:r>
        <w:rPr>
          <w:rFonts w:eastAsiaTheme="minorEastAsia"/>
          <w:kern w:val="0"/>
          <w:szCs w:val="21"/>
        </w:rPr>
        <w:t>“</w:t>
      </w:r>
      <w:r>
        <w:rPr>
          <w:rFonts w:eastAsiaTheme="minorEastAsia"/>
          <w:kern w:val="0"/>
          <w:szCs w:val="21"/>
        </w:rPr>
        <w:t>中国结算</w:t>
      </w:r>
      <w:r>
        <w:rPr>
          <w:rFonts w:eastAsiaTheme="minorEastAsia"/>
          <w:kern w:val="0"/>
          <w:szCs w:val="21"/>
        </w:rPr>
        <w:t>”)</w:t>
      </w:r>
      <w:r>
        <w:rPr>
          <w:rFonts w:eastAsiaTheme="minorEastAsia"/>
          <w:kern w:val="0"/>
          <w:szCs w:val="21"/>
        </w:rPr>
        <w:t>提出申请，由中国结算向</w:t>
      </w:r>
      <w:r>
        <w:rPr>
          <w:rFonts w:eastAsiaTheme="minorEastAsia"/>
          <w:kern w:val="0"/>
          <w:szCs w:val="21"/>
        </w:rPr>
        <w:t>H</w:t>
      </w:r>
      <w:r>
        <w:rPr>
          <w:rFonts w:eastAsiaTheme="minorEastAsia"/>
          <w:kern w:val="0"/>
          <w:szCs w:val="21"/>
        </w:rPr>
        <w:t>股公司提供内地个人投资者名册，</w:t>
      </w:r>
      <w:r>
        <w:rPr>
          <w:rFonts w:eastAsiaTheme="minorEastAsia"/>
          <w:kern w:val="0"/>
          <w:szCs w:val="21"/>
        </w:rPr>
        <w:t>H</w:t>
      </w:r>
      <w:r>
        <w:rPr>
          <w:rFonts w:eastAsiaTheme="minorEastAsia"/>
          <w:kern w:val="0"/>
          <w:szCs w:val="21"/>
        </w:rPr>
        <w:t>股公司按照</w:t>
      </w:r>
      <w:r>
        <w:rPr>
          <w:rFonts w:eastAsiaTheme="minorEastAsia"/>
          <w:kern w:val="0"/>
          <w:szCs w:val="21"/>
        </w:rPr>
        <w:t>20%</w:t>
      </w:r>
      <w:r>
        <w:rPr>
          <w:rFonts w:eastAsiaTheme="minorEastAsia"/>
          <w:kern w:val="0"/>
          <w:szCs w:val="21"/>
        </w:rPr>
        <w:t>的税率代扣个人所得税。基金通过沪港通</w:t>
      </w:r>
      <w:r>
        <w:rPr>
          <w:rFonts w:eastAsiaTheme="minorEastAsia"/>
          <w:kern w:val="0"/>
          <w:szCs w:val="21"/>
        </w:rPr>
        <w:t>/</w:t>
      </w:r>
      <w:r>
        <w:rPr>
          <w:rFonts w:eastAsiaTheme="minorEastAsia"/>
          <w:kern w:val="0"/>
          <w:szCs w:val="21"/>
        </w:rPr>
        <w:t>深港通投资香港联交所上市的非</w:t>
      </w:r>
      <w:r>
        <w:rPr>
          <w:rFonts w:eastAsiaTheme="minorEastAsia"/>
          <w:kern w:val="0"/>
          <w:szCs w:val="21"/>
        </w:rPr>
        <w:t>H</w:t>
      </w:r>
      <w:r>
        <w:rPr>
          <w:rFonts w:eastAsiaTheme="minorEastAsia"/>
          <w:kern w:val="0"/>
          <w:szCs w:val="21"/>
        </w:rPr>
        <w:t>股取得的股息红利，由中国结算按照</w:t>
      </w:r>
      <w:r>
        <w:rPr>
          <w:rFonts w:eastAsiaTheme="minorEastAsia"/>
          <w:kern w:val="0"/>
          <w:szCs w:val="21"/>
        </w:rPr>
        <w:t>20%</w:t>
      </w:r>
      <w:r>
        <w:rPr>
          <w:rFonts w:eastAsiaTheme="minorEastAsia"/>
          <w:kern w:val="0"/>
          <w:szCs w:val="21"/>
        </w:rPr>
        <w:t>的税率代扣个人所得税。</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 xml:space="preserve">(4) </w:t>
      </w:r>
      <w:r>
        <w:rPr>
          <w:rFonts w:eastAsiaTheme="minorEastAsia"/>
          <w:kern w:val="0"/>
          <w:szCs w:val="21"/>
        </w:rPr>
        <w:t>基金通过沪港通</w:t>
      </w:r>
      <w:r>
        <w:rPr>
          <w:rFonts w:eastAsiaTheme="minorEastAsia"/>
          <w:kern w:val="0"/>
          <w:szCs w:val="21"/>
        </w:rPr>
        <w:t>/</w:t>
      </w:r>
      <w:r>
        <w:rPr>
          <w:rFonts w:eastAsiaTheme="minorEastAsia"/>
          <w:kern w:val="0"/>
          <w:szCs w:val="21"/>
        </w:rPr>
        <w:t>深港通买卖、继承、赠与联交所上市股票，按照香港特别行政区现行税法规定缴纳印花税。</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 xml:space="preserve">(5) </w:t>
      </w:r>
      <w:r w:rsidRPr="00C24ACA">
        <w:rPr>
          <w:rFonts w:eastAsiaTheme="minorEastAsia"/>
          <w:kern w:val="0"/>
          <w:szCs w:val="21"/>
        </w:rPr>
        <w:t>本基金的城市维护建设税、教育费附加和地方教育附加等税费按照实际缴纳增值税额的适用比例计算缴纳。</w:t>
      </w:r>
      <w:r w:rsidRPr="00C24ACA">
        <w:rPr>
          <w:rFonts w:eastAsiaTheme="minorEastAsia"/>
          <w:kern w:val="0"/>
          <w:szCs w:val="21"/>
        </w:rPr>
        <w:t xml:space="preserve">  </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6.4.7</w:t>
      </w:r>
      <w:r w:rsidRPr="00C24ACA">
        <w:rPr>
          <w:rFonts w:eastAsiaTheme="minorEastAsia"/>
          <w:b/>
          <w:color w:val="000000"/>
          <w:kern w:val="0"/>
          <w:szCs w:val="21"/>
        </w:rPr>
        <w:t>重要财务报表项目的说明</w:t>
      </w:r>
    </w:p>
    <w:p w:rsidR="008A5A5D" w:rsidRPr="00C24ACA" w:rsidRDefault="008A5A5D" w:rsidP="009967D7">
      <w:pPr>
        <w:spacing w:line="360" w:lineRule="auto"/>
        <w:rPr>
          <w:rFonts w:eastAsiaTheme="minorEastAsia"/>
          <w:b/>
          <w:color w:val="000000"/>
          <w:szCs w:val="21"/>
        </w:rPr>
      </w:pPr>
      <w:r w:rsidRPr="00C24ACA">
        <w:rPr>
          <w:rFonts w:eastAsiaTheme="minorEastAsia"/>
          <w:b/>
          <w:bCs/>
          <w:color w:val="000000"/>
          <w:kern w:val="0"/>
          <w:szCs w:val="21"/>
        </w:rPr>
        <w:t>6.4.7.1</w:t>
      </w:r>
      <w:r w:rsidRPr="00C24ACA">
        <w:rPr>
          <w:rFonts w:eastAsiaTheme="minorEastAsia"/>
          <w:b/>
          <w:color w:val="000000"/>
          <w:szCs w:val="21"/>
        </w:rPr>
        <w:t>银行存款</w:t>
      </w:r>
    </w:p>
    <w:p w:rsidR="00993316" w:rsidRDefault="00993316" w:rsidP="00993316">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993316" w:rsidTr="00DC4F67">
        <w:trPr>
          <w:trHeight w:val="345"/>
          <w:jc w:val="center"/>
        </w:trPr>
        <w:tc>
          <w:tcPr>
            <w:tcW w:w="3766" w:type="dxa"/>
            <w:tcMar>
              <w:top w:w="15" w:type="dxa"/>
              <w:left w:w="15" w:type="dxa"/>
              <w:bottom w:w="0" w:type="dxa"/>
              <w:right w:w="15" w:type="dxa"/>
            </w:tcMar>
            <w:vAlign w:val="center"/>
            <w:hideMark/>
          </w:tcPr>
          <w:p w:rsidR="00993316" w:rsidRDefault="00993316">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993316" w:rsidRDefault="00993316">
            <w:pPr>
              <w:jc w:val="center"/>
              <w:rPr>
                <w:kern w:val="0"/>
                <w:szCs w:val="21"/>
              </w:rPr>
            </w:pPr>
            <w:r>
              <w:rPr>
                <w:rFonts w:hAnsi="宋体" w:hint="eastAsia"/>
                <w:kern w:val="0"/>
                <w:szCs w:val="21"/>
              </w:rPr>
              <w:t>本期末</w:t>
            </w:r>
          </w:p>
          <w:p w:rsidR="00993316" w:rsidRDefault="00993316">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50,482,455.20</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50,482,455.20</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6.4.7.2</w:t>
      </w:r>
      <w:r w:rsidRPr="00C24ACA">
        <w:rPr>
          <w:rFonts w:eastAsiaTheme="minorEastAsia"/>
          <w:b/>
          <w:color w:val="000000"/>
          <w:szCs w:val="21"/>
        </w:rPr>
        <w:t>交易性金融资产</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bCs/>
          <w:color w:val="000000"/>
          <w:szCs w:val="21"/>
        </w:rPr>
        <w:t>单位：人民币元</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8A5A5D" w:rsidRPr="00C24ACA" w:rsidTr="00614C5C">
        <w:trPr>
          <w:trHeight w:val="255"/>
        </w:trPr>
        <w:tc>
          <w:tcPr>
            <w:tcW w:w="2268" w:type="dxa"/>
            <w:gridSpan w:val="2"/>
            <w:vMerge w:val="restart"/>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项目</w:t>
            </w:r>
          </w:p>
        </w:tc>
        <w:tc>
          <w:tcPr>
            <w:tcW w:w="7018" w:type="dxa"/>
            <w:gridSpan w:val="3"/>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本期末</w:t>
            </w:r>
          </w:p>
          <w:p w:rsidR="008A5A5D" w:rsidRPr="00C24ACA" w:rsidRDefault="00AC4A34" w:rsidP="004A4847">
            <w:pPr>
              <w:jc w:val="center"/>
              <w:rPr>
                <w:rFonts w:eastAsiaTheme="minorEastAsia"/>
                <w:color w:val="000000"/>
                <w:kern w:val="0"/>
                <w:szCs w:val="21"/>
              </w:rPr>
            </w:pPr>
            <w:r w:rsidRPr="00C24ACA">
              <w:rPr>
                <w:rFonts w:eastAsiaTheme="minorEastAsia"/>
                <w:color w:val="000000"/>
                <w:kern w:val="0"/>
                <w:szCs w:val="21"/>
              </w:rPr>
              <w:t>2020</w:t>
            </w:r>
            <w:r w:rsidRPr="00C24ACA">
              <w:rPr>
                <w:rFonts w:eastAsiaTheme="minorEastAsia"/>
                <w:color w:val="000000"/>
                <w:kern w:val="0"/>
                <w:szCs w:val="21"/>
              </w:rPr>
              <w:t>年</w:t>
            </w:r>
            <w:r w:rsidRPr="00C24ACA">
              <w:rPr>
                <w:rFonts w:eastAsiaTheme="minorEastAsia"/>
                <w:color w:val="000000"/>
                <w:kern w:val="0"/>
                <w:szCs w:val="21"/>
              </w:rPr>
              <w:t>6</w:t>
            </w:r>
            <w:r w:rsidRPr="00C24ACA">
              <w:rPr>
                <w:rFonts w:eastAsiaTheme="minorEastAsia"/>
                <w:color w:val="000000"/>
                <w:kern w:val="0"/>
                <w:szCs w:val="21"/>
              </w:rPr>
              <w:t>月</w:t>
            </w:r>
            <w:r w:rsidRPr="00C24ACA">
              <w:rPr>
                <w:rFonts w:eastAsiaTheme="minorEastAsia"/>
                <w:color w:val="000000"/>
                <w:kern w:val="0"/>
                <w:szCs w:val="21"/>
              </w:rPr>
              <w:t>30</w:t>
            </w:r>
            <w:r w:rsidRPr="00C24ACA">
              <w:rPr>
                <w:rFonts w:eastAsiaTheme="minorEastAsia"/>
                <w:color w:val="000000"/>
                <w:kern w:val="0"/>
                <w:szCs w:val="21"/>
              </w:rPr>
              <w:t>日</w:t>
            </w:r>
          </w:p>
        </w:tc>
      </w:tr>
      <w:tr w:rsidR="008A5A5D" w:rsidRPr="00C24ACA" w:rsidTr="00614C5C">
        <w:trPr>
          <w:trHeight w:val="270"/>
        </w:trPr>
        <w:tc>
          <w:tcPr>
            <w:tcW w:w="2268" w:type="dxa"/>
            <w:gridSpan w:val="2"/>
            <w:vMerge/>
            <w:vAlign w:val="center"/>
          </w:tcPr>
          <w:p w:rsidR="008A5A5D" w:rsidRPr="00C24ACA" w:rsidRDefault="008A5A5D" w:rsidP="004A4847">
            <w:pPr>
              <w:widowControl/>
              <w:jc w:val="left"/>
              <w:rPr>
                <w:rFonts w:eastAsiaTheme="minorEastAsia"/>
                <w:color w:val="000000"/>
                <w:kern w:val="0"/>
                <w:szCs w:val="21"/>
              </w:rPr>
            </w:pPr>
          </w:p>
        </w:tc>
        <w:tc>
          <w:tcPr>
            <w:tcW w:w="2339"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成本</w:t>
            </w:r>
          </w:p>
        </w:tc>
        <w:tc>
          <w:tcPr>
            <w:tcW w:w="2339"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公允价值</w:t>
            </w:r>
          </w:p>
        </w:tc>
        <w:tc>
          <w:tcPr>
            <w:tcW w:w="2340"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公允价值变动</w:t>
            </w:r>
          </w:p>
        </w:tc>
      </w:tr>
      <w:tr w:rsidR="008A5A5D" w:rsidRPr="00C24ACA" w:rsidTr="00614C5C">
        <w:trPr>
          <w:trHeight w:val="270"/>
        </w:trPr>
        <w:tc>
          <w:tcPr>
            <w:tcW w:w="2268" w:type="dxa"/>
            <w:gridSpan w:val="2"/>
            <w:vAlign w:val="center"/>
          </w:tcPr>
          <w:p w:rsidR="008A5A5D" w:rsidRPr="00C24ACA" w:rsidRDefault="008A5A5D" w:rsidP="004A4847">
            <w:pPr>
              <w:widowControl/>
              <w:rPr>
                <w:rFonts w:eastAsiaTheme="minorEastAsia"/>
                <w:color w:val="000000"/>
                <w:kern w:val="0"/>
                <w:szCs w:val="21"/>
              </w:rPr>
            </w:pPr>
            <w:r w:rsidRPr="00C24ACA">
              <w:rPr>
                <w:rFonts w:eastAsiaTheme="minorEastAsia"/>
                <w:color w:val="000000"/>
                <w:kern w:val="0"/>
                <w:szCs w:val="21"/>
              </w:rPr>
              <w:t>股票</w:t>
            </w:r>
          </w:p>
        </w:tc>
        <w:tc>
          <w:tcPr>
            <w:tcW w:w="2339"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w:t>
            </w:r>
          </w:p>
        </w:tc>
      </w:tr>
      <w:tr w:rsidR="00614C5C" w:rsidRPr="00C24ACA" w:rsidTr="00614C5C">
        <w:trPr>
          <w:trHeight w:val="270"/>
        </w:trPr>
        <w:tc>
          <w:tcPr>
            <w:tcW w:w="2268" w:type="dxa"/>
            <w:gridSpan w:val="2"/>
            <w:vAlign w:val="center"/>
          </w:tcPr>
          <w:p w:rsidR="00614C5C" w:rsidRPr="00224952" w:rsidRDefault="00614C5C" w:rsidP="00614C5C">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c>
          <w:tcPr>
            <w:tcW w:w="2339"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c>
          <w:tcPr>
            <w:tcW w:w="2340"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r>
      <w:tr w:rsidR="00614C5C" w:rsidRPr="00C24ACA" w:rsidTr="00614C5C">
        <w:trPr>
          <w:trHeight w:val="285"/>
        </w:trPr>
        <w:tc>
          <w:tcPr>
            <w:tcW w:w="828" w:type="dxa"/>
            <w:vMerge w:val="restart"/>
            <w:vAlign w:val="center"/>
          </w:tcPr>
          <w:p w:rsidR="00614C5C" w:rsidRPr="00C24ACA" w:rsidRDefault="00614C5C" w:rsidP="00614C5C">
            <w:pPr>
              <w:jc w:val="center"/>
              <w:rPr>
                <w:rFonts w:eastAsiaTheme="minorEastAsia"/>
                <w:color w:val="000000"/>
                <w:kern w:val="0"/>
                <w:szCs w:val="21"/>
              </w:rPr>
            </w:pPr>
            <w:r w:rsidRPr="00C24ACA">
              <w:rPr>
                <w:rFonts w:eastAsiaTheme="minorEastAsia"/>
                <w:color w:val="000000"/>
                <w:kern w:val="0"/>
                <w:szCs w:val="21"/>
              </w:rPr>
              <w:t>债券</w:t>
            </w:r>
          </w:p>
        </w:tc>
        <w:tc>
          <w:tcPr>
            <w:tcW w:w="1440" w:type="dxa"/>
            <w:vAlign w:val="center"/>
          </w:tcPr>
          <w:p w:rsidR="00614C5C" w:rsidRPr="00C24ACA" w:rsidRDefault="00614C5C" w:rsidP="00614C5C">
            <w:pPr>
              <w:jc w:val="left"/>
              <w:rPr>
                <w:rFonts w:eastAsiaTheme="minorEastAsia"/>
                <w:color w:val="000000"/>
                <w:kern w:val="0"/>
                <w:szCs w:val="21"/>
              </w:rPr>
            </w:pPr>
            <w:r w:rsidRPr="00C24ACA">
              <w:rPr>
                <w:rFonts w:eastAsiaTheme="minorEastAsia"/>
                <w:color w:val="000000"/>
                <w:kern w:val="0"/>
                <w:szCs w:val="21"/>
              </w:rPr>
              <w:t>交易所市场</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r>
      <w:tr w:rsidR="00614C5C" w:rsidRPr="00C24ACA" w:rsidTr="00614C5C">
        <w:trPr>
          <w:trHeight w:val="103"/>
        </w:trPr>
        <w:tc>
          <w:tcPr>
            <w:tcW w:w="828" w:type="dxa"/>
            <w:vMerge/>
            <w:vAlign w:val="center"/>
          </w:tcPr>
          <w:p w:rsidR="00614C5C" w:rsidRPr="00C24ACA" w:rsidRDefault="00614C5C" w:rsidP="00614C5C">
            <w:pPr>
              <w:widowControl/>
              <w:jc w:val="left"/>
              <w:rPr>
                <w:rFonts w:eastAsiaTheme="minorEastAsia"/>
                <w:color w:val="000000"/>
                <w:kern w:val="0"/>
                <w:szCs w:val="21"/>
              </w:rPr>
            </w:pPr>
          </w:p>
        </w:tc>
        <w:tc>
          <w:tcPr>
            <w:tcW w:w="1440" w:type="dxa"/>
            <w:vAlign w:val="center"/>
          </w:tcPr>
          <w:p w:rsidR="00614C5C" w:rsidRPr="00C24ACA" w:rsidRDefault="00614C5C" w:rsidP="00614C5C">
            <w:pPr>
              <w:widowControl/>
              <w:jc w:val="left"/>
              <w:rPr>
                <w:rFonts w:eastAsiaTheme="minorEastAsia"/>
                <w:color w:val="000000"/>
                <w:kern w:val="0"/>
                <w:szCs w:val="21"/>
              </w:rPr>
            </w:pPr>
            <w:r w:rsidRPr="00C24ACA">
              <w:rPr>
                <w:rFonts w:eastAsiaTheme="minorEastAsia"/>
                <w:color w:val="000000"/>
                <w:kern w:val="0"/>
                <w:szCs w:val="21"/>
              </w:rPr>
              <w:t>银行间市场</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r>
      <w:tr w:rsidR="00614C5C" w:rsidRPr="00C24ACA" w:rsidTr="00614C5C">
        <w:trPr>
          <w:trHeight w:val="103"/>
        </w:trPr>
        <w:tc>
          <w:tcPr>
            <w:tcW w:w="828" w:type="dxa"/>
            <w:vMerge/>
            <w:vAlign w:val="center"/>
          </w:tcPr>
          <w:p w:rsidR="00614C5C" w:rsidRPr="00C24ACA" w:rsidRDefault="00614C5C" w:rsidP="00614C5C">
            <w:pPr>
              <w:widowControl/>
              <w:jc w:val="left"/>
              <w:rPr>
                <w:rFonts w:eastAsiaTheme="minorEastAsia"/>
                <w:color w:val="000000"/>
                <w:kern w:val="0"/>
                <w:szCs w:val="21"/>
              </w:rPr>
            </w:pPr>
          </w:p>
        </w:tc>
        <w:tc>
          <w:tcPr>
            <w:tcW w:w="1440" w:type="dxa"/>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合计</w:t>
            </w:r>
          </w:p>
        </w:tc>
        <w:tc>
          <w:tcPr>
            <w:tcW w:w="2339"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w:t>
            </w:r>
          </w:p>
        </w:tc>
        <w:tc>
          <w:tcPr>
            <w:tcW w:w="2339"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w:t>
            </w:r>
          </w:p>
        </w:tc>
        <w:tc>
          <w:tcPr>
            <w:tcW w:w="2340"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资产支持证券</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基金</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584,471,977.04</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731,816,990.74</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147,345,013.70</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其他</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jc w:val="center"/>
              <w:rPr>
                <w:rFonts w:eastAsiaTheme="minorEastAsia"/>
                <w:color w:val="000000"/>
                <w:kern w:val="0"/>
                <w:szCs w:val="21"/>
              </w:rPr>
            </w:pPr>
            <w:r w:rsidRPr="00C24ACA">
              <w:rPr>
                <w:rFonts w:eastAsiaTheme="minorEastAsia"/>
                <w:color w:val="000000"/>
                <w:kern w:val="0"/>
                <w:szCs w:val="21"/>
              </w:rPr>
              <w:t>合计</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584,471,977.04</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731,816,990.74</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147,345,013.70</w:t>
            </w:r>
          </w:p>
        </w:tc>
      </w:tr>
    </w:tbl>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w:t>
      </w:r>
      <w:r w:rsidRPr="00C24ACA">
        <w:rPr>
          <w:rFonts w:eastAsiaTheme="minorEastAsia"/>
          <w:kern w:val="0"/>
          <w:szCs w:val="21"/>
        </w:rPr>
        <w:t>“</w:t>
      </w:r>
      <w:r w:rsidRPr="00C24ACA">
        <w:rPr>
          <w:rFonts w:eastAsiaTheme="minorEastAsia"/>
          <w:kern w:val="0"/>
          <w:szCs w:val="21"/>
        </w:rPr>
        <w:t>股票</w:t>
      </w:r>
      <w:r w:rsidRPr="00C24ACA">
        <w:rPr>
          <w:rFonts w:eastAsiaTheme="minorEastAsia"/>
          <w:kern w:val="0"/>
          <w:szCs w:val="21"/>
        </w:rPr>
        <w:t>”</w:t>
      </w:r>
      <w:r w:rsidRPr="00C24ACA">
        <w:rPr>
          <w:rFonts w:eastAsiaTheme="minorEastAsia"/>
          <w:kern w:val="0"/>
          <w:szCs w:val="21"/>
        </w:rPr>
        <w:t>包括普通股、存托凭证和优先股等。</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6.4.7.3</w:t>
      </w:r>
      <w:r w:rsidRPr="00C24ACA">
        <w:rPr>
          <w:rFonts w:eastAsiaTheme="minorEastAsia"/>
          <w:b/>
          <w:color w:val="000000"/>
          <w:szCs w:val="21"/>
        </w:rPr>
        <w:t>衍生金融资产</w:t>
      </w:r>
      <w:r w:rsidRPr="00C24ACA">
        <w:rPr>
          <w:rFonts w:eastAsiaTheme="minorEastAsia"/>
          <w:b/>
          <w:color w:val="000000"/>
          <w:szCs w:val="21"/>
        </w:rPr>
        <w:t>/</w:t>
      </w:r>
      <w:r w:rsidRPr="00C24ACA">
        <w:rPr>
          <w:rFonts w:eastAsiaTheme="minorEastAsia"/>
          <w:b/>
          <w:color w:val="000000"/>
          <w:szCs w:val="21"/>
        </w:rPr>
        <w:t>负债</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本基金本报告期末无衍生金融资产</w:t>
      </w:r>
      <w:r w:rsidRPr="00C24ACA">
        <w:rPr>
          <w:rFonts w:eastAsiaTheme="minorEastAsia"/>
          <w:kern w:val="0"/>
          <w:szCs w:val="21"/>
        </w:rPr>
        <w:t>/</w:t>
      </w:r>
      <w:r w:rsidRPr="00C24ACA">
        <w:rPr>
          <w:rFonts w:eastAsiaTheme="minorEastAsia"/>
          <w:kern w:val="0"/>
          <w:szCs w:val="21"/>
        </w:rPr>
        <w:t>负债。</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6.4.7.4</w:t>
      </w:r>
      <w:r w:rsidRPr="00C24ACA">
        <w:rPr>
          <w:rFonts w:eastAsiaTheme="minorEastAsia"/>
          <w:b/>
          <w:color w:val="000000"/>
          <w:szCs w:val="21"/>
        </w:rPr>
        <w:t>买入返售金融资产</w:t>
      </w:r>
    </w:p>
    <w:p w:rsidR="008A5A5D" w:rsidRPr="00C24ACA" w:rsidRDefault="008A5A5D" w:rsidP="009967D7">
      <w:pPr>
        <w:spacing w:line="360" w:lineRule="auto"/>
        <w:rPr>
          <w:rFonts w:eastAsiaTheme="minorEastAsia"/>
          <w:b/>
          <w:color w:val="000000"/>
          <w:szCs w:val="21"/>
        </w:rPr>
      </w:pPr>
      <w:r w:rsidRPr="00C24ACA">
        <w:rPr>
          <w:rFonts w:eastAsiaTheme="minorEastAsia"/>
          <w:b/>
          <w:bCs/>
          <w:color w:val="000000"/>
          <w:kern w:val="0"/>
          <w:szCs w:val="21"/>
        </w:rPr>
        <w:t>6.4.7.4.1</w:t>
      </w:r>
      <w:r w:rsidRPr="00C24ACA">
        <w:rPr>
          <w:rFonts w:eastAsiaTheme="minorEastAsia"/>
          <w:b/>
          <w:color w:val="000000"/>
          <w:szCs w:val="21"/>
        </w:rPr>
        <w:t>各项买入返售金融资产期末余额</w:t>
      </w:r>
    </w:p>
    <w:p w:rsidR="002E14AD" w:rsidRDefault="002E14AD" w:rsidP="008707EB">
      <w:pPr>
        <w:tabs>
          <w:tab w:val="left" w:pos="426"/>
        </w:tabs>
        <w:spacing w:line="360" w:lineRule="auto"/>
        <w:ind w:firstLineChars="200" w:firstLine="420"/>
        <w:rPr>
          <w:rFonts w:eastAsiaTheme="minorEastAsia"/>
          <w:kern w:val="0"/>
          <w:szCs w:val="21"/>
        </w:rPr>
      </w:pPr>
      <w:r>
        <w:rPr>
          <w:rFonts w:eastAsiaTheme="minorEastAsia"/>
          <w:kern w:val="0"/>
          <w:szCs w:val="21"/>
        </w:rPr>
        <w:t>本基金本报告期末无买入返售金融资产。</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6.4.7.4.2</w:t>
      </w:r>
      <w:r w:rsidRPr="00C24ACA">
        <w:rPr>
          <w:rFonts w:eastAsiaTheme="minorEastAsia"/>
          <w:b/>
          <w:color w:val="000000"/>
          <w:szCs w:val="21"/>
        </w:rPr>
        <w:t>期末买断式逆回购交易中取得的债券</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本基金本报告期末无买断式逆回购交易中取得的债券。</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6.4.7.5</w:t>
      </w:r>
      <w:r w:rsidRPr="00C24ACA">
        <w:rPr>
          <w:rFonts w:eastAsiaTheme="minorEastAsia"/>
          <w:b/>
          <w:color w:val="000000"/>
          <w:szCs w:val="21"/>
        </w:rPr>
        <w:t>应收利息</w:t>
      </w:r>
    </w:p>
    <w:p w:rsidR="00C4173D" w:rsidRDefault="00C4173D" w:rsidP="00C4173D">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C4173D" w:rsidTr="00DC4F67">
        <w:trPr>
          <w:trHeight w:val="330"/>
        </w:trPr>
        <w:tc>
          <w:tcPr>
            <w:tcW w:w="3701" w:type="dxa"/>
            <w:vAlign w:val="center"/>
            <w:hideMark/>
          </w:tcPr>
          <w:p w:rsidR="00C4173D" w:rsidRDefault="00C4173D">
            <w:pPr>
              <w:jc w:val="center"/>
              <w:rPr>
                <w:szCs w:val="21"/>
              </w:rPr>
            </w:pPr>
            <w:r>
              <w:rPr>
                <w:rFonts w:hint="eastAsia"/>
                <w:szCs w:val="21"/>
              </w:rPr>
              <w:t>项目</w:t>
            </w:r>
          </w:p>
        </w:tc>
        <w:tc>
          <w:tcPr>
            <w:tcW w:w="5528" w:type="dxa"/>
            <w:vAlign w:val="center"/>
            <w:hideMark/>
          </w:tcPr>
          <w:p w:rsidR="00C4173D" w:rsidRDefault="00C4173D">
            <w:pPr>
              <w:jc w:val="center"/>
              <w:rPr>
                <w:kern w:val="0"/>
                <w:szCs w:val="21"/>
              </w:rPr>
            </w:pPr>
            <w:r>
              <w:rPr>
                <w:rFonts w:hint="eastAsia"/>
                <w:kern w:val="0"/>
                <w:szCs w:val="21"/>
              </w:rPr>
              <w:t>本期末</w:t>
            </w:r>
          </w:p>
          <w:p w:rsidR="00C4173D" w:rsidRDefault="00C4173D">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C4173D" w:rsidTr="00DC4F67">
        <w:trPr>
          <w:trHeight w:val="257"/>
        </w:trPr>
        <w:tc>
          <w:tcPr>
            <w:tcW w:w="3701" w:type="dxa"/>
            <w:vAlign w:val="center"/>
            <w:hideMark/>
          </w:tcPr>
          <w:p w:rsidR="00C4173D" w:rsidRDefault="00C4173D">
            <w:pPr>
              <w:rPr>
                <w:szCs w:val="21"/>
              </w:rPr>
            </w:pPr>
            <w:r>
              <w:rPr>
                <w:rFonts w:hint="eastAsia"/>
                <w:szCs w:val="21"/>
              </w:rPr>
              <w:t>应收活期存款利息</w:t>
            </w:r>
          </w:p>
        </w:tc>
        <w:tc>
          <w:tcPr>
            <w:tcW w:w="5528" w:type="dxa"/>
            <w:vAlign w:val="center"/>
            <w:hideMark/>
          </w:tcPr>
          <w:p w:rsidR="00C4173D" w:rsidRDefault="00C4173D">
            <w:pPr>
              <w:jc w:val="right"/>
              <w:rPr>
                <w:szCs w:val="21"/>
              </w:rPr>
            </w:pPr>
            <w:r>
              <w:rPr>
                <w:szCs w:val="21"/>
              </w:rPr>
              <w:t>4,371.29</w:t>
            </w:r>
          </w:p>
        </w:tc>
      </w:tr>
      <w:tr w:rsidR="00C4173D" w:rsidTr="00DC4F67">
        <w:trPr>
          <w:trHeight w:val="223"/>
        </w:trPr>
        <w:tc>
          <w:tcPr>
            <w:tcW w:w="3701" w:type="dxa"/>
            <w:vAlign w:val="center"/>
            <w:hideMark/>
          </w:tcPr>
          <w:p w:rsidR="00C4173D" w:rsidRDefault="00C4173D">
            <w:pPr>
              <w:rPr>
                <w:szCs w:val="21"/>
              </w:rPr>
            </w:pPr>
            <w:r>
              <w:rPr>
                <w:rFonts w:hint="eastAsia"/>
                <w:szCs w:val="21"/>
              </w:rPr>
              <w:t>应收定期存款利息</w:t>
            </w:r>
          </w:p>
        </w:tc>
        <w:tc>
          <w:tcPr>
            <w:tcW w:w="5528" w:type="dxa"/>
            <w:vAlign w:val="center"/>
            <w:hideMark/>
          </w:tcPr>
          <w:p w:rsidR="00C4173D" w:rsidRDefault="00C4173D">
            <w:pPr>
              <w:jc w:val="right"/>
              <w:rPr>
                <w:szCs w:val="21"/>
              </w:rPr>
            </w:pPr>
            <w:r>
              <w:rPr>
                <w:szCs w:val="21"/>
              </w:rPr>
              <w:t>-</w:t>
            </w:r>
          </w:p>
        </w:tc>
      </w:tr>
      <w:tr w:rsidR="00C4173D" w:rsidTr="00DC4F67">
        <w:trPr>
          <w:trHeight w:val="223"/>
        </w:trPr>
        <w:tc>
          <w:tcPr>
            <w:tcW w:w="3701" w:type="dxa"/>
            <w:vAlign w:val="center"/>
            <w:hideMark/>
          </w:tcPr>
          <w:p w:rsidR="00C4173D" w:rsidRDefault="00C4173D">
            <w:pPr>
              <w:rPr>
                <w:szCs w:val="21"/>
              </w:rPr>
            </w:pPr>
            <w:r>
              <w:rPr>
                <w:rFonts w:hint="eastAsia"/>
                <w:szCs w:val="21"/>
              </w:rPr>
              <w:t>应收其他存款利息</w:t>
            </w:r>
          </w:p>
        </w:tc>
        <w:tc>
          <w:tcPr>
            <w:tcW w:w="5528" w:type="dxa"/>
            <w:vAlign w:val="center"/>
            <w:hideMark/>
          </w:tcPr>
          <w:p w:rsidR="00C4173D" w:rsidRDefault="00C4173D">
            <w:pPr>
              <w:jc w:val="right"/>
              <w:rPr>
                <w:szCs w:val="21"/>
              </w:rPr>
            </w:pPr>
            <w:r>
              <w:rPr>
                <w:szCs w:val="21"/>
              </w:rPr>
              <w:t>-</w:t>
            </w:r>
          </w:p>
        </w:tc>
      </w:tr>
      <w:tr w:rsidR="00C4173D" w:rsidTr="00DC4F67">
        <w:trPr>
          <w:trHeight w:val="223"/>
        </w:trPr>
        <w:tc>
          <w:tcPr>
            <w:tcW w:w="3701" w:type="dxa"/>
            <w:vAlign w:val="center"/>
            <w:hideMark/>
          </w:tcPr>
          <w:p w:rsidR="00C4173D" w:rsidRDefault="00C4173D">
            <w:pPr>
              <w:rPr>
                <w:szCs w:val="21"/>
              </w:rPr>
            </w:pPr>
            <w:r>
              <w:rPr>
                <w:rFonts w:hint="eastAsia"/>
                <w:szCs w:val="21"/>
              </w:rPr>
              <w:t>应收结算备付金利息</w:t>
            </w:r>
          </w:p>
        </w:tc>
        <w:tc>
          <w:tcPr>
            <w:tcW w:w="5528" w:type="dxa"/>
            <w:vAlign w:val="center"/>
            <w:hideMark/>
          </w:tcPr>
          <w:p w:rsidR="00C4173D" w:rsidRDefault="00C4173D">
            <w:pPr>
              <w:jc w:val="right"/>
              <w:rPr>
                <w:szCs w:val="21"/>
              </w:rPr>
            </w:pPr>
            <w:r>
              <w:rPr>
                <w:szCs w:val="21"/>
              </w:rPr>
              <w:t>139.30</w:t>
            </w:r>
          </w:p>
        </w:tc>
      </w:tr>
      <w:tr w:rsidR="00C4173D" w:rsidTr="00DC4F67">
        <w:trPr>
          <w:trHeight w:val="269"/>
        </w:trPr>
        <w:tc>
          <w:tcPr>
            <w:tcW w:w="3701" w:type="dxa"/>
            <w:vAlign w:val="center"/>
            <w:hideMark/>
          </w:tcPr>
          <w:p w:rsidR="00C4173D" w:rsidRDefault="00C4173D">
            <w:pPr>
              <w:rPr>
                <w:szCs w:val="21"/>
              </w:rPr>
            </w:pPr>
            <w:r>
              <w:rPr>
                <w:rFonts w:hint="eastAsia"/>
                <w:szCs w:val="21"/>
              </w:rPr>
              <w:t>应收债券利息</w:t>
            </w:r>
          </w:p>
        </w:tc>
        <w:tc>
          <w:tcPr>
            <w:tcW w:w="5528" w:type="dxa"/>
            <w:vAlign w:val="center"/>
            <w:hideMark/>
          </w:tcPr>
          <w:p w:rsidR="00C4173D" w:rsidRDefault="00C4173D">
            <w:pPr>
              <w:jc w:val="right"/>
              <w:rPr>
                <w:szCs w:val="21"/>
              </w:rPr>
            </w:pPr>
            <w:r>
              <w:rPr>
                <w:szCs w:val="21"/>
              </w:rPr>
              <w:t>-</w:t>
            </w:r>
          </w:p>
        </w:tc>
      </w:tr>
      <w:tr w:rsidR="00C4173D" w:rsidTr="00DC4F67">
        <w:trPr>
          <w:trHeight w:val="287"/>
        </w:trPr>
        <w:tc>
          <w:tcPr>
            <w:tcW w:w="3701" w:type="dxa"/>
            <w:vAlign w:val="bottom"/>
            <w:hideMark/>
          </w:tcPr>
          <w:p w:rsidR="00C4173D" w:rsidRDefault="00C4173D">
            <w:pPr>
              <w:rPr>
                <w:rFonts w:eastAsiaTheme="minorEastAsia"/>
                <w:szCs w:val="21"/>
              </w:rPr>
            </w:pPr>
            <w:r>
              <w:rPr>
                <w:rFonts w:eastAsiaTheme="minorEastAsia" w:hint="eastAsia"/>
                <w:szCs w:val="21"/>
              </w:rPr>
              <w:t>应收资产支持证券利息</w:t>
            </w:r>
          </w:p>
        </w:tc>
        <w:tc>
          <w:tcPr>
            <w:tcW w:w="5528" w:type="dxa"/>
            <w:hideMark/>
          </w:tcPr>
          <w:p w:rsidR="00C4173D" w:rsidRDefault="00C4173D">
            <w:pPr>
              <w:jc w:val="right"/>
              <w:rPr>
                <w:rFonts w:eastAsiaTheme="minorEastAsia"/>
                <w:szCs w:val="21"/>
              </w:rPr>
            </w:pPr>
            <w:r>
              <w:rPr>
                <w:rFonts w:eastAsiaTheme="minorEastAsia"/>
                <w:szCs w:val="21"/>
              </w:rPr>
              <w:t>-</w:t>
            </w:r>
          </w:p>
        </w:tc>
      </w:tr>
      <w:tr w:rsidR="00C4173D" w:rsidTr="00DC4F67">
        <w:trPr>
          <w:trHeight w:val="287"/>
        </w:trPr>
        <w:tc>
          <w:tcPr>
            <w:tcW w:w="3701" w:type="dxa"/>
            <w:vAlign w:val="center"/>
            <w:hideMark/>
          </w:tcPr>
          <w:p w:rsidR="00C4173D" w:rsidRDefault="00C4173D">
            <w:pPr>
              <w:rPr>
                <w:szCs w:val="21"/>
              </w:rPr>
            </w:pPr>
            <w:r>
              <w:rPr>
                <w:rFonts w:hint="eastAsia"/>
                <w:szCs w:val="21"/>
              </w:rPr>
              <w:t>应收买入返售证券利息</w:t>
            </w:r>
          </w:p>
        </w:tc>
        <w:tc>
          <w:tcPr>
            <w:tcW w:w="5528" w:type="dxa"/>
            <w:vAlign w:val="center"/>
            <w:hideMark/>
          </w:tcPr>
          <w:p w:rsidR="00C4173D" w:rsidRDefault="00C4173D">
            <w:pPr>
              <w:jc w:val="right"/>
              <w:rPr>
                <w:szCs w:val="21"/>
              </w:rPr>
            </w:pPr>
            <w:r>
              <w:rPr>
                <w:szCs w:val="21"/>
              </w:rPr>
              <w:t>-</w:t>
            </w:r>
          </w:p>
        </w:tc>
      </w:tr>
      <w:tr w:rsidR="00C4173D" w:rsidTr="00DC4F67">
        <w:trPr>
          <w:trHeight w:val="305"/>
        </w:trPr>
        <w:tc>
          <w:tcPr>
            <w:tcW w:w="3701" w:type="dxa"/>
            <w:vAlign w:val="center"/>
            <w:hideMark/>
          </w:tcPr>
          <w:p w:rsidR="00C4173D" w:rsidRDefault="00C4173D">
            <w:pPr>
              <w:rPr>
                <w:szCs w:val="21"/>
              </w:rPr>
            </w:pPr>
            <w:r>
              <w:rPr>
                <w:rFonts w:hint="eastAsia"/>
                <w:szCs w:val="21"/>
              </w:rPr>
              <w:t>应收申购款利息</w:t>
            </w:r>
          </w:p>
        </w:tc>
        <w:tc>
          <w:tcPr>
            <w:tcW w:w="5528" w:type="dxa"/>
            <w:vAlign w:val="center"/>
            <w:hideMark/>
          </w:tcPr>
          <w:p w:rsidR="00C4173D" w:rsidRDefault="00C4173D">
            <w:pPr>
              <w:jc w:val="right"/>
              <w:rPr>
                <w:szCs w:val="21"/>
              </w:rPr>
            </w:pPr>
            <w:r>
              <w:rPr>
                <w:szCs w:val="21"/>
              </w:rPr>
              <w:t>-</w:t>
            </w:r>
          </w:p>
        </w:tc>
      </w:tr>
      <w:tr w:rsidR="00C4173D" w:rsidTr="00DC4F67">
        <w:trPr>
          <w:trHeight w:val="305"/>
        </w:trPr>
        <w:tc>
          <w:tcPr>
            <w:tcW w:w="3701" w:type="dxa"/>
            <w:vAlign w:val="center"/>
            <w:hideMark/>
          </w:tcPr>
          <w:p w:rsidR="00C4173D" w:rsidRDefault="00C4173D">
            <w:pPr>
              <w:rPr>
                <w:szCs w:val="21"/>
              </w:rPr>
            </w:pPr>
            <w:r>
              <w:rPr>
                <w:rFonts w:hint="eastAsia"/>
                <w:szCs w:val="21"/>
              </w:rPr>
              <w:t>应收黄金合约拆借孳息</w:t>
            </w:r>
          </w:p>
        </w:tc>
        <w:tc>
          <w:tcPr>
            <w:tcW w:w="5528" w:type="dxa"/>
            <w:vAlign w:val="center"/>
            <w:hideMark/>
          </w:tcPr>
          <w:p w:rsidR="00C4173D" w:rsidRDefault="00C4173D">
            <w:pPr>
              <w:jc w:val="right"/>
              <w:rPr>
                <w:szCs w:val="21"/>
              </w:rPr>
            </w:pPr>
            <w:r>
              <w:rPr>
                <w:szCs w:val="21"/>
              </w:rPr>
              <w:t>-</w:t>
            </w:r>
          </w:p>
        </w:tc>
      </w:tr>
      <w:tr w:rsidR="00C4173D" w:rsidTr="00DC4F67">
        <w:trPr>
          <w:trHeight w:val="305"/>
        </w:trPr>
        <w:tc>
          <w:tcPr>
            <w:tcW w:w="3701" w:type="dxa"/>
            <w:vAlign w:val="center"/>
            <w:hideMark/>
          </w:tcPr>
          <w:p w:rsidR="00C4173D" w:rsidRDefault="00C4173D">
            <w:pPr>
              <w:rPr>
                <w:szCs w:val="21"/>
              </w:rPr>
            </w:pPr>
            <w:r>
              <w:rPr>
                <w:rFonts w:hint="eastAsia"/>
                <w:szCs w:val="21"/>
              </w:rPr>
              <w:t>其他</w:t>
            </w:r>
          </w:p>
        </w:tc>
        <w:tc>
          <w:tcPr>
            <w:tcW w:w="5528" w:type="dxa"/>
            <w:vAlign w:val="center"/>
            <w:hideMark/>
          </w:tcPr>
          <w:p w:rsidR="00C4173D" w:rsidRDefault="00C4173D">
            <w:pPr>
              <w:jc w:val="right"/>
              <w:rPr>
                <w:szCs w:val="21"/>
              </w:rPr>
            </w:pPr>
            <w:r>
              <w:rPr>
                <w:szCs w:val="21"/>
              </w:rPr>
              <w:t>36.90</w:t>
            </w:r>
          </w:p>
        </w:tc>
      </w:tr>
      <w:tr w:rsidR="00C4173D" w:rsidTr="00DC4F67">
        <w:trPr>
          <w:trHeight w:val="330"/>
        </w:trPr>
        <w:tc>
          <w:tcPr>
            <w:tcW w:w="3701" w:type="dxa"/>
            <w:vAlign w:val="center"/>
            <w:hideMark/>
          </w:tcPr>
          <w:p w:rsidR="00C4173D" w:rsidRDefault="00C4173D">
            <w:pPr>
              <w:jc w:val="center"/>
              <w:rPr>
                <w:szCs w:val="21"/>
              </w:rPr>
            </w:pPr>
            <w:r>
              <w:rPr>
                <w:rFonts w:hint="eastAsia"/>
                <w:szCs w:val="21"/>
              </w:rPr>
              <w:t>合计</w:t>
            </w:r>
          </w:p>
        </w:tc>
        <w:tc>
          <w:tcPr>
            <w:tcW w:w="5528" w:type="dxa"/>
            <w:vAlign w:val="center"/>
            <w:hideMark/>
          </w:tcPr>
          <w:p w:rsidR="00C4173D" w:rsidRDefault="00C4173D">
            <w:pPr>
              <w:jc w:val="right"/>
              <w:rPr>
                <w:szCs w:val="21"/>
              </w:rPr>
            </w:pPr>
            <w:r>
              <w:rPr>
                <w:szCs w:val="21"/>
              </w:rPr>
              <w:t>4,547.49</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6.4.7.6</w:t>
      </w:r>
      <w:r w:rsidRPr="00C24ACA">
        <w:rPr>
          <w:rFonts w:eastAsiaTheme="minorEastAsia"/>
          <w:b/>
          <w:color w:val="000000"/>
          <w:szCs w:val="21"/>
        </w:rPr>
        <w:t>其他资产</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本基金本报告期末无其他资产。</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6.4.7.7</w:t>
      </w:r>
      <w:r w:rsidRPr="00C24ACA">
        <w:rPr>
          <w:rFonts w:eastAsiaTheme="minorEastAsia"/>
          <w:b/>
          <w:color w:val="000000"/>
          <w:szCs w:val="21"/>
        </w:rPr>
        <w:t>应付交易费用</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本基金本报告期末无应付交易费用。</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6.4.7.8</w:t>
      </w:r>
      <w:r w:rsidRPr="00C24ACA">
        <w:rPr>
          <w:rFonts w:eastAsiaTheme="minorEastAsia"/>
          <w:b/>
          <w:color w:val="000000"/>
          <w:szCs w:val="21"/>
        </w:rPr>
        <w:t>其他负债</w:t>
      </w:r>
    </w:p>
    <w:p w:rsidR="008A5A5D" w:rsidRPr="00C24ACA" w:rsidRDefault="008A5A5D" w:rsidP="002116B9">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92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8A5A5D" w:rsidRPr="00C24ACA" w:rsidTr="00862636">
        <w:trPr>
          <w:trHeight w:val="330"/>
        </w:trPr>
        <w:tc>
          <w:tcPr>
            <w:tcW w:w="3701"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528" w:type="dxa"/>
            <w:vAlign w:val="center"/>
          </w:tcPr>
          <w:p w:rsidR="008A5A5D" w:rsidRPr="00C24ACA" w:rsidRDefault="008A5A5D" w:rsidP="004A4847">
            <w:pPr>
              <w:jc w:val="center"/>
              <w:rPr>
                <w:rFonts w:eastAsiaTheme="minorEastAsia"/>
                <w:kern w:val="0"/>
                <w:szCs w:val="21"/>
              </w:rPr>
            </w:pPr>
            <w:r w:rsidRPr="00C24ACA">
              <w:rPr>
                <w:rFonts w:eastAsiaTheme="minorEastAsia"/>
                <w:kern w:val="0"/>
                <w:szCs w:val="21"/>
              </w:rPr>
              <w:t>本期末</w:t>
            </w:r>
          </w:p>
          <w:p w:rsidR="008A5A5D" w:rsidRPr="00C24ACA" w:rsidRDefault="00AC4A34" w:rsidP="004A4847">
            <w:pPr>
              <w:jc w:val="center"/>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rPr>
          <w:trHeight w:val="325"/>
        </w:trPr>
        <w:tc>
          <w:tcPr>
            <w:tcW w:w="3701" w:type="dxa"/>
            <w:vAlign w:val="center"/>
          </w:tcPr>
          <w:p w:rsidR="008A5A5D" w:rsidRPr="00C24ACA" w:rsidRDefault="008A5A5D" w:rsidP="004A4847">
            <w:pPr>
              <w:rPr>
                <w:rFonts w:eastAsiaTheme="minorEastAsia"/>
                <w:szCs w:val="21"/>
              </w:rPr>
            </w:pPr>
            <w:r w:rsidRPr="00C24ACA">
              <w:rPr>
                <w:rFonts w:eastAsiaTheme="minorEastAsia"/>
                <w:szCs w:val="21"/>
              </w:rPr>
              <w:t>应付券商交易单元保证金</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862636">
        <w:trPr>
          <w:trHeight w:val="325"/>
        </w:trPr>
        <w:tc>
          <w:tcPr>
            <w:tcW w:w="3701" w:type="dxa"/>
            <w:vAlign w:val="center"/>
          </w:tcPr>
          <w:p w:rsidR="008A5A5D" w:rsidRPr="00C24ACA" w:rsidRDefault="008A5A5D" w:rsidP="004A4847">
            <w:pPr>
              <w:rPr>
                <w:rFonts w:eastAsiaTheme="minorEastAsia"/>
                <w:szCs w:val="21"/>
              </w:rPr>
            </w:pPr>
            <w:r w:rsidRPr="00C24ACA">
              <w:rPr>
                <w:rFonts w:eastAsiaTheme="minorEastAsia"/>
                <w:szCs w:val="21"/>
              </w:rPr>
              <w:t>应付赎回费</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36,243.17</w:t>
            </w:r>
          </w:p>
        </w:tc>
      </w:tr>
      <w:tr w:rsidR="007F3F42">
        <w:tc>
          <w:tcPr>
            <w:tcW w:w="3701" w:type="dxa"/>
            <w:vAlign w:val="center"/>
          </w:tcPr>
          <w:p w:rsidR="007F3F42" w:rsidRDefault="00781698">
            <w:pPr>
              <w:jc w:val="left"/>
            </w:pPr>
            <w:r>
              <w:rPr>
                <w:rFonts w:eastAsiaTheme="minorEastAsia"/>
                <w:szCs w:val="21"/>
              </w:rPr>
              <w:t>预提费用</w:t>
            </w:r>
          </w:p>
        </w:tc>
        <w:tc>
          <w:tcPr>
            <w:tcW w:w="5528" w:type="dxa"/>
            <w:vAlign w:val="center"/>
          </w:tcPr>
          <w:p w:rsidR="007F3F42" w:rsidRDefault="00781698">
            <w:pPr>
              <w:jc w:val="right"/>
            </w:pPr>
            <w:r>
              <w:rPr>
                <w:rFonts w:eastAsiaTheme="minorEastAsia"/>
                <w:szCs w:val="21"/>
              </w:rPr>
              <w:t>74,990.88</w:t>
            </w:r>
          </w:p>
        </w:tc>
      </w:tr>
      <w:tr w:rsidR="008A5A5D" w:rsidRPr="00C24ACA" w:rsidTr="00862636">
        <w:trPr>
          <w:trHeight w:val="325"/>
        </w:trPr>
        <w:tc>
          <w:tcPr>
            <w:tcW w:w="3701" w:type="dxa"/>
            <w:vAlign w:val="center"/>
          </w:tcPr>
          <w:p w:rsidR="008A5A5D" w:rsidRPr="00C24ACA" w:rsidRDefault="008A5A5D" w:rsidP="00052E9B">
            <w:pPr>
              <w:rPr>
                <w:rFonts w:eastAsiaTheme="minorEastAsia"/>
                <w:szCs w:val="21"/>
              </w:rPr>
            </w:pPr>
            <w:r w:rsidRPr="00C24ACA">
              <w:rPr>
                <w:rFonts w:eastAsiaTheme="minorEastAsia"/>
                <w:szCs w:val="21"/>
              </w:rPr>
              <w:t>合计</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111,234.05</w:t>
            </w:r>
          </w:p>
        </w:tc>
      </w:tr>
    </w:tbl>
    <w:p w:rsidR="008A5A5D"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6.4.7.9</w:t>
      </w:r>
      <w:r w:rsidRPr="00C24ACA">
        <w:rPr>
          <w:rFonts w:eastAsiaTheme="minorEastAsia"/>
          <w:b/>
          <w:color w:val="000000"/>
          <w:szCs w:val="21"/>
        </w:rPr>
        <w:t>实收基金</w:t>
      </w:r>
    </w:p>
    <w:p w:rsidR="005D2965" w:rsidRPr="00896265" w:rsidRDefault="005D2965" w:rsidP="005D2965">
      <w:pPr>
        <w:adjustRightInd w:val="0"/>
        <w:snapToGrid w:val="0"/>
        <w:spacing w:line="360" w:lineRule="auto"/>
        <w:rPr>
          <w:rFonts w:eastAsiaTheme="minorEastAsia"/>
          <w:b/>
          <w:color w:val="000000"/>
          <w:szCs w:val="21"/>
        </w:rPr>
      </w:pPr>
      <w:r w:rsidRPr="00896265">
        <w:rPr>
          <w:rFonts w:eastAsiaTheme="minorEastAsia"/>
          <w:szCs w:val="21"/>
        </w:rPr>
        <w:t>易方达中证海外中国互联网</w:t>
      </w:r>
      <w:r w:rsidRPr="00896265">
        <w:rPr>
          <w:rFonts w:eastAsiaTheme="minorEastAsia"/>
          <w:szCs w:val="21"/>
        </w:rPr>
        <w:t>50ETF</w:t>
      </w:r>
      <w:r w:rsidRPr="00896265">
        <w:rPr>
          <w:rFonts w:eastAsiaTheme="minorEastAsia"/>
          <w:szCs w:val="21"/>
        </w:rPr>
        <w:t>联接（</w:t>
      </w:r>
      <w:r w:rsidRPr="00896265">
        <w:rPr>
          <w:rFonts w:eastAsiaTheme="minorEastAsia"/>
          <w:szCs w:val="21"/>
        </w:rPr>
        <w:t>QDII</w:t>
      </w:r>
      <w:r w:rsidRPr="00896265">
        <w:rPr>
          <w:rFonts w:eastAsiaTheme="minorEastAsia"/>
          <w:szCs w:val="21"/>
        </w:rPr>
        <w:t>）</w:t>
      </w:r>
      <w:r w:rsidRPr="00896265">
        <w:rPr>
          <w:rFonts w:eastAsiaTheme="minorEastAsia"/>
          <w:szCs w:val="21"/>
        </w:rPr>
        <w:t>A</w:t>
      </w:r>
    </w:p>
    <w:p w:rsidR="00F90D75" w:rsidRPr="00C24ACA" w:rsidRDefault="00013749" w:rsidP="00F90D75">
      <w:pPr>
        <w:wordWrap w:val="0"/>
        <w:spacing w:line="360" w:lineRule="auto"/>
        <w:jc w:val="right"/>
        <w:rPr>
          <w:rFonts w:eastAsiaTheme="minorEastAsia"/>
          <w:szCs w:val="21"/>
        </w:rPr>
      </w:pPr>
      <w:r w:rsidRPr="00C24ACA">
        <w:rPr>
          <w:rFonts w:eastAsiaTheme="minorEastAsia"/>
          <w:szCs w:val="21"/>
        </w:rPr>
        <w:t>金额</w:t>
      </w:r>
      <w:r w:rsidR="0032494A" w:rsidRPr="00C24ACA">
        <w:rPr>
          <w:rFonts w:eastAsiaTheme="minorEastAsia"/>
          <w:szCs w:val="21"/>
        </w:rPr>
        <w:t>单位：人民币元</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F90D75" w:rsidRPr="00C24ACA" w:rsidTr="00492F1A">
        <w:tc>
          <w:tcPr>
            <w:tcW w:w="3120" w:type="dxa"/>
            <w:vMerge w:val="restart"/>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项目</w:t>
            </w:r>
          </w:p>
        </w:tc>
        <w:tc>
          <w:tcPr>
            <w:tcW w:w="6240" w:type="dxa"/>
            <w:gridSpan w:val="2"/>
            <w:vAlign w:val="center"/>
          </w:tcPr>
          <w:p w:rsidR="00F90D75" w:rsidRPr="00C24ACA" w:rsidRDefault="00F90D75" w:rsidP="00492F1A">
            <w:pPr>
              <w:spacing w:line="360" w:lineRule="auto"/>
              <w:jc w:val="center"/>
              <w:rPr>
                <w:rFonts w:eastAsiaTheme="minorEastAsia"/>
                <w:color w:val="000000"/>
                <w:szCs w:val="21"/>
              </w:rPr>
            </w:pPr>
            <w:r w:rsidRPr="00C24ACA">
              <w:rPr>
                <w:rFonts w:eastAsiaTheme="minorEastAsia"/>
                <w:color w:val="000000"/>
                <w:szCs w:val="21"/>
              </w:rPr>
              <w:t>本期</w:t>
            </w:r>
          </w:p>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F90D75" w:rsidRPr="00C24ACA" w:rsidTr="00492F1A">
        <w:tc>
          <w:tcPr>
            <w:tcW w:w="3120" w:type="dxa"/>
            <w:vMerge/>
            <w:vAlign w:val="center"/>
          </w:tcPr>
          <w:p w:rsidR="00F90D75" w:rsidRPr="00C24ACA" w:rsidRDefault="00F90D75" w:rsidP="00492F1A">
            <w:pPr>
              <w:widowControl/>
              <w:spacing w:line="360" w:lineRule="auto"/>
              <w:jc w:val="left"/>
              <w:rPr>
                <w:rFonts w:eastAsiaTheme="minorEastAsia"/>
                <w:color w:val="000000"/>
                <w:szCs w:val="21"/>
              </w:rPr>
            </w:pPr>
          </w:p>
        </w:tc>
        <w:tc>
          <w:tcPr>
            <w:tcW w:w="3120" w:type="dxa"/>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基金份额</w:t>
            </w:r>
          </w:p>
        </w:tc>
        <w:tc>
          <w:tcPr>
            <w:tcW w:w="3120" w:type="dxa"/>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账面金额</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color w:val="000000"/>
                <w:szCs w:val="21"/>
              </w:rPr>
              <w:t>上年度末</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114,226,520.89</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114,226,520.89</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color w:val="000000"/>
                <w:szCs w:val="21"/>
              </w:rPr>
              <w:t>本期申购</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584,417,653.24</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584,417,653.24</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color w:val="000000"/>
                <w:szCs w:val="21"/>
              </w:rPr>
              <w:t>本期赎回（以</w:t>
            </w:r>
            <w:r w:rsidRPr="00C24ACA">
              <w:rPr>
                <w:rFonts w:eastAsiaTheme="minorEastAsia"/>
                <w:color w:val="000000"/>
                <w:szCs w:val="21"/>
              </w:rPr>
              <w:t>“-”</w:t>
            </w:r>
            <w:r w:rsidRPr="00C24ACA">
              <w:rPr>
                <w:rFonts w:eastAsiaTheme="minorEastAsia"/>
                <w:color w:val="000000"/>
                <w:szCs w:val="21"/>
              </w:rPr>
              <w:t>号填列）</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-170,490,188.72</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-170,490,188.72</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szCs w:val="21"/>
              </w:rPr>
              <w:t>本期末</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528,153,985.41</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528,153,985.41</w:t>
            </w:r>
          </w:p>
        </w:tc>
      </w:tr>
    </w:tbl>
    <w:p w:rsidR="005D2965" w:rsidRPr="00896265" w:rsidRDefault="005D2965" w:rsidP="005D2965">
      <w:pPr>
        <w:adjustRightInd w:val="0"/>
        <w:snapToGrid w:val="0"/>
        <w:spacing w:line="360" w:lineRule="auto"/>
        <w:rPr>
          <w:rFonts w:eastAsiaTheme="minorEastAsia"/>
          <w:szCs w:val="21"/>
        </w:rPr>
      </w:pPr>
      <w:r w:rsidRPr="00896265">
        <w:rPr>
          <w:rFonts w:eastAsiaTheme="minorEastAsia"/>
          <w:szCs w:val="21"/>
        </w:rPr>
        <w:t>易方达中证海外中国互联网</w:t>
      </w:r>
      <w:r w:rsidRPr="00896265">
        <w:rPr>
          <w:rFonts w:eastAsiaTheme="minorEastAsia"/>
          <w:szCs w:val="21"/>
        </w:rPr>
        <w:t>50ETF</w:t>
      </w:r>
      <w:r w:rsidRPr="00896265">
        <w:rPr>
          <w:rFonts w:eastAsiaTheme="minorEastAsia"/>
          <w:szCs w:val="21"/>
        </w:rPr>
        <w:t>联接（</w:t>
      </w:r>
      <w:r w:rsidRPr="00896265">
        <w:rPr>
          <w:rFonts w:eastAsiaTheme="minorEastAsia"/>
          <w:szCs w:val="21"/>
        </w:rPr>
        <w:t>QDII</w:t>
      </w:r>
      <w:r w:rsidRPr="00896265">
        <w:rPr>
          <w:rFonts w:eastAsiaTheme="minorEastAsia"/>
          <w:szCs w:val="21"/>
        </w:rPr>
        <w:t>）</w:t>
      </w:r>
      <w:r w:rsidRPr="00896265">
        <w:rPr>
          <w:rFonts w:eastAsiaTheme="minorEastAsia"/>
          <w:szCs w:val="21"/>
        </w:rPr>
        <w:t>C</w:t>
      </w:r>
    </w:p>
    <w:p w:rsidR="00F90D75" w:rsidRPr="00C24ACA" w:rsidRDefault="00F90D75" w:rsidP="00F90D75">
      <w:pPr>
        <w:adjustRightInd w:val="0"/>
        <w:snapToGrid w:val="0"/>
        <w:spacing w:line="360" w:lineRule="auto"/>
        <w:jc w:val="right"/>
        <w:rPr>
          <w:rFonts w:eastAsiaTheme="minorEastAsia"/>
          <w:color w:val="000000"/>
          <w:szCs w:val="21"/>
        </w:rPr>
      </w:pPr>
      <w:r w:rsidRPr="00C24ACA">
        <w:rPr>
          <w:rFonts w:eastAsiaTheme="minorEastAsia"/>
          <w:color w:val="000000"/>
          <w:szCs w:val="21"/>
        </w:rPr>
        <w:t>金额单位：人民币元</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F90D75" w:rsidRPr="00C24ACA" w:rsidTr="00492F1A">
        <w:tc>
          <w:tcPr>
            <w:tcW w:w="3120" w:type="dxa"/>
            <w:vMerge w:val="restart"/>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项目</w:t>
            </w:r>
          </w:p>
        </w:tc>
        <w:tc>
          <w:tcPr>
            <w:tcW w:w="6240" w:type="dxa"/>
            <w:gridSpan w:val="2"/>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本期</w:t>
            </w:r>
          </w:p>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F90D75" w:rsidRPr="00C24ACA" w:rsidTr="00492F1A">
        <w:tc>
          <w:tcPr>
            <w:tcW w:w="3120" w:type="dxa"/>
            <w:vMerge/>
            <w:vAlign w:val="center"/>
          </w:tcPr>
          <w:p w:rsidR="00F90D75" w:rsidRPr="00C24ACA" w:rsidRDefault="00F90D75" w:rsidP="00492F1A">
            <w:pPr>
              <w:widowControl/>
              <w:spacing w:line="360" w:lineRule="auto"/>
              <w:jc w:val="left"/>
              <w:rPr>
                <w:rFonts w:eastAsiaTheme="minorEastAsia"/>
                <w:color w:val="000000"/>
                <w:szCs w:val="21"/>
              </w:rPr>
            </w:pPr>
          </w:p>
        </w:tc>
        <w:tc>
          <w:tcPr>
            <w:tcW w:w="3120" w:type="dxa"/>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基金份额</w:t>
            </w:r>
          </w:p>
        </w:tc>
        <w:tc>
          <w:tcPr>
            <w:tcW w:w="3120" w:type="dxa"/>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账面金额</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color w:val="000000"/>
                <w:szCs w:val="21"/>
              </w:rPr>
              <w:t>上年度末</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20,763,545.15</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20,763,545.15</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color w:val="000000"/>
                <w:szCs w:val="21"/>
              </w:rPr>
              <w:t>本期申购</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49,781,180.10</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49,781,180.10</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color w:val="000000"/>
                <w:szCs w:val="21"/>
              </w:rPr>
              <w:t>本期赎回（以</w:t>
            </w:r>
            <w:r w:rsidRPr="00C24ACA">
              <w:rPr>
                <w:rFonts w:eastAsiaTheme="minorEastAsia"/>
                <w:color w:val="000000"/>
                <w:szCs w:val="21"/>
              </w:rPr>
              <w:t>“-”</w:t>
            </w:r>
            <w:r w:rsidRPr="00C24ACA">
              <w:rPr>
                <w:rFonts w:eastAsiaTheme="minorEastAsia"/>
                <w:color w:val="000000"/>
                <w:szCs w:val="21"/>
              </w:rPr>
              <w:t>号填列）</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-44,055,735.53</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-44,055,735.53</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szCs w:val="21"/>
              </w:rPr>
              <w:t>本期末</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26,488,989.72</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26,488,989.72</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6.4.7.10</w:t>
      </w:r>
      <w:r w:rsidRPr="00C24ACA">
        <w:rPr>
          <w:rFonts w:eastAsiaTheme="minorEastAsia"/>
          <w:b/>
          <w:color w:val="000000"/>
          <w:szCs w:val="21"/>
        </w:rPr>
        <w:t>未分配利润</w:t>
      </w:r>
    </w:p>
    <w:p w:rsidR="008A5A5D" w:rsidRPr="00C24ACA" w:rsidRDefault="008A5A5D" w:rsidP="002116B9">
      <w:pPr>
        <w:spacing w:line="288" w:lineRule="auto"/>
        <w:jc w:val="right"/>
        <w:rPr>
          <w:rFonts w:eastAsiaTheme="minorEastAsia"/>
          <w:color w:val="000000"/>
          <w:szCs w:val="21"/>
        </w:rPr>
      </w:pPr>
      <w:r w:rsidRPr="00C24ACA">
        <w:rPr>
          <w:rFonts w:eastAsiaTheme="minorEastAsia"/>
          <w:color w:val="000000"/>
          <w:szCs w:val="21"/>
        </w:rPr>
        <w:t>单位：人民币元</w:t>
      </w:r>
    </w:p>
    <w:tbl>
      <w:tblPr>
        <w:tblW w:w="94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2915FE" w:rsidRPr="00C24ACA" w:rsidTr="005C3575">
        <w:tc>
          <w:tcPr>
            <w:tcW w:w="9415" w:type="dxa"/>
            <w:gridSpan w:val="4"/>
          </w:tcPr>
          <w:p w:rsidR="002915FE" w:rsidRPr="00C24ACA" w:rsidRDefault="002915FE" w:rsidP="002915FE">
            <w:pPr>
              <w:tabs>
                <w:tab w:val="left" w:pos="3015"/>
              </w:tabs>
              <w:jc w:val="center"/>
              <w:rPr>
                <w:rFonts w:eastAsiaTheme="minorEastAsia"/>
                <w:color w:val="000000"/>
                <w:szCs w:val="21"/>
              </w:rPr>
            </w:pPr>
            <w:r w:rsidRPr="00C24ACA">
              <w:rPr>
                <w:rFonts w:eastAsiaTheme="minorEastAsia"/>
                <w:color w:val="000000"/>
                <w:szCs w:val="21"/>
              </w:rPr>
              <w:t>易方达中证海外中国互联网</w:t>
            </w:r>
            <w:r w:rsidRPr="00C24ACA">
              <w:rPr>
                <w:rFonts w:eastAsiaTheme="minorEastAsia"/>
                <w:color w:val="000000"/>
                <w:szCs w:val="21"/>
              </w:rPr>
              <w:t>50ETF</w:t>
            </w:r>
            <w:r w:rsidRPr="00C24ACA">
              <w:rPr>
                <w:rFonts w:eastAsiaTheme="minorEastAsia"/>
                <w:color w:val="000000"/>
                <w:szCs w:val="21"/>
              </w:rPr>
              <w:t>联接（</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A</w:t>
            </w:r>
          </w:p>
        </w:tc>
      </w:tr>
      <w:tr w:rsidR="002915FE" w:rsidRPr="00C24ACA" w:rsidTr="002915FE">
        <w:tc>
          <w:tcPr>
            <w:tcW w:w="2706" w:type="dxa"/>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项目</w:t>
            </w:r>
          </w:p>
        </w:tc>
        <w:tc>
          <w:tcPr>
            <w:tcW w:w="2236"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已实现部分</w:t>
            </w:r>
          </w:p>
        </w:tc>
        <w:tc>
          <w:tcPr>
            <w:tcW w:w="2236"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未实现部分</w:t>
            </w:r>
          </w:p>
        </w:tc>
        <w:tc>
          <w:tcPr>
            <w:tcW w:w="2237"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未分配利润合计</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上年度末</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1,079,124.00</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13,376,876.09</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14,456,000.09</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本期利润</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10,357,775.97</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123,315,422.65</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133,673,198.62</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本期基金份额交易产生的变动数</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7,268,706.49</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51,796,142.34</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59,064,848.83</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其中：基金申购款</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10,849,502.10</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83,121,470.38</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93,970,972.48</w:t>
            </w:r>
          </w:p>
        </w:tc>
      </w:tr>
      <w:tr w:rsidR="002915FE" w:rsidRPr="00C24ACA" w:rsidTr="002915FE">
        <w:tc>
          <w:tcPr>
            <w:tcW w:w="2706" w:type="dxa"/>
            <w:vAlign w:val="center"/>
          </w:tcPr>
          <w:p w:rsidR="002915FE" w:rsidRPr="00C24ACA" w:rsidRDefault="002915FE" w:rsidP="008134C7">
            <w:pPr>
              <w:ind w:firstLineChars="300" w:firstLine="630"/>
              <w:rPr>
                <w:rFonts w:eastAsiaTheme="minorEastAsia"/>
                <w:color w:val="000000"/>
                <w:szCs w:val="21"/>
              </w:rPr>
            </w:pPr>
            <w:r w:rsidRPr="00C24ACA">
              <w:rPr>
                <w:rFonts w:eastAsiaTheme="minorEastAsia"/>
                <w:color w:val="000000"/>
                <w:szCs w:val="21"/>
              </w:rPr>
              <w:t>基金赎回款</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-3,580,795.61</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-31,325,328.04</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-34,906,123.65</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本期已分配利润</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本期末</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18,705,606.46</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188,488,441.08</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207,194,047.54</w:t>
            </w:r>
          </w:p>
        </w:tc>
      </w:tr>
    </w:tbl>
    <w:p w:rsidR="0057216B" w:rsidRPr="00C24ACA" w:rsidRDefault="0057216B" w:rsidP="002915FE">
      <w:pPr>
        <w:adjustRightInd w:val="0"/>
        <w:snapToGrid w:val="0"/>
        <w:spacing w:line="288" w:lineRule="auto"/>
        <w:jc w:val="right"/>
        <w:rPr>
          <w:rFonts w:eastAsiaTheme="minorEastAsia"/>
          <w:color w:val="000000"/>
          <w:szCs w:val="21"/>
        </w:rPr>
      </w:pPr>
      <w:r w:rsidRPr="00C24ACA">
        <w:rPr>
          <w:rFonts w:eastAsiaTheme="minorEastAsia"/>
          <w:color w:val="000000"/>
          <w:szCs w:val="21"/>
        </w:rPr>
        <w:t>单位：人民币元</w:t>
      </w:r>
    </w:p>
    <w:tbl>
      <w:tblPr>
        <w:tblW w:w="94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57216B" w:rsidRPr="00C24ACA" w:rsidTr="005C3575">
        <w:tc>
          <w:tcPr>
            <w:tcW w:w="9415" w:type="dxa"/>
            <w:gridSpan w:val="4"/>
          </w:tcPr>
          <w:p w:rsidR="002915FE" w:rsidRPr="00C24ACA" w:rsidRDefault="002915FE" w:rsidP="002915FE">
            <w:pPr>
              <w:jc w:val="center"/>
              <w:rPr>
                <w:rFonts w:eastAsiaTheme="minorEastAsia"/>
                <w:color w:val="000000"/>
                <w:szCs w:val="21"/>
              </w:rPr>
            </w:pPr>
            <w:r w:rsidRPr="00C24ACA">
              <w:rPr>
                <w:rFonts w:eastAsiaTheme="minorEastAsia"/>
                <w:color w:val="000000"/>
                <w:szCs w:val="21"/>
              </w:rPr>
              <w:t>易方达中证海外中国互联网</w:t>
            </w:r>
            <w:r w:rsidRPr="00C24ACA">
              <w:rPr>
                <w:rFonts w:eastAsiaTheme="minorEastAsia"/>
                <w:color w:val="000000"/>
                <w:szCs w:val="21"/>
              </w:rPr>
              <w:t>50ETF</w:t>
            </w:r>
            <w:r w:rsidRPr="00C24ACA">
              <w:rPr>
                <w:rFonts w:eastAsiaTheme="minorEastAsia"/>
                <w:color w:val="000000"/>
                <w:szCs w:val="21"/>
              </w:rPr>
              <w:t>联接（</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C</w:t>
            </w:r>
          </w:p>
        </w:tc>
      </w:tr>
      <w:tr w:rsidR="0057216B" w:rsidRPr="00C24ACA" w:rsidTr="00DC4F67">
        <w:tc>
          <w:tcPr>
            <w:tcW w:w="2706" w:type="dxa"/>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项目</w:t>
            </w:r>
          </w:p>
        </w:tc>
        <w:tc>
          <w:tcPr>
            <w:tcW w:w="2236"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已实现部分</w:t>
            </w:r>
          </w:p>
        </w:tc>
        <w:tc>
          <w:tcPr>
            <w:tcW w:w="2236"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未实现部分</w:t>
            </w:r>
          </w:p>
        </w:tc>
        <w:tc>
          <w:tcPr>
            <w:tcW w:w="2237"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未分配利润合计</w:t>
            </w:r>
          </w:p>
        </w:tc>
      </w:tr>
      <w:tr w:rsidR="0057216B" w:rsidRPr="00C24ACA" w:rsidTr="00DC4F67">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上年度末</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18,248.04</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2,410,983.22</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2,429,231.26</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本期利润</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630,069.60</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5,978,646.24</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6,608,715.84</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本期基金份额交易产生的变动数</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-5,643.17</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978,402.40</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972,759.23</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其中：基金申购款</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371,535.61</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7,776,319.92</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8,147,855.53</w:t>
            </w:r>
          </w:p>
        </w:tc>
      </w:tr>
      <w:tr w:rsidR="0057216B" w:rsidRPr="00C24ACA" w:rsidTr="0057216B">
        <w:tc>
          <w:tcPr>
            <w:tcW w:w="2706" w:type="dxa"/>
            <w:vAlign w:val="center"/>
          </w:tcPr>
          <w:p w:rsidR="0057216B" w:rsidRPr="00C24ACA" w:rsidRDefault="0057216B" w:rsidP="008134C7">
            <w:pPr>
              <w:ind w:firstLineChars="300" w:firstLine="630"/>
              <w:rPr>
                <w:rFonts w:eastAsiaTheme="minorEastAsia"/>
                <w:color w:val="000000"/>
                <w:szCs w:val="21"/>
              </w:rPr>
            </w:pPr>
            <w:r w:rsidRPr="00C24ACA">
              <w:rPr>
                <w:rFonts w:eastAsiaTheme="minorEastAsia"/>
                <w:color w:val="000000"/>
                <w:szCs w:val="21"/>
              </w:rPr>
              <w:t>基金赎回款</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-377,178.78</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-6,797,917.52</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-7,175,096.30</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本期已分配利润</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本期末</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642,674.47</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9,368,031.86</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10,010,706.33</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6.4.7.11</w:t>
      </w:r>
      <w:r w:rsidRPr="00C24ACA">
        <w:rPr>
          <w:rFonts w:eastAsiaTheme="minorEastAsia"/>
          <w:b/>
          <w:color w:val="000000"/>
          <w:szCs w:val="21"/>
        </w:rPr>
        <w:t>存款利息收入</w:t>
      </w:r>
    </w:p>
    <w:p w:rsidR="008A5A5D" w:rsidRPr="00C24ACA" w:rsidRDefault="008A5A5D" w:rsidP="002116B9">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8A5A5D" w:rsidRPr="00C24ACA" w:rsidTr="000869C6">
        <w:tc>
          <w:tcPr>
            <w:tcW w:w="3828"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386" w:type="dxa"/>
            <w:vAlign w:val="center"/>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jc w:val="center"/>
              <w:rPr>
                <w:rFonts w:eastAsiaTheme="minorEastAsia"/>
                <w:b/>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活期存款利息收入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79,526.31</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定期存款利息收入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其他存款利息收入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结算备付金利息收入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4,117.68</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其他</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411.77</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合计</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84,055.76</w:t>
            </w:r>
          </w:p>
        </w:tc>
      </w:tr>
    </w:tbl>
    <w:p w:rsidR="004D0FA5" w:rsidRPr="00C24ACA" w:rsidRDefault="004D0FA5" w:rsidP="004D0FA5">
      <w:pPr>
        <w:spacing w:line="360" w:lineRule="auto"/>
        <w:rPr>
          <w:rFonts w:eastAsiaTheme="minorEastAsia"/>
          <w:b/>
          <w:bCs/>
          <w:color w:val="000000"/>
          <w:szCs w:val="21"/>
        </w:rPr>
      </w:pPr>
      <w:r w:rsidRPr="00C24ACA">
        <w:rPr>
          <w:rFonts w:eastAsiaTheme="minorEastAsia"/>
          <w:b/>
          <w:bCs/>
          <w:color w:val="000000"/>
          <w:kern w:val="0"/>
          <w:szCs w:val="21"/>
        </w:rPr>
        <w:t xml:space="preserve">6.4.7.12 </w:t>
      </w:r>
      <w:r w:rsidR="00601974" w:rsidRPr="00C24ACA">
        <w:rPr>
          <w:rFonts w:eastAsiaTheme="minorEastAsia"/>
          <w:b/>
          <w:color w:val="000000"/>
          <w:szCs w:val="21"/>
        </w:rPr>
        <w:t>股票投资收益</w:t>
      </w:r>
      <w:r w:rsidRPr="00C24ACA">
        <w:rPr>
          <w:rFonts w:eastAsiaTheme="minorEastAsia"/>
          <w:b/>
          <w:color w:val="000000"/>
          <w:szCs w:val="21"/>
        </w:rPr>
        <w:t>——</w:t>
      </w:r>
      <w:r w:rsidRPr="00C24ACA">
        <w:rPr>
          <w:rFonts w:eastAsiaTheme="minorEastAsia"/>
          <w:b/>
          <w:color w:val="000000"/>
          <w:szCs w:val="21"/>
        </w:rPr>
        <w:t>买卖股票差价收入</w:t>
      </w:r>
    </w:p>
    <w:p w:rsidR="004D0FA5" w:rsidRPr="00C24ACA" w:rsidRDefault="004D0FA5"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本基金本报告期无股票投资收益。</w:t>
      </w:r>
    </w:p>
    <w:p w:rsidR="00D85D98" w:rsidRPr="00C24ACA" w:rsidRDefault="00D85D98"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 xml:space="preserve">6.4.7.13 </w:t>
      </w:r>
      <w:r w:rsidRPr="00C24ACA">
        <w:rPr>
          <w:rFonts w:eastAsiaTheme="minorEastAsia"/>
          <w:b/>
          <w:color w:val="000000"/>
          <w:szCs w:val="21"/>
        </w:rPr>
        <w:t>基金投资收益</w:t>
      </w:r>
    </w:p>
    <w:p w:rsidR="00D85D98" w:rsidRPr="00C24ACA" w:rsidRDefault="00D85D98" w:rsidP="00D85D98">
      <w:pPr>
        <w:jc w:val="right"/>
        <w:rPr>
          <w:rFonts w:eastAsiaTheme="minorEastAsia"/>
          <w:color w:val="000000"/>
          <w:szCs w:val="21"/>
        </w:rPr>
      </w:pPr>
      <w:r w:rsidRPr="00C24ACA">
        <w:rPr>
          <w:rFonts w:eastAsiaTheme="minorEastAsia"/>
          <w:color w:val="000000"/>
          <w:szCs w:val="21"/>
        </w:rPr>
        <w:t>单位：人民币元</w:t>
      </w:r>
    </w:p>
    <w:tbl>
      <w:tblPr>
        <w:tblW w:w="93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36"/>
        <w:gridCol w:w="5533"/>
      </w:tblGrid>
      <w:tr w:rsidR="00D85D98" w:rsidRPr="00C24ACA" w:rsidTr="00862636">
        <w:trPr>
          <w:trHeight w:val="315"/>
        </w:trPr>
        <w:tc>
          <w:tcPr>
            <w:tcW w:w="3836" w:type="dxa"/>
            <w:vAlign w:val="center"/>
          </w:tcPr>
          <w:p w:rsidR="00D85D98" w:rsidRPr="00C24ACA" w:rsidRDefault="00D85D98" w:rsidP="001A0AD5">
            <w:pPr>
              <w:jc w:val="center"/>
              <w:rPr>
                <w:rFonts w:eastAsiaTheme="minorEastAsia"/>
                <w:color w:val="000000"/>
                <w:szCs w:val="21"/>
              </w:rPr>
            </w:pPr>
            <w:r w:rsidRPr="00C24ACA">
              <w:rPr>
                <w:rFonts w:eastAsiaTheme="minorEastAsia"/>
                <w:color w:val="000000"/>
                <w:szCs w:val="21"/>
              </w:rPr>
              <w:t>项目</w:t>
            </w:r>
          </w:p>
        </w:tc>
        <w:tc>
          <w:tcPr>
            <w:tcW w:w="5533"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本期</w:t>
            </w:r>
          </w:p>
          <w:p w:rsidR="00D85D98" w:rsidRPr="00C24ACA" w:rsidRDefault="00D85D98" w:rsidP="00A97A4E">
            <w:pPr>
              <w:jc w:val="center"/>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D85D98" w:rsidRPr="00C24ACA" w:rsidTr="00862636">
        <w:trPr>
          <w:trHeight w:val="315"/>
        </w:trPr>
        <w:tc>
          <w:tcPr>
            <w:tcW w:w="3836"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卖出</w:t>
            </w:r>
            <w:r w:rsidRPr="00C24ACA">
              <w:rPr>
                <w:rFonts w:eastAsiaTheme="minorEastAsia"/>
                <w:color w:val="000000"/>
                <w:szCs w:val="21"/>
              </w:rPr>
              <w:t>/</w:t>
            </w:r>
            <w:r w:rsidRPr="00C24ACA">
              <w:rPr>
                <w:rFonts w:eastAsiaTheme="minorEastAsia"/>
                <w:color w:val="000000"/>
                <w:szCs w:val="21"/>
              </w:rPr>
              <w:t>赎回基金成交总额</w:t>
            </w:r>
          </w:p>
        </w:tc>
        <w:tc>
          <w:tcPr>
            <w:tcW w:w="5533" w:type="dxa"/>
            <w:vAlign w:val="bottom"/>
          </w:tcPr>
          <w:p w:rsidR="00D85D98" w:rsidRPr="00C24ACA" w:rsidRDefault="00D85D98" w:rsidP="00A97A4E">
            <w:pPr>
              <w:jc w:val="right"/>
              <w:rPr>
                <w:rFonts w:eastAsiaTheme="minorEastAsia"/>
                <w:szCs w:val="21"/>
              </w:rPr>
            </w:pPr>
            <w:r w:rsidRPr="00C24ACA">
              <w:rPr>
                <w:rFonts w:eastAsiaTheme="minorEastAsia"/>
                <w:szCs w:val="21"/>
              </w:rPr>
              <w:t>68,320,600.44</w:t>
            </w:r>
          </w:p>
        </w:tc>
      </w:tr>
      <w:tr w:rsidR="00D85D98" w:rsidRPr="00C24ACA" w:rsidTr="00862636">
        <w:trPr>
          <w:trHeight w:val="315"/>
        </w:trPr>
        <w:tc>
          <w:tcPr>
            <w:tcW w:w="3836"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减：卖出</w:t>
            </w:r>
            <w:r w:rsidRPr="00C24ACA">
              <w:rPr>
                <w:rFonts w:eastAsiaTheme="minorEastAsia"/>
                <w:color w:val="000000"/>
                <w:szCs w:val="21"/>
              </w:rPr>
              <w:t>/</w:t>
            </w:r>
            <w:r w:rsidRPr="00C24ACA">
              <w:rPr>
                <w:rFonts w:eastAsiaTheme="minorEastAsia"/>
                <w:color w:val="000000"/>
                <w:szCs w:val="21"/>
              </w:rPr>
              <w:t>赎回基金成本总额</w:t>
            </w:r>
          </w:p>
        </w:tc>
        <w:tc>
          <w:tcPr>
            <w:tcW w:w="5533" w:type="dxa"/>
            <w:vAlign w:val="bottom"/>
          </w:tcPr>
          <w:p w:rsidR="00D85D98" w:rsidRPr="00C24ACA" w:rsidRDefault="00D85D98" w:rsidP="00A97A4E">
            <w:pPr>
              <w:jc w:val="right"/>
              <w:rPr>
                <w:rFonts w:eastAsiaTheme="minorEastAsia"/>
                <w:szCs w:val="21"/>
              </w:rPr>
            </w:pPr>
            <w:r w:rsidRPr="00C24ACA">
              <w:rPr>
                <w:rFonts w:eastAsiaTheme="minorEastAsia"/>
                <w:szCs w:val="21"/>
              </w:rPr>
              <w:t>57,911,236.06</w:t>
            </w:r>
          </w:p>
        </w:tc>
      </w:tr>
      <w:tr w:rsidR="00D85D98" w:rsidRPr="00C24ACA" w:rsidTr="00862636">
        <w:trPr>
          <w:trHeight w:val="315"/>
        </w:trPr>
        <w:tc>
          <w:tcPr>
            <w:tcW w:w="3836"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基金投资收益</w:t>
            </w:r>
          </w:p>
        </w:tc>
        <w:tc>
          <w:tcPr>
            <w:tcW w:w="5533" w:type="dxa"/>
            <w:vAlign w:val="bottom"/>
          </w:tcPr>
          <w:p w:rsidR="00D85D98" w:rsidRPr="00C24ACA" w:rsidRDefault="00D85D98" w:rsidP="00A97A4E">
            <w:pPr>
              <w:jc w:val="right"/>
              <w:rPr>
                <w:rFonts w:eastAsiaTheme="minorEastAsia"/>
                <w:szCs w:val="21"/>
              </w:rPr>
            </w:pPr>
            <w:r w:rsidRPr="00C24ACA">
              <w:rPr>
                <w:rFonts w:eastAsiaTheme="minorEastAsia"/>
                <w:szCs w:val="21"/>
              </w:rPr>
              <w:t>10,409,364.38</w:t>
            </w:r>
          </w:p>
        </w:tc>
      </w:tr>
    </w:tbl>
    <w:p w:rsidR="00005C09" w:rsidRPr="00C24ACA" w:rsidRDefault="00005C09" w:rsidP="00005C09">
      <w:pPr>
        <w:tabs>
          <w:tab w:val="left" w:pos="426"/>
        </w:tabs>
        <w:spacing w:line="360" w:lineRule="auto"/>
        <w:jc w:val="left"/>
        <w:rPr>
          <w:rFonts w:eastAsiaTheme="minorEastAsia"/>
          <w:kern w:val="0"/>
          <w:szCs w:val="21"/>
        </w:rPr>
      </w:pPr>
    </w:p>
    <w:p w:rsidR="00005C09" w:rsidRPr="00C24ACA" w:rsidRDefault="00005C09" w:rsidP="00005C09">
      <w:pPr>
        <w:spacing w:line="360" w:lineRule="auto"/>
        <w:rPr>
          <w:rFonts w:eastAsiaTheme="minorEastAsia"/>
          <w:b/>
          <w:color w:val="000000" w:themeColor="text1"/>
          <w:szCs w:val="21"/>
        </w:rPr>
      </w:pPr>
      <w:r w:rsidRPr="00C24ACA">
        <w:rPr>
          <w:rFonts w:eastAsiaTheme="minorEastAsia"/>
          <w:b/>
          <w:bCs/>
          <w:color w:val="000000" w:themeColor="text1"/>
          <w:kern w:val="0"/>
          <w:szCs w:val="21"/>
        </w:rPr>
        <w:t>6.4.7.14</w:t>
      </w:r>
      <w:r w:rsidRPr="00C24ACA">
        <w:rPr>
          <w:rFonts w:eastAsiaTheme="minorEastAsia"/>
          <w:b/>
          <w:color w:val="000000" w:themeColor="text1"/>
          <w:szCs w:val="21"/>
        </w:rPr>
        <w:t>债券投资收益</w:t>
      </w:r>
      <w:r w:rsidRPr="00C24ACA">
        <w:rPr>
          <w:rFonts w:eastAsiaTheme="minorEastAsia"/>
          <w:b/>
          <w:color w:val="000000" w:themeColor="text1"/>
          <w:szCs w:val="21"/>
        </w:rPr>
        <w:t>——</w:t>
      </w:r>
      <w:r w:rsidRPr="00C24ACA">
        <w:rPr>
          <w:rFonts w:eastAsiaTheme="minorEastAsia"/>
          <w:b/>
          <w:color w:val="000000" w:themeColor="text1"/>
          <w:szCs w:val="21"/>
        </w:rPr>
        <w:t>买卖债券差价收入</w:t>
      </w:r>
    </w:p>
    <w:p w:rsidR="00005C09" w:rsidRPr="008707EB" w:rsidRDefault="00005C09"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本基金本报告期无债券投资收益。</w:t>
      </w:r>
    </w:p>
    <w:p w:rsidR="00005C09" w:rsidRPr="00C24ACA" w:rsidRDefault="00005C09" w:rsidP="00005C09">
      <w:pPr>
        <w:tabs>
          <w:tab w:val="left" w:pos="426"/>
        </w:tabs>
        <w:spacing w:line="360" w:lineRule="auto"/>
        <w:jc w:val="left"/>
        <w:rPr>
          <w:rFonts w:eastAsiaTheme="minorEastAsia"/>
          <w:kern w:val="0"/>
          <w:szCs w:val="21"/>
        </w:rPr>
      </w:pP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6.4.7.15</w:t>
      </w:r>
      <w:r w:rsidRPr="00C24ACA">
        <w:rPr>
          <w:rFonts w:eastAsiaTheme="minorEastAsia"/>
          <w:b/>
          <w:color w:val="000000"/>
          <w:szCs w:val="21"/>
        </w:rPr>
        <w:t>衍生工具收益</w:t>
      </w:r>
    </w:p>
    <w:p w:rsidR="0016435A" w:rsidRDefault="0016435A" w:rsidP="008707EB">
      <w:pPr>
        <w:tabs>
          <w:tab w:val="left" w:pos="426"/>
        </w:tabs>
        <w:spacing w:line="360" w:lineRule="auto"/>
        <w:ind w:firstLineChars="200" w:firstLine="420"/>
        <w:rPr>
          <w:rFonts w:eastAsiaTheme="minorEastAsia"/>
          <w:kern w:val="0"/>
          <w:szCs w:val="21"/>
        </w:rPr>
      </w:pPr>
      <w:r>
        <w:rPr>
          <w:rFonts w:eastAsiaTheme="minorEastAsia"/>
          <w:kern w:val="0"/>
          <w:szCs w:val="21"/>
        </w:rPr>
        <w:t>本基金本报告期无衍生工具收益。</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6.4.7.16</w:t>
      </w:r>
      <w:r w:rsidRPr="00C24ACA">
        <w:rPr>
          <w:rFonts w:eastAsiaTheme="minorEastAsia"/>
          <w:b/>
          <w:color w:val="000000"/>
          <w:szCs w:val="21"/>
        </w:rPr>
        <w:t>股利收益</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本基金本报告期无股利收益。</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6.4.7.17</w:t>
      </w:r>
      <w:r w:rsidRPr="00C24ACA">
        <w:rPr>
          <w:rFonts w:eastAsiaTheme="minorEastAsia"/>
          <w:b/>
          <w:color w:val="000000"/>
          <w:szCs w:val="21"/>
        </w:rPr>
        <w:t>公允价值变动收益</w:t>
      </w:r>
    </w:p>
    <w:p w:rsidR="00107BA0" w:rsidRDefault="00107BA0" w:rsidP="00107BA0">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107BA0" w:rsidTr="00DC4F67">
        <w:trPr>
          <w:trHeight w:val="285"/>
        </w:trPr>
        <w:tc>
          <w:tcPr>
            <w:tcW w:w="3794" w:type="dxa"/>
            <w:vAlign w:val="center"/>
            <w:hideMark/>
          </w:tcPr>
          <w:p w:rsidR="00107BA0" w:rsidRDefault="00107BA0">
            <w:pPr>
              <w:jc w:val="center"/>
              <w:rPr>
                <w:szCs w:val="21"/>
              </w:rPr>
            </w:pPr>
            <w:r>
              <w:rPr>
                <w:rFonts w:hint="eastAsia"/>
                <w:kern w:val="0"/>
                <w:szCs w:val="21"/>
              </w:rPr>
              <w:t>项目名称</w:t>
            </w:r>
          </w:p>
        </w:tc>
        <w:tc>
          <w:tcPr>
            <w:tcW w:w="5528" w:type="dxa"/>
            <w:vAlign w:val="center"/>
            <w:hideMark/>
          </w:tcPr>
          <w:p w:rsidR="00107BA0" w:rsidRDefault="00107BA0">
            <w:pPr>
              <w:jc w:val="center"/>
              <w:rPr>
                <w:szCs w:val="21"/>
              </w:rPr>
            </w:pPr>
            <w:r>
              <w:rPr>
                <w:rFonts w:hint="eastAsia"/>
                <w:szCs w:val="21"/>
              </w:rPr>
              <w:t>本期</w:t>
            </w:r>
          </w:p>
          <w:p w:rsidR="00107BA0" w:rsidRDefault="00107BA0">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107BA0" w:rsidTr="00DC4F67">
        <w:trPr>
          <w:trHeight w:val="285"/>
        </w:trPr>
        <w:tc>
          <w:tcPr>
            <w:tcW w:w="3794" w:type="dxa"/>
            <w:vAlign w:val="center"/>
            <w:hideMark/>
          </w:tcPr>
          <w:p w:rsidR="00107BA0" w:rsidRDefault="00107BA0">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107BA0" w:rsidRDefault="00107BA0">
            <w:pPr>
              <w:jc w:val="right"/>
              <w:rPr>
                <w:szCs w:val="21"/>
              </w:rPr>
            </w:pPr>
            <w:r>
              <w:rPr>
                <w:szCs w:val="21"/>
              </w:rPr>
              <w:t>129,294,068.89</w:t>
            </w:r>
          </w:p>
        </w:tc>
      </w:tr>
      <w:tr w:rsidR="00107BA0" w:rsidTr="00DC4F67">
        <w:trPr>
          <w:trHeight w:val="285"/>
        </w:trPr>
        <w:tc>
          <w:tcPr>
            <w:tcW w:w="3794" w:type="dxa"/>
            <w:vAlign w:val="center"/>
            <w:hideMark/>
          </w:tcPr>
          <w:p w:rsidR="00107BA0" w:rsidRDefault="00107BA0">
            <w:pPr>
              <w:widowControl/>
              <w:jc w:val="left"/>
              <w:rPr>
                <w:szCs w:val="21"/>
              </w:rPr>
            </w:pPr>
            <w:r>
              <w:rPr>
                <w:kern w:val="0"/>
                <w:szCs w:val="21"/>
              </w:rPr>
              <w:t>——</w:t>
            </w:r>
            <w:r>
              <w:rPr>
                <w:rFonts w:hint="eastAsia"/>
                <w:kern w:val="0"/>
                <w:szCs w:val="21"/>
              </w:rPr>
              <w:t>股票投资</w:t>
            </w:r>
          </w:p>
        </w:tc>
        <w:tc>
          <w:tcPr>
            <w:tcW w:w="5528" w:type="dxa"/>
            <w:vAlign w:val="center"/>
            <w:hideMark/>
          </w:tcPr>
          <w:p w:rsidR="00107BA0" w:rsidRDefault="00107BA0">
            <w:pPr>
              <w:jc w:val="right"/>
              <w:rPr>
                <w:szCs w:val="21"/>
              </w:rPr>
            </w:pPr>
            <w:r>
              <w:rPr>
                <w:szCs w:val="21"/>
              </w:rPr>
              <w:t>-</w:t>
            </w:r>
          </w:p>
        </w:tc>
      </w:tr>
      <w:tr w:rsidR="00107BA0" w:rsidTr="00DC4F67">
        <w:trPr>
          <w:trHeight w:val="285"/>
        </w:trPr>
        <w:tc>
          <w:tcPr>
            <w:tcW w:w="3794" w:type="dxa"/>
            <w:vAlign w:val="center"/>
            <w:hideMark/>
          </w:tcPr>
          <w:p w:rsidR="00107BA0" w:rsidRDefault="00107BA0">
            <w:pPr>
              <w:widowControl/>
              <w:jc w:val="left"/>
              <w:rPr>
                <w:szCs w:val="21"/>
              </w:rPr>
            </w:pPr>
            <w:r>
              <w:rPr>
                <w:kern w:val="0"/>
                <w:szCs w:val="21"/>
              </w:rPr>
              <w:t>——</w:t>
            </w:r>
            <w:r>
              <w:rPr>
                <w:rFonts w:hint="eastAsia"/>
                <w:kern w:val="0"/>
                <w:szCs w:val="21"/>
              </w:rPr>
              <w:t>债券投资</w:t>
            </w:r>
          </w:p>
        </w:tc>
        <w:tc>
          <w:tcPr>
            <w:tcW w:w="5528" w:type="dxa"/>
            <w:vAlign w:val="center"/>
            <w:hideMark/>
          </w:tcPr>
          <w:p w:rsidR="00107BA0" w:rsidRDefault="00107BA0">
            <w:pPr>
              <w:jc w:val="right"/>
              <w:rPr>
                <w:szCs w:val="21"/>
              </w:rPr>
            </w:pPr>
            <w:r>
              <w:rPr>
                <w:szCs w:val="21"/>
              </w:rPr>
              <w:t>-</w:t>
            </w:r>
          </w:p>
        </w:tc>
      </w:tr>
      <w:tr w:rsidR="00107BA0" w:rsidTr="00DC4F67">
        <w:trPr>
          <w:trHeight w:val="285"/>
        </w:trPr>
        <w:tc>
          <w:tcPr>
            <w:tcW w:w="3794" w:type="dxa"/>
            <w:vAlign w:val="center"/>
            <w:hideMark/>
          </w:tcPr>
          <w:p w:rsidR="00107BA0" w:rsidRDefault="00107BA0">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107BA0" w:rsidRDefault="00107BA0">
            <w:pPr>
              <w:jc w:val="right"/>
              <w:rPr>
                <w:kern w:val="0"/>
                <w:szCs w:val="21"/>
              </w:rPr>
            </w:pPr>
            <w:r>
              <w:rPr>
                <w:kern w:val="0"/>
                <w:szCs w:val="21"/>
              </w:rPr>
              <w:t>-</w:t>
            </w:r>
          </w:p>
        </w:tc>
      </w:tr>
      <w:tr w:rsidR="00107BA0" w:rsidTr="00DC4F67">
        <w:trPr>
          <w:trHeight w:val="285"/>
        </w:trPr>
        <w:tc>
          <w:tcPr>
            <w:tcW w:w="3794" w:type="dxa"/>
            <w:vAlign w:val="center"/>
            <w:hideMark/>
          </w:tcPr>
          <w:p w:rsidR="00107BA0" w:rsidRDefault="00107BA0">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107BA0" w:rsidRDefault="00107BA0">
            <w:pPr>
              <w:jc w:val="right"/>
              <w:rPr>
                <w:kern w:val="0"/>
                <w:szCs w:val="21"/>
              </w:rPr>
            </w:pPr>
            <w:r>
              <w:rPr>
                <w:kern w:val="0"/>
                <w:szCs w:val="21"/>
              </w:rPr>
              <w:t>129,294,068.89</w:t>
            </w:r>
          </w:p>
        </w:tc>
      </w:tr>
      <w:tr w:rsidR="00107BA0" w:rsidTr="00DC4F67">
        <w:trPr>
          <w:trHeight w:val="285"/>
        </w:trPr>
        <w:tc>
          <w:tcPr>
            <w:tcW w:w="3794" w:type="dxa"/>
            <w:vAlign w:val="center"/>
            <w:hideMark/>
          </w:tcPr>
          <w:p w:rsidR="00107BA0" w:rsidRDefault="00107BA0">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107BA0" w:rsidRDefault="00107BA0">
            <w:pPr>
              <w:widowControl/>
              <w:jc w:val="right"/>
              <w:rPr>
                <w:kern w:val="0"/>
                <w:szCs w:val="21"/>
              </w:rPr>
            </w:pPr>
            <w:r>
              <w:rPr>
                <w:kern w:val="0"/>
                <w:szCs w:val="21"/>
              </w:rPr>
              <w:t>-</w:t>
            </w:r>
          </w:p>
        </w:tc>
      </w:tr>
      <w:tr w:rsidR="00107BA0" w:rsidTr="00DC4F67">
        <w:trPr>
          <w:trHeight w:val="285"/>
        </w:trPr>
        <w:tc>
          <w:tcPr>
            <w:tcW w:w="3794" w:type="dxa"/>
            <w:vAlign w:val="center"/>
            <w:hideMark/>
          </w:tcPr>
          <w:p w:rsidR="00107BA0" w:rsidRDefault="00107BA0">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107BA0" w:rsidRDefault="00107BA0">
            <w:pPr>
              <w:widowControl/>
              <w:jc w:val="right"/>
              <w:rPr>
                <w:kern w:val="0"/>
                <w:szCs w:val="21"/>
              </w:rPr>
            </w:pPr>
            <w:r>
              <w:rPr>
                <w:rFonts w:eastAsiaTheme="minorEastAsia"/>
                <w:kern w:val="0"/>
                <w:szCs w:val="21"/>
              </w:rPr>
              <w:t>-</w:t>
            </w:r>
          </w:p>
        </w:tc>
      </w:tr>
      <w:tr w:rsidR="00107BA0" w:rsidTr="00DC4F67">
        <w:trPr>
          <w:trHeight w:val="285"/>
        </w:trPr>
        <w:tc>
          <w:tcPr>
            <w:tcW w:w="3794" w:type="dxa"/>
            <w:vAlign w:val="center"/>
            <w:hideMark/>
          </w:tcPr>
          <w:p w:rsidR="00107BA0" w:rsidRDefault="00107BA0">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107BA0" w:rsidRDefault="00107BA0">
            <w:pPr>
              <w:jc w:val="right"/>
              <w:rPr>
                <w:kern w:val="0"/>
                <w:szCs w:val="21"/>
              </w:rPr>
            </w:pPr>
            <w:r>
              <w:rPr>
                <w:kern w:val="0"/>
                <w:szCs w:val="21"/>
              </w:rPr>
              <w:t>-</w:t>
            </w:r>
          </w:p>
        </w:tc>
      </w:tr>
      <w:tr w:rsidR="00107BA0" w:rsidTr="00DC4F67">
        <w:trPr>
          <w:trHeight w:val="285"/>
        </w:trPr>
        <w:tc>
          <w:tcPr>
            <w:tcW w:w="3794" w:type="dxa"/>
            <w:vAlign w:val="center"/>
            <w:hideMark/>
          </w:tcPr>
          <w:p w:rsidR="00107BA0" w:rsidRDefault="00107BA0">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107BA0" w:rsidRDefault="00107BA0">
            <w:pPr>
              <w:jc w:val="right"/>
              <w:rPr>
                <w:kern w:val="0"/>
                <w:szCs w:val="21"/>
              </w:rPr>
            </w:pPr>
            <w:r>
              <w:rPr>
                <w:kern w:val="0"/>
                <w:szCs w:val="21"/>
              </w:rPr>
              <w:t>-</w:t>
            </w:r>
          </w:p>
        </w:tc>
      </w:tr>
      <w:tr w:rsidR="007F3F42">
        <w:tc>
          <w:tcPr>
            <w:tcW w:w="3794" w:type="dxa"/>
            <w:vAlign w:val="center"/>
          </w:tcPr>
          <w:p w:rsidR="007F3F42" w:rsidRDefault="00781698">
            <w:pPr>
              <w:jc w:val="left"/>
            </w:pPr>
            <w:r>
              <w:rPr>
                <w:kern w:val="0"/>
                <w:szCs w:val="21"/>
              </w:rPr>
              <w:t>——</w:t>
            </w:r>
            <w:r>
              <w:rPr>
                <w:kern w:val="0"/>
                <w:szCs w:val="21"/>
              </w:rPr>
              <w:t>期货投资</w:t>
            </w:r>
          </w:p>
        </w:tc>
        <w:tc>
          <w:tcPr>
            <w:tcW w:w="5529" w:type="dxa"/>
            <w:vAlign w:val="center"/>
          </w:tcPr>
          <w:p w:rsidR="007F3F42" w:rsidRDefault="00781698">
            <w:pPr>
              <w:jc w:val="right"/>
            </w:pPr>
            <w:r>
              <w:rPr>
                <w:kern w:val="0"/>
                <w:szCs w:val="21"/>
              </w:rPr>
              <w:t>-</w:t>
            </w:r>
          </w:p>
        </w:tc>
      </w:tr>
      <w:tr w:rsidR="007F3F42">
        <w:tc>
          <w:tcPr>
            <w:tcW w:w="3794" w:type="dxa"/>
            <w:vAlign w:val="center"/>
          </w:tcPr>
          <w:p w:rsidR="007F3F42" w:rsidRDefault="00781698">
            <w:pPr>
              <w:jc w:val="left"/>
            </w:pPr>
            <w:r>
              <w:rPr>
                <w:kern w:val="0"/>
                <w:szCs w:val="21"/>
              </w:rPr>
              <w:t>——</w:t>
            </w:r>
            <w:r>
              <w:rPr>
                <w:kern w:val="0"/>
                <w:szCs w:val="21"/>
              </w:rPr>
              <w:t>期权投资</w:t>
            </w:r>
          </w:p>
        </w:tc>
        <w:tc>
          <w:tcPr>
            <w:tcW w:w="5529" w:type="dxa"/>
            <w:vAlign w:val="center"/>
          </w:tcPr>
          <w:p w:rsidR="007F3F42" w:rsidRDefault="00781698">
            <w:pPr>
              <w:jc w:val="right"/>
            </w:pPr>
            <w:r>
              <w:rPr>
                <w:kern w:val="0"/>
                <w:szCs w:val="21"/>
              </w:rPr>
              <w:t>-</w:t>
            </w:r>
          </w:p>
        </w:tc>
      </w:tr>
      <w:tr w:rsidR="00107BA0" w:rsidTr="00DC4F67">
        <w:trPr>
          <w:trHeight w:val="285"/>
        </w:trPr>
        <w:tc>
          <w:tcPr>
            <w:tcW w:w="3794" w:type="dxa"/>
            <w:vAlign w:val="center"/>
            <w:hideMark/>
          </w:tcPr>
          <w:p w:rsidR="00107BA0" w:rsidRDefault="00107BA0">
            <w:pPr>
              <w:widowControl/>
              <w:rPr>
                <w:szCs w:val="21"/>
              </w:rPr>
            </w:pPr>
            <w:r>
              <w:rPr>
                <w:kern w:val="0"/>
                <w:szCs w:val="21"/>
              </w:rPr>
              <w:t>3.</w:t>
            </w:r>
            <w:r>
              <w:rPr>
                <w:rFonts w:hint="eastAsia"/>
                <w:kern w:val="0"/>
                <w:szCs w:val="21"/>
              </w:rPr>
              <w:t>其他</w:t>
            </w:r>
          </w:p>
        </w:tc>
        <w:tc>
          <w:tcPr>
            <w:tcW w:w="5528" w:type="dxa"/>
            <w:vAlign w:val="center"/>
            <w:hideMark/>
          </w:tcPr>
          <w:p w:rsidR="00107BA0" w:rsidRDefault="00107BA0">
            <w:pPr>
              <w:jc w:val="right"/>
              <w:rPr>
                <w:szCs w:val="21"/>
              </w:rPr>
            </w:pPr>
            <w:r>
              <w:rPr>
                <w:szCs w:val="21"/>
              </w:rPr>
              <w:t>-</w:t>
            </w:r>
          </w:p>
        </w:tc>
      </w:tr>
      <w:tr w:rsidR="00107BA0" w:rsidTr="00DC4F67">
        <w:trPr>
          <w:trHeight w:val="285"/>
        </w:trPr>
        <w:tc>
          <w:tcPr>
            <w:tcW w:w="3794" w:type="dxa"/>
            <w:vAlign w:val="center"/>
            <w:hideMark/>
          </w:tcPr>
          <w:p w:rsidR="00107BA0" w:rsidRDefault="00107BA0">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107BA0" w:rsidRDefault="00107BA0">
            <w:pPr>
              <w:jc w:val="right"/>
              <w:rPr>
                <w:rFonts w:eastAsiaTheme="minorEastAsia"/>
                <w:szCs w:val="21"/>
              </w:rPr>
            </w:pPr>
            <w:r>
              <w:rPr>
                <w:rFonts w:eastAsiaTheme="minorEastAsia"/>
                <w:szCs w:val="21"/>
              </w:rPr>
              <w:t>-</w:t>
            </w:r>
          </w:p>
        </w:tc>
      </w:tr>
      <w:tr w:rsidR="00107BA0" w:rsidTr="00DC4F67">
        <w:trPr>
          <w:trHeight w:val="285"/>
        </w:trPr>
        <w:tc>
          <w:tcPr>
            <w:tcW w:w="3794" w:type="dxa"/>
            <w:vAlign w:val="center"/>
            <w:hideMark/>
          </w:tcPr>
          <w:p w:rsidR="00107BA0" w:rsidRDefault="00107BA0">
            <w:pPr>
              <w:widowControl/>
              <w:rPr>
                <w:szCs w:val="21"/>
              </w:rPr>
            </w:pPr>
            <w:r>
              <w:rPr>
                <w:rFonts w:hint="eastAsia"/>
                <w:kern w:val="0"/>
                <w:szCs w:val="21"/>
              </w:rPr>
              <w:t>合计</w:t>
            </w:r>
          </w:p>
        </w:tc>
        <w:tc>
          <w:tcPr>
            <w:tcW w:w="5528" w:type="dxa"/>
            <w:vAlign w:val="center"/>
            <w:hideMark/>
          </w:tcPr>
          <w:p w:rsidR="00107BA0" w:rsidRDefault="00107BA0">
            <w:pPr>
              <w:jc w:val="right"/>
              <w:rPr>
                <w:szCs w:val="21"/>
              </w:rPr>
            </w:pPr>
            <w:r>
              <w:rPr>
                <w:szCs w:val="21"/>
              </w:rPr>
              <w:t>129,294,068.89</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6.4.7.18</w:t>
      </w:r>
      <w:r w:rsidRPr="00C24ACA">
        <w:rPr>
          <w:rFonts w:eastAsiaTheme="minorEastAsia"/>
          <w:b/>
          <w:color w:val="000000"/>
          <w:szCs w:val="21"/>
        </w:rPr>
        <w:t>其他收入</w:t>
      </w:r>
    </w:p>
    <w:p w:rsidR="008A5A5D" w:rsidRPr="00C24ACA" w:rsidRDefault="008A5A5D" w:rsidP="003955D3">
      <w:pPr>
        <w:tabs>
          <w:tab w:val="left" w:pos="7200"/>
          <w:tab w:val="left" w:pos="8280"/>
        </w:tabs>
        <w:ind w:rightChars="-52" w:right="-109"/>
        <w:jc w:val="right"/>
        <w:rPr>
          <w:rFonts w:eastAsiaTheme="minorEastAsia"/>
          <w:szCs w:val="21"/>
          <w:lang w:val="en-AU"/>
        </w:rPr>
      </w:pPr>
      <w:r w:rsidRPr="00C24ACA">
        <w:rPr>
          <w:rFonts w:eastAsiaTheme="minorEastAsia"/>
          <w:color w:val="000000"/>
          <w:szCs w:val="21"/>
        </w:rPr>
        <w:t>单位：人民币元</w:t>
      </w:r>
    </w:p>
    <w:tbl>
      <w:tblPr>
        <w:tblW w:w="90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33"/>
        <w:gridCol w:w="5242"/>
      </w:tblGrid>
      <w:tr w:rsidR="008A5A5D" w:rsidRPr="00C24ACA" w:rsidTr="00862636">
        <w:trPr>
          <w:trHeight w:val="255"/>
        </w:trPr>
        <w:tc>
          <w:tcPr>
            <w:tcW w:w="3833"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242"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rPr>
          <w:trHeight w:val="255"/>
        </w:trPr>
        <w:tc>
          <w:tcPr>
            <w:tcW w:w="3833" w:type="dxa"/>
            <w:vAlign w:val="bottom"/>
          </w:tcPr>
          <w:p w:rsidR="008A5A5D" w:rsidRPr="00C24ACA" w:rsidRDefault="008A5A5D" w:rsidP="004A4847">
            <w:pPr>
              <w:rPr>
                <w:rFonts w:eastAsiaTheme="minorEastAsia"/>
                <w:szCs w:val="21"/>
              </w:rPr>
            </w:pPr>
            <w:r w:rsidRPr="00C24ACA">
              <w:rPr>
                <w:rFonts w:eastAsiaTheme="minorEastAsia"/>
                <w:szCs w:val="21"/>
              </w:rPr>
              <w:t>基金赎回费收入</w:t>
            </w:r>
          </w:p>
        </w:tc>
        <w:tc>
          <w:tcPr>
            <w:tcW w:w="5242" w:type="dxa"/>
            <w:vAlign w:val="bottom"/>
          </w:tcPr>
          <w:p w:rsidR="008A5A5D" w:rsidRPr="00C24ACA" w:rsidRDefault="008A5A5D" w:rsidP="004A4847">
            <w:pPr>
              <w:jc w:val="right"/>
              <w:rPr>
                <w:rFonts w:eastAsiaTheme="minorEastAsia"/>
                <w:szCs w:val="21"/>
              </w:rPr>
            </w:pPr>
            <w:r w:rsidRPr="00C24ACA">
              <w:rPr>
                <w:rFonts w:eastAsiaTheme="minorEastAsia"/>
                <w:szCs w:val="21"/>
              </w:rPr>
              <w:t>752,966.50</w:t>
            </w:r>
          </w:p>
        </w:tc>
      </w:tr>
      <w:tr w:rsidR="007F3F42">
        <w:tc>
          <w:tcPr>
            <w:tcW w:w="3833" w:type="dxa"/>
            <w:vAlign w:val="center"/>
          </w:tcPr>
          <w:p w:rsidR="007F3F42" w:rsidRDefault="00781698">
            <w:pPr>
              <w:jc w:val="left"/>
            </w:pPr>
            <w:r>
              <w:rPr>
                <w:rFonts w:eastAsiaTheme="minorEastAsia"/>
                <w:szCs w:val="21"/>
              </w:rPr>
              <w:t>其他</w:t>
            </w:r>
          </w:p>
        </w:tc>
        <w:tc>
          <w:tcPr>
            <w:tcW w:w="5242" w:type="dxa"/>
            <w:vAlign w:val="center"/>
          </w:tcPr>
          <w:p w:rsidR="007F3F42" w:rsidRDefault="00781698">
            <w:pPr>
              <w:jc w:val="right"/>
            </w:pPr>
            <w:r>
              <w:rPr>
                <w:rFonts w:eastAsiaTheme="minorEastAsia"/>
                <w:szCs w:val="21"/>
              </w:rPr>
              <w:t>-</w:t>
            </w:r>
          </w:p>
        </w:tc>
      </w:tr>
      <w:tr w:rsidR="008A5A5D" w:rsidRPr="00C24ACA" w:rsidTr="00862636">
        <w:trPr>
          <w:trHeight w:val="255"/>
        </w:trPr>
        <w:tc>
          <w:tcPr>
            <w:tcW w:w="3833" w:type="dxa"/>
            <w:vAlign w:val="bottom"/>
          </w:tcPr>
          <w:p w:rsidR="008A5A5D" w:rsidRPr="00C24ACA" w:rsidRDefault="008A5A5D" w:rsidP="004A4847">
            <w:pPr>
              <w:rPr>
                <w:rFonts w:eastAsiaTheme="minorEastAsia"/>
                <w:szCs w:val="21"/>
              </w:rPr>
            </w:pPr>
            <w:r w:rsidRPr="00C24ACA">
              <w:rPr>
                <w:rFonts w:eastAsiaTheme="minorEastAsia"/>
                <w:szCs w:val="21"/>
              </w:rPr>
              <w:t>合计</w:t>
            </w:r>
          </w:p>
        </w:tc>
        <w:tc>
          <w:tcPr>
            <w:tcW w:w="5242" w:type="dxa"/>
            <w:vAlign w:val="bottom"/>
          </w:tcPr>
          <w:p w:rsidR="008A5A5D" w:rsidRPr="00C24ACA" w:rsidRDefault="008A5A5D" w:rsidP="004A4847">
            <w:pPr>
              <w:jc w:val="right"/>
              <w:rPr>
                <w:rFonts w:eastAsiaTheme="minorEastAsia"/>
                <w:szCs w:val="21"/>
              </w:rPr>
            </w:pPr>
            <w:r w:rsidRPr="00C24ACA">
              <w:rPr>
                <w:rFonts w:eastAsiaTheme="minorEastAsia"/>
                <w:szCs w:val="21"/>
              </w:rPr>
              <w:t>752,966.50</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6.4.7.19</w:t>
      </w:r>
      <w:r w:rsidRPr="00C24ACA">
        <w:rPr>
          <w:rFonts w:eastAsiaTheme="minorEastAsia"/>
          <w:b/>
          <w:color w:val="000000"/>
          <w:szCs w:val="21"/>
        </w:rPr>
        <w:t>交易费用</w:t>
      </w:r>
    </w:p>
    <w:p w:rsidR="004D679F" w:rsidRDefault="004D679F" w:rsidP="004D679F">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07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7"/>
        <w:gridCol w:w="5249"/>
      </w:tblGrid>
      <w:tr w:rsidR="004D679F" w:rsidTr="00DC4F67">
        <w:trPr>
          <w:trHeight w:val="285"/>
        </w:trPr>
        <w:tc>
          <w:tcPr>
            <w:tcW w:w="3827" w:type="dxa"/>
            <w:vAlign w:val="center"/>
            <w:hideMark/>
          </w:tcPr>
          <w:p w:rsidR="004D679F" w:rsidRDefault="004D679F" w:rsidP="00F0322F">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249" w:type="dxa"/>
            <w:vAlign w:val="center"/>
            <w:hideMark/>
          </w:tcPr>
          <w:p w:rsidR="004D679F" w:rsidRDefault="004D679F" w:rsidP="00F0322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4D679F" w:rsidRDefault="004D679F" w:rsidP="00F0322F">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4D679F" w:rsidTr="00DC4F67">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4D679F" w:rsidTr="00DC4F67">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4D679F" w:rsidTr="00DC4F67">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交易基金产生的费用</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17,228.15</w:t>
            </w:r>
          </w:p>
        </w:tc>
      </w:tr>
      <w:tr w:rsidR="004D679F" w:rsidTr="00DC4F67">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4D679F" w:rsidTr="00DC4F67">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7F3F42">
        <w:tc>
          <w:tcPr>
            <w:tcW w:w="3827" w:type="dxa"/>
            <w:vAlign w:val="center"/>
          </w:tcPr>
          <w:p w:rsidR="007F3F42" w:rsidRDefault="00781698">
            <w:pPr>
              <w:jc w:val="center"/>
            </w:pPr>
            <w:r>
              <w:rPr>
                <w:rFonts w:eastAsiaTheme="minorEastAsia"/>
                <w:color w:val="000000" w:themeColor="text1"/>
                <w:kern w:val="0"/>
                <w:szCs w:val="21"/>
              </w:rPr>
              <w:t>其他</w:t>
            </w:r>
          </w:p>
        </w:tc>
        <w:tc>
          <w:tcPr>
            <w:tcW w:w="5249" w:type="dxa"/>
            <w:vAlign w:val="center"/>
          </w:tcPr>
          <w:p w:rsidR="007F3F42" w:rsidRDefault="00781698">
            <w:pPr>
              <w:jc w:val="right"/>
            </w:pPr>
            <w:r>
              <w:rPr>
                <w:rFonts w:eastAsiaTheme="minorEastAsia"/>
                <w:color w:val="000000" w:themeColor="text1"/>
                <w:kern w:val="0"/>
                <w:szCs w:val="21"/>
              </w:rPr>
              <w:t>17,228.15</w:t>
            </w:r>
          </w:p>
        </w:tc>
      </w:tr>
      <w:tr w:rsidR="004D679F" w:rsidTr="00DC4F67">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17,228.15</w:t>
            </w:r>
          </w:p>
        </w:tc>
      </w:tr>
    </w:tbl>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6.4.7.20</w:t>
      </w:r>
      <w:r w:rsidRPr="00C24ACA">
        <w:rPr>
          <w:rFonts w:eastAsiaTheme="minorEastAsia"/>
          <w:b/>
          <w:color w:val="000000"/>
          <w:szCs w:val="21"/>
        </w:rPr>
        <w:t>其他费用</w:t>
      </w:r>
    </w:p>
    <w:p w:rsidR="008A5A5D" w:rsidRPr="00C24ACA" w:rsidRDefault="008A5A5D" w:rsidP="003955D3">
      <w:pPr>
        <w:tabs>
          <w:tab w:val="left" w:pos="7200"/>
          <w:tab w:val="left" w:pos="8280"/>
          <w:tab w:val="left" w:pos="9000"/>
        </w:tabs>
        <w:ind w:rightChars="-52" w:right="-109"/>
        <w:jc w:val="right"/>
        <w:rPr>
          <w:rFonts w:eastAsiaTheme="minorEastAsia"/>
          <w:bCs/>
          <w:szCs w:val="21"/>
        </w:rPr>
      </w:pPr>
      <w:r w:rsidRPr="00C24ACA">
        <w:rPr>
          <w:rFonts w:eastAsiaTheme="minorEastAsia"/>
          <w:color w:val="000000"/>
          <w:szCs w:val="21"/>
        </w:rPr>
        <w:t>单位：人民币元</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8A5A5D" w:rsidRPr="00C24ACA" w:rsidTr="00862636">
        <w:tc>
          <w:tcPr>
            <w:tcW w:w="3936"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350"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c>
          <w:tcPr>
            <w:tcW w:w="3936" w:type="dxa"/>
            <w:vAlign w:val="center"/>
          </w:tcPr>
          <w:p w:rsidR="008A5A5D" w:rsidRPr="00C24ACA" w:rsidRDefault="008A5A5D" w:rsidP="004A4847">
            <w:pPr>
              <w:rPr>
                <w:rFonts w:eastAsiaTheme="minorEastAsia"/>
                <w:szCs w:val="21"/>
              </w:rPr>
            </w:pPr>
            <w:r w:rsidRPr="00C24ACA">
              <w:rPr>
                <w:rFonts w:eastAsiaTheme="minorEastAsia"/>
                <w:szCs w:val="21"/>
              </w:rPr>
              <w:t>审计费用</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14,918.54</w:t>
            </w:r>
          </w:p>
        </w:tc>
      </w:tr>
      <w:tr w:rsidR="008A5A5D" w:rsidRPr="00C24ACA" w:rsidTr="00862636">
        <w:tc>
          <w:tcPr>
            <w:tcW w:w="3936" w:type="dxa"/>
            <w:vAlign w:val="center"/>
          </w:tcPr>
          <w:p w:rsidR="008A5A5D" w:rsidRPr="00C24ACA" w:rsidRDefault="008A5A5D" w:rsidP="004A4847">
            <w:pPr>
              <w:rPr>
                <w:rFonts w:eastAsiaTheme="minorEastAsia"/>
                <w:szCs w:val="21"/>
              </w:rPr>
            </w:pPr>
            <w:r w:rsidRPr="00C24ACA">
              <w:rPr>
                <w:rFonts w:eastAsiaTheme="minorEastAsia"/>
                <w:szCs w:val="21"/>
              </w:rPr>
              <w:t>信息披露费</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59,672.34</w:t>
            </w:r>
          </w:p>
        </w:tc>
      </w:tr>
      <w:tr w:rsidR="007F3F42">
        <w:tc>
          <w:tcPr>
            <w:tcW w:w="3936" w:type="dxa"/>
            <w:vAlign w:val="center"/>
          </w:tcPr>
          <w:p w:rsidR="007F3F42" w:rsidRDefault="00781698">
            <w:pPr>
              <w:jc w:val="left"/>
            </w:pPr>
            <w:r>
              <w:rPr>
                <w:rFonts w:eastAsiaTheme="minorEastAsia"/>
                <w:szCs w:val="21"/>
              </w:rPr>
              <w:t>银行汇划费</w:t>
            </w:r>
          </w:p>
        </w:tc>
        <w:tc>
          <w:tcPr>
            <w:tcW w:w="5350" w:type="dxa"/>
            <w:vAlign w:val="center"/>
          </w:tcPr>
          <w:p w:rsidR="007F3F42" w:rsidRDefault="00781698">
            <w:pPr>
              <w:jc w:val="right"/>
            </w:pPr>
            <w:r>
              <w:rPr>
                <w:rFonts w:eastAsiaTheme="minorEastAsia"/>
                <w:szCs w:val="21"/>
              </w:rPr>
              <w:t>6,295.54</w:t>
            </w:r>
          </w:p>
        </w:tc>
      </w:tr>
      <w:tr w:rsidR="008A5A5D" w:rsidRPr="00C24ACA" w:rsidTr="00862636">
        <w:tc>
          <w:tcPr>
            <w:tcW w:w="3936" w:type="dxa"/>
            <w:vAlign w:val="bottom"/>
          </w:tcPr>
          <w:p w:rsidR="008A5A5D" w:rsidRPr="00C24ACA" w:rsidRDefault="008A5A5D" w:rsidP="004A4847">
            <w:pPr>
              <w:rPr>
                <w:rFonts w:eastAsiaTheme="minorEastAsia"/>
                <w:szCs w:val="21"/>
              </w:rPr>
            </w:pPr>
            <w:r w:rsidRPr="00C24ACA">
              <w:rPr>
                <w:rFonts w:eastAsiaTheme="minorEastAsia"/>
                <w:szCs w:val="21"/>
              </w:rPr>
              <w:t>合计</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80,886.42</w:t>
            </w:r>
          </w:p>
        </w:tc>
      </w:tr>
    </w:tbl>
    <w:p w:rsidR="008A5A5D" w:rsidRPr="00C24ACA" w:rsidRDefault="008A5A5D" w:rsidP="006C64F3">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 xml:space="preserve">6.4.8 </w:t>
      </w:r>
      <w:r w:rsidRPr="00C24ACA">
        <w:rPr>
          <w:rFonts w:eastAsiaTheme="minorEastAsia"/>
          <w:b/>
          <w:color w:val="000000"/>
          <w:kern w:val="0"/>
          <w:szCs w:val="21"/>
        </w:rPr>
        <w:t>或有事项、资产负债表日后事项的说明</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6.4.8.1</w:t>
      </w:r>
      <w:r w:rsidRPr="00C24ACA">
        <w:rPr>
          <w:rFonts w:eastAsiaTheme="minorEastAsia"/>
          <w:b/>
          <w:color w:val="000000"/>
          <w:kern w:val="0"/>
          <w:szCs w:val="21"/>
        </w:rPr>
        <w:t xml:space="preserve"> </w:t>
      </w:r>
      <w:r w:rsidRPr="00C24ACA">
        <w:rPr>
          <w:rFonts w:eastAsiaTheme="minorEastAsia"/>
          <w:b/>
          <w:color w:val="000000"/>
          <w:kern w:val="0"/>
          <w:szCs w:val="21"/>
        </w:rPr>
        <w:t>或有事项</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截至资产负债表日，本基金无须作披露的或有事项。</w:t>
      </w:r>
    </w:p>
    <w:p w:rsidR="008A5A5D" w:rsidRPr="00C24ACA" w:rsidRDefault="008A5A5D" w:rsidP="006C64F3">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6.4.8.2</w:t>
      </w:r>
      <w:r w:rsidRPr="00C24ACA">
        <w:rPr>
          <w:rFonts w:eastAsiaTheme="minorEastAsia"/>
          <w:b/>
          <w:color w:val="000000"/>
          <w:kern w:val="0"/>
          <w:szCs w:val="21"/>
        </w:rPr>
        <w:t xml:space="preserve"> </w:t>
      </w:r>
      <w:r w:rsidRPr="00C24ACA">
        <w:rPr>
          <w:rFonts w:eastAsiaTheme="minorEastAsia"/>
          <w:b/>
          <w:color w:val="000000"/>
          <w:kern w:val="0"/>
          <w:szCs w:val="21"/>
        </w:rPr>
        <w:t>资产负债表日后事项</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截至本会计报表批准报出日，本基金无须作披露的资产负债表日后事项。</w:t>
      </w:r>
    </w:p>
    <w:p w:rsidR="008A5A5D" w:rsidRPr="00C24ACA" w:rsidRDefault="008A5A5D" w:rsidP="006C64F3">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6.4.9</w:t>
      </w:r>
      <w:r w:rsidRPr="00C24ACA">
        <w:rPr>
          <w:rFonts w:eastAsiaTheme="minorEastAsia"/>
          <w:b/>
          <w:color w:val="000000"/>
          <w:kern w:val="0"/>
          <w:szCs w:val="21"/>
        </w:rPr>
        <w:t>关联方关系</w:t>
      </w:r>
    </w:p>
    <w:p w:rsidR="008A5A5D" w:rsidRPr="00C24ACA" w:rsidRDefault="008A5A5D" w:rsidP="009967D7">
      <w:pPr>
        <w:spacing w:line="360" w:lineRule="auto"/>
        <w:rPr>
          <w:rFonts w:eastAsiaTheme="minorEastAsia"/>
          <w:b/>
          <w:kern w:val="0"/>
          <w:szCs w:val="21"/>
        </w:rPr>
      </w:pPr>
      <w:r w:rsidRPr="00C24ACA">
        <w:rPr>
          <w:rFonts w:eastAsiaTheme="minorEastAsia"/>
          <w:b/>
          <w:bCs/>
          <w:color w:val="000000"/>
          <w:kern w:val="0"/>
          <w:szCs w:val="21"/>
        </w:rPr>
        <w:t>6.4.9.1</w:t>
      </w:r>
      <w:r w:rsidRPr="00C24ACA">
        <w:rPr>
          <w:rFonts w:eastAsiaTheme="minorEastAsia"/>
          <w:b/>
          <w:kern w:val="0"/>
          <w:szCs w:val="21"/>
        </w:rPr>
        <w:t xml:space="preserve"> </w:t>
      </w:r>
      <w:r w:rsidRPr="00C24ACA">
        <w:rPr>
          <w:rFonts w:eastAsiaTheme="minorEastAsia"/>
          <w:b/>
          <w:kern w:val="0"/>
          <w:szCs w:val="21"/>
        </w:rPr>
        <w:t>本报告期存在控制关系或其他重大利害关系的关联方发生变化的情况</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本报告期内存在控制关系或其他重大利害关系的关联方未发生变化。</w:t>
      </w:r>
    </w:p>
    <w:p w:rsidR="008A5A5D" w:rsidRPr="00C24ACA" w:rsidRDefault="008A5A5D" w:rsidP="006C64F3">
      <w:pPr>
        <w:spacing w:beforeLines="100" w:before="312" w:line="360" w:lineRule="auto"/>
        <w:rPr>
          <w:rFonts w:eastAsiaTheme="minorEastAsia"/>
          <w:b/>
          <w:kern w:val="0"/>
          <w:szCs w:val="21"/>
        </w:rPr>
      </w:pPr>
      <w:r w:rsidRPr="00C24ACA">
        <w:rPr>
          <w:rFonts w:eastAsiaTheme="minorEastAsia"/>
          <w:b/>
          <w:bCs/>
          <w:color w:val="000000"/>
          <w:kern w:val="0"/>
          <w:szCs w:val="21"/>
        </w:rPr>
        <w:t>6.4.9.2</w:t>
      </w:r>
      <w:r w:rsidRPr="00C24ACA">
        <w:rPr>
          <w:rFonts w:eastAsiaTheme="minor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8A5A5D" w:rsidRPr="00C24ACA" w:rsidTr="004A4847">
        <w:tc>
          <w:tcPr>
            <w:tcW w:w="5220" w:type="dxa"/>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关联方名称</w:t>
            </w:r>
          </w:p>
        </w:tc>
        <w:tc>
          <w:tcPr>
            <w:tcW w:w="3780" w:type="dxa"/>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与本基金的关系</w:t>
            </w:r>
          </w:p>
        </w:tc>
      </w:tr>
      <w:tr w:rsidR="007F3F42">
        <w:tc>
          <w:tcPr>
            <w:tcW w:w="5220" w:type="dxa"/>
            <w:vAlign w:val="center"/>
          </w:tcPr>
          <w:p w:rsidR="007F3F42" w:rsidRDefault="00781698">
            <w:pPr>
              <w:jc w:val="left"/>
            </w:pPr>
            <w:r>
              <w:rPr>
                <w:rFonts w:eastAsiaTheme="minorEastAsia"/>
                <w:color w:val="000000"/>
                <w:szCs w:val="21"/>
              </w:rPr>
              <w:t>易方达基金管理有限公司</w:t>
            </w:r>
          </w:p>
        </w:tc>
        <w:tc>
          <w:tcPr>
            <w:tcW w:w="3780" w:type="dxa"/>
            <w:vAlign w:val="center"/>
          </w:tcPr>
          <w:p w:rsidR="007F3F42" w:rsidRDefault="00781698">
            <w:pPr>
              <w:jc w:val="left"/>
            </w:pPr>
            <w:r>
              <w:rPr>
                <w:rFonts w:eastAsiaTheme="minorEastAsia"/>
                <w:color w:val="000000"/>
                <w:szCs w:val="21"/>
              </w:rPr>
              <w:t>基金管理人、注册登记机构、基金销售机构</w:t>
            </w:r>
          </w:p>
        </w:tc>
      </w:tr>
      <w:tr w:rsidR="007F3F42">
        <w:tc>
          <w:tcPr>
            <w:tcW w:w="5220" w:type="dxa"/>
            <w:vAlign w:val="center"/>
          </w:tcPr>
          <w:p w:rsidR="007F3F42" w:rsidRDefault="00781698">
            <w:pPr>
              <w:jc w:val="left"/>
            </w:pPr>
            <w:r>
              <w:rPr>
                <w:rFonts w:eastAsiaTheme="minorEastAsia"/>
                <w:color w:val="000000"/>
                <w:szCs w:val="21"/>
              </w:rPr>
              <w:t>招商银行股份有限公司（以下简称</w:t>
            </w:r>
            <w:r>
              <w:rPr>
                <w:rFonts w:eastAsiaTheme="minorEastAsia"/>
                <w:color w:val="000000"/>
                <w:szCs w:val="21"/>
              </w:rPr>
              <w:t>“</w:t>
            </w:r>
            <w:r>
              <w:rPr>
                <w:rFonts w:eastAsiaTheme="minorEastAsia"/>
                <w:color w:val="000000"/>
                <w:szCs w:val="21"/>
              </w:rPr>
              <w:t>招商银行</w:t>
            </w:r>
            <w:r>
              <w:rPr>
                <w:rFonts w:eastAsiaTheme="minorEastAsia"/>
                <w:color w:val="000000"/>
                <w:szCs w:val="21"/>
              </w:rPr>
              <w:t>”</w:t>
            </w:r>
            <w:r>
              <w:rPr>
                <w:rFonts w:eastAsiaTheme="minorEastAsia"/>
                <w:color w:val="000000"/>
                <w:szCs w:val="21"/>
              </w:rPr>
              <w:t>）</w:t>
            </w:r>
          </w:p>
        </w:tc>
        <w:tc>
          <w:tcPr>
            <w:tcW w:w="3780" w:type="dxa"/>
            <w:vAlign w:val="center"/>
          </w:tcPr>
          <w:p w:rsidR="007F3F42" w:rsidRDefault="00781698">
            <w:pPr>
              <w:jc w:val="left"/>
            </w:pPr>
            <w:r>
              <w:rPr>
                <w:rFonts w:eastAsiaTheme="minorEastAsia"/>
                <w:color w:val="000000"/>
                <w:szCs w:val="21"/>
              </w:rPr>
              <w:t>基金托管人、基金销售机构</w:t>
            </w:r>
          </w:p>
        </w:tc>
      </w:tr>
      <w:tr w:rsidR="007F3F42">
        <w:tc>
          <w:tcPr>
            <w:tcW w:w="5220" w:type="dxa"/>
            <w:vAlign w:val="center"/>
          </w:tcPr>
          <w:p w:rsidR="007F3F42" w:rsidRDefault="00781698">
            <w:pPr>
              <w:jc w:val="left"/>
            </w:pPr>
            <w:r>
              <w:rPr>
                <w:rFonts w:eastAsiaTheme="minorEastAsia"/>
                <w:color w:val="000000"/>
                <w:szCs w:val="21"/>
              </w:rPr>
              <w:t>广发证券股份有限公司</w:t>
            </w:r>
            <w:r>
              <w:rPr>
                <w:rFonts w:eastAsiaTheme="minorEastAsia"/>
                <w:color w:val="000000"/>
                <w:szCs w:val="21"/>
              </w:rPr>
              <w:t>(</w:t>
            </w:r>
            <w:r>
              <w:rPr>
                <w:rFonts w:eastAsiaTheme="minorEastAsia"/>
                <w:color w:val="000000"/>
                <w:szCs w:val="21"/>
              </w:rPr>
              <w:t>以下简称</w:t>
            </w:r>
            <w:r>
              <w:rPr>
                <w:rFonts w:eastAsiaTheme="minorEastAsia"/>
                <w:color w:val="000000"/>
                <w:szCs w:val="21"/>
              </w:rPr>
              <w:t>“</w:t>
            </w:r>
            <w:r>
              <w:rPr>
                <w:rFonts w:eastAsiaTheme="minorEastAsia"/>
                <w:color w:val="000000"/>
                <w:szCs w:val="21"/>
              </w:rPr>
              <w:t>广发证券</w:t>
            </w:r>
            <w:r>
              <w:rPr>
                <w:rFonts w:eastAsiaTheme="minorEastAsia"/>
                <w:color w:val="000000"/>
                <w:szCs w:val="21"/>
              </w:rPr>
              <w:t>”)</w:t>
            </w:r>
          </w:p>
        </w:tc>
        <w:tc>
          <w:tcPr>
            <w:tcW w:w="3780" w:type="dxa"/>
            <w:vAlign w:val="center"/>
          </w:tcPr>
          <w:p w:rsidR="007F3F42" w:rsidRDefault="00781698">
            <w:pPr>
              <w:jc w:val="left"/>
            </w:pPr>
            <w:r>
              <w:rPr>
                <w:rFonts w:eastAsiaTheme="minorEastAsia"/>
                <w:color w:val="000000"/>
                <w:szCs w:val="21"/>
              </w:rPr>
              <w:t>基金管理人股东、基金销售机构</w:t>
            </w:r>
          </w:p>
        </w:tc>
      </w:tr>
      <w:tr w:rsidR="007F3F42">
        <w:tc>
          <w:tcPr>
            <w:tcW w:w="5220" w:type="dxa"/>
            <w:vAlign w:val="center"/>
          </w:tcPr>
          <w:p w:rsidR="007F3F42" w:rsidRDefault="00781698">
            <w:pPr>
              <w:jc w:val="left"/>
            </w:pPr>
            <w:r>
              <w:rPr>
                <w:rFonts w:eastAsiaTheme="minorEastAsia"/>
                <w:color w:val="000000"/>
                <w:szCs w:val="21"/>
              </w:rPr>
              <w:t>易方达中证海外中国互联网</w:t>
            </w:r>
            <w:r>
              <w:rPr>
                <w:rFonts w:eastAsiaTheme="minorEastAsia"/>
                <w:color w:val="000000"/>
                <w:szCs w:val="21"/>
              </w:rPr>
              <w:t>50</w:t>
            </w:r>
            <w:r>
              <w:rPr>
                <w:rFonts w:eastAsiaTheme="minorEastAsia"/>
                <w:color w:val="000000"/>
                <w:szCs w:val="21"/>
              </w:rPr>
              <w:t>交易型开放式指数证券投资基金</w:t>
            </w:r>
          </w:p>
        </w:tc>
        <w:tc>
          <w:tcPr>
            <w:tcW w:w="3780" w:type="dxa"/>
            <w:vAlign w:val="center"/>
          </w:tcPr>
          <w:p w:rsidR="007F3F42" w:rsidRDefault="00781698">
            <w:pPr>
              <w:jc w:val="left"/>
            </w:pPr>
            <w:r>
              <w:rPr>
                <w:rFonts w:eastAsiaTheme="minorEastAsia"/>
                <w:color w:val="000000"/>
                <w:szCs w:val="21"/>
              </w:rPr>
              <w:t>本基金是该基金的联接基金</w:t>
            </w:r>
          </w:p>
        </w:tc>
      </w:tr>
      <w:tr w:rsidR="007F3F42">
        <w:tc>
          <w:tcPr>
            <w:tcW w:w="5220" w:type="dxa"/>
            <w:vAlign w:val="center"/>
          </w:tcPr>
          <w:p w:rsidR="007F3F42" w:rsidRDefault="00781698">
            <w:pPr>
              <w:jc w:val="left"/>
            </w:pPr>
            <w:r>
              <w:rPr>
                <w:rFonts w:eastAsiaTheme="minorEastAsia"/>
                <w:color w:val="000000"/>
                <w:szCs w:val="21"/>
              </w:rPr>
              <w:t>香港上海汇丰银行有限公司</w:t>
            </w:r>
            <w:r>
              <w:rPr>
                <w:rFonts w:eastAsiaTheme="minorEastAsia"/>
                <w:color w:val="000000"/>
                <w:szCs w:val="21"/>
              </w:rPr>
              <w:t>(</w:t>
            </w:r>
            <w:r>
              <w:rPr>
                <w:rFonts w:eastAsiaTheme="minorEastAsia"/>
                <w:color w:val="000000"/>
                <w:szCs w:val="21"/>
              </w:rPr>
              <w:t>以下简称</w:t>
            </w:r>
            <w:r>
              <w:rPr>
                <w:rFonts w:eastAsiaTheme="minorEastAsia"/>
                <w:color w:val="000000"/>
                <w:szCs w:val="21"/>
              </w:rPr>
              <w:t>“</w:t>
            </w:r>
            <w:r>
              <w:rPr>
                <w:rFonts w:eastAsiaTheme="minorEastAsia"/>
                <w:color w:val="000000"/>
                <w:szCs w:val="21"/>
              </w:rPr>
              <w:t>汇丰银行</w:t>
            </w:r>
            <w:r>
              <w:rPr>
                <w:rFonts w:eastAsiaTheme="minorEastAsia"/>
                <w:color w:val="000000"/>
                <w:szCs w:val="21"/>
              </w:rPr>
              <w:t>”)</w:t>
            </w:r>
          </w:p>
        </w:tc>
        <w:tc>
          <w:tcPr>
            <w:tcW w:w="3780" w:type="dxa"/>
            <w:vAlign w:val="center"/>
          </w:tcPr>
          <w:p w:rsidR="007F3F42" w:rsidRDefault="00781698">
            <w:pPr>
              <w:jc w:val="left"/>
            </w:pPr>
            <w:r>
              <w:rPr>
                <w:rFonts w:eastAsiaTheme="minorEastAsia"/>
                <w:color w:val="000000"/>
                <w:szCs w:val="21"/>
              </w:rPr>
              <w:t>境外资产托管人</w:t>
            </w:r>
          </w:p>
        </w:tc>
      </w:tr>
    </w:tbl>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注：以下关联交易均在正常业务范围内按一般商业条款订立。</w:t>
      </w:r>
    </w:p>
    <w:p w:rsidR="008A5A5D" w:rsidRPr="00C24ACA" w:rsidRDefault="008A5A5D" w:rsidP="006C64F3">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 xml:space="preserve">6.4.10 </w:t>
      </w:r>
      <w:r w:rsidRPr="00C24ACA">
        <w:rPr>
          <w:rFonts w:eastAsiaTheme="minorEastAsia"/>
          <w:b/>
          <w:color w:val="000000"/>
          <w:kern w:val="0"/>
          <w:szCs w:val="21"/>
        </w:rPr>
        <w:t>本报告期及上年度可比期间的关联方交易</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6.4.10.1</w:t>
      </w:r>
      <w:r w:rsidRPr="00C24ACA">
        <w:rPr>
          <w:rFonts w:eastAsiaTheme="minorEastAsia"/>
          <w:b/>
          <w:color w:val="000000"/>
          <w:kern w:val="0"/>
          <w:szCs w:val="21"/>
        </w:rPr>
        <w:t xml:space="preserve"> </w:t>
      </w:r>
      <w:r w:rsidRPr="00C24ACA">
        <w:rPr>
          <w:rFonts w:eastAsiaTheme="minorEastAsia"/>
          <w:b/>
          <w:color w:val="000000"/>
          <w:kern w:val="0"/>
          <w:szCs w:val="21"/>
        </w:rPr>
        <w:t>通过关联方交易单元进行的交易</w:t>
      </w:r>
    </w:p>
    <w:p w:rsidR="008A5A5D" w:rsidRPr="00C24ACA" w:rsidRDefault="008A5A5D" w:rsidP="009967D7">
      <w:pPr>
        <w:spacing w:line="360" w:lineRule="auto"/>
        <w:rPr>
          <w:rFonts w:eastAsiaTheme="minorEastAsia"/>
          <w:color w:val="000000"/>
          <w:szCs w:val="21"/>
        </w:rPr>
      </w:pPr>
      <w:r w:rsidRPr="00C24ACA">
        <w:rPr>
          <w:rFonts w:eastAsiaTheme="minorEastAsia"/>
          <w:b/>
          <w:bCs/>
          <w:color w:val="000000"/>
          <w:kern w:val="0"/>
          <w:szCs w:val="21"/>
        </w:rPr>
        <w:t>6.4.10.1.1</w:t>
      </w:r>
      <w:r w:rsidRPr="00C24ACA">
        <w:rPr>
          <w:rFonts w:eastAsiaTheme="minorEastAsia"/>
          <w:b/>
          <w:color w:val="000000"/>
          <w:szCs w:val="21"/>
        </w:rPr>
        <w:t>股票交易</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本基金本报告期及上年度可比期间未发生通过关联方交易单元进行的股票交易。</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6.4.10.1.2</w:t>
      </w:r>
      <w:r w:rsidRPr="00C24ACA">
        <w:rPr>
          <w:rFonts w:eastAsiaTheme="minorEastAsia"/>
          <w:b/>
          <w:color w:val="000000"/>
          <w:szCs w:val="21"/>
        </w:rPr>
        <w:t>权证交易</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本基金本报告期及上年度可比期间未发生通过关联方交易单元进行的权证交易。</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6.4.10.1.3</w:t>
      </w:r>
      <w:r w:rsidRPr="00C24ACA">
        <w:rPr>
          <w:rFonts w:eastAsiaTheme="minorEastAsia"/>
          <w:b/>
          <w:color w:val="000000"/>
          <w:szCs w:val="21"/>
        </w:rPr>
        <w:t>应支付关联方的佣金</w:t>
      </w:r>
    </w:p>
    <w:p w:rsidR="008A5A5D" w:rsidRPr="00C24ACA" w:rsidRDefault="00A97A4E"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本基金本报告期及上年度可比期间无应支付关联方的佣金。</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6.4.10.2</w:t>
      </w:r>
      <w:r w:rsidRPr="00C24ACA">
        <w:rPr>
          <w:rFonts w:eastAsiaTheme="minorEastAsia"/>
          <w:b/>
          <w:color w:val="000000"/>
          <w:kern w:val="0"/>
          <w:szCs w:val="21"/>
        </w:rPr>
        <w:t>关联方报酬</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6.4.10.2.1</w:t>
      </w:r>
      <w:r w:rsidRPr="00C24ACA">
        <w:rPr>
          <w:rFonts w:eastAsiaTheme="minorEastAsia"/>
          <w:b/>
          <w:color w:val="000000"/>
          <w:kern w:val="0"/>
          <w:szCs w:val="21"/>
        </w:rPr>
        <w:t>基金管理费</w:t>
      </w:r>
    </w:p>
    <w:p w:rsidR="00A97A4E" w:rsidRPr="00C24ACA" w:rsidRDefault="00A97A4E" w:rsidP="00A97A4E">
      <w:pPr>
        <w:autoSpaceDE w:val="0"/>
        <w:autoSpaceDN w:val="0"/>
        <w:adjustRightInd w:val="0"/>
        <w:spacing w:before="29" w:line="288" w:lineRule="auto"/>
        <w:ind w:left="15" w:right="210"/>
        <w:jc w:val="right"/>
        <w:rPr>
          <w:rFonts w:eastAsiaTheme="minorEastAsia"/>
          <w:color w:val="000000"/>
          <w:kern w:val="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2657"/>
        <w:gridCol w:w="2588"/>
      </w:tblGrid>
      <w:tr w:rsidR="00A97A4E" w:rsidRPr="00C24ACA" w:rsidTr="00A97A4E">
        <w:tc>
          <w:tcPr>
            <w:tcW w:w="3686" w:type="dxa"/>
            <w:vAlign w:val="center"/>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项目</w:t>
            </w:r>
          </w:p>
        </w:tc>
        <w:tc>
          <w:tcPr>
            <w:tcW w:w="2657"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本期</w:t>
            </w:r>
          </w:p>
          <w:p w:rsidR="00A97A4E" w:rsidRPr="00C24ACA" w:rsidRDefault="00A97A4E" w:rsidP="00A97A4E">
            <w:pPr>
              <w:widowControl/>
              <w:autoSpaceDE w:val="0"/>
              <w:autoSpaceDN w:val="0"/>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2588"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上年度可比期间</w:t>
            </w:r>
          </w:p>
          <w:p w:rsidR="00A97A4E" w:rsidRPr="00C24ACA" w:rsidRDefault="00A97A4E" w:rsidP="00A97A4E">
            <w:pPr>
              <w:widowControl/>
              <w:autoSpaceDE w:val="0"/>
              <w:autoSpaceDN w:val="0"/>
              <w:ind w:right="-15"/>
              <w:jc w:val="center"/>
              <w:textAlignment w:val="bottom"/>
              <w:rPr>
                <w:rFonts w:eastAsiaTheme="minorEastAsia"/>
                <w:color w:val="000000"/>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18</w:t>
            </w:r>
            <w:r w:rsidRPr="00C24ACA">
              <w:rPr>
                <w:rFonts w:eastAsiaTheme="minorEastAsia"/>
                <w:color w:val="000000"/>
                <w:szCs w:val="21"/>
              </w:rPr>
              <w:t>日（基金合同生效日）至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当期发生的基金应支付的管理费</w:t>
            </w:r>
          </w:p>
        </w:tc>
        <w:tc>
          <w:tcPr>
            <w:tcW w:w="2657" w:type="dxa"/>
            <w:vAlign w:val="center"/>
          </w:tcPr>
          <w:p w:rsidR="00A97A4E" w:rsidRPr="00C24ACA" w:rsidRDefault="00A97A4E" w:rsidP="00A97A4E">
            <w:pPr>
              <w:jc w:val="right"/>
              <w:rPr>
                <w:rFonts w:eastAsiaTheme="minorEastAsia"/>
                <w:szCs w:val="21"/>
              </w:rPr>
            </w:pPr>
            <w:r w:rsidRPr="00C24ACA">
              <w:rPr>
                <w:rFonts w:eastAsiaTheme="minorEastAsia"/>
                <w:szCs w:val="21"/>
              </w:rPr>
              <w:t>104,706.15</w:t>
            </w:r>
          </w:p>
        </w:tc>
        <w:tc>
          <w:tcPr>
            <w:tcW w:w="2588" w:type="dxa"/>
            <w:vAlign w:val="center"/>
          </w:tcPr>
          <w:p w:rsidR="00A97A4E" w:rsidRPr="00C24ACA" w:rsidRDefault="00A97A4E" w:rsidP="00A97A4E">
            <w:pPr>
              <w:jc w:val="right"/>
              <w:rPr>
                <w:rFonts w:eastAsiaTheme="minorEastAsia"/>
                <w:szCs w:val="21"/>
              </w:rPr>
            </w:pPr>
            <w:r w:rsidRPr="00C24ACA">
              <w:rPr>
                <w:rFonts w:eastAsiaTheme="minorEastAsia"/>
                <w:szCs w:val="21"/>
              </w:rPr>
              <w:t>261,314.64</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其中：支付销售机构的客户维护费</w:t>
            </w:r>
          </w:p>
        </w:tc>
        <w:tc>
          <w:tcPr>
            <w:tcW w:w="2657" w:type="dxa"/>
            <w:vAlign w:val="center"/>
          </w:tcPr>
          <w:p w:rsidR="00A97A4E" w:rsidRPr="00C24ACA" w:rsidRDefault="00A97A4E" w:rsidP="00A97A4E">
            <w:pPr>
              <w:jc w:val="right"/>
              <w:rPr>
                <w:rFonts w:eastAsiaTheme="minorEastAsia"/>
                <w:szCs w:val="21"/>
              </w:rPr>
            </w:pPr>
            <w:r w:rsidRPr="00C24ACA">
              <w:rPr>
                <w:rFonts w:eastAsiaTheme="minorEastAsia"/>
                <w:szCs w:val="21"/>
              </w:rPr>
              <w:t>495,477.88</w:t>
            </w:r>
          </w:p>
        </w:tc>
        <w:tc>
          <w:tcPr>
            <w:tcW w:w="2588" w:type="dxa"/>
            <w:vAlign w:val="center"/>
          </w:tcPr>
          <w:p w:rsidR="00A97A4E" w:rsidRPr="00C24ACA" w:rsidRDefault="00A97A4E" w:rsidP="00A97A4E">
            <w:pPr>
              <w:jc w:val="right"/>
              <w:rPr>
                <w:rFonts w:eastAsiaTheme="minorEastAsia"/>
                <w:szCs w:val="21"/>
              </w:rPr>
            </w:pPr>
            <w:r w:rsidRPr="00C24ACA">
              <w:rPr>
                <w:rFonts w:eastAsiaTheme="minorEastAsia"/>
                <w:szCs w:val="21"/>
              </w:rPr>
              <w:t>39,197.64</w:t>
            </w:r>
          </w:p>
        </w:tc>
      </w:tr>
    </w:tbl>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注：基金管理费（如基金管理人委托境外投资顾问，包括境外投资顾问费）按前一日基金资产净值的</w:t>
      </w:r>
      <w:r>
        <w:rPr>
          <w:rFonts w:eastAsiaTheme="minorEastAsia"/>
          <w:kern w:val="0"/>
          <w:szCs w:val="21"/>
        </w:rPr>
        <w:t>0.6%</w:t>
      </w:r>
      <w:r>
        <w:rPr>
          <w:rFonts w:eastAsiaTheme="minorEastAsia"/>
          <w:kern w:val="0"/>
          <w:szCs w:val="21"/>
        </w:rPr>
        <w:t>年费率计提。计算方法如下：</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E×0.6%÷</w:t>
      </w:r>
      <w:r>
        <w:rPr>
          <w:rFonts w:eastAsiaTheme="minorEastAsia"/>
          <w:kern w:val="0"/>
          <w:szCs w:val="21"/>
        </w:rPr>
        <w:t>当年天数</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H</w:t>
      </w:r>
      <w:r>
        <w:rPr>
          <w:rFonts w:eastAsiaTheme="minorEastAsia"/>
          <w:kern w:val="0"/>
          <w:szCs w:val="21"/>
        </w:rPr>
        <w:t>为每日应计提的基金管理费，货币单位为人民币</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E</w:t>
      </w:r>
      <w:r>
        <w:rPr>
          <w:rFonts w:eastAsiaTheme="minorEastAsia"/>
          <w:kern w:val="0"/>
          <w:szCs w:val="21"/>
        </w:rPr>
        <w:t>为调整后的前一日基金资产净值，货币单位为人民币。调整后的前一日基金资产净值＝前一日基金资产净值－前一日本基金持有的目标</w:t>
      </w:r>
      <w:r>
        <w:rPr>
          <w:rFonts w:eastAsiaTheme="minorEastAsia"/>
          <w:kern w:val="0"/>
          <w:szCs w:val="21"/>
        </w:rPr>
        <w:t xml:space="preserve"> ETF </w:t>
      </w:r>
      <w:r>
        <w:rPr>
          <w:rFonts w:eastAsiaTheme="minorEastAsia"/>
          <w:kern w:val="0"/>
          <w:szCs w:val="21"/>
        </w:rPr>
        <w:t>公允价值，金额为负时以零计。</w:t>
      </w:r>
    </w:p>
    <w:p w:rsidR="00A97A4E" w:rsidRPr="00C24ACA" w:rsidRDefault="00A97A4E"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基金管理费每日计提，按月支付。经基金管理人和基金托管人核对一致后，由基金管理人出具指令，基金托管人复核后于次月首日起</w:t>
      </w:r>
      <w:r w:rsidRPr="00C24ACA">
        <w:rPr>
          <w:rFonts w:eastAsiaTheme="minorEastAsia"/>
          <w:kern w:val="0"/>
          <w:szCs w:val="21"/>
        </w:rPr>
        <w:t>3</w:t>
      </w:r>
      <w:r w:rsidRPr="00C24ACA">
        <w:rPr>
          <w:rFonts w:eastAsiaTheme="minorEastAsia"/>
          <w:kern w:val="0"/>
          <w:szCs w:val="21"/>
        </w:rPr>
        <w:t>个工作日内从基金财产中一次性支付给基金管理人，若遇法定节假日、休息日，支付日期顺延。</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6.4.10.2.2</w:t>
      </w:r>
      <w:r w:rsidRPr="00C24ACA">
        <w:rPr>
          <w:rFonts w:eastAsiaTheme="minorEastAsia"/>
          <w:b/>
          <w:color w:val="000000"/>
          <w:kern w:val="0"/>
          <w:szCs w:val="21"/>
        </w:rPr>
        <w:t>基金托管费</w:t>
      </w:r>
    </w:p>
    <w:p w:rsidR="00A97A4E" w:rsidRPr="00C24ACA" w:rsidRDefault="00A97A4E" w:rsidP="00A97A4E">
      <w:pPr>
        <w:autoSpaceDE w:val="0"/>
        <w:autoSpaceDN w:val="0"/>
        <w:adjustRightInd w:val="0"/>
        <w:spacing w:before="29" w:line="288" w:lineRule="auto"/>
        <w:ind w:left="15" w:right="210"/>
        <w:jc w:val="right"/>
        <w:rPr>
          <w:rFonts w:eastAsiaTheme="minorEastAsia"/>
          <w:color w:val="000000"/>
          <w:kern w:val="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2657"/>
        <w:gridCol w:w="2588"/>
      </w:tblGrid>
      <w:tr w:rsidR="00A97A4E" w:rsidRPr="00C24ACA" w:rsidTr="00A97A4E">
        <w:tc>
          <w:tcPr>
            <w:tcW w:w="3686" w:type="dxa"/>
            <w:vAlign w:val="center"/>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项目</w:t>
            </w:r>
          </w:p>
        </w:tc>
        <w:tc>
          <w:tcPr>
            <w:tcW w:w="2657"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本期</w:t>
            </w:r>
          </w:p>
          <w:p w:rsidR="00A97A4E" w:rsidRPr="00C24ACA" w:rsidRDefault="00A97A4E" w:rsidP="00A97A4E">
            <w:pPr>
              <w:widowControl/>
              <w:autoSpaceDE w:val="0"/>
              <w:autoSpaceDN w:val="0"/>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2588"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上年度可比期间</w:t>
            </w:r>
          </w:p>
          <w:p w:rsidR="00A97A4E" w:rsidRPr="00C24ACA" w:rsidRDefault="00A97A4E" w:rsidP="00A97A4E">
            <w:pPr>
              <w:widowControl/>
              <w:autoSpaceDE w:val="0"/>
              <w:autoSpaceDN w:val="0"/>
              <w:ind w:right="-15"/>
              <w:jc w:val="center"/>
              <w:textAlignment w:val="bottom"/>
              <w:rPr>
                <w:rFonts w:eastAsiaTheme="minorEastAsia"/>
                <w:color w:val="000000"/>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18</w:t>
            </w:r>
            <w:r w:rsidRPr="00C24ACA">
              <w:rPr>
                <w:rFonts w:eastAsiaTheme="minorEastAsia"/>
                <w:color w:val="000000"/>
                <w:szCs w:val="21"/>
              </w:rPr>
              <w:t>日（基金合同生效日）至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当期发生的基金应支付的托管费</w:t>
            </w:r>
          </w:p>
        </w:tc>
        <w:tc>
          <w:tcPr>
            <w:tcW w:w="2657" w:type="dxa"/>
            <w:vAlign w:val="center"/>
          </w:tcPr>
          <w:p w:rsidR="00A97A4E" w:rsidRPr="00C24ACA" w:rsidRDefault="00A97A4E" w:rsidP="00A97A4E">
            <w:pPr>
              <w:jc w:val="right"/>
              <w:rPr>
                <w:rFonts w:eastAsiaTheme="minorEastAsia"/>
                <w:color w:val="000000"/>
                <w:kern w:val="0"/>
                <w:szCs w:val="21"/>
              </w:rPr>
            </w:pPr>
            <w:r w:rsidRPr="00C24ACA">
              <w:rPr>
                <w:rFonts w:eastAsiaTheme="minorEastAsia"/>
                <w:szCs w:val="21"/>
              </w:rPr>
              <w:t>43,627.54</w:t>
            </w:r>
          </w:p>
        </w:tc>
        <w:tc>
          <w:tcPr>
            <w:tcW w:w="2588" w:type="dxa"/>
            <w:vAlign w:val="center"/>
          </w:tcPr>
          <w:p w:rsidR="00A97A4E" w:rsidRPr="00C24ACA" w:rsidRDefault="00A97A4E" w:rsidP="00A97A4E">
            <w:pPr>
              <w:jc w:val="right"/>
              <w:rPr>
                <w:rFonts w:eastAsiaTheme="minorEastAsia"/>
                <w:color w:val="000000"/>
                <w:szCs w:val="21"/>
              </w:rPr>
            </w:pPr>
            <w:r w:rsidRPr="00C24ACA">
              <w:rPr>
                <w:rFonts w:eastAsiaTheme="minorEastAsia"/>
                <w:szCs w:val="21"/>
              </w:rPr>
              <w:t>108,881.12</w:t>
            </w:r>
          </w:p>
        </w:tc>
      </w:tr>
    </w:tbl>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注：基金托管人的基金托管费按基金资产净值的</w:t>
      </w:r>
      <w:r>
        <w:rPr>
          <w:rFonts w:eastAsiaTheme="minorEastAsia"/>
          <w:kern w:val="0"/>
          <w:szCs w:val="21"/>
        </w:rPr>
        <w:t>0.25%</w:t>
      </w:r>
      <w:r>
        <w:rPr>
          <w:rFonts w:eastAsiaTheme="minorEastAsia"/>
          <w:kern w:val="0"/>
          <w:szCs w:val="21"/>
        </w:rPr>
        <w:t>年费率计提。境外托管人的托管费从基金托管人的托管费中扣除。</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基金托管费按前一日基金资产净值的</w:t>
      </w:r>
      <w:r>
        <w:rPr>
          <w:rFonts w:eastAsiaTheme="minorEastAsia"/>
          <w:kern w:val="0"/>
          <w:szCs w:val="21"/>
        </w:rPr>
        <w:t>0.25%</w:t>
      </w:r>
      <w:r>
        <w:rPr>
          <w:rFonts w:eastAsiaTheme="minorEastAsia"/>
          <w:kern w:val="0"/>
          <w:szCs w:val="21"/>
        </w:rPr>
        <w:t>年费率计提。计算方法如下：</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H=E×0.25%÷</w:t>
      </w:r>
      <w:r>
        <w:rPr>
          <w:rFonts w:eastAsiaTheme="minorEastAsia"/>
          <w:kern w:val="0"/>
          <w:szCs w:val="21"/>
        </w:rPr>
        <w:t>当年天数</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H</w:t>
      </w:r>
      <w:r>
        <w:rPr>
          <w:rFonts w:eastAsiaTheme="minorEastAsia"/>
          <w:kern w:val="0"/>
          <w:szCs w:val="21"/>
        </w:rPr>
        <w:t>为每日应计提的基金托管费，货币单位为人民币</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E</w:t>
      </w:r>
      <w:r>
        <w:rPr>
          <w:rFonts w:eastAsiaTheme="minorEastAsia"/>
          <w:kern w:val="0"/>
          <w:szCs w:val="21"/>
        </w:rPr>
        <w:t>为调整后的前一日基金资产净值，货币单位为人民币。调整后的前一日基金资产净值＝前一日基金资产净值－前一日本基金持有的目标</w:t>
      </w:r>
      <w:r>
        <w:rPr>
          <w:rFonts w:eastAsiaTheme="minorEastAsia"/>
          <w:kern w:val="0"/>
          <w:szCs w:val="21"/>
        </w:rPr>
        <w:t>ETF</w:t>
      </w:r>
      <w:r>
        <w:rPr>
          <w:rFonts w:eastAsiaTheme="minorEastAsia"/>
          <w:kern w:val="0"/>
          <w:szCs w:val="21"/>
        </w:rPr>
        <w:t>公允价值，金额为负时以零计。</w:t>
      </w:r>
    </w:p>
    <w:p w:rsidR="00A97A4E" w:rsidRPr="00C24ACA" w:rsidRDefault="00A97A4E"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基金托管费每日计提，按月支付。经基金管理人和基金托管人核对一致后，由基金管理人出具指令，基金托管人复核后于次月首日起</w:t>
      </w:r>
      <w:r w:rsidRPr="00C24ACA">
        <w:rPr>
          <w:rFonts w:eastAsiaTheme="minorEastAsia"/>
          <w:kern w:val="0"/>
          <w:szCs w:val="21"/>
        </w:rPr>
        <w:t>3</w:t>
      </w:r>
      <w:r w:rsidRPr="00C24ACA">
        <w:rPr>
          <w:rFonts w:eastAsiaTheme="minorEastAsia"/>
          <w:kern w:val="0"/>
          <w:szCs w:val="21"/>
        </w:rPr>
        <w:t>个工作日内从基金财产中一次性支付给基金托管人，若遇法定节假日、休息日，支付日期顺延。</w:t>
      </w:r>
    </w:p>
    <w:p w:rsidR="00871B95" w:rsidRPr="00C24ACA" w:rsidRDefault="00871B95"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6.4.10.2.3 </w:t>
      </w:r>
      <w:r w:rsidRPr="00C24ACA">
        <w:rPr>
          <w:rFonts w:eastAsiaTheme="minorEastAsia"/>
          <w:b/>
          <w:color w:val="000000"/>
          <w:kern w:val="0"/>
          <w:szCs w:val="21"/>
        </w:rPr>
        <w:t>销售服务费</w:t>
      </w:r>
    </w:p>
    <w:p w:rsidR="003921B9" w:rsidRPr="00325F8A" w:rsidRDefault="003921B9" w:rsidP="003921B9">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2287"/>
        <w:gridCol w:w="2409"/>
        <w:gridCol w:w="2691"/>
      </w:tblGrid>
      <w:tr w:rsidR="003921B9" w:rsidRPr="00325F8A" w:rsidTr="00DC4F67">
        <w:trPr>
          <w:trHeight w:val="465"/>
        </w:trPr>
        <w:tc>
          <w:tcPr>
            <w:tcW w:w="2108" w:type="dxa"/>
            <w:vMerge w:val="restart"/>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21B9" w:rsidRPr="00325F8A" w:rsidTr="00DC4F67">
        <w:trPr>
          <w:trHeight w:val="465"/>
        </w:trPr>
        <w:tc>
          <w:tcPr>
            <w:tcW w:w="2108" w:type="dxa"/>
            <w:vMerge/>
            <w:vAlign w:val="center"/>
            <w:hideMark/>
          </w:tcPr>
          <w:p w:rsidR="003921B9" w:rsidRPr="00325F8A" w:rsidRDefault="003921B9" w:rsidP="00F0322F">
            <w:pPr>
              <w:widowControl/>
              <w:jc w:val="left"/>
              <w:rPr>
                <w:rFonts w:eastAsiaTheme="minorEastAsia"/>
                <w:szCs w:val="21"/>
              </w:rPr>
            </w:pP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921B9" w:rsidRPr="00325F8A" w:rsidTr="00DC4F67">
        <w:tc>
          <w:tcPr>
            <w:tcW w:w="2108" w:type="dxa"/>
            <w:vMerge/>
            <w:vAlign w:val="center"/>
            <w:hideMark/>
          </w:tcPr>
          <w:p w:rsidR="003921B9" w:rsidRPr="00325F8A" w:rsidRDefault="003921B9" w:rsidP="00F0322F">
            <w:pPr>
              <w:widowControl/>
              <w:jc w:val="left"/>
              <w:rPr>
                <w:rFonts w:eastAsiaTheme="minorEastAsia"/>
                <w:szCs w:val="21"/>
              </w:rPr>
            </w:pPr>
          </w:p>
        </w:tc>
        <w:tc>
          <w:tcPr>
            <w:tcW w:w="2287"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szCs w:val="21"/>
              </w:rPr>
              <w:t>易方达中证海外中国互联网</w:t>
            </w:r>
            <w:r w:rsidRPr="00325F8A">
              <w:rPr>
                <w:rFonts w:eastAsiaTheme="minorEastAsia"/>
                <w:szCs w:val="21"/>
              </w:rPr>
              <w:t>50ETF</w:t>
            </w:r>
            <w:r w:rsidRPr="00325F8A">
              <w:rPr>
                <w:rFonts w:eastAsiaTheme="minorEastAsia"/>
                <w:szCs w:val="21"/>
              </w:rPr>
              <w:t>联接（</w:t>
            </w:r>
            <w:r w:rsidRPr="00325F8A">
              <w:rPr>
                <w:rFonts w:eastAsiaTheme="minorEastAsia"/>
                <w:szCs w:val="21"/>
              </w:rPr>
              <w:t>QDII</w:t>
            </w:r>
            <w:r w:rsidRPr="00325F8A">
              <w:rPr>
                <w:rFonts w:eastAsiaTheme="minorEastAsia"/>
                <w:szCs w:val="21"/>
              </w:rPr>
              <w:t>）</w:t>
            </w:r>
            <w:r w:rsidRPr="00325F8A">
              <w:rPr>
                <w:rFonts w:eastAsiaTheme="minorEastAsia"/>
                <w:szCs w:val="21"/>
              </w:rPr>
              <w:t>A</w:t>
            </w:r>
          </w:p>
        </w:tc>
        <w:tc>
          <w:tcPr>
            <w:tcW w:w="2409"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szCs w:val="21"/>
              </w:rPr>
              <w:t>易方达中证海外中国互联网</w:t>
            </w:r>
            <w:r w:rsidRPr="00325F8A">
              <w:rPr>
                <w:rFonts w:eastAsiaTheme="minorEastAsia"/>
                <w:szCs w:val="21"/>
              </w:rPr>
              <w:t>50ETF</w:t>
            </w:r>
            <w:r w:rsidRPr="00325F8A">
              <w:rPr>
                <w:rFonts w:eastAsiaTheme="minorEastAsia"/>
                <w:szCs w:val="21"/>
              </w:rPr>
              <w:t>联接（</w:t>
            </w:r>
            <w:r w:rsidRPr="00325F8A">
              <w:rPr>
                <w:rFonts w:eastAsiaTheme="minorEastAsia"/>
                <w:szCs w:val="21"/>
              </w:rPr>
              <w:t>QDII</w:t>
            </w:r>
            <w:r w:rsidRPr="00325F8A">
              <w:rPr>
                <w:rFonts w:eastAsiaTheme="minorEastAsia"/>
                <w:szCs w:val="21"/>
              </w:rPr>
              <w:t>）</w:t>
            </w:r>
            <w:r w:rsidRPr="00325F8A">
              <w:rPr>
                <w:rFonts w:eastAsiaTheme="minorEastAsia"/>
                <w:szCs w:val="21"/>
              </w:rPr>
              <w:t>C</w:t>
            </w:r>
          </w:p>
        </w:tc>
        <w:tc>
          <w:tcPr>
            <w:tcW w:w="2691"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7F3F42">
        <w:tc>
          <w:tcPr>
            <w:tcW w:w="2108" w:type="dxa"/>
            <w:vAlign w:val="center"/>
          </w:tcPr>
          <w:p w:rsidR="007F3F42" w:rsidRDefault="00781698">
            <w:pPr>
              <w:jc w:val="left"/>
            </w:pPr>
            <w:r>
              <w:rPr>
                <w:rFonts w:eastAsiaTheme="minorEastAsia"/>
                <w:szCs w:val="21"/>
              </w:rPr>
              <w:t>易方达基金管理有限公司</w:t>
            </w:r>
          </w:p>
        </w:tc>
        <w:tc>
          <w:tcPr>
            <w:tcW w:w="2287" w:type="dxa"/>
            <w:vAlign w:val="center"/>
          </w:tcPr>
          <w:p w:rsidR="007F3F42" w:rsidRDefault="00781698">
            <w:pPr>
              <w:jc w:val="right"/>
            </w:pPr>
            <w:r>
              <w:rPr>
                <w:rFonts w:eastAsiaTheme="minorEastAsia"/>
                <w:szCs w:val="21"/>
              </w:rPr>
              <w:t>-</w:t>
            </w:r>
          </w:p>
        </w:tc>
        <w:tc>
          <w:tcPr>
            <w:tcW w:w="2409" w:type="dxa"/>
            <w:vAlign w:val="center"/>
          </w:tcPr>
          <w:p w:rsidR="007F3F42" w:rsidRDefault="00781698">
            <w:pPr>
              <w:jc w:val="right"/>
            </w:pPr>
            <w:r>
              <w:rPr>
                <w:rFonts w:eastAsiaTheme="minorEastAsia"/>
                <w:szCs w:val="21"/>
              </w:rPr>
              <w:t>9,689.47</w:t>
            </w:r>
          </w:p>
        </w:tc>
        <w:tc>
          <w:tcPr>
            <w:tcW w:w="2691" w:type="dxa"/>
            <w:vAlign w:val="center"/>
          </w:tcPr>
          <w:p w:rsidR="007F3F42" w:rsidRDefault="00781698">
            <w:pPr>
              <w:jc w:val="right"/>
            </w:pPr>
            <w:r>
              <w:rPr>
                <w:rFonts w:eastAsiaTheme="minorEastAsia"/>
                <w:szCs w:val="21"/>
              </w:rPr>
              <w:t>9,689.47</w:t>
            </w:r>
          </w:p>
        </w:tc>
      </w:tr>
      <w:tr w:rsidR="007F3F42">
        <w:tc>
          <w:tcPr>
            <w:tcW w:w="2108" w:type="dxa"/>
            <w:vAlign w:val="center"/>
          </w:tcPr>
          <w:p w:rsidR="007F3F42" w:rsidRDefault="00781698">
            <w:pPr>
              <w:jc w:val="left"/>
            </w:pPr>
            <w:r>
              <w:rPr>
                <w:rFonts w:eastAsiaTheme="minorEastAsia"/>
                <w:szCs w:val="21"/>
              </w:rPr>
              <w:t>招商银行</w:t>
            </w:r>
          </w:p>
        </w:tc>
        <w:tc>
          <w:tcPr>
            <w:tcW w:w="2287" w:type="dxa"/>
            <w:vAlign w:val="center"/>
          </w:tcPr>
          <w:p w:rsidR="007F3F42" w:rsidRDefault="00781698">
            <w:pPr>
              <w:jc w:val="right"/>
            </w:pPr>
            <w:r>
              <w:rPr>
                <w:rFonts w:eastAsiaTheme="minorEastAsia"/>
                <w:szCs w:val="21"/>
              </w:rPr>
              <w:t>-</w:t>
            </w:r>
          </w:p>
        </w:tc>
        <w:tc>
          <w:tcPr>
            <w:tcW w:w="2409" w:type="dxa"/>
            <w:vAlign w:val="center"/>
          </w:tcPr>
          <w:p w:rsidR="007F3F42" w:rsidRDefault="00781698">
            <w:pPr>
              <w:jc w:val="right"/>
            </w:pPr>
            <w:r>
              <w:rPr>
                <w:rFonts w:eastAsiaTheme="minorEastAsia"/>
                <w:szCs w:val="21"/>
              </w:rPr>
              <w:t>8,421.37</w:t>
            </w:r>
          </w:p>
        </w:tc>
        <w:tc>
          <w:tcPr>
            <w:tcW w:w="2691" w:type="dxa"/>
            <w:vAlign w:val="center"/>
          </w:tcPr>
          <w:p w:rsidR="007F3F42" w:rsidRDefault="00781698">
            <w:pPr>
              <w:jc w:val="right"/>
            </w:pPr>
            <w:r>
              <w:rPr>
                <w:rFonts w:eastAsiaTheme="minorEastAsia"/>
                <w:szCs w:val="21"/>
              </w:rPr>
              <w:t>8,421.37</w:t>
            </w:r>
          </w:p>
        </w:tc>
      </w:tr>
      <w:tr w:rsidR="007F3F42">
        <w:tc>
          <w:tcPr>
            <w:tcW w:w="2108" w:type="dxa"/>
            <w:vAlign w:val="center"/>
          </w:tcPr>
          <w:p w:rsidR="007F3F42" w:rsidRDefault="00781698">
            <w:pPr>
              <w:jc w:val="left"/>
            </w:pPr>
            <w:r>
              <w:rPr>
                <w:rFonts w:eastAsiaTheme="minorEastAsia"/>
                <w:szCs w:val="21"/>
              </w:rPr>
              <w:t>广发证券</w:t>
            </w:r>
          </w:p>
        </w:tc>
        <w:tc>
          <w:tcPr>
            <w:tcW w:w="2287" w:type="dxa"/>
            <w:vAlign w:val="center"/>
          </w:tcPr>
          <w:p w:rsidR="007F3F42" w:rsidRDefault="00781698">
            <w:pPr>
              <w:jc w:val="right"/>
            </w:pPr>
            <w:r>
              <w:rPr>
                <w:rFonts w:eastAsiaTheme="minorEastAsia"/>
                <w:szCs w:val="21"/>
              </w:rPr>
              <w:t>-</w:t>
            </w:r>
          </w:p>
        </w:tc>
        <w:tc>
          <w:tcPr>
            <w:tcW w:w="2409" w:type="dxa"/>
            <w:vAlign w:val="center"/>
          </w:tcPr>
          <w:p w:rsidR="007F3F42" w:rsidRDefault="00781698">
            <w:pPr>
              <w:jc w:val="right"/>
            </w:pPr>
            <w:r>
              <w:rPr>
                <w:rFonts w:eastAsiaTheme="minorEastAsia"/>
                <w:szCs w:val="21"/>
              </w:rPr>
              <w:t>111.40</w:t>
            </w:r>
          </w:p>
        </w:tc>
        <w:tc>
          <w:tcPr>
            <w:tcW w:w="2691" w:type="dxa"/>
            <w:vAlign w:val="center"/>
          </w:tcPr>
          <w:p w:rsidR="007F3F42" w:rsidRDefault="00781698">
            <w:pPr>
              <w:jc w:val="right"/>
            </w:pPr>
            <w:r>
              <w:rPr>
                <w:rFonts w:eastAsiaTheme="minorEastAsia"/>
                <w:szCs w:val="21"/>
              </w:rPr>
              <w:t>111.40</w:t>
            </w:r>
          </w:p>
        </w:tc>
      </w:tr>
      <w:tr w:rsidR="003921B9" w:rsidRPr="00325F8A" w:rsidTr="00DC4F67">
        <w:tc>
          <w:tcPr>
            <w:tcW w:w="2108" w:type="dxa"/>
            <w:vAlign w:val="center"/>
            <w:hideMark/>
          </w:tcPr>
          <w:p w:rsidR="003921B9" w:rsidRPr="00325F8A" w:rsidRDefault="003921B9" w:rsidP="00F0322F">
            <w:pPr>
              <w:widowControl/>
              <w:rPr>
                <w:rFonts w:eastAsiaTheme="minorEastAsia"/>
                <w:szCs w:val="21"/>
              </w:rPr>
            </w:pPr>
            <w:r w:rsidRPr="00325F8A">
              <w:rPr>
                <w:rFonts w:eastAsiaTheme="minorEastAsia" w:hAnsiTheme="minorEastAsia"/>
                <w:szCs w:val="21"/>
              </w:rPr>
              <w:t>合计</w:t>
            </w:r>
          </w:p>
        </w:tc>
        <w:tc>
          <w:tcPr>
            <w:tcW w:w="2287"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w:t>
            </w:r>
          </w:p>
        </w:tc>
        <w:tc>
          <w:tcPr>
            <w:tcW w:w="2409"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18,222.24</w:t>
            </w:r>
          </w:p>
        </w:tc>
        <w:tc>
          <w:tcPr>
            <w:tcW w:w="2691"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18,222.24</w:t>
            </w:r>
          </w:p>
        </w:tc>
      </w:tr>
      <w:tr w:rsidR="003921B9" w:rsidRPr="00325F8A" w:rsidTr="00DC4F67">
        <w:trPr>
          <w:trHeight w:val="465"/>
        </w:trPr>
        <w:tc>
          <w:tcPr>
            <w:tcW w:w="2108" w:type="dxa"/>
            <w:vMerge w:val="restart"/>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18</w:t>
            </w:r>
            <w:r w:rsidRPr="00325F8A">
              <w:rPr>
                <w:rFonts w:eastAsiaTheme="minorEastAsia"/>
                <w:szCs w:val="21"/>
              </w:rPr>
              <w:t>日（基金合同生效日）至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21B9" w:rsidRPr="00325F8A" w:rsidTr="00DC4F67">
        <w:trPr>
          <w:trHeight w:val="465"/>
        </w:trPr>
        <w:tc>
          <w:tcPr>
            <w:tcW w:w="2108" w:type="dxa"/>
            <w:vMerge/>
            <w:vAlign w:val="center"/>
            <w:hideMark/>
          </w:tcPr>
          <w:p w:rsidR="003921B9" w:rsidRPr="00325F8A" w:rsidRDefault="003921B9" w:rsidP="00F0322F">
            <w:pPr>
              <w:widowControl/>
              <w:jc w:val="left"/>
              <w:rPr>
                <w:rFonts w:eastAsiaTheme="minorEastAsia"/>
                <w:szCs w:val="21"/>
              </w:rPr>
            </w:pP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921B9" w:rsidRPr="00325F8A" w:rsidTr="00DC4F67">
        <w:tc>
          <w:tcPr>
            <w:tcW w:w="2108" w:type="dxa"/>
            <w:vMerge/>
            <w:vAlign w:val="center"/>
            <w:hideMark/>
          </w:tcPr>
          <w:p w:rsidR="003921B9" w:rsidRPr="00325F8A" w:rsidRDefault="003921B9" w:rsidP="00F0322F">
            <w:pPr>
              <w:widowControl/>
              <w:jc w:val="left"/>
              <w:rPr>
                <w:rFonts w:eastAsiaTheme="minorEastAsia"/>
                <w:szCs w:val="21"/>
              </w:rPr>
            </w:pPr>
          </w:p>
        </w:tc>
        <w:tc>
          <w:tcPr>
            <w:tcW w:w="2287"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易方达中证海外中国互联网</w:t>
            </w:r>
            <w:r w:rsidRPr="00325F8A">
              <w:rPr>
                <w:rFonts w:eastAsiaTheme="minorEastAsia"/>
                <w:szCs w:val="21"/>
              </w:rPr>
              <w:t>50ETF</w:t>
            </w:r>
            <w:r w:rsidRPr="00325F8A">
              <w:rPr>
                <w:rFonts w:eastAsiaTheme="minorEastAsia"/>
                <w:szCs w:val="21"/>
              </w:rPr>
              <w:t>联接（</w:t>
            </w:r>
            <w:r w:rsidRPr="00325F8A">
              <w:rPr>
                <w:rFonts w:eastAsiaTheme="minorEastAsia"/>
                <w:szCs w:val="21"/>
              </w:rPr>
              <w:t>QDII</w:t>
            </w:r>
            <w:r w:rsidRPr="00325F8A">
              <w:rPr>
                <w:rFonts w:eastAsiaTheme="minorEastAsia"/>
                <w:szCs w:val="21"/>
              </w:rPr>
              <w:t>）</w:t>
            </w:r>
            <w:r w:rsidRPr="00325F8A">
              <w:rPr>
                <w:rFonts w:eastAsiaTheme="minorEastAsia"/>
                <w:szCs w:val="21"/>
              </w:rPr>
              <w:t>A</w:t>
            </w:r>
          </w:p>
        </w:tc>
        <w:tc>
          <w:tcPr>
            <w:tcW w:w="2409"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易方达中证海外中国互联网</w:t>
            </w:r>
            <w:r w:rsidRPr="00325F8A">
              <w:rPr>
                <w:rFonts w:eastAsiaTheme="minorEastAsia"/>
                <w:szCs w:val="21"/>
              </w:rPr>
              <w:t>50ETF</w:t>
            </w:r>
            <w:r w:rsidRPr="00325F8A">
              <w:rPr>
                <w:rFonts w:eastAsiaTheme="minorEastAsia"/>
                <w:szCs w:val="21"/>
              </w:rPr>
              <w:t>联接（</w:t>
            </w:r>
            <w:r w:rsidRPr="00325F8A">
              <w:rPr>
                <w:rFonts w:eastAsiaTheme="minorEastAsia"/>
                <w:szCs w:val="21"/>
              </w:rPr>
              <w:t>QDII</w:t>
            </w:r>
            <w:r w:rsidRPr="00325F8A">
              <w:rPr>
                <w:rFonts w:eastAsiaTheme="minorEastAsia"/>
                <w:szCs w:val="21"/>
              </w:rPr>
              <w:t>）</w:t>
            </w:r>
            <w:r w:rsidRPr="00325F8A">
              <w:rPr>
                <w:rFonts w:eastAsiaTheme="minorEastAsia"/>
                <w:szCs w:val="21"/>
              </w:rPr>
              <w:t>C</w:t>
            </w:r>
          </w:p>
        </w:tc>
        <w:tc>
          <w:tcPr>
            <w:tcW w:w="2691"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7F3F42">
        <w:tc>
          <w:tcPr>
            <w:tcW w:w="2108" w:type="dxa"/>
            <w:vAlign w:val="center"/>
          </w:tcPr>
          <w:p w:rsidR="007F3F42" w:rsidRDefault="00781698">
            <w:pPr>
              <w:jc w:val="left"/>
            </w:pPr>
            <w:r>
              <w:rPr>
                <w:rFonts w:eastAsiaTheme="minorEastAsia"/>
                <w:szCs w:val="21"/>
              </w:rPr>
              <w:t>易方达基金管理有限公司</w:t>
            </w:r>
          </w:p>
        </w:tc>
        <w:tc>
          <w:tcPr>
            <w:tcW w:w="2287" w:type="dxa"/>
            <w:vAlign w:val="center"/>
          </w:tcPr>
          <w:p w:rsidR="007F3F42" w:rsidRDefault="00781698">
            <w:pPr>
              <w:jc w:val="right"/>
            </w:pPr>
            <w:r>
              <w:rPr>
                <w:rFonts w:eastAsiaTheme="minorEastAsia"/>
                <w:szCs w:val="21"/>
              </w:rPr>
              <w:t>-</w:t>
            </w:r>
          </w:p>
        </w:tc>
        <w:tc>
          <w:tcPr>
            <w:tcW w:w="2409" w:type="dxa"/>
            <w:vAlign w:val="center"/>
          </w:tcPr>
          <w:p w:rsidR="007F3F42" w:rsidRDefault="00781698">
            <w:pPr>
              <w:jc w:val="right"/>
            </w:pPr>
            <w:r>
              <w:rPr>
                <w:rFonts w:eastAsiaTheme="minorEastAsia"/>
                <w:szCs w:val="21"/>
              </w:rPr>
              <w:t>1,409.09</w:t>
            </w:r>
          </w:p>
        </w:tc>
        <w:tc>
          <w:tcPr>
            <w:tcW w:w="2691" w:type="dxa"/>
            <w:vAlign w:val="center"/>
          </w:tcPr>
          <w:p w:rsidR="007F3F42" w:rsidRDefault="00781698">
            <w:pPr>
              <w:jc w:val="right"/>
            </w:pPr>
            <w:r>
              <w:rPr>
                <w:rFonts w:eastAsiaTheme="minorEastAsia"/>
                <w:szCs w:val="21"/>
              </w:rPr>
              <w:t>1,409.09</w:t>
            </w:r>
          </w:p>
        </w:tc>
      </w:tr>
      <w:tr w:rsidR="007F3F42">
        <w:tc>
          <w:tcPr>
            <w:tcW w:w="2108" w:type="dxa"/>
            <w:vAlign w:val="center"/>
          </w:tcPr>
          <w:p w:rsidR="007F3F42" w:rsidRDefault="00781698">
            <w:pPr>
              <w:jc w:val="left"/>
            </w:pPr>
            <w:r>
              <w:rPr>
                <w:rFonts w:eastAsiaTheme="minorEastAsia"/>
                <w:szCs w:val="21"/>
              </w:rPr>
              <w:t>招商银行</w:t>
            </w:r>
          </w:p>
        </w:tc>
        <w:tc>
          <w:tcPr>
            <w:tcW w:w="2287" w:type="dxa"/>
            <w:vAlign w:val="center"/>
          </w:tcPr>
          <w:p w:rsidR="007F3F42" w:rsidRDefault="00781698">
            <w:pPr>
              <w:jc w:val="right"/>
            </w:pPr>
            <w:r>
              <w:rPr>
                <w:rFonts w:eastAsiaTheme="minorEastAsia"/>
                <w:szCs w:val="21"/>
              </w:rPr>
              <w:t>-</w:t>
            </w:r>
          </w:p>
        </w:tc>
        <w:tc>
          <w:tcPr>
            <w:tcW w:w="2409" w:type="dxa"/>
            <w:vAlign w:val="center"/>
          </w:tcPr>
          <w:p w:rsidR="007F3F42" w:rsidRDefault="00781698">
            <w:pPr>
              <w:jc w:val="right"/>
            </w:pPr>
            <w:r>
              <w:rPr>
                <w:rFonts w:eastAsiaTheme="minorEastAsia"/>
                <w:szCs w:val="21"/>
              </w:rPr>
              <w:t>2,336.45</w:t>
            </w:r>
          </w:p>
        </w:tc>
        <w:tc>
          <w:tcPr>
            <w:tcW w:w="2691" w:type="dxa"/>
            <w:vAlign w:val="center"/>
          </w:tcPr>
          <w:p w:rsidR="007F3F42" w:rsidRDefault="00781698">
            <w:pPr>
              <w:jc w:val="right"/>
            </w:pPr>
            <w:r>
              <w:rPr>
                <w:rFonts w:eastAsiaTheme="minorEastAsia"/>
                <w:szCs w:val="21"/>
              </w:rPr>
              <w:t>2,336.45</w:t>
            </w:r>
          </w:p>
        </w:tc>
      </w:tr>
      <w:tr w:rsidR="007F3F42">
        <w:tc>
          <w:tcPr>
            <w:tcW w:w="2108" w:type="dxa"/>
            <w:vAlign w:val="center"/>
          </w:tcPr>
          <w:p w:rsidR="007F3F42" w:rsidRDefault="00781698">
            <w:pPr>
              <w:jc w:val="left"/>
            </w:pPr>
            <w:r>
              <w:rPr>
                <w:rFonts w:eastAsiaTheme="minorEastAsia"/>
                <w:szCs w:val="21"/>
              </w:rPr>
              <w:t>广发证券</w:t>
            </w:r>
          </w:p>
        </w:tc>
        <w:tc>
          <w:tcPr>
            <w:tcW w:w="2287" w:type="dxa"/>
            <w:vAlign w:val="center"/>
          </w:tcPr>
          <w:p w:rsidR="007F3F42" w:rsidRDefault="00781698">
            <w:pPr>
              <w:jc w:val="right"/>
            </w:pPr>
            <w:r>
              <w:rPr>
                <w:rFonts w:eastAsiaTheme="minorEastAsia"/>
                <w:szCs w:val="21"/>
              </w:rPr>
              <w:t>-</w:t>
            </w:r>
          </w:p>
        </w:tc>
        <w:tc>
          <w:tcPr>
            <w:tcW w:w="2409" w:type="dxa"/>
            <w:vAlign w:val="center"/>
          </w:tcPr>
          <w:p w:rsidR="007F3F42" w:rsidRDefault="00781698">
            <w:pPr>
              <w:jc w:val="right"/>
            </w:pPr>
            <w:r>
              <w:rPr>
                <w:rFonts w:eastAsiaTheme="minorEastAsia"/>
                <w:szCs w:val="21"/>
              </w:rPr>
              <w:t>119.54</w:t>
            </w:r>
          </w:p>
        </w:tc>
        <w:tc>
          <w:tcPr>
            <w:tcW w:w="2691" w:type="dxa"/>
            <w:vAlign w:val="center"/>
          </w:tcPr>
          <w:p w:rsidR="007F3F42" w:rsidRDefault="00781698">
            <w:pPr>
              <w:jc w:val="right"/>
            </w:pPr>
            <w:r>
              <w:rPr>
                <w:rFonts w:eastAsiaTheme="minorEastAsia"/>
                <w:szCs w:val="21"/>
              </w:rPr>
              <w:t>119.54</w:t>
            </w:r>
          </w:p>
        </w:tc>
      </w:tr>
      <w:tr w:rsidR="003921B9" w:rsidRPr="00325F8A" w:rsidTr="00DC4F67">
        <w:tc>
          <w:tcPr>
            <w:tcW w:w="2108" w:type="dxa"/>
            <w:vAlign w:val="center"/>
            <w:hideMark/>
          </w:tcPr>
          <w:p w:rsidR="003921B9" w:rsidRPr="00325F8A" w:rsidRDefault="003921B9" w:rsidP="00F0322F">
            <w:pPr>
              <w:widowControl/>
              <w:rPr>
                <w:rFonts w:eastAsiaTheme="minorEastAsia"/>
                <w:szCs w:val="21"/>
              </w:rPr>
            </w:pPr>
            <w:r w:rsidRPr="00325F8A">
              <w:rPr>
                <w:rFonts w:eastAsiaTheme="minorEastAsia" w:hAnsiTheme="minorEastAsia"/>
                <w:szCs w:val="21"/>
              </w:rPr>
              <w:t>合计</w:t>
            </w:r>
          </w:p>
        </w:tc>
        <w:tc>
          <w:tcPr>
            <w:tcW w:w="2287"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w:t>
            </w:r>
          </w:p>
        </w:tc>
        <w:tc>
          <w:tcPr>
            <w:tcW w:w="2409"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3,865.08</w:t>
            </w:r>
          </w:p>
        </w:tc>
        <w:tc>
          <w:tcPr>
            <w:tcW w:w="2691"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3,865.08</w:t>
            </w:r>
          </w:p>
        </w:tc>
      </w:tr>
    </w:tbl>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注：本基金</w:t>
      </w:r>
      <w:r>
        <w:rPr>
          <w:rFonts w:eastAsiaTheme="minorEastAsia"/>
          <w:kern w:val="0"/>
          <w:szCs w:val="21"/>
        </w:rPr>
        <w:t>A</w:t>
      </w:r>
      <w:r>
        <w:rPr>
          <w:rFonts w:eastAsiaTheme="minorEastAsia"/>
          <w:kern w:val="0"/>
          <w:szCs w:val="21"/>
        </w:rPr>
        <w:t>类基金份额不收取销售服务费，</w:t>
      </w:r>
      <w:r>
        <w:rPr>
          <w:rFonts w:eastAsiaTheme="minorEastAsia"/>
          <w:kern w:val="0"/>
          <w:szCs w:val="21"/>
        </w:rPr>
        <w:t>C</w:t>
      </w:r>
      <w:r>
        <w:rPr>
          <w:rFonts w:eastAsiaTheme="minorEastAsia"/>
          <w:kern w:val="0"/>
          <w:szCs w:val="21"/>
        </w:rPr>
        <w:t>类基金份额的销售服务费年费率为</w:t>
      </w:r>
      <w:r>
        <w:rPr>
          <w:rFonts w:eastAsiaTheme="minorEastAsia"/>
          <w:kern w:val="0"/>
          <w:szCs w:val="21"/>
        </w:rPr>
        <w:t>0.4%</w:t>
      </w:r>
      <w:r>
        <w:rPr>
          <w:rFonts w:eastAsiaTheme="minorEastAsia"/>
          <w:kern w:val="0"/>
          <w:szCs w:val="21"/>
        </w:rPr>
        <w:t>。本基金销售服务费按前一日</w:t>
      </w:r>
      <w:r>
        <w:rPr>
          <w:rFonts w:eastAsiaTheme="minorEastAsia"/>
          <w:kern w:val="0"/>
          <w:szCs w:val="21"/>
        </w:rPr>
        <w:t>C</w:t>
      </w:r>
      <w:r>
        <w:rPr>
          <w:rFonts w:eastAsiaTheme="minorEastAsia"/>
          <w:kern w:val="0"/>
          <w:szCs w:val="21"/>
        </w:rPr>
        <w:t>类基金份额的基金资产净值的</w:t>
      </w:r>
      <w:r>
        <w:rPr>
          <w:rFonts w:eastAsiaTheme="minorEastAsia"/>
          <w:kern w:val="0"/>
          <w:szCs w:val="21"/>
        </w:rPr>
        <w:t>0.4%</w:t>
      </w:r>
      <w:r>
        <w:rPr>
          <w:rFonts w:eastAsiaTheme="minorEastAsia"/>
          <w:kern w:val="0"/>
          <w:szCs w:val="21"/>
        </w:rPr>
        <w:t>年费率计提。计算方法如下：</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w:t>
      </w:r>
      <w:r>
        <w:rPr>
          <w:rFonts w:eastAsiaTheme="minorEastAsia"/>
          <w:kern w:val="0"/>
          <w:szCs w:val="21"/>
        </w:rPr>
        <w:t>年销售服务费率</w:t>
      </w:r>
      <w:r>
        <w:rPr>
          <w:rFonts w:eastAsiaTheme="minorEastAsia"/>
          <w:kern w:val="0"/>
          <w:szCs w:val="21"/>
        </w:rPr>
        <w:t>÷</w:t>
      </w:r>
      <w:r>
        <w:rPr>
          <w:rFonts w:eastAsiaTheme="minorEastAsia"/>
          <w:kern w:val="0"/>
          <w:szCs w:val="21"/>
        </w:rPr>
        <w:t>当年天数</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H</w:t>
      </w:r>
      <w:r>
        <w:rPr>
          <w:rFonts w:eastAsiaTheme="minorEastAsia"/>
          <w:kern w:val="0"/>
          <w:szCs w:val="21"/>
        </w:rPr>
        <w:t>为</w:t>
      </w:r>
      <w:r>
        <w:rPr>
          <w:rFonts w:eastAsiaTheme="minorEastAsia"/>
          <w:kern w:val="0"/>
          <w:szCs w:val="21"/>
        </w:rPr>
        <w:t>C</w:t>
      </w:r>
      <w:r>
        <w:rPr>
          <w:rFonts w:eastAsiaTheme="minorEastAsia"/>
          <w:kern w:val="0"/>
          <w:szCs w:val="21"/>
        </w:rPr>
        <w:t>类基金份额每日应计提的基金销售服务费</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E</w:t>
      </w:r>
      <w:r>
        <w:rPr>
          <w:rFonts w:eastAsiaTheme="minorEastAsia"/>
          <w:kern w:val="0"/>
          <w:szCs w:val="21"/>
        </w:rPr>
        <w:t>为</w:t>
      </w:r>
      <w:r>
        <w:rPr>
          <w:rFonts w:eastAsiaTheme="minorEastAsia"/>
          <w:kern w:val="0"/>
          <w:szCs w:val="21"/>
        </w:rPr>
        <w:t>C</w:t>
      </w:r>
      <w:r>
        <w:rPr>
          <w:rFonts w:eastAsiaTheme="minorEastAsia"/>
          <w:kern w:val="0"/>
          <w:szCs w:val="21"/>
        </w:rPr>
        <w:t>类基金份额前一日基金资产净值</w:t>
      </w:r>
    </w:p>
    <w:p w:rsidR="008A5A5D" w:rsidRPr="00C24ACA" w:rsidRDefault="003921B9"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基金销售服务费每日计提，按月支付。经基金管理人和基金托管人核对一致后，由基金管理人出具指令，基金托管人复核后于次月首日起</w:t>
      </w:r>
      <w:r w:rsidRPr="008707EB">
        <w:rPr>
          <w:rFonts w:eastAsiaTheme="minorEastAsia"/>
          <w:kern w:val="0"/>
          <w:szCs w:val="21"/>
        </w:rPr>
        <w:t>3</w:t>
      </w:r>
      <w:r w:rsidRPr="008707EB">
        <w:rPr>
          <w:rFonts w:eastAsiaTheme="minorEastAsia"/>
          <w:kern w:val="0"/>
          <w:szCs w:val="21"/>
        </w:rPr>
        <w:t>个工作日内从基金财产中一次性支付。基金管理人根据与销售机构签订的销售协议中约定的付款周期分别划付给销售机构。若遇法定节假日、公休日等，支付日期顺延。费用自动扣划后，管理人应进行核对，如发现数据不符，及时联系托管人协商解决。</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6.4.10.3</w:t>
      </w:r>
      <w:r w:rsidRPr="00C24ACA">
        <w:rPr>
          <w:rFonts w:eastAsiaTheme="minorEastAsia"/>
          <w:b/>
          <w:bCs/>
          <w:color w:val="000000"/>
          <w:szCs w:val="21"/>
        </w:rPr>
        <w:t>与关联方进行银行间同业市场的债券</w:t>
      </w:r>
      <w:r w:rsidRPr="00C24ACA">
        <w:rPr>
          <w:rFonts w:eastAsiaTheme="minorEastAsia"/>
          <w:b/>
          <w:bCs/>
          <w:color w:val="000000"/>
          <w:szCs w:val="21"/>
        </w:rPr>
        <w:t>(</w:t>
      </w:r>
      <w:r w:rsidRPr="00C24ACA">
        <w:rPr>
          <w:rFonts w:eastAsiaTheme="minorEastAsia"/>
          <w:b/>
          <w:bCs/>
          <w:color w:val="000000"/>
          <w:szCs w:val="21"/>
        </w:rPr>
        <w:t>含回购</w:t>
      </w:r>
      <w:r w:rsidRPr="00C24ACA">
        <w:rPr>
          <w:rFonts w:eastAsiaTheme="minorEastAsia"/>
          <w:b/>
          <w:bCs/>
          <w:color w:val="000000"/>
          <w:szCs w:val="21"/>
        </w:rPr>
        <w:t>)</w:t>
      </w:r>
      <w:r w:rsidRPr="00C24ACA">
        <w:rPr>
          <w:rFonts w:eastAsiaTheme="minorEastAsia"/>
          <w:b/>
          <w:bCs/>
          <w:color w:val="000000"/>
          <w:szCs w:val="21"/>
        </w:rPr>
        <w:t>交易</w:t>
      </w:r>
    </w:p>
    <w:p w:rsidR="0096290F" w:rsidRPr="00C24ACA" w:rsidRDefault="0096290F"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本基金本报告期及上年度可比期间未与关联方进行银行间同业市场债券（含回购）交易。</w:t>
      </w:r>
    </w:p>
    <w:p w:rsidR="008A5A5D" w:rsidRPr="00C24ACA" w:rsidRDefault="008A5A5D" w:rsidP="00EC68BF">
      <w:pPr>
        <w:spacing w:line="360" w:lineRule="auto"/>
        <w:rPr>
          <w:rFonts w:eastAsiaTheme="minorEastAsia"/>
          <w:b/>
          <w:bCs/>
          <w:color w:val="000000"/>
          <w:szCs w:val="21"/>
        </w:rPr>
      </w:pPr>
      <w:r w:rsidRPr="00C24ACA">
        <w:rPr>
          <w:rFonts w:eastAsiaTheme="minorEastAsia"/>
          <w:b/>
          <w:bCs/>
          <w:color w:val="000000"/>
          <w:kern w:val="0"/>
          <w:szCs w:val="21"/>
        </w:rPr>
        <w:t>6.4.10.4</w:t>
      </w:r>
      <w:r w:rsidRPr="00C24ACA">
        <w:rPr>
          <w:rFonts w:eastAsiaTheme="minorEastAsia"/>
          <w:b/>
          <w:bCs/>
          <w:color w:val="000000"/>
          <w:szCs w:val="21"/>
        </w:rPr>
        <w:t>各关联方投资本基金的情况</w:t>
      </w:r>
    </w:p>
    <w:p w:rsidR="008A5A5D" w:rsidRPr="00C24ACA" w:rsidRDefault="008A5A5D" w:rsidP="00EC68BF">
      <w:pPr>
        <w:adjustRightInd w:val="0"/>
        <w:snapToGrid w:val="0"/>
        <w:spacing w:line="360" w:lineRule="auto"/>
        <w:rPr>
          <w:rFonts w:eastAsiaTheme="minorEastAsia"/>
          <w:b/>
          <w:bCs/>
          <w:color w:val="000000"/>
          <w:szCs w:val="21"/>
        </w:rPr>
      </w:pPr>
      <w:r w:rsidRPr="00C24ACA">
        <w:rPr>
          <w:rFonts w:eastAsiaTheme="minorEastAsia"/>
          <w:b/>
          <w:bCs/>
          <w:color w:val="000000"/>
          <w:kern w:val="0"/>
          <w:szCs w:val="21"/>
        </w:rPr>
        <w:t>6.4.10.4.1</w:t>
      </w:r>
      <w:r w:rsidRPr="00C24ACA">
        <w:rPr>
          <w:rFonts w:eastAsiaTheme="minorEastAsia"/>
          <w:b/>
          <w:bCs/>
          <w:color w:val="000000"/>
          <w:szCs w:val="21"/>
        </w:rPr>
        <w:t>报告期内基金管理人运用固有资金投资本基金的情况</w:t>
      </w:r>
    </w:p>
    <w:p w:rsidR="005C113A" w:rsidRPr="00D77452" w:rsidRDefault="005C113A" w:rsidP="005C113A">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42415D" w:rsidRPr="00FE326E" w:rsidRDefault="008A5A5D" w:rsidP="00FE326E">
      <w:pPr>
        <w:adjustRightInd w:val="0"/>
        <w:snapToGrid w:val="0"/>
        <w:spacing w:line="360" w:lineRule="auto"/>
        <w:rPr>
          <w:rFonts w:eastAsiaTheme="minorEastAsia"/>
          <w:b/>
          <w:bCs/>
          <w:color w:val="000000"/>
          <w:kern w:val="0"/>
          <w:szCs w:val="21"/>
        </w:rPr>
      </w:pPr>
      <w:r w:rsidRPr="00C24ACA">
        <w:rPr>
          <w:rFonts w:eastAsiaTheme="minorEastAsia"/>
          <w:b/>
          <w:bCs/>
          <w:color w:val="000000"/>
          <w:kern w:val="0"/>
          <w:szCs w:val="21"/>
        </w:rPr>
        <w:t>6.4.10.4.2</w:t>
      </w:r>
      <w:r w:rsidRPr="00FE326E">
        <w:rPr>
          <w:rFonts w:eastAsiaTheme="minorEastAsia"/>
          <w:b/>
          <w:bCs/>
          <w:color w:val="000000"/>
          <w:kern w:val="0"/>
          <w:szCs w:val="21"/>
        </w:rPr>
        <w:t>报告期末除基金管理人之外的其他关联方投资本基金的情况</w:t>
      </w:r>
    </w:p>
    <w:p w:rsidR="0042415D" w:rsidRPr="003560D2" w:rsidRDefault="0042415D" w:rsidP="0042415D">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易方达中证海外中国互联网</w:t>
      </w:r>
      <w:r w:rsidRPr="003560D2">
        <w:rPr>
          <w:rFonts w:eastAsiaTheme="minorEastAsia" w:hint="eastAsia"/>
          <w:b/>
          <w:color w:val="000000"/>
          <w:szCs w:val="21"/>
        </w:rPr>
        <w:t>50ETF</w:t>
      </w:r>
      <w:r w:rsidRPr="003560D2">
        <w:rPr>
          <w:rFonts w:eastAsiaTheme="minorEastAsia" w:hint="eastAsia"/>
          <w:b/>
          <w:color w:val="000000"/>
          <w:szCs w:val="21"/>
        </w:rPr>
        <w:t>联接（</w:t>
      </w:r>
      <w:r w:rsidRPr="003560D2">
        <w:rPr>
          <w:rFonts w:eastAsiaTheme="minorEastAsia" w:hint="eastAsia"/>
          <w:b/>
          <w:color w:val="000000"/>
          <w:szCs w:val="21"/>
        </w:rPr>
        <w:t>QDII</w:t>
      </w:r>
      <w:r w:rsidRPr="003560D2">
        <w:rPr>
          <w:rFonts w:eastAsiaTheme="minorEastAsia" w:hint="eastAsia"/>
          <w:b/>
          <w:color w:val="000000"/>
          <w:szCs w:val="21"/>
        </w:rPr>
        <w:t>）</w:t>
      </w:r>
      <w:r w:rsidRPr="003560D2">
        <w:rPr>
          <w:rFonts w:eastAsiaTheme="minorEastAsia" w:hint="eastAsia"/>
          <w:b/>
          <w:color w:val="000000"/>
          <w:szCs w:val="21"/>
        </w:rPr>
        <w:t>A</w:t>
      </w:r>
    </w:p>
    <w:p w:rsidR="0042415D" w:rsidRPr="00325F8A" w:rsidRDefault="0042415D" w:rsidP="0042415D">
      <w:pPr>
        <w:tabs>
          <w:tab w:val="left" w:pos="426"/>
        </w:tabs>
        <w:spacing w:line="360" w:lineRule="auto"/>
        <w:ind w:firstLineChars="200" w:firstLine="420"/>
        <w:jc w:val="left"/>
        <w:rPr>
          <w:kern w:val="0"/>
          <w:szCs w:val="21"/>
        </w:rPr>
      </w:pPr>
      <w:r w:rsidRPr="00325F8A">
        <w:rPr>
          <w:kern w:val="0"/>
          <w:szCs w:val="21"/>
        </w:rPr>
        <w:t>无。</w:t>
      </w:r>
    </w:p>
    <w:p w:rsidR="0042415D" w:rsidRPr="00325F8A" w:rsidRDefault="0042415D" w:rsidP="0042415D">
      <w:pPr>
        <w:adjustRightInd w:val="0"/>
        <w:snapToGrid w:val="0"/>
        <w:spacing w:line="288" w:lineRule="auto"/>
        <w:ind w:firstLineChars="200" w:firstLine="422"/>
        <w:rPr>
          <w:b/>
          <w:bCs/>
          <w:color w:val="000000"/>
          <w:szCs w:val="21"/>
        </w:rPr>
      </w:pPr>
      <w:r w:rsidRPr="00325F8A">
        <w:rPr>
          <w:rFonts w:eastAsiaTheme="minorEastAsia"/>
          <w:b/>
          <w:szCs w:val="21"/>
        </w:rPr>
        <w:t>易方达中证海外中国互联网</w:t>
      </w:r>
      <w:r w:rsidRPr="00325F8A">
        <w:rPr>
          <w:rFonts w:eastAsiaTheme="minorEastAsia"/>
          <w:b/>
          <w:szCs w:val="21"/>
        </w:rPr>
        <w:t>50ETF</w:t>
      </w:r>
      <w:r w:rsidRPr="00325F8A">
        <w:rPr>
          <w:rFonts w:eastAsiaTheme="minorEastAsia"/>
          <w:b/>
          <w:szCs w:val="21"/>
        </w:rPr>
        <w:t>联接（</w:t>
      </w:r>
      <w:r w:rsidRPr="00325F8A">
        <w:rPr>
          <w:rFonts w:eastAsiaTheme="minorEastAsia"/>
          <w:b/>
          <w:szCs w:val="21"/>
        </w:rPr>
        <w:t>QDII</w:t>
      </w:r>
      <w:r w:rsidRPr="00325F8A">
        <w:rPr>
          <w:rFonts w:eastAsiaTheme="minorEastAsia"/>
          <w:b/>
          <w:szCs w:val="21"/>
        </w:rPr>
        <w:t>）</w:t>
      </w:r>
      <w:r w:rsidRPr="00325F8A">
        <w:rPr>
          <w:rFonts w:eastAsiaTheme="minorEastAsia"/>
          <w:b/>
          <w:szCs w:val="21"/>
        </w:rPr>
        <w:t>C</w:t>
      </w:r>
    </w:p>
    <w:p w:rsidR="0042415D" w:rsidRPr="00683042" w:rsidRDefault="0042415D" w:rsidP="0042415D">
      <w:pPr>
        <w:tabs>
          <w:tab w:val="left" w:pos="426"/>
        </w:tabs>
        <w:spacing w:line="360" w:lineRule="auto"/>
        <w:ind w:firstLineChars="200" w:firstLine="420"/>
        <w:jc w:val="left"/>
        <w:rPr>
          <w:kern w:val="0"/>
          <w:szCs w:val="21"/>
        </w:rPr>
      </w:pPr>
      <w:r w:rsidRPr="00683042">
        <w:rPr>
          <w:rFonts w:hint="eastAsia"/>
          <w:kern w:val="0"/>
          <w:szCs w:val="21"/>
        </w:rPr>
        <w:t>无。</w:t>
      </w:r>
    </w:p>
    <w:p w:rsidR="008A5A5D" w:rsidRPr="00C24ACA" w:rsidRDefault="008A5A5D" w:rsidP="0042415D">
      <w:pPr>
        <w:adjustRightInd w:val="0"/>
        <w:snapToGrid w:val="0"/>
        <w:spacing w:beforeLines="100" w:before="312" w:line="360" w:lineRule="auto"/>
        <w:rPr>
          <w:rFonts w:eastAsiaTheme="minorEastAsia"/>
          <w:b/>
          <w:bCs/>
          <w:color w:val="000000"/>
          <w:szCs w:val="21"/>
        </w:rPr>
      </w:pPr>
      <w:r w:rsidRPr="00C24ACA">
        <w:rPr>
          <w:rFonts w:eastAsiaTheme="minorEastAsia"/>
          <w:b/>
          <w:bCs/>
          <w:color w:val="000000"/>
          <w:kern w:val="0"/>
          <w:szCs w:val="21"/>
        </w:rPr>
        <w:t>6.4.10.5</w:t>
      </w:r>
      <w:r w:rsidRPr="00C24ACA">
        <w:rPr>
          <w:rFonts w:eastAsiaTheme="minorEastAsia"/>
          <w:b/>
          <w:bCs/>
          <w:color w:val="000000"/>
          <w:szCs w:val="21"/>
        </w:rPr>
        <w:t>由关联方保管的银行存款余额及当期产生的利息收入</w:t>
      </w:r>
    </w:p>
    <w:p w:rsidR="008A5A5D" w:rsidRPr="00C24ACA" w:rsidRDefault="008A5A5D" w:rsidP="002116B9">
      <w:pPr>
        <w:autoSpaceDE w:val="0"/>
        <w:autoSpaceDN w:val="0"/>
        <w:adjustRightInd w:val="0"/>
        <w:spacing w:before="29" w:line="288" w:lineRule="auto"/>
        <w:ind w:left="15" w:right="210"/>
        <w:jc w:val="right"/>
        <w:rPr>
          <w:rFonts w:eastAsiaTheme="minorEastAsia"/>
          <w:bCs/>
          <w:color w:val="000000"/>
          <w:szCs w:val="21"/>
        </w:rPr>
      </w:pPr>
      <w:r w:rsidRPr="00C24ACA">
        <w:rPr>
          <w:rFonts w:eastAsiaTheme="minorEastAsia"/>
          <w:bCs/>
          <w:color w:val="000000"/>
          <w:szCs w:val="21"/>
        </w:rPr>
        <w:t>单位：人民币元</w:t>
      </w:r>
    </w:p>
    <w:tbl>
      <w:tblPr>
        <w:tblStyle w:val="af7"/>
        <w:tblW w:w="0" w:type="auto"/>
        <w:tblInd w:w="108" w:type="dxa"/>
        <w:tblLayout w:type="fixed"/>
        <w:tblLook w:val="04A0" w:firstRow="1" w:lastRow="0" w:firstColumn="1" w:lastColumn="0" w:noHBand="0" w:noVBand="1"/>
      </w:tblPr>
      <w:tblGrid>
        <w:gridCol w:w="1526"/>
        <w:gridCol w:w="1851"/>
        <w:gridCol w:w="1851"/>
        <w:gridCol w:w="1851"/>
        <w:gridCol w:w="1851"/>
      </w:tblGrid>
      <w:tr w:rsidR="00B01102" w:rsidRPr="00C24ACA" w:rsidTr="004C02E0">
        <w:tc>
          <w:tcPr>
            <w:tcW w:w="1526" w:type="dxa"/>
            <w:vMerge w:val="restart"/>
            <w:vAlign w:val="center"/>
          </w:tcPr>
          <w:p w:rsidR="00B01102" w:rsidRPr="00C24ACA" w:rsidRDefault="00B01102" w:rsidP="00145CAE">
            <w:pPr>
              <w:jc w:val="center"/>
              <w:rPr>
                <w:rFonts w:eastAsiaTheme="minorEastAsia"/>
                <w:kern w:val="0"/>
                <w:szCs w:val="21"/>
              </w:rPr>
            </w:pPr>
            <w:r w:rsidRPr="00C24ACA">
              <w:rPr>
                <w:rFonts w:eastAsiaTheme="minorEastAsia"/>
                <w:color w:val="000000"/>
                <w:szCs w:val="21"/>
              </w:rPr>
              <w:t>关联方名称</w:t>
            </w:r>
          </w:p>
        </w:tc>
        <w:tc>
          <w:tcPr>
            <w:tcW w:w="3702" w:type="dxa"/>
            <w:gridSpan w:val="2"/>
          </w:tcPr>
          <w:p w:rsidR="00B01102" w:rsidRPr="00C24ACA" w:rsidRDefault="00B01102" w:rsidP="00B01102">
            <w:pPr>
              <w:jc w:val="center"/>
              <w:rPr>
                <w:rFonts w:eastAsiaTheme="minorEastAsia"/>
                <w:color w:val="000000"/>
                <w:szCs w:val="21"/>
              </w:rPr>
            </w:pPr>
            <w:r w:rsidRPr="00C24ACA">
              <w:rPr>
                <w:rFonts w:eastAsiaTheme="minorEastAsia"/>
                <w:color w:val="000000"/>
                <w:szCs w:val="21"/>
              </w:rPr>
              <w:t>本期</w:t>
            </w:r>
          </w:p>
          <w:p w:rsidR="00B01102" w:rsidRPr="00C24ACA" w:rsidRDefault="00B01102" w:rsidP="00B01102">
            <w:pPr>
              <w:jc w:val="left"/>
              <w:rPr>
                <w:rFonts w:eastAsiaTheme="minorEastAsia"/>
                <w:kern w:val="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3702" w:type="dxa"/>
            <w:gridSpan w:val="2"/>
          </w:tcPr>
          <w:p w:rsidR="00B01102" w:rsidRPr="00C24ACA" w:rsidRDefault="00B01102" w:rsidP="00B01102">
            <w:pPr>
              <w:jc w:val="center"/>
              <w:rPr>
                <w:rFonts w:eastAsiaTheme="minorEastAsia"/>
                <w:color w:val="000000"/>
                <w:szCs w:val="21"/>
              </w:rPr>
            </w:pPr>
            <w:r w:rsidRPr="00C24ACA">
              <w:rPr>
                <w:rFonts w:eastAsiaTheme="minorEastAsia"/>
                <w:color w:val="000000"/>
                <w:szCs w:val="21"/>
              </w:rPr>
              <w:t>上年度可比期间</w:t>
            </w:r>
          </w:p>
          <w:p w:rsidR="00B01102" w:rsidRPr="00C24ACA" w:rsidRDefault="00B01102" w:rsidP="000E28C9">
            <w:pPr>
              <w:jc w:val="left"/>
              <w:rPr>
                <w:rFonts w:eastAsiaTheme="minorEastAsia"/>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18</w:t>
            </w:r>
            <w:r w:rsidRPr="00C24ACA">
              <w:rPr>
                <w:rFonts w:eastAsiaTheme="minorEastAsia"/>
                <w:color w:val="000000"/>
                <w:szCs w:val="21"/>
              </w:rPr>
              <w:t>日（基金合同生效日）至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B01102" w:rsidRPr="00C24ACA" w:rsidTr="004C02E0">
        <w:tc>
          <w:tcPr>
            <w:tcW w:w="1526" w:type="dxa"/>
            <w:vMerge/>
          </w:tcPr>
          <w:p w:rsidR="00B01102" w:rsidRPr="00C24ACA" w:rsidRDefault="00B01102" w:rsidP="002116B9">
            <w:pPr>
              <w:jc w:val="left"/>
              <w:rPr>
                <w:rFonts w:eastAsiaTheme="minorEastAsia"/>
                <w:kern w:val="0"/>
                <w:szCs w:val="21"/>
              </w:rPr>
            </w:pP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期末余额</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当期利息收入</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期末余额</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当期利息收入</w:t>
            </w:r>
          </w:p>
        </w:tc>
      </w:tr>
      <w:tr w:rsidR="007F3F42">
        <w:tc>
          <w:tcPr>
            <w:tcW w:w="1526" w:type="dxa"/>
            <w:vAlign w:val="center"/>
          </w:tcPr>
          <w:p w:rsidR="007F3F42" w:rsidRDefault="00781698">
            <w:pPr>
              <w:jc w:val="left"/>
            </w:pPr>
            <w:r>
              <w:rPr>
                <w:rFonts w:eastAsiaTheme="minorEastAsia"/>
                <w:szCs w:val="21"/>
              </w:rPr>
              <w:t>招商银行</w:t>
            </w:r>
            <w:r>
              <w:rPr>
                <w:rFonts w:eastAsiaTheme="minorEastAsia"/>
                <w:szCs w:val="21"/>
              </w:rPr>
              <w:t>-</w:t>
            </w:r>
            <w:r>
              <w:rPr>
                <w:rFonts w:eastAsiaTheme="minorEastAsia"/>
                <w:szCs w:val="21"/>
              </w:rPr>
              <w:t>活期存款</w:t>
            </w:r>
          </w:p>
        </w:tc>
        <w:tc>
          <w:tcPr>
            <w:tcW w:w="1851" w:type="dxa"/>
            <w:vAlign w:val="center"/>
          </w:tcPr>
          <w:p w:rsidR="007F3F42" w:rsidRDefault="00781698">
            <w:pPr>
              <w:jc w:val="right"/>
            </w:pPr>
            <w:r>
              <w:rPr>
                <w:rFonts w:eastAsiaTheme="minorEastAsia"/>
                <w:szCs w:val="21"/>
              </w:rPr>
              <w:t>50,482,455.13</w:t>
            </w:r>
          </w:p>
        </w:tc>
        <w:tc>
          <w:tcPr>
            <w:tcW w:w="1851" w:type="dxa"/>
            <w:vAlign w:val="center"/>
          </w:tcPr>
          <w:p w:rsidR="007F3F42" w:rsidRDefault="00781698">
            <w:pPr>
              <w:jc w:val="right"/>
            </w:pPr>
            <w:r>
              <w:rPr>
                <w:rFonts w:eastAsiaTheme="minorEastAsia"/>
                <w:szCs w:val="21"/>
              </w:rPr>
              <w:t>79,526.24</w:t>
            </w:r>
          </w:p>
        </w:tc>
        <w:tc>
          <w:tcPr>
            <w:tcW w:w="1851" w:type="dxa"/>
            <w:vAlign w:val="center"/>
          </w:tcPr>
          <w:p w:rsidR="007F3F42" w:rsidRDefault="00781698">
            <w:pPr>
              <w:jc w:val="right"/>
            </w:pPr>
            <w:r>
              <w:rPr>
                <w:rFonts w:eastAsiaTheme="minorEastAsia"/>
                <w:szCs w:val="21"/>
              </w:rPr>
              <w:t>5,973,009.80</w:t>
            </w:r>
          </w:p>
        </w:tc>
        <w:tc>
          <w:tcPr>
            <w:tcW w:w="1851" w:type="dxa"/>
            <w:vAlign w:val="center"/>
          </w:tcPr>
          <w:p w:rsidR="007F3F42" w:rsidRDefault="00781698">
            <w:pPr>
              <w:jc w:val="right"/>
            </w:pPr>
            <w:r>
              <w:rPr>
                <w:rFonts w:eastAsiaTheme="minorEastAsia"/>
                <w:szCs w:val="21"/>
              </w:rPr>
              <w:t>270,139.17</w:t>
            </w:r>
          </w:p>
        </w:tc>
      </w:tr>
      <w:tr w:rsidR="007F3F42">
        <w:tc>
          <w:tcPr>
            <w:tcW w:w="1526" w:type="dxa"/>
            <w:vAlign w:val="center"/>
          </w:tcPr>
          <w:p w:rsidR="007F3F42" w:rsidRDefault="00781698">
            <w:pPr>
              <w:jc w:val="left"/>
            </w:pPr>
            <w:r>
              <w:rPr>
                <w:rFonts w:eastAsiaTheme="minorEastAsia"/>
                <w:szCs w:val="21"/>
              </w:rPr>
              <w:t>汇丰银行</w:t>
            </w:r>
            <w:r>
              <w:rPr>
                <w:rFonts w:eastAsiaTheme="minorEastAsia"/>
                <w:szCs w:val="21"/>
              </w:rPr>
              <w:t>-</w:t>
            </w:r>
            <w:r>
              <w:rPr>
                <w:rFonts w:eastAsiaTheme="minorEastAsia"/>
                <w:szCs w:val="21"/>
              </w:rPr>
              <w:t>活期存款</w:t>
            </w:r>
          </w:p>
        </w:tc>
        <w:tc>
          <w:tcPr>
            <w:tcW w:w="1851" w:type="dxa"/>
            <w:vAlign w:val="center"/>
          </w:tcPr>
          <w:p w:rsidR="007F3F42" w:rsidRDefault="00781698">
            <w:pPr>
              <w:jc w:val="right"/>
            </w:pPr>
            <w:r>
              <w:rPr>
                <w:rFonts w:eastAsiaTheme="minorEastAsia"/>
                <w:szCs w:val="21"/>
              </w:rPr>
              <w:t>0.07</w:t>
            </w:r>
          </w:p>
        </w:tc>
        <w:tc>
          <w:tcPr>
            <w:tcW w:w="1851" w:type="dxa"/>
            <w:vAlign w:val="center"/>
          </w:tcPr>
          <w:p w:rsidR="007F3F42" w:rsidRDefault="00781698">
            <w:pPr>
              <w:jc w:val="right"/>
            </w:pPr>
            <w:r>
              <w:rPr>
                <w:rFonts w:eastAsiaTheme="minorEastAsia"/>
                <w:szCs w:val="21"/>
              </w:rPr>
              <w:t>0.07</w:t>
            </w:r>
          </w:p>
        </w:tc>
        <w:tc>
          <w:tcPr>
            <w:tcW w:w="1851" w:type="dxa"/>
            <w:vAlign w:val="center"/>
          </w:tcPr>
          <w:p w:rsidR="007F3F42" w:rsidRDefault="00781698">
            <w:pPr>
              <w:jc w:val="right"/>
            </w:pPr>
            <w:r>
              <w:rPr>
                <w:rFonts w:eastAsiaTheme="minorEastAsia"/>
                <w:szCs w:val="21"/>
              </w:rPr>
              <w:t>-</w:t>
            </w:r>
          </w:p>
        </w:tc>
        <w:tc>
          <w:tcPr>
            <w:tcW w:w="1851" w:type="dxa"/>
            <w:vAlign w:val="center"/>
          </w:tcPr>
          <w:p w:rsidR="007F3F42" w:rsidRDefault="00781698">
            <w:pPr>
              <w:jc w:val="right"/>
            </w:pPr>
            <w:r>
              <w:rPr>
                <w:rFonts w:eastAsiaTheme="minorEastAsia"/>
                <w:szCs w:val="21"/>
              </w:rPr>
              <w:t>-</w:t>
            </w:r>
          </w:p>
        </w:tc>
      </w:tr>
    </w:tbl>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注：本基金的上述银行存款由基金托管人招商银行股份有限公司和香港上海汇丰银行有限公司保管，按银行同业利率或约定利率计息。</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6.4.10.6</w:t>
      </w:r>
      <w:r w:rsidRPr="00C24ACA">
        <w:rPr>
          <w:rFonts w:eastAsiaTheme="minorEastAsia"/>
          <w:b/>
          <w:bCs/>
          <w:color w:val="000000"/>
          <w:szCs w:val="21"/>
        </w:rPr>
        <w:t>本基金在承销期内参与关联方承销证券的情况</w:t>
      </w:r>
    </w:p>
    <w:p w:rsidR="008A5A5D" w:rsidRPr="00C24ACA" w:rsidRDefault="00EF6CFA"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本基金本报告期及上年度可比期间未在承销期内参与关联方承销证券。</w:t>
      </w:r>
    </w:p>
    <w:p w:rsidR="00AE3215" w:rsidRPr="00A73188" w:rsidRDefault="00AE3215" w:rsidP="006C64F3">
      <w:pPr>
        <w:adjustRightInd w:val="0"/>
        <w:snapToGrid w:val="0"/>
        <w:spacing w:beforeLines="100" w:before="312" w:line="360" w:lineRule="auto"/>
        <w:rPr>
          <w:rFonts w:eastAsiaTheme="minorEastAsia"/>
          <w:b/>
          <w:color w:val="000000" w:themeColor="text1"/>
          <w:szCs w:val="21"/>
        </w:rPr>
      </w:pPr>
      <w:r w:rsidRPr="00A73188">
        <w:rPr>
          <w:rFonts w:eastAsiaTheme="minorEastAsia"/>
          <w:b/>
          <w:bCs/>
          <w:color w:val="000000" w:themeColor="text1"/>
          <w:kern w:val="0"/>
          <w:szCs w:val="21"/>
        </w:rPr>
        <w:t xml:space="preserve">6.4.10.7 </w:t>
      </w:r>
      <w:r w:rsidRPr="00A73188">
        <w:rPr>
          <w:rFonts w:eastAsiaTheme="minorEastAsia"/>
          <w:b/>
          <w:color w:val="000000" w:themeColor="text1"/>
          <w:szCs w:val="21"/>
        </w:rPr>
        <w:t>其他关联交易事项的说明</w:t>
      </w:r>
    </w:p>
    <w:p w:rsidR="00AE3215" w:rsidRPr="00A73188" w:rsidRDefault="00AE3215" w:rsidP="00AE3215">
      <w:pPr>
        <w:adjustRightInd w:val="0"/>
        <w:snapToGrid w:val="0"/>
        <w:spacing w:line="360" w:lineRule="auto"/>
        <w:rPr>
          <w:rFonts w:eastAsiaTheme="minorEastAsia"/>
          <w:b/>
          <w:color w:val="000000" w:themeColor="text1"/>
          <w:szCs w:val="21"/>
        </w:rPr>
      </w:pPr>
      <w:r w:rsidRPr="00A73188">
        <w:rPr>
          <w:rFonts w:eastAsiaTheme="minorEastAsia"/>
          <w:b/>
          <w:bCs/>
          <w:color w:val="000000" w:themeColor="text1"/>
          <w:kern w:val="0"/>
          <w:szCs w:val="21"/>
        </w:rPr>
        <w:t>6.4.10.7</w:t>
      </w:r>
      <w:r w:rsidRPr="00A73188">
        <w:rPr>
          <w:rFonts w:eastAsiaTheme="minorEastAsia" w:hint="eastAsia"/>
          <w:b/>
          <w:bCs/>
          <w:color w:val="000000" w:themeColor="text1"/>
          <w:kern w:val="0"/>
          <w:szCs w:val="21"/>
        </w:rPr>
        <w:t xml:space="preserve">.1 </w:t>
      </w:r>
      <w:r w:rsidRPr="00A73188">
        <w:rPr>
          <w:rFonts w:eastAsiaTheme="minorEastAsia"/>
          <w:b/>
          <w:color w:val="000000" w:themeColor="text1"/>
          <w:szCs w:val="21"/>
        </w:rPr>
        <w:t>其他关联交易事项的说明</w:t>
      </w:r>
    </w:p>
    <w:p w:rsidR="00AE3215" w:rsidRPr="00A73188" w:rsidRDefault="00AE3215" w:rsidP="00AE3215">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于本报告期末及上年度末，本基金分别持有</w:t>
      </w:r>
      <w:r w:rsidRPr="00A73188">
        <w:rPr>
          <w:rFonts w:eastAsiaTheme="minorEastAsia"/>
          <w:color w:val="000000" w:themeColor="text1"/>
          <w:kern w:val="0"/>
          <w:szCs w:val="21"/>
        </w:rPr>
        <w:t>407,924,744</w:t>
      </w:r>
      <w:r w:rsidRPr="00A73188">
        <w:rPr>
          <w:rFonts w:eastAsiaTheme="minorEastAsia"/>
          <w:color w:val="000000" w:themeColor="text1"/>
          <w:kern w:val="0"/>
          <w:szCs w:val="21"/>
        </w:rPr>
        <w:t>份和</w:t>
      </w:r>
      <w:r w:rsidRPr="00A73188">
        <w:rPr>
          <w:rFonts w:eastAsiaTheme="minorEastAsia"/>
          <w:color w:val="000000" w:themeColor="text1"/>
          <w:kern w:val="0"/>
          <w:szCs w:val="21"/>
        </w:rPr>
        <w:t>100,539,597</w:t>
      </w:r>
      <w:r w:rsidRPr="00A73188">
        <w:rPr>
          <w:rFonts w:eastAsiaTheme="minorEastAsia"/>
          <w:color w:val="000000" w:themeColor="text1"/>
          <w:kern w:val="0"/>
          <w:szCs w:val="21"/>
        </w:rPr>
        <w:t>份目标</w:t>
      </w:r>
      <w:r w:rsidRPr="00A73188">
        <w:rPr>
          <w:rFonts w:eastAsiaTheme="minorEastAsia"/>
          <w:color w:val="000000" w:themeColor="text1"/>
          <w:kern w:val="0"/>
          <w:szCs w:val="21"/>
        </w:rPr>
        <w:t>ETF</w:t>
      </w:r>
      <w:r w:rsidRPr="00A73188">
        <w:rPr>
          <w:rFonts w:eastAsiaTheme="minorEastAsia"/>
          <w:color w:val="000000" w:themeColor="text1"/>
          <w:kern w:val="0"/>
          <w:szCs w:val="21"/>
        </w:rPr>
        <w:t>基金份额，占其总份额的比例分别为</w:t>
      </w:r>
      <w:r w:rsidRPr="00A73188">
        <w:rPr>
          <w:rFonts w:eastAsiaTheme="minorEastAsia"/>
          <w:color w:val="000000" w:themeColor="text1"/>
          <w:kern w:val="0"/>
          <w:szCs w:val="21"/>
        </w:rPr>
        <w:t>21.26%</w:t>
      </w:r>
      <w:r w:rsidRPr="00A73188">
        <w:rPr>
          <w:rFonts w:eastAsiaTheme="minorEastAsia"/>
          <w:color w:val="000000" w:themeColor="text1"/>
          <w:kern w:val="0"/>
          <w:szCs w:val="21"/>
        </w:rPr>
        <w:t>和</w:t>
      </w:r>
      <w:r w:rsidRPr="00A73188">
        <w:rPr>
          <w:rFonts w:eastAsiaTheme="minorEastAsia"/>
          <w:color w:val="000000" w:themeColor="text1"/>
          <w:kern w:val="0"/>
          <w:szCs w:val="21"/>
        </w:rPr>
        <w:t>10.01%</w:t>
      </w:r>
      <w:r w:rsidRPr="00A73188">
        <w:rPr>
          <w:rFonts w:eastAsiaTheme="minorEastAsia"/>
          <w:color w:val="000000" w:themeColor="text1"/>
          <w:kern w:val="0"/>
          <w:szCs w:val="21"/>
        </w:rPr>
        <w:t>。</w:t>
      </w:r>
    </w:p>
    <w:p w:rsidR="008A5A5D" w:rsidRPr="00C24ACA" w:rsidRDefault="008A5A5D" w:rsidP="006C64F3">
      <w:pPr>
        <w:adjustRightInd w:val="0"/>
        <w:snapToGrid w:val="0"/>
        <w:spacing w:beforeLines="50" w:before="156" w:line="360" w:lineRule="auto"/>
        <w:rPr>
          <w:rFonts w:eastAsiaTheme="minorEastAsia"/>
          <w:b/>
          <w:bCs/>
          <w:color w:val="000000"/>
          <w:szCs w:val="21"/>
        </w:rPr>
      </w:pPr>
      <w:r w:rsidRPr="00C24ACA">
        <w:rPr>
          <w:rFonts w:eastAsiaTheme="minorEastAsia"/>
          <w:b/>
          <w:bCs/>
          <w:color w:val="000000"/>
          <w:kern w:val="0"/>
          <w:szCs w:val="21"/>
        </w:rPr>
        <w:t>6.4.11</w:t>
      </w:r>
      <w:r w:rsidRPr="00C24ACA">
        <w:rPr>
          <w:rFonts w:eastAsiaTheme="minorEastAsia"/>
          <w:b/>
          <w:bCs/>
          <w:color w:val="000000"/>
          <w:szCs w:val="21"/>
        </w:rPr>
        <w:t>利润分配情况</w:t>
      </w:r>
    </w:p>
    <w:p w:rsidR="007F124D" w:rsidRDefault="007F124D" w:rsidP="007F124D">
      <w:pPr>
        <w:adjustRightInd w:val="0"/>
        <w:snapToGrid w:val="0"/>
        <w:spacing w:line="288" w:lineRule="auto"/>
        <w:ind w:firstLineChars="200" w:firstLine="422"/>
        <w:rPr>
          <w:rFonts w:eastAsiaTheme="minorEastAsia"/>
          <w:b/>
          <w:color w:val="000000"/>
          <w:szCs w:val="21"/>
        </w:rPr>
      </w:pPr>
      <w:r>
        <w:rPr>
          <w:rFonts w:eastAsiaTheme="minorEastAsia"/>
          <w:b/>
          <w:color w:val="000000"/>
          <w:szCs w:val="21"/>
        </w:rPr>
        <w:t>易方达中证海外中国互联网</w:t>
      </w:r>
      <w:r>
        <w:rPr>
          <w:rFonts w:eastAsiaTheme="minorEastAsia"/>
          <w:b/>
          <w:color w:val="000000"/>
          <w:szCs w:val="21"/>
        </w:rPr>
        <w:t>50ETF</w:t>
      </w:r>
      <w:r>
        <w:rPr>
          <w:rFonts w:eastAsiaTheme="minorEastAsia"/>
          <w:b/>
          <w:color w:val="000000"/>
          <w:szCs w:val="21"/>
        </w:rPr>
        <w:t>联接（</w:t>
      </w:r>
      <w:r>
        <w:rPr>
          <w:rFonts w:eastAsiaTheme="minorEastAsia"/>
          <w:b/>
          <w:color w:val="000000"/>
          <w:szCs w:val="21"/>
        </w:rPr>
        <w:t>QDII</w:t>
      </w:r>
      <w:r>
        <w:rPr>
          <w:rFonts w:eastAsiaTheme="minorEastAsia"/>
          <w:b/>
          <w:color w:val="000000"/>
          <w:szCs w:val="21"/>
        </w:rPr>
        <w:t>）</w:t>
      </w:r>
      <w:r>
        <w:rPr>
          <w:rFonts w:eastAsiaTheme="minorEastAsia"/>
          <w:b/>
          <w:color w:val="000000"/>
          <w:szCs w:val="21"/>
        </w:rPr>
        <w:t>A</w:t>
      </w:r>
    </w:p>
    <w:p w:rsidR="007F124D" w:rsidRDefault="007F124D" w:rsidP="007F124D">
      <w:pPr>
        <w:tabs>
          <w:tab w:val="left" w:pos="426"/>
        </w:tabs>
        <w:spacing w:line="360" w:lineRule="auto"/>
        <w:ind w:firstLineChars="200" w:firstLine="420"/>
        <w:jc w:val="left"/>
        <w:rPr>
          <w:kern w:val="0"/>
          <w:szCs w:val="21"/>
        </w:rPr>
      </w:pPr>
      <w:r>
        <w:rPr>
          <w:kern w:val="0"/>
          <w:szCs w:val="21"/>
        </w:rPr>
        <w:t>本报告期内未发生利润分配。</w:t>
      </w:r>
    </w:p>
    <w:p w:rsidR="007F124D" w:rsidRDefault="007F124D" w:rsidP="007F124D">
      <w:pPr>
        <w:adjustRightInd w:val="0"/>
        <w:snapToGrid w:val="0"/>
        <w:spacing w:line="288" w:lineRule="auto"/>
        <w:ind w:firstLineChars="200" w:firstLine="422"/>
        <w:rPr>
          <w:rFonts w:eastAsiaTheme="minorEastAsia"/>
          <w:b/>
          <w:color w:val="000000"/>
          <w:szCs w:val="21"/>
        </w:rPr>
      </w:pPr>
      <w:r>
        <w:rPr>
          <w:rFonts w:eastAsiaTheme="minorEastAsia"/>
          <w:b/>
          <w:color w:val="000000"/>
          <w:szCs w:val="21"/>
        </w:rPr>
        <w:t>易方达中证海外中国互联网</w:t>
      </w:r>
      <w:r>
        <w:rPr>
          <w:rFonts w:eastAsiaTheme="minorEastAsia"/>
          <w:b/>
          <w:color w:val="000000"/>
          <w:szCs w:val="21"/>
        </w:rPr>
        <w:t>50ETF</w:t>
      </w:r>
      <w:r>
        <w:rPr>
          <w:rFonts w:eastAsiaTheme="minorEastAsia"/>
          <w:b/>
          <w:color w:val="000000"/>
          <w:szCs w:val="21"/>
        </w:rPr>
        <w:t>联接（</w:t>
      </w:r>
      <w:r>
        <w:rPr>
          <w:rFonts w:eastAsiaTheme="minorEastAsia"/>
          <w:b/>
          <w:color w:val="000000"/>
          <w:szCs w:val="21"/>
        </w:rPr>
        <w:t>QDII</w:t>
      </w:r>
      <w:r>
        <w:rPr>
          <w:rFonts w:eastAsiaTheme="minorEastAsia"/>
          <w:b/>
          <w:color w:val="000000"/>
          <w:szCs w:val="21"/>
        </w:rPr>
        <w:t>）</w:t>
      </w:r>
      <w:r>
        <w:rPr>
          <w:rFonts w:eastAsiaTheme="minorEastAsia"/>
          <w:b/>
          <w:color w:val="000000"/>
          <w:szCs w:val="21"/>
        </w:rPr>
        <w:t>C</w:t>
      </w:r>
    </w:p>
    <w:p w:rsidR="008A5A5D" w:rsidRPr="00C24ACA" w:rsidRDefault="007F124D" w:rsidP="008707EB">
      <w:pPr>
        <w:tabs>
          <w:tab w:val="left" w:pos="426"/>
        </w:tabs>
        <w:spacing w:line="360" w:lineRule="auto"/>
        <w:ind w:firstLineChars="200" w:firstLine="420"/>
        <w:rPr>
          <w:rFonts w:eastAsiaTheme="minorEastAsia"/>
          <w:kern w:val="0"/>
          <w:szCs w:val="21"/>
        </w:rPr>
      </w:pPr>
      <w:r>
        <w:rPr>
          <w:kern w:val="0"/>
          <w:szCs w:val="21"/>
        </w:rPr>
        <w:t>本报告期内未发生利润分配。</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6.4.12</w:t>
      </w:r>
      <w:r w:rsidRPr="00C24ACA">
        <w:rPr>
          <w:rFonts w:eastAsiaTheme="minorEastAsia"/>
          <w:b/>
          <w:bCs/>
          <w:color w:val="000000"/>
          <w:szCs w:val="21"/>
        </w:rPr>
        <w:t>期末（</w:t>
      </w:r>
      <w:r w:rsidR="00AC4A34" w:rsidRPr="00C24ACA">
        <w:rPr>
          <w:rFonts w:eastAsiaTheme="minorEastAsia"/>
          <w:b/>
          <w:bCs/>
          <w:color w:val="000000"/>
          <w:szCs w:val="21"/>
        </w:rPr>
        <w:t>2020</w:t>
      </w:r>
      <w:r w:rsidR="00AC4A34" w:rsidRPr="00C24ACA">
        <w:rPr>
          <w:rFonts w:eastAsiaTheme="minorEastAsia"/>
          <w:b/>
          <w:bCs/>
          <w:color w:val="000000"/>
          <w:szCs w:val="21"/>
        </w:rPr>
        <w:t>年</w:t>
      </w:r>
      <w:r w:rsidR="00AC4A34" w:rsidRPr="00C24ACA">
        <w:rPr>
          <w:rFonts w:eastAsiaTheme="minorEastAsia"/>
          <w:b/>
          <w:bCs/>
          <w:color w:val="000000"/>
          <w:szCs w:val="21"/>
        </w:rPr>
        <w:t>6</w:t>
      </w:r>
      <w:r w:rsidR="00AC4A34" w:rsidRPr="00C24ACA">
        <w:rPr>
          <w:rFonts w:eastAsiaTheme="minorEastAsia"/>
          <w:b/>
          <w:bCs/>
          <w:color w:val="000000"/>
          <w:szCs w:val="21"/>
        </w:rPr>
        <w:t>月</w:t>
      </w:r>
      <w:r w:rsidR="00AC4A34" w:rsidRPr="00C24ACA">
        <w:rPr>
          <w:rFonts w:eastAsiaTheme="minorEastAsia"/>
          <w:b/>
          <w:bCs/>
          <w:color w:val="000000"/>
          <w:szCs w:val="21"/>
        </w:rPr>
        <w:t>30</w:t>
      </w:r>
      <w:r w:rsidR="00AC4A34" w:rsidRPr="00C24ACA">
        <w:rPr>
          <w:rFonts w:eastAsiaTheme="minorEastAsia"/>
          <w:b/>
          <w:bCs/>
          <w:color w:val="000000"/>
          <w:szCs w:val="21"/>
        </w:rPr>
        <w:t>日</w:t>
      </w:r>
      <w:r w:rsidRPr="00C24ACA">
        <w:rPr>
          <w:rFonts w:eastAsiaTheme="minorEastAsia"/>
          <w:b/>
          <w:bCs/>
          <w:color w:val="000000"/>
          <w:szCs w:val="21"/>
        </w:rPr>
        <w:t>）本基金持有的流通受限证券</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6.4.12.1</w:t>
      </w:r>
      <w:r w:rsidRPr="00C24ACA">
        <w:rPr>
          <w:rFonts w:eastAsiaTheme="minorEastAsia"/>
          <w:b/>
          <w:bCs/>
          <w:color w:val="000000"/>
          <w:szCs w:val="21"/>
        </w:rPr>
        <w:t>因认购新发</w:t>
      </w:r>
      <w:r w:rsidRPr="00C24ACA">
        <w:rPr>
          <w:rFonts w:eastAsiaTheme="minorEastAsia"/>
          <w:b/>
          <w:bCs/>
          <w:color w:val="000000"/>
          <w:szCs w:val="21"/>
        </w:rPr>
        <w:t>/</w:t>
      </w:r>
      <w:r w:rsidRPr="00C24ACA">
        <w:rPr>
          <w:rFonts w:eastAsiaTheme="minorEastAsia"/>
          <w:b/>
          <w:bCs/>
          <w:color w:val="000000"/>
          <w:szCs w:val="21"/>
        </w:rPr>
        <w:t>增发证券而于期末持有的流通受限证券</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本基金无因认购新发</w:t>
      </w:r>
      <w:r w:rsidRPr="00C24ACA">
        <w:rPr>
          <w:rFonts w:eastAsiaTheme="minorEastAsia"/>
          <w:kern w:val="0"/>
          <w:szCs w:val="21"/>
        </w:rPr>
        <w:t>/</w:t>
      </w:r>
      <w:r w:rsidRPr="00C24ACA">
        <w:rPr>
          <w:rFonts w:eastAsiaTheme="minorEastAsia"/>
          <w:kern w:val="0"/>
          <w:szCs w:val="21"/>
        </w:rPr>
        <w:t>增发证券而于期末持有的流通受限证券。</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6.4.12.2</w:t>
      </w:r>
      <w:r w:rsidRPr="00C24ACA">
        <w:rPr>
          <w:rFonts w:eastAsiaTheme="minorEastAsia"/>
          <w:b/>
          <w:bCs/>
          <w:color w:val="000000"/>
          <w:szCs w:val="21"/>
        </w:rPr>
        <w:t>期末持有的暂时停牌等流通受限股票</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本基金本报告期末未持有股票。</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6.4.12.3</w:t>
      </w:r>
      <w:r w:rsidRPr="00C24ACA">
        <w:rPr>
          <w:rFonts w:eastAsiaTheme="minorEastAsia"/>
          <w:b/>
          <w:bCs/>
          <w:color w:val="000000"/>
          <w:szCs w:val="21"/>
        </w:rPr>
        <w:t>期末债券正回购交易中作为抵押的债券</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6.4.12.3.1</w:t>
      </w:r>
      <w:r w:rsidRPr="00C24ACA">
        <w:rPr>
          <w:rFonts w:eastAsiaTheme="minorEastAsia"/>
          <w:b/>
          <w:bCs/>
          <w:color w:val="000000"/>
          <w:szCs w:val="21"/>
        </w:rPr>
        <w:t>银行间市场债券正回购</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截至本报告期末</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日止，本基金从事银行间市场债券正回购交易形成的卖出回购证券款余额为</w:t>
      </w:r>
      <w:r w:rsidRPr="00C24ACA">
        <w:rPr>
          <w:rFonts w:eastAsiaTheme="minorEastAsia"/>
          <w:kern w:val="0"/>
          <w:szCs w:val="21"/>
        </w:rPr>
        <w:t>0</w:t>
      </w:r>
      <w:r w:rsidRPr="00C24ACA">
        <w:rPr>
          <w:rFonts w:eastAsiaTheme="minorEastAsia"/>
          <w:kern w:val="0"/>
          <w:szCs w:val="21"/>
        </w:rPr>
        <w:t>，无抵押债券。</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6.4.12.3.2</w:t>
      </w:r>
      <w:r w:rsidRPr="00C24ACA">
        <w:rPr>
          <w:rFonts w:eastAsiaTheme="minorEastAsia"/>
          <w:b/>
          <w:bCs/>
          <w:color w:val="000000"/>
          <w:szCs w:val="21"/>
        </w:rPr>
        <w:t>交易所市场债券正回购</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截至本报告期末</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日止，本基金从事证券交易所债券正回购交易形成的卖出回购证券款余额为</w:t>
      </w:r>
      <w:r w:rsidRPr="00C24ACA">
        <w:rPr>
          <w:rFonts w:eastAsiaTheme="minorEastAsia"/>
          <w:kern w:val="0"/>
          <w:szCs w:val="21"/>
        </w:rPr>
        <w:t>0</w:t>
      </w:r>
      <w:r w:rsidRPr="00C24ACA">
        <w:rPr>
          <w:rFonts w:eastAsiaTheme="minorEastAsia"/>
          <w:kern w:val="0"/>
          <w:szCs w:val="21"/>
        </w:rPr>
        <w:t>，无抵押债券。</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w:t>
      </w:r>
      <w:r w:rsidRPr="00C24ACA">
        <w:rPr>
          <w:rFonts w:eastAsiaTheme="minorEastAsia"/>
          <w:b/>
          <w:bCs/>
          <w:color w:val="000000"/>
          <w:szCs w:val="21"/>
        </w:rPr>
        <w:t>金融工具风险及管理</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6.4.13.1</w:t>
      </w:r>
      <w:r w:rsidRPr="00C24ACA">
        <w:rPr>
          <w:rFonts w:eastAsiaTheme="minorEastAsia"/>
          <w:b/>
          <w:bCs/>
          <w:color w:val="000000"/>
          <w:szCs w:val="21"/>
        </w:rPr>
        <w:t>风险管理政策和组织架构</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本基金管理人按照</w:t>
      </w:r>
      <w:r>
        <w:rPr>
          <w:rFonts w:eastAsiaTheme="minorEastAsia"/>
          <w:kern w:val="0"/>
          <w:szCs w:val="21"/>
        </w:rPr>
        <w:t>“</w:t>
      </w:r>
      <w:r>
        <w:rPr>
          <w:rFonts w:eastAsiaTheme="minorEastAsia"/>
          <w:kern w:val="0"/>
          <w:szCs w:val="21"/>
        </w:rPr>
        <w:t>自上而下与自下而上相结合，全面管理、专业分工</w:t>
      </w:r>
      <w:r>
        <w:rPr>
          <w:rFonts w:eastAsiaTheme="minorEastAsia"/>
          <w:kern w:val="0"/>
          <w:szCs w:val="21"/>
        </w:rPr>
        <w:t>”</w:t>
      </w:r>
      <w:r>
        <w:rPr>
          <w:rFonts w:eastAsiaTheme="minorEastAsia"/>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rFonts w:eastAsiaTheme="minorEastAsia"/>
          <w:kern w:val="0"/>
          <w:szCs w:val="21"/>
        </w:rPr>
        <w:t>“</w:t>
      </w:r>
      <w:r>
        <w:rPr>
          <w:rFonts w:eastAsiaTheme="minorEastAsia"/>
          <w:kern w:val="0"/>
          <w:szCs w:val="21"/>
        </w:rPr>
        <w:t>事前的风险定位、事中的风险管理和事后的风险评估</w:t>
      </w:r>
      <w:r>
        <w:rPr>
          <w:rFonts w:eastAsiaTheme="minorEastAsia"/>
          <w:kern w:val="0"/>
          <w:szCs w:val="21"/>
        </w:rPr>
        <w:t>”</w:t>
      </w:r>
      <w:r>
        <w:rPr>
          <w:rFonts w:eastAsiaTheme="minorEastAsia"/>
          <w:kern w:val="0"/>
          <w:szCs w:val="21"/>
        </w:rPr>
        <w:t>的健全的风险监控体系。</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本基金属股票基金，预期风险与收益水平高于混合基金、债券基金与货币市场基金。本基金为指数型基金，采取间接的方法，通过将绝大部分基金财产投资于中证海外中国互联网</w:t>
      </w:r>
      <w:r w:rsidRPr="00C24ACA">
        <w:rPr>
          <w:rFonts w:eastAsiaTheme="minorEastAsia"/>
          <w:kern w:val="0"/>
          <w:szCs w:val="21"/>
        </w:rPr>
        <w:t>ETF</w:t>
      </w:r>
      <w:r w:rsidRPr="00C24ACA">
        <w:rPr>
          <w:rFonts w:eastAsiaTheme="minorEastAsia"/>
          <w:kern w:val="0"/>
          <w:szCs w:val="21"/>
        </w:rPr>
        <w:t>，实现对业绩比较基准的紧密跟踪。因此本基金具有与标的指数相似的风险收益特征。</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6.4.13.2</w:t>
      </w:r>
      <w:r w:rsidRPr="00C24ACA">
        <w:rPr>
          <w:rFonts w:eastAsiaTheme="minorEastAsia"/>
          <w:b/>
          <w:bCs/>
          <w:color w:val="000000"/>
          <w:szCs w:val="21"/>
        </w:rPr>
        <w:t>信用风险</w:t>
      </w:r>
    </w:p>
    <w:p w:rsidR="007F3F42" w:rsidRDefault="00781698">
      <w:pPr>
        <w:tabs>
          <w:tab w:val="left" w:pos="426"/>
        </w:tabs>
        <w:spacing w:line="360" w:lineRule="auto"/>
        <w:ind w:firstLineChars="200" w:firstLine="420"/>
        <w:rPr>
          <w:kern w:val="0"/>
          <w:szCs w:val="21"/>
        </w:rPr>
      </w:pPr>
      <w:r>
        <w:rPr>
          <w:rFonts w:eastAsiaTheme="minorEastAsia"/>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392A2D" w:rsidRDefault="008A5A5D" w:rsidP="00392A2D">
      <w:pPr>
        <w:tabs>
          <w:tab w:val="left" w:pos="426"/>
        </w:tabs>
        <w:spacing w:line="360" w:lineRule="auto"/>
        <w:ind w:firstLineChars="200" w:firstLine="420"/>
        <w:rPr>
          <w:kern w:val="0"/>
          <w:szCs w:val="21"/>
        </w:rPr>
      </w:pPr>
      <w:r w:rsidRPr="00C24ACA">
        <w:rPr>
          <w:rFonts w:eastAsiaTheme="minorEastAsia"/>
          <w:kern w:val="0"/>
          <w:szCs w:val="21"/>
        </w:rPr>
        <w:t>于</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日，本基金持有的除国债、央行票据和政策性金融债以外的债券占基金资产净值的比例为</w:t>
      </w:r>
      <w:r w:rsidRPr="00C24ACA">
        <w:rPr>
          <w:rFonts w:eastAsiaTheme="minorEastAsia"/>
          <w:kern w:val="0"/>
          <w:szCs w:val="21"/>
        </w:rPr>
        <w:t>0.00%(2019</w:t>
      </w:r>
      <w:r w:rsidRPr="00C24ACA">
        <w:rPr>
          <w:rFonts w:eastAsiaTheme="minorEastAsia"/>
          <w:kern w:val="0"/>
          <w:szCs w:val="21"/>
        </w:rPr>
        <w:t>年</w:t>
      </w:r>
      <w:r w:rsidRPr="00C24ACA">
        <w:rPr>
          <w:rFonts w:eastAsiaTheme="minorEastAsia"/>
          <w:kern w:val="0"/>
          <w:szCs w:val="21"/>
        </w:rPr>
        <w:t>12</w:t>
      </w:r>
      <w:r w:rsidRPr="00C24ACA">
        <w:rPr>
          <w:rFonts w:eastAsiaTheme="minorEastAsia"/>
          <w:kern w:val="0"/>
          <w:szCs w:val="21"/>
        </w:rPr>
        <w:t>月</w:t>
      </w:r>
      <w:r w:rsidRPr="00C24ACA">
        <w:rPr>
          <w:rFonts w:eastAsiaTheme="minorEastAsia"/>
          <w:kern w:val="0"/>
          <w:szCs w:val="21"/>
        </w:rPr>
        <w:t>31</w:t>
      </w:r>
      <w:r w:rsidRPr="00C24ACA">
        <w:rPr>
          <w:rFonts w:eastAsiaTheme="minorEastAsia"/>
          <w:kern w:val="0"/>
          <w:szCs w:val="21"/>
        </w:rPr>
        <w:t>日：</w:t>
      </w:r>
      <w:r w:rsidRPr="00C24ACA">
        <w:rPr>
          <w:rFonts w:eastAsiaTheme="minorEastAsia"/>
          <w:kern w:val="0"/>
          <w:szCs w:val="21"/>
        </w:rPr>
        <w:t>0.00%)</w:t>
      </w:r>
      <w:r w:rsidRPr="00C24ACA">
        <w:rPr>
          <w:rFonts w:eastAsiaTheme="minorEastAsia"/>
          <w:kern w:val="0"/>
          <w:szCs w:val="21"/>
        </w:rPr>
        <w:t>。</w:t>
      </w:r>
    </w:p>
    <w:p w:rsidR="00392A2D" w:rsidRPr="003E69CF" w:rsidRDefault="00392A2D" w:rsidP="003E69CF">
      <w:pPr>
        <w:spacing w:beforeLines="100" w:before="312" w:line="360" w:lineRule="auto"/>
        <w:rPr>
          <w:rFonts w:eastAsiaTheme="minorEastAsia"/>
          <w:b/>
          <w:color w:val="000000"/>
          <w:szCs w:val="21"/>
        </w:rPr>
      </w:pPr>
      <w:r w:rsidRPr="003E69CF">
        <w:rPr>
          <w:rFonts w:eastAsiaTheme="minorEastAsia" w:hint="eastAsia"/>
          <w:b/>
          <w:color w:val="000000"/>
          <w:szCs w:val="21"/>
        </w:rPr>
        <w:t xml:space="preserve">6.4.13.2.1 </w:t>
      </w:r>
      <w:r w:rsidRPr="003E69CF">
        <w:rPr>
          <w:rFonts w:eastAsiaTheme="minorEastAsia" w:hint="eastAsia"/>
          <w:b/>
          <w:color w:val="000000"/>
          <w:szCs w:val="21"/>
        </w:rPr>
        <w:t>按短期信用评级列示的债券投资</w:t>
      </w:r>
    </w:p>
    <w:p w:rsidR="00392A2D" w:rsidRDefault="00392A2D" w:rsidP="00392A2D">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392A2D" w:rsidTr="00D0593F">
        <w:trPr>
          <w:jc w:val="center"/>
        </w:trPr>
        <w:tc>
          <w:tcPr>
            <w:tcW w:w="2552" w:type="dxa"/>
            <w:vAlign w:val="center"/>
            <w:hideMark/>
          </w:tcPr>
          <w:p w:rsidR="00392A2D" w:rsidRDefault="00392A2D">
            <w:pPr>
              <w:jc w:val="center"/>
              <w:rPr>
                <w:szCs w:val="21"/>
              </w:rPr>
            </w:pPr>
            <w:r>
              <w:rPr>
                <w:rFonts w:hint="eastAsia"/>
                <w:szCs w:val="21"/>
              </w:rPr>
              <w:t>短期信用评级</w:t>
            </w:r>
          </w:p>
        </w:tc>
        <w:tc>
          <w:tcPr>
            <w:tcW w:w="3045" w:type="dxa"/>
            <w:vAlign w:val="center"/>
            <w:hideMark/>
          </w:tcPr>
          <w:p w:rsidR="00392A2D" w:rsidRDefault="00392A2D">
            <w:pPr>
              <w:widowControl/>
              <w:autoSpaceDE w:val="0"/>
              <w:autoSpaceDN w:val="0"/>
              <w:ind w:right="-15"/>
              <w:jc w:val="center"/>
              <w:textAlignment w:val="bottom"/>
              <w:rPr>
                <w:szCs w:val="21"/>
              </w:rPr>
            </w:pPr>
            <w:r>
              <w:rPr>
                <w:rFonts w:hint="eastAsia"/>
                <w:szCs w:val="21"/>
              </w:rPr>
              <w:t>本期末</w:t>
            </w:r>
          </w:p>
          <w:p w:rsidR="00392A2D" w:rsidRDefault="00392A2D">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392A2D" w:rsidRDefault="00392A2D">
            <w:pPr>
              <w:widowControl/>
              <w:autoSpaceDE w:val="0"/>
              <w:autoSpaceDN w:val="0"/>
              <w:ind w:right="-15"/>
              <w:jc w:val="center"/>
              <w:textAlignment w:val="bottom"/>
              <w:rPr>
                <w:szCs w:val="21"/>
              </w:rPr>
            </w:pPr>
            <w:r>
              <w:rPr>
                <w:rFonts w:hint="eastAsia"/>
                <w:szCs w:val="21"/>
              </w:rPr>
              <w:t>上年度末</w:t>
            </w:r>
          </w:p>
          <w:p w:rsidR="00392A2D" w:rsidRDefault="00392A2D">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392A2D" w:rsidTr="00D0593F">
        <w:trPr>
          <w:jc w:val="center"/>
        </w:trPr>
        <w:tc>
          <w:tcPr>
            <w:tcW w:w="2552" w:type="dxa"/>
            <w:vAlign w:val="center"/>
            <w:hideMark/>
          </w:tcPr>
          <w:p w:rsidR="00392A2D" w:rsidRDefault="00392A2D">
            <w:pPr>
              <w:rPr>
                <w:szCs w:val="21"/>
              </w:rPr>
            </w:pPr>
            <w:r>
              <w:rPr>
                <w:szCs w:val="21"/>
              </w:rPr>
              <w:t>A-1</w:t>
            </w:r>
          </w:p>
        </w:tc>
        <w:tc>
          <w:tcPr>
            <w:tcW w:w="3045" w:type="dxa"/>
            <w:vAlign w:val="center"/>
            <w:hideMark/>
          </w:tcPr>
          <w:p w:rsidR="00392A2D" w:rsidRDefault="00392A2D">
            <w:pPr>
              <w:jc w:val="right"/>
              <w:rPr>
                <w:szCs w:val="21"/>
              </w:rPr>
            </w:pPr>
            <w:r>
              <w:rPr>
                <w:szCs w:val="21"/>
              </w:rPr>
              <w:t>0.00</w:t>
            </w:r>
          </w:p>
        </w:tc>
        <w:tc>
          <w:tcPr>
            <w:tcW w:w="3043" w:type="dxa"/>
            <w:vAlign w:val="center"/>
            <w:hideMark/>
          </w:tcPr>
          <w:p w:rsidR="00392A2D" w:rsidRDefault="00392A2D">
            <w:pPr>
              <w:jc w:val="right"/>
              <w:rPr>
                <w:szCs w:val="21"/>
              </w:rPr>
            </w:pPr>
            <w:r>
              <w:rPr>
                <w:szCs w:val="21"/>
              </w:rPr>
              <w:t>0.00</w:t>
            </w:r>
          </w:p>
        </w:tc>
      </w:tr>
      <w:tr w:rsidR="00392A2D" w:rsidTr="00D0593F">
        <w:trPr>
          <w:jc w:val="center"/>
        </w:trPr>
        <w:tc>
          <w:tcPr>
            <w:tcW w:w="2552" w:type="dxa"/>
            <w:vAlign w:val="center"/>
            <w:hideMark/>
          </w:tcPr>
          <w:p w:rsidR="00392A2D" w:rsidRDefault="00392A2D">
            <w:pPr>
              <w:rPr>
                <w:szCs w:val="21"/>
              </w:rPr>
            </w:pPr>
            <w:r>
              <w:rPr>
                <w:szCs w:val="21"/>
              </w:rPr>
              <w:t>A-1</w:t>
            </w:r>
            <w:r>
              <w:rPr>
                <w:rFonts w:hint="eastAsia"/>
                <w:szCs w:val="21"/>
              </w:rPr>
              <w:t>以下</w:t>
            </w:r>
          </w:p>
        </w:tc>
        <w:tc>
          <w:tcPr>
            <w:tcW w:w="3045" w:type="dxa"/>
            <w:vAlign w:val="center"/>
            <w:hideMark/>
          </w:tcPr>
          <w:p w:rsidR="00392A2D" w:rsidRDefault="00392A2D">
            <w:pPr>
              <w:jc w:val="right"/>
              <w:rPr>
                <w:szCs w:val="21"/>
              </w:rPr>
            </w:pPr>
            <w:r>
              <w:rPr>
                <w:szCs w:val="21"/>
              </w:rPr>
              <w:t>0.00</w:t>
            </w:r>
          </w:p>
        </w:tc>
        <w:tc>
          <w:tcPr>
            <w:tcW w:w="3043" w:type="dxa"/>
            <w:vAlign w:val="center"/>
            <w:hideMark/>
          </w:tcPr>
          <w:p w:rsidR="00392A2D" w:rsidRDefault="00392A2D">
            <w:pPr>
              <w:jc w:val="right"/>
              <w:rPr>
                <w:szCs w:val="21"/>
              </w:rPr>
            </w:pPr>
            <w:r>
              <w:rPr>
                <w:szCs w:val="21"/>
              </w:rPr>
              <w:t>0.00</w:t>
            </w:r>
          </w:p>
        </w:tc>
      </w:tr>
      <w:tr w:rsidR="00392A2D" w:rsidTr="00D0593F">
        <w:trPr>
          <w:jc w:val="center"/>
        </w:trPr>
        <w:tc>
          <w:tcPr>
            <w:tcW w:w="2552" w:type="dxa"/>
            <w:vAlign w:val="center"/>
            <w:hideMark/>
          </w:tcPr>
          <w:p w:rsidR="00392A2D" w:rsidRDefault="00392A2D">
            <w:pPr>
              <w:rPr>
                <w:szCs w:val="21"/>
              </w:rPr>
            </w:pPr>
            <w:r>
              <w:rPr>
                <w:rFonts w:hint="eastAsia"/>
                <w:kern w:val="0"/>
                <w:szCs w:val="21"/>
              </w:rPr>
              <w:t>未评级</w:t>
            </w:r>
          </w:p>
        </w:tc>
        <w:tc>
          <w:tcPr>
            <w:tcW w:w="3045" w:type="dxa"/>
            <w:vAlign w:val="center"/>
            <w:hideMark/>
          </w:tcPr>
          <w:p w:rsidR="00392A2D" w:rsidRDefault="00392A2D">
            <w:pPr>
              <w:jc w:val="right"/>
              <w:rPr>
                <w:szCs w:val="21"/>
              </w:rPr>
            </w:pPr>
            <w:r>
              <w:rPr>
                <w:szCs w:val="21"/>
              </w:rPr>
              <w:t>0.00</w:t>
            </w:r>
          </w:p>
        </w:tc>
        <w:tc>
          <w:tcPr>
            <w:tcW w:w="3043" w:type="dxa"/>
            <w:vAlign w:val="center"/>
            <w:hideMark/>
          </w:tcPr>
          <w:p w:rsidR="00392A2D" w:rsidRDefault="00392A2D">
            <w:pPr>
              <w:jc w:val="right"/>
              <w:rPr>
                <w:szCs w:val="21"/>
              </w:rPr>
            </w:pPr>
            <w:r>
              <w:rPr>
                <w:szCs w:val="21"/>
              </w:rPr>
              <w:t>0.00</w:t>
            </w:r>
          </w:p>
        </w:tc>
      </w:tr>
      <w:tr w:rsidR="00392A2D" w:rsidTr="00D0593F">
        <w:trPr>
          <w:jc w:val="center"/>
        </w:trPr>
        <w:tc>
          <w:tcPr>
            <w:tcW w:w="2552" w:type="dxa"/>
            <w:vAlign w:val="center"/>
            <w:hideMark/>
          </w:tcPr>
          <w:p w:rsidR="00392A2D" w:rsidRDefault="00392A2D">
            <w:pPr>
              <w:rPr>
                <w:szCs w:val="21"/>
              </w:rPr>
            </w:pPr>
            <w:r>
              <w:rPr>
                <w:rFonts w:hint="eastAsia"/>
                <w:kern w:val="0"/>
                <w:szCs w:val="21"/>
              </w:rPr>
              <w:t>合计</w:t>
            </w:r>
          </w:p>
        </w:tc>
        <w:tc>
          <w:tcPr>
            <w:tcW w:w="3045" w:type="dxa"/>
            <w:vAlign w:val="center"/>
            <w:hideMark/>
          </w:tcPr>
          <w:p w:rsidR="00392A2D" w:rsidRDefault="00392A2D">
            <w:pPr>
              <w:jc w:val="right"/>
              <w:rPr>
                <w:szCs w:val="21"/>
              </w:rPr>
            </w:pPr>
            <w:r>
              <w:rPr>
                <w:szCs w:val="21"/>
              </w:rPr>
              <w:t>0.00</w:t>
            </w:r>
          </w:p>
        </w:tc>
        <w:tc>
          <w:tcPr>
            <w:tcW w:w="3043" w:type="dxa"/>
            <w:vAlign w:val="center"/>
            <w:hideMark/>
          </w:tcPr>
          <w:p w:rsidR="00392A2D" w:rsidRDefault="00392A2D">
            <w:pPr>
              <w:jc w:val="right"/>
              <w:rPr>
                <w:szCs w:val="21"/>
              </w:rPr>
            </w:pPr>
            <w:r>
              <w:rPr>
                <w:szCs w:val="21"/>
              </w:rPr>
              <w:t>0.00</w:t>
            </w:r>
          </w:p>
        </w:tc>
      </w:tr>
    </w:tbl>
    <w:p w:rsidR="007F3F42" w:rsidRDefault="0078169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7F3F42" w:rsidRDefault="0078169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392A2D" w:rsidRDefault="00392A2D" w:rsidP="00392A2D">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392A2D" w:rsidRPr="003E69CF" w:rsidRDefault="00392A2D" w:rsidP="003E69CF">
      <w:pPr>
        <w:spacing w:beforeLines="100" w:before="312" w:line="360" w:lineRule="auto"/>
        <w:rPr>
          <w:rFonts w:eastAsiaTheme="minorEastAsia"/>
          <w:b/>
          <w:color w:val="000000"/>
          <w:szCs w:val="21"/>
        </w:rPr>
      </w:pPr>
      <w:r w:rsidRPr="003E69CF">
        <w:rPr>
          <w:rFonts w:eastAsiaTheme="minorEastAsia" w:hint="eastAsia"/>
          <w:b/>
          <w:color w:val="000000"/>
          <w:szCs w:val="21"/>
        </w:rPr>
        <w:t xml:space="preserve">6.4.13.2.2 </w:t>
      </w:r>
      <w:r w:rsidRPr="003E69CF">
        <w:rPr>
          <w:rFonts w:eastAsiaTheme="minorEastAsia" w:hint="eastAsia"/>
          <w:b/>
          <w:color w:val="000000"/>
          <w:szCs w:val="21"/>
        </w:rPr>
        <w:t>按短期信用评级列示的资产支持证券投资</w:t>
      </w:r>
    </w:p>
    <w:p w:rsidR="00392A2D" w:rsidRDefault="00392A2D" w:rsidP="00392A2D">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392A2D" w:rsidTr="00D0593F">
        <w:trPr>
          <w:jc w:val="center"/>
        </w:trPr>
        <w:tc>
          <w:tcPr>
            <w:tcW w:w="2552" w:type="dxa"/>
            <w:vAlign w:val="center"/>
            <w:hideMark/>
          </w:tcPr>
          <w:p w:rsidR="00392A2D" w:rsidRDefault="00392A2D">
            <w:pPr>
              <w:jc w:val="center"/>
              <w:rPr>
                <w:rFonts w:eastAsiaTheme="minorEastAsia"/>
                <w:szCs w:val="21"/>
              </w:rPr>
            </w:pPr>
            <w:r>
              <w:rPr>
                <w:rFonts w:eastAsiaTheme="minorEastAsia" w:hint="eastAsia"/>
                <w:szCs w:val="21"/>
              </w:rPr>
              <w:t>短期信用评级</w:t>
            </w:r>
          </w:p>
        </w:tc>
        <w:tc>
          <w:tcPr>
            <w:tcW w:w="3049"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392A2D" w:rsidTr="00D0593F">
        <w:trPr>
          <w:jc w:val="center"/>
        </w:trPr>
        <w:tc>
          <w:tcPr>
            <w:tcW w:w="2552" w:type="dxa"/>
            <w:hideMark/>
          </w:tcPr>
          <w:p w:rsidR="00392A2D" w:rsidRDefault="00392A2D">
            <w:pPr>
              <w:rPr>
                <w:rFonts w:eastAsiaTheme="minorEastAsia"/>
                <w:szCs w:val="21"/>
              </w:rPr>
            </w:pPr>
            <w:r>
              <w:rPr>
                <w:rFonts w:eastAsiaTheme="minorEastAsia"/>
                <w:szCs w:val="21"/>
              </w:rPr>
              <w:t>A-1</w:t>
            </w:r>
          </w:p>
        </w:tc>
        <w:tc>
          <w:tcPr>
            <w:tcW w:w="3049"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552" w:type="dxa"/>
            <w:hideMark/>
          </w:tcPr>
          <w:p w:rsidR="00392A2D" w:rsidRDefault="00392A2D">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552" w:type="dxa"/>
            <w:vAlign w:val="center"/>
            <w:hideMark/>
          </w:tcPr>
          <w:p w:rsidR="00392A2D" w:rsidRDefault="00392A2D">
            <w:pPr>
              <w:rPr>
                <w:rFonts w:eastAsiaTheme="minorEastAsia"/>
                <w:szCs w:val="21"/>
              </w:rPr>
            </w:pPr>
            <w:r>
              <w:rPr>
                <w:rFonts w:eastAsiaTheme="minorEastAsia" w:hint="eastAsia"/>
                <w:kern w:val="0"/>
                <w:szCs w:val="21"/>
              </w:rPr>
              <w:t>未评级</w:t>
            </w:r>
          </w:p>
        </w:tc>
        <w:tc>
          <w:tcPr>
            <w:tcW w:w="3049"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552" w:type="dxa"/>
            <w:vAlign w:val="center"/>
            <w:hideMark/>
          </w:tcPr>
          <w:p w:rsidR="00392A2D" w:rsidRDefault="00392A2D">
            <w:pPr>
              <w:rPr>
                <w:rFonts w:eastAsiaTheme="minorEastAsia"/>
                <w:szCs w:val="21"/>
              </w:rPr>
            </w:pPr>
            <w:r>
              <w:rPr>
                <w:rFonts w:eastAsiaTheme="minorEastAsia" w:hint="eastAsia"/>
                <w:kern w:val="0"/>
                <w:szCs w:val="21"/>
              </w:rPr>
              <w:t>合计</w:t>
            </w:r>
          </w:p>
        </w:tc>
        <w:tc>
          <w:tcPr>
            <w:tcW w:w="3049"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bl>
    <w:p w:rsidR="00392A2D" w:rsidRDefault="00392A2D" w:rsidP="003E69CF">
      <w:pPr>
        <w:spacing w:beforeLines="100" w:before="312" w:line="360" w:lineRule="auto"/>
        <w:rPr>
          <w:rFonts w:ascii="宋体"/>
          <w:b/>
          <w:bCs/>
          <w:color w:val="000000"/>
          <w:szCs w:val="21"/>
        </w:rPr>
      </w:pPr>
      <w:r w:rsidRPr="003E69CF">
        <w:rPr>
          <w:rFonts w:eastAsiaTheme="minorEastAsia" w:hint="eastAsia"/>
          <w:b/>
          <w:color w:val="000000"/>
          <w:szCs w:val="21"/>
        </w:rPr>
        <w:t xml:space="preserve">6.4.13.2.3 </w:t>
      </w:r>
      <w:r w:rsidRPr="003E69CF">
        <w:rPr>
          <w:rFonts w:eastAsiaTheme="minorEastAsia" w:hint="eastAsia"/>
          <w:b/>
          <w:color w:val="000000"/>
          <w:szCs w:val="21"/>
        </w:rPr>
        <w:t>按短期信用评级列示的同业存单投资</w:t>
      </w:r>
    </w:p>
    <w:p w:rsidR="00392A2D" w:rsidRDefault="00392A2D" w:rsidP="00392A2D">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392A2D" w:rsidTr="00D0593F">
        <w:trPr>
          <w:jc w:val="center"/>
        </w:trPr>
        <w:tc>
          <w:tcPr>
            <w:tcW w:w="2624" w:type="dxa"/>
            <w:vAlign w:val="center"/>
            <w:hideMark/>
          </w:tcPr>
          <w:p w:rsidR="00392A2D" w:rsidRDefault="00392A2D">
            <w:pPr>
              <w:jc w:val="center"/>
              <w:rPr>
                <w:rFonts w:eastAsiaTheme="minorEastAsia"/>
                <w:szCs w:val="21"/>
              </w:rPr>
            </w:pPr>
            <w:r>
              <w:rPr>
                <w:rFonts w:eastAsiaTheme="minorEastAsia" w:hint="eastAsia"/>
                <w:szCs w:val="21"/>
              </w:rPr>
              <w:t>短期信用评级</w:t>
            </w:r>
          </w:p>
        </w:tc>
        <w:tc>
          <w:tcPr>
            <w:tcW w:w="2977"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392A2D" w:rsidTr="00D0593F">
        <w:trPr>
          <w:jc w:val="center"/>
        </w:trPr>
        <w:tc>
          <w:tcPr>
            <w:tcW w:w="2624" w:type="dxa"/>
            <w:hideMark/>
          </w:tcPr>
          <w:p w:rsidR="00392A2D" w:rsidRDefault="00392A2D">
            <w:pPr>
              <w:rPr>
                <w:rFonts w:eastAsiaTheme="minorEastAsia"/>
                <w:szCs w:val="21"/>
              </w:rPr>
            </w:pPr>
            <w:r>
              <w:rPr>
                <w:rFonts w:eastAsiaTheme="minorEastAsia"/>
                <w:szCs w:val="21"/>
              </w:rPr>
              <w:t>A-1</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624" w:type="dxa"/>
            <w:hideMark/>
          </w:tcPr>
          <w:p w:rsidR="00392A2D" w:rsidRDefault="00392A2D">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624" w:type="dxa"/>
            <w:vAlign w:val="center"/>
            <w:hideMark/>
          </w:tcPr>
          <w:p w:rsidR="00392A2D" w:rsidRDefault="00392A2D">
            <w:pPr>
              <w:rPr>
                <w:rFonts w:eastAsiaTheme="minorEastAsia"/>
                <w:szCs w:val="21"/>
              </w:rPr>
            </w:pPr>
            <w:r>
              <w:rPr>
                <w:rFonts w:eastAsiaTheme="minorEastAsia" w:hint="eastAsia"/>
                <w:kern w:val="0"/>
                <w:szCs w:val="21"/>
              </w:rPr>
              <w:t>未评级</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624" w:type="dxa"/>
            <w:vAlign w:val="center"/>
            <w:hideMark/>
          </w:tcPr>
          <w:p w:rsidR="00392A2D" w:rsidRDefault="00392A2D">
            <w:pPr>
              <w:rPr>
                <w:rFonts w:eastAsiaTheme="minorEastAsia"/>
                <w:szCs w:val="21"/>
              </w:rPr>
            </w:pPr>
            <w:r>
              <w:rPr>
                <w:rFonts w:eastAsiaTheme="minorEastAsia" w:hint="eastAsia"/>
                <w:kern w:val="0"/>
                <w:szCs w:val="21"/>
              </w:rPr>
              <w:t>合计</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bl>
    <w:p w:rsidR="00392A2D" w:rsidRDefault="00392A2D" w:rsidP="003E69CF">
      <w:pPr>
        <w:spacing w:beforeLines="100" w:before="312" w:line="360" w:lineRule="auto"/>
        <w:rPr>
          <w:rFonts w:ascii="宋体"/>
          <w:b/>
          <w:bCs/>
          <w:color w:val="000000"/>
          <w:szCs w:val="21"/>
        </w:rPr>
      </w:pPr>
      <w:r w:rsidRPr="003E69CF">
        <w:rPr>
          <w:rFonts w:eastAsiaTheme="minorEastAsia" w:hint="eastAsia"/>
          <w:b/>
          <w:color w:val="000000"/>
          <w:szCs w:val="21"/>
        </w:rPr>
        <w:t xml:space="preserve">6.4.13.2.4 </w:t>
      </w:r>
      <w:r w:rsidRPr="003E69CF">
        <w:rPr>
          <w:rFonts w:eastAsiaTheme="minorEastAsia" w:hint="eastAsia"/>
          <w:b/>
          <w:color w:val="000000"/>
          <w:szCs w:val="21"/>
        </w:rPr>
        <w:t>按长期信用评级列示的债券投资</w:t>
      </w:r>
    </w:p>
    <w:p w:rsidR="00392A2D" w:rsidRDefault="00392A2D" w:rsidP="00392A2D">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392A2D" w:rsidTr="00D0593F">
        <w:tc>
          <w:tcPr>
            <w:tcW w:w="2655" w:type="dxa"/>
            <w:vAlign w:val="center"/>
            <w:hideMark/>
          </w:tcPr>
          <w:p w:rsidR="00392A2D" w:rsidRDefault="00392A2D">
            <w:pPr>
              <w:jc w:val="center"/>
              <w:rPr>
                <w:szCs w:val="21"/>
              </w:rPr>
            </w:pPr>
            <w:r>
              <w:rPr>
                <w:rFonts w:hint="eastAsia"/>
                <w:szCs w:val="21"/>
              </w:rPr>
              <w:t>长期信用评级</w:t>
            </w:r>
          </w:p>
        </w:tc>
        <w:tc>
          <w:tcPr>
            <w:tcW w:w="2977" w:type="dxa"/>
            <w:vAlign w:val="center"/>
            <w:hideMark/>
          </w:tcPr>
          <w:p w:rsidR="00392A2D" w:rsidRDefault="00392A2D">
            <w:pPr>
              <w:widowControl/>
              <w:autoSpaceDE w:val="0"/>
              <w:autoSpaceDN w:val="0"/>
              <w:ind w:right="-15"/>
              <w:jc w:val="center"/>
              <w:textAlignment w:val="bottom"/>
              <w:rPr>
                <w:szCs w:val="21"/>
              </w:rPr>
            </w:pPr>
            <w:r>
              <w:rPr>
                <w:rFonts w:hint="eastAsia"/>
                <w:szCs w:val="21"/>
              </w:rPr>
              <w:t>本期末</w:t>
            </w:r>
          </w:p>
          <w:p w:rsidR="00392A2D" w:rsidRDefault="00392A2D">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392A2D" w:rsidRDefault="00392A2D">
            <w:pPr>
              <w:widowControl/>
              <w:autoSpaceDE w:val="0"/>
              <w:autoSpaceDN w:val="0"/>
              <w:ind w:right="-15"/>
              <w:jc w:val="center"/>
              <w:textAlignment w:val="bottom"/>
              <w:rPr>
                <w:szCs w:val="21"/>
              </w:rPr>
            </w:pPr>
            <w:r>
              <w:rPr>
                <w:rFonts w:hint="eastAsia"/>
                <w:szCs w:val="21"/>
              </w:rPr>
              <w:t>上年度末</w:t>
            </w:r>
          </w:p>
          <w:p w:rsidR="00392A2D" w:rsidRDefault="00392A2D">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392A2D" w:rsidTr="00D0593F">
        <w:tc>
          <w:tcPr>
            <w:tcW w:w="2655" w:type="dxa"/>
            <w:vAlign w:val="center"/>
            <w:hideMark/>
          </w:tcPr>
          <w:p w:rsidR="00392A2D" w:rsidRDefault="00392A2D">
            <w:pPr>
              <w:rPr>
                <w:szCs w:val="21"/>
              </w:rPr>
            </w:pPr>
            <w:r>
              <w:rPr>
                <w:szCs w:val="21"/>
              </w:rPr>
              <w:t>AAA</w:t>
            </w:r>
          </w:p>
        </w:tc>
        <w:tc>
          <w:tcPr>
            <w:tcW w:w="2977" w:type="dxa"/>
            <w:vAlign w:val="center"/>
            <w:hideMark/>
          </w:tcPr>
          <w:p w:rsidR="00392A2D" w:rsidRDefault="00392A2D">
            <w:pPr>
              <w:jc w:val="right"/>
              <w:rPr>
                <w:szCs w:val="21"/>
              </w:rPr>
            </w:pPr>
            <w:r>
              <w:rPr>
                <w:szCs w:val="21"/>
              </w:rPr>
              <w:t>0.00</w:t>
            </w:r>
          </w:p>
        </w:tc>
        <w:tc>
          <w:tcPr>
            <w:tcW w:w="3008" w:type="dxa"/>
            <w:vAlign w:val="center"/>
            <w:hideMark/>
          </w:tcPr>
          <w:p w:rsidR="00392A2D" w:rsidRDefault="00392A2D">
            <w:pPr>
              <w:jc w:val="right"/>
              <w:rPr>
                <w:szCs w:val="21"/>
              </w:rPr>
            </w:pPr>
            <w:r>
              <w:rPr>
                <w:szCs w:val="21"/>
              </w:rPr>
              <w:t>0.00</w:t>
            </w:r>
          </w:p>
        </w:tc>
      </w:tr>
      <w:tr w:rsidR="00392A2D" w:rsidTr="00D0593F">
        <w:tc>
          <w:tcPr>
            <w:tcW w:w="2655" w:type="dxa"/>
            <w:vAlign w:val="center"/>
            <w:hideMark/>
          </w:tcPr>
          <w:p w:rsidR="00392A2D" w:rsidRDefault="00392A2D">
            <w:pPr>
              <w:rPr>
                <w:szCs w:val="21"/>
              </w:rPr>
            </w:pPr>
            <w:r>
              <w:rPr>
                <w:szCs w:val="21"/>
              </w:rPr>
              <w:t>AAA</w:t>
            </w:r>
            <w:r>
              <w:rPr>
                <w:rFonts w:hint="eastAsia"/>
                <w:szCs w:val="21"/>
              </w:rPr>
              <w:t>以下</w:t>
            </w:r>
          </w:p>
        </w:tc>
        <w:tc>
          <w:tcPr>
            <w:tcW w:w="2977" w:type="dxa"/>
            <w:vAlign w:val="center"/>
            <w:hideMark/>
          </w:tcPr>
          <w:p w:rsidR="00392A2D" w:rsidRDefault="00392A2D">
            <w:pPr>
              <w:jc w:val="right"/>
              <w:rPr>
                <w:szCs w:val="21"/>
              </w:rPr>
            </w:pPr>
            <w:r>
              <w:rPr>
                <w:szCs w:val="21"/>
              </w:rPr>
              <w:t>0.00</w:t>
            </w:r>
          </w:p>
        </w:tc>
        <w:tc>
          <w:tcPr>
            <w:tcW w:w="3008" w:type="dxa"/>
            <w:vAlign w:val="center"/>
            <w:hideMark/>
          </w:tcPr>
          <w:p w:rsidR="00392A2D" w:rsidRDefault="00392A2D">
            <w:pPr>
              <w:jc w:val="right"/>
              <w:rPr>
                <w:szCs w:val="21"/>
              </w:rPr>
            </w:pPr>
            <w:r>
              <w:rPr>
                <w:szCs w:val="21"/>
              </w:rPr>
              <w:t>0.00</w:t>
            </w:r>
          </w:p>
        </w:tc>
      </w:tr>
      <w:tr w:rsidR="00392A2D" w:rsidTr="00D0593F">
        <w:tc>
          <w:tcPr>
            <w:tcW w:w="2655" w:type="dxa"/>
            <w:vAlign w:val="center"/>
            <w:hideMark/>
          </w:tcPr>
          <w:p w:rsidR="00392A2D" w:rsidRDefault="00392A2D">
            <w:pPr>
              <w:rPr>
                <w:szCs w:val="21"/>
              </w:rPr>
            </w:pPr>
            <w:r>
              <w:rPr>
                <w:rFonts w:hint="eastAsia"/>
                <w:kern w:val="0"/>
                <w:szCs w:val="21"/>
              </w:rPr>
              <w:t>未评级</w:t>
            </w:r>
          </w:p>
        </w:tc>
        <w:tc>
          <w:tcPr>
            <w:tcW w:w="2977" w:type="dxa"/>
            <w:vAlign w:val="center"/>
            <w:hideMark/>
          </w:tcPr>
          <w:p w:rsidR="00392A2D" w:rsidRDefault="00392A2D">
            <w:pPr>
              <w:jc w:val="right"/>
              <w:rPr>
                <w:szCs w:val="21"/>
              </w:rPr>
            </w:pPr>
            <w:r>
              <w:rPr>
                <w:szCs w:val="21"/>
              </w:rPr>
              <w:t>0.00</w:t>
            </w:r>
          </w:p>
        </w:tc>
        <w:tc>
          <w:tcPr>
            <w:tcW w:w="3008" w:type="dxa"/>
            <w:vAlign w:val="center"/>
            <w:hideMark/>
          </w:tcPr>
          <w:p w:rsidR="00392A2D" w:rsidRDefault="00392A2D">
            <w:pPr>
              <w:jc w:val="right"/>
              <w:rPr>
                <w:szCs w:val="21"/>
              </w:rPr>
            </w:pPr>
            <w:r>
              <w:rPr>
                <w:szCs w:val="21"/>
              </w:rPr>
              <w:t>0.00</w:t>
            </w:r>
          </w:p>
        </w:tc>
      </w:tr>
      <w:tr w:rsidR="00392A2D" w:rsidTr="00D0593F">
        <w:tc>
          <w:tcPr>
            <w:tcW w:w="2655" w:type="dxa"/>
            <w:vAlign w:val="center"/>
            <w:hideMark/>
          </w:tcPr>
          <w:p w:rsidR="00392A2D" w:rsidRDefault="00392A2D">
            <w:pPr>
              <w:rPr>
                <w:kern w:val="0"/>
                <w:szCs w:val="21"/>
              </w:rPr>
            </w:pPr>
            <w:r>
              <w:rPr>
                <w:rFonts w:hint="eastAsia"/>
                <w:kern w:val="0"/>
                <w:szCs w:val="21"/>
              </w:rPr>
              <w:t>合计</w:t>
            </w:r>
          </w:p>
        </w:tc>
        <w:tc>
          <w:tcPr>
            <w:tcW w:w="2977" w:type="dxa"/>
            <w:vAlign w:val="center"/>
            <w:hideMark/>
          </w:tcPr>
          <w:p w:rsidR="00392A2D" w:rsidRDefault="00392A2D">
            <w:pPr>
              <w:jc w:val="right"/>
              <w:rPr>
                <w:szCs w:val="21"/>
              </w:rPr>
            </w:pPr>
            <w:r>
              <w:rPr>
                <w:szCs w:val="21"/>
              </w:rPr>
              <w:t>0.00</w:t>
            </w:r>
          </w:p>
        </w:tc>
        <w:tc>
          <w:tcPr>
            <w:tcW w:w="3008" w:type="dxa"/>
            <w:vAlign w:val="center"/>
            <w:hideMark/>
          </w:tcPr>
          <w:p w:rsidR="00392A2D" w:rsidRDefault="00392A2D">
            <w:pPr>
              <w:jc w:val="right"/>
              <w:rPr>
                <w:szCs w:val="21"/>
              </w:rPr>
            </w:pPr>
            <w:r>
              <w:rPr>
                <w:szCs w:val="21"/>
              </w:rPr>
              <w:t>0.00</w:t>
            </w:r>
          </w:p>
        </w:tc>
      </w:tr>
    </w:tbl>
    <w:p w:rsidR="007F3F42" w:rsidRDefault="0078169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7F3F42" w:rsidRDefault="0078169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392A2D" w:rsidRDefault="00392A2D" w:rsidP="00392A2D">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392A2D" w:rsidRDefault="00392A2D" w:rsidP="003E69CF">
      <w:pPr>
        <w:spacing w:beforeLines="100" w:before="312" w:line="360" w:lineRule="auto"/>
        <w:rPr>
          <w:rFonts w:ascii="宋体"/>
          <w:b/>
          <w:bCs/>
          <w:color w:val="000000"/>
          <w:szCs w:val="21"/>
        </w:rPr>
      </w:pPr>
      <w:r w:rsidRPr="003E69CF">
        <w:rPr>
          <w:rFonts w:eastAsiaTheme="minorEastAsia" w:hint="eastAsia"/>
          <w:b/>
          <w:color w:val="000000"/>
          <w:szCs w:val="21"/>
        </w:rPr>
        <w:t xml:space="preserve">6.4.13.2.5 </w:t>
      </w:r>
      <w:r w:rsidRPr="003E69CF">
        <w:rPr>
          <w:rFonts w:eastAsiaTheme="minorEastAsia" w:hint="eastAsia"/>
          <w:b/>
          <w:color w:val="000000"/>
          <w:szCs w:val="21"/>
        </w:rPr>
        <w:t>按长期信用评级列示的资产支持证券投资</w:t>
      </w:r>
    </w:p>
    <w:p w:rsidR="00392A2D" w:rsidRDefault="00392A2D" w:rsidP="00392A2D">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392A2D" w:rsidTr="00D0593F">
        <w:trPr>
          <w:jc w:val="center"/>
        </w:trPr>
        <w:tc>
          <w:tcPr>
            <w:tcW w:w="2624" w:type="dxa"/>
            <w:vAlign w:val="center"/>
            <w:hideMark/>
          </w:tcPr>
          <w:p w:rsidR="00392A2D" w:rsidRDefault="00392A2D">
            <w:pPr>
              <w:jc w:val="center"/>
              <w:rPr>
                <w:rFonts w:eastAsiaTheme="minorEastAsia"/>
                <w:szCs w:val="21"/>
              </w:rPr>
            </w:pPr>
            <w:r>
              <w:rPr>
                <w:rFonts w:eastAsiaTheme="minorEastAsia" w:hint="eastAsia"/>
                <w:szCs w:val="21"/>
              </w:rPr>
              <w:t>长期信用评级</w:t>
            </w:r>
          </w:p>
        </w:tc>
        <w:tc>
          <w:tcPr>
            <w:tcW w:w="2977"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392A2D" w:rsidTr="00D0593F">
        <w:trPr>
          <w:jc w:val="center"/>
        </w:trPr>
        <w:tc>
          <w:tcPr>
            <w:tcW w:w="2624" w:type="dxa"/>
            <w:hideMark/>
          </w:tcPr>
          <w:p w:rsidR="00392A2D" w:rsidRDefault="00392A2D">
            <w:pPr>
              <w:rPr>
                <w:rFonts w:eastAsiaTheme="minorEastAsia"/>
                <w:szCs w:val="21"/>
              </w:rPr>
            </w:pPr>
            <w:r>
              <w:rPr>
                <w:rFonts w:eastAsiaTheme="minorEastAsia"/>
                <w:szCs w:val="21"/>
              </w:rPr>
              <w:t>AAA</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624" w:type="dxa"/>
            <w:hideMark/>
          </w:tcPr>
          <w:p w:rsidR="00392A2D" w:rsidRDefault="00392A2D">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624" w:type="dxa"/>
            <w:vAlign w:val="center"/>
            <w:hideMark/>
          </w:tcPr>
          <w:p w:rsidR="00392A2D" w:rsidRDefault="00392A2D">
            <w:pPr>
              <w:rPr>
                <w:rFonts w:eastAsiaTheme="minorEastAsia"/>
                <w:szCs w:val="21"/>
              </w:rPr>
            </w:pPr>
            <w:r>
              <w:rPr>
                <w:rFonts w:eastAsiaTheme="minorEastAsia" w:hint="eastAsia"/>
                <w:kern w:val="0"/>
                <w:szCs w:val="21"/>
              </w:rPr>
              <w:t>未评级</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624" w:type="dxa"/>
            <w:vAlign w:val="center"/>
            <w:hideMark/>
          </w:tcPr>
          <w:p w:rsidR="00392A2D" w:rsidRDefault="00392A2D">
            <w:pPr>
              <w:rPr>
                <w:rFonts w:eastAsiaTheme="minorEastAsia"/>
                <w:kern w:val="0"/>
                <w:szCs w:val="21"/>
              </w:rPr>
            </w:pPr>
            <w:r>
              <w:rPr>
                <w:rFonts w:eastAsiaTheme="minorEastAsia" w:hint="eastAsia"/>
                <w:kern w:val="0"/>
                <w:szCs w:val="21"/>
              </w:rPr>
              <w:t>合计</w:t>
            </w:r>
          </w:p>
        </w:tc>
        <w:tc>
          <w:tcPr>
            <w:tcW w:w="2977" w:type="dxa"/>
            <w:vAlign w:val="center"/>
            <w:hideMark/>
          </w:tcPr>
          <w:p w:rsidR="00392A2D" w:rsidRDefault="00392A2D">
            <w:pPr>
              <w:jc w:val="right"/>
              <w:rPr>
                <w:rFonts w:eastAsiaTheme="minorEastAsia"/>
                <w:szCs w:val="21"/>
              </w:rPr>
            </w:pPr>
            <w:r>
              <w:rPr>
                <w:rFonts w:eastAsiaTheme="minorEastAsia"/>
                <w:szCs w:val="21"/>
              </w:rPr>
              <w:t>0.00</w:t>
            </w:r>
          </w:p>
        </w:tc>
        <w:tc>
          <w:tcPr>
            <w:tcW w:w="3046" w:type="dxa"/>
            <w:vAlign w:val="center"/>
            <w:hideMark/>
          </w:tcPr>
          <w:p w:rsidR="00392A2D" w:rsidRDefault="00392A2D">
            <w:pPr>
              <w:jc w:val="right"/>
              <w:rPr>
                <w:rFonts w:eastAsiaTheme="minorEastAsia"/>
                <w:szCs w:val="21"/>
              </w:rPr>
            </w:pPr>
            <w:r>
              <w:rPr>
                <w:rFonts w:eastAsiaTheme="minorEastAsia"/>
                <w:szCs w:val="21"/>
              </w:rPr>
              <w:t>0.00</w:t>
            </w:r>
          </w:p>
        </w:tc>
      </w:tr>
    </w:tbl>
    <w:p w:rsidR="00392A2D" w:rsidRPr="003E69CF" w:rsidRDefault="00392A2D" w:rsidP="003E69CF">
      <w:pPr>
        <w:spacing w:beforeLines="100" w:before="312" w:line="360" w:lineRule="auto"/>
        <w:rPr>
          <w:rFonts w:eastAsiaTheme="minorEastAsia"/>
          <w:b/>
          <w:color w:val="000000"/>
          <w:szCs w:val="21"/>
        </w:rPr>
      </w:pPr>
      <w:r w:rsidRPr="003E69CF">
        <w:rPr>
          <w:rFonts w:eastAsiaTheme="minorEastAsia" w:hint="eastAsia"/>
          <w:b/>
          <w:color w:val="000000"/>
          <w:szCs w:val="21"/>
        </w:rPr>
        <w:t>6.4.13.2.6</w:t>
      </w:r>
      <w:r w:rsidRPr="003E69CF">
        <w:rPr>
          <w:rFonts w:eastAsiaTheme="minorEastAsia" w:hint="eastAsia"/>
          <w:b/>
          <w:color w:val="000000"/>
          <w:szCs w:val="21"/>
        </w:rPr>
        <w:t>按长期信用评级列示的同业存单投资</w:t>
      </w:r>
    </w:p>
    <w:p w:rsidR="00392A2D" w:rsidRDefault="00392A2D" w:rsidP="00392A2D">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392A2D" w:rsidTr="00D0593F">
        <w:trPr>
          <w:jc w:val="center"/>
        </w:trPr>
        <w:tc>
          <w:tcPr>
            <w:tcW w:w="2624" w:type="dxa"/>
            <w:vAlign w:val="center"/>
            <w:hideMark/>
          </w:tcPr>
          <w:p w:rsidR="00392A2D" w:rsidRDefault="00392A2D">
            <w:pPr>
              <w:jc w:val="center"/>
              <w:rPr>
                <w:rFonts w:eastAsiaTheme="minorEastAsia"/>
                <w:szCs w:val="21"/>
              </w:rPr>
            </w:pPr>
            <w:r>
              <w:rPr>
                <w:rFonts w:eastAsiaTheme="minorEastAsia" w:hint="eastAsia"/>
                <w:szCs w:val="21"/>
              </w:rPr>
              <w:t>长期信用评级</w:t>
            </w:r>
          </w:p>
        </w:tc>
        <w:tc>
          <w:tcPr>
            <w:tcW w:w="2977"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392A2D" w:rsidTr="00D0593F">
        <w:trPr>
          <w:jc w:val="center"/>
        </w:trPr>
        <w:tc>
          <w:tcPr>
            <w:tcW w:w="2624" w:type="dxa"/>
            <w:hideMark/>
          </w:tcPr>
          <w:p w:rsidR="00392A2D" w:rsidRDefault="00392A2D">
            <w:pPr>
              <w:rPr>
                <w:rFonts w:eastAsiaTheme="minorEastAsia"/>
                <w:szCs w:val="21"/>
              </w:rPr>
            </w:pPr>
            <w:r>
              <w:rPr>
                <w:rFonts w:eastAsiaTheme="minorEastAsia"/>
                <w:szCs w:val="21"/>
              </w:rPr>
              <w:t>AAA</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624" w:type="dxa"/>
            <w:hideMark/>
          </w:tcPr>
          <w:p w:rsidR="00392A2D" w:rsidRDefault="00392A2D">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624" w:type="dxa"/>
            <w:vAlign w:val="center"/>
            <w:hideMark/>
          </w:tcPr>
          <w:p w:rsidR="00392A2D" w:rsidRDefault="00392A2D">
            <w:pPr>
              <w:rPr>
                <w:rFonts w:eastAsiaTheme="minorEastAsia"/>
                <w:szCs w:val="21"/>
              </w:rPr>
            </w:pPr>
            <w:r>
              <w:rPr>
                <w:rFonts w:eastAsiaTheme="minorEastAsia" w:hint="eastAsia"/>
                <w:kern w:val="0"/>
                <w:szCs w:val="21"/>
              </w:rPr>
              <w:t>未评级</w:t>
            </w:r>
          </w:p>
        </w:tc>
        <w:tc>
          <w:tcPr>
            <w:tcW w:w="2977" w:type="dxa"/>
            <w:hideMark/>
          </w:tcPr>
          <w:p w:rsidR="00392A2D" w:rsidRDefault="00392A2D">
            <w:pPr>
              <w:jc w:val="right"/>
              <w:rPr>
                <w:rFonts w:eastAsiaTheme="minorEastAsia"/>
                <w:szCs w:val="21"/>
              </w:rPr>
            </w:pPr>
            <w:r>
              <w:rPr>
                <w:rFonts w:eastAsiaTheme="minorEastAsia"/>
                <w:szCs w:val="21"/>
              </w:rPr>
              <w:t>0.00</w:t>
            </w:r>
          </w:p>
        </w:tc>
        <w:tc>
          <w:tcPr>
            <w:tcW w:w="3046"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2624" w:type="dxa"/>
            <w:vAlign w:val="center"/>
            <w:hideMark/>
          </w:tcPr>
          <w:p w:rsidR="00392A2D" w:rsidRDefault="00392A2D">
            <w:pPr>
              <w:rPr>
                <w:rFonts w:eastAsiaTheme="minorEastAsia"/>
                <w:kern w:val="0"/>
                <w:szCs w:val="21"/>
              </w:rPr>
            </w:pPr>
            <w:r>
              <w:rPr>
                <w:rFonts w:eastAsiaTheme="minorEastAsia" w:hint="eastAsia"/>
                <w:kern w:val="0"/>
                <w:szCs w:val="21"/>
              </w:rPr>
              <w:t>合计</w:t>
            </w:r>
          </w:p>
        </w:tc>
        <w:tc>
          <w:tcPr>
            <w:tcW w:w="2977" w:type="dxa"/>
            <w:vAlign w:val="center"/>
            <w:hideMark/>
          </w:tcPr>
          <w:p w:rsidR="00392A2D" w:rsidRDefault="00392A2D">
            <w:pPr>
              <w:jc w:val="right"/>
              <w:rPr>
                <w:rFonts w:eastAsiaTheme="minorEastAsia"/>
                <w:szCs w:val="21"/>
              </w:rPr>
            </w:pPr>
            <w:r>
              <w:rPr>
                <w:rFonts w:eastAsiaTheme="minorEastAsia"/>
                <w:szCs w:val="21"/>
              </w:rPr>
              <w:t>0.00</w:t>
            </w:r>
          </w:p>
        </w:tc>
        <w:tc>
          <w:tcPr>
            <w:tcW w:w="3046" w:type="dxa"/>
            <w:vAlign w:val="center"/>
            <w:hideMark/>
          </w:tcPr>
          <w:p w:rsidR="00392A2D" w:rsidRDefault="00392A2D">
            <w:pPr>
              <w:jc w:val="right"/>
              <w:rPr>
                <w:rFonts w:eastAsiaTheme="minorEastAsia"/>
                <w:szCs w:val="21"/>
              </w:rPr>
            </w:pPr>
            <w:r>
              <w:rPr>
                <w:rFonts w:eastAsiaTheme="minorEastAsia"/>
                <w:szCs w:val="21"/>
              </w:rPr>
              <w:t>0.00</w:t>
            </w:r>
          </w:p>
        </w:tc>
      </w:tr>
    </w:tbl>
    <w:p w:rsidR="008A5A5D" w:rsidRPr="00C24ACA" w:rsidRDefault="008A5A5D" w:rsidP="00392A2D">
      <w:pPr>
        <w:tabs>
          <w:tab w:val="left" w:pos="426"/>
        </w:tabs>
        <w:spacing w:line="360" w:lineRule="auto"/>
        <w:ind w:firstLineChars="200" w:firstLine="422"/>
        <w:rPr>
          <w:rFonts w:eastAsiaTheme="minorEastAsia"/>
          <w:b/>
          <w:bCs/>
          <w:color w:val="000000"/>
          <w:szCs w:val="21"/>
        </w:rPr>
      </w:pPr>
      <w:r w:rsidRPr="00C24ACA">
        <w:rPr>
          <w:rFonts w:eastAsiaTheme="minorEastAsia"/>
          <w:b/>
          <w:bCs/>
          <w:color w:val="000000"/>
          <w:kern w:val="0"/>
          <w:szCs w:val="21"/>
        </w:rPr>
        <w:t>6.4.13.3</w:t>
      </w:r>
      <w:r w:rsidRPr="00C24ACA">
        <w:rPr>
          <w:rFonts w:eastAsiaTheme="minorEastAsia"/>
          <w:b/>
          <w:bCs/>
          <w:color w:val="000000"/>
          <w:szCs w:val="21"/>
        </w:rPr>
        <w:t>流动性风险</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于</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日，除卖出回购金融资产款余额</w:t>
      </w:r>
      <w:r w:rsidRPr="00C24ACA">
        <w:rPr>
          <w:rFonts w:eastAsiaTheme="minorEastAsia"/>
          <w:kern w:val="0"/>
          <w:szCs w:val="21"/>
        </w:rPr>
        <w:t>(</w:t>
      </w:r>
      <w:r w:rsidRPr="00C24ACA">
        <w:rPr>
          <w:rFonts w:eastAsiaTheme="minorEastAsia"/>
          <w:kern w:val="0"/>
          <w:szCs w:val="21"/>
        </w:rPr>
        <w:t>计息但该利息金额不重大</w:t>
      </w:r>
      <w:r w:rsidRPr="00C24ACA">
        <w:rPr>
          <w:rFonts w:eastAsiaTheme="minorEastAsia"/>
          <w:kern w:val="0"/>
          <w:szCs w:val="21"/>
        </w:rPr>
        <w:t>)</w:t>
      </w:r>
      <w:r w:rsidRPr="00C24ACA">
        <w:rPr>
          <w:rFonts w:eastAsiaTheme="minorEastAsia"/>
          <w:kern w:val="0"/>
          <w:szCs w:val="21"/>
        </w:rPr>
        <w:t>以外，本基金承担的其他金融负债的合约约定到期日均为一年以内且不计息，可赎回基金份额净值</w:t>
      </w:r>
      <w:r w:rsidRPr="00C24ACA">
        <w:rPr>
          <w:rFonts w:eastAsiaTheme="minorEastAsia"/>
          <w:kern w:val="0"/>
          <w:szCs w:val="21"/>
        </w:rPr>
        <w:t>(</w:t>
      </w:r>
      <w:r w:rsidRPr="00C24ACA">
        <w:rPr>
          <w:rFonts w:eastAsiaTheme="minorEastAsia"/>
          <w:kern w:val="0"/>
          <w:szCs w:val="21"/>
        </w:rPr>
        <w:t>所有者权益</w:t>
      </w:r>
      <w:r w:rsidRPr="00C24ACA">
        <w:rPr>
          <w:rFonts w:eastAsiaTheme="minorEastAsia"/>
          <w:kern w:val="0"/>
          <w:szCs w:val="21"/>
        </w:rPr>
        <w:t>)</w:t>
      </w:r>
      <w:r w:rsidRPr="00C24ACA">
        <w:rPr>
          <w:rFonts w:eastAsiaTheme="minorEastAsia"/>
          <w:kern w:val="0"/>
          <w:szCs w:val="21"/>
        </w:rPr>
        <w:t>无固定到期日且不计息，因此账面余额约为未折现的合约到期现金流量。</w:t>
      </w:r>
    </w:p>
    <w:p w:rsidR="00206D74" w:rsidRPr="00A73188" w:rsidRDefault="00206D74" w:rsidP="006C64F3">
      <w:pPr>
        <w:spacing w:beforeLines="50" w:before="156" w:line="360" w:lineRule="auto"/>
        <w:rPr>
          <w:rFonts w:eastAsiaTheme="minorEastAsia"/>
          <w:b/>
          <w:bCs/>
          <w:color w:val="000000" w:themeColor="text1"/>
          <w:szCs w:val="21"/>
        </w:rPr>
      </w:pPr>
      <w:r w:rsidRPr="00A73188">
        <w:rPr>
          <w:rFonts w:eastAsiaTheme="minorEastAsia"/>
          <w:b/>
          <w:bCs/>
          <w:color w:val="000000" w:themeColor="text1"/>
          <w:kern w:val="0"/>
          <w:szCs w:val="21"/>
        </w:rPr>
        <w:t>6.4.13.3</w:t>
      </w:r>
      <w:r w:rsidRPr="00A73188">
        <w:rPr>
          <w:rFonts w:eastAsiaTheme="minorEastAsia" w:hint="eastAsia"/>
          <w:b/>
          <w:bCs/>
          <w:color w:val="000000" w:themeColor="text1"/>
          <w:kern w:val="0"/>
          <w:szCs w:val="21"/>
        </w:rPr>
        <w:t>.1</w:t>
      </w:r>
      <w:r w:rsidRPr="00A73188">
        <w:rPr>
          <w:rFonts w:eastAsiaTheme="minorEastAsia"/>
          <w:b/>
          <w:bCs/>
          <w:color w:val="000000" w:themeColor="text1"/>
          <w:kern w:val="0"/>
          <w:szCs w:val="21"/>
        </w:rPr>
        <w:t xml:space="preserve"> </w:t>
      </w:r>
      <w:r w:rsidRPr="00A73188">
        <w:rPr>
          <w:rFonts w:eastAsiaTheme="minorEastAsia" w:hint="eastAsia"/>
          <w:b/>
          <w:bCs/>
          <w:color w:val="000000" w:themeColor="text1"/>
          <w:szCs w:val="21"/>
        </w:rPr>
        <w:t>报告期内本基金组合资产的流动性风险分析</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06D74" w:rsidRPr="00C24ACA" w:rsidRDefault="00206D74"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本基金的投资范围为具有良好流动性的金融工具，所持大部分证券在流动性良好的证券交易所或者银行间同业市场交易，期末除本报告</w:t>
      </w:r>
      <w:r w:rsidRPr="008707EB">
        <w:rPr>
          <w:rFonts w:eastAsiaTheme="minorEastAsia"/>
          <w:kern w:val="0"/>
          <w:szCs w:val="21"/>
        </w:rPr>
        <w:t>“</w:t>
      </w:r>
      <w:r w:rsidRPr="008707EB">
        <w:rPr>
          <w:rFonts w:eastAsiaTheme="minorEastAsia"/>
          <w:kern w:val="0"/>
          <w:szCs w:val="21"/>
        </w:rPr>
        <w:t>期末本基金持有的流通受限证券</w:t>
      </w:r>
      <w:r w:rsidRPr="008707EB">
        <w:rPr>
          <w:rFonts w:eastAsiaTheme="minorEastAsia"/>
          <w:kern w:val="0"/>
          <w:szCs w:val="21"/>
        </w:rPr>
        <w:t>”</w:t>
      </w:r>
      <w:r w:rsidRPr="008707EB">
        <w:rPr>
          <w:rFonts w:eastAsiaTheme="minorEastAsia"/>
          <w:kern w:val="0"/>
          <w:szCs w:val="21"/>
        </w:rPr>
        <w:t>章节中所列示券种流通暂时受限制不能自由转让外，其余均能及时变现。评估结果显示组合高流动性资产比重较高，组合变现比例能力较好。</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w:t>
      </w:r>
      <w:r w:rsidRPr="00C24ACA">
        <w:rPr>
          <w:rFonts w:eastAsiaTheme="minorEastAsia"/>
          <w:b/>
          <w:bCs/>
          <w:color w:val="000000"/>
          <w:szCs w:val="21"/>
        </w:rPr>
        <w:t>市场风险</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市场风险是指基金所持金融工具的公允价值或未来现金流量因所处市场各类价格因素的变动而发生波动的风险，包括利率风险、外汇风险和其他价格风险。</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w:t>
      </w:r>
      <w:r w:rsidRPr="00C24ACA">
        <w:rPr>
          <w:rFonts w:eastAsiaTheme="minorEastAsia"/>
          <w:b/>
          <w:bCs/>
          <w:color w:val="000000"/>
          <w:szCs w:val="21"/>
        </w:rPr>
        <w:t>利率风险</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利率风险是指基金的财务状况和现金流量受市场利率变动而发生波动的风险。投资管理人通过久期、凸度、</w:t>
      </w:r>
      <w:r w:rsidRPr="00C24ACA">
        <w:rPr>
          <w:rFonts w:eastAsiaTheme="minorEastAsia"/>
          <w:kern w:val="0"/>
          <w:szCs w:val="21"/>
        </w:rPr>
        <w:t>VAR</w:t>
      </w:r>
      <w:r w:rsidRPr="00C24ACA">
        <w:rPr>
          <w:rFonts w:eastAsiaTheme="minorEastAsia"/>
          <w:kern w:val="0"/>
          <w:szCs w:val="21"/>
        </w:rPr>
        <w:t>等方法评估组合面临的利率风险敞口，并通过调整投资组合的久期等方法对上述利率风险进行管理。</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6.4.13.4.1.1</w:t>
      </w:r>
      <w:r w:rsidRPr="00C24ACA">
        <w:rPr>
          <w:rFonts w:eastAsiaTheme="minorEastAsia"/>
          <w:b/>
          <w:bCs/>
          <w:color w:val="000000"/>
          <w:szCs w:val="21"/>
        </w:rPr>
        <w:t>利率风险敞口</w:t>
      </w:r>
    </w:p>
    <w:p w:rsidR="00A10C6C" w:rsidRPr="00C24ACA" w:rsidRDefault="00A10C6C" w:rsidP="00A10C6C">
      <w:pPr>
        <w:autoSpaceDE w:val="0"/>
        <w:autoSpaceDN w:val="0"/>
        <w:adjustRightInd w:val="0"/>
        <w:spacing w:before="29" w:line="360" w:lineRule="auto"/>
        <w:ind w:left="15"/>
        <w:jc w:val="right"/>
        <w:rPr>
          <w:rFonts w:eastAsiaTheme="minorEastAsia"/>
          <w:color w:val="000000"/>
          <w:szCs w:val="21"/>
        </w:rPr>
      </w:pPr>
      <w:r w:rsidRPr="00C24ACA">
        <w:rPr>
          <w:rFonts w:eastAsiaTheme="minorEastAsia"/>
          <w:color w:val="000000"/>
          <w:szCs w:val="21"/>
        </w:rPr>
        <w:t>单位：人民币元</w:t>
      </w:r>
    </w:p>
    <w:tbl>
      <w:tblPr>
        <w:tblW w:w="9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A10C6C" w:rsidRPr="00C24ACA" w:rsidTr="004C02E0">
        <w:trPr>
          <w:trHeight w:val="280"/>
        </w:trPr>
        <w:tc>
          <w:tcPr>
            <w:tcW w:w="1588" w:type="dxa"/>
            <w:vAlign w:val="center"/>
          </w:tcPr>
          <w:p w:rsidR="00A10C6C" w:rsidRPr="00C24ACA" w:rsidRDefault="00A10C6C" w:rsidP="00427BFF">
            <w:pPr>
              <w:spacing w:line="360" w:lineRule="auto"/>
              <w:jc w:val="center"/>
              <w:rPr>
                <w:rFonts w:eastAsiaTheme="minorEastAsia"/>
                <w:szCs w:val="21"/>
              </w:rPr>
            </w:pPr>
            <w:r w:rsidRPr="00C24ACA">
              <w:rPr>
                <w:rFonts w:eastAsiaTheme="minorEastAsia"/>
                <w:szCs w:val="21"/>
              </w:rPr>
              <w:t>本期末</w:t>
            </w:r>
          </w:p>
          <w:p w:rsidR="00A10C6C" w:rsidRPr="00C24ACA" w:rsidRDefault="00A10C6C" w:rsidP="00427BFF">
            <w:pPr>
              <w:spacing w:line="360" w:lineRule="auto"/>
              <w:jc w:val="center"/>
              <w:rPr>
                <w:rFonts w:eastAsiaTheme="minorEastAsia"/>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年以内</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1-5</w:t>
            </w:r>
            <w:r w:rsidRPr="00C24ACA">
              <w:rPr>
                <w:rFonts w:eastAsiaTheme="minorEastAsia"/>
                <w:color w:val="000000"/>
                <w:szCs w:val="21"/>
              </w:rPr>
              <w:t>年</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年以上</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不计息</w:t>
            </w:r>
          </w:p>
        </w:tc>
        <w:tc>
          <w:tcPr>
            <w:tcW w:w="13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合计</w:t>
            </w:r>
          </w:p>
        </w:tc>
      </w:tr>
      <w:tr w:rsidR="00A10C6C" w:rsidRPr="00C24ACA" w:rsidTr="004C02E0">
        <w:trPr>
          <w:trHeight w:val="280"/>
        </w:trPr>
        <w:tc>
          <w:tcPr>
            <w:tcW w:w="1588" w:type="dxa"/>
          </w:tcPr>
          <w:p w:rsidR="00A10C6C" w:rsidRPr="00C24ACA" w:rsidRDefault="00A10C6C" w:rsidP="00865B2B">
            <w:pPr>
              <w:spacing w:line="360" w:lineRule="auto"/>
              <w:jc w:val="center"/>
              <w:rPr>
                <w:rFonts w:eastAsiaTheme="minorEastAsia"/>
                <w:color w:val="000000"/>
                <w:szCs w:val="21"/>
              </w:rPr>
            </w:pPr>
            <w:r w:rsidRPr="00C24ACA">
              <w:rPr>
                <w:rFonts w:eastAsiaTheme="minorEastAsia"/>
                <w:color w:val="000000"/>
                <w:szCs w:val="21"/>
              </w:rPr>
              <w:t>资产</w:t>
            </w: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301" w:type="dxa"/>
            <w:vAlign w:val="center"/>
          </w:tcPr>
          <w:p w:rsidR="00A10C6C" w:rsidRPr="00C24ACA" w:rsidRDefault="00A10C6C" w:rsidP="00427BFF">
            <w:pPr>
              <w:spacing w:line="360" w:lineRule="auto"/>
              <w:jc w:val="right"/>
              <w:rPr>
                <w:rFonts w:eastAsiaTheme="minorEastAsia"/>
                <w:b/>
                <w:color w:val="000000"/>
                <w:szCs w:val="21"/>
              </w:rPr>
            </w:pPr>
          </w:p>
        </w:tc>
      </w:tr>
      <w:tr w:rsidR="007F3F42">
        <w:tc>
          <w:tcPr>
            <w:tcW w:w="1588" w:type="dxa"/>
            <w:vAlign w:val="center"/>
          </w:tcPr>
          <w:p w:rsidR="007F3F42" w:rsidRDefault="00781698">
            <w:pPr>
              <w:jc w:val="center"/>
            </w:pPr>
            <w:r>
              <w:rPr>
                <w:rFonts w:eastAsiaTheme="minorEastAsia"/>
                <w:color w:val="000000"/>
                <w:szCs w:val="21"/>
              </w:rPr>
              <w:t>银行存款</w:t>
            </w:r>
          </w:p>
        </w:tc>
        <w:tc>
          <w:tcPr>
            <w:tcW w:w="1701" w:type="dxa"/>
            <w:vAlign w:val="center"/>
          </w:tcPr>
          <w:p w:rsidR="007F3F42" w:rsidRDefault="00781698">
            <w:pPr>
              <w:jc w:val="right"/>
            </w:pPr>
            <w:r>
              <w:rPr>
                <w:rFonts w:eastAsiaTheme="minorEastAsia"/>
                <w:color w:val="000000"/>
                <w:szCs w:val="21"/>
              </w:rPr>
              <w:t>50,482,455.20</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50,482,455.20</w:t>
            </w:r>
          </w:p>
        </w:tc>
      </w:tr>
      <w:tr w:rsidR="007F3F42">
        <w:tc>
          <w:tcPr>
            <w:tcW w:w="1588" w:type="dxa"/>
            <w:vAlign w:val="center"/>
          </w:tcPr>
          <w:p w:rsidR="007F3F42" w:rsidRDefault="00781698">
            <w:pPr>
              <w:jc w:val="center"/>
            </w:pPr>
            <w:r>
              <w:rPr>
                <w:rFonts w:eastAsiaTheme="minorEastAsia"/>
                <w:color w:val="000000"/>
                <w:szCs w:val="21"/>
              </w:rPr>
              <w:t>结算备付金</w:t>
            </w:r>
          </w:p>
        </w:tc>
        <w:tc>
          <w:tcPr>
            <w:tcW w:w="1701" w:type="dxa"/>
            <w:vAlign w:val="center"/>
          </w:tcPr>
          <w:p w:rsidR="007F3F42" w:rsidRDefault="00781698">
            <w:pPr>
              <w:jc w:val="right"/>
            </w:pPr>
            <w:r>
              <w:rPr>
                <w:rFonts w:eastAsiaTheme="minorEastAsia"/>
                <w:color w:val="000000"/>
                <w:szCs w:val="21"/>
              </w:rPr>
              <w:t>1,017,505.80</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1,017,505.80</w:t>
            </w:r>
          </w:p>
        </w:tc>
      </w:tr>
      <w:tr w:rsidR="007F3F42">
        <w:tc>
          <w:tcPr>
            <w:tcW w:w="1588" w:type="dxa"/>
            <w:vAlign w:val="center"/>
          </w:tcPr>
          <w:p w:rsidR="007F3F42" w:rsidRDefault="00781698">
            <w:pPr>
              <w:jc w:val="center"/>
            </w:pPr>
            <w:r>
              <w:rPr>
                <w:rFonts w:eastAsiaTheme="minorEastAsia"/>
                <w:color w:val="000000"/>
                <w:szCs w:val="21"/>
              </w:rPr>
              <w:t>存出保证金</w:t>
            </w:r>
          </w:p>
        </w:tc>
        <w:tc>
          <w:tcPr>
            <w:tcW w:w="1701" w:type="dxa"/>
            <w:vAlign w:val="center"/>
          </w:tcPr>
          <w:p w:rsidR="007F3F42" w:rsidRDefault="00781698">
            <w:pPr>
              <w:jc w:val="right"/>
            </w:pPr>
            <w:r>
              <w:rPr>
                <w:rFonts w:eastAsiaTheme="minorEastAsia"/>
                <w:color w:val="000000"/>
                <w:szCs w:val="21"/>
              </w:rPr>
              <w:t>81,932.11</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81,932.11</w:t>
            </w:r>
          </w:p>
        </w:tc>
      </w:tr>
      <w:tr w:rsidR="007F3F42">
        <w:tc>
          <w:tcPr>
            <w:tcW w:w="1588" w:type="dxa"/>
            <w:vAlign w:val="center"/>
          </w:tcPr>
          <w:p w:rsidR="007F3F42" w:rsidRDefault="00781698">
            <w:pPr>
              <w:jc w:val="center"/>
            </w:pPr>
            <w:r>
              <w:rPr>
                <w:rFonts w:eastAsiaTheme="minorEastAsia"/>
                <w:color w:val="000000"/>
                <w:szCs w:val="21"/>
              </w:rPr>
              <w:t>交易性金融资产</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731,816,990.74</w:t>
            </w:r>
          </w:p>
        </w:tc>
        <w:tc>
          <w:tcPr>
            <w:tcW w:w="1301" w:type="dxa"/>
            <w:vAlign w:val="center"/>
          </w:tcPr>
          <w:p w:rsidR="007F3F42" w:rsidRDefault="00781698">
            <w:pPr>
              <w:jc w:val="right"/>
            </w:pPr>
            <w:r>
              <w:rPr>
                <w:rFonts w:eastAsiaTheme="minorEastAsia"/>
                <w:color w:val="000000"/>
                <w:szCs w:val="21"/>
              </w:rPr>
              <w:t>731,816,990.74</w:t>
            </w:r>
          </w:p>
        </w:tc>
      </w:tr>
      <w:tr w:rsidR="007F3F42">
        <w:tc>
          <w:tcPr>
            <w:tcW w:w="1588" w:type="dxa"/>
            <w:vAlign w:val="center"/>
          </w:tcPr>
          <w:p w:rsidR="007F3F42" w:rsidRDefault="00781698">
            <w:pPr>
              <w:jc w:val="center"/>
            </w:pPr>
            <w:r>
              <w:rPr>
                <w:rFonts w:eastAsiaTheme="minorEastAsia"/>
                <w:color w:val="000000"/>
                <w:szCs w:val="21"/>
              </w:rPr>
              <w:t>衍生金融资产</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买入返售金融资产</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应收证券清算款</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5,541,105.80</w:t>
            </w:r>
          </w:p>
        </w:tc>
        <w:tc>
          <w:tcPr>
            <w:tcW w:w="1301" w:type="dxa"/>
            <w:vAlign w:val="center"/>
          </w:tcPr>
          <w:p w:rsidR="007F3F42" w:rsidRDefault="00781698">
            <w:pPr>
              <w:jc w:val="right"/>
            </w:pPr>
            <w:r>
              <w:rPr>
                <w:rFonts w:eastAsiaTheme="minorEastAsia"/>
                <w:color w:val="000000"/>
                <w:szCs w:val="21"/>
              </w:rPr>
              <w:t>5,541,105.80</w:t>
            </w:r>
          </w:p>
        </w:tc>
      </w:tr>
      <w:tr w:rsidR="007F3F42">
        <w:tc>
          <w:tcPr>
            <w:tcW w:w="1588" w:type="dxa"/>
            <w:vAlign w:val="center"/>
          </w:tcPr>
          <w:p w:rsidR="007F3F42" w:rsidRDefault="00781698">
            <w:pPr>
              <w:jc w:val="center"/>
            </w:pPr>
            <w:r>
              <w:rPr>
                <w:rFonts w:eastAsiaTheme="minorEastAsia"/>
                <w:color w:val="000000"/>
                <w:szCs w:val="21"/>
              </w:rPr>
              <w:t>应收利息</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4,547.49</w:t>
            </w:r>
          </w:p>
        </w:tc>
        <w:tc>
          <w:tcPr>
            <w:tcW w:w="1301" w:type="dxa"/>
            <w:vAlign w:val="center"/>
          </w:tcPr>
          <w:p w:rsidR="007F3F42" w:rsidRDefault="00781698">
            <w:pPr>
              <w:jc w:val="right"/>
            </w:pPr>
            <w:r>
              <w:rPr>
                <w:rFonts w:eastAsiaTheme="minorEastAsia"/>
                <w:color w:val="000000"/>
                <w:szCs w:val="21"/>
              </w:rPr>
              <w:t>4,547.49</w:t>
            </w:r>
          </w:p>
        </w:tc>
      </w:tr>
      <w:tr w:rsidR="007F3F42">
        <w:tc>
          <w:tcPr>
            <w:tcW w:w="1588" w:type="dxa"/>
            <w:vAlign w:val="center"/>
          </w:tcPr>
          <w:p w:rsidR="007F3F42" w:rsidRDefault="00781698">
            <w:pPr>
              <w:jc w:val="center"/>
            </w:pPr>
            <w:r>
              <w:rPr>
                <w:rFonts w:eastAsiaTheme="minorEastAsia"/>
                <w:color w:val="000000"/>
                <w:szCs w:val="21"/>
              </w:rPr>
              <w:t>应收股利</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应收申购款</w:t>
            </w:r>
          </w:p>
        </w:tc>
        <w:tc>
          <w:tcPr>
            <w:tcW w:w="1701" w:type="dxa"/>
            <w:vAlign w:val="center"/>
          </w:tcPr>
          <w:p w:rsidR="007F3F42" w:rsidRDefault="00781698">
            <w:pPr>
              <w:jc w:val="right"/>
            </w:pPr>
            <w:r>
              <w:rPr>
                <w:rFonts w:eastAsiaTheme="minorEastAsia"/>
                <w:color w:val="000000"/>
                <w:szCs w:val="21"/>
              </w:rPr>
              <w:t>12,938.07</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4,803,528.30</w:t>
            </w:r>
          </w:p>
        </w:tc>
        <w:tc>
          <w:tcPr>
            <w:tcW w:w="1301" w:type="dxa"/>
            <w:vAlign w:val="center"/>
          </w:tcPr>
          <w:p w:rsidR="007F3F42" w:rsidRDefault="00781698">
            <w:pPr>
              <w:jc w:val="right"/>
            </w:pPr>
            <w:r>
              <w:rPr>
                <w:rFonts w:eastAsiaTheme="minorEastAsia"/>
                <w:color w:val="000000"/>
                <w:szCs w:val="21"/>
              </w:rPr>
              <w:t>4,816,466.37</w:t>
            </w:r>
          </w:p>
        </w:tc>
      </w:tr>
      <w:tr w:rsidR="007F3F42">
        <w:tc>
          <w:tcPr>
            <w:tcW w:w="1588" w:type="dxa"/>
            <w:vAlign w:val="center"/>
          </w:tcPr>
          <w:p w:rsidR="007F3F42" w:rsidRDefault="00781698">
            <w:pPr>
              <w:jc w:val="center"/>
            </w:pPr>
            <w:r>
              <w:rPr>
                <w:rFonts w:eastAsiaTheme="minorEastAsia"/>
                <w:color w:val="000000"/>
                <w:szCs w:val="21"/>
              </w:rPr>
              <w:t>递延所得税资产</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其他资产</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A10C6C" w:rsidRPr="00C24ACA" w:rsidTr="004C02E0">
        <w:trPr>
          <w:trHeight w:val="280"/>
        </w:trPr>
        <w:tc>
          <w:tcPr>
            <w:tcW w:w="1588" w:type="dxa"/>
            <w:vAlign w:val="center"/>
          </w:tcPr>
          <w:p w:rsidR="00A10C6C" w:rsidRPr="00C24ACA" w:rsidRDefault="00A10C6C" w:rsidP="00C903E7">
            <w:pPr>
              <w:autoSpaceDE w:val="0"/>
              <w:autoSpaceDN w:val="0"/>
              <w:adjustRightInd w:val="0"/>
              <w:spacing w:before="29" w:line="360" w:lineRule="auto"/>
              <w:jc w:val="center"/>
              <w:rPr>
                <w:rFonts w:eastAsiaTheme="minorEastAsia"/>
                <w:color w:val="000000"/>
                <w:szCs w:val="21"/>
              </w:rPr>
            </w:pPr>
            <w:r w:rsidRPr="00C24ACA">
              <w:rPr>
                <w:rFonts w:eastAsiaTheme="minorEastAsia"/>
                <w:color w:val="000000"/>
                <w:szCs w:val="21"/>
              </w:rPr>
              <w:t>资产总计</w:t>
            </w:r>
          </w:p>
        </w:tc>
        <w:tc>
          <w:tcPr>
            <w:tcW w:w="17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51,594,831.18</w:t>
            </w:r>
          </w:p>
        </w:tc>
        <w:tc>
          <w:tcPr>
            <w:tcW w:w="17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742,166,172.33</w:t>
            </w:r>
          </w:p>
        </w:tc>
        <w:tc>
          <w:tcPr>
            <w:tcW w:w="13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793,761,003.51</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w:t>
            </w:r>
          </w:p>
        </w:tc>
        <w:tc>
          <w:tcPr>
            <w:tcW w:w="1701" w:type="dxa"/>
            <w:vAlign w:val="center"/>
          </w:tcPr>
          <w:p w:rsidR="00A10C6C" w:rsidRPr="00C24ACA" w:rsidRDefault="00A10C6C" w:rsidP="00427BFF">
            <w:pPr>
              <w:spacing w:line="360" w:lineRule="auto"/>
              <w:jc w:val="right"/>
              <w:rPr>
                <w:rFonts w:eastAsiaTheme="minorEastAsia"/>
                <w:color w:val="0000FF"/>
                <w:kern w:val="0"/>
                <w:szCs w:val="21"/>
              </w:rPr>
            </w:pP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301" w:type="dxa"/>
            <w:vAlign w:val="center"/>
          </w:tcPr>
          <w:p w:rsidR="00A10C6C" w:rsidRPr="00C24ACA" w:rsidRDefault="00A10C6C" w:rsidP="00427BFF">
            <w:pPr>
              <w:spacing w:line="360" w:lineRule="auto"/>
              <w:jc w:val="right"/>
              <w:rPr>
                <w:rFonts w:eastAsiaTheme="minorEastAsia"/>
                <w:color w:val="000000"/>
                <w:szCs w:val="21"/>
              </w:rPr>
            </w:pPr>
          </w:p>
        </w:tc>
      </w:tr>
      <w:tr w:rsidR="007F3F42">
        <w:tc>
          <w:tcPr>
            <w:tcW w:w="1588" w:type="dxa"/>
            <w:vAlign w:val="center"/>
          </w:tcPr>
          <w:p w:rsidR="007F3F42" w:rsidRDefault="00781698">
            <w:pPr>
              <w:jc w:val="center"/>
            </w:pPr>
            <w:r>
              <w:rPr>
                <w:rFonts w:eastAsiaTheme="minorEastAsia"/>
                <w:color w:val="000000"/>
                <w:szCs w:val="21"/>
              </w:rPr>
              <w:t>短期借款</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交易性金融负债</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衍生金融负债</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卖出回购金融资产款</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应付证券清算款</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应付赎回款</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21,577,481.79</w:t>
            </w:r>
          </w:p>
        </w:tc>
        <w:tc>
          <w:tcPr>
            <w:tcW w:w="1301" w:type="dxa"/>
            <w:vAlign w:val="center"/>
          </w:tcPr>
          <w:p w:rsidR="007F3F42" w:rsidRDefault="00781698">
            <w:pPr>
              <w:jc w:val="right"/>
            </w:pPr>
            <w:r>
              <w:rPr>
                <w:rFonts w:eastAsiaTheme="minorEastAsia"/>
                <w:color w:val="000000"/>
                <w:szCs w:val="21"/>
              </w:rPr>
              <w:t>21,577,481.79</w:t>
            </w:r>
          </w:p>
        </w:tc>
      </w:tr>
      <w:tr w:rsidR="007F3F42">
        <w:tc>
          <w:tcPr>
            <w:tcW w:w="1588" w:type="dxa"/>
            <w:vAlign w:val="center"/>
          </w:tcPr>
          <w:p w:rsidR="007F3F42" w:rsidRDefault="00781698">
            <w:pPr>
              <w:jc w:val="center"/>
            </w:pPr>
            <w:r>
              <w:rPr>
                <w:rFonts w:eastAsiaTheme="minorEastAsia"/>
                <w:color w:val="000000"/>
                <w:szCs w:val="21"/>
              </w:rPr>
              <w:t>应付管理人报酬</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19,317.09</w:t>
            </w:r>
          </w:p>
        </w:tc>
        <w:tc>
          <w:tcPr>
            <w:tcW w:w="1301" w:type="dxa"/>
            <w:vAlign w:val="center"/>
          </w:tcPr>
          <w:p w:rsidR="007F3F42" w:rsidRDefault="00781698">
            <w:pPr>
              <w:jc w:val="right"/>
            </w:pPr>
            <w:r>
              <w:rPr>
                <w:rFonts w:eastAsiaTheme="minorEastAsia"/>
                <w:color w:val="000000"/>
                <w:szCs w:val="21"/>
              </w:rPr>
              <w:t>19,317.09</w:t>
            </w:r>
          </w:p>
        </w:tc>
      </w:tr>
      <w:tr w:rsidR="007F3F42">
        <w:tc>
          <w:tcPr>
            <w:tcW w:w="1588" w:type="dxa"/>
            <w:vAlign w:val="center"/>
          </w:tcPr>
          <w:p w:rsidR="007F3F42" w:rsidRDefault="00781698">
            <w:pPr>
              <w:jc w:val="center"/>
            </w:pPr>
            <w:r>
              <w:rPr>
                <w:rFonts w:eastAsiaTheme="minorEastAsia"/>
                <w:color w:val="000000"/>
                <w:szCs w:val="21"/>
              </w:rPr>
              <w:t>应付托管费</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8,048.83</w:t>
            </w:r>
          </w:p>
        </w:tc>
        <w:tc>
          <w:tcPr>
            <w:tcW w:w="1301" w:type="dxa"/>
            <w:vAlign w:val="center"/>
          </w:tcPr>
          <w:p w:rsidR="007F3F42" w:rsidRDefault="00781698">
            <w:pPr>
              <w:jc w:val="right"/>
            </w:pPr>
            <w:r>
              <w:rPr>
                <w:rFonts w:eastAsiaTheme="minorEastAsia"/>
                <w:color w:val="000000"/>
                <w:szCs w:val="21"/>
              </w:rPr>
              <w:t>8,048.83</w:t>
            </w:r>
          </w:p>
        </w:tc>
      </w:tr>
      <w:tr w:rsidR="007F3F42">
        <w:tc>
          <w:tcPr>
            <w:tcW w:w="1588" w:type="dxa"/>
            <w:vAlign w:val="center"/>
          </w:tcPr>
          <w:p w:rsidR="007F3F42" w:rsidRDefault="00781698">
            <w:pPr>
              <w:jc w:val="center"/>
            </w:pPr>
            <w:r>
              <w:rPr>
                <w:rFonts w:eastAsiaTheme="minorEastAsia"/>
                <w:color w:val="000000"/>
                <w:szCs w:val="21"/>
              </w:rPr>
              <w:t>应付销售服务费</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11,794.53</w:t>
            </w:r>
          </w:p>
        </w:tc>
        <w:tc>
          <w:tcPr>
            <w:tcW w:w="1301" w:type="dxa"/>
            <w:vAlign w:val="center"/>
          </w:tcPr>
          <w:p w:rsidR="007F3F42" w:rsidRDefault="00781698">
            <w:pPr>
              <w:jc w:val="right"/>
            </w:pPr>
            <w:r>
              <w:rPr>
                <w:rFonts w:eastAsiaTheme="minorEastAsia"/>
                <w:color w:val="000000"/>
                <w:szCs w:val="21"/>
              </w:rPr>
              <w:t>11,794.53</w:t>
            </w:r>
          </w:p>
        </w:tc>
      </w:tr>
      <w:tr w:rsidR="007F3F42">
        <w:tc>
          <w:tcPr>
            <w:tcW w:w="1588" w:type="dxa"/>
            <w:vAlign w:val="center"/>
          </w:tcPr>
          <w:p w:rsidR="007F3F42" w:rsidRDefault="00781698">
            <w:pPr>
              <w:jc w:val="center"/>
            </w:pPr>
            <w:r>
              <w:rPr>
                <w:rFonts w:eastAsiaTheme="minorEastAsia"/>
                <w:color w:val="000000"/>
                <w:szCs w:val="21"/>
              </w:rPr>
              <w:t>应付交易费用</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应交税费</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185,398.22</w:t>
            </w:r>
          </w:p>
        </w:tc>
        <w:tc>
          <w:tcPr>
            <w:tcW w:w="1301" w:type="dxa"/>
            <w:vAlign w:val="center"/>
          </w:tcPr>
          <w:p w:rsidR="007F3F42" w:rsidRDefault="00781698">
            <w:pPr>
              <w:jc w:val="right"/>
            </w:pPr>
            <w:r>
              <w:rPr>
                <w:rFonts w:eastAsiaTheme="minorEastAsia"/>
                <w:color w:val="000000"/>
                <w:szCs w:val="21"/>
              </w:rPr>
              <w:t>185,398.22</w:t>
            </w:r>
          </w:p>
        </w:tc>
      </w:tr>
      <w:tr w:rsidR="007F3F42">
        <w:tc>
          <w:tcPr>
            <w:tcW w:w="1588" w:type="dxa"/>
            <w:vAlign w:val="center"/>
          </w:tcPr>
          <w:p w:rsidR="007F3F42" w:rsidRDefault="00781698">
            <w:pPr>
              <w:jc w:val="center"/>
            </w:pPr>
            <w:r>
              <w:rPr>
                <w:rFonts w:eastAsiaTheme="minorEastAsia"/>
                <w:color w:val="000000"/>
                <w:szCs w:val="21"/>
              </w:rPr>
              <w:t>应付利息</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应付利润</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递延所得税负债</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其他负债</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111,234.05</w:t>
            </w:r>
          </w:p>
        </w:tc>
        <w:tc>
          <w:tcPr>
            <w:tcW w:w="1301" w:type="dxa"/>
            <w:vAlign w:val="center"/>
          </w:tcPr>
          <w:p w:rsidR="007F3F42" w:rsidRDefault="00781698">
            <w:pPr>
              <w:jc w:val="right"/>
            </w:pPr>
            <w:r>
              <w:rPr>
                <w:rFonts w:eastAsiaTheme="minorEastAsia"/>
                <w:color w:val="000000"/>
                <w:szCs w:val="21"/>
              </w:rPr>
              <w:t>111,234.05</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21,913,274.51</w:t>
            </w:r>
          </w:p>
        </w:tc>
        <w:tc>
          <w:tcPr>
            <w:tcW w:w="1301" w:type="dxa"/>
            <w:vAlign w:val="center"/>
          </w:tcPr>
          <w:p w:rsidR="00A10C6C" w:rsidRPr="00C24ACA" w:rsidRDefault="00A10C6C" w:rsidP="00C903E7">
            <w:pPr>
              <w:spacing w:line="360" w:lineRule="auto"/>
              <w:ind w:right="210"/>
              <w:jc w:val="right"/>
              <w:rPr>
                <w:rFonts w:eastAsiaTheme="minorEastAsia"/>
                <w:szCs w:val="21"/>
              </w:rPr>
            </w:pPr>
            <w:r w:rsidRPr="00C24ACA">
              <w:rPr>
                <w:rFonts w:eastAsiaTheme="minorEastAsia"/>
                <w:szCs w:val="21"/>
              </w:rPr>
              <w:t>21,913,274.51</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利率敏感度缺口</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51,594,831.18</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720,252,897.82</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771,847,729.00</w:t>
            </w:r>
          </w:p>
        </w:tc>
      </w:tr>
      <w:tr w:rsidR="00A10C6C" w:rsidRPr="00C24ACA" w:rsidTr="004C02E0">
        <w:trPr>
          <w:trHeight w:val="280"/>
        </w:trPr>
        <w:tc>
          <w:tcPr>
            <w:tcW w:w="1588" w:type="dxa"/>
            <w:vAlign w:val="center"/>
          </w:tcPr>
          <w:p w:rsidR="00A10C6C" w:rsidRPr="00C24ACA" w:rsidRDefault="00A10C6C" w:rsidP="00427BFF">
            <w:pPr>
              <w:spacing w:line="360" w:lineRule="auto"/>
              <w:jc w:val="center"/>
              <w:rPr>
                <w:rFonts w:eastAsiaTheme="minorEastAsia"/>
                <w:szCs w:val="21"/>
              </w:rPr>
            </w:pPr>
            <w:r w:rsidRPr="00C24ACA">
              <w:rPr>
                <w:rFonts w:eastAsiaTheme="minorEastAsia"/>
                <w:szCs w:val="21"/>
              </w:rPr>
              <w:t>上年度末</w:t>
            </w:r>
          </w:p>
          <w:p w:rsidR="00A10C6C" w:rsidRPr="00C24ACA" w:rsidRDefault="00A10C6C" w:rsidP="00427BFF">
            <w:pPr>
              <w:spacing w:line="360" w:lineRule="auto"/>
              <w:jc w:val="center"/>
              <w:rPr>
                <w:rFonts w:eastAsiaTheme="minorEastAsia"/>
                <w:color w:val="000000"/>
                <w:szCs w:val="21"/>
              </w:rPr>
            </w:pPr>
            <w:r w:rsidRPr="00C24ACA">
              <w:rPr>
                <w:rFonts w:eastAsiaTheme="minorEastAsia"/>
                <w:szCs w:val="21"/>
              </w:rPr>
              <w:t>2019</w:t>
            </w:r>
            <w:r w:rsidRPr="00C24ACA">
              <w:rPr>
                <w:rFonts w:eastAsiaTheme="minorEastAsia"/>
                <w:szCs w:val="21"/>
              </w:rPr>
              <w:t>年</w:t>
            </w:r>
            <w:r w:rsidRPr="00C24ACA">
              <w:rPr>
                <w:rFonts w:eastAsiaTheme="minorEastAsia"/>
                <w:szCs w:val="21"/>
              </w:rPr>
              <w:t>12</w:t>
            </w:r>
            <w:r w:rsidRPr="00C24ACA">
              <w:rPr>
                <w:rFonts w:eastAsiaTheme="minorEastAsia"/>
                <w:szCs w:val="21"/>
              </w:rPr>
              <w:t>月</w:t>
            </w:r>
            <w:r w:rsidRPr="00C24ACA">
              <w:rPr>
                <w:rFonts w:eastAsiaTheme="minorEastAsia"/>
                <w:szCs w:val="21"/>
              </w:rPr>
              <w:t>31</w:t>
            </w:r>
            <w:r w:rsidRPr="00C24ACA">
              <w:rPr>
                <w:rFonts w:eastAsiaTheme="minorEastAsia"/>
                <w:szCs w:val="21"/>
              </w:rPr>
              <w:t>日</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年以内</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1-5</w:t>
            </w:r>
            <w:r w:rsidRPr="00C24ACA">
              <w:rPr>
                <w:rFonts w:eastAsiaTheme="minorEastAsia"/>
                <w:color w:val="000000"/>
                <w:szCs w:val="21"/>
              </w:rPr>
              <w:t>年</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年以上</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不计息</w:t>
            </w:r>
          </w:p>
        </w:tc>
        <w:tc>
          <w:tcPr>
            <w:tcW w:w="13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合计</w:t>
            </w:r>
          </w:p>
        </w:tc>
      </w:tr>
      <w:tr w:rsidR="00A10C6C" w:rsidRPr="00C24ACA" w:rsidTr="004C02E0">
        <w:trPr>
          <w:trHeight w:val="280"/>
        </w:trPr>
        <w:tc>
          <w:tcPr>
            <w:tcW w:w="1588" w:type="dxa"/>
          </w:tcPr>
          <w:p w:rsidR="00A10C6C" w:rsidRPr="00C24ACA" w:rsidRDefault="00A10C6C" w:rsidP="00865B2B">
            <w:pPr>
              <w:spacing w:line="360" w:lineRule="auto"/>
              <w:jc w:val="center"/>
              <w:rPr>
                <w:rFonts w:eastAsiaTheme="minorEastAsia"/>
                <w:color w:val="000000"/>
                <w:szCs w:val="21"/>
              </w:rPr>
            </w:pPr>
            <w:r w:rsidRPr="00C24ACA">
              <w:rPr>
                <w:rFonts w:eastAsiaTheme="minorEastAsia"/>
                <w:color w:val="000000"/>
                <w:szCs w:val="21"/>
              </w:rPr>
              <w:t>资产</w:t>
            </w: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701" w:type="dxa"/>
            <w:vAlign w:val="center"/>
          </w:tcPr>
          <w:p w:rsidR="00A10C6C" w:rsidRPr="00C24ACA" w:rsidRDefault="00A10C6C" w:rsidP="00427BFF">
            <w:pPr>
              <w:spacing w:line="360" w:lineRule="auto"/>
              <w:jc w:val="right"/>
              <w:rPr>
                <w:rFonts w:eastAsiaTheme="minorEastAsia"/>
                <w:b/>
                <w:color w:val="000000"/>
                <w:szCs w:val="21"/>
              </w:rPr>
            </w:pPr>
          </w:p>
        </w:tc>
        <w:tc>
          <w:tcPr>
            <w:tcW w:w="1559" w:type="dxa"/>
            <w:vAlign w:val="center"/>
          </w:tcPr>
          <w:p w:rsidR="00A10C6C" w:rsidRPr="00C24ACA" w:rsidRDefault="00A10C6C" w:rsidP="00427BFF">
            <w:pPr>
              <w:spacing w:line="360" w:lineRule="auto"/>
              <w:jc w:val="right"/>
              <w:rPr>
                <w:rFonts w:eastAsiaTheme="minorEastAsia"/>
                <w:b/>
                <w:color w:val="000000"/>
                <w:szCs w:val="21"/>
              </w:rPr>
            </w:pPr>
          </w:p>
        </w:tc>
        <w:tc>
          <w:tcPr>
            <w:tcW w:w="1559" w:type="dxa"/>
            <w:vAlign w:val="center"/>
          </w:tcPr>
          <w:p w:rsidR="00A10C6C" w:rsidRPr="00C24ACA" w:rsidRDefault="00A10C6C" w:rsidP="00427BFF">
            <w:pPr>
              <w:spacing w:line="360" w:lineRule="auto"/>
              <w:jc w:val="right"/>
              <w:rPr>
                <w:rFonts w:eastAsiaTheme="minorEastAsia"/>
                <w:b/>
                <w:color w:val="000000"/>
                <w:szCs w:val="21"/>
              </w:rPr>
            </w:pPr>
          </w:p>
        </w:tc>
        <w:tc>
          <w:tcPr>
            <w:tcW w:w="1301" w:type="dxa"/>
            <w:vAlign w:val="center"/>
          </w:tcPr>
          <w:p w:rsidR="00A10C6C" w:rsidRPr="00C24ACA" w:rsidRDefault="00A10C6C" w:rsidP="00427BFF">
            <w:pPr>
              <w:spacing w:line="360" w:lineRule="auto"/>
              <w:jc w:val="right"/>
              <w:rPr>
                <w:rFonts w:eastAsiaTheme="minorEastAsia"/>
                <w:b/>
                <w:color w:val="000000"/>
                <w:szCs w:val="21"/>
              </w:rPr>
            </w:pPr>
          </w:p>
        </w:tc>
      </w:tr>
      <w:tr w:rsidR="007F3F42">
        <w:tc>
          <w:tcPr>
            <w:tcW w:w="1588" w:type="dxa"/>
            <w:vAlign w:val="center"/>
          </w:tcPr>
          <w:p w:rsidR="007F3F42" w:rsidRDefault="00781698">
            <w:pPr>
              <w:jc w:val="center"/>
            </w:pPr>
            <w:r>
              <w:rPr>
                <w:rFonts w:eastAsiaTheme="minorEastAsia"/>
                <w:color w:val="000000"/>
                <w:szCs w:val="21"/>
              </w:rPr>
              <w:t>银行存款</w:t>
            </w:r>
          </w:p>
        </w:tc>
        <w:tc>
          <w:tcPr>
            <w:tcW w:w="1701" w:type="dxa"/>
            <w:vAlign w:val="center"/>
          </w:tcPr>
          <w:p w:rsidR="007F3F42" w:rsidRDefault="00781698">
            <w:pPr>
              <w:jc w:val="right"/>
            </w:pPr>
            <w:r>
              <w:rPr>
                <w:rFonts w:eastAsiaTheme="minorEastAsia"/>
                <w:color w:val="000000"/>
                <w:szCs w:val="21"/>
              </w:rPr>
              <w:t>8,371,334.24</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8,371,334.24</w:t>
            </w:r>
          </w:p>
        </w:tc>
      </w:tr>
      <w:tr w:rsidR="007F3F42">
        <w:tc>
          <w:tcPr>
            <w:tcW w:w="1588" w:type="dxa"/>
            <w:vAlign w:val="center"/>
          </w:tcPr>
          <w:p w:rsidR="007F3F42" w:rsidRDefault="00781698">
            <w:pPr>
              <w:jc w:val="center"/>
            </w:pPr>
            <w:r>
              <w:rPr>
                <w:rFonts w:eastAsiaTheme="minorEastAsia"/>
                <w:color w:val="000000"/>
                <w:szCs w:val="21"/>
              </w:rPr>
              <w:t>结算备付金</w:t>
            </w:r>
          </w:p>
        </w:tc>
        <w:tc>
          <w:tcPr>
            <w:tcW w:w="1701" w:type="dxa"/>
            <w:vAlign w:val="center"/>
          </w:tcPr>
          <w:p w:rsidR="007F3F42" w:rsidRDefault="00781698">
            <w:pPr>
              <w:jc w:val="right"/>
            </w:pPr>
            <w:r>
              <w:rPr>
                <w:rFonts w:eastAsiaTheme="minorEastAsia"/>
                <w:color w:val="000000"/>
                <w:szCs w:val="21"/>
              </w:rPr>
              <w:t>62,340.45</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62,340.45</w:t>
            </w:r>
          </w:p>
        </w:tc>
      </w:tr>
      <w:tr w:rsidR="007F3F42">
        <w:tc>
          <w:tcPr>
            <w:tcW w:w="1588" w:type="dxa"/>
            <w:vAlign w:val="center"/>
          </w:tcPr>
          <w:p w:rsidR="007F3F42" w:rsidRDefault="00781698">
            <w:pPr>
              <w:jc w:val="center"/>
            </w:pPr>
            <w:r>
              <w:rPr>
                <w:rFonts w:eastAsiaTheme="minorEastAsia"/>
                <w:color w:val="000000"/>
                <w:szCs w:val="21"/>
              </w:rPr>
              <w:t>存出保证金</w:t>
            </w:r>
          </w:p>
        </w:tc>
        <w:tc>
          <w:tcPr>
            <w:tcW w:w="1701" w:type="dxa"/>
            <w:vAlign w:val="center"/>
          </w:tcPr>
          <w:p w:rsidR="007F3F42" w:rsidRDefault="00781698">
            <w:pPr>
              <w:jc w:val="right"/>
            </w:pPr>
            <w:r>
              <w:rPr>
                <w:rFonts w:eastAsiaTheme="minorEastAsia"/>
                <w:color w:val="000000"/>
                <w:szCs w:val="21"/>
              </w:rPr>
              <w:t>16,586.04</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16,586.04</w:t>
            </w:r>
          </w:p>
        </w:tc>
      </w:tr>
      <w:tr w:rsidR="007F3F42">
        <w:tc>
          <w:tcPr>
            <w:tcW w:w="1588" w:type="dxa"/>
            <w:vAlign w:val="center"/>
          </w:tcPr>
          <w:p w:rsidR="007F3F42" w:rsidRDefault="00781698">
            <w:pPr>
              <w:jc w:val="center"/>
            </w:pPr>
            <w:r>
              <w:rPr>
                <w:rFonts w:eastAsiaTheme="minorEastAsia"/>
                <w:color w:val="000000"/>
                <w:szCs w:val="21"/>
              </w:rPr>
              <w:t>交易性金融资产</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141,971,964.92</w:t>
            </w:r>
          </w:p>
        </w:tc>
        <w:tc>
          <w:tcPr>
            <w:tcW w:w="1301" w:type="dxa"/>
            <w:vAlign w:val="center"/>
          </w:tcPr>
          <w:p w:rsidR="007F3F42" w:rsidRDefault="00781698">
            <w:pPr>
              <w:jc w:val="right"/>
            </w:pPr>
            <w:r>
              <w:rPr>
                <w:rFonts w:eastAsiaTheme="minorEastAsia"/>
                <w:color w:val="000000"/>
                <w:szCs w:val="21"/>
              </w:rPr>
              <w:t>141,971,964.92</w:t>
            </w:r>
          </w:p>
        </w:tc>
      </w:tr>
      <w:tr w:rsidR="007F3F42">
        <w:tc>
          <w:tcPr>
            <w:tcW w:w="1588" w:type="dxa"/>
            <w:vAlign w:val="center"/>
          </w:tcPr>
          <w:p w:rsidR="007F3F42" w:rsidRDefault="00781698">
            <w:pPr>
              <w:jc w:val="center"/>
            </w:pPr>
            <w:r>
              <w:rPr>
                <w:rFonts w:eastAsiaTheme="minorEastAsia"/>
                <w:color w:val="000000"/>
                <w:szCs w:val="21"/>
              </w:rPr>
              <w:t>衍生金融资产</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买入返售金融资产</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应收证券清算款</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应收利息</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1,651.49</w:t>
            </w:r>
          </w:p>
        </w:tc>
        <w:tc>
          <w:tcPr>
            <w:tcW w:w="1301" w:type="dxa"/>
            <w:vAlign w:val="center"/>
          </w:tcPr>
          <w:p w:rsidR="007F3F42" w:rsidRDefault="00781698">
            <w:pPr>
              <w:jc w:val="right"/>
            </w:pPr>
            <w:r>
              <w:rPr>
                <w:rFonts w:eastAsiaTheme="minorEastAsia"/>
                <w:color w:val="000000"/>
                <w:szCs w:val="21"/>
              </w:rPr>
              <w:t>1,651.49</w:t>
            </w:r>
          </w:p>
        </w:tc>
      </w:tr>
      <w:tr w:rsidR="007F3F42">
        <w:tc>
          <w:tcPr>
            <w:tcW w:w="1588" w:type="dxa"/>
            <w:vAlign w:val="center"/>
          </w:tcPr>
          <w:p w:rsidR="007F3F42" w:rsidRDefault="00781698">
            <w:pPr>
              <w:jc w:val="center"/>
            </w:pPr>
            <w:r>
              <w:rPr>
                <w:rFonts w:eastAsiaTheme="minorEastAsia"/>
                <w:color w:val="000000"/>
                <w:szCs w:val="21"/>
              </w:rPr>
              <w:t>应收股利</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应收申购款</w:t>
            </w:r>
          </w:p>
        </w:tc>
        <w:tc>
          <w:tcPr>
            <w:tcW w:w="1701" w:type="dxa"/>
            <w:vAlign w:val="center"/>
          </w:tcPr>
          <w:p w:rsidR="007F3F42" w:rsidRDefault="00781698">
            <w:pPr>
              <w:jc w:val="right"/>
            </w:pPr>
            <w:r>
              <w:rPr>
                <w:rFonts w:eastAsiaTheme="minorEastAsia"/>
                <w:color w:val="000000"/>
                <w:szCs w:val="21"/>
              </w:rPr>
              <w:t>1,997.60</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4,936,281.44</w:t>
            </w:r>
          </w:p>
        </w:tc>
        <w:tc>
          <w:tcPr>
            <w:tcW w:w="1301" w:type="dxa"/>
            <w:vAlign w:val="center"/>
          </w:tcPr>
          <w:p w:rsidR="007F3F42" w:rsidRDefault="00781698">
            <w:pPr>
              <w:jc w:val="right"/>
            </w:pPr>
            <w:r>
              <w:rPr>
                <w:rFonts w:eastAsiaTheme="minorEastAsia"/>
                <w:color w:val="000000"/>
                <w:szCs w:val="21"/>
              </w:rPr>
              <w:t>4,938,279.04</w:t>
            </w:r>
          </w:p>
        </w:tc>
      </w:tr>
      <w:tr w:rsidR="007F3F42">
        <w:tc>
          <w:tcPr>
            <w:tcW w:w="1588" w:type="dxa"/>
            <w:vAlign w:val="center"/>
          </w:tcPr>
          <w:p w:rsidR="007F3F42" w:rsidRDefault="00781698">
            <w:pPr>
              <w:jc w:val="center"/>
            </w:pPr>
            <w:r>
              <w:rPr>
                <w:rFonts w:eastAsiaTheme="minorEastAsia"/>
                <w:color w:val="000000"/>
                <w:szCs w:val="21"/>
              </w:rPr>
              <w:t>递延所得税资产</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其他资产</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资产总计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8,452,258.33</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146,909,897.85</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155,362,156.18</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w:t>
            </w:r>
          </w:p>
        </w:tc>
        <w:tc>
          <w:tcPr>
            <w:tcW w:w="1701" w:type="dxa"/>
            <w:vAlign w:val="bottom"/>
          </w:tcPr>
          <w:p w:rsidR="00A10C6C" w:rsidRPr="00C24ACA" w:rsidRDefault="00A10C6C" w:rsidP="00427BFF">
            <w:pPr>
              <w:spacing w:line="360" w:lineRule="auto"/>
              <w:jc w:val="right"/>
              <w:rPr>
                <w:rFonts w:eastAsiaTheme="minorEastAsia"/>
                <w:color w:val="0000FF"/>
                <w:kern w:val="0"/>
                <w:szCs w:val="21"/>
              </w:rPr>
            </w:pPr>
          </w:p>
        </w:tc>
        <w:tc>
          <w:tcPr>
            <w:tcW w:w="1701" w:type="dxa"/>
            <w:vAlign w:val="bottom"/>
          </w:tcPr>
          <w:p w:rsidR="00A10C6C" w:rsidRPr="00C24ACA" w:rsidRDefault="00A10C6C" w:rsidP="00427BFF">
            <w:pPr>
              <w:spacing w:line="360" w:lineRule="auto"/>
              <w:jc w:val="right"/>
              <w:rPr>
                <w:rFonts w:eastAsiaTheme="minorEastAsia"/>
                <w:color w:val="000000"/>
                <w:szCs w:val="21"/>
              </w:rPr>
            </w:pPr>
          </w:p>
        </w:tc>
        <w:tc>
          <w:tcPr>
            <w:tcW w:w="1559" w:type="dxa"/>
            <w:vAlign w:val="bottom"/>
          </w:tcPr>
          <w:p w:rsidR="00A10C6C" w:rsidRPr="00C24ACA" w:rsidRDefault="00A10C6C" w:rsidP="00427BFF">
            <w:pPr>
              <w:spacing w:line="360" w:lineRule="auto"/>
              <w:jc w:val="right"/>
              <w:rPr>
                <w:rFonts w:eastAsiaTheme="minorEastAsia"/>
                <w:color w:val="000000"/>
                <w:szCs w:val="21"/>
              </w:rPr>
            </w:pPr>
          </w:p>
        </w:tc>
        <w:tc>
          <w:tcPr>
            <w:tcW w:w="1559" w:type="dxa"/>
            <w:vAlign w:val="bottom"/>
          </w:tcPr>
          <w:p w:rsidR="00A10C6C" w:rsidRPr="00C24ACA" w:rsidRDefault="00A10C6C" w:rsidP="00427BFF">
            <w:pPr>
              <w:spacing w:line="360" w:lineRule="auto"/>
              <w:jc w:val="right"/>
              <w:rPr>
                <w:rFonts w:eastAsiaTheme="minorEastAsia"/>
                <w:color w:val="000000"/>
                <w:szCs w:val="21"/>
              </w:rPr>
            </w:pPr>
          </w:p>
        </w:tc>
        <w:tc>
          <w:tcPr>
            <w:tcW w:w="1301" w:type="dxa"/>
            <w:vAlign w:val="bottom"/>
          </w:tcPr>
          <w:p w:rsidR="00A10C6C" w:rsidRPr="00C24ACA" w:rsidRDefault="00A10C6C" w:rsidP="00427BFF">
            <w:pPr>
              <w:spacing w:line="360" w:lineRule="auto"/>
              <w:jc w:val="right"/>
              <w:rPr>
                <w:rFonts w:eastAsiaTheme="minorEastAsia"/>
                <w:color w:val="000000"/>
                <w:szCs w:val="21"/>
              </w:rPr>
            </w:pPr>
          </w:p>
        </w:tc>
      </w:tr>
      <w:tr w:rsidR="007F3F42">
        <w:tc>
          <w:tcPr>
            <w:tcW w:w="1588" w:type="dxa"/>
            <w:vAlign w:val="center"/>
          </w:tcPr>
          <w:p w:rsidR="007F3F42" w:rsidRDefault="00781698">
            <w:pPr>
              <w:jc w:val="center"/>
            </w:pPr>
            <w:r>
              <w:rPr>
                <w:rFonts w:eastAsiaTheme="minorEastAsia"/>
                <w:color w:val="000000"/>
                <w:szCs w:val="21"/>
              </w:rPr>
              <w:t>短期借款</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center"/>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交易性金融负债</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center"/>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衍生金融负债</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center"/>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卖出回购金融资产款</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center"/>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应付证券清算款</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center"/>
            </w:pPr>
            <w:r>
              <w:rPr>
                <w:rFonts w:eastAsiaTheme="minorEastAsia"/>
                <w:color w:val="000000"/>
                <w:szCs w:val="21"/>
              </w:rPr>
              <w:t>1,426,064.17</w:t>
            </w:r>
          </w:p>
        </w:tc>
        <w:tc>
          <w:tcPr>
            <w:tcW w:w="1301" w:type="dxa"/>
            <w:vAlign w:val="center"/>
          </w:tcPr>
          <w:p w:rsidR="007F3F42" w:rsidRDefault="00781698">
            <w:pPr>
              <w:jc w:val="right"/>
            </w:pPr>
            <w:r>
              <w:rPr>
                <w:rFonts w:eastAsiaTheme="minorEastAsia"/>
                <w:color w:val="000000"/>
                <w:szCs w:val="21"/>
              </w:rPr>
              <w:t>1,426,064.17</w:t>
            </w:r>
          </w:p>
        </w:tc>
      </w:tr>
      <w:tr w:rsidR="007F3F42">
        <w:tc>
          <w:tcPr>
            <w:tcW w:w="1588" w:type="dxa"/>
            <w:vAlign w:val="center"/>
          </w:tcPr>
          <w:p w:rsidR="007F3F42" w:rsidRDefault="00781698">
            <w:pPr>
              <w:jc w:val="center"/>
            </w:pPr>
            <w:r>
              <w:rPr>
                <w:rFonts w:eastAsiaTheme="minorEastAsia"/>
                <w:color w:val="000000"/>
                <w:szCs w:val="21"/>
              </w:rPr>
              <w:t>应付赎回款</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center"/>
            </w:pPr>
            <w:r>
              <w:rPr>
                <w:rFonts w:eastAsiaTheme="minorEastAsia"/>
                <w:color w:val="000000"/>
                <w:szCs w:val="21"/>
              </w:rPr>
              <w:t>2,016,320.62</w:t>
            </w:r>
          </w:p>
        </w:tc>
        <w:tc>
          <w:tcPr>
            <w:tcW w:w="1301" w:type="dxa"/>
            <w:vAlign w:val="center"/>
          </w:tcPr>
          <w:p w:rsidR="007F3F42" w:rsidRDefault="00781698">
            <w:pPr>
              <w:jc w:val="right"/>
            </w:pPr>
            <w:r>
              <w:rPr>
                <w:rFonts w:eastAsiaTheme="minorEastAsia"/>
                <w:color w:val="000000"/>
                <w:szCs w:val="21"/>
              </w:rPr>
              <w:t>2,016,320.62</w:t>
            </w:r>
          </w:p>
        </w:tc>
      </w:tr>
      <w:tr w:rsidR="007F3F42">
        <w:tc>
          <w:tcPr>
            <w:tcW w:w="1588" w:type="dxa"/>
            <w:vAlign w:val="center"/>
          </w:tcPr>
          <w:p w:rsidR="007F3F42" w:rsidRDefault="00781698">
            <w:pPr>
              <w:jc w:val="center"/>
            </w:pPr>
            <w:r>
              <w:rPr>
                <w:rFonts w:eastAsiaTheme="minorEastAsia"/>
                <w:color w:val="000000"/>
                <w:szCs w:val="21"/>
              </w:rPr>
              <w:t>应付管理人报酬</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center"/>
            </w:pPr>
            <w:r>
              <w:rPr>
                <w:rFonts w:eastAsiaTheme="minorEastAsia"/>
                <w:color w:val="000000"/>
                <w:szCs w:val="21"/>
              </w:rPr>
              <w:t>4,198.95</w:t>
            </w:r>
          </w:p>
        </w:tc>
        <w:tc>
          <w:tcPr>
            <w:tcW w:w="1301" w:type="dxa"/>
            <w:vAlign w:val="center"/>
          </w:tcPr>
          <w:p w:rsidR="007F3F42" w:rsidRDefault="00781698">
            <w:pPr>
              <w:jc w:val="right"/>
            </w:pPr>
            <w:r>
              <w:rPr>
                <w:rFonts w:eastAsiaTheme="minorEastAsia"/>
                <w:color w:val="000000"/>
                <w:szCs w:val="21"/>
              </w:rPr>
              <w:t>4,198.95</w:t>
            </w:r>
          </w:p>
        </w:tc>
      </w:tr>
      <w:tr w:rsidR="007F3F42">
        <w:tc>
          <w:tcPr>
            <w:tcW w:w="1588" w:type="dxa"/>
            <w:vAlign w:val="center"/>
          </w:tcPr>
          <w:p w:rsidR="007F3F42" w:rsidRDefault="00781698">
            <w:pPr>
              <w:jc w:val="center"/>
            </w:pPr>
            <w:r>
              <w:rPr>
                <w:rFonts w:eastAsiaTheme="minorEastAsia"/>
                <w:color w:val="000000"/>
                <w:szCs w:val="21"/>
              </w:rPr>
              <w:t>应付托管费</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center"/>
            </w:pPr>
            <w:r>
              <w:rPr>
                <w:rFonts w:eastAsiaTheme="minorEastAsia"/>
                <w:color w:val="000000"/>
                <w:szCs w:val="21"/>
              </w:rPr>
              <w:t>1,749.54</w:t>
            </w:r>
          </w:p>
        </w:tc>
        <w:tc>
          <w:tcPr>
            <w:tcW w:w="1301" w:type="dxa"/>
            <w:vAlign w:val="center"/>
          </w:tcPr>
          <w:p w:rsidR="007F3F42" w:rsidRDefault="00781698">
            <w:pPr>
              <w:jc w:val="right"/>
            </w:pPr>
            <w:r>
              <w:rPr>
                <w:rFonts w:eastAsiaTheme="minorEastAsia"/>
                <w:color w:val="000000"/>
                <w:szCs w:val="21"/>
              </w:rPr>
              <w:t>1,749.54</w:t>
            </w:r>
          </w:p>
        </w:tc>
      </w:tr>
      <w:tr w:rsidR="007F3F42">
        <w:tc>
          <w:tcPr>
            <w:tcW w:w="1588" w:type="dxa"/>
            <w:vAlign w:val="center"/>
          </w:tcPr>
          <w:p w:rsidR="007F3F42" w:rsidRDefault="00781698">
            <w:pPr>
              <w:jc w:val="center"/>
            </w:pPr>
            <w:r>
              <w:rPr>
                <w:rFonts w:eastAsiaTheme="minorEastAsia"/>
                <w:color w:val="000000"/>
                <w:szCs w:val="21"/>
              </w:rPr>
              <w:t>应付销售服务费</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center"/>
            </w:pPr>
            <w:r>
              <w:rPr>
                <w:rFonts w:eastAsiaTheme="minorEastAsia"/>
                <w:color w:val="000000"/>
                <w:szCs w:val="21"/>
              </w:rPr>
              <w:t>7,037.10</w:t>
            </w:r>
          </w:p>
        </w:tc>
        <w:tc>
          <w:tcPr>
            <w:tcW w:w="1301" w:type="dxa"/>
            <w:vAlign w:val="center"/>
          </w:tcPr>
          <w:p w:rsidR="007F3F42" w:rsidRDefault="00781698">
            <w:pPr>
              <w:jc w:val="right"/>
            </w:pPr>
            <w:r>
              <w:rPr>
                <w:rFonts w:eastAsiaTheme="minorEastAsia"/>
                <w:color w:val="000000"/>
                <w:szCs w:val="21"/>
              </w:rPr>
              <w:t>7,037.10</w:t>
            </w:r>
          </w:p>
        </w:tc>
      </w:tr>
      <w:tr w:rsidR="007F3F42">
        <w:tc>
          <w:tcPr>
            <w:tcW w:w="1588" w:type="dxa"/>
            <w:vAlign w:val="center"/>
          </w:tcPr>
          <w:p w:rsidR="007F3F42" w:rsidRDefault="00781698">
            <w:pPr>
              <w:jc w:val="center"/>
            </w:pPr>
            <w:r>
              <w:rPr>
                <w:rFonts w:eastAsiaTheme="minorEastAsia"/>
                <w:color w:val="000000"/>
                <w:szCs w:val="21"/>
              </w:rPr>
              <w:t>应付交易费用</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center"/>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应交税费</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center"/>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应付利息</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center"/>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应付利润</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center"/>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递延所得税负债</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center"/>
            </w:pPr>
            <w:r>
              <w:rPr>
                <w:rFonts w:eastAsiaTheme="minorEastAsia"/>
                <w:color w:val="000000"/>
                <w:szCs w:val="21"/>
              </w:rPr>
              <w:t>-</w:t>
            </w:r>
          </w:p>
        </w:tc>
        <w:tc>
          <w:tcPr>
            <w:tcW w:w="1301" w:type="dxa"/>
            <w:vAlign w:val="center"/>
          </w:tcPr>
          <w:p w:rsidR="007F3F42" w:rsidRDefault="00781698">
            <w:pPr>
              <w:jc w:val="right"/>
            </w:pPr>
            <w:r>
              <w:rPr>
                <w:rFonts w:eastAsiaTheme="minorEastAsia"/>
                <w:color w:val="000000"/>
                <w:szCs w:val="21"/>
              </w:rPr>
              <w:t>-</w:t>
            </w:r>
          </w:p>
        </w:tc>
      </w:tr>
      <w:tr w:rsidR="007F3F42">
        <w:tc>
          <w:tcPr>
            <w:tcW w:w="1588" w:type="dxa"/>
            <w:vAlign w:val="center"/>
          </w:tcPr>
          <w:p w:rsidR="007F3F42" w:rsidRDefault="00781698">
            <w:pPr>
              <w:jc w:val="center"/>
            </w:pPr>
            <w:r>
              <w:rPr>
                <w:rFonts w:eastAsiaTheme="minorEastAsia"/>
                <w:color w:val="000000"/>
                <w:szCs w:val="21"/>
              </w:rPr>
              <w:t>其他负债</w:t>
            </w:r>
          </w:p>
        </w:tc>
        <w:tc>
          <w:tcPr>
            <w:tcW w:w="1701" w:type="dxa"/>
            <w:vAlign w:val="center"/>
          </w:tcPr>
          <w:p w:rsidR="007F3F42" w:rsidRDefault="00781698">
            <w:pPr>
              <w:jc w:val="right"/>
            </w:pPr>
            <w:r>
              <w:rPr>
                <w:rFonts w:eastAsiaTheme="minorEastAsia"/>
                <w:color w:val="000000"/>
                <w:szCs w:val="21"/>
              </w:rPr>
              <w:t>-</w:t>
            </w:r>
          </w:p>
        </w:tc>
        <w:tc>
          <w:tcPr>
            <w:tcW w:w="1701"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right"/>
            </w:pPr>
            <w:r>
              <w:rPr>
                <w:rFonts w:eastAsiaTheme="minorEastAsia"/>
                <w:color w:val="000000"/>
                <w:szCs w:val="21"/>
              </w:rPr>
              <w:t>-</w:t>
            </w:r>
          </w:p>
        </w:tc>
        <w:tc>
          <w:tcPr>
            <w:tcW w:w="1559" w:type="dxa"/>
            <w:vAlign w:val="center"/>
          </w:tcPr>
          <w:p w:rsidR="007F3F42" w:rsidRDefault="00781698">
            <w:pPr>
              <w:jc w:val="center"/>
            </w:pPr>
            <w:r>
              <w:rPr>
                <w:rFonts w:eastAsiaTheme="minorEastAsia"/>
                <w:color w:val="000000"/>
                <w:szCs w:val="21"/>
              </w:rPr>
              <w:t>31,488.41</w:t>
            </w:r>
          </w:p>
        </w:tc>
        <w:tc>
          <w:tcPr>
            <w:tcW w:w="1301" w:type="dxa"/>
            <w:vAlign w:val="center"/>
          </w:tcPr>
          <w:p w:rsidR="007F3F42" w:rsidRDefault="00781698">
            <w:pPr>
              <w:jc w:val="right"/>
            </w:pPr>
            <w:r>
              <w:rPr>
                <w:rFonts w:eastAsiaTheme="minorEastAsia"/>
                <w:color w:val="000000"/>
                <w:szCs w:val="21"/>
              </w:rPr>
              <w:t>31,488.41</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3,486,858.79</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3,486,858.79</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利率敏感度缺口</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8,452,258.33</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143,423,039.06</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151,875,297.39</w:t>
            </w:r>
          </w:p>
        </w:tc>
      </w:tr>
    </w:tbl>
    <w:p w:rsidR="008A5A5D" w:rsidRPr="00C24ACA" w:rsidRDefault="00A10C6C"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注：各期限分类的标准为按金融资产或金融负债的重新定价日或到期日孰早者进行分类。</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6.4.13.4.1.2</w:t>
      </w:r>
      <w:r w:rsidRPr="00C24ACA">
        <w:rPr>
          <w:rFonts w:eastAsiaTheme="minorEastAsia"/>
          <w:b/>
          <w:bCs/>
          <w:color w:val="000000"/>
          <w:szCs w:val="21"/>
        </w:rPr>
        <w:t>利率风险的敏感性分析</w:t>
      </w:r>
    </w:p>
    <w:p w:rsidR="008A5A5D" w:rsidRPr="00C24ACA" w:rsidRDefault="00022F8F"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本期末本基金未持有交易性债券投资</w:t>
      </w:r>
      <w:r w:rsidRPr="00C24ACA">
        <w:rPr>
          <w:rFonts w:eastAsiaTheme="minorEastAsia"/>
          <w:kern w:val="0"/>
          <w:szCs w:val="21"/>
        </w:rPr>
        <w:t>(</w:t>
      </w:r>
      <w:r w:rsidRPr="00C24ACA">
        <w:rPr>
          <w:rFonts w:eastAsiaTheme="minorEastAsia"/>
          <w:kern w:val="0"/>
          <w:szCs w:val="21"/>
        </w:rPr>
        <w:t>不包括可转债），因此市场利率的变动对于本基金资产净值无重大影响。</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6.4.13.4.2</w:t>
      </w:r>
      <w:r w:rsidRPr="00C24ACA">
        <w:rPr>
          <w:rFonts w:eastAsiaTheme="minorEastAsia"/>
          <w:b/>
          <w:bCs/>
          <w:color w:val="000000"/>
          <w:szCs w:val="21"/>
        </w:rPr>
        <w:t>外汇风险</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6.4.13.4.2.1</w:t>
      </w:r>
      <w:r w:rsidRPr="00C24ACA">
        <w:rPr>
          <w:rFonts w:eastAsiaTheme="minorEastAsia"/>
          <w:b/>
          <w:bCs/>
          <w:color w:val="000000"/>
          <w:szCs w:val="21"/>
        </w:rPr>
        <w:t>外汇风险敞口</w:t>
      </w:r>
    </w:p>
    <w:p w:rsidR="0056101E" w:rsidRPr="00C24ACA" w:rsidRDefault="0056101E" w:rsidP="0056101E">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7"/>
        <w:gridCol w:w="1943"/>
        <w:gridCol w:w="1400"/>
        <w:gridCol w:w="2020"/>
        <w:gridCol w:w="2160"/>
      </w:tblGrid>
      <w:tr w:rsidR="0056101E" w:rsidRPr="00C24ACA" w:rsidTr="00742218">
        <w:tc>
          <w:tcPr>
            <w:tcW w:w="1477" w:type="dxa"/>
            <w:vMerge w:val="restart"/>
            <w:vAlign w:val="center"/>
          </w:tcPr>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color w:val="000000"/>
                <w:szCs w:val="21"/>
              </w:rPr>
              <w:t>项目</w:t>
            </w:r>
          </w:p>
        </w:tc>
        <w:tc>
          <w:tcPr>
            <w:tcW w:w="7523" w:type="dxa"/>
            <w:gridSpan w:val="4"/>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本期末</w:t>
            </w:r>
          </w:p>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p>
        </w:tc>
      </w:tr>
      <w:tr w:rsidR="0056101E" w:rsidRPr="00C24ACA" w:rsidTr="00742218">
        <w:tc>
          <w:tcPr>
            <w:tcW w:w="1477" w:type="dxa"/>
            <w:vMerge/>
            <w:vAlign w:val="center"/>
          </w:tcPr>
          <w:p w:rsidR="0056101E" w:rsidRPr="00C24ACA" w:rsidRDefault="0056101E" w:rsidP="00742218">
            <w:pPr>
              <w:autoSpaceDE w:val="0"/>
              <w:autoSpaceDN w:val="0"/>
              <w:adjustRightInd w:val="0"/>
              <w:spacing w:before="29" w:line="360" w:lineRule="auto"/>
              <w:ind w:left="15"/>
              <w:jc w:val="left"/>
              <w:rPr>
                <w:rFonts w:eastAsiaTheme="minorEastAsia"/>
                <w:color w:val="000000"/>
                <w:kern w:val="0"/>
                <w:szCs w:val="21"/>
              </w:rPr>
            </w:pPr>
          </w:p>
        </w:tc>
        <w:tc>
          <w:tcPr>
            <w:tcW w:w="1943"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美元</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140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港币</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202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其他币种</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216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合计</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以外币计价的资产</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vAlign w:val="center"/>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7F3F42">
        <w:tc>
          <w:tcPr>
            <w:tcW w:w="1477" w:type="dxa"/>
            <w:vAlign w:val="center"/>
          </w:tcPr>
          <w:p w:rsidR="007F3F42" w:rsidRDefault="00781698">
            <w:pPr>
              <w:jc w:val="left"/>
            </w:pPr>
            <w:r>
              <w:rPr>
                <w:rFonts w:eastAsiaTheme="minorEastAsia"/>
                <w:color w:val="000000"/>
                <w:kern w:val="0"/>
                <w:szCs w:val="21"/>
              </w:rPr>
              <w:t>银行存款</w:t>
            </w:r>
          </w:p>
        </w:tc>
        <w:tc>
          <w:tcPr>
            <w:tcW w:w="1943" w:type="dxa"/>
            <w:vAlign w:val="center"/>
          </w:tcPr>
          <w:p w:rsidR="007F3F42" w:rsidRDefault="00781698">
            <w:pPr>
              <w:jc w:val="right"/>
            </w:pPr>
            <w:r>
              <w:rPr>
                <w:rFonts w:eastAsiaTheme="minorEastAsia"/>
                <w:color w:val="000000"/>
                <w:kern w:val="0"/>
                <w:szCs w:val="21"/>
              </w:rPr>
              <w:t>4,440,049.73</w:t>
            </w:r>
          </w:p>
        </w:tc>
        <w:tc>
          <w:tcPr>
            <w:tcW w:w="1400" w:type="dxa"/>
            <w:vAlign w:val="center"/>
          </w:tcPr>
          <w:p w:rsidR="007F3F42" w:rsidRDefault="00781698">
            <w:pPr>
              <w:jc w:val="right"/>
            </w:pPr>
            <w:r>
              <w:rPr>
                <w:rFonts w:eastAsiaTheme="minorEastAsia"/>
                <w:color w:val="000000"/>
                <w:kern w:val="0"/>
                <w:szCs w:val="21"/>
              </w:rPr>
              <w:t>-</w:t>
            </w:r>
          </w:p>
        </w:tc>
        <w:tc>
          <w:tcPr>
            <w:tcW w:w="2020" w:type="dxa"/>
            <w:vAlign w:val="center"/>
          </w:tcPr>
          <w:p w:rsidR="007F3F42" w:rsidRDefault="00781698">
            <w:pPr>
              <w:jc w:val="right"/>
            </w:pPr>
            <w:r>
              <w:rPr>
                <w:rFonts w:eastAsiaTheme="minorEastAsia"/>
                <w:color w:val="000000"/>
                <w:kern w:val="0"/>
                <w:szCs w:val="21"/>
              </w:rPr>
              <w:t>-</w:t>
            </w:r>
          </w:p>
        </w:tc>
        <w:tc>
          <w:tcPr>
            <w:tcW w:w="2160" w:type="dxa"/>
            <w:vAlign w:val="center"/>
          </w:tcPr>
          <w:p w:rsidR="007F3F42" w:rsidRDefault="00781698">
            <w:pPr>
              <w:jc w:val="right"/>
            </w:pPr>
            <w:r>
              <w:rPr>
                <w:rFonts w:eastAsiaTheme="minorEastAsia"/>
                <w:color w:val="000000"/>
                <w:kern w:val="0"/>
                <w:szCs w:val="21"/>
              </w:rPr>
              <w:t>4,440,049.73</w:t>
            </w:r>
          </w:p>
        </w:tc>
      </w:tr>
      <w:tr w:rsidR="007F3F42">
        <w:tc>
          <w:tcPr>
            <w:tcW w:w="1477" w:type="dxa"/>
            <w:vAlign w:val="center"/>
          </w:tcPr>
          <w:p w:rsidR="007F3F42" w:rsidRDefault="00781698">
            <w:pPr>
              <w:jc w:val="left"/>
            </w:pPr>
            <w:r>
              <w:rPr>
                <w:rFonts w:eastAsiaTheme="minorEastAsia"/>
                <w:color w:val="000000"/>
                <w:kern w:val="0"/>
                <w:szCs w:val="21"/>
              </w:rPr>
              <w:t>结算备付金</w:t>
            </w:r>
          </w:p>
        </w:tc>
        <w:tc>
          <w:tcPr>
            <w:tcW w:w="1943" w:type="dxa"/>
            <w:vAlign w:val="center"/>
          </w:tcPr>
          <w:p w:rsidR="007F3F42" w:rsidRDefault="00781698">
            <w:pPr>
              <w:jc w:val="right"/>
            </w:pPr>
            <w:r>
              <w:rPr>
                <w:rFonts w:eastAsiaTheme="minorEastAsia"/>
                <w:color w:val="000000"/>
                <w:kern w:val="0"/>
                <w:szCs w:val="21"/>
              </w:rPr>
              <w:t>707,950.00</w:t>
            </w:r>
          </w:p>
        </w:tc>
        <w:tc>
          <w:tcPr>
            <w:tcW w:w="1400" w:type="dxa"/>
            <w:vAlign w:val="center"/>
          </w:tcPr>
          <w:p w:rsidR="007F3F42" w:rsidRDefault="00781698">
            <w:pPr>
              <w:jc w:val="right"/>
            </w:pPr>
            <w:r>
              <w:rPr>
                <w:rFonts w:eastAsiaTheme="minorEastAsia"/>
                <w:color w:val="000000"/>
                <w:kern w:val="0"/>
                <w:szCs w:val="21"/>
              </w:rPr>
              <w:t>-</w:t>
            </w:r>
          </w:p>
        </w:tc>
        <w:tc>
          <w:tcPr>
            <w:tcW w:w="2020" w:type="dxa"/>
            <w:vAlign w:val="center"/>
          </w:tcPr>
          <w:p w:rsidR="007F3F42" w:rsidRDefault="00781698">
            <w:pPr>
              <w:jc w:val="right"/>
            </w:pPr>
            <w:r>
              <w:rPr>
                <w:rFonts w:eastAsiaTheme="minorEastAsia"/>
                <w:color w:val="000000"/>
                <w:kern w:val="0"/>
                <w:szCs w:val="21"/>
              </w:rPr>
              <w:t>-</w:t>
            </w:r>
          </w:p>
        </w:tc>
        <w:tc>
          <w:tcPr>
            <w:tcW w:w="2160" w:type="dxa"/>
            <w:vAlign w:val="center"/>
          </w:tcPr>
          <w:p w:rsidR="007F3F42" w:rsidRDefault="00781698">
            <w:pPr>
              <w:jc w:val="right"/>
            </w:pPr>
            <w:r>
              <w:rPr>
                <w:rFonts w:eastAsiaTheme="minorEastAsia"/>
                <w:color w:val="000000"/>
                <w:kern w:val="0"/>
                <w:szCs w:val="21"/>
              </w:rPr>
              <w:t>707,950.00</w:t>
            </w:r>
          </w:p>
        </w:tc>
      </w:tr>
      <w:tr w:rsidR="007F3F42">
        <w:tc>
          <w:tcPr>
            <w:tcW w:w="1477" w:type="dxa"/>
            <w:vAlign w:val="center"/>
          </w:tcPr>
          <w:p w:rsidR="007F3F42" w:rsidRDefault="00781698">
            <w:pPr>
              <w:jc w:val="left"/>
            </w:pPr>
            <w:r>
              <w:rPr>
                <w:rFonts w:eastAsiaTheme="minorEastAsia"/>
                <w:color w:val="000000"/>
                <w:kern w:val="0"/>
                <w:szCs w:val="21"/>
              </w:rPr>
              <w:t>交易性金融资产</w:t>
            </w:r>
          </w:p>
        </w:tc>
        <w:tc>
          <w:tcPr>
            <w:tcW w:w="1943" w:type="dxa"/>
            <w:vAlign w:val="center"/>
          </w:tcPr>
          <w:p w:rsidR="007F3F42" w:rsidRDefault="00781698">
            <w:pPr>
              <w:jc w:val="right"/>
            </w:pPr>
            <w:r>
              <w:rPr>
                <w:rFonts w:eastAsiaTheme="minorEastAsia"/>
                <w:color w:val="000000"/>
                <w:kern w:val="0"/>
                <w:szCs w:val="21"/>
              </w:rPr>
              <w:t>-</w:t>
            </w:r>
          </w:p>
        </w:tc>
        <w:tc>
          <w:tcPr>
            <w:tcW w:w="1400" w:type="dxa"/>
            <w:vAlign w:val="center"/>
          </w:tcPr>
          <w:p w:rsidR="007F3F42" w:rsidRDefault="00781698">
            <w:pPr>
              <w:jc w:val="right"/>
            </w:pPr>
            <w:r>
              <w:rPr>
                <w:rFonts w:eastAsiaTheme="minorEastAsia"/>
                <w:color w:val="000000"/>
                <w:kern w:val="0"/>
                <w:szCs w:val="21"/>
              </w:rPr>
              <w:t>-</w:t>
            </w:r>
          </w:p>
        </w:tc>
        <w:tc>
          <w:tcPr>
            <w:tcW w:w="2020" w:type="dxa"/>
            <w:vAlign w:val="center"/>
          </w:tcPr>
          <w:p w:rsidR="007F3F42" w:rsidRDefault="00781698">
            <w:pPr>
              <w:jc w:val="right"/>
            </w:pPr>
            <w:r>
              <w:rPr>
                <w:rFonts w:eastAsiaTheme="minorEastAsia"/>
                <w:color w:val="000000"/>
                <w:kern w:val="0"/>
                <w:szCs w:val="21"/>
              </w:rPr>
              <w:t>-</w:t>
            </w:r>
          </w:p>
        </w:tc>
        <w:tc>
          <w:tcPr>
            <w:tcW w:w="2160" w:type="dxa"/>
            <w:vAlign w:val="center"/>
          </w:tcPr>
          <w:p w:rsidR="007F3F42" w:rsidRDefault="00781698">
            <w:pPr>
              <w:jc w:val="right"/>
            </w:pPr>
            <w:r>
              <w:rPr>
                <w:rFonts w:eastAsiaTheme="minorEastAsia"/>
                <w:color w:val="000000"/>
                <w:kern w:val="0"/>
                <w:szCs w:val="21"/>
              </w:rPr>
              <w:t>-</w:t>
            </w:r>
          </w:p>
        </w:tc>
      </w:tr>
      <w:tr w:rsidR="007F3F42">
        <w:tc>
          <w:tcPr>
            <w:tcW w:w="1477" w:type="dxa"/>
            <w:vAlign w:val="center"/>
          </w:tcPr>
          <w:p w:rsidR="007F3F42" w:rsidRDefault="00781698">
            <w:pPr>
              <w:jc w:val="left"/>
            </w:pPr>
            <w:r>
              <w:rPr>
                <w:rFonts w:eastAsiaTheme="minorEastAsia"/>
                <w:color w:val="000000"/>
                <w:kern w:val="0"/>
                <w:szCs w:val="21"/>
              </w:rPr>
              <w:t>衍生金融资产</w:t>
            </w:r>
          </w:p>
        </w:tc>
        <w:tc>
          <w:tcPr>
            <w:tcW w:w="1943" w:type="dxa"/>
            <w:vAlign w:val="center"/>
          </w:tcPr>
          <w:p w:rsidR="007F3F42" w:rsidRDefault="00781698">
            <w:pPr>
              <w:jc w:val="right"/>
            </w:pPr>
            <w:r>
              <w:rPr>
                <w:rFonts w:eastAsiaTheme="minorEastAsia"/>
                <w:color w:val="000000"/>
                <w:kern w:val="0"/>
                <w:szCs w:val="21"/>
              </w:rPr>
              <w:t>-</w:t>
            </w:r>
          </w:p>
        </w:tc>
        <w:tc>
          <w:tcPr>
            <w:tcW w:w="1400" w:type="dxa"/>
            <w:vAlign w:val="center"/>
          </w:tcPr>
          <w:p w:rsidR="007F3F42" w:rsidRDefault="00781698">
            <w:pPr>
              <w:jc w:val="right"/>
            </w:pPr>
            <w:r>
              <w:rPr>
                <w:rFonts w:eastAsiaTheme="minorEastAsia"/>
                <w:color w:val="000000"/>
                <w:kern w:val="0"/>
                <w:szCs w:val="21"/>
              </w:rPr>
              <w:t>-</w:t>
            </w:r>
          </w:p>
        </w:tc>
        <w:tc>
          <w:tcPr>
            <w:tcW w:w="2020" w:type="dxa"/>
            <w:vAlign w:val="center"/>
          </w:tcPr>
          <w:p w:rsidR="007F3F42" w:rsidRDefault="00781698">
            <w:pPr>
              <w:jc w:val="right"/>
            </w:pPr>
            <w:r>
              <w:rPr>
                <w:rFonts w:eastAsiaTheme="minorEastAsia"/>
                <w:color w:val="000000"/>
                <w:kern w:val="0"/>
                <w:szCs w:val="21"/>
              </w:rPr>
              <w:t>-</w:t>
            </w:r>
          </w:p>
        </w:tc>
        <w:tc>
          <w:tcPr>
            <w:tcW w:w="2160" w:type="dxa"/>
            <w:vAlign w:val="center"/>
          </w:tcPr>
          <w:p w:rsidR="007F3F42" w:rsidRDefault="00781698">
            <w:pPr>
              <w:jc w:val="right"/>
            </w:pPr>
            <w:r>
              <w:rPr>
                <w:rFonts w:eastAsiaTheme="minorEastAsia"/>
                <w:color w:val="000000"/>
                <w:kern w:val="0"/>
                <w:szCs w:val="21"/>
              </w:rPr>
              <w:t>-</w:t>
            </w:r>
          </w:p>
        </w:tc>
      </w:tr>
      <w:tr w:rsidR="007F3F42">
        <w:tc>
          <w:tcPr>
            <w:tcW w:w="1477" w:type="dxa"/>
            <w:vAlign w:val="center"/>
          </w:tcPr>
          <w:p w:rsidR="007F3F42" w:rsidRDefault="00781698">
            <w:pPr>
              <w:jc w:val="left"/>
            </w:pPr>
            <w:r>
              <w:rPr>
                <w:rFonts w:eastAsiaTheme="minorEastAsia"/>
                <w:color w:val="000000"/>
                <w:kern w:val="0"/>
                <w:szCs w:val="21"/>
              </w:rPr>
              <w:t>应收证券清算款</w:t>
            </w:r>
          </w:p>
        </w:tc>
        <w:tc>
          <w:tcPr>
            <w:tcW w:w="1943" w:type="dxa"/>
            <w:vAlign w:val="center"/>
          </w:tcPr>
          <w:p w:rsidR="007F3F42" w:rsidRDefault="00781698">
            <w:pPr>
              <w:jc w:val="right"/>
            </w:pPr>
            <w:r>
              <w:rPr>
                <w:rFonts w:eastAsiaTheme="minorEastAsia"/>
                <w:color w:val="000000"/>
                <w:kern w:val="0"/>
                <w:szCs w:val="21"/>
              </w:rPr>
              <w:t>-</w:t>
            </w:r>
          </w:p>
        </w:tc>
        <w:tc>
          <w:tcPr>
            <w:tcW w:w="1400" w:type="dxa"/>
            <w:vAlign w:val="center"/>
          </w:tcPr>
          <w:p w:rsidR="007F3F42" w:rsidRDefault="00781698">
            <w:pPr>
              <w:jc w:val="right"/>
            </w:pPr>
            <w:r>
              <w:rPr>
                <w:rFonts w:eastAsiaTheme="minorEastAsia"/>
                <w:color w:val="000000"/>
                <w:kern w:val="0"/>
                <w:szCs w:val="21"/>
              </w:rPr>
              <w:t>-</w:t>
            </w:r>
          </w:p>
        </w:tc>
        <w:tc>
          <w:tcPr>
            <w:tcW w:w="2020" w:type="dxa"/>
            <w:vAlign w:val="center"/>
          </w:tcPr>
          <w:p w:rsidR="007F3F42" w:rsidRDefault="00781698">
            <w:pPr>
              <w:jc w:val="right"/>
            </w:pPr>
            <w:r>
              <w:rPr>
                <w:rFonts w:eastAsiaTheme="minorEastAsia"/>
                <w:color w:val="000000"/>
                <w:kern w:val="0"/>
                <w:szCs w:val="21"/>
              </w:rPr>
              <w:t>-</w:t>
            </w:r>
          </w:p>
        </w:tc>
        <w:tc>
          <w:tcPr>
            <w:tcW w:w="2160" w:type="dxa"/>
            <w:vAlign w:val="center"/>
          </w:tcPr>
          <w:p w:rsidR="007F3F42" w:rsidRDefault="00781698">
            <w:pPr>
              <w:jc w:val="right"/>
            </w:pPr>
            <w:r>
              <w:rPr>
                <w:rFonts w:eastAsiaTheme="minorEastAsia"/>
                <w:color w:val="000000"/>
                <w:kern w:val="0"/>
                <w:szCs w:val="21"/>
              </w:rPr>
              <w:t>-</w:t>
            </w:r>
          </w:p>
        </w:tc>
      </w:tr>
      <w:tr w:rsidR="007F3F42">
        <w:tc>
          <w:tcPr>
            <w:tcW w:w="1477" w:type="dxa"/>
            <w:vAlign w:val="center"/>
          </w:tcPr>
          <w:p w:rsidR="007F3F42" w:rsidRDefault="00781698">
            <w:pPr>
              <w:jc w:val="left"/>
            </w:pPr>
            <w:r>
              <w:rPr>
                <w:rFonts w:eastAsiaTheme="minorEastAsia"/>
                <w:color w:val="000000"/>
                <w:kern w:val="0"/>
                <w:szCs w:val="21"/>
              </w:rPr>
              <w:t>应收利息</w:t>
            </w:r>
          </w:p>
        </w:tc>
        <w:tc>
          <w:tcPr>
            <w:tcW w:w="1943" w:type="dxa"/>
            <w:vAlign w:val="center"/>
          </w:tcPr>
          <w:p w:rsidR="007F3F42" w:rsidRDefault="00781698">
            <w:pPr>
              <w:jc w:val="right"/>
            </w:pPr>
            <w:r>
              <w:rPr>
                <w:rFonts w:eastAsiaTheme="minorEastAsia"/>
                <w:color w:val="000000"/>
                <w:kern w:val="0"/>
                <w:szCs w:val="21"/>
              </w:rPr>
              <w:t>64.85</w:t>
            </w:r>
          </w:p>
        </w:tc>
        <w:tc>
          <w:tcPr>
            <w:tcW w:w="1400" w:type="dxa"/>
            <w:vAlign w:val="center"/>
          </w:tcPr>
          <w:p w:rsidR="007F3F42" w:rsidRDefault="00781698">
            <w:pPr>
              <w:jc w:val="right"/>
            </w:pPr>
            <w:r>
              <w:rPr>
                <w:rFonts w:eastAsiaTheme="minorEastAsia"/>
                <w:color w:val="000000"/>
                <w:kern w:val="0"/>
                <w:szCs w:val="21"/>
              </w:rPr>
              <w:t>-</w:t>
            </w:r>
          </w:p>
        </w:tc>
        <w:tc>
          <w:tcPr>
            <w:tcW w:w="2020" w:type="dxa"/>
            <w:vAlign w:val="center"/>
          </w:tcPr>
          <w:p w:rsidR="007F3F42" w:rsidRDefault="00781698">
            <w:pPr>
              <w:jc w:val="right"/>
            </w:pPr>
            <w:r>
              <w:rPr>
                <w:rFonts w:eastAsiaTheme="minorEastAsia"/>
                <w:color w:val="000000"/>
                <w:kern w:val="0"/>
                <w:szCs w:val="21"/>
              </w:rPr>
              <w:t>-</w:t>
            </w:r>
          </w:p>
        </w:tc>
        <w:tc>
          <w:tcPr>
            <w:tcW w:w="2160" w:type="dxa"/>
            <w:vAlign w:val="center"/>
          </w:tcPr>
          <w:p w:rsidR="007F3F42" w:rsidRDefault="00781698">
            <w:pPr>
              <w:jc w:val="right"/>
            </w:pPr>
            <w:r>
              <w:rPr>
                <w:rFonts w:eastAsiaTheme="minorEastAsia"/>
                <w:color w:val="000000"/>
                <w:kern w:val="0"/>
                <w:szCs w:val="21"/>
              </w:rPr>
              <w:t>64.85</w:t>
            </w:r>
          </w:p>
        </w:tc>
      </w:tr>
      <w:tr w:rsidR="007F3F42">
        <w:tc>
          <w:tcPr>
            <w:tcW w:w="1477" w:type="dxa"/>
            <w:vAlign w:val="center"/>
          </w:tcPr>
          <w:p w:rsidR="007F3F42" w:rsidRDefault="00781698">
            <w:pPr>
              <w:jc w:val="left"/>
            </w:pPr>
            <w:r>
              <w:rPr>
                <w:rFonts w:eastAsiaTheme="minorEastAsia"/>
                <w:color w:val="000000"/>
                <w:kern w:val="0"/>
                <w:szCs w:val="21"/>
              </w:rPr>
              <w:t>应收股利</w:t>
            </w:r>
          </w:p>
        </w:tc>
        <w:tc>
          <w:tcPr>
            <w:tcW w:w="1943" w:type="dxa"/>
            <w:vAlign w:val="center"/>
          </w:tcPr>
          <w:p w:rsidR="007F3F42" w:rsidRDefault="00781698">
            <w:pPr>
              <w:jc w:val="right"/>
            </w:pPr>
            <w:r>
              <w:rPr>
                <w:rFonts w:eastAsiaTheme="minorEastAsia"/>
                <w:color w:val="000000"/>
                <w:kern w:val="0"/>
                <w:szCs w:val="21"/>
              </w:rPr>
              <w:t>-</w:t>
            </w:r>
          </w:p>
        </w:tc>
        <w:tc>
          <w:tcPr>
            <w:tcW w:w="1400" w:type="dxa"/>
            <w:vAlign w:val="center"/>
          </w:tcPr>
          <w:p w:rsidR="007F3F42" w:rsidRDefault="00781698">
            <w:pPr>
              <w:jc w:val="right"/>
            </w:pPr>
            <w:r>
              <w:rPr>
                <w:rFonts w:eastAsiaTheme="minorEastAsia"/>
                <w:color w:val="000000"/>
                <w:kern w:val="0"/>
                <w:szCs w:val="21"/>
              </w:rPr>
              <w:t>-</w:t>
            </w:r>
          </w:p>
        </w:tc>
        <w:tc>
          <w:tcPr>
            <w:tcW w:w="2020" w:type="dxa"/>
            <w:vAlign w:val="center"/>
          </w:tcPr>
          <w:p w:rsidR="007F3F42" w:rsidRDefault="00781698">
            <w:pPr>
              <w:jc w:val="right"/>
            </w:pPr>
            <w:r>
              <w:rPr>
                <w:rFonts w:eastAsiaTheme="minorEastAsia"/>
                <w:color w:val="000000"/>
                <w:kern w:val="0"/>
                <w:szCs w:val="21"/>
              </w:rPr>
              <w:t>-</w:t>
            </w:r>
          </w:p>
        </w:tc>
        <w:tc>
          <w:tcPr>
            <w:tcW w:w="2160" w:type="dxa"/>
            <w:vAlign w:val="center"/>
          </w:tcPr>
          <w:p w:rsidR="007F3F42" w:rsidRDefault="00781698">
            <w:pPr>
              <w:jc w:val="right"/>
            </w:pPr>
            <w:r>
              <w:rPr>
                <w:rFonts w:eastAsiaTheme="minorEastAsia"/>
                <w:color w:val="000000"/>
                <w:kern w:val="0"/>
                <w:szCs w:val="21"/>
              </w:rPr>
              <w:t>-</w:t>
            </w:r>
          </w:p>
        </w:tc>
      </w:tr>
      <w:tr w:rsidR="007F3F42">
        <w:tc>
          <w:tcPr>
            <w:tcW w:w="1477" w:type="dxa"/>
            <w:vAlign w:val="center"/>
          </w:tcPr>
          <w:p w:rsidR="007F3F42" w:rsidRDefault="00781698">
            <w:pPr>
              <w:jc w:val="left"/>
            </w:pPr>
            <w:r>
              <w:rPr>
                <w:rFonts w:eastAsiaTheme="minorEastAsia"/>
                <w:color w:val="000000"/>
                <w:kern w:val="0"/>
                <w:szCs w:val="21"/>
              </w:rPr>
              <w:t>应收申购款</w:t>
            </w:r>
          </w:p>
        </w:tc>
        <w:tc>
          <w:tcPr>
            <w:tcW w:w="1943" w:type="dxa"/>
            <w:vAlign w:val="center"/>
          </w:tcPr>
          <w:p w:rsidR="007F3F42" w:rsidRDefault="00781698">
            <w:pPr>
              <w:jc w:val="right"/>
            </w:pPr>
            <w:r>
              <w:rPr>
                <w:rFonts w:eastAsiaTheme="minorEastAsia"/>
                <w:color w:val="000000"/>
                <w:kern w:val="0"/>
                <w:szCs w:val="21"/>
              </w:rPr>
              <w:t>58,986.18</w:t>
            </w:r>
          </w:p>
        </w:tc>
        <w:tc>
          <w:tcPr>
            <w:tcW w:w="1400" w:type="dxa"/>
            <w:vAlign w:val="center"/>
          </w:tcPr>
          <w:p w:rsidR="007F3F42" w:rsidRDefault="00781698">
            <w:pPr>
              <w:jc w:val="right"/>
            </w:pPr>
            <w:r>
              <w:rPr>
                <w:rFonts w:eastAsiaTheme="minorEastAsia"/>
                <w:color w:val="000000"/>
                <w:kern w:val="0"/>
                <w:szCs w:val="21"/>
              </w:rPr>
              <w:t>-</w:t>
            </w:r>
          </w:p>
        </w:tc>
        <w:tc>
          <w:tcPr>
            <w:tcW w:w="2020" w:type="dxa"/>
            <w:vAlign w:val="center"/>
          </w:tcPr>
          <w:p w:rsidR="007F3F42" w:rsidRDefault="00781698">
            <w:pPr>
              <w:jc w:val="right"/>
            </w:pPr>
            <w:r>
              <w:rPr>
                <w:rFonts w:eastAsiaTheme="minorEastAsia"/>
                <w:color w:val="000000"/>
                <w:kern w:val="0"/>
                <w:szCs w:val="21"/>
              </w:rPr>
              <w:t>-</w:t>
            </w:r>
          </w:p>
        </w:tc>
        <w:tc>
          <w:tcPr>
            <w:tcW w:w="2160" w:type="dxa"/>
            <w:vAlign w:val="center"/>
          </w:tcPr>
          <w:p w:rsidR="007F3F42" w:rsidRDefault="00781698">
            <w:pPr>
              <w:jc w:val="right"/>
            </w:pPr>
            <w:r>
              <w:rPr>
                <w:rFonts w:eastAsiaTheme="minorEastAsia"/>
                <w:color w:val="000000"/>
                <w:kern w:val="0"/>
                <w:szCs w:val="21"/>
              </w:rPr>
              <w:t>58,986.18</w:t>
            </w:r>
          </w:p>
        </w:tc>
      </w:tr>
      <w:tr w:rsidR="007F3F42">
        <w:tc>
          <w:tcPr>
            <w:tcW w:w="1477" w:type="dxa"/>
            <w:vAlign w:val="center"/>
          </w:tcPr>
          <w:p w:rsidR="007F3F42" w:rsidRDefault="00781698">
            <w:pPr>
              <w:jc w:val="left"/>
            </w:pPr>
            <w:r>
              <w:rPr>
                <w:rFonts w:eastAsiaTheme="minorEastAsia"/>
                <w:color w:val="000000"/>
                <w:kern w:val="0"/>
                <w:szCs w:val="21"/>
              </w:rPr>
              <w:t>其他资产</w:t>
            </w:r>
          </w:p>
        </w:tc>
        <w:tc>
          <w:tcPr>
            <w:tcW w:w="1943" w:type="dxa"/>
            <w:vAlign w:val="center"/>
          </w:tcPr>
          <w:p w:rsidR="007F3F42" w:rsidRDefault="00781698">
            <w:pPr>
              <w:jc w:val="right"/>
            </w:pPr>
            <w:r>
              <w:rPr>
                <w:rFonts w:eastAsiaTheme="minorEastAsia"/>
                <w:color w:val="000000"/>
                <w:kern w:val="0"/>
                <w:szCs w:val="21"/>
              </w:rPr>
              <w:t>-</w:t>
            </w:r>
          </w:p>
        </w:tc>
        <w:tc>
          <w:tcPr>
            <w:tcW w:w="1400" w:type="dxa"/>
            <w:vAlign w:val="center"/>
          </w:tcPr>
          <w:p w:rsidR="007F3F42" w:rsidRDefault="00781698">
            <w:pPr>
              <w:jc w:val="right"/>
            </w:pPr>
            <w:r>
              <w:rPr>
                <w:rFonts w:eastAsiaTheme="minorEastAsia"/>
                <w:color w:val="000000"/>
                <w:kern w:val="0"/>
                <w:szCs w:val="21"/>
              </w:rPr>
              <w:t>-</w:t>
            </w:r>
          </w:p>
        </w:tc>
        <w:tc>
          <w:tcPr>
            <w:tcW w:w="2020" w:type="dxa"/>
            <w:vAlign w:val="center"/>
          </w:tcPr>
          <w:p w:rsidR="007F3F42" w:rsidRDefault="00781698">
            <w:pPr>
              <w:jc w:val="right"/>
            </w:pPr>
            <w:r>
              <w:rPr>
                <w:rFonts w:eastAsiaTheme="minorEastAsia"/>
                <w:color w:val="000000"/>
                <w:kern w:val="0"/>
                <w:szCs w:val="21"/>
              </w:rPr>
              <w:t>-</w:t>
            </w:r>
          </w:p>
        </w:tc>
        <w:tc>
          <w:tcPr>
            <w:tcW w:w="2160" w:type="dxa"/>
            <w:vAlign w:val="center"/>
          </w:tcPr>
          <w:p w:rsidR="007F3F42" w:rsidRDefault="00781698">
            <w:pPr>
              <w:jc w:val="right"/>
            </w:pPr>
            <w:r>
              <w:rPr>
                <w:rFonts w:eastAsiaTheme="minorEastAsia"/>
                <w:color w:val="000000"/>
                <w:kern w:val="0"/>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5,207,050.76</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5,207,050.76</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以外币计价的负债</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7F3F42">
        <w:tc>
          <w:tcPr>
            <w:tcW w:w="1477" w:type="dxa"/>
            <w:vAlign w:val="center"/>
          </w:tcPr>
          <w:p w:rsidR="007F3F42" w:rsidRDefault="00781698">
            <w:pPr>
              <w:jc w:val="left"/>
            </w:pPr>
            <w:r>
              <w:rPr>
                <w:rFonts w:eastAsiaTheme="minorEastAsia"/>
                <w:color w:val="000000"/>
                <w:szCs w:val="21"/>
              </w:rPr>
              <w:t>应付证券清算款</w:t>
            </w:r>
          </w:p>
        </w:tc>
        <w:tc>
          <w:tcPr>
            <w:tcW w:w="1943" w:type="dxa"/>
            <w:vAlign w:val="center"/>
          </w:tcPr>
          <w:p w:rsidR="007F3F42" w:rsidRDefault="00781698">
            <w:pPr>
              <w:jc w:val="right"/>
            </w:pPr>
            <w:r>
              <w:rPr>
                <w:rFonts w:eastAsiaTheme="minorEastAsia"/>
                <w:color w:val="000000"/>
                <w:szCs w:val="21"/>
              </w:rPr>
              <w:t>-</w:t>
            </w:r>
          </w:p>
        </w:tc>
        <w:tc>
          <w:tcPr>
            <w:tcW w:w="1400" w:type="dxa"/>
            <w:vAlign w:val="center"/>
          </w:tcPr>
          <w:p w:rsidR="007F3F42" w:rsidRDefault="00781698">
            <w:pPr>
              <w:jc w:val="right"/>
            </w:pPr>
            <w:r>
              <w:rPr>
                <w:rFonts w:eastAsiaTheme="minorEastAsia"/>
                <w:color w:val="000000"/>
                <w:szCs w:val="21"/>
              </w:rPr>
              <w:t>-</w:t>
            </w:r>
          </w:p>
        </w:tc>
        <w:tc>
          <w:tcPr>
            <w:tcW w:w="2020" w:type="dxa"/>
            <w:vAlign w:val="center"/>
          </w:tcPr>
          <w:p w:rsidR="007F3F42" w:rsidRDefault="00781698">
            <w:pPr>
              <w:jc w:val="right"/>
            </w:pPr>
            <w:r>
              <w:rPr>
                <w:rFonts w:eastAsiaTheme="minorEastAsia"/>
                <w:color w:val="000000"/>
                <w:szCs w:val="21"/>
              </w:rPr>
              <w:t>-</w:t>
            </w:r>
          </w:p>
        </w:tc>
        <w:tc>
          <w:tcPr>
            <w:tcW w:w="2160" w:type="dxa"/>
            <w:vAlign w:val="center"/>
          </w:tcPr>
          <w:p w:rsidR="007F3F42" w:rsidRDefault="00781698">
            <w:pPr>
              <w:jc w:val="right"/>
            </w:pPr>
            <w:r>
              <w:rPr>
                <w:rFonts w:eastAsiaTheme="minorEastAsia"/>
                <w:color w:val="000000"/>
                <w:szCs w:val="21"/>
              </w:rPr>
              <w:t>-</w:t>
            </w:r>
          </w:p>
        </w:tc>
      </w:tr>
      <w:tr w:rsidR="007F3F42">
        <w:tc>
          <w:tcPr>
            <w:tcW w:w="1477" w:type="dxa"/>
            <w:vAlign w:val="center"/>
          </w:tcPr>
          <w:p w:rsidR="007F3F42" w:rsidRDefault="00781698">
            <w:pPr>
              <w:jc w:val="left"/>
            </w:pPr>
            <w:r>
              <w:rPr>
                <w:rFonts w:eastAsiaTheme="minorEastAsia"/>
                <w:color w:val="000000"/>
                <w:szCs w:val="21"/>
              </w:rPr>
              <w:t>应付赎回款</w:t>
            </w:r>
          </w:p>
        </w:tc>
        <w:tc>
          <w:tcPr>
            <w:tcW w:w="1943" w:type="dxa"/>
            <w:vAlign w:val="center"/>
          </w:tcPr>
          <w:p w:rsidR="007F3F42" w:rsidRDefault="00781698">
            <w:pPr>
              <w:jc w:val="right"/>
            </w:pPr>
            <w:r>
              <w:rPr>
                <w:rFonts w:eastAsiaTheme="minorEastAsia"/>
                <w:color w:val="000000"/>
                <w:szCs w:val="21"/>
              </w:rPr>
              <w:t>40,480.93</w:t>
            </w:r>
          </w:p>
        </w:tc>
        <w:tc>
          <w:tcPr>
            <w:tcW w:w="1400" w:type="dxa"/>
            <w:vAlign w:val="center"/>
          </w:tcPr>
          <w:p w:rsidR="007F3F42" w:rsidRDefault="00781698">
            <w:pPr>
              <w:jc w:val="right"/>
            </w:pPr>
            <w:r>
              <w:rPr>
                <w:rFonts w:eastAsiaTheme="minorEastAsia"/>
                <w:color w:val="000000"/>
                <w:szCs w:val="21"/>
              </w:rPr>
              <w:t>-</w:t>
            </w:r>
          </w:p>
        </w:tc>
        <w:tc>
          <w:tcPr>
            <w:tcW w:w="2020" w:type="dxa"/>
            <w:vAlign w:val="center"/>
          </w:tcPr>
          <w:p w:rsidR="007F3F42" w:rsidRDefault="00781698">
            <w:pPr>
              <w:jc w:val="right"/>
            </w:pPr>
            <w:r>
              <w:rPr>
                <w:rFonts w:eastAsiaTheme="minorEastAsia"/>
                <w:color w:val="000000"/>
                <w:szCs w:val="21"/>
              </w:rPr>
              <w:t>-</w:t>
            </w:r>
          </w:p>
        </w:tc>
        <w:tc>
          <w:tcPr>
            <w:tcW w:w="2160" w:type="dxa"/>
            <w:vAlign w:val="center"/>
          </w:tcPr>
          <w:p w:rsidR="007F3F42" w:rsidRDefault="00781698">
            <w:pPr>
              <w:jc w:val="right"/>
            </w:pPr>
            <w:r>
              <w:rPr>
                <w:rFonts w:eastAsiaTheme="minorEastAsia"/>
                <w:color w:val="000000"/>
                <w:szCs w:val="21"/>
              </w:rPr>
              <w:t>40,480.93</w:t>
            </w:r>
          </w:p>
        </w:tc>
      </w:tr>
      <w:tr w:rsidR="007F3F42">
        <w:tc>
          <w:tcPr>
            <w:tcW w:w="1477" w:type="dxa"/>
            <w:vAlign w:val="center"/>
          </w:tcPr>
          <w:p w:rsidR="007F3F42" w:rsidRDefault="00781698">
            <w:pPr>
              <w:jc w:val="left"/>
            </w:pPr>
            <w:r>
              <w:rPr>
                <w:rFonts w:eastAsiaTheme="minorEastAsia"/>
                <w:color w:val="000000"/>
                <w:szCs w:val="21"/>
              </w:rPr>
              <w:t>其他负债</w:t>
            </w:r>
          </w:p>
        </w:tc>
        <w:tc>
          <w:tcPr>
            <w:tcW w:w="1943" w:type="dxa"/>
            <w:vAlign w:val="center"/>
          </w:tcPr>
          <w:p w:rsidR="007F3F42" w:rsidRDefault="00781698">
            <w:pPr>
              <w:jc w:val="right"/>
            </w:pPr>
            <w:r>
              <w:rPr>
                <w:rFonts w:eastAsiaTheme="minorEastAsia"/>
                <w:color w:val="000000"/>
                <w:szCs w:val="21"/>
              </w:rPr>
              <w:t>8.00</w:t>
            </w:r>
          </w:p>
        </w:tc>
        <w:tc>
          <w:tcPr>
            <w:tcW w:w="1400" w:type="dxa"/>
            <w:vAlign w:val="center"/>
          </w:tcPr>
          <w:p w:rsidR="007F3F42" w:rsidRDefault="00781698">
            <w:pPr>
              <w:jc w:val="right"/>
            </w:pPr>
            <w:r>
              <w:rPr>
                <w:rFonts w:eastAsiaTheme="minorEastAsia"/>
                <w:color w:val="000000"/>
                <w:szCs w:val="21"/>
              </w:rPr>
              <w:t>-</w:t>
            </w:r>
          </w:p>
        </w:tc>
        <w:tc>
          <w:tcPr>
            <w:tcW w:w="2020" w:type="dxa"/>
            <w:vAlign w:val="center"/>
          </w:tcPr>
          <w:p w:rsidR="007F3F42" w:rsidRDefault="00781698">
            <w:pPr>
              <w:jc w:val="right"/>
            </w:pPr>
            <w:r>
              <w:rPr>
                <w:rFonts w:eastAsiaTheme="minorEastAsia"/>
                <w:color w:val="000000"/>
                <w:szCs w:val="21"/>
              </w:rPr>
              <w:t>-</w:t>
            </w:r>
          </w:p>
        </w:tc>
        <w:tc>
          <w:tcPr>
            <w:tcW w:w="2160" w:type="dxa"/>
            <w:vAlign w:val="center"/>
          </w:tcPr>
          <w:p w:rsidR="007F3F42" w:rsidRDefault="00781698">
            <w:pPr>
              <w:jc w:val="right"/>
            </w:pPr>
            <w:r>
              <w:rPr>
                <w:rFonts w:eastAsiaTheme="minorEastAsia"/>
                <w:color w:val="000000"/>
                <w:szCs w:val="21"/>
              </w:rPr>
              <w:t>8.00</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负债合计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40,488.93</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40,488.93</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资产负债表外汇风险敞口净额</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5,166,561.83</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5,166,561.83</w:t>
            </w:r>
          </w:p>
        </w:tc>
      </w:tr>
      <w:tr w:rsidR="0056101E" w:rsidRPr="00C24ACA" w:rsidTr="00742218">
        <w:tc>
          <w:tcPr>
            <w:tcW w:w="1477" w:type="dxa"/>
            <w:vMerge w:val="restart"/>
            <w:vAlign w:val="center"/>
          </w:tcPr>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color w:val="000000"/>
                <w:szCs w:val="21"/>
              </w:rPr>
              <w:t>项目</w:t>
            </w:r>
          </w:p>
        </w:tc>
        <w:tc>
          <w:tcPr>
            <w:tcW w:w="7523" w:type="dxa"/>
            <w:gridSpan w:val="4"/>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上年度末</w:t>
            </w:r>
          </w:p>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szCs w:val="21"/>
              </w:rPr>
              <w:t>2019</w:t>
            </w:r>
            <w:r w:rsidRPr="00C24ACA">
              <w:rPr>
                <w:rFonts w:eastAsiaTheme="minorEastAsia"/>
                <w:b/>
                <w:szCs w:val="21"/>
              </w:rPr>
              <w:t>年</w:t>
            </w:r>
            <w:r w:rsidRPr="00C24ACA">
              <w:rPr>
                <w:rFonts w:eastAsiaTheme="minorEastAsia"/>
                <w:b/>
                <w:szCs w:val="21"/>
              </w:rPr>
              <w:t>12</w:t>
            </w:r>
            <w:r w:rsidRPr="00C24ACA">
              <w:rPr>
                <w:rFonts w:eastAsiaTheme="minorEastAsia"/>
                <w:b/>
                <w:szCs w:val="21"/>
              </w:rPr>
              <w:t>月</w:t>
            </w:r>
            <w:r w:rsidRPr="00C24ACA">
              <w:rPr>
                <w:rFonts w:eastAsiaTheme="minorEastAsia"/>
                <w:b/>
                <w:szCs w:val="21"/>
              </w:rPr>
              <w:t>31</w:t>
            </w:r>
            <w:r w:rsidRPr="00C24ACA">
              <w:rPr>
                <w:rFonts w:eastAsiaTheme="minorEastAsia"/>
                <w:b/>
                <w:szCs w:val="21"/>
              </w:rPr>
              <w:t>日</w:t>
            </w:r>
          </w:p>
        </w:tc>
      </w:tr>
      <w:tr w:rsidR="0056101E" w:rsidRPr="00C24ACA" w:rsidTr="00742218">
        <w:tc>
          <w:tcPr>
            <w:tcW w:w="1477" w:type="dxa"/>
            <w:vMerge/>
            <w:vAlign w:val="center"/>
          </w:tcPr>
          <w:p w:rsidR="0056101E" w:rsidRPr="00C24ACA" w:rsidRDefault="0056101E" w:rsidP="00742218">
            <w:pPr>
              <w:autoSpaceDE w:val="0"/>
              <w:autoSpaceDN w:val="0"/>
              <w:adjustRightInd w:val="0"/>
              <w:spacing w:before="29" w:line="360" w:lineRule="auto"/>
              <w:ind w:left="15"/>
              <w:jc w:val="left"/>
              <w:rPr>
                <w:rFonts w:eastAsiaTheme="minorEastAsia"/>
                <w:color w:val="000000"/>
                <w:kern w:val="0"/>
                <w:szCs w:val="21"/>
              </w:rPr>
            </w:pPr>
          </w:p>
        </w:tc>
        <w:tc>
          <w:tcPr>
            <w:tcW w:w="1943"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美元</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140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港币</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202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其他币种</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216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合计</w:t>
            </w:r>
          </w:p>
        </w:tc>
      </w:tr>
      <w:tr w:rsidR="0056101E" w:rsidRPr="00C24ACA" w:rsidTr="00742218">
        <w:tc>
          <w:tcPr>
            <w:tcW w:w="1477" w:type="dxa"/>
            <w:vAlign w:val="center"/>
          </w:tcPr>
          <w:p w:rsidR="0056101E" w:rsidRPr="00C24ACA" w:rsidRDefault="0056101E" w:rsidP="00742218">
            <w:pPr>
              <w:spacing w:line="360" w:lineRule="auto"/>
              <w:rPr>
                <w:rFonts w:eastAsiaTheme="minorEastAsia"/>
                <w:b/>
                <w:szCs w:val="21"/>
              </w:rPr>
            </w:pPr>
            <w:r w:rsidRPr="00C24ACA">
              <w:rPr>
                <w:rFonts w:eastAsiaTheme="minorEastAsia"/>
                <w:b/>
                <w:szCs w:val="21"/>
              </w:rPr>
              <w:t>以外币计价的资产</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vAlign w:val="center"/>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7F3F42">
        <w:tc>
          <w:tcPr>
            <w:tcW w:w="1477" w:type="dxa"/>
            <w:vAlign w:val="center"/>
          </w:tcPr>
          <w:p w:rsidR="007F3F42" w:rsidRDefault="00781698">
            <w:pPr>
              <w:jc w:val="left"/>
            </w:pPr>
            <w:r>
              <w:rPr>
                <w:rFonts w:eastAsiaTheme="minorEastAsia"/>
                <w:color w:val="000000"/>
                <w:szCs w:val="21"/>
              </w:rPr>
              <w:t>银行存款</w:t>
            </w:r>
          </w:p>
        </w:tc>
        <w:tc>
          <w:tcPr>
            <w:tcW w:w="1943" w:type="dxa"/>
            <w:vAlign w:val="center"/>
          </w:tcPr>
          <w:p w:rsidR="007F3F42" w:rsidRDefault="00781698">
            <w:pPr>
              <w:jc w:val="right"/>
            </w:pPr>
            <w:r>
              <w:rPr>
                <w:rFonts w:eastAsiaTheme="minorEastAsia"/>
                <w:color w:val="000000"/>
                <w:szCs w:val="21"/>
              </w:rPr>
              <w:t>2,667,321.89</w:t>
            </w:r>
          </w:p>
        </w:tc>
        <w:tc>
          <w:tcPr>
            <w:tcW w:w="1400" w:type="dxa"/>
            <w:vAlign w:val="center"/>
          </w:tcPr>
          <w:p w:rsidR="007F3F42" w:rsidRDefault="00781698">
            <w:pPr>
              <w:jc w:val="right"/>
            </w:pPr>
            <w:r>
              <w:rPr>
                <w:rFonts w:eastAsiaTheme="minorEastAsia"/>
                <w:color w:val="000000"/>
                <w:szCs w:val="21"/>
              </w:rPr>
              <w:t>-</w:t>
            </w:r>
          </w:p>
        </w:tc>
        <w:tc>
          <w:tcPr>
            <w:tcW w:w="2020" w:type="dxa"/>
            <w:vAlign w:val="center"/>
          </w:tcPr>
          <w:p w:rsidR="007F3F42" w:rsidRDefault="00781698">
            <w:pPr>
              <w:jc w:val="right"/>
            </w:pPr>
            <w:r>
              <w:rPr>
                <w:rFonts w:eastAsiaTheme="minorEastAsia"/>
                <w:color w:val="000000"/>
                <w:szCs w:val="21"/>
              </w:rPr>
              <w:t>-</w:t>
            </w:r>
          </w:p>
        </w:tc>
        <w:tc>
          <w:tcPr>
            <w:tcW w:w="2160" w:type="dxa"/>
            <w:vAlign w:val="center"/>
          </w:tcPr>
          <w:p w:rsidR="007F3F42" w:rsidRDefault="00781698">
            <w:pPr>
              <w:jc w:val="right"/>
            </w:pPr>
            <w:r>
              <w:rPr>
                <w:rFonts w:eastAsiaTheme="minorEastAsia"/>
                <w:color w:val="000000"/>
                <w:szCs w:val="21"/>
              </w:rPr>
              <w:t>2,667,321.89</w:t>
            </w:r>
          </w:p>
        </w:tc>
      </w:tr>
      <w:tr w:rsidR="007F3F42">
        <w:tc>
          <w:tcPr>
            <w:tcW w:w="1477" w:type="dxa"/>
            <w:vAlign w:val="center"/>
          </w:tcPr>
          <w:p w:rsidR="007F3F42" w:rsidRDefault="00781698">
            <w:pPr>
              <w:jc w:val="left"/>
            </w:pPr>
            <w:r>
              <w:rPr>
                <w:rFonts w:eastAsiaTheme="minorEastAsia"/>
                <w:color w:val="000000"/>
                <w:szCs w:val="21"/>
              </w:rPr>
              <w:t>结算备付金</w:t>
            </w:r>
          </w:p>
        </w:tc>
        <w:tc>
          <w:tcPr>
            <w:tcW w:w="1943" w:type="dxa"/>
            <w:vAlign w:val="center"/>
          </w:tcPr>
          <w:p w:rsidR="007F3F42" w:rsidRDefault="00781698">
            <w:pPr>
              <w:jc w:val="right"/>
            </w:pPr>
            <w:r>
              <w:rPr>
                <w:rFonts w:eastAsiaTheme="minorEastAsia"/>
                <w:color w:val="000000"/>
                <w:szCs w:val="21"/>
              </w:rPr>
              <w:t>-</w:t>
            </w:r>
          </w:p>
        </w:tc>
        <w:tc>
          <w:tcPr>
            <w:tcW w:w="1400" w:type="dxa"/>
            <w:vAlign w:val="center"/>
          </w:tcPr>
          <w:p w:rsidR="007F3F42" w:rsidRDefault="00781698">
            <w:pPr>
              <w:jc w:val="right"/>
            </w:pPr>
            <w:r>
              <w:rPr>
                <w:rFonts w:eastAsiaTheme="minorEastAsia"/>
                <w:color w:val="000000"/>
                <w:szCs w:val="21"/>
              </w:rPr>
              <w:t>-</w:t>
            </w:r>
          </w:p>
        </w:tc>
        <w:tc>
          <w:tcPr>
            <w:tcW w:w="2020" w:type="dxa"/>
            <w:vAlign w:val="center"/>
          </w:tcPr>
          <w:p w:rsidR="007F3F42" w:rsidRDefault="00781698">
            <w:pPr>
              <w:jc w:val="right"/>
            </w:pPr>
            <w:r>
              <w:rPr>
                <w:rFonts w:eastAsiaTheme="minorEastAsia"/>
                <w:color w:val="000000"/>
                <w:szCs w:val="21"/>
              </w:rPr>
              <w:t>-</w:t>
            </w:r>
          </w:p>
        </w:tc>
        <w:tc>
          <w:tcPr>
            <w:tcW w:w="2160" w:type="dxa"/>
            <w:vAlign w:val="center"/>
          </w:tcPr>
          <w:p w:rsidR="007F3F42" w:rsidRDefault="00781698">
            <w:pPr>
              <w:jc w:val="right"/>
            </w:pPr>
            <w:r>
              <w:rPr>
                <w:rFonts w:eastAsiaTheme="minorEastAsia"/>
                <w:color w:val="000000"/>
                <w:szCs w:val="21"/>
              </w:rPr>
              <w:t>-</w:t>
            </w:r>
          </w:p>
        </w:tc>
      </w:tr>
      <w:tr w:rsidR="007F3F42">
        <w:tc>
          <w:tcPr>
            <w:tcW w:w="1477" w:type="dxa"/>
            <w:vAlign w:val="center"/>
          </w:tcPr>
          <w:p w:rsidR="007F3F42" w:rsidRDefault="00781698">
            <w:pPr>
              <w:jc w:val="left"/>
            </w:pPr>
            <w:r>
              <w:rPr>
                <w:rFonts w:eastAsiaTheme="minorEastAsia"/>
                <w:color w:val="000000"/>
                <w:szCs w:val="21"/>
              </w:rPr>
              <w:t>交易性金融资产</w:t>
            </w:r>
          </w:p>
        </w:tc>
        <w:tc>
          <w:tcPr>
            <w:tcW w:w="1943" w:type="dxa"/>
            <w:vAlign w:val="center"/>
          </w:tcPr>
          <w:p w:rsidR="007F3F42" w:rsidRDefault="00781698">
            <w:pPr>
              <w:jc w:val="right"/>
            </w:pPr>
            <w:r>
              <w:rPr>
                <w:rFonts w:eastAsiaTheme="minorEastAsia"/>
                <w:color w:val="000000"/>
                <w:szCs w:val="21"/>
              </w:rPr>
              <w:t>-</w:t>
            </w:r>
          </w:p>
        </w:tc>
        <w:tc>
          <w:tcPr>
            <w:tcW w:w="1400" w:type="dxa"/>
            <w:vAlign w:val="center"/>
          </w:tcPr>
          <w:p w:rsidR="007F3F42" w:rsidRDefault="00781698">
            <w:pPr>
              <w:jc w:val="right"/>
            </w:pPr>
            <w:r>
              <w:rPr>
                <w:rFonts w:eastAsiaTheme="minorEastAsia"/>
                <w:color w:val="000000"/>
                <w:szCs w:val="21"/>
              </w:rPr>
              <w:t>-</w:t>
            </w:r>
          </w:p>
        </w:tc>
        <w:tc>
          <w:tcPr>
            <w:tcW w:w="2020" w:type="dxa"/>
            <w:vAlign w:val="center"/>
          </w:tcPr>
          <w:p w:rsidR="007F3F42" w:rsidRDefault="00781698">
            <w:pPr>
              <w:jc w:val="right"/>
            </w:pPr>
            <w:r>
              <w:rPr>
                <w:rFonts w:eastAsiaTheme="minorEastAsia"/>
                <w:color w:val="000000"/>
                <w:szCs w:val="21"/>
              </w:rPr>
              <w:t>-</w:t>
            </w:r>
          </w:p>
        </w:tc>
        <w:tc>
          <w:tcPr>
            <w:tcW w:w="2160" w:type="dxa"/>
            <w:vAlign w:val="center"/>
          </w:tcPr>
          <w:p w:rsidR="007F3F42" w:rsidRDefault="00781698">
            <w:pPr>
              <w:jc w:val="right"/>
            </w:pPr>
            <w:r>
              <w:rPr>
                <w:rFonts w:eastAsiaTheme="minorEastAsia"/>
                <w:color w:val="000000"/>
                <w:szCs w:val="21"/>
              </w:rPr>
              <w:t>-</w:t>
            </w:r>
          </w:p>
        </w:tc>
      </w:tr>
      <w:tr w:rsidR="007F3F42">
        <w:tc>
          <w:tcPr>
            <w:tcW w:w="1477" w:type="dxa"/>
            <w:vAlign w:val="center"/>
          </w:tcPr>
          <w:p w:rsidR="007F3F42" w:rsidRDefault="00781698">
            <w:pPr>
              <w:jc w:val="left"/>
            </w:pPr>
            <w:r>
              <w:rPr>
                <w:rFonts w:eastAsiaTheme="minorEastAsia"/>
                <w:color w:val="000000"/>
                <w:szCs w:val="21"/>
              </w:rPr>
              <w:t>衍生金融资产</w:t>
            </w:r>
          </w:p>
        </w:tc>
        <w:tc>
          <w:tcPr>
            <w:tcW w:w="1943" w:type="dxa"/>
            <w:vAlign w:val="center"/>
          </w:tcPr>
          <w:p w:rsidR="007F3F42" w:rsidRDefault="00781698">
            <w:pPr>
              <w:jc w:val="right"/>
            </w:pPr>
            <w:r>
              <w:rPr>
                <w:rFonts w:eastAsiaTheme="minorEastAsia"/>
                <w:color w:val="000000"/>
                <w:szCs w:val="21"/>
              </w:rPr>
              <w:t>-</w:t>
            </w:r>
          </w:p>
        </w:tc>
        <w:tc>
          <w:tcPr>
            <w:tcW w:w="1400" w:type="dxa"/>
            <w:vAlign w:val="center"/>
          </w:tcPr>
          <w:p w:rsidR="007F3F42" w:rsidRDefault="00781698">
            <w:pPr>
              <w:jc w:val="right"/>
            </w:pPr>
            <w:r>
              <w:rPr>
                <w:rFonts w:eastAsiaTheme="minorEastAsia"/>
                <w:color w:val="000000"/>
                <w:szCs w:val="21"/>
              </w:rPr>
              <w:t>-</w:t>
            </w:r>
          </w:p>
        </w:tc>
        <w:tc>
          <w:tcPr>
            <w:tcW w:w="2020" w:type="dxa"/>
            <w:vAlign w:val="center"/>
          </w:tcPr>
          <w:p w:rsidR="007F3F42" w:rsidRDefault="00781698">
            <w:pPr>
              <w:jc w:val="right"/>
            </w:pPr>
            <w:r>
              <w:rPr>
                <w:rFonts w:eastAsiaTheme="minorEastAsia"/>
                <w:color w:val="000000"/>
                <w:szCs w:val="21"/>
              </w:rPr>
              <w:t>-</w:t>
            </w:r>
          </w:p>
        </w:tc>
        <w:tc>
          <w:tcPr>
            <w:tcW w:w="2160" w:type="dxa"/>
            <w:vAlign w:val="center"/>
          </w:tcPr>
          <w:p w:rsidR="007F3F42" w:rsidRDefault="00781698">
            <w:pPr>
              <w:jc w:val="right"/>
            </w:pPr>
            <w:r>
              <w:rPr>
                <w:rFonts w:eastAsiaTheme="minorEastAsia"/>
                <w:color w:val="000000"/>
                <w:szCs w:val="21"/>
              </w:rPr>
              <w:t>-</w:t>
            </w:r>
          </w:p>
        </w:tc>
      </w:tr>
      <w:tr w:rsidR="007F3F42">
        <w:tc>
          <w:tcPr>
            <w:tcW w:w="1477" w:type="dxa"/>
            <w:vAlign w:val="center"/>
          </w:tcPr>
          <w:p w:rsidR="007F3F42" w:rsidRDefault="00781698">
            <w:pPr>
              <w:jc w:val="left"/>
            </w:pPr>
            <w:r>
              <w:rPr>
                <w:rFonts w:eastAsiaTheme="minorEastAsia"/>
                <w:color w:val="000000"/>
                <w:szCs w:val="21"/>
              </w:rPr>
              <w:t>应收证券清算款</w:t>
            </w:r>
          </w:p>
        </w:tc>
        <w:tc>
          <w:tcPr>
            <w:tcW w:w="1943" w:type="dxa"/>
            <w:vAlign w:val="center"/>
          </w:tcPr>
          <w:p w:rsidR="007F3F42" w:rsidRDefault="00781698">
            <w:pPr>
              <w:jc w:val="right"/>
            </w:pPr>
            <w:r>
              <w:rPr>
                <w:rFonts w:eastAsiaTheme="minorEastAsia"/>
                <w:color w:val="000000"/>
                <w:szCs w:val="21"/>
              </w:rPr>
              <w:t>-</w:t>
            </w:r>
          </w:p>
        </w:tc>
        <w:tc>
          <w:tcPr>
            <w:tcW w:w="1400" w:type="dxa"/>
            <w:vAlign w:val="center"/>
          </w:tcPr>
          <w:p w:rsidR="007F3F42" w:rsidRDefault="00781698">
            <w:pPr>
              <w:jc w:val="right"/>
            </w:pPr>
            <w:r>
              <w:rPr>
                <w:rFonts w:eastAsiaTheme="minorEastAsia"/>
                <w:color w:val="000000"/>
                <w:szCs w:val="21"/>
              </w:rPr>
              <w:t>-</w:t>
            </w:r>
          </w:p>
        </w:tc>
        <w:tc>
          <w:tcPr>
            <w:tcW w:w="2020" w:type="dxa"/>
            <w:vAlign w:val="center"/>
          </w:tcPr>
          <w:p w:rsidR="007F3F42" w:rsidRDefault="00781698">
            <w:pPr>
              <w:jc w:val="right"/>
            </w:pPr>
            <w:r>
              <w:rPr>
                <w:rFonts w:eastAsiaTheme="minorEastAsia"/>
                <w:color w:val="000000"/>
                <w:szCs w:val="21"/>
              </w:rPr>
              <w:t>-</w:t>
            </w:r>
          </w:p>
        </w:tc>
        <w:tc>
          <w:tcPr>
            <w:tcW w:w="2160" w:type="dxa"/>
            <w:vAlign w:val="center"/>
          </w:tcPr>
          <w:p w:rsidR="007F3F42" w:rsidRDefault="00781698">
            <w:pPr>
              <w:jc w:val="right"/>
            </w:pPr>
            <w:r>
              <w:rPr>
                <w:rFonts w:eastAsiaTheme="minorEastAsia"/>
                <w:color w:val="000000"/>
                <w:szCs w:val="21"/>
              </w:rPr>
              <w:t>-</w:t>
            </w:r>
          </w:p>
        </w:tc>
      </w:tr>
      <w:tr w:rsidR="007F3F42">
        <w:tc>
          <w:tcPr>
            <w:tcW w:w="1477" w:type="dxa"/>
            <w:vAlign w:val="center"/>
          </w:tcPr>
          <w:p w:rsidR="007F3F42" w:rsidRDefault="00781698">
            <w:pPr>
              <w:jc w:val="left"/>
            </w:pPr>
            <w:r>
              <w:rPr>
                <w:rFonts w:eastAsiaTheme="minorEastAsia"/>
                <w:color w:val="000000"/>
                <w:szCs w:val="21"/>
              </w:rPr>
              <w:t>应收利息</w:t>
            </w:r>
          </w:p>
        </w:tc>
        <w:tc>
          <w:tcPr>
            <w:tcW w:w="1943" w:type="dxa"/>
            <w:vAlign w:val="center"/>
          </w:tcPr>
          <w:p w:rsidR="007F3F42" w:rsidRDefault="00781698">
            <w:pPr>
              <w:jc w:val="right"/>
            </w:pPr>
            <w:r>
              <w:rPr>
                <w:rFonts w:eastAsiaTheme="minorEastAsia"/>
                <w:color w:val="000000"/>
                <w:szCs w:val="21"/>
              </w:rPr>
              <w:t>41.16</w:t>
            </w:r>
          </w:p>
        </w:tc>
        <w:tc>
          <w:tcPr>
            <w:tcW w:w="1400" w:type="dxa"/>
            <w:vAlign w:val="center"/>
          </w:tcPr>
          <w:p w:rsidR="007F3F42" w:rsidRDefault="00781698">
            <w:pPr>
              <w:jc w:val="right"/>
            </w:pPr>
            <w:r>
              <w:rPr>
                <w:rFonts w:eastAsiaTheme="minorEastAsia"/>
                <w:color w:val="000000"/>
                <w:szCs w:val="21"/>
              </w:rPr>
              <w:t>-</w:t>
            </w:r>
          </w:p>
        </w:tc>
        <w:tc>
          <w:tcPr>
            <w:tcW w:w="2020" w:type="dxa"/>
            <w:vAlign w:val="center"/>
          </w:tcPr>
          <w:p w:rsidR="007F3F42" w:rsidRDefault="00781698">
            <w:pPr>
              <w:jc w:val="right"/>
            </w:pPr>
            <w:r>
              <w:rPr>
                <w:rFonts w:eastAsiaTheme="minorEastAsia"/>
                <w:color w:val="000000"/>
                <w:szCs w:val="21"/>
              </w:rPr>
              <w:t>-</w:t>
            </w:r>
          </w:p>
        </w:tc>
        <w:tc>
          <w:tcPr>
            <w:tcW w:w="2160" w:type="dxa"/>
            <w:vAlign w:val="center"/>
          </w:tcPr>
          <w:p w:rsidR="007F3F42" w:rsidRDefault="00781698">
            <w:pPr>
              <w:jc w:val="right"/>
            </w:pPr>
            <w:r>
              <w:rPr>
                <w:rFonts w:eastAsiaTheme="minorEastAsia"/>
                <w:color w:val="000000"/>
                <w:szCs w:val="21"/>
              </w:rPr>
              <w:t>41.16</w:t>
            </w:r>
          </w:p>
        </w:tc>
      </w:tr>
      <w:tr w:rsidR="007F3F42">
        <w:tc>
          <w:tcPr>
            <w:tcW w:w="1477" w:type="dxa"/>
            <w:vAlign w:val="center"/>
          </w:tcPr>
          <w:p w:rsidR="007F3F42" w:rsidRDefault="00781698">
            <w:pPr>
              <w:jc w:val="left"/>
            </w:pPr>
            <w:r>
              <w:rPr>
                <w:rFonts w:eastAsiaTheme="minorEastAsia"/>
                <w:color w:val="000000"/>
                <w:szCs w:val="21"/>
              </w:rPr>
              <w:t>应收股利</w:t>
            </w:r>
          </w:p>
        </w:tc>
        <w:tc>
          <w:tcPr>
            <w:tcW w:w="1943" w:type="dxa"/>
            <w:vAlign w:val="center"/>
          </w:tcPr>
          <w:p w:rsidR="007F3F42" w:rsidRDefault="00781698">
            <w:pPr>
              <w:jc w:val="right"/>
            </w:pPr>
            <w:r>
              <w:rPr>
                <w:rFonts w:eastAsiaTheme="minorEastAsia"/>
                <w:color w:val="000000"/>
                <w:szCs w:val="21"/>
              </w:rPr>
              <w:t>-</w:t>
            </w:r>
          </w:p>
        </w:tc>
        <w:tc>
          <w:tcPr>
            <w:tcW w:w="1400" w:type="dxa"/>
            <w:vAlign w:val="center"/>
          </w:tcPr>
          <w:p w:rsidR="007F3F42" w:rsidRDefault="00781698">
            <w:pPr>
              <w:jc w:val="right"/>
            </w:pPr>
            <w:r>
              <w:rPr>
                <w:rFonts w:eastAsiaTheme="minorEastAsia"/>
                <w:color w:val="000000"/>
                <w:szCs w:val="21"/>
              </w:rPr>
              <w:t>-</w:t>
            </w:r>
          </w:p>
        </w:tc>
        <w:tc>
          <w:tcPr>
            <w:tcW w:w="2020" w:type="dxa"/>
            <w:vAlign w:val="center"/>
          </w:tcPr>
          <w:p w:rsidR="007F3F42" w:rsidRDefault="00781698">
            <w:pPr>
              <w:jc w:val="right"/>
            </w:pPr>
            <w:r>
              <w:rPr>
                <w:rFonts w:eastAsiaTheme="minorEastAsia"/>
                <w:color w:val="000000"/>
                <w:szCs w:val="21"/>
              </w:rPr>
              <w:t>-</w:t>
            </w:r>
          </w:p>
        </w:tc>
        <w:tc>
          <w:tcPr>
            <w:tcW w:w="2160" w:type="dxa"/>
            <w:vAlign w:val="center"/>
          </w:tcPr>
          <w:p w:rsidR="007F3F42" w:rsidRDefault="00781698">
            <w:pPr>
              <w:jc w:val="right"/>
            </w:pPr>
            <w:r>
              <w:rPr>
                <w:rFonts w:eastAsiaTheme="minorEastAsia"/>
                <w:color w:val="000000"/>
                <w:szCs w:val="21"/>
              </w:rPr>
              <w:t>-</w:t>
            </w:r>
          </w:p>
        </w:tc>
      </w:tr>
      <w:tr w:rsidR="007F3F42">
        <w:tc>
          <w:tcPr>
            <w:tcW w:w="1477" w:type="dxa"/>
            <w:vAlign w:val="center"/>
          </w:tcPr>
          <w:p w:rsidR="007F3F42" w:rsidRDefault="00781698">
            <w:pPr>
              <w:jc w:val="left"/>
            </w:pPr>
            <w:r>
              <w:rPr>
                <w:rFonts w:eastAsiaTheme="minorEastAsia"/>
                <w:color w:val="000000"/>
                <w:szCs w:val="21"/>
              </w:rPr>
              <w:t>应收申购款</w:t>
            </w:r>
          </w:p>
        </w:tc>
        <w:tc>
          <w:tcPr>
            <w:tcW w:w="1943" w:type="dxa"/>
            <w:vAlign w:val="center"/>
          </w:tcPr>
          <w:p w:rsidR="007F3F42" w:rsidRDefault="00781698">
            <w:pPr>
              <w:jc w:val="right"/>
            </w:pPr>
            <w:r>
              <w:rPr>
                <w:rFonts w:eastAsiaTheme="minorEastAsia"/>
                <w:color w:val="000000"/>
                <w:szCs w:val="21"/>
              </w:rPr>
              <w:t>279,202.32</w:t>
            </w:r>
          </w:p>
        </w:tc>
        <w:tc>
          <w:tcPr>
            <w:tcW w:w="1400" w:type="dxa"/>
            <w:vAlign w:val="center"/>
          </w:tcPr>
          <w:p w:rsidR="007F3F42" w:rsidRDefault="00781698">
            <w:pPr>
              <w:jc w:val="right"/>
            </w:pPr>
            <w:r>
              <w:rPr>
                <w:rFonts w:eastAsiaTheme="minorEastAsia"/>
                <w:color w:val="000000"/>
                <w:szCs w:val="21"/>
              </w:rPr>
              <w:t>-</w:t>
            </w:r>
          </w:p>
        </w:tc>
        <w:tc>
          <w:tcPr>
            <w:tcW w:w="2020" w:type="dxa"/>
            <w:vAlign w:val="center"/>
          </w:tcPr>
          <w:p w:rsidR="007F3F42" w:rsidRDefault="00781698">
            <w:pPr>
              <w:jc w:val="right"/>
            </w:pPr>
            <w:r>
              <w:rPr>
                <w:rFonts w:eastAsiaTheme="minorEastAsia"/>
                <w:color w:val="000000"/>
                <w:szCs w:val="21"/>
              </w:rPr>
              <w:t>-</w:t>
            </w:r>
          </w:p>
        </w:tc>
        <w:tc>
          <w:tcPr>
            <w:tcW w:w="2160" w:type="dxa"/>
            <w:vAlign w:val="center"/>
          </w:tcPr>
          <w:p w:rsidR="007F3F42" w:rsidRDefault="00781698">
            <w:pPr>
              <w:jc w:val="right"/>
            </w:pPr>
            <w:r>
              <w:rPr>
                <w:rFonts w:eastAsiaTheme="minorEastAsia"/>
                <w:color w:val="000000"/>
                <w:szCs w:val="21"/>
              </w:rPr>
              <w:t>279,202.32</w:t>
            </w:r>
          </w:p>
        </w:tc>
      </w:tr>
      <w:tr w:rsidR="007F3F42">
        <w:tc>
          <w:tcPr>
            <w:tcW w:w="1477" w:type="dxa"/>
            <w:vAlign w:val="center"/>
          </w:tcPr>
          <w:p w:rsidR="007F3F42" w:rsidRDefault="00781698">
            <w:pPr>
              <w:jc w:val="left"/>
            </w:pPr>
            <w:r>
              <w:rPr>
                <w:rFonts w:eastAsiaTheme="minorEastAsia"/>
                <w:color w:val="000000"/>
                <w:szCs w:val="21"/>
              </w:rPr>
              <w:t>其他资产</w:t>
            </w:r>
          </w:p>
        </w:tc>
        <w:tc>
          <w:tcPr>
            <w:tcW w:w="1943" w:type="dxa"/>
            <w:vAlign w:val="center"/>
          </w:tcPr>
          <w:p w:rsidR="007F3F42" w:rsidRDefault="00781698">
            <w:pPr>
              <w:jc w:val="right"/>
            </w:pPr>
            <w:r>
              <w:rPr>
                <w:rFonts w:eastAsiaTheme="minorEastAsia"/>
                <w:color w:val="000000"/>
                <w:szCs w:val="21"/>
              </w:rPr>
              <w:t>-</w:t>
            </w:r>
          </w:p>
        </w:tc>
        <w:tc>
          <w:tcPr>
            <w:tcW w:w="1400" w:type="dxa"/>
            <w:vAlign w:val="center"/>
          </w:tcPr>
          <w:p w:rsidR="007F3F42" w:rsidRDefault="00781698">
            <w:pPr>
              <w:jc w:val="right"/>
            </w:pPr>
            <w:r>
              <w:rPr>
                <w:rFonts w:eastAsiaTheme="minorEastAsia"/>
                <w:color w:val="000000"/>
                <w:szCs w:val="21"/>
              </w:rPr>
              <w:t>-</w:t>
            </w:r>
          </w:p>
        </w:tc>
        <w:tc>
          <w:tcPr>
            <w:tcW w:w="2020" w:type="dxa"/>
            <w:vAlign w:val="center"/>
          </w:tcPr>
          <w:p w:rsidR="007F3F42" w:rsidRDefault="00781698">
            <w:pPr>
              <w:jc w:val="right"/>
            </w:pPr>
            <w:r>
              <w:rPr>
                <w:rFonts w:eastAsiaTheme="minorEastAsia"/>
                <w:color w:val="000000"/>
                <w:szCs w:val="21"/>
              </w:rPr>
              <w:t>-</w:t>
            </w:r>
          </w:p>
        </w:tc>
        <w:tc>
          <w:tcPr>
            <w:tcW w:w="2160" w:type="dxa"/>
            <w:vAlign w:val="center"/>
          </w:tcPr>
          <w:p w:rsidR="007F3F42" w:rsidRDefault="00781698">
            <w:pPr>
              <w:jc w:val="right"/>
            </w:pPr>
            <w:r>
              <w:rPr>
                <w:rFonts w:eastAsiaTheme="minorEastAsia"/>
                <w:color w:val="000000"/>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2,946,565.37</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2,946,565.37</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以外币计价的负债</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7F3F42">
        <w:tc>
          <w:tcPr>
            <w:tcW w:w="1477" w:type="dxa"/>
            <w:vAlign w:val="center"/>
          </w:tcPr>
          <w:p w:rsidR="007F3F42" w:rsidRDefault="00781698">
            <w:pPr>
              <w:jc w:val="left"/>
            </w:pPr>
            <w:r>
              <w:rPr>
                <w:rFonts w:eastAsiaTheme="minorEastAsia"/>
                <w:color w:val="000000"/>
                <w:szCs w:val="21"/>
              </w:rPr>
              <w:t>应付证券清算款</w:t>
            </w:r>
          </w:p>
        </w:tc>
        <w:tc>
          <w:tcPr>
            <w:tcW w:w="1943" w:type="dxa"/>
            <w:vAlign w:val="center"/>
          </w:tcPr>
          <w:p w:rsidR="007F3F42" w:rsidRDefault="00781698">
            <w:pPr>
              <w:jc w:val="right"/>
            </w:pPr>
            <w:r>
              <w:rPr>
                <w:rFonts w:eastAsiaTheme="minorEastAsia"/>
                <w:color w:val="000000"/>
                <w:szCs w:val="21"/>
              </w:rPr>
              <w:t>-</w:t>
            </w:r>
          </w:p>
        </w:tc>
        <w:tc>
          <w:tcPr>
            <w:tcW w:w="1400" w:type="dxa"/>
            <w:vAlign w:val="center"/>
          </w:tcPr>
          <w:p w:rsidR="007F3F42" w:rsidRDefault="00781698">
            <w:pPr>
              <w:jc w:val="right"/>
            </w:pPr>
            <w:r>
              <w:rPr>
                <w:rFonts w:eastAsiaTheme="minorEastAsia"/>
                <w:color w:val="000000"/>
                <w:szCs w:val="21"/>
              </w:rPr>
              <w:t>-</w:t>
            </w:r>
          </w:p>
        </w:tc>
        <w:tc>
          <w:tcPr>
            <w:tcW w:w="2020" w:type="dxa"/>
            <w:vAlign w:val="center"/>
          </w:tcPr>
          <w:p w:rsidR="007F3F42" w:rsidRDefault="00781698">
            <w:pPr>
              <w:jc w:val="right"/>
            </w:pPr>
            <w:r>
              <w:rPr>
                <w:rFonts w:eastAsiaTheme="minorEastAsia"/>
                <w:color w:val="000000"/>
                <w:szCs w:val="21"/>
              </w:rPr>
              <w:t>-</w:t>
            </w:r>
          </w:p>
        </w:tc>
        <w:tc>
          <w:tcPr>
            <w:tcW w:w="2160" w:type="dxa"/>
            <w:vAlign w:val="center"/>
          </w:tcPr>
          <w:p w:rsidR="007F3F42" w:rsidRDefault="00781698">
            <w:pPr>
              <w:jc w:val="right"/>
            </w:pPr>
            <w:r>
              <w:rPr>
                <w:rFonts w:eastAsiaTheme="minorEastAsia"/>
                <w:color w:val="000000"/>
                <w:szCs w:val="21"/>
              </w:rPr>
              <w:t>-</w:t>
            </w:r>
          </w:p>
        </w:tc>
      </w:tr>
      <w:tr w:rsidR="007F3F42">
        <w:tc>
          <w:tcPr>
            <w:tcW w:w="1477" w:type="dxa"/>
            <w:vAlign w:val="center"/>
          </w:tcPr>
          <w:p w:rsidR="007F3F42" w:rsidRDefault="00781698">
            <w:pPr>
              <w:jc w:val="left"/>
            </w:pPr>
            <w:r>
              <w:rPr>
                <w:rFonts w:eastAsiaTheme="minorEastAsia"/>
                <w:color w:val="000000"/>
                <w:szCs w:val="21"/>
              </w:rPr>
              <w:t>应付赎回款</w:t>
            </w:r>
          </w:p>
        </w:tc>
        <w:tc>
          <w:tcPr>
            <w:tcW w:w="1943" w:type="dxa"/>
            <w:vAlign w:val="center"/>
          </w:tcPr>
          <w:p w:rsidR="007F3F42" w:rsidRDefault="00781698">
            <w:pPr>
              <w:jc w:val="right"/>
            </w:pPr>
            <w:r>
              <w:rPr>
                <w:rFonts w:eastAsiaTheme="minorEastAsia"/>
                <w:color w:val="000000"/>
                <w:szCs w:val="21"/>
              </w:rPr>
              <w:t>113.36</w:t>
            </w:r>
          </w:p>
        </w:tc>
        <w:tc>
          <w:tcPr>
            <w:tcW w:w="1400" w:type="dxa"/>
            <w:vAlign w:val="center"/>
          </w:tcPr>
          <w:p w:rsidR="007F3F42" w:rsidRDefault="00781698">
            <w:pPr>
              <w:jc w:val="right"/>
            </w:pPr>
            <w:r>
              <w:rPr>
                <w:rFonts w:eastAsiaTheme="minorEastAsia"/>
                <w:color w:val="000000"/>
                <w:szCs w:val="21"/>
              </w:rPr>
              <w:t>-</w:t>
            </w:r>
          </w:p>
        </w:tc>
        <w:tc>
          <w:tcPr>
            <w:tcW w:w="2020" w:type="dxa"/>
            <w:vAlign w:val="center"/>
          </w:tcPr>
          <w:p w:rsidR="007F3F42" w:rsidRDefault="00781698">
            <w:pPr>
              <w:jc w:val="right"/>
            </w:pPr>
            <w:r>
              <w:rPr>
                <w:rFonts w:eastAsiaTheme="minorEastAsia"/>
                <w:color w:val="000000"/>
                <w:szCs w:val="21"/>
              </w:rPr>
              <w:t>-</w:t>
            </w:r>
          </w:p>
        </w:tc>
        <w:tc>
          <w:tcPr>
            <w:tcW w:w="2160" w:type="dxa"/>
            <w:vAlign w:val="center"/>
          </w:tcPr>
          <w:p w:rsidR="007F3F42" w:rsidRDefault="00781698">
            <w:pPr>
              <w:jc w:val="right"/>
            </w:pPr>
            <w:r>
              <w:rPr>
                <w:rFonts w:eastAsiaTheme="minorEastAsia"/>
                <w:color w:val="000000"/>
                <w:szCs w:val="21"/>
              </w:rPr>
              <w:t>113.36</w:t>
            </w:r>
          </w:p>
        </w:tc>
      </w:tr>
      <w:tr w:rsidR="007F3F42">
        <w:tc>
          <w:tcPr>
            <w:tcW w:w="1477" w:type="dxa"/>
            <w:vAlign w:val="center"/>
          </w:tcPr>
          <w:p w:rsidR="007F3F42" w:rsidRDefault="00781698">
            <w:pPr>
              <w:jc w:val="left"/>
            </w:pPr>
            <w:r>
              <w:rPr>
                <w:rFonts w:eastAsiaTheme="minorEastAsia"/>
                <w:color w:val="000000"/>
                <w:szCs w:val="21"/>
              </w:rPr>
              <w:t>其他负债</w:t>
            </w:r>
          </w:p>
        </w:tc>
        <w:tc>
          <w:tcPr>
            <w:tcW w:w="1943" w:type="dxa"/>
            <w:vAlign w:val="center"/>
          </w:tcPr>
          <w:p w:rsidR="007F3F42" w:rsidRDefault="00781698">
            <w:pPr>
              <w:jc w:val="right"/>
            </w:pPr>
            <w:r>
              <w:rPr>
                <w:rFonts w:eastAsiaTheme="minorEastAsia"/>
                <w:color w:val="000000"/>
                <w:szCs w:val="21"/>
              </w:rPr>
              <w:t>-</w:t>
            </w:r>
          </w:p>
        </w:tc>
        <w:tc>
          <w:tcPr>
            <w:tcW w:w="1400" w:type="dxa"/>
            <w:vAlign w:val="center"/>
          </w:tcPr>
          <w:p w:rsidR="007F3F42" w:rsidRDefault="00781698">
            <w:pPr>
              <w:jc w:val="right"/>
            </w:pPr>
            <w:r>
              <w:rPr>
                <w:rFonts w:eastAsiaTheme="minorEastAsia"/>
                <w:color w:val="000000"/>
                <w:szCs w:val="21"/>
              </w:rPr>
              <w:t>-</w:t>
            </w:r>
          </w:p>
        </w:tc>
        <w:tc>
          <w:tcPr>
            <w:tcW w:w="2020" w:type="dxa"/>
            <w:vAlign w:val="center"/>
          </w:tcPr>
          <w:p w:rsidR="007F3F42" w:rsidRDefault="00781698">
            <w:pPr>
              <w:jc w:val="right"/>
            </w:pPr>
            <w:r>
              <w:rPr>
                <w:rFonts w:eastAsiaTheme="minorEastAsia"/>
                <w:color w:val="000000"/>
                <w:szCs w:val="21"/>
              </w:rPr>
              <w:t>-</w:t>
            </w:r>
          </w:p>
        </w:tc>
        <w:tc>
          <w:tcPr>
            <w:tcW w:w="2160" w:type="dxa"/>
            <w:vAlign w:val="center"/>
          </w:tcPr>
          <w:p w:rsidR="007F3F42" w:rsidRDefault="00781698">
            <w:pPr>
              <w:jc w:val="right"/>
            </w:pPr>
            <w:r>
              <w:rPr>
                <w:rFonts w:eastAsiaTheme="minorEastAsia"/>
                <w:color w:val="000000"/>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负债合计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113.36</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113.36</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资产负债表外汇风险敞口净额</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2,946,452.01</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2,946,452.01</w:t>
            </w:r>
          </w:p>
        </w:tc>
      </w:tr>
    </w:tbl>
    <w:p w:rsidR="008A5A5D" w:rsidRPr="00C24ACA" w:rsidRDefault="0056101E"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注：本基金本报告期末投资的目标基金市值为</w:t>
      </w:r>
      <w:r w:rsidRPr="008707EB">
        <w:rPr>
          <w:rFonts w:eastAsiaTheme="minorEastAsia"/>
          <w:kern w:val="0"/>
          <w:szCs w:val="21"/>
        </w:rPr>
        <w:t>731,816,990.74</w:t>
      </w:r>
      <w:r w:rsidRPr="008707EB">
        <w:rPr>
          <w:rFonts w:eastAsiaTheme="minorEastAsia"/>
          <w:kern w:val="0"/>
          <w:szCs w:val="21"/>
        </w:rPr>
        <w:t>元，列示于</w:t>
      </w:r>
      <w:r w:rsidRPr="008707EB">
        <w:rPr>
          <w:rFonts w:eastAsiaTheme="minorEastAsia"/>
          <w:kern w:val="0"/>
          <w:szCs w:val="21"/>
        </w:rPr>
        <w:t>“</w:t>
      </w:r>
      <w:r w:rsidRPr="008707EB">
        <w:rPr>
          <w:rFonts w:eastAsiaTheme="minorEastAsia"/>
          <w:kern w:val="0"/>
          <w:szCs w:val="21"/>
        </w:rPr>
        <w:t>交易性金融资产</w:t>
      </w:r>
      <w:r w:rsidRPr="008707EB">
        <w:rPr>
          <w:rFonts w:eastAsiaTheme="minorEastAsia"/>
          <w:kern w:val="0"/>
          <w:szCs w:val="21"/>
        </w:rPr>
        <w:t>”</w:t>
      </w:r>
      <w:r w:rsidRPr="008707EB">
        <w:rPr>
          <w:rFonts w:eastAsiaTheme="minorEastAsia"/>
          <w:kern w:val="0"/>
          <w:szCs w:val="21"/>
        </w:rPr>
        <w:t>科目中。目标基金本报告期末投资的港股折合人民币为</w:t>
      </w:r>
      <w:r w:rsidRPr="008707EB">
        <w:rPr>
          <w:rFonts w:eastAsiaTheme="minorEastAsia"/>
          <w:kern w:val="0"/>
          <w:szCs w:val="21"/>
        </w:rPr>
        <w:t>1,540,463,822.35</w:t>
      </w:r>
      <w:r w:rsidRPr="008707EB">
        <w:rPr>
          <w:rFonts w:eastAsiaTheme="minorEastAsia"/>
          <w:kern w:val="0"/>
          <w:szCs w:val="21"/>
        </w:rPr>
        <w:t>元，占净值比例</w:t>
      </w:r>
      <w:r w:rsidRPr="008707EB">
        <w:rPr>
          <w:rFonts w:eastAsiaTheme="minorEastAsia"/>
          <w:kern w:val="0"/>
          <w:szCs w:val="21"/>
        </w:rPr>
        <w:t>44.76%</w:t>
      </w:r>
      <w:r w:rsidRPr="008707EB">
        <w:rPr>
          <w:rFonts w:eastAsiaTheme="minorEastAsia"/>
          <w:kern w:val="0"/>
          <w:szCs w:val="21"/>
        </w:rPr>
        <w:t>，投资的美股折合人民币为</w:t>
      </w:r>
      <w:r w:rsidRPr="008707EB">
        <w:rPr>
          <w:rFonts w:eastAsiaTheme="minorEastAsia"/>
          <w:kern w:val="0"/>
          <w:szCs w:val="21"/>
        </w:rPr>
        <w:t>1,863,534,363.17</w:t>
      </w:r>
      <w:r w:rsidRPr="008707EB">
        <w:rPr>
          <w:rFonts w:eastAsiaTheme="minorEastAsia"/>
          <w:kern w:val="0"/>
          <w:szCs w:val="21"/>
        </w:rPr>
        <w:t>元，占净值比例</w:t>
      </w:r>
      <w:r w:rsidRPr="008707EB">
        <w:rPr>
          <w:rFonts w:eastAsiaTheme="minorEastAsia"/>
          <w:kern w:val="0"/>
          <w:szCs w:val="21"/>
        </w:rPr>
        <w:t>54.15%</w:t>
      </w:r>
      <w:r w:rsidRPr="008707EB">
        <w:rPr>
          <w:rFonts w:eastAsiaTheme="minorEastAsia"/>
          <w:kern w:val="0"/>
          <w:szCs w:val="21"/>
        </w:rPr>
        <w:t>。本基金上年度末投资的目标基金市值为</w:t>
      </w:r>
      <w:r w:rsidRPr="008707EB">
        <w:rPr>
          <w:rFonts w:eastAsiaTheme="minorEastAsia"/>
          <w:kern w:val="0"/>
          <w:szCs w:val="21"/>
        </w:rPr>
        <w:t>141,971,964.92</w:t>
      </w:r>
      <w:r w:rsidRPr="008707EB">
        <w:rPr>
          <w:rFonts w:eastAsiaTheme="minorEastAsia"/>
          <w:kern w:val="0"/>
          <w:szCs w:val="21"/>
        </w:rPr>
        <w:t>元，列示于资产负债表</w:t>
      </w:r>
      <w:r w:rsidRPr="008707EB">
        <w:rPr>
          <w:rFonts w:eastAsiaTheme="minorEastAsia"/>
          <w:kern w:val="0"/>
          <w:szCs w:val="21"/>
        </w:rPr>
        <w:t>“</w:t>
      </w:r>
      <w:r w:rsidRPr="008707EB">
        <w:rPr>
          <w:rFonts w:eastAsiaTheme="minorEastAsia"/>
          <w:kern w:val="0"/>
          <w:szCs w:val="21"/>
        </w:rPr>
        <w:t>交易性金融资产</w:t>
      </w:r>
      <w:r w:rsidRPr="008707EB">
        <w:rPr>
          <w:rFonts w:eastAsiaTheme="minorEastAsia"/>
          <w:kern w:val="0"/>
          <w:szCs w:val="21"/>
        </w:rPr>
        <w:t>”</w:t>
      </w:r>
      <w:r w:rsidRPr="008707EB">
        <w:rPr>
          <w:rFonts w:eastAsiaTheme="minorEastAsia"/>
          <w:kern w:val="0"/>
          <w:szCs w:val="21"/>
        </w:rPr>
        <w:t>科目中。目标基金上年度末投资的港股折合人民币为</w:t>
      </w:r>
      <w:r w:rsidRPr="008707EB">
        <w:rPr>
          <w:rFonts w:eastAsiaTheme="minorEastAsia"/>
          <w:kern w:val="0"/>
          <w:szCs w:val="21"/>
        </w:rPr>
        <w:t>557,191,648.99</w:t>
      </w:r>
      <w:r w:rsidRPr="008707EB">
        <w:rPr>
          <w:rFonts w:eastAsiaTheme="minorEastAsia"/>
          <w:kern w:val="0"/>
          <w:szCs w:val="21"/>
        </w:rPr>
        <w:t>元，占净值比例</w:t>
      </w:r>
      <w:r w:rsidRPr="008707EB">
        <w:rPr>
          <w:rFonts w:eastAsiaTheme="minorEastAsia"/>
          <w:kern w:val="0"/>
          <w:szCs w:val="21"/>
        </w:rPr>
        <w:t>39.28%</w:t>
      </w:r>
      <w:r w:rsidRPr="008707EB">
        <w:rPr>
          <w:rFonts w:eastAsiaTheme="minorEastAsia"/>
          <w:kern w:val="0"/>
          <w:szCs w:val="21"/>
        </w:rPr>
        <w:t>，投资的美股折合人民币为</w:t>
      </w:r>
      <w:r w:rsidRPr="008707EB">
        <w:rPr>
          <w:rFonts w:eastAsiaTheme="minorEastAsia"/>
          <w:kern w:val="0"/>
          <w:szCs w:val="21"/>
        </w:rPr>
        <w:t>857,215,679.99</w:t>
      </w:r>
      <w:r w:rsidRPr="008707EB">
        <w:rPr>
          <w:rFonts w:eastAsiaTheme="minorEastAsia"/>
          <w:kern w:val="0"/>
          <w:szCs w:val="21"/>
        </w:rPr>
        <w:t>元，占净值比例</w:t>
      </w:r>
      <w:r w:rsidRPr="008707EB">
        <w:rPr>
          <w:rFonts w:eastAsiaTheme="minorEastAsia"/>
          <w:kern w:val="0"/>
          <w:szCs w:val="21"/>
        </w:rPr>
        <w:t>60.44%</w:t>
      </w:r>
      <w:r w:rsidRPr="008707EB">
        <w:rPr>
          <w:rFonts w:eastAsiaTheme="minorEastAsia"/>
          <w:kern w:val="0"/>
          <w:szCs w:val="21"/>
        </w:rPr>
        <w:t>。</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6.4.13.4.2.2</w:t>
      </w:r>
      <w:r w:rsidRPr="00C24ACA">
        <w:rPr>
          <w:rFonts w:eastAsiaTheme="minorEastAsia"/>
          <w:b/>
          <w:bCs/>
          <w:color w:val="000000"/>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7F3F42">
        <w:tc>
          <w:tcPr>
            <w:tcW w:w="993" w:type="dxa"/>
            <w:vAlign w:val="center"/>
          </w:tcPr>
          <w:p w:rsidR="007F3F42" w:rsidRDefault="00781698">
            <w:pPr>
              <w:jc w:val="left"/>
            </w:pPr>
            <w:r>
              <w:rPr>
                <w:rFonts w:eastAsiaTheme="minorEastAsia"/>
                <w:color w:val="000000"/>
                <w:szCs w:val="21"/>
              </w:rPr>
              <w:t>假设</w:t>
            </w:r>
          </w:p>
        </w:tc>
        <w:tc>
          <w:tcPr>
            <w:tcW w:w="8007" w:type="dxa"/>
            <w:gridSpan w:val="3"/>
            <w:vAlign w:val="center"/>
          </w:tcPr>
          <w:p w:rsidR="007F3F42" w:rsidRDefault="00781698">
            <w:pPr>
              <w:jc w:val="center"/>
            </w:pPr>
            <w:r>
              <w:rPr>
                <w:rFonts w:eastAsiaTheme="minorEastAsia"/>
                <w:color w:val="000000"/>
                <w:szCs w:val="21"/>
              </w:rPr>
              <w:t>除汇率外其他因素保持不变</w:t>
            </w:r>
          </w:p>
        </w:tc>
      </w:tr>
      <w:tr w:rsidR="00022F8F" w:rsidRPr="00C24ACA" w:rsidTr="0087507A">
        <w:tc>
          <w:tcPr>
            <w:tcW w:w="993" w:type="dxa"/>
            <w:vMerge w:val="restart"/>
            <w:vAlign w:val="center"/>
          </w:tcPr>
          <w:p w:rsidR="00022F8F" w:rsidRPr="00C24ACA" w:rsidRDefault="00022F8F" w:rsidP="00F86374">
            <w:pPr>
              <w:pStyle w:val="ae"/>
              <w:jc w:val="center"/>
              <w:rPr>
                <w:rFonts w:eastAsiaTheme="minorEastAsia"/>
                <w:color w:val="000000"/>
                <w:sz w:val="21"/>
                <w:szCs w:val="21"/>
              </w:rPr>
            </w:pPr>
            <w:r w:rsidRPr="00C24ACA">
              <w:rPr>
                <w:rFonts w:eastAsiaTheme="minorEastAsia"/>
                <w:bCs/>
                <w:color w:val="000000"/>
                <w:sz w:val="21"/>
                <w:szCs w:val="21"/>
              </w:rPr>
              <w:t>分析</w:t>
            </w:r>
          </w:p>
        </w:tc>
        <w:tc>
          <w:tcPr>
            <w:tcW w:w="3260" w:type="dxa"/>
            <w:vMerge w:val="restart"/>
            <w:vAlign w:val="center"/>
          </w:tcPr>
          <w:p w:rsidR="00022F8F" w:rsidRPr="00C24ACA" w:rsidRDefault="00022F8F" w:rsidP="0087507A">
            <w:pPr>
              <w:widowControl/>
              <w:autoSpaceDE w:val="0"/>
              <w:autoSpaceDN w:val="0"/>
              <w:ind w:right="-15"/>
              <w:jc w:val="center"/>
              <w:textAlignment w:val="bottom"/>
              <w:rPr>
                <w:rFonts w:eastAsiaTheme="minorEastAsia"/>
                <w:color w:val="000000"/>
                <w:kern w:val="0"/>
                <w:szCs w:val="21"/>
              </w:rPr>
            </w:pPr>
            <w:r w:rsidRPr="00C24ACA">
              <w:rPr>
                <w:rFonts w:eastAsiaTheme="minorEastAsia"/>
                <w:bCs/>
                <w:color w:val="000000"/>
                <w:szCs w:val="21"/>
              </w:rPr>
              <w:t>相关风险变量的变动</w:t>
            </w:r>
          </w:p>
        </w:tc>
        <w:tc>
          <w:tcPr>
            <w:tcW w:w="4747" w:type="dxa"/>
            <w:gridSpan w:val="2"/>
          </w:tcPr>
          <w:p w:rsidR="00022F8F" w:rsidRPr="00C24ACA" w:rsidRDefault="00022F8F" w:rsidP="0087507A">
            <w:pPr>
              <w:jc w:val="center"/>
              <w:rPr>
                <w:rFonts w:eastAsiaTheme="minorEastAsia"/>
                <w:color w:val="000000"/>
                <w:szCs w:val="21"/>
              </w:rPr>
            </w:pPr>
            <w:r w:rsidRPr="00C24ACA">
              <w:rPr>
                <w:rFonts w:eastAsiaTheme="minorEastAsia"/>
                <w:color w:val="000000"/>
                <w:szCs w:val="21"/>
              </w:rPr>
              <w:t>对资产负债表日基金资产净值的</w:t>
            </w:r>
          </w:p>
          <w:p w:rsidR="00022F8F" w:rsidRPr="00C24ACA" w:rsidRDefault="00022F8F" w:rsidP="0087507A">
            <w:pPr>
              <w:jc w:val="center"/>
              <w:rPr>
                <w:rFonts w:eastAsiaTheme="minorEastAsia"/>
                <w:color w:val="000000"/>
                <w:szCs w:val="21"/>
              </w:rPr>
            </w:pPr>
          </w:p>
          <w:p w:rsidR="00022F8F" w:rsidRPr="00C24ACA" w:rsidRDefault="00F86374" w:rsidP="00F86374">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00022F8F" w:rsidRPr="00C24ACA">
              <w:rPr>
                <w:rFonts w:eastAsiaTheme="minorEastAsia"/>
                <w:color w:val="000000"/>
                <w:szCs w:val="21"/>
              </w:rPr>
              <w:t>元）</w:t>
            </w:r>
          </w:p>
        </w:tc>
      </w:tr>
      <w:tr w:rsidR="00022F8F" w:rsidRPr="00C24ACA" w:rsidTr="0087507A">
        <w:tc>
          <w:tcPr>
            <w:tcW w:w="993" w:type="dxa"/>
            <w:vMerge/>
            <w:vAlign w:val="center"/>
          </w:tcPr>
          <w:p w:rsidR="00022F8F" w:rsidRPr="00C24ACA" w:rsidRDefault="00022F8F" w:rsidP="0087507A">
            <w:pPr>
              <w:widowControl/>
              <w:jc w:val="left"/>
              <w:rPr>
                <w:rFonts w:eastAsiaTheme="minorEastAsia"/>
                <w:color w:val="000000"/>
                <w:szCs w:val="21"/>
              </w:rPr>
            </w:pPr>
          </w:p>
        </w:tc>
        <w:tc>
          <w:tcPr>
            <w:tcW w:w="3260" w:type="dxa"/>
            <w:vMerge/>
            <w:vAlign w:val="center"/>
          </w:tcPr>
          <w:p w:rsidR="00022F8F" w:rsidRPr="00C24ACA" w:rsidRDefault="00022F8F" w:rsidP="0087507A">
            <w:pPr>
              <w:widowControl/>
              <w:jc w:val="left"/>
              <w:rPr>
                <w:rFonts w:eastAsiaTheme="minorEastAsia"/>
                <w:color w:val="000000"/>
                <w:kern w:val="0"/>
                <w:szCs w:val="21"/>
              </w:rPr>
            </w:pPr>
          </w:p>
        </w:tc>
        <w:tc>
          <w:tcPr>
            <w:tcW w:w="2373" w:type="dxa"/>
          </w:tcPr>
          <w:p w:rsidR="00022F8F" w:rsidRPr="00C24ACA" w:rsidRDefault="00022F8F" w:rsidP="0087507A">
            <w:pPr>
              <w:spacing w:line="360" w:lineRule="auto"/>
              <w:jc w:val="center"/>
              <w:rPr>
                <w:rFonts w:eastAsiaTheme="minorEastAsia"/>
                <w:color w:val="000000"/>
                <w:szCs w:val="21"/>
              </w:rPr>
            </w:pPr>
            <w:r w:rsidRPr="00C24ACA">
              <w:rPr>
                <w:rFonts w:eastAsiaTheme="minorEastAsia"/>
                <w:color w:val="000000"/>
                <w:szCs w:val="21"/>
              </w:rPr>
              <w:t>本期末</w:t>
            </w:r>
          </w:p>
          <w:p w:rsidR="00022F8F" w:rsidRPr="00C24ACA" w:rsidRDefault="00022F8F" w:rsidP="0087507A">
            <w:pPr>
              <w:spacing w:line="360" w:lineRule="auto"/>
              <w:jc w:val="center"/>
              <w:rPr>
                <w:rFonts w:eastAsiaTheme="minorEastAsia"/>
                <w:bCs/>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2374" w:type="dxa"/>
          </w:tcPr>
          <w:p w:rsidR="00022F8F" w:rsidRPr="00C24ACA" w:rsidRDefault="00022F8F" w:rsidP="0087507A">
            <w:pPr>
              <w:spacing w:line="360" w:lineRule="auto"/>
              <w:jc w:val="center"/>
              <w:rPr>
                <w:rFonts w:eastAsiaTheme="minorEastAsia"/>
                <w:color w:val="000000"/>
                <w:szCs w:val="21"/>
              </w:rPr>
            </w:pPr>
            <w:r w:rsidRPr="00C24ACA">
              <w:rPr>
                <w:rFonts w:eastAsiaTheme="minorEastAsia"/>
                <w:color w:val="000000"/>
                <w:szCs w:val="21"/>
              </w:rPr>
              <w:t>上年度末</w:t>
            </w:r>
          </w:p>
          <w:p w:rsidR="00022F8F" w:rsidRPr="00C24ACA" w:rsidRDefault="00022F8F" w:rsidP="0087507A">
            <w:pPr>
              <w:spacing w:line="360" w:lineRule="auto"/>
              <w:jc w:val="center"/>
              <w:rPr>
                <w:rFonts w:eastAsiaTheme="minorEastAsia"/>
                <w:bCs/>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7F3F42">
        <w:tc>
          <w:tcPr>
            <w:tcW w:w="993" w:type="dxa"/>
            <w:vMerge/>
          </w:tcPr>
          <w:p w:rsidR="007F3F42" w:rsidRDefault="007F3F42"/>
        </w:tc>
        <w:tc>
          <w:tcPr>
            <w:tcW w:w="3260" w:type="dxa"/>
            <w:vAlign w:val="center"/>
          </w:tcPr>
          <w:p w:rsidR="007F3F42" w:rsidRDefault="00781698">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7F3F42" w:rsidRDefault="00781698">
            <w:pPr>
              <w:jc w:val="right"/>
            </w:pPr>
            <w:r>
              <w:rPr>
                <w:rFonts w:eastAsiaTheme="minorEastAsia"/>
                <w:color w:val="000000"/>
                <w:szCs w:val="21"/>
              </w:rPr>
              <w:t>-36,849,177.63</w:t>
            </w:r>
          </w:p>
        </w:tc>
        <w:tc>
          <w:tcPr>
            <w:tcW w:w="2374" w:type="dxa"/>
            <w:vAlign w:val="center"/>
          </w:tcPr>
          <w:p w:rsidR="007F3F42" w:rsidRDefault="00781698">
            <w:pPr>
              <w:jc w:val="right"/>
            </w:pPr>
            <w:r>
              <w:rPr>
                <w:rFonts w:eastAsiaTheme="minorEastAsia"/>
                <w:color w:val="000000"/>
                <w:szCs w:val="21"/>
              </w:rPr>
              <w:t>-147,322.60</w:t>
            </w:r>
          </w:p>
        </w:tc>
      </w:tr>
      <w:tr w:rsidR="007F3F42">
        <w:tc>
          <w:tcPr>
            <w:tcW w:w="993" w:type="dxa"/>
            <w:vMerge/>
          </w:tcPr>
          <w:p w:rsidR="007F3F42" w:rsidRDefault="007F3F42"/>
        </w:tc>
        <w:tc>
          <w:tcPr>
            <w:tcW w:w="3260" w:type="dxa"/>
            <w:vAlign w:val="center"/>
          </w:tcPr>
          <w:p w:rsidR="007F3F42" w:rsidRDefault="00781698">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7F3F42" w:rsidRDefault="00781698">
            <w:pPr>
              <w:jc w:val="right"/>
            </w:pPr>
            <w:r>
              <w:rPr>
                <w:rFonts w:eastAsiaTheme="minorEastAsia"/>
                <w:color w:val="000000"/>
                <w:szCs w:val="21"/>
              </w:rPr>
              <w:t>36,849,177.63</w:t>
            </w:r>
          </w:p>
        </w:tc>
        <w:tc>
          <w:tcPr>
            <w:tcW w:w="2374" w:type="dxa"/>
            <w:vAlign w:val="center"/>
          </w:tcPr>
          <w:p w:rsidR="007F3F42" w:rsidRDefault="00781698">
            <w:pPr>
              <w:jc w:val="right"/>
            </w:pPr>
            <w:r>
              <w:rPr>
                <w:rFonts w:eastAsiaTheme="minorEastAsia"/>
                <w:color w:val="000000"/>
                <w:szCs w:val="21"/>
              </w:rPr>
              <w:t>147,322.60</w:t>
            </w:r>
          </w:p>
        </w:tc>
      </w:tr>
    </w:tbl>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6.4.13.4.3</w:t>
      </w:r>
      <w:r w:rsidRPr="00C24ACA">
        <w:rPr>
          <w:rFonts w:eastAsiaTheme="minorEastAsia"/>
          <w:b/>
          <w:bCs/>
          <w:color w:val="000000"/>
          <w:szCs w:val="21"/>
        </w:rPr>
        <w:t>其他价格风险</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本基金的基金管理人采用</w:t>
      </w:r>
      <w:r w:rsidRPr="00C24ACA">
        <w:rPr>
          <w:rFonts w:eastAsiaTheme="minorEastAsia"/>
          <w:kern w:val="0"/>
          <w:szCs w:val="21"/>
        </w:rPr>
        <w:t>Barra</w:t>
      </w:r>
      <w:r w:rsidRPr="00C24ACA">
        <w:rPr>
          <w:rFonts w:eastAsiaTheme="minorEastAsia"/>
          <w:kern w:val="0"/>
          <w:szCs w:val="21"/>
        </w:rPr>
        <w:t>风险管理系统，通过标准差、跟踪误差、</w:t>
      </w:r>
      <w:r w:rsidRPr="00C24ACA">
        <w:rPr>
          <w:rFonts w:eastAsiaTheme="minorEastAsia"/>
          <w:kern w:val="0"/>
          <w:szCs w:val="21"/>
        </w:rPr>
        <w:t>beta</w:t>
      </w:r>
      <w:r w:rsidRPr="00C24ACA">
        <w:rPr>
          <w:rFonts w:eastAsiaTheme="minorEastAsia"/>
          <w:kern w:val="0"/>
          <w:szCs w:val="21"/>
        </w:rPr>
        <w:t>值、</w:t>
      </w:r>
      <w:r w:rsidRPr="00C24ACA">
        <w:rPr>
          <w:rFonts w:eastAsiaTheme="minorEastAsia"/>
          <w:kern w:val="0"/>
          <w:szCs w:val="21"/>
        </w:rPr>
        <w:t>VAR</w:t>
      </w:r>
      <w:r w:rsidRPr="00C24ACA">
        <w:rPr>
          <w:rFonts w:eastAsiaTheme="minorEastAsia"/>
          <w:kern w:val="0"/>
          <w:szCs w:val="21"/>
        </w:rPr>
        <w:t>等指标，监控投资组合面临的市场价格波动风险。</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6.4.13.4.3.1</w:t>
      </w:r>
      <w:r w:rsidRPr="00C24ACA">
        <w:rPr>
          <w:rFonts w:eastAsiaTheme="minorEastAsia"/>
          <w:b/>
          <w:bCs/>
          <w:color w:val="000000"/>
          <w:szCs w:val="21"/>
        </w:rPr>
        <w:t>其他价格风险敞口</w:t>
      </w:r>
    </w:p>
    <w:p w:rsidR="004A2F25" w:rsidRPr="00C24ACA" w:rsidRDefault="004A2F25" w:rsidP="004A2F25">
      <w:pPr>
        <w:spacing w:line="288" w:lineRule="auto"/>
        <w:ind w:firstLine="420"/>
        <w:jc w:val="right"/>
        <w:rPr>
          <w:rFonts w:eastAsiaTheme="minorEastAsia"/>
          <w:bCs/>
          <w:color w:val="000000"/>
          <w:szCs w:val="21"/>
        </w:rPr>
      </w:pPr>
      <w:r w:rsidRPr="00C24ACA">
        <w:rPr>
          <w:rFonts w:eastAsiaTheme="minor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701"/>
        <w:gridCol w:w="1559"/>
        <w:gridCol w:w="1559"/>
        <w:gridCol w:w="1487"/>
      </w:tblGrid>
      <w:tr w:rsidR="008A5A5D" w:rsidRPr="00C24ACA" w:rsidTr="004A4847">
        <w:tc>
          <w:tcPr>
            <w:tcW w:w="2694" w:type="dxa"/>
            <w:vMerge w:val="restart"/>
            <w:vAlign w:val="center"/>
          </w:tcPr>
          <w:p w:rsidR="008A5A5D" w:rsidRPr="00C24ACA" w:rsidRDefault="008A5A5D" w:rsidP="00F5070F">
            <w:pPr>
              <w:jc w:val="center"/>
              <w:rPr>
                <w:rFonts w:eastAsiaTheme="minorEastAsia"/>
                <w:color w:val="000000"/>
                <w:szCs w:val="21"/>
              </w:rPr>
            </w:pPr>
            <w:r w:rsidRPr="00C24ACA">
              <w:rPr>
                <w:rFonts w:eastAsiaTheme="minorEastAsia"/>
                <w:color w:val="000000"/>
                <w:szCs w:val="21"/>
              </w:rPr>
              <w:t>项目</w:t>
            </w:r>
          </w:p>
        </w:tc>
        <w:tc>
          <w:tcPr>
            <w:tcW w:w="326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本期末</w:t>
            </w:r>
          </w:p>
          <w:p w:rsidR="008A5A5D" w:rsidRPr="00C24ACA" w:rsidRDefault="00AC4A34" w:rsidP="004A4847">
            <w:pPr>
              <w:jc w:val="center"/>
              <w:rPr>
                <w:rFonts w:eastAsiaTheme="minorEastAsia"/>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3046"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上年度末</w:t>
            </w:r>
          </w:p>
          <w:p w:rsidR="008A5A5D" w:rsidRPr="00C24ACA" w:rsidRDefault="00520D7F" w:rsidP="00022F8F">
            <w:pPr>
              <w:jc w:val="center"/>
              <w:rPr>
                <w:rFonts w:eastAsiaTheme="minorEastAsia"/>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8A5A5D" w:rsidRPr="00C24ACA" w:rsidTr="00022F8F">
        <w:tc>
          <w:tcPr>
            <w:tcW w:w="2694" w:type="dxa"/>
            <w:vMerge/>
            <w:vAlign w:val="center"/>
          </w:tcPr>
          <w:p w:rsidR="008A5A5D" w:rsidRPr="00C24ACA" w:rsidRDefault="008A5A5D" w:rsidP="004A4847">
            <w:pPr>
              <w:widowControl/>
              <w:jc w:val="left"/>
              <w:rPr>
                <w:rFonts w:eastAsiaTheme="minorEastAsia"/>
                <w:color w:val="000000"/>
                <w:szCs w:val="21"/>
              </w:rPr>
            </w:pPr>
          </w:p>
        </w:tc>
        <w:tc>
          <w:tcPr>
            <w:tcW w:w="1701" w:type="dxa"/>
            <w:vAlign w:val="center"/>
          </w:tcPr>
          <w:p w:rsidR="008A5A5D" w:rsidRPr="00C24ACA" w:rsidRDefault="008A5A5D" w:rsidP="004A4847">
            <w:pPr>
              <w:ind w:right="142"/>
              <w:jc w:val="center"/>
              <w:rPr>
                <w:rFonts w:eastAsiaTheme="minorEastAsia"/>
                <w:color w:val="000000"/>
                <w:szCs w:val="21"/>
              </w:rPr>
            </w:pPr>
            <w:r w:rsidRPr="00C24ACA">
              <w:rPr>
                <w:rFonts w:eastAsiaTheme="minorEastAsia"/>
                <w:color w:val="000000"/>
                <w:szCs w:val="21"/>
              </w:rPr>
              <w:t>公允价值</w:t>
            </w:r>
          </w:p>
        </w:tc>
        <w:tc>
          <w:tcPr>
            <w:tcW w:w="1559" w:type="dxa"/>
            <w:vAlign w:val="center"/>
          </w:tcPr>
          <w:p w:rsidR="008A5A5D" w:rsidRPr="00C24ACA" w:rsidRDefault="008A5A5D" w:rsidP="004A4847">
            <w:pPr>
              <w:ind w:right="141"/>
              <w:jc w:val="center"/>
              <w:rPr>
                <w:rFonts w:eastAsiaTheme="minorEastAsia"/>
                <w:color w:val="000000"/>
                <w:szCs w:val="21"/>
              </w:rPr>
            </w:pPr>
            <w:r w:rsidRPr="00C24ACA">
              <w:rPr>
                <w:rFonts w:eastAsiaTheme="minorEastAsia"/>
                <w:color w:val="000000"/>
                <w:szCs w:val="21"/>
              </w:rPr>
              <w:t>占基金资产净值比例（</w:t>
            </w:r>
            <w:r w:rsidRPr="00C24ACA">
              <w:rPr>
                <w:rFonts w:eastAsiaTheme="minorEastAsia"/>
                <w:color w:val="000000"/>
                <w:szCs w:val="21"/>
              </w:rPr>
              <w:t>%</w:t>
            </w:r>
            <w:r w:rsidRPr="00C24ACA">
              <w:rPr>
                <w:rFonts w:eastAsiaTheme="minorEastAsia"/>
                <w:color w:val="000000"/>
                <w:szCs w:val="21"/>
              </w:rPr>
              <w:t>）</w:t>
            </w:r>
          </w:p>
        </w:tc>
        <w:tc>
          <w:tcPr>
            <w:tcW w:w="1559" w:type="dxa"/>
            <w:vAlign w:val="center"/>
          </w:tcPr>
          <w:p w:rsidR="008A5A5D" w:rsidRPr="00C24ACA" w:rsidRDefault="008A5A5D" w:rsidP="00022F8F">
            <w:pPr>
              <w:ind w:right="113"/>
              <w:jc w:val="center"/>
              <w:rPr>
                <w:rFonts w:eastAsiaTheme="minorEastAsia"/>
                <w:color w:val="000000"/>
                <w:szCs w:val="21"/>
              </w:rPr>
            </w:pPr>
            <w:r w:rsidRPr="00C24ACA">
              <w:rPr>
                <w:rFonts w:eastAsiaTheme="minorEastAsia"/>
                <w:color w:val="000000"/>
                <w:szCs w:val="21"/>
              </w:rPr>
              <w:t>公允价值</w:t>
            </w:r>
          </w:p>
        </w:tc>
        <w:tc>
          <w:tcPr>
            <w:tcW w:w="1487" w:type="dxa"/>
            <w:vAlign w:val="center"/>
          </w:tcPr>
          <w:p w:rsidR="008A5A5D" w:rsidRPr="00C24ACA" w:rsidRDefault="008A5A5D" w:rsidP="00022F8F">
            <w:pPr>
              <w:ind w:right="141"/>
              <w:jc w:val="center"/>
              <w:rPr>
                <w:rFonts w:eastAsiaTheme="minorEastAsia"/>
                <w:color w:val="000000"/>
                <w:szCs w:val="21"/>
              </w:rPr>
            </w:pPr>
            <w:r w:rsidRPr="00C24ACA">
              <w:rPr>
                <w:rFonts w:eastAsiaTheme="minorEastAsia"/>
                <w:color w:val="000000"/>
                <w:szCs w:val="21"/>
              </w:rPr>
              <w:t>占基金资产净值比例（</w:t>
            </w:r>
            <w:r w:rsidRPr="00C24ACA">
              <w:rPr>
                <w:rFonts w:eastAsiaTheme="minorEastAsia"/>
                <w:color w:val="000000"/>
                <w:szCs w:val="21"/>
              </w:rPr>
              <w:t>%</w:t>
            </w:r>
            <w:r w:rsidRPr="00C24ACA">
              <w:rPr>
                <w:rFonts w:eastAsiaTheme="minorEastAsia"/>
                <w:color w:val="000000"/>
                <w:szCs w:val="21"/>
              </w:rPr>
              <w:t>）</w:t>
            </w:r>
          </w:p>
        </w:tc>
      </w:tr>
      <w:tr w:rsidR="008A5A5D" w:rsidRPr="00C24ACA" w:rsidTr="00022F8F">
        <w:tc>
          <w:tcPr>
            <w:tcW w:w="2694" w:type="dxa"/>
            <w:vAlign w:val="center"/>
          </w:tcPr>
          <w:p w:rsidR="008A5A5D" w:rsidRPr="00C24ACA" w:rsidRDefault="008A5A5D" w:rsidP="004A4847">
            <w:pPr>
              <w:jc w:val="left"/>
              <w:rPr>
                <w:rFonts w:eastAsiaTheme="minorEastAsia"/>
                <w:color w:val="000000"/>
                <w:szCs w:val="21"/>
              </w:rPr>
            </w:pPr>
            <w:r w:rsidRPr="00C24ACA">
              <w:rPr>
                <w:rFonts w:eastAsiaTheme="minorEastAsia"/>
                <w:color w:val="000000"/>
                <w:szCs w:val="21"/>
              </w:rPr>
              <w:t>交易性金融资产</w:t>
            </w:r>
            <w:r w:rsidRPr="00C24ACA">
              <w:rPr>
                <w:rFonts w:eastAsiaTheme="minorEastAsia"/>
                <w:szCs w:val="21"/>
              </w:rPr>
              <w:t>－</w:t>
            </w:r>
            <w:r w:rsidRPr="00C24ACA">
              <w:rPr>
                <w:rFonts w:eastAsiaTheme="minorEastAsia"/>
                <w:color w:val="000000"/>
                <w:szCs w:val="21"/>
              </w:rPr>
              <w:t>股票投资</w:t>
            </w:r>
          </w:p>
        </w:tc>
        <w:tc>
          <w:tcPr>
            <w:tcW w:w="1701"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c>
          <w:tcPr>
            <w:tcW w:w="1487"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r>
      <w:tr w:rsidR="008A5A5D" w:rsidRPr="00C24ACA" w:rsidTr="00022F8F">
        <w:tc>
          <w:tcPr>
            <w:tcW w:w="2694" w:type="dxa"/>
            <w:vAlign w:val="center"/>
          </w:tcPr>
          <w:p w:rsidR="008A5A5D" w:rsidRPr="00C24ACA" w:rsidRDefault="008A5A5D" w:rsidP="004A4847">
            <w:pPr>
              <w:jc w:val="left"/>
              <w:rPr>
                <w:rFonts w:eastAsiaTheme="minorEastAsia"/>
                <w:color w:val="000000"/>
                <w:szCs w:val="21"/>
              </w:rPr>
            </w:pPr>
            <w:r w:rsidRPr="00C24ACA">
              <w:rPr>
                <w:rFonts w:eastAsiaTheme="minorEastAsia"/>
                <w:color w:val="000000"/>
                <w:szCs w:val="21"/>
              </w:rPr>
              <w:t>交易性金融资产</w:t>
            </w:r>
            <w:r w:rsidRPr="00C24ACA">
              <w:rPr>
                <w:rFonts w:eastAsiaTheme="minorEastAsia"/>
                <w:color w:val="000000"/>
                <w:szCs w:val="21"/>
              </w:rPr>
              <w:t>—</w:t>
            </w:r>
            <w:r w:rsidRPr="00C24ACA">
              <w:rPr>
                <w:rFonts w:eastAsiaTheme="minorEastAsia"/>
                <w:color w:val="000000"/>
                <w:szCs w:val="21"/>
              </w:rPr>
              <w:t>基金投资</w:t>
            </w:r>
          </w:p>
        </w:tc>
        <w:tc>
          <w:tcPr>
            <w:tcW w:w="1701"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731,816,990.74</w:t>
            </w:r>
          </w:p>
        </w:tc>
        <w:tc>
          <w:tcPr>
            <w:tcW w:w="1559"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94.81</w:t>
            </w:r>
          </w:p>
        </w:tc>
        <w:tc>
          <w:tcPr>
            <w:tcW w:w="1559"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141,971,964.92</w:t>
            </w:r>
          </w:p>
        </w:tc>
        <w:tc>
          <w:tcPr>
            <w:tcW w:w="1487"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93.48</w:t>
            </w:r>
          </w:p>
        </w:tc>
      </w:tr>
      <w:tr w:rsidR="001D0D6A" w:rsidRPr="00C24ACA" w:rsidTr="00742218">
        <w:tc>
          <w:tcPr>
            <w:tcW w:w="2694" w:type="dxa"/>
            <w:vAlign w:val="center"/>
          </w:tcPr>
          <w:p w:rsidR="001D0D6A" w:rsidRPr="00224952" w:rsidRDefault="001D0D6A" w:rsidP="001D0D6A">
            <w:pPr>
              <w:spacing w:line="360" w:lineRule="auto"/>
              <w:jc w:val="left"/>
              <w:rPr>
                <w:szCs w:val="21"/>
              </w:rPr>
            </w:pPr>
            <w:r w:rsidRPr="00224952">
              <w:rPr>
                <w:rFonts w:hint="eastAsia"/>
                <w:szCs w:val="21"/>
              </w:rPr>
              <w:t>交易性金融资产－贵金属投资</w:t>
            </w:r>
          </w:p>
        </w:tc>
        <w:tc>
          <w:tcPr>
            <w:tcW w:w="1701" w:type="dxa"/>
            <w:vAlign w:val="center"/>
          </w:tcPr>
          <w:p w:rsidR="001D0D6A" w:rsidRPr="00224952" w:rsidRDefault="001D0D6A" w:rsidP="001D0D6A">
            <w:pPr>
              <w:spacing w:line="360" w:lineRule="auto"/>
              <w:jc w:val="right"/>
              <w:rPr>
                <w:color w:val="000000"/>
                <w:szCs w:val="21"/>
              </w:rPr>
            </w:pPr>
            <w:r w:rsidRPr="00224952">
              <w:rPr>
                <w:color w:val="000000"/>
                <w:szCs w:val="21"/>
              </w:rPr>
              <w:t>-</w:t>
            </w:r>
          </w:p>
        </w:tc>
        <w:tc>
          <w:tcPr>
            <w:tcW w:w="1559" w:type="dxa"/>
            <w:vAlign w:val="center"/>
          </w:tcPr>
          <w:p w:rsidR="001D0D6A" w:rsidRPr="00224952" w:rsidRDefault="001D0D6A" w:rsidP="001D0D6A">
            <w:pPr>
              <w:spacing w:line="360" w:lineRule="auto"/>
              <w:jc w:val="right"/>
              <w:rPr>
                <w:color w:val="000000"/>
                <w:szCs w:val="21"/>
              </w:rPr>
            </w:pPr>
            <w:r w:rsidRPr="00224952">
              <w:rPr>
                <w:color w:val="000000"/>
                <w:szCs w:val="21"/>
              </w:rPr>
              <w:t>-</w:t>
            </w:r>
          </w:p>
        </w:tc>
        <w:tc>
          <w:tcPr>
            <w:tcW w:w="1559" w:type="dxa"/>
            <w:vAlign w:val="center"/>
          </w:tcPr>
          <w:p w:rsidR="001D0D6A" w:rsidRPr="00224952" w:rsidRDefault="001D0D6A" w:rsidP="003B2040">
            <w:pPr>
              <w:spacing w:line="360" w:lineRule="auto"/>
              <w:jc w:val="right"/>
              <w:rPr>
                <w:color w:val="000000"/>
                <w:szCs w:val="21"/>
              </w:rPr>
            </w:pPr>
            <w:r w:rsidRPr="00224952">
              <w:rPr>
                <w:color w:val="000000"/>
                <w:szCs w:val="21"/>
              </w:rPr>
              <w:t>-</w:t>
            </w:r>
          </w:p>
        </w:tc>
        <w:tc>
          <w:tcPr>
            <w:tcW w:w="1487" w:type="dxa"/>
            <w:vAlign w:val="center"/>
          </w:tcPr>
          <w:p w:rsidR="001D0D6A" w:rsidRPr="00224952" w:rsidRDefault="001D0D6A" w:rsidP="003B2040">
            <w:pPr>
              <w:spacing w:line="360" w:lineRule="auto"/>
              <w:jc w:val="right"/>
              <w:rPr>
                <w:color w:val="000000"/>
                <w:szCs w:val="21"/>
              </w:rPr>
            </w:pPr>
            <w:r w:rsidRPr="00224952">
              <w:rPr>
                <w:color w:val="000000"/>
                <w:szCs w:val="21"/>
              </w:rPr>
              <w:t>-</w:t>
            </w:r>
          </w:p>
        </w:tc>
      </w:tr>
      <w:tr w:rsidR="001D0D6A" w:rsidRPr="00C24ACA" w:rsidTr="00022F8F">
        <w:tc>
          <w:tcPr>
            <w:tcW w:w="2694" w:type="dxa"/>
            <w:vAlign w:val="center"/>
          </w:tcPr>
          <w:p w:rsidR="001D0D6A" w:rsidRPr="00C24ACA" w:rsidRDefault="001D0D6A" w:rsidP="001D0D6A">
            <w:pPr>
              <w:jc w:val="left"/>
              <w:rPr>
                <w:rFonts w:eastAsiaTheme="minorEastAsia"/>
                <w:color w:val="000000"/>
                <w:szCs w:val="21"/>
              </w:rPr>
            </w:pPr>
            <w:r w:rsidRPr="00C24ACA">
              <w:rPr>
                <w:rFonts w:eastAsiaTheme="minorEastAsia"/>
                <w:color w:val="000000"/>
                <w:szCs w:val="21"/>
              </w:rPr>
              <w:t>衍生金融资产－权证投资</w:t>
            </w:r>
          </w:p>
        </w:tc>
        <w:tc>
          <w:tcPr>
            <w:tcW w:w="1701"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487"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r>
      <w:tr w:rsidR="001D0D6A" w:rsidRPr="00C24ACA" w:rsidTr="00022F8F">
        <w:tc>
          <w:tcPr>
            <w:tcW w:w="2694" w:type="dxa"/>
            <w:vAlign w:val="center"/>
          </w:tcPr>
          <w:p w:rsidR="001D0D6A" w:rsidRPr="00C24ACA" w:rsidRDefault="001D0D6A" w:rsidP="001D0D6A">
            <w:pPr>
              <w:jc w:val="left"/>
              <w:rPr>
                <w:rFonts w:eastAsiaTheme="minorEastAsia"/>
                <w:color w:val="000000"/>
                <w:szCs w:val="21"/>
              </w:rPr>
            </w:pPr>
            <w:r w:rsidRPr="00C24ACA">
              <w:rPr>
                <w:rFonts w:eastAsiaTheme="minorEastAsia"/>
                <w:color w:val="000000"/>
                <w:szCs w:val="21"/>
              </w:rPr>
              <w:t>其他</w:t>
            </w:r>
          </w:p>
        </w:tc>
        <w:tc>
          <w:tcPr>
            <w:tcW w:w="1701"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487"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r>
      <w:tr w:rsidR="001D0D6A" w:rsidRPr="00C24ACA" w:rsidTr="00022F8F">
        <w:tc>
          <w:tcPr>
            <w:tcW w:w="2694" w:type="dxa"/>
            <w:vAlign w:val="center"/>
          </w:tcPr>
          <w:p w:rsidR="001D0D6A" w:rsidRPr="00C24ACA" w:rsidRDefault="001D0D6A" w:rsidP="001D0D6A">
            <w:pPr>
              <w:rPr>
                <w:rFonts w:eastAsiaTheme="minorEastAsia"/>
                <w:color w:val="000000"/>
                <w:szCs w:val="21"/>
              </w:rPr>
            </w:pPr>
            <w:r w:rsidRPr="00C24ACA">
              <w:rPr>
                <w:rFonts w:eastAsiaTheme="minorEastAsia"/>
                <w:color w:val="000000"/>
                <w:szCs w:val="21"/>
              </w:rPr>
              <w:t>合计</w:t>
            </w:r>
          </w:p>
        </w:tc>
        <w:tc>
          <w:tcPr>
            <w:tcW w:w="1701"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731,816,990.74</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94.81</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141,971,964.92</w:t>
            </w:r>
          </w:p>
        </w:tc>
        <w:tc>
          <w:tcPr>
            <w:tcW w:w="1487"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93.48</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6.4.13.4.3.2</w:t>
      </w:r>
      <w:r w:rsidRPr="00C24ACA">
        <w:rPr>
          <w:rFonts w:eastAsiaTheme="minorEastAsia"/>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7F3F42">
        <w:tc>
          <w:tcPr>
            <w:tcW w:w="993" w:type="dxa"/>
            <w:vAlign w:val="center"/>
          </w:tcPr>
          <w:p w:rsidR="007F3F42" w:rsidRDefault="00781698">
            <w:pPr>
              <w:jc w:val="left"/>
            </w:pPr>
            <w:r>
              <w:rPr>
                <w:rFonts w:eastAsiaTheme="minorEastAsia"/>
                <w:color w:val="000000"/>
                <w:szCs w:val="21"/>
              </w:rPr>
              <w:t>假设</w:t>
            </w:r>
          </w:p>
        </w:tc>
        <w:tc>
          <w:tcPr>
            <w:tcW w:w="8079" w:type="dxa"/>
            <w:gridSpan w:val="4"/>
            <w:vAlign w:val="center"/>
          </w:tcPr>
          <w:p w:rsidR="007F3F42" w:rsidRDefault="00781698">
            <w:pPr>
              <w:jc w:val="center"/>
            </w:pPr>
            <w:r>
              <w:rPr>
                <w:rFonts w:eastAsiaTheme="minorEastAsia"/>
                <w:color w:val="000000"/>
                <w:szCs w:val="21"/>
              </w:rPr>
              <w:t>除业绩比较基准以外的其他市场变量保持不变</w:t>
            </w:r>
          </w:p>
        </w:tc>
      </w:tr>
      <w:tr w:rsidR="00695204" w:rsidRPr="00C24ACA" w:rsidTr="007C6EA8">
        <w:trPr>
          <w:gridAfter w:val="1"/>
          <w:wAfter w:w="72" w:type="dxa"/>
        </w:trPr>
        <w:tc>
          <w:tcPr>
            <w:tcW w:w="993" w:type="dxa"/>
            <w:vMerge w:val="restart"/>
            <w:vAlign w:val="center"/>
          </w:tcPr>
          <w:p w:rsidR="00695204" w:rsidRPr="00C24ACA" w:rsidRDefault="00695204" w:rsidP="00F86374">
            <w:pPr>
              <w:pStyle w:val="ae"/>
              <w:jc w:val="center"/>
              <w:rPr>
                <w:rFonts w:eastAsiaTheme="minorEastAsia"/>
                <w:color w:val="000000"/>
                <w:sz w:val="21"/>
                <w:szCs w:val="21"/>
              </w:rPr>
            </w:pPr>
            <w:r w:rsidRPr="00C24ACA">
              <w:rPr>
                <w:rFonts w:eastAsiaTheme="minorEastAsia"/>
                <w:bCs/>
                <w:color w:val="000000"/>
                <w:sz w:val="21"/>
                <w:szCs w:val="21"/>
              </w:rPr>
              <w:t>分析</w:t>
            </w:r>
          </w:p>
        </w:tc>
        <w:tc>
          <w:tcPr>
            <w:tcW w:w="2448" w:type="dxa"/>
            <w:vMerge w:val="restart"/>
            <w:vAlign w:val="center"/>
          </w:tcPr>
          <w:p w:rsidR="00695204" w:rsidRPr="00C24ACA" w:rsidRDefault="00695204" w:rsidP="007C6EA8">
            <w:pPr>
              <w:widowControl/>
              <w:autoSpaceDE w:val="0"/>
              <w:autoSpaceDN w:val="0"/>
              <w:ind w:right="-15"/>
              <w:jc w:val="center"/>
              <w:textAlignment w:val="bottom"/>
              <w:rPr>
                <w:rFonts w:eastAsiaTheme="minorEastAsia"/>
                <w:color w:val="000000"/>
                <w:kern w:val="0"/>
                <w:szCs w:val="21"/>
              </w:rPr>
            </w:pPr>
            <w:r w:rsidRPr="00C24ACA">
              <w:rPr>
                <w:rFonts w:eastAsiaTheme="minorEastAsia"/>
                <w:bCs/>
                <w:color w:val="000000"/>
                <w:szCs w:val="21"/>
              </w:rPr>
              <w:t>相关风险变量的变动</w:t>
            </w:r>
          </w:p>
        </w:tc>
        <w:tc>
          <w:tcPr>
            <w:tcW w:w="5559" w:type="dxa"/>
            <w:gridSpan w:val="2"/>
          </w:tcPr>
          <w:p w:rsidR="00695204" w:rsidRPr="00C24ACA" w:rsidRDefault="00695204" w:rsidP="007C6EA8">
            <w:pPr>
              <w:jc w:val="center"/>
              <w:rPr>
                <w:rFonts w:eastAsiaTheme="minorEastAsia"/>
                <w:color w:val="000000"/>
                <w:szCs w:val="21"/>
              </w:rPr>
            </w:pPr>
            <w:r w:rsidRPr="00C24ACA">
              <w:rPr>
                <w:rFonts w:eastAsiaTheme="minorEastAsia"/>
                <w:color w:val="000000"/>
                <w:szCs w:val="21"/>
              </w:rPr>
              <w:t>对资产负债表日基金资产净值的</w:t>
            </w:r>
          </w:p>
          <w:p w:rsidR="00695204" w:rsidRPr="00C24ACA" w:rsidRDefault="00F86374" w:rsidP="00F86374">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00695204" w:rsidRPr="00C24ACA">
              <w:rPr>
                <w:rFonts w:eastAsiaTheme="minorEastAsia"/>
                <w:color w:val="000000"/>
                <w:szCs w:val="21"/>
              </w:rPr>
              <w:t>元）</w:t>
            </w:r>
          </w:p>
        </w:tc>
      </w:tr>
      <w:tr w:rsidR="00695204" w:rsidRPr="00C24ACA" w:rsidTr="007C6EA8">
        <w:trPr>
          <w:gridAfter w:val="1"/>
          <w:wAfter w:w="72" w:type="dxa"/>
        </w:trPr>
        <w:tc>
          <w:tcPr>
            <w:tcW w:w="993" w:type="dxa"/>
            <w:vMerge/>
            <w:vAlign w:val="center"/>
          </w:tcPr>
          <w:p w:rsidR="00695204" w:rsidRPr="00C24ACA" w:rsidRDefault="00695204" w:rsidP="007C6EA8">
            <w:pPr>
              <w:widowControl/>
              <w:jc w:val="left"/>
              <w:rPr>
                <w:rFonts w:eastAsiaTheme="minorEastAsia"/>
                <w:color w:val="000000"/>
                <w:szCs w:val="21"/>
              </w:rPr>
            </w:pPr>
          </w:p>
        </w:tc>
        <w:tc>
          <w:tcPr>
            <w:tcW w:w="2448" w:type="dxa"/>
            <w:vMerge/>
            <w:vAlign w:val="center"/>
          </w:tcPr>
          <w:p w:rsidR="00695204" w:rsidRPr="00C24ACA" w:rsidRDefault="00695204" w:rsidP="007C6EA8">
            <w:pPr>
              <w:widowControl/>
              <w:jc w:val="left"/>
              <w:rPr>
                <w:rFonts w:eastAsiaTheme="minorEastAsia"/>
                <w:color w:val="000000"/>
                <w:kern w:val="0"/>
                <w:szCs w:val="21"/>
              </w:rPr>
            </w:pPr>
          </w:p>
        </w:tc>
        <w:tc>
          <w:tcPr>
            <w:tcW w:w="2880" w:type="dxa"/>
          </w:tcPr>
          <w:p w:rsidR="00695204" w:rsidRPr="00C24ACA" w:rsidRDefault="00695204" w:rsidP="008134C7">
            <w:pPr>
              <w:spacing w:line="360" w:lineRule="auto"/>
              <w:ind w:firstLineChars="350" w:firstLine="735"/>
              <w:rPr>
                <w:rFonts w:eastAsiaTheme="minorEastAsia"/>
                <w:color w:val="000000"/>
                <w:szCs w:val="21"/>
              </w:rPr>
            </w:pPr>
            <w:r w:rsidRPr="00C24ACA">
              <w:rPr>
                <w:rFonts w:eastAsiaTheme="minorEastAsia"/>
                <w:color w:val="000000"/>
                <w:szCs w:val="21"/>
              </w:rPr>
              <w:t>本期末</w:t>
            </w:r>
          </w:p>
          <w:p w:rsidR="00695204" w:rsidRPr="00C24ACA" w:rsidRDefault="00695204" w:rsidP="007C6EA8">
            <w:pPr>
              <w:spacing w:line="360" w:lineRule="auto"/>
              <w:jc w:val="center"/>
              <w:rPr>
                <w:rFonts w:eastAsiaTheme="minorEastAsia"/>
                <w:bCs/>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2679" w:type="dxa"/>
          </w:tcPr>
          <w:p w:rsidR="00695204" w:rsidRPr="00C24ACA" w:rsidRDefault="00695204" w:rsidP="008134C7">
            <w:pPr>
              <w:spacing w:line="360" w:lineRule="auto"/>
              <w:ind w:firstLineChars="300" w:firstLine="630"/>
              <w:rPr>
                <w:rFonts w:eastAsiaTheme="minorEastAsia"/>
                <w:color w:val="000000"/>
                <w:szCs w:val="21"/>
              </w:rPr>
            </w:pPr>
            <w:r w:rsidRPr="00C24ACA">
              <w:rPr>
                <w:rFonts w:eastAsiaTheme="minorEastAsia"/>
                <w:color w:val="000000"/>
                <w:szCs w:val="21"/>
              </w:rPr>
              <w:t>上年度末</w:t>
            </w:r>
          </w:p>
          <w:p w:rsidR="00695204" w:rsidRPr="00C24ACA" w:rsidRDefault="00695204" w:rsidP="007C6EA8">
            <w:pPr>
              <w:spacing w:line="360" w:lineRule="auto"/>
              <w:jc w:val="center"/>
              <w:rPr>
                <w:rFonts w:eastAsiaTheme="minorEastAsia"/>
                <w:bCs/>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7F3F42">
        <w:trPr>
          <w:gridAfter w:val="1"/>
          <w:wAfter w:w="72" w:type="dxa"/>
        </w:trPr>
        <w:tc>
          <w:tcPr>
            <w:tcW w:w="993" w:type="dxa"/>
            <w:vMerge/>
          </w:tcPr>
          <w:p w:rsidR="007F3F42" w:rsidRDefault="007F3F42"/>
        </w:tc>
        <w:tc>
          <w:tcPr>
            <w:tcW w:w="2448" w:type="dxa"/>
            <w:vAlign w:val="center"/>
          </w:tcPr>
          <w:p w:rsidR="007F3F42" w:rsidRDefault="00781698">
            <w:r>
              <w:rPr>
                <w:rFonts w:eastAsiaTheme="minorEastAsia"/>
                <w:color w:val="000000"/>
                <w:szCs w:val="21"/>
              </w:rPr>
              <w:t>1.</w:t>
            </w:r>
            <w:r>
              <w:rPr>
                <w:rFonts w:eastAsiaTheme="minorEastAsia"/>
                <w:color w:val="000000"/>
                <w:szCs w:val="21"/>
              </w:rPr>
              <w:t>业绩比较基准上升</w:t>
            </w:r>
            <w:r>
              <w:rPr>
                <w:rFonts w:eastAsiaTheme="minorEastAsia"/>
                <w:color w:val="000000"/>
                <w:szCs w:val="21"/>
              </w:rPr>
              <w:t>5%</w:t>
            </w:r>
          </w:p>
        </w:tc>
        <w:tc>
          <w:tcPr>
            <w:tcW w:w="2880" w:type="dxa"/>
            <w:vAlign w:val="center"/>
          </w:tcPr>
          <w:p w:rsidR="007F3F42" w:rsidRDefault="00781698">
            <w:pPr>
              <w:jc w:val="right"/>
            </w:pPr>
            <w:r>
              <w:rPr>
                <w:rFonts w:eastAsiaTheme="minorEastAsia"/>
                <w:color w:val="000000"/>
                <w:szCs w:val="21"/>
              </w:rPr>
              <w:t>36,590,849.54</w:t>
            </w:r>
          </w:p>
        </w:tc>
        <w:tc>
          <w:tcPr>
            <w:tcW w:w="2679" w:type="dxa"/>
            <w:vAlign w:val="center"/>
          </w:tcPr>
          <w:p w:rsidR="007F3F42" w:rsidRDefault="00781698">
            <w:pPr>
              <w:jc w:val="right"/>
            </w:pPr>
            <w:r>
              <w:rPr>
                <w:rFonts w:eastAsiaTheme="minorEastAsia"/>
                <w:color w:val="000000"/>
                <w:szCs w:val="21"/>
              </w:rPr>
              <w:t>7,098,598.25</w:t>
            </w:r>
          </w:p>
        </w:tc>
      </w:tr>
      <w:tr w:rsidR="007F3F42">
        <w:trPr>
          <w:gridAfter w:val="1"/>
          <w:wAfter w:w="72" w:type="dxa"/>
        </w:trPr>
        <w:tc>
          <w:tcPr>
            <w:tcW w:w="993" w:type="dxa"/>
            <w:vMerge/>
          </w:tcPr>
          <w:p w:rsidR="007F3F42" w:rsidRDefault="007F3F42"/>
        </w:tc>
        <w:tc>
          <w:tcPr>
            <w:tcW w:w="2448" w:type="dxa"/>
            <w:vAlign w:val="center"/>
          </w:tcPr>
          <w:p w:rsidR="007F3F42" w:rsidRDefault="00781698">
            <w:r>
              <w:rPr>
                <w:rFonts w:eastAsiaTheme="minorEastAsia"/>
                <w:color w:val="000000"/>
                <w:szCs w:val="21"/>
              </w:rPr>
              <w:t>2.</w:t>
            </w:r>
            <w:r>
              <w:rPr>
                <w:rFonts w:eastAsiaTheme="minorEastAsia"/>
                <w:color w:val="000000"/>
                <w:szCs w:val="21"/>
              </w:rPr>
              <w:t>业绩比较基准下降</w:t>
            </w:r>
            <w:r>
              <w:rPr>
                <w:rFonts w:eastAsiaTheme="minorEastAsia"/>
                <w:color w:val="000000"/>
                <w:szCs w:val="21"/>
              </w:rPr>
              <w:t>5%</w:t>
            </w:r>
          </w:p>
        </w:tc>
        <w:tc>
          <w:tcPr>
            <w:tcW w:w="2880" w:type="dxa"/>
            <w:vAlign w:val="center"/>
          </w:tcPr>
          <w:p w:rsidR="007F3F42" w:rsidRDefault="00781698">
            <w:pPr>
              <w:jc w:val="right"/>
            </w:pPr>
            <w:r>
              <w:rPr>
                <w:rFonts w:eastAsiaTheme="minorEastAsia"/>
                <w:color w:val="000000"/>
                <w:szCs w:val="21"/>
              </w:rPr>
              <w:t>-36,590,849.54</w:t>
            </w:r>
          </w:p>
        </w:tc>
        <w:tc>
          <w:tcPr>
            <w:tcW w:w="2679" w:type="dxa"/>
            <w:vAlign w:val="center"/>
          </w:tcPr>
          <w:p w:rsidR="007F3F42" w:rsidRDefault="00781698">
            <w:pPr>
              <w:jc w:val="right"/>
            </w:pPr>
            <w:r>
              <w:rPr>
                <w:rFonts w:eastAsiaTheme="minorEastAsia"/>
                <w:color w:val="000000"/>
                <w:szCs w:val="21"/>
              </w:rPr>
              <w:t>-7,098,598.25</w:t>
            </w:r>
          </w:p>
        </w:tc>
      </w:tr>
    </w:tbl>
    <w:p w:rsidR="008A5A5D" w:rsidRPr="00C24ACA" w:rsidRDefault="008A5A5D" w:rsidP="006C64F3">
      <w:pPr>
        <w:adjustRightInd w:val="0"/>
        <w:snapToGrid w:val="0"/>
        <w:spacing w:beforeLines="100" w:before="312" w:line="360" w:lineRule="auto"/>
        <w:rPr>
          <w:rFonts w:eastAsiaTheme="minorEastAsia"/>
          <w:b/>
          <w:color w:val="000000"/>
          <w:szCs w:val="21"/>
        </w:rPr>
      </w:pPr>
      <w:r w:rsidRPr="00C24ACA">
        <w:rPr>
          <w:rFonts w:eastAsiaTheme="minorEastAsia"/>
          <w:b/>
          <w:bCs/>
          <w:color w:val="000000"/>
          <w:kern w:val="0"/>
          <w:szCs w:val="21"/>
        </w:rPr>
        <w:t>6.4.14</w:t>
      </w:r>
      <w:r w:rsidRPr="00C24ACA">
        <w:rPr>
          <w:rFonts w:eastAsiaTheme="minorEastAsia"/>
          <w:b/>
          <w:color w:val="000000"/>
          <w:szCs w:val="21"/>
        </w:rPr>
        <w:t>有助于理解和分析会计报表需要说明的其他事项</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(1)</w:t>
      </w:r>
      <w:r>
        <w:rPr>
          <w:rFonts w:eastAsiaTheme="minorEastAsia"/>
          <w:kern w:val="0"/>
          <w:szCs w:val="21"/>
        </w:rPr>
        <w:t>公允价值</w:t>
      </w:r>
      <w:r>
        <w:rPr>
          <w:rFonts w:eastAsiaTheme="minorEastAsia"/>
          <w:kern w:val="0"/>
          <w:szCs w:val="21"/>
        </w:rPr>
        <w:t xml:space="preserve"> </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(a)</w:t>
      </w:r>
      <w:r>
        <w:rPr>
          <w:rFonts w:eastAsiaTheme="minorEastAsia"/>
          <w:kern w:val="0"/>
          <w:szCs w:val="21"/>
        </w:rPr>
        <w:t>金融工具公允价值计量的方法</w:t>
      </w:r>
      <w:r>
        <w:rPr>
          <w:rFonts w:eastAsiaTheme="minorEastAsia"/>
          <w:kern w:val="0"/>
          <w:szCs w:val="21"/>
        </w:rPr>
        <w:t xml:space="preserve"> </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公允价值计量结果所属的层次，由对公允价值计量整体而言具有重要意义的输入值所属的最低层次决定：</w:t>
      </w:r>
      <w:r>
        <w:rPr>
          <w:rFonts w:eastAsiaTheme="minorEastAsia"/>
          <w:kern w:val="0"/>
          <w:szCs w:val="21"/>
        </w:rPr>
        <w:t xml:space="preserve"> </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第一层次：相同资产或负债在活跃市场上未经调整的报价。</w:t>
      </w:r>
      <w:r>
        <w:rPr>
          <w:rFonts w:eastAsiaTheme="minorEastAsia"/>
          <w:kern w:val="0"/>
          <w:szCs w:val="21"/>
        </w:rPr>
        <w:t xml:space="preserve"> </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第二层次：除第一层次输入值外相关资产或负债直接或间接可观察的输入值。</w:t>
      </w:r>
      <w:r>
        <w:rPr>
          <w:rFonts w:eastAsiaTheme="minorEastAsia"/>
          <w:kern w:val="0"/>
          <w:szCs w:val="21"/>
        </w:rPr>
        <w:t xml:space="preserve"> </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第三层次：相关资产或负债的不可观察输入值。</w:t>
      </w:r>
      <w:r>
        <w:rPr>
          <w:rFonts w:eastAsiaTheme="minorEastAsia"/>
          <w:kern w:val="0"/>
          <w:szCs w:val="21"/>
        </w:rPr>
        <w:t xml:space="preserve"> </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(b)</w:t>
      </w:r>
      <w:r>
        <w:rPr>
          <w:rFonts w:eastAsiaTheme="minorEastAsia"/>
          <w:kern w:val="0"/>
          <w:szCs w:val="21"/>
        </w:rPr>
        <w:t>持续的以公允价值计量的金融工具</w:t>
      </w:r>
      <w:r>
        <w:rPr>
          <w:rFonts w:eastAsiaTheme="minorEastAsia"/>
          <w:kern w:val="0"/>
          <w:szCs w:val="21"/>
        </w:rPr>
        <w:t xml:space="preserve"> </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(i)</w:t>
      </w:r>
      <w:r>
        <w:rPr>
          <w:rFonts w:eastAsiaTheme="minorEastAsia"/>
          <w:kern w:val="0"/>
          <w:szCs w:val="21"/>
        </w:rPr>
        <w:t>各层次金融工具公允价值</w:t>
      </w:r>
      <w:r>
        <w:rPr>
          <w:rFonts w:eastAsiaTheme="minorEastAsia"/>
          <w:kern w:val="0"/>
          <w:szCs w:val="21"/>
        </w:rPr>
        <w:t xml:space="preserve"> </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30</w:t>
      </w:r>
      <w:r>
        <w:rPr>
          <w:rFonts w:eastAsiaTheme="minorEastAsia"/>
          <w:kern w:val="0"/>
          <w:szCs w:val="21"/>
        </w:rPr>
        <w:t>日，本基金持有的以公允价值计量且其变动计入当期损益的金融资产中属于第一层次的余额为</w:t>
      </w:r>
      <w:r>
        <w:rPr>
          <w:rFonts w:eastAsiaTheme="minorEastAsia"/>
          <w:kern w:val="0"/>
          <w:szCs w:val="21"/>
        </w:rPr>
        <w:t>731,816,990.74</w:t>
      </w:r>
      <w:r>
        <w:rPr>
          <w:rFonts w:eastAsiaTheme="minorEastAsia"/>
          <w:kern w:val="0"/>
          <w:szCs w:val="21"/>
        </w:rPr>
        <w:t>元，无属于第二层次的余额，无属于第三层次的余额</w:t>
      </w:r>
      <w:r>
        <w:rPr>
          <w:rFonts w:eastAsiaTheme="minorEastAsia"/>
          <w:kern w:val="0"/>
          <w:szCs w:val="21"/>
        </w:rPr>
        <w:t>(2019</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日：第一层次</w:t>
      </w:r>
      <w:r>
        <w:rPr>
          <w:rFonts w:eastAsiaTheme="minorEastAsia"/>
          <w:kern w:val="0"/>
          <w:szCs w:val="21"/>
        </w:rPr>
        <w:t>141,971,964.92</w:t>
      </w:r>
      <w:r>
        <w:rPr>
          <w:rFonts w:eastAsiaTheme="minorEastAsia"/>
          <w:kern w:val="0"/>
          <w:szCs w:val="21"/>
        </w:rPr>
        <w:t>元，无属于第二层次的余额，无属于第三层次的余额</w:t>
      </w:r>
      <w:r>
        <w:rPr>
          <w:rFonts w:eastAsiaTheme="minorEastAsia"/>
          <w:kern w:val="0"/>
          <w:szCs w:val="21"/>
        </w:rPr>
        <w:t xml:space="preserve">) </w:t>
      </w:r>
      <w:r>
        <w:rPr>
          <w:rFonts w:eastAsiaTheme="minorEastAsia"/>
          <w:kern w:val="0"/>
          <w:szCs w:val="21"/>
        </w:rPr>
        <w:t>。</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(ii)</w:t>
      </w:r>
      <w:r>
        <w:rPr>
          <w:rFonts w:eastAsiaTheme="minorEastAsia"/>
          <w:kern w:val="0"/>
          <w:szCs w:val="21"/>
        </w:rPr>
        <w:t>公允价值所属层次间的重大变动</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对于证券交易所上市的股票，若出现重大事项停牌、交易不活跃</w:t>
      </w:r>
      <w:r>
        <w:rPr>
          <w:rFonts w:eastAsiaTheme="minorEastAsia"/>
          <w:kern w:val="0"/>
          <w:szCs w:val="21"/>
        </w:rPr>
        <w:t>(</w:t>
      </w:r>
      <w:r>
        <w:rPr>
          <w:rFonts w:eastAsiaTheme="minorEastAsia"/>
          <w:kern w:val="0"/>
          <w:szCs w:val="21"/>
        </w:rPr>
        <w:t>包括涨跌停时的交易不活跃</w:t>
      </w:r>
      <w:r>
        <w:rPr>
          <w:rFonts w:eastAsiaTheme="minorEastAsia"/>
          <w:kern w:val="0"/>
          <w:szCs w:val="21"/>
        </w:rPr>
        <w:t>)</w:t>
      </w:r>
      <w:r>
        <w:rPr>
          <w:rFonts w:eastAsiaTheme="minorEastAsia"/>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对于目标</w:t>
      </w:r>
      <w:r>
        <w:rPr>
          <w:rFonts w:eastAsiaTheme="minorEastAsia"/>
          <w:kern w:val="0"/>
          <w:szCs w:val="21"/>
        </w:rPr>
        <w:t>ETF</w:t>
      </w:r>
      <w:r>
        <w:rPr>
          <w:rFonts w:eastAsiaTheme="minorEastAsia"/>
          <w:kern w:val="0"/>
          <w:szCs w:val="21"/>
        </w:rPr>
        <w:t>，若本基金因上述事项在目标</w:t>
      </w:r>
      <w:r>
        <w:rPr>
          <w:rFonts w:eastAsiaTheme="minorEastAsia"/>
          <w:kern w:val="0"/>
          <w:szCs w:val="21"/>
        </w:rPr>
        <w:t>ETF</w:t>
      </w:r>
      <w:r>
        <w:rPr>
          <w:rFonts w:eastAsiaTheme="minorEastAsia"/>
          <w:kern w:val="0"/>
          <w:szCs w:val="21"/>
        </w:rPr>
        <w:t>当日份额净值的基础上，对目标</w:t>
      </w:r>
      <w:r>
        <w:rPr>
          <w:rFonts w:eastAsiaTheme="minorEastAsia"/>
          <w:kern w:val="0"/>
          <w:szCs w:val="21"/>
        </w:rPr>
        <w:t>ETF</w:t>
      </w:r>
      <w:r>
        <w:rPr>
          <w:rFonts w:eastAsiaTheme="minorEastAsia"/>
          <w:kern w:val="0"/>
          <w:szCs w:val="21"/>
        </w:rPr>
        <w:t>的公允价值进行调整，则本基金在调整期间内将目标</w:t>
      </w:r>
      <w:r>
        <w:rPr>
          <w:rFonts w:eastAsiaTheme="minorEastAsia"/>
          <w:kern w:val="0"/>
          <w:szCs w:val="21"/>
        </w:rPr>
        <w:t>ETF</w:t>
      </w:r>
      <w:r>
        <w:rPr>
          <w:rFonts w:eastAsiaTheme="minorEastAsia"/>
          <w:kern w:val="0"/>
          <w:szCs w:val="21"/>
        </w:rPr>
        <w:t>的公允价值从第一层次转出。</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 xml:space="preserve"> (iii)</w:t>
      </w:r>
      <w:r>
        <w:rPr>
          <w:rFonts w:eastAsiaTheme="minorEastAsia"/>
          <w:kern w:val="0"/>
          <w:szCs w:val="21"/>
        </w:rPr>
        <w:t>第三层次公允价值余额和本期变动金额</w:t>
      </w:r>
      <w:r>
        <w:rPr>
          <w:rFonts w:eastAsiaTheme="minorEastAsia"/>
          <w:kern w:val="0"/>
          <w:szCs w:val="21"/>
        </w:rPr>
        <w:t xml:space="preserve"> </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无。</w:t>
      </w:r>
      <w:r>
        <w:rPr>
          <w:rFonts w:eastAsiaTheme="minorEastAsia"/>
          <w:kern w:val="0"/>
          <w:szCs w:val="21"/>
        </w:rPr>
        <w:t xml:space="preserve"> </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(c)</w:t>
      </w:r>
      <w:r>
        <w:rPr>
          <w:rFonts w:eastAsiaTheme="minorEastAsia"/>
          <w:kern w:val="0"/>
          <w:szCs w:val="21"/>
        </w:rPr>
        <w:t>非持续的以公允价值计量的金融工具</w:t>
      </w:r>
      <w:r>
        <w:rPr>
          <w:rFonts w:eastAsiaTheme="minorEastAsia"/>
          <w:kern w:val="0"/>
          <w:szCs w:val="21"/>
        </w:rPr>
        <w:t xml:space="preserve"> </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30</w:t>
      </w:r>
      <w:r>
        <w:rPr>
          <w:rFonts w:eastAsiaTheme="minorEastAsia"/>
          <w:kern w:val="0"/>
          <w:szCs w:val="21"/>
        </w:rPr>
        <w:t>日，本基金未持有非持续的以公允价值计量的金融资产</w:t>
      </w:r>
      <w:r>
        <w:rPr>
          <w:rFonts w:eastAsiaTheme="minorEastAsia"/>
          <w:kern w:val="0"/>
          <w:szCs w:val="21"/>
        </w:rPr>
        <w:t>(2019</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日：同</w:t>
      </w:r>
      <w:r>
        <w:rPr>
          <w:rFonts w:eastAsiaTheme="minorEastAsia"/>
          <w:kern w:val="0"/>
          <w:szCs w:val="21"/>
        </w:rPr>
        <w:t xml:space="preserve">) </w:t>
      </w:r>
      <w:r>
        <w:rPr>
          <w:rFonts w:eastAsiaTheme="minorEastAsia"/>
          <w:kern w:val="0"/>
          <w:szCs w:val="21"/>
        </w:rPr>
        <w:t>。</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(d)</w:t>
      </w:r>
      <w:r>
        <w:rPr>
          <w:rFonts w:eastAsiaTheme="minorEastAsia"/>
          <w:kern w:val="0"/>
          <w:szCs w:val="21"/>
        </w:rPr>
        <w:t>不以公允价值计量的金融工具</w:t>
      </w:r>
      <w:r>
        <w:rPr>
          <w:rFonts w:eastAsiaTheme="minorEastAsia"/>
          <w:kern w:val="0"/>
          <w:szCs w:val="21"/>
        </w:rPr>
        <w:t xml:space="preserve"> </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不以公允价值计量的金融资产和负债主要包括应收款项和其他金融负债，其账面价值与公允价值相差很小。</w:t>
      </w:r>
      <w:r>
        <w:rPr>
          <w:rFonts w:eastAsiaTheme="minorEastAsia"/>
          <w:kern w:val="0"/>
          <w:szCs w:val="21"/>
        </w:rPr>
        <w:t xml:space="preserve"> </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 xml:space="preserve"> (2)</w:t>
      </w:r>
      <w:r w:rsidRPr="00C24ACA">
        <w:rPr>
          <w:rFonts w:eastAsiaTheme="minorEastAsia"/>
          <w:kern w:val="0"/>
          <w:szCs w:val="21"/>
        </w:rPr>
        <w:t>除公允价值外，截至资产负债表日本基金无需要说明的其他重要事项。</w:t>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96" w:name="_Toc225498272"/>
      <w:bookmarkStart w:id="197" w:name="_Toc352255995"/>
      <w:bookmarkStart w:id="198" w:name="_Toc352256063"/>
      <w:bookmarkStart w:id="199" w:name="_Toc352331241"/>
      <w:bookmarkStart w:id="200" w:name="_Toc390164820"/>
      <w:bookmarkStart w:id="201" w:name="_Toc48659052"/>
      <w:r w:rsidRPr="000C6CCD">
        <w:rPr>
          <w:rFonts w:ascii="宋体" w:hAnsi="宋体"/>
          <w:bCs w:val="0"/>
          <w:color w:val="000000"/>
          <w:sz w:val="21"/>
          <w:szCs w:val="21"/>
        </w:rPr>
        <w:t>7</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投资组合报告</w:t>
      </w:r>
      <w:bookmarkEnd w:id="196"/>
      <w:bookmarkEnd w:id="197"/>
      <w:bookmarkEnd w:id="198"/>
      <w:bookmarkEnd w:id="199"/>
      <w:bookmarkEnd w:id="200"/>
      <w:bookmarkEnd w:id="201"/>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02" w:name="_Toc225498273"/>
      <w:bookmarkStart w:id="203" w:name="_Toc352255996"/>
      <w:bookmarkStart w:id="204" w:name="_Toc352256064"/>
      <w:bookmarkStart w:id="205" w:name="_Toc352331242"/>
      <w:bookmarkStart w:id="206" w:name="_Toc390164821"/>
      <w:bookmarkStart w:id="207" w:name="_Toc48659053"/>
      <w:r w:rsidRPr="0087359D">
        <w:rPr>
          <w:rFonts w:ascii="宋体" w:hAnsi="宋体"/>
          <w:kern w:val="0"/>
          <w:sz w:val="21"/>
          <w:szCs w:val="21"/>
        </w:rPr>
        <w:t>7.1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期末基金资产组合情况</w:t>
      </w:r>
      <w:bookmarkEnd w:id="202"/>
      <w:bookmarkEnd w:id="203"/>
      <w:bookmarkEnd w:id="204"/>
      <w:bookmarkEnd w:id="205"/>
      <w:bookmarkEnd w:id="206"/>
      <w:bookmarkEnd w:id="207"/>
    </w:p>
    <w:p w:rsidR="008A5A5D" w:rsidRPr="00C24ACA" w:rsidRDefault="008A5A5D" w:rsidP="002116B9">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szCs w:val="21"/>
        </w:rPr>
        <w:t>金额单位：人民币元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420"/>
        <w:gridCol w:w="2520"/>
        <w:gridCol w:w="2052"/>
      </w:tblGrid>
      <w:tr w:rsidR="008A5A5D" w:rsidRPr="00C24ACA" w:rsidTr="00206018">
        <w:trPr>
          <w:jc w:val="center"/>
        </w:trPr>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序号</w:t>
            </w:r>
          </w:p>
        </w:tc>
        <w:tc>
          <w:tcPr>
            <w:tcW w:w="342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项目</w:t>
            </w:r>
          </w:p>
        </w:tc>
        <w:tc>
          <w:tcPr>
            <w:tcW w:w="252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金额</w:t>
            </w:r>
          </w:p>
        </w:tc>
        <w:tc>
          <w:tcPr>
            <w:tcW w:w="2052"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占基金总资产的比例（</w:t>
            </w:r>
            <w:r w:rsidRPr="00C24ACA">
              <w:rPr>
                <w:rFonts w:eastAsiaTheme="minorEastAsia"/>
                <w:color w:val="000000"/>
                <w:szCs w:val="21"/>
              </w:rPr>
              <w:t>%</w:t>
            </w:r>
            <w:r w:rsidRPr="00C24ACA">
              <w:rPr>
                <w:rFonts w:eastAsiaTheme="minorEastAsia"/>
                <w:color w:val="000000"/>
                <w:szCs w:val="21"/>
              </w:rPr>
              <w:t>）</w:t>
            </w:r>
          </w:p>
        </w:tc>
      </w:tr>
      <w:tr w:rsidR="008A5A5D" w:rsidRPr="00C24ACA" w:rsidTr="00206018">
        <w:trPr>
          <w:jc w:val="center"/>
        </w:trPr>
        <w:tc>
          <w:tcPr>
            <w:tcW w:w="1080" w:type="dxa"/>
            <w:vAlign w:val="center"/>
          </w:tcPr>
          <w:p w:rsidR="008A5A5D" w:rsidRPr="00C24ACA" w:rsidRDefault="008A5A5D" w:rsidP="00930E47">
            <w:pPr>
              <w:jc w:val="center"/>
              <w:rPr>
                <w:rFonts w:eastAsiaTheme="minorEastAsia"/>
                <w:color w:val="000000"/>
                <w:szCs w:val="21"/>
              </w:rPr>
            </w:pPr>
            <w:r w:rsidRPr="00C24ACA">
              <w:rPr>
                <w:rFonts w:eastAsiaTheme="minorEastAsia"/>
                <w:szCs w:val="21"/>
              </w:rPr>
              <w:t>1</w:t>
            </w:r>
          </w:p>
        </w:tc>
        <w:tc>
          <w:tcPr>
            <w:tcW w:w="3420" w:type="dxa"/>
            <w:vAlign w:val="center"/>
          </w:tcPr>
          <w:p w:rsidR="008A5A5D" w:rsidRPr="00C24ACA" w:rsidRDefault="008A5A5D" w:rsidP="00C87473">
            <w:pPr>
              <w:ind w:leftChars="50" w:left="105"/>
              <w:rPr>
                <w:rFonts w:eastAsiaTheme="minorEastAsia"/>
                <w:color w:val="000000"/>
                <w:szCs w:val="21"/>
              </w:rPr>
            </w:pPr>
            <w:r w:rsidRPr="00C24ACA">
              <w:rPr>
                <w:rFonts w:eastAsiaTheme="minorEastAsia"/>
                <w:szCs w:val="21"/>
              </w:rPr>
              <w:t>权益投资</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r>
      <w:tr w:rsidR="008A5A5D" w:rsidRPr="00C24ACA" w:rsidTr="00206018">
        <w:trPr>
          <w:jc w:val="center"/>
        </w:trPr>
        <w:tc>
          <w:tcPr>
            <w:tcW w:w="1080" w:type="dxa"/>
            <w:vAlign w:val="center"/>
          </w:tcPr>
          <w:p w:rsidR="008A5A5D" w:rsidRPr="00C24ACA" w:rsidRDefault="008A5A5D" w:rsidP="00930E47">
            <w:pPr>
              <w:jc w:val="center"/>
              <w:rPr>
                <w:rFonts w:eastAsiaTheme="minorEastAsia"/>
                <w:color w:val="000000"/>
                <w:szCs w:val="21"/>
              </w:rPr>
            </w:pPr>
          </w:p>
        </w:tc>
        <w:tc>
          <w:tcPr>
            <w:tcW w:w="3420" w:type="dxa"/>
            <w:vAlign w:val="center"/>
          </w:tcPr>
          <w:p w:rsidR="008A5A5D" w:rsidRPr="00C24ACA" w:rsidRDefault="008A5A5D" w:rsidP="00C87473">
            <w:pPr>
              <w:ind w:leftChars="50" w:left="105"/>
              <w:rPr>
                <w:rFonts w:eastAsiaTheme="minorEastAsia"/>
                <w:color w:val="000000"/>
                <w:szCs w:val="21"/>
              </w:rPr>
            </w:pPr>
            <w:r w:rsidRPr="00C24ACA">
              <w:rPr>
                <w:rFonts w:eastAsiaTheme="minorEastAsia"/>
                <w:szCs w:val="21"/>
              </w:rPr>
              <w:t>其中：普通股</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r>
      <w:tr w:rsidR="008A5A5D" w:rsidRPr="00C24ACA" w:rsidTr="00206018">
        <w:trPr>
          <w:jc w:val="center"/>
        </w:trPr>
        <w:tc>
          <w:tcPr>
            <w:tcW w:w="1080" w:type="dxa"/>
            <w:vAlign w:val="center"/>
          </w:tcPr>
          <w:p w:rsidR="008A5A5D" w:rsidRPr="00C24ACA" w:rsidRDefault="008A5A5D" w:rsidP="00930E47">
            <w:pPr>
              <w:jc w:val="center"/>
              <w:rPr>
                <w:rFonts w:eastAsiaTheme="minorEastAsia"/>
                <w:color w:val="000000"/>
                <w:szCs w:val="21"/>
              </w:rPr>
            </w:pPr>
          </w:p>
        </w:tc>
        <w:tc>
          <w:tcPr>
            <w:tcW w:w="3420" w:type="dxa"/>
            <w:vAlign w:val="center"/>
          </w:tcPr>
          <w:p w:rsidR="008A5A5D" w:rsidRPr="00C24ACA" w:rsidRDefault="008A5A5D" w:rsidP="008134C7">
            <w:pPr>
              <w:ind w:firstLineChars="350" w:firstLine="735"/>
              <w:rPr>
                <w:rFonts w:eastAsiaTheme="minorEastAsia"/>
                <w:color w:val="000000"/>
                <w:szCs w:val="21"/>
              </w:rPr>
            </w:pPr>
            <w:r w:rsidRPr="00C24ACA">
              <w:rPr>
                <w:rFonts w:eastAsiaTheme="minorEastAsia"/>
                <w:szCs w:val="21"/>
              </w:rPr>
              <w:t>存托凭证</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spacing w:before="29" w:line="360" w:lineRule="auto"/>
              <w:ind w:firstLineChars="350" w:firstLine="735"/>
              <w:rPr>
                <w:rFonts w:eastAsiaTheme="minorEastAsia"/>
                <w:color w:val="000000"/>
                <w:szCs w:val="21"/>
              </w:rPr>
            </w:pPr>
            <w:r w:rsidRPr="00C24ACA">
              <w:rPr>
                <w:rFonts w:eastAsiaTheme="minorEastAsia"/>
                <w:color w:val="000000"/>
                <w:szCs w:val="21"/>
              </w:rPr>
              <w:t>优先股</w:t>
            </w:r>
          </w:p>
        </w:tc>
        <w:tc>
          <w:tcPr>
            <w:tcW w:w="2520"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c>
          <w:tcPr>
            <w:tcW w:w="2052"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spacing w:before="29" w:line="360" w:lineRule="auto"/>
              <w:ind w:firstLineChars="350" w:firstLine="735"/>
              <w:rPr>
                <w:rFonts w:eastAsiaTheme="minorEastAsia"/>
                <w:color w:val="000000"/>
                <w:szCs w:val="21"/>
              </w:rPr>
            </w:pPr>
            <w:r w:rsidRPr="00C24ACA">
              <w:rPr>
                <w:rFonts w:eastAsiaTheme="minorEastAsia"/>
                <w:color w:val="000000"/>
                <w:szCs w:val="21"/>
              </w:rPr>
              <w:t>房地产信托</w:t>
            </w:r>
            <w:r w:rsidR="007969C0" w:rsidRPr="00C24ACA">
              <w:rPr>
                <w:rFonts w:eastAsiaTheme="minorEastAsia"/>
                <w:color w:val="000000"/>
                <w:szCs w:val="21"/>
              </w:rPr>
              <w:t>凭证</w:t>
            </w:r>
          </w:p>
        </w:tc>
        <w:tc>
          <w:tcPr>
            <w:tcW w:w="2520"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c>
          <w:tcPr>
            <w:tcW w:w="2052"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2</w:t>
            </w:r>
          </w:p>
        </w:tc>
        <w:tc>
          <w:tcPr>
            <w:tcW w:w="3420" w:type="dxa"/>
            <w:vAlign w:val="center"/>
          </w:tcPr>
          <w:p w:rsidR="00380273" w:rsidRPr="00C24ACA" w:rsidRDefault="00380273" w:rsidP="00C87473">
            <w:pPr>
              <w:ind w:leftChars="49" w:left="103"/>
              <w:rPr>
                <w:rFonts w:eastAsiaTheme="minorEastAsia"/>
                <w:color w:val="000000"/>
                <w:szCs w:val="21"/>
              </w:rPr>
            </w:pPr>
            <w:r w:rsidRPr="00C24ACA">
              <w:rPr>
                <w:rFonts w:eastAsiaTheme="minorEastAsia"/>
                <w:szCs w:val="21"/>
              </w:rPr>
              <w:t>基金投资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731,816,990.74</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92.20</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3</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固定收益投资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其中：债券</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ind w:leftChars="50" w:left="105" w:firstLineChars="300" w:firstLine="630"/>
              <w:rPr>
                <w:rFonts w:eastAsiaTheme="minorEastAsia"/>
                <w:color w:val="000000"/>
                <w:szCs w:val="21"/>
              </w:rPr>
            </w:pPr>
            <w:r w:rsidRPr="00C24ACA">
              <w:rPr>
                <w:rFonts w:eastAsiaTheme="minorEastAsia"/>
                <w:szCs w:val="21"/>
              </w:rPr>
              <w:t>资产支持证券</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4</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金融衍生品投资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其中：远期</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期货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期权</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权证</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5</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买入返售金融资产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其中：买断式回购的买入返售金融资产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6</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货币市场工具</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7</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银行存款和结算备付金合计</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51,499,961.00</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6.49</w:t>
            </w:r>
          </w:p>
        </w:tc>
      </w:tr>
      <w:tr w:rsidR="00380273" w:rsidRPr="00C24ACA" w:rsidTr="00206018">
        <w:trPr>
          <w:jc w:val="center"/>
        </w:trPr>
        <w:tc>
          <w:tcPr>
            <w:tcW w:w="1080" w:type="dxa"/>
            <w:vAlign w:val="center"/>
          </w:tcPr>
          <w:p w:rsidR="00380273" w:rsidRPr="00C24ACA" w:rsidRDefault="00380273" w:rsidP="004A4847">
            <w:pPr>
              <w:spacing w:before="29" w:line="360" w:lineRule="auto"/>
              <w:ind w:left="17"/>
              <w:jc w:val="center"/>
              <w:rPr>
                <w:rFonts w:eastAsiaTheme="minorEastAsia"/>
                <w:color w:val="000000"/>
                <w:szCs w:val="21"/>
              </w:rPr>
            </w:pPr>
            <w:r w:rsidRPr="00C24ACA">
              <w:rPr>
                <w:rFonts w:eastAsiaTheme="minorEastAsia"/>
                <w:color w:val="000000"/>
                <w:szCs w:val="21"/>
              </w:rPr>
              <w:t>8</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其他各项资产</w:t>
            </w:r>
          </w:p>
        </w:tc>
        <w:tc>
          <w:tcPr>
            <w:tcW w:w="2520" w:type="dxa"/>
            <w:vAlign w:val="center"/>
          </w:tcPr>
          <w:p w:rsidR="00380273" w:rsidRPr="00C24ACA" w:rsidRDefault="00380273" w:rsidP="004A4847">
            <w:pPr>
              <w:jc w:val="right"/>
              <w:rPr>
                <w:rFonts w:eastAsiaTheme="minorEastAsia"/>
                <w:szCs w:val="21"/>
              </w:rPr>
            </w:pPr>
            <w:r w:rsidRPr="00C24ACA">
              <w:rPr>
                <w:rFonts w:eastAsiaTheme="minorEastAsia"/>
                <w:szCs w:val="21"/>
              </w:rPr>
              <w:t>10,444,051.77</w:t>
            </w:r>
          </w:p>
        </w:tc>
        <w:tc>
          <w:tcPr>
            <w:tcW w:w="2052" w:type="dxa"/>
            <w:vAlign w:val="center"/>
          </w:tcPr>
          <w:p w:rsidR="00380273" w:rsidRPr="00C24ACA" w:rsidRDefault="00380273" w:rsidP="004A4847">
            <w:pPr>
              <w:jc w:val="right"/>
              <w:rPr>
                <w:rFonts w:eastAsiaTheme="minorEastAsia"/>
                <w:szCs w:val="21"/>
              </w:rPr>
            </w:pPr>
            <w:r w:rsidRPr="00C24ACA">
              <w:rPr>
                <w:rFonts w:eastAsiaTheme="minorEastAsia"/>
                <w:szCs w:val="21"/>
              </w:rPr>
              <w:t>1.32</w:t>
            </w:r>
          </w:p>
        </w:tc>
      </w:tr>
      <w:tr w:rsidR="00380273" w:rsidRPr="00C24ACA" w:rsidTr="00206018">
        <w:trPr>
          <w:jc w:val="center"/>
        </w:trPr>
        <w:tc>
          <w:tcPr>
            <w:tcW w:w="1080" w:type="dxa"/>
            <w:vAlign w:val="center"/>
          </w:tcPr>
          <w:p w:rsidR="00380273" w:rsidRPr="00C24ACA" w:rsidRDefault="00380273" w:rsidP="004A4847">
            <w:pPr>
              <w:spacing w:before="29" w:line="360" w:lineRule="auto"/>
              <w:ind w:left="17"/>
              <w:jc w:val="center"/>
              <w:rPr>
                <w:rFonts w:eastAsiaTheme="minorEastAsia"/>
                <w:color w:val="000000"/>
                <w:szCs w:val="21"/>
              </w:rPr>
            </w:pPr>
            <w:r w:rsidRPr="00C24ACA">
              <w:rPr>
                <w:rFonts w:eastAsiaTheme="minorEastAsia"/>
                <w:color w:val="000000"/>
                <w:szCs w:val="21"/>
              </w:rPr>
              <w:t>9</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合计</w:t>
            </w:r>
          </w:p>
        </w:tc>
        <w:tc>
          <w:tcPr>
            <w:tcW w:w="2520" w:type="dxa"/>
            <w:vAlign w:val="center"/>
          </w:tcPr>
          <w:p w:rsidR="00380273" w:rsidRPr="00C24ACA" w:rsidRDefault="00380273" w:rsidP="004A4847">
            <w:pPr>
              <w:jc w:val="right"/>
              <w:rPr>
                <w:rFonts w:eastAsiaTheme="minorEastAsia"/>
                <w:szCs w:val="21"/>
              </w:rPr>
            </w:pPr>
            <w:r w:rsidRPr="00C24ACA">
              <w:rPr>
                <w:rFonts w:eastAsiaTheme="minorEastAsia"/>
                <w:szCs w:val="21"/>
              </w:rPr>
              <w:t>793,761,003.51</w:t>
            </w:r>
          </w:p>
        </w:tc>
        <w:tc>
          <w:tcPr>
            <w:tcW w:w="2052" w:type="dxa"/>
            <w:vAlign w:val="center"/>
          </w:tcPr>
          <w:p w:rsidR="00380273" w:rsidRPr="00C24ACA" w:rsidRDefault="00380273" w:rsidP="004A4847">
            <w:pPr>
              <w:jc w:val="right"/>
              <w:rPr>
                <w:rFonts w:eastAsiaTheme="minorEastAsia"/>
                <w:szCs w:val="21"/>
              </w:rPr>
            </w:pPr>
            <w:r w:rsidRPr="00C24ACA">
              <w:rPr>
                <w:rFonts w:eastAsiaTheme="minorEastAsia"/>
                <w:szCs w:val="21"/>
              </w:rPr>
              <w:t>100.00</w:t>
            </w:r>
          </w:p>
        </w:tc>
      </w:tr>
    </w:tbl>
    <w:p w:rsidR="00771F95" w:rsidRPr="00A317EA" w:rsidRDefault="00771F95" w:rsidP="006C64F3">
      <w:pPr>
        <w:pStyle w:val="20"/>
        <w:spacing w:beforeLines="100" w:before="312" w:after="0"/>
        <w:rPr>
          <w:rFonts w:ascii="Times New Roman" w:eastAsiaTheme="minorEastAsia" w:hAnsi="Times New Roman"/>
          <w:kern w:val="0"/>
          <w:sz w:val="21"/>
          <w:szCs w:val="21"/>
        </w:rPr>
      </w:pPr>
      <w:bookmarkStart w:id="208" w:name="_Toc48659054"/>
      <w:r w:rsidRPr="0087359D">
        <w:rPr>
          <w:rFonts w:ascii="宋体" w:hAnsi="宋体"/>
          <w:kern w:val="0"/>
          <w:sz w:val="21"/>
          <w:szCs w:val="21"/>
        </w:rPr>
        <w:t>7.2</w:t>
      </w:r>
      <w:bookmarkStart w:id="209" w:name="_Toc351577071"/>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期末投资目标基金明细</w:t>
      </w:r>
      <w:bookmarkEnd w:id="209"/>
      <w:bookmarkEnd w:id="208"/>
    </w:p>
    <w:p w:rsidR="007A2F14" w:rsidRPr="00F83CFF" w:rsidRDefault="007A2F14" w:rsidP="007A2F14">
      <w:pPr>
        <w:wordWrap w:val="0"/>
        <w:spacing w:line="360" w:lineRule="auto"/>
        <w:jc w:val="right"/>
        <w:rPr>
          <w:color w:val="000000"/>
          <w:szCs w:val="21"/>
        </w:rPr>
      </w:pPr>
      <w:bookmarkStart w:id="210" w:name="_Toc390164822"/>
      <w:r>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276"/>
        <w:gridCol w:w="1276"/>
        <w:gridCol w:w="1134"/>
        <w:gridCol w:w="1843"/>
        <w:gridCol w:w="1701"/>
        <w:gridCol w:w="1416"/>
      </w:tblGrid>
      <w:tr w:rsidR="007A2F14" w:rsidRPr="00643EB5" w:rsidTr="007F5D9C">
        <w:trPr>
          <w:jc w:val="center"/>
        </w:trPr>
        <w:tc>
          <w:tcPr>
            <w:tcW w:w="710"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序号</w:t>
            </w:r>
          </w:p>
        </w:tc>
        <w:tc>
          <w:tcPr>
            <w:tcW w:w="1276"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基金名称</w:t>
            </w:r>
          </w:p>
        </w:tc>
        <w:tc>
          <w:tcPr>
            <w:tcW w:w="1276"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基金类型</w:t>
            </w:r>
          </w:p>
        </w:tc>
        <w:tc>
          <w:tcPr>
            <w:tcW w:w="1134"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运作方式</w:t>
            </w:r>
          </w:p>
        </w:tc>
        <w:tc>
          <w:tcPr>
            <w:tcW w:w="1843"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管理人</w:t>
            </w:r>
          </w:p>
        </w:tc>
        <w:tc>
          <w:tcPr>
            <w:tcW w:w="1701"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公允价值</w:t>
            </w:r>
            <w:r w:rsidR="006C0DBC">
              <w:rPr>
                <w:rFonts w:eastAsiaTheme="minorEastAsia"/>
                <w:color w:val="000000"/>
                <w:kern w:val="0"/>
                <w:szCs w:val="21"/>
              </w:rPr>
              <w:t>（人民币</w:t>
            </w:r>
            <w:r w:rsidR="006C0DBC" w:rsidRPr="00C24ACA">
              <w:rPr>
                <w:rFonts w:eastAsiaTheme="minorEastAsia"/>
                <w:color w:val="000000"/>
                <w:kern w:val="0"/>
                <w:szCs w:val="21"/>
              </w:rPr>
              <w:t>元）</w:t>
            </w:r>
          </w:p>
        </w:tc>
        <w:tc>
          <w:tcPr>
            <w:tcW w:w="1416"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占基金资产净值比例</w:t>
            </w:r>
            <w:r>
              <w:rPr>
                <w:rFonts w:hint="eastAsia"/>
                <w:color w:val="000000"/>
                <w:szCs w:val="21"/>
              </w:rPr>
              <w:t>（％）</w:t>
            </w:r>
          </w:p>
        </w:tc>
      </w:tr>
      <w:tr w:rsidR="007F3F42">
        <w:trPr>
          <w:jc w:val="center"/>
        </w:trPr>
        <w:tc>
          <w:tcPr>
            <w:tcW w:w="710" w:type="dxa"/>
            <w:vAlign w:val="center"/>
          </w:tcPr>
          <w:p w:rsidR="007F3F42" w:rsidRDefault="00781698">
            <w:pPr>
              <w:jc w:val="center"/>
            </w:pPr>
            <w:r>
              <w:rPr>
                <w:color w:val="000000"/>
                <w:szCs w:val="21"/>
              </w:rPr>
              <w:t>1</w:t>
            </w:r>
          </w:p>
        </w:tc>
        <w:tc>
          <w:tcPr>
            <w:tcW w:w="1276" w:type="dxa"/>
            <w:vAlign w:val="center"/>
          </w:tcPr>
          <w:p w:rsidR="007F3F42" w:rsidRDefault="00781698">
            <w:pPr>
              <w:jc w:val="center"/>
            </w:pPr>
            <w:r>
              <w:rPr>
                <w:color w:val="000000"/>
                <w:szCs w:val="21"/>
              </w:rPr>
              <w:t>易方达中证海外中国互联网</w:t>
            </w:r>
            <w:r>
              <w:rPr>
                <w:color w:val="000000"/>
                <w:szCs w:val="21"/>
              </w:rPr>
              <w:t>50</w:t>
            </w:r>
            <w:r>
              <w:rPr>
                <w:color w:val="000000"/>
                <w:szCs w:val="21"/>
              </w:rPr>
              <w:t>交易型开放式指数证券投资基金</w:t>
            </w:r>
          </w:p>
        </w:tc>
        <w:tc>
          <w:tcPr>
            <w:tcW w:w="1276" w:type="dxa"/>
            <w:vAlign w:val="center"/>
          </w:tcPr>
          <w:p w:rsidR="007F3F42" w:rsidRDefault="00781698">
            <w:pPr>
              <w:jc w:val="center"/>
            </w:pPr>
            <w:r>
              <w:rPr>
                <w:color w:val="000000"/>
                <w:szCs w:val="21"/>
              </w:rPr>
              <w:t>股票型</w:t>
            </w:r>
          </w:p>
        </w:tc>
        <w:tc>
          <w:tcPr>
            <w:tcW w:w="1134" w:type="dxa"/>
            <w:vAlign w:val="center"/>
          </w:tcPr>
          <w:p w:rsidR="007F3F42" w:rsidRDefault="00781698">
            <w:pPr>
              <w:jc w:val="center"/>
            </w:pPr>
            <w:r>
              <w:rPr>
                <w:color w:val="000000"/>
                <w:szCs w:val="21"/>
              </w:rPr>
              <w:t>交易型开放式（</w:t>
            </w:r>
            <w:r>
              <w:rPr>
                <w:color w:val="000000"/>
                <w:szCs w:val="21"/>
              </w:rPr>
              <w:t>ETF</w:t>
            </w:r>
            <w:r>
              <w:rPr>
                <w:color w:val="000000"/>
                <w:szCs w:val="21"/>
              </w:rPr>
              <w:t>）</w:t>
            </w:r>
          </w:p>
        </w:tc>
        <w:tc>
          <w:tcPr>
            <w:tcW w:w="1843" w:type="dxa"/>
            <w:vAlign w:val="center"/>
          </w:tcPr>
          <w:p w:rsidR="007F3F42" w:rsidRDefault="00781698">
            <w:pPr>
              <w:jc w:val="center"/>
            </w:pPr>
            <w:r>
              <w:rPr>
                <w:color w:val="000000"/>
                <w:szCs w:val="21"/>
              </w:rPr>
              <w:t>易方达基金管理有限公司</w:t>
            </w:r>
          </w:p>
        </w:tc>
        <w:tc>
          <w:tcPr>
            <w:tcW w:w="1701" w:type="dxa"/>
            <w:vAlign w:val="center"/>
          </w:tcPr>
          <w:p w:rsidR="007F3F42" w:rsidRDefault="00781698">
            <w:pPr>
              <w:jc w:val="right"/>
            </w:pPr>
            <w:r>
              <w:rPr>
                <w:color w:val="000000"/>
                <w:szCs w:val="21"/>
              </w:rPr>
              <w:t>731,816,990.74</w:t>
            </w:r>
          </w:p>
        </w:tc>
        <w:tc>
          <w:tcPr>
            <w:tcW w:w="1416" w:type="dxa"/>
            <w:vAlign w:val="center"/>
          </w:tcPr>
          <w:p w:rsidR="007F3F42" w:rsidRDefault="00781698">
            <w:pPr>
              <w:jc w:val="right"/>
            </w:pPr>
            <w:r>
              <w:rPr>
                <w:color w:val="000000"/>
                <w:szCs w:val="21"/>
              </w:rPr>
              <w:t>94.81</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11" w:name="_Toc48659055"/>
      <w:r w:rsidRPr="0087359D">
        <w:rPr>
          <w:rFonts w:ascii="宋体" w:hAnsi="宋体"/>
          <w:kern w:val="0"/>
          <w:sz w:val="21"/>
          <w:szCs w:val="21"/>
        </w:rPr>
        <w:t>7.3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期末在各个国家（地区）证券市场的权益投资分布</w:t>
      </w:r>
      <w:bookmarkEnd w:id="210"/>
      <w:bookmarkEnd w:id="211"/>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本基金本报告期末未持有权益投资。</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12" w:name="_Toc224618378"/>
      <w:bookmarkStart w:id="213" w:name="_Toc248233025"/>
      <w:bookmarkStart w:id="214" w:name="_Toc249790557"/>
      <w:bookmarkStart w:id="215" w:name="_Toc286929758"/>
      <w:bookmarkStart w:id="216" w:name="_Toc352255997"/>
      <w:bookmarkStart w:id="217" w:name="_Toc352256065"/>
      <w:bookmarkStart w:id="218" w:name="_Toc352331243"/>
      <w:bookmarkStart w:id="219" w:name="_Toc390164823"/>
      <w:bookmarkStart w:id="220" w:name="_Toc48659056"/>
      <w:r w:rsidRPr="0087359D">
        <w:rPr>
          <w:rFonts w:ascii="宋体" w:hAnsi="宋体"/>
          <w:kern w:val="0"/>
          <w:sz w:val="21"/>
          <w:szCs w:val="21"/>
        </w:rPr>
        <w:t>7.4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期末按行业分类的权益投资组合</w:t>
      </w:r>
      <w:bookmarkEnd w:id="212"/>
      <w:bookmarkEnd w:id="213"/>
      <w:bookmarkEnd w:id="214"/>
      <w:bookmarkEnd w:id="215"/>
      <w:bookmarkEnd w:id="216"/>
      <w:bookmarkEnd w:id="217"/>
      <w:bookmarkEnd w:id="218"/>
      <w:bookmarkEnd w:id="219"/>
      <w:bookmarkEnd w:id="220"/>
    </w:p>
    <w:p w:rsidR="008A5A5D" w:rsidRPr="008707EB" w:rsidRDefault="007863A3"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本基金本报告期末未持有权益投资。</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21" w:name="_Toc352255998"/>
      <w:bookmarkStart w:id="222" w:name="_Toc352256066"/>
      <w:bookmarkStart w:id="223" w:name="_Toc352331244"/>
      <w:bookmarkStart w:id="224" w:name="_Toc390164824"/>
      <w:bookmarkStart w:id="225" w:name="_Toc48659057"/>
      <w:r w:rsidRPr="0087359D">
        <w:rPr>
          <w:rFonts w:ascii="宋体" w:hAnsi="宋体"/>
          <w:kern w:val="0"/>
          <w:sz w:val="21"/>
          <w:szCs w:val="21"/>
        </w:rPr>
        <w:t>7.5</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期末按公允价值占基金资产净值比例大小排序的所有权益投资明细</w:t>
      </w:r>
      <w:bookmarkEnd w:id="221"/>
      <w:bookmarkEnd w:id="222"/>
      <w:bookmarkEnd w:id="223"/>
      <w:bookmarkEnd w:id="224"/>
      <w:bookmarkEnd w:id="225"/>
    </w:p>
    <w:p w:rsidR="00FF05DE"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本基金本报告期末未持有权益投资。</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26" w:name="_Toc224618380"/>
      <w:bookmarkStart w:id="227" w:name="_Toc248233027"/>
      <w:bookmarkStart w:id="228" w:name="_Toc249790559"/>
      <w:bookmarkStart w:id="229" w:name="_Toc286929760"/>
      <w:bookmarkStart w:id="230" w:name="_Toc352255999"/>
      <w:bookmarkStart w:id="231" w:name="_Toc352256067"/>
      <w:bookmarkStart w:id="232" w:name="_Toc352331245"/>
      <w:bookmarkStart w:id="233" w:name="_Toc390164827"/>
      <w:bookmarkStart w:id="234" w:name="_Toc48659058"/>
      <w:r w:rsidRPr="0087359D">
        <w:rPr>
          <w:rFonts w:ascii="宋体" w:hAnsi="宋体"/>
          <w:kern w:val="0"/>
          <w:sz w:val="21"/>
          <w:szCs w:val="21"/>
        </w:rPr>
        <w:t>7.6</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报告期内</w:t>
      </w:r>
      <w:r w:rsidR="00047DFF">
        <w:rPr>
          <w:rFonts w:ascii="Times New Roman" w:eastAsiaTheme="minorEastAsia" w:hAnsi="Times New Roman" w:hint="eastAsia"/>
          <w:kern w:val="0"/>
          <w:sz w:val="21"/>
          <w:szCs w:val="21"/>
        </w:rPr>
        <w:t>权益</w:t>
      </w:r>
      <w:r w:rsidRPr="00C24ACA">
        <w:rPr>
          <w:rFonts w:ascii="Times New Roman" w:eastAsiaTheme="minorEastAsia" w:hAnsi="Times New Roman"/>
          <w:kern w:val="0"/>
          <w:sz w:val="21"/>
          <w:szCs w:val="21"/>
        </w:rPr>
        <w:t>投资组合的重大变动</w:t>
      </w:r>
      <w:bookmarkEnd w:id="226"/>
      <w:bookmarkEnd w:id="227"/>
      <w:bookmarkEnd w:id="228"/>
      <w:bookmarkEnd w:id="229"/>
      <w:bookmarkEnd w:id="230"/>
      <w:bookmarkEnd w:id="231"/>
      <w:bookmarkEnd w:id="232"/>
      <w:bookmarkEnd w:id="233"/>
      <w:bookmarkEnd w:id="234"/>
    </w:p>
    <w:p w:rsidR="008A5A5D" w:rsidRPr="00C24ACA" w:rsidRDefault="008A5A5D" w:rsidP="006313B1">
      <w:pPr>
        <w:autoSpaceDE w:val="0"/>
        <w:autoSpaceDN w:val="0"/>
        <w:adjustRightInd w:val="0"/>
        <w:snapToGrid w:val="0"/>
        <w:spacing w:line="360" w:lineRule="auto"/>
        <w:jc w:val="left"/>
        <w:rPr>
          <w:rFonts w:eastAsiaTheme="minorEastAsia"/>
          <w:b/>
          <w:color w:val="000000"/>
          <w:kern w:val="0"/>
          <w:szCs w:val="21"/>
        </w:rPr>
      </w:pPr>
      <w:r w:rsidRPr="00C24ACA">
        <w:rPr>
          <w:rFonts w:eastAsiaTheme="minorEastAsia"/>
          <w:b/>
          <w:kern w:val="0"/>
          <w:szCs w:val="21"/>
        </w:rPr>
        <w:t>7.6.1</w:t>
      </w:r>
      <w:r w:rsidRPr="00C24ACA">
        <w:rPr>
          <w:rFonts w:eastAsiaTheme="minorEastAsia"/>
          <w:b/>
          <w:color w:val="000000"/>
          <w:kern w:val="0"/>
          <w:szCs w:val="21"/>
        </w:rPr>
        <w:t>累计买入金额超出</w:t>
      </w:r>
      <w:r w:rsidR="00243C23" w:rsidRPr="00C24ACA">
        <w:rPr>
          <w:rFonts w:eastAsiaTheme="minorEastAsia"/>
          <w:b/>
          <w:color w:val="000000"/>
          <w:kern w:val="0"/>
          <w:szCs w:val="21"/>
        </w:rPr>
        <w:t>期初</w:t>
      </w:r>
      <w:r w:rsidRPr="00C24ACA">
        <w:rPr>
          <w:rFonts w:eastAsiaTheme="minorEastAsia"/>
          <w:b/>
          <w:color w:val="000000"/>
          <w:kern w:val="0"/>
          <w:szCs w:val="21"/>
        </w:rPr>
        <w:t>基金资产净值</w:t>
      </w:r>
      <w:r w:rsidRPr="00C24ACA">
        <w:rPr>
          <w:rFonts w:eastAsiaTheme="minorEastAsia"/>
          <w:b/>
          <w:color w:val="000000"/>
          <w:kern w:val="0"/>
          <w:szCs w:val="21"/>
        </w:rPr>
        <w:t>2%</w:t>
      </w:r>
      <w:r w:rsidRPr="00C24ACA">
        <w:rPr>
          <w:rFonts w:eastAsiaTheme="minorEastAsia"/>
          <w:b/>
          <w:color w:val="000000"/>
          <w:kern w:val="0"/>
          <w:szCs w:val="21"/>
        </w:rPr>
        <w:t>或前</w:t>
      </w:r>
      <w:r w:rsidRPr="00C24ACA">
        <w:rPr>
          <w:rFonts w:eastAsiaTheme="minorEastAsia"/>
          <w:b/>
          <w:color w:val="000000"/>
          <w:kern w:val="0"/>
          <w:szCs w:val="21"/>
        </w:rPr>
        <w:t>20</w:t>
      </w:r>
      <w:r w:rsidRPr="00C24ACA">
        <w:rPr>
          <w:rFonts w:eastAsiaTheme="minorEastAsia"/>
          <w:b/>
          <w:color w:val="000000"/>
          <w:kern w:val="0"/>
          <w:szCs w:val="21"/>
        </w:rPr>
        <w:t>名的权益投资明细</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本基金本报告期内未进行权益投资交易。</w:t>
      </w:r>
    </w:p>
    <w:p w:rsidR="008A5A5D" w:rsidRPr="00C24ACA" w:rsidRDefault="008A5A5D" w:rsidP="006C64F3">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kern w:val="0"/>
          <w:szCs w:val="21"/>
        </w:rPr>
        <w:t>7.6.2</w:t>
      </w:r>
      <w:r w:rsidRPr="00C24ACA">
        <w:rPr>
          <w:rFonts w:eastAsiaTheme="minorEastAsia"/>
          <w:b/>
          <w:color w:val="000000"/>
          <w:kern w:val="0"/>
          <w:szCs w:val="21"/>
        </w:rPr>
        <w:t>累计卖出金额超出</w:t>
      </w:r>
      <w:r w:rsidR="00B7546A" w:rsidRPr="00C24ACA">
        <w:rPr>
          <w:rFonts w:eastAsiaTheme="minorEastAsia"/>
          <w:b/>
          <w:color w:val="000000"/>
          <w:kern w:val="0"/>
          <w:szCs w:val="21"/>
        </w:rPr>
        <w:t>期初</w:t>
      </w:r>
      <w:r w:rsidRPr="00C24ACA">
        <w:rPr>
          <w:rFonts w:eastAsiaTheme="minorEastAsia"/>
          <w:b/>
          <w:color w:val="000000"/>
          <w:kern w:val="0"/>
          <w:szCs w:val="21"/>
        </w:rPr>
        <w:t>基金资产净值</w:t>
      </w:r>
      <w:r w:rsidRPr="00C24ACA">
        <w:rPr>
          <w:rFonts w:eastAsiaTheme="minorEastAsia"/>
          <w:b/>
          <w:color w:val="000000"/>
          <w:kern w:val="0"/>
          <w:szCs w:val="21"/>
        </w:rPr>
        <w:t>2%</w:t>
      </w:r>
      <w:r w:rsidRPr="00C24ACA">
        <w:rPr>
          <w:rFonts w:eastAsiaTheme="minorEastAsia"/>
          <w:b/>
          <w:color w:val="000000"/>
          <w:kern w:val="0"/>
          <w:szCs w:val="21"/>
        </w:rPr>
        <w:t>或前</w:t>
      </w:r>
      <w:r w:rsidRPr="00C24ACA">
        <w:rPr>
          <w:rFonts w:eastAsiaTheme="minorEastAsia"/>
          <w:b/>
          <w:color w:val="000000"/>
          <w:kern w:val="0"/>
          <w:szCs w:val="21"/>
        </w:rPr>
        <w:t>20</w:t>
      </w:r>
      <w:r w:rsidRPr="00C24ACA">
        <w:rPr>
          <w:rFonts w:eastAsiaTheme="minorEastAsia"/>
          <w:b/>
          <w:color w:val="000000"/>
          <w:kern w:val="0"/>
          <w:szCs w:val="21"/>
        </w:rPr>
        <w:t>名的权益投资明细</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本基金本报告期内未进行权益投资交易。</w:t>
      </w:r>
    </w:p>
    <w:p w:rsidR="008A5A5D" w:rsidRPr="00C24ACA" w:rsidRDefault="008A5A5D" w:rsidP="006C64F3">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kern w:val="0"/>
          <w:szCs w:val="21"/>
        </w:rPr>
        <w:t>7.6.3</w:t>
      </w:r>
      <w:r w:rsidRPr="00C24ACA">
        <w:rPr>
          <w:rFonts w:eastAsiaTheme="minorEastAsia"/>
          <w:b/>
          <w:color w:val="000000"/>
          <w:kern w:val="0"/>
          <w:szCs w:val="21"/>
        </w:rPr>
        <w:t>权益投资的买入成本总额及卖出收入总额</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本基金本报告期内未进行权益投资交易。</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35" w:name="_Toc224618381"/>
      <w:bookmarkStart w:id="236" w:name="_Toc248233028"/>
      <w:bookmarkStart w:id="237" w:name="_Toc249790560"/>
      <w:bookmarkStart w:id="238" w:name="_Toc286929761"/>
      <w:bookmarkStart w:id="239" w:name="_Toc352256000"/>
      <w:bookmarkStart w:id="240" w:name="_Toc352256068"/>
      <w:bookmarkStart w:id="241" w:name="_Toc352331246"/>
      <w:bookmarkStart w:id="242" w:name="_Toc390164828"/>
      <w:bookmarkStart w:id="243" w:name="_Toc48659059"/>
      <w:r w:rsidRPr="0087359D">
        <w:rPr>
          <w:rFonts w:ascii="宋体" w:hAnsi="宋体"/>
          <w:kern w:val="0"/>
          <w:sz w:val="21"/>
          <w:szCs w:val="21"/>
        </w:rPr>
        <w:t>7.7</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期末按债券信用等级分类的债券投资组合</w:t>
      </w:r>
      <w:bookmarkEnd w:id="235"/>
      <w:bookmarkEnd w:id="236"/>
      <w:bookmarkEnd w:id="237"/>
      <w:bookmarkEnd w:id="238"/>
      <w:bookmarkEnd w:id="239"/>
      <w:bookmarkEnd w:id="240"/>
      <w:bookmarkEnd w:id="241"/>
      <w:bookmarkEnd w:id="242"/>
      <w:bookmarkEnd w:id="243"/>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本基金本报告期末未持有债券。</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44" w:name="_Toc224618382"/>
      <w:bookmarkStart w:id="245" w:name="_Toc248233029"/>
      <w:bookmarkStart w:id="246" w:name="_Toc249790561"/>
      <w:bookmarkStart w:id="247" w:name="_Toc286929762"/>
      <w:bookmarkStart w:id="248" w:name="_Toc352256001"/>
      <w:bookmarkStart w:id="249" w:name="_Toc352256069"/>
      <w:bookmarkStart w:id="250" w:name="_Toc352331247"/>
      <w:bookmarkStart w:id="251" w:name="_Toc390164829"/>
      <w:bookmarkStart w:id="252" w:name="_Toc48659060"/>
      <w:r w:rsidRPr="0087359D">
        <w:rPr>
          <w:rFonts w:ascii="宋体" w:hAnsi="宋体"/>
          <w:kern w:val="0"/>
          <w:sz w:val="21"/>
          <w:szCs w:val="21"/>
        </w:rPr>
        <w:t>7.8</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期末按公允价值占基金资产净值比例大小排名的前五名债券投资明细</w:t>
      </w:r>
      <w:bookmarkEnd w:id="244"/>
      <w:bookmarkEnd w:id="245"/>
      <w:bookmarkEnd w:id="246"/>
      <w:bookmarkEnd w:id="247"/>
      <w:bookmarkEnd w:id="248"/>
      <w:bookmarkEnd w:id="249"/>
      <w:bookmarkEnd w:id="250"/>
      <w:bookmarkEnd w:id="251"/>
      <w:bookmarkEnd w:id="252"/>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本基金本报告期末未持有债券。</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53" w:name="_Toc224618383"/>
      <w:bookmarkStart w:id="254" w:name="_Toc248233030"/>
      <w:bookmarkStart w:id="255" w:name="_Toc249790562"/>
      <w:bookmarkStart w:id="256" w:name="_Toc286929763"/>
      <w:bookmarkStart w:id="257" w:name="_Toc352256002"/>
      <w:bookmarkStart w:id="258" w:name="_Toc352256070"/>
      <w:bookmarkStart w:id="259" w:name="_Toc352331248"/>
      <w:bookmarkStart w:id="260" w:name="_Toc390164830"/>
      <w:bookmarkStart w:id="261" w:name="_Toc48659061"/>
      <w:r w:rsidRPr="0087359D">
        <w:rPr>
          <w:rFonts w:ascii="宋体" w:hAnsi="宋体"/>
          <w:kern w:val="0"/>
          <w:sz w:val="21"/>
          <w:szCs w:val="21"/>
        </w:rPr>
        <w:t>7.9</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期末按公允价值占基金资产净值比例大小排名的所有资产支持证券投资明细</w:t>
      </w:r>
      <w:bookmarkEnd w:id="253"/>
      <w:bookmarkEnd w:id="254"/>
      <w:bookmarkEnd w:id="255"/>
      <w:bookmarkEnd w:id="256"/>
      <w:bookmarkEnd w:id="257"/>
      <w:bookmarkEnd w:id="258"/>
      <w:bookmarkEnd w:id="259"/>
      <w:bookmarkEnd w:id="260"/>
      <w:bookmarkEnd w:id="261"/>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本基金本报告期末未持有资产支持证券。</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62" w:name="_Toc224618384"/>
      <w:bookmarkStart w:id="263" w:name="_Toc248233031"/>
      <w:bookmarkStart w:id="264" w:name="_Toc249790563"/>
      <w:bookmarkStart w:id="265" w:name="_Toc286929764"/>
      <w:bookmarkStart w:id="266" w:name="_Toc352256003"/>
      <w:bookmarkStart w:id="267" w:name="_Toc352256071"/>
      <w:bookmarkStart w:id="268" w:name="_Toc352331249"/>
      <w:bookmarkStart w:id="269" w:name="_Toc390164831"/>
      <w:bookmarkStart w:id="270" w:name="_Toc48659062"/>
      <w:r w:rsidRPr="0087359D">
        <w:rPr>
          <w:rFonts w:ascii="宋体" w:hAnsi="宋体"/>
          <w:kern w:val="0"/>
          <w:sz w:val="21"/>
          <w:szCs w:val="21"/>
        </w:rPr>
        <w:t>7.10</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期末按公允价值占基金资产净值比例大小排名的前五名金融衍生品投资明细</w:t>
      </w:r>
      <w:bookmarkEnd w:id="262"/>
      <w:bookmarkEnd w:id="263"/>
      <w:bookmarkEnd w:id="264"/>
      <w:bookmarkEnd w:id="265"/>
      <w:bookmarkEnd w:id="266"/>
      <w:bookmarkEnd w:id="267"/>
      <w:bookmarkEnd w:id="268"/>
      <w:bookmarkEnd w:id="269"/>
      <w:bookmarkEnd w:id="270"/>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本基金本报告期末未持有金融衍生品。</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71" w:name="_Toc248233032"/>
      <w:bookmarkStart w:id="272" w:name="_Toc249790564"/>
      <w:bookmarkStart w:id="273" w:name="_Toc286929765"/>
      <w:bookmarkStart w:id="274" w:name="_Toc352256004"/>
      <w:bookmarkStart w:id="275" w:name="_Toc352256072"/>
      <w:bookmarkStart w:id="276" w:name="_Toc352331250"/>
      <w:bookmarkStart w:id="277" w:name="_Toc390164832"/>
      <w:bookmarkStart w:id="278" w:name="_Toc48659063"/>
      <w:r w:rsidRPr="0087359D">
        <w:rPr>
          <w:rFonts w:ascii="宋体" w:hAnsi="宋体"/>
          <w:kern w:val="0"/>
          <w:sz w:val="21"/>
          <w:szCs w:val="21"/>
        </w:rPr>
        <w:t>7.11</w:t>
      </w:r>
      <w:bookmarkStart w:id="279" w:name="_Toc224618385"/>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期末按公允价值占基金资产净值比例大小排序的前十名基金投资明细</w:t>
      </w:r>
      <w:bookmarkEnd w:id="271"/>
      <w:bookmarkEnd w:id="272"/>
      <w:bookmarkEnd w:id="273"/>
      <w:bookmarkEnd w:id="274"/>
      <w:bookmarkEnd w:id="275"/>
      <w:bookmarkEnd w:id="276"/>
      <w:bookmarkEnd w:id="277"/>
      <w:bookmarkEnd w:id="279"/>
      <w:bookmarkEnd w:id="278"/>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9"/>
        <w:gridCol w:w="1214"/>
        <w:gridCol w:w="1250"/>
        <w:gridCol w:w="870"/>
        <w:gridCol w:w="1428"/>
        <w:gridCol w:w="1963"/>
        <w:gridCol w:w="1702"/>
      </w:tblGrid>
      <w:tr w:rsidR="008A5A5D" w:rsidRPr="00C24ACA" w:rsidTr="00206018">
        <w:trPr>
          <w:jc w:val="center"/>
        </w:trPr>
        <w:tc>
          <w:tcPr>
            <w:tcW w:w="929"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序号</w:t>
            </w:r>
          </w:p>
        </w:tc>
        <w:tc>
          <w:tcPr>
            <w:tcW w:w="1214"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基金</w:t>
            </w:r>
          </w:p>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名称</w:t>
            </w:r>
          </w:p>
        </w:tc>
        <w:tc>
          <w:tcPr>
            <w:tcW w:w="1250"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基金</w:t>
            </w:r>
          </w:p>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类型</w:t>
            </w:r>
          </w:p>
        </w:tc>
        <w:tc>
          <w:tcPr>
            <w:tcW w:w="870"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运作</w:t>
            </w:r>
          </w:p>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方式</w:t>
            </w:r>
          </w:p>
        </w:tc>
        <w:tc>
          <w:tcPr>
            <w:tcW w:w="1428"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管理人</w:t>
            </w:r>
          </w:p>
        </w:tc>
        <w:tc>
          <w:tcPr>
            <w:tcW w:w="1963"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公允价值</w:t>
            </w:r>
          </w:p>
        </w:tc>
        <w:tc>
          <w:tcPr>
            <w:tcW w:w="1702"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占基金资产净值比例</w:t>
            </w:r>
            <w:r w:rsidRPr="00C24ACA">
              <w:rPr>
                <w:rFonts w:eastAsiaTheme="minorEastAsia"/>
                <w:color w:val="000000"/>
                <w:szCs w:val="21"/>
              </w:rPr>
              <w:t>(%)</w:t>
            </w:r>
          </w:p>
        </w:tc>
      </w:tr>
      <w:tr w:rsidR="007F3F42">
        <w:trPr>
          <w:jc w:val="center"/>
        </w:trPr>
        <w:tc>
          <w:tcPr>
            <w:tcW w:w="929" w:type="dxa"/>
            <w:vAlign w:val="center"/>
          </w:tcPr>
          <w:p w:rsidR="007F3F42" w:rsidRDefault="00781698">
            <w:pPr>
              <w:jc w:val="center"/>
            </w:pPr>
            <w:r>
              <w:rPr>
                <w:rFonts w:eastAsiaTheme="minorEastAsia"/>
                <w:color w:val="000000"/>
                <w:szCs w:val="21"/>
              </w:rPr>
              <w:t>1</w:t>
            </w:r>
          </w:p>
        </w:tc>
        <w:tc>
          <w:tcPr>
            <w:tcW w:w="1214" w:type="dxa"/>
            <w:vAlign w:val="center"/>
          </w:tcPr>
          <w:p w:rsidR="007F3F42" w:rsidRDefault="00781698">
            <w:pPr>
              <w:jc w:val="center"/>
            </w:pPr>
            <w:r>
              <w:rPr>
                <w:rFonts w:eastAsiaTheme="minorEastAsia"/>
                <w:color w:val="000000"/>
                <w:szCs w:val="21"/>
              </w:rPr>
              <w:t>易方达中证海外中国互联网</w:t>
            </w:r>
            <w:r>
              <w:rPr>
                <w:rFonts w:eastAsiaTheme="minorEastAsia"/>
                <w:color w:val="000000"/>
                <w:szCs w:val="21"/>
              </w:rPr>
              <w:t>50</w:t>
            </w:r>
            <w:r>
              <w:rPr>
                <w:rFonts w:eastAsiaTheme="minorEastAsia"/>
                <w:color w:val="000000"/>
                <w:szCs w:val="21"/>
              </w:rPr>
              <w:t>交易型开放式指数证券投资基金</w:t>
            </w:r>
          </w:p>
        </w:tc>
        <w:tc>
          <w:tcPr>
            <w:tcW w:w="1250" w:type="dxa"/>
            <w:vAlign w:val="center"/>
          </w:tcPr>
          <w:p w:rsidR="007F3F42" w:rsidRDefault="00781698">
            <w:pPr>
              <w:jc w:val="center"/>
            </w:pPr>
            <w:r>
              <w:rPr>
                <w:rFonts w:eastAsiaTheme="minorEastAsia"/>
                <w:color w:val="000000"/>
                <w:szCs w:val="21"/>
              </w:rPr>
              <w:t>股票型</w:t>
            </w:r>
          </w:p>
        </w:tc>
        <w:tc>
          <w:tcPr>
            <w:tcW w:w="870" w:type="dxa"/>
            <w:vAlign w:val="center"/>
          </w:tcPr>
          <w:p w:rsidR="007F3F42" w:rsidRDefault="00781698">
            <w:pPr>
              <w:jc w:val="center"/>
            </w:pPr>
            <w:r>
              <w:rPr>
                <w:rFonts w:eastAsiaTheme="minorEastAsia"/>
                <w:color w:val="000000"/>
                <w:szCs w:val="21"/>
              </w:rPr>
              <w:t>交易型开放式（</w:t>
            </w:r>
            <w:r>
              <w:rPr>
                <w:rFonts w:eastAsiaTheme="minorEastAsia"/>
                <w:color w:val="000000"/>
                <w:szCs w:val="21"/>
              </w:rPr>
              <w:t>ETF</w:t>
            </w:r>
            <w:r>
              <w:rPr>
                <w:rFonts w:eastAsiaTheme="minorEastAsia"/>
                <w:color w:val="000000"/>
                <w:szCs w:val="21"/>
              </w:rPr>
              <w:t>）</w:t>
            </w:r>
          </w:p>
        </w:tc>
        <w:tc>
          <w:tcPr>
            <w:tcW w:w="1428" w:type="dxa"/>
            <w:vAlign w:val="center"/>
          </w:tcPr>
          <w:p w:rsidR="007F3F42" w:rsidRDefault="00781698">
            <w:pPr>
              <w:jc w:val="center"/>
            </w:pPr>
            <w:r>
              <w:rPr>
                <w:rFonts w:eastAsiaTheme="minorEastAsia"/>
                <w:color w:val="000000"/>
                <w:szCs w:val="21"/>
              </w:rPr>
              <w:t>易方达基金管理有限公司</w:t>
            </w:r>
          </w:p>
        </w:tc>
        <w:tc>
          <w:tcPr>
            <w:tcW w:w="1963" w:type="dxa"/>
            <w:vAlign w:val="center"/>
          </w:tcPr>
          <w:p w:rsidR="007F3F42" w:rsidRDefault="00781698">
            <w:pPr>
              <w:jc w:val="right"/>
            </w:pPr>
            <w:r>
              <w:rPr>
                <w:rFonts w:eastAsiaTheme="minorEastAsia"/>
                <w:color w:val="000000"/>
                <w:szCs w:val="21"/>
              </w:rPr>
              <w:t>731,816,990.74</w:t>
            </w:r>
          </w:p>
        </w:tc>
        <w:tc>
          <w:tcPr>
            <w:tcW w:w="1702" w:type="dxa"/>
            <w:vAlign w:val="center"/>
          </w:tcPr>
          <w:p w:rsidR="007F3F42" w:rsidRDefault="00781698">
            <w:pPr>
              <w:jc w:val="right"/>
            </w:pPr>
            <w:r>
              <w:rPr>
                <w:rFonts w:eastAsiaTheme="minorEastAsia"/>
                <w:color w:val="000000"/>
                <w:szCs w:val="21"/>
              </w:rPr>
              <w:t>94.81</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80" w:name="_Toc224618386"/>
      <w:bookmarkStart w:id="281" w:name="_Toc248233033"/>
      <w:bookmarkStart w:id="282" w:name="_Toc249790565"/>
      <w:bookmarkStart w:id="283" w:name="_Toc286929766"/>
      <w:bookmarkStart w:id="284" w:name="_Toc352256005"/>
      <w:bookmarkStart w:id="285" w:name="_Toc352256073"/>
      <w:bookmarkStart w:id="286" w:name="_Toc352331251"/>
      <w:bookmarkStart w:id="287" w:name="_Toc390164833"/>
      <w:bookmarkStart w:id="288" w:name="_Toc48659064"/>
      <w:r w:rsidRPr="0087359D">
        <w:rPr>
          <w:rFonts w:ascii="宋体" w:hAnsi="宋体"/>
          <w:kern w:val="0"/>
          <w:sz w:val="21"/>
          <w:szCs w:val="21"/>
        </w:rPr>
        <w:t>7.12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投资组合报告附注</w:t>
      </w:r>
      <w:bookmarkEnd w:id="280"/>
      <w:bookmarkEnd w:id="281"/>
      <w:bookmarkEnd w:id="282"/>
      <w:bookmarkEnd w:id="283"/>
      <w:bookmarkEnd w:id="284"/>
      <w:bookmarkEnd w:id="285"/>
      <w:bookmarkEnd w:id="286"/>
      <w:bookmarkEnd w:id="287"/>
      <w:bookmarkEnd w:id="288"/>
    </w:p>
    <w:p w:rsidR="008A5A5D" w:rsidRPr="00C24ACA" w:rsidRDefault="008A5A5D" w:rsidP="006313B1">
      <w:pPr>
        <w:spacing w:line="360" w:lineRule="auto"/>
        <w:rPr>
          <w:rFonts w:eastAsiaTheme="minorEastAsia"/>
          <w:kern w:val="0"/>
          <w:szCs w:val="21"/>
        </w:rPr>
      </w:pPr>
      <w:r w:rsidRPr="00C24ACA">
        <w:rPr>
          <w:rFonts w:eastAsiaTheme="minorEastAsia"/>
          <w:b/>
          <w:color w:val="000000"/>
          <w:szCs w:val="21"/>
        </w:rPr>
        <w:t>7.12.1</w:t>
      </w:r>
      <w:r w:rsidR="00ED31E5" w:rsidRPr="00C24ACA">
        <w:rPr>
          <w:rFonts w:eastAsiaTheme="minorEastAsia"/>
          <w:kern w:val="0"/>
          <w:szCs w:val="21"/>
        </w:rPr>
        <w:t xml:space="preserve"> </w:t>
      </w:r>
      <w:r w:rsidRPr="00C24ACA">
        <w:rPr>
          <w:rFonts w:eastAsiaTheme="minorEastAsia"/>
          <w:kern w:val="0"/>
          <w:szCs w:val="21"/>
        </w:rPr>
        <w:t>本基金投资的前十名证券的发行主体本期没有出现被监管部门立案调查，或在报告编制日前一年内受到公开谴责、处罚的情形。</w:t>
      </w:r>
    </w:p>
    <w:p w:rsidR="008A5A5D" w:rsidRPr="00C24ACA" w:rsidRDefault="008A5A5D" w:rsidP="006C64F3">
      <w:pPr>
        <w:spacing w:beforeLines="100" w:before="312" w:line="360" w:lineRule="auto"/>
        <w:rPr>
          <w:rFonts w:eastAsiaTheme="minorEastAsia"/>
          <w:kern w:val="0"/>
          <w:szCs w:val="21"/>
        </w:rPr>
      </w:pPr>
      <w:r w:rsidRPr="00C24ACA">
        <w:rPr>
          <w:rFonts w:eastAsiaTheme="minorEastAsia"/>
          <w:b/>
          <w:color w:val="000000"/>
          <w:szCs w:val="21"/>
        </w:rPr>
        <w:t>7.12.2</w:t>
      </w:r>
      <w:r w:rsidRPr="00C24ACA">
        <w:rPr>
          <w:rFonts w:eastAsiaTheme="minorEastAsia"/>
          <w:kern w:val="0"/>
          <w:szCs w:val="21"/>
        </w:rPr>
        <w:t xml:space="preserve"> </w:t>
      </w:r>
      <w:r w:rsidRPr="00C24ACA">
        <w:rPr>
          <w:rFonts w:eastAsiaTheme="minorEastAsia"/>
          <w:kern w:val="0"/>
          <w:szCs w:val="21"/>
        </w:rPr>
        <w:t>本基金本报告期末未持有股票，不存在投资的前十名股票超出基金合同规定的备选股票库情况。</w:t>
      </w:r>
    </w:p>
    <w:p w:rsidR="008A5A5D" w:rsidRPr="00C24ACA" w:rsidRDefault="008A5A5D" w:rsidP="006C64F3">
      <w:pPr>
        <w:spacing w:beforeLines="100" w:before="312" w:line="360" w:lineRule="auto"/>
        <w:rPr>
          <w:rFonts w:eastAsiaTheme="minorEastAsia"/>
          <w:b/>
          <w:color w:val="000000"/>
          <w:kern w:val="0"/>
          <w:szCs w:val="21"/>
        </w:rPr>
      </w:pPr>
      <w:r w:rsidRPr="00C24ACA">
        <w:rPr>
          <w:rFonts w:eastAsiaTheme="minorEastAsia"/>
          <w:b/>
          <w:color w:val="000000"/>
          <w:szCs w:val="21"/>
        </w:rPr>
        <w:t>7.12.3</w:t>
      </w:r>
      <w:r w:rsidR="004E34BB" w:rsidRPr="00C24ACA">
        <w:rPr>
          <w:rFonts w:eastAsiaTheme="minorEastAsia"/>
          <w:b/>
          <w:szCs w:val="21"/>
        </w:rPr>
        <w:t>期末其他各项资产构成</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20"/>
        <w:gridCol w:w="4431"/>
        <w:gridCol w:w="4105"/>
      </w:tblGrid>
      <w:tr w:rsidR="008A5A5D" w:rsidRPr="00C24ACA" w:rsidTr="00206018">
        <w:trPr>
          <w:trHeight w:val="285"/>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序号</w:t>
            </w:r>
          </w:p>
        </w:tc>
        <w:tc>
          <w:tcPr>
            <w:tcW w:w="4431"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名称</w:t>
            </w:r>
          </w:p>
        </w:tc>
        <w:tc>
          <w:tcPr>
            <w:tcW w:w="410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金额</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1</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存出保证金</w:t>
            </w:r>
          </w:p>
        </w:tc>
        <w:tc>
          <w:tcPr>
            <w:tcW w:w="4105" w:type="dxa"/>
            <w:tcMar>
              <w:top w:w="15" w:type="dxa"/>
              <w:left w:w="15" w:type="dxa"/>
              <w:bottom w:w="0" w:type="dxa"/>
              <w:right w:w="15" w:type="dxa"/>
            </w:tcMar>
            <w:vAlign w:val="center"/>
          </w:tcPr>
          <w:p w:rsidR="008A5A5D" w:rsidRPr="00C24ACA" w:rsidRDefault="008A5A5D" w:rsidP="00E87EC9">
            <w:pPr>
              <w:jc w:val="right"/>
              <w:rPr>
                <w:rFonts w:eastAsiaTheme="minorEastAsia"/>
                <w:szCs w:val="21"/>
              </w:rPr>
            </w:pPr>
            <w:r w:rsidRPr="00C24ACA">
              <w:rPr>
                <w:rFonts w:eastAsiaTheme="minorEastAsia"/>
                <w:szCs w:val="21"/>
              </w:rPr>
              <w:t>81,932.11</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2</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应收证券清算款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5,541,105.80</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3</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应收股利</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4</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应收利息</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4,547.49</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5</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应收申购款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4,816,466.37</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6</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其他应收款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7</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待摊费用</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E87EC9" w:rsidRPr="00C24ACA" w:rsidTr="00206018">
        <w:trPr>
          <w:trHeight w:val="312"/>
          <w:jc w:val="center"/>
        </w:trPr>
        <w:tc>
          <w:tcPr>
            <w:tcW w:w="820" w:type="dxa"/>
            <w:vAlign w:val="center"/>
          </w:tcPr>
          <w:p w:rsidR="00E87EC9" w:rsidRPr="00C24ACA" w:rsidRDefault="00E87EC9" w:rsidP="007C6EA8">
            <w:pPr>
              <w:jc w:val="center"/>
              <w:rPr>
                <w:rFonts w:eastAsiaTheme="minorEastAsia"/>
                <w:color w:val="000000"/>
                <w:szCs w:val="21"/>
              </w:rPr>
            </w:pPr>
            <w:r w:rsidRPr="00C24ACA">
              <w:rPr>
                <w:rFonts w:eastAsiaTheme="minorEastAsia"/>
                <w:color w:val="000000"/>
                <w:szCs w:val="21"/>
              </w:rPr>
              <w:t>8</w:t>
            </w:r>
          </w:p>
        </w:tc>
        <w:tc>
          <w:tcPr>
            <w:tcW w:w="4431" w:type="dxa"/>
            <w:vAlign w:val="center"/>
          </w:tcPr>
          <w:p w:rsidR="00E87EC9" w:rsidRPr="00C24ACA" w:rsidRDefault="00E87EC9" w:rsidP="007C6EA8">
            <w:pPr>
              <w:ind w:leftChars="50" w:left="105"/>
              <w:rPr>
                <w:rFonts w:eastAsiaTheme="minorEastAsia"/>
                <w:color w:val="000000"/>
                <w:szCs w:val="21"/>
              </w:rPr>
            </w:pPr>
            <w:r w:rsidRPr="00C24ACA">
              <w:rPr>
                <w:rFonts w:eastAsiaTheme="minorEastAsia"/>
                <w:color w:val="000000"/>
                <w:szCs w:val="21"/>
              </w:rPr>
              <w:t>其他</w:t>
            </w:r>
          </w:p>
        </w:tc>
        <w:tc>
          <w:tcPr>
            <w:tcW w:w="4105" w:type="dxa"/>
            <w:vAlign w:val="center"/>
          </w:tcPr>
          <w:p w:rsidR="00E87EC9" w:rsidRPr="00C24ACA" w:rsidRDefault="00E87EC9" w:rsidP="007C6EA8">
            <w:pPr>
              <w:jc w:val="right"/>
              <w:rPr>
                <w:rFonts w:eastAsiaTheme="minorEastAsia"/>
                <w:szCs w:val="21"/>
              </w:rPr>
            </w:pPr>
            <w:r w:rsidRPr="00C24ACA">
              <w:rPr>
                <w:rFonts w:eastAsiaTheme="minorEastAsia"/>
                <w:szCs w:val="21"/>
              </w:rPr>
              <w:t>-</w:t>
            </w:r>
          </w:p>
        </w:tc>
      </w:tr>
      <w:tr w:rsidR="00E87EC9" w:rsidRPr="00C24ACA" w:rsidTr="00206018">
        <w:trPr>
          <w:trHeight w:val="312"/>
          <w:jc w:val="center"/>
        </w:trPr>
        <w:tc>
          <w:tcPr>
            <w:tcW w:w="820" w:type="dxa"/>
            <w:vAlign w:val="center"/>
          </w:tcPr>
          <w:p w:rsidR="00E87EC9" w:rsidRPr="00C24ACA" w:rsidRDefault="00E87EC9" w:rsidP="007C6EA8">
            <w:pPr>
              <w:jc w:val="center"/>
              <w:rPr>
                <w:rFonts w:eastAsiaTheme="minorEastAsia"/>
                <w:color w:val="000000"/>
                <w:szCs w:val="21"/>
              </w:rPr>
            </w:pPr>
            <w:r w:rsidRPr="00C24ACA">
              <w:rPr>
                <w:rFonts w:eastAsiaTheme="minorEastAsia"/>
                <w:color w:val="000000"/>
                <w:szCs w:val="21"/>
              </w:rPr>
              <w:t>9</w:t>
            </w:r>
          </w:p>
        </w:tc>
        <w:tc>
          <w:tcPr>
            <w:tcW w:w="4431" w:type="dxa"/>
            <w:vAlign w:val="center"/>
          </w:tcPr>
          <w:p w:rsidR="00E87EC9" w:rsidRPr="00C24ACA" w:rsidRDefault="00E87EC9" w:rsidP="007C6EA8">
            <w:pPr>
              <w:ind w:leftChars="50" w:left="105"/>
              <w:rPr>
                <w:rFonts w:eastAsiaTheme="minorEastAsia"/>
                <w:color w:val="000000"/>
                <w:szCs w:val="21"/>
              </w:rPr>
            </w:pPr>
            <w:r w:rsidRPr="00C24ACA">
              <w:rPr>
                <w:rFonts w:eastAsiaTheme="minorEastAsia"/>
                <w:color w:val="000000"/>
                <w:szCs w:val="21"/>
              </w:rPr>
              <w:t>合计</w:t>
            </w:r>
          </w:p>
        </w:tc>
        <w:tc>
          <w:tcPr>
            <w:tcW w:w="4105" w:type="dxa"/>
            <w:vAlign w:val="center"/>
          </w:tcPr>
          <w:p w:rsidR="00E87EC9" w:rsidRPr="00C24ACA" w:rsidRDefault="00E87EC9" w:rsidP="007C6EA8">
            <w:pPr>
              <w:jc w:val="right"/>
              <w:rPr>
                <w:rFonts w:eastAsiaTheme="minorEastAsia"/>
                <w:szCs w:val="21"/>
              </w:rPr>
            </w:pPr>
            <w:r w:rsidRPr="00C24ACA">
              <w:rPr>
                <w:rFonts w:eastAsiaTheme="minorEastAsia"/>
                <w:szCs w:val="21"/>
              </w:rPr>
              <w:t>10,444,051.77</w:t>
            </w:r>
          </w:p>
        </w:tc>
      </w:tr>
    </w:tbl>
    <w:p w:rsidR="008A5A5D" w:rsidRPr="00C24ACA" w:rsidRDefault="008A5A5D" w:rsidP="006C64F3">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color w:val="000000"/>
          <w:szCs w:val="21"/>
        </w:rPr>
        <w:t>7.12.4</w:t>
      </w:r>
      <w:r w:rsidRPr="00C24ACA">
        <w:rPr>
          <w:rFonts w:eastAsiaTheme="minorEastAsia"/>
          <w:b/>
          <w:color w:val="000000"/>
          <w:kern w:val="0"/>
          <w:szCs w:val="21"/>
        </w:rPr>
        <w:t>期末持有的处于转股期的可转换债券明细</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本基金本报告期末未持有处于转股期的可转换债券。</w:t>
      </w:r>
    </w:p>
    <w:p w:rsidR="008A5A5D" w:rsidRPr="00C24ACA" w:rsidRDefault="008A5A5D" w:rsidP="006C64F3">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color w:val="000000"/>
          <w:szCs w:val="21"/>
        </w:rPr>
        <w:t>7.12.5</w:t>
      </w:r>
      <w:r w:rsidRPr="00C24ACA">
        <w:rPr>
          <w:rFonts w:eastAsiaTheme="minorEastAsia"/>
          <w:b/>
          <w:color w:val="000000"/>
          <w:kern w:val="0"/>
          <w:szCs w:val="21"/>
        </w:rPr>
        <w:t>期末前十名股票中存在流通受限情况的说明</w:t>
      </w:r>
    </w:p>
    <w:p w:rsidR="008A5A5D" w:rsidRPr="008707EB" w:rsidRDefault="00DC59DF"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本基金本报告期末未持有股票。</w:t>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289" w:name="_Toc225500050"/>
      <w:bookmarkStart w:id="290" w:name="_Toc352256006"/>
      <w:bookmarkStart w:id="291" w:name="_Toc352256074"/>
      <w:bookmarkStart w:id="292" w:name="_Toc352331252"/>
      <w:bookmarkStart w:id="293" w:name="_Toc390164834"/>
      <w:bookmarkStart w:id="294" w:name="_Toc48659065"/>
      <w:r w:rsidRPr="000C6CCD">
        <w:rPr>
          <w:rFonts w:ascii="宋体" w:hAnsi="宋体"/>
          <w:bCs w:val="0"/>
          <w:color w:val="000000"/>
          <w:sz w:val="21"/>
          <w:szCs w:val="21"/>
        </w:rPr>
        <w:t>8</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基金份额持有人信息</w:t>
      </w:r>
      <w:bookmarkEnd w:id="289"/>
      <w:bookmarkEnd w:id="290"/>
      <w:bookmarkEnd w:id="291"/>
      <w:bookmarkEnd w:id="292"/>
      <w:bookmarkEnd w:id="293"/>
      <w:bookmarkEnd w:id="294"/>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95" w:name="_Toc225500051"/>
      <w:bookmarkStart w:id="296" w:name="_Toc352256007"/>
      <w:bookmarkStart w:id="297" w:name="_Toc352256075"/>
      <w:bookmarkStart w:id="298" w:name="_Toc352331253"/>
      <w:bookmarkStart w:id="299" w:name="_Toc390164835"/>
      <w:bookmarkStart w:id="300" w:name="_Toc48659066"/>
      <w:r w:rsidRPr="0087359D">
        <w:rPr>
          <w:rFonts w:ascii="宋体" w:hAnsi="宋体"/>
          <w:kern w:val="0"/>
          <w:sz w:val="21"/>
          <w:szCs w:val="21"/>
        </w:rPr>
        <w:t>8.1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期末基金份额持有人户数及持有人结构</w:t>
      </w:r>
      <w:bookmarkEnd w:id="295"/>
      <w:bookmarkEnd w:id="296"/>
      <w:bookmarkEnd w:id="297"/>
      <w:bookmarkEnd w:id="298"/>
      <w:bookmarkEnd w:id="299"/>
      <w:bookmarkEnd w:id="300"/>
    </w:p>
    <w:p w:rsidR="002716BD" w:rsidRPr="00C24ACA" w:rsidRDefault="002716BD" w:rsidP="002716BD">
      <w:pPr>
        <w:autoSpaceDE w:val="0"/>
        <w:autoSpaceDN w:val="0"/>
        <w:adjustRightInd w:val="0"/>
        <w:spacing w:before="29" w:line="360" w:lineRule="auto"/>
        <w:ind w:left="15"/>
        <w:jc w:val="right"/>
        <w:rPr>
          <w:rFonts w:eastAsiaTheme="minorEastAsia"/>
          <w:color w:val="000000"/>
          <w:szCs w:val="21"/>
        </w:rPr>
      </w:pPr>
      <w:bookmarkStart w:id="301" w:name="_Toc352256008"/>
      <w:bookmarkStart w:id="302" w:name="_Toc352256076"/>
      <w:bookmarkStart w:id="303" w:name="_Toc352331254"/>
      <w:r w:rsidRPr="00C24ACA">
        <w:rPr>
          <w:rFonts w:eastAsiaTheme="minor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66"/>
        <w:gridCol w:w="1158"/>
        <w:gridCol w:w="1259"/>
        <w:gridCol w:w="1512"/>
        <w:gridCol w:w="971"/>
        <w:gridCol w:w="1543"/>
        <w:gridCol w:w="969"/>
      </w:tblGrid>
      <w:tr w:rsidR="002716BD" w:rsidRPr="00C24ACA" w:rsidTr="00D0593F">
        <w:tc>
          <w:tcPr>
            <w:tcW w:w="964"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szCs w:val="21"/>
              </w:rPr>
              <w:t>份额级别</w:t>
            </w:r>
          </w:p>
        </w:tc>
        <w:tc>
          <w:tcPr>
            <w:tcW w:w="633"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持有人户数</w:t>
            </w:r>
            <w:r w:rsidRPr="00C24ACA">
              <w:rPr>
                <w:rFonts w:eastAsiaTheme="minorEastAsia"/>
                <w:bCs/>
                <w:color w:val="000000"/>
                <w:szCs w:val="21"/>
              </w:rPr>
              <w:t>(</w:t>
            </w:r>
            <w:r w:rsidRPr="00C24ACA">
              <w:rPr>
                <w:rFonts w:eastAsiaTheme="minorEastAsia"/>
                <w:bCs/>
                <w:color w:val="000000"/>
                <w:szCs w:val="21"/>
              </w:rPr>
              <w:t>户</w:t>
            </w:r>
            <w:r w:rsidRPr="00C24ACA">
              <w:rPr>
                <w:rFonts w:eastAsiaTheme="minorEastAsia"/>
                <w:bCs/>
                <w:color w:val="000000"/>
                <w:szCs w:val="21"/>
              </w:rPr>
              <w:t>)</w:t>
            </w:r>
          </w:p>
        </w:tc>
        <w:tc>
          <w:tcPr>
            <w:tcW w:w="688"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户均持有的基金份额</w:t>
            </w:r>
          </w:p>
        </w:tc>
        <w:tc>
          <w:tcPr>
            <w:tcW w:w="2715" w:type="pct"/>
            <w:gridSpan w:val="4"/>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持有人结构</w:t>
            </w:r>
          </w:p>
        </w:tc>
      </w:tr>
      <w:tr w:rsidR="002716BD" w:rsidRPr="00C24ACA" w:rsidTr="00D0593F">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1357" w:type="pct"/>
            <w:gridSpan w:val="2"/>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机构投资者</w:t>
            </w:r>
          </w:p>
        </w:tc>
        <w:tc>
          <w:tcPr>
            <w:tcW w:w="1358" w:type="pct"/>
            <w:gridSpan w:val="2"/>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个人投资者</w:t>
            </w:r>
          </w:p>
        </w:tc>
      </w:tr>
      <w:tr w:rsidR="002716BD" w:rsidRPr="00C24ACA" w:rsidTr="00D0593F">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826"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持有份额</w:t>
            </w:r>
          </w:p>
        </w:tc>
        <w:tc>
          <w:tcPr>
            <w:tcW w:w="531"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占总份额比例</w:t>
            </w:r>
          </w:p>
        </w:tc>
        <w:tc>
          <w:tcPr>
            <w:tcW w:w="84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持有份额</w:t>
            </w:r>
          </w:p>
        </w:tc>
        <w:tc>
          <w:tcPr>
            <w:tcW w:w="515"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占总份额比例</w:t>
            </w:r>
          </w:p>
        </w:tc>
      </w:tr>
      <w:tr w:rsidR="002716BD" w:rsidRPr="00C24ACA" w:rsidTr="00D0593F">
        <w:tc>
          <w:tcPr>
            <w:tcW w:w="964" w:type="pct"/>
            <w:hideMark/>
          </w:tcPr>
          <w:p w:rsidR="002716BD" w:rsidRPr="00C24ACA" w:rsidRDefault="002716BD">
            <w:pPr>
              <w:widowControl/>
              <w:spacing w:line="360" w:lineRule="auto"/>
              <w:jc w:val="center"/>
              <w:rPr>
                <w:rFonts w:eastAsiaTheme="minorEastAsia"/>
                <w:bCs/>
                <w:color w:val="000000"/>
                <w:szCs w:val="21"/>
              </w:rPr>
            </w:pPr>
            <w:r w:rsidRPr="00C24ACA">
              <w:rPr>
                <w:rFonts w:eastAsiaTheme="minorEastAsia"/>
                <w:bCs/>
                <w:color w:val="000000"/>
                <w:szCs w:val="21"/>
              </w:rPr>
              <w:t>易方达中证海外中国互联网</w:t>
            </w:r>
            <w:r w:rsidRPr="00C24ACA">
              <w:rPr>
                <w:rFonts w:eastAsiaTheme="minorEastAsia"/>
                <w:bCs/>
                <w:color w:val="000000"/>
                <w:szCs w:val="21"/>
              </w:rPr>
              <w:t>50ETF</w:t>
            </w:r>
            <w:r w:rsidRPr="00C24ACA">
              <w:rPr>
                <w:rFonts w:eastAsiaTheme="minorEastAsia"/>
                <w:bCs/>
                <w:color w:val="000000"/>
                <w:szCs w:val="21"/>
              </w:rPr>
              <w:t>联接（</w:t>
            </w:r>
            <w:r w:rsidRPr="00C24ACA">
              <w:rPr>
                <w:rFonts w:eastAsiaTheme="minorEastAsia"/>
                <w:bCs/>
                <w:color w:val="000000"/>
                <w:szCs w:val="21"/>
              </w:rPr>
              <w:t>QDII</w:t>
            </w:r>
            <w:r w:rsidRPr="00C24ACA">
              <w:rPr>
                <w:rFonts w:eastAsiaTheme="minorEastAsia"/>
                <w:bCs/>
                <w:color w:val="000000"/>
                <w:szCs w:val="21"/>
              </w:rPr>
              <w:t>）</w:t>
            </w:r>
            <w:r w:rsidRPr="00C24ACA">
              <w:rPr>
                <w:rFonts w:eastAsiaTheme="minorEastAsia"/>
                <w:bCs/>
                <w:color w:val="000000"/>
                <w:szCs w:val="21"/>
              </w:rPr>
              <w:t>A</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165,986</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3,181.92</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26,188.22</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0.00%</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528,127,797.19</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100.00%</w:t>
            </w:r>
          </w:p>
        </w:tc>
      </w:tr>
      <w:tr w:rsidR="002716BD" w:rsidRPr="00C24ACA" w:rsidTr="00D0593F">
        <w:tc>
          <w:tcPr>
            <w:tcW w:w="964" w:type="pct"/>
            <w:hideMark/>
          </w:tcPr>
          <w:p w:rsidR="002716BD" w:rsidRPr="00C24ACA" w:rsidRDefault="002716BD">
            <w:pPr>
              <w:widowControl/>
              <w:spacing w:line="360" w:lineRule="auto"/>
              <w:jc w:val="center"/>
              <w:rPr>
                <w:rFonts w:eastAsiaTheme="minorEastAsia"/>
                <w:bCs/>
                <w:color w:val="000000"/>
                <w:szCs w:val="21"/>
              </w:rPr>
            </w:pPr>
            <w:r w:rsidRPr="00C24ACA">
              <w:rPr>
                <w:rFonts w:eastAsiaTheme="minorEastAsia"/>
                <w:bCs/>
                <w:color w:val="000000"/>
                <w:szCs w:val="21"/>
              </w:rPr>
              <w:t>易方达中证海外中国互联网</w:t>
            </w:r>
            <w:r w:rsidRPr="00C24ACA">
              <w:rPr>
                <w:rFonts w:eastAsiaTheme="minorEastAsia"/>
                <w:bCs/>
                <w:color w:val="000000"/>
                <w:szCs w:val="21"/>
              </w:rPr>
              <w:t>50ETF</w:t>
            </w:r>
            <w:r w:rsidRPr="00C24ACA">
              <w:rPr>
                <w:rFonts w:eastAsiaTheme="minorEastAsia"/>
                <w:bCs/>
                <w:color w:val="000000"/>
                <w:szCs w:val="21"/>
              </w:rPr>
              <w:t>联接（</w:t>
            </w:r>
            <w:r w:rsidRPr="00C24ACA">
              <w:rPr>
                <w:rFonts w:eastAsiaTheme="minorEastAsia"/>
                <w:bCs/>
                <w:color w:val="000000"/>
                <w:szCs w:val="21"/>
              </w:rPr>
              <w:t>QDII</w:t>
            </w:r>
            <w:r w:rsidRPr="00C24ACA">
              <w:rPr>
                <w:rFonts w:eastAsiaTheme="minorEastAsia"/>
                <w:bCs/>
                <w:color w:val="000000"/>
                <w:szCs w:val="21"/>
              </w:rPr>
              <w:t>）</w:t>
            </w:r>
            <w:r w:rsidRPr="00C24ACA">
              <w:rPr>
                <w:rFonts w:eastAsiaTheme="minorEastAsia"/>
                <w:bCs/>
                <w:color w:val="000000"/>
                <w:szCs w:val="21"/>
              </w:rPr>
              <w:t>C</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12,382</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2,139.31</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168,776.37</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0.64%</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26,320,213.35</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99.36%</w:t>
            </w:r>
          </w:p>
        </w:tc>
      </w:tr>
      <w:tr w:rsidR="002716BD" w:rsidRPr="00C24ACA" w:rsidTr="00D0593F">
        <w:tc>
          <w:tcPr>
            <w:tcW w:w="964" w:type="pct"/>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合计</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178,368</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3,109.54</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194,964.59</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0.04%</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554,448,010.54</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99.96%</w:t>
            </w:r>
          </w:p>
        </w:tc>
      </w:tr>
    </w:tbl>
    <w:p w:rsidR="002716BD" w:rsidRPr="008707EB" w:rsidRDefault="002716BD"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注：易方达中证海外中国互联网</w:t>
      </w:r>
      <w:r w:rsidRPr="008707EB">
        <w:rPr>
          <w:rFonts w:eastAsiaTheme="minorEastAsia"/>
          <w:kern w:val="0"/>
          <w:szCs w:val="21"/>
        </w:rPr>
        <w:t>50ETF</w:t>
      </w:r>
      <w:r w:rsidRPr="008707EB">
        <w:rPr>
          <w:rFonts w:eastAsiaTheme="minorEastAsia"/>
          <w:kern w:val="0"/>
          <w:szCs w:val="21"/>
        </w:rPr>
        <w:t>联接（</w:t>
      </w:r>
      <w:r w:rsidRPr="008707EB">
        <w:rPr>
          <w:rFonts w:eastAsiaTheme="minorEastAsia"/>
          <w:kern w:val="0"/>
          <w:szCs w:val="21"/>
        </w:rPr>
        <w:t>QDII</w:t>
      </w:r>
      <w:r w:rsidRPr="008707EB">
        <w:rPr>
          <w:rFonts w:eastAsiaTheme="minorEastAsia"/>
          <w:kern w:val="0"/>
          <w:szCs w:val="21"/>
        </w:rPr>
        <w:t>）</w:t>
      </w:r>
      <w:r w:rsidRPr="008707EB">
        <w:rPr>
          <w:rFonts w:eastAsiaTheme="minorEastAsia"/>
          <w:kern w:val="0"/>
          <w:szCs w:val="21"/>
        </w:rPr>
        <w:t>A</w:t>
      </w:r>
      <w:r w:rsidRPr="008707EB">
        <w:rPr>
          <w:rFonts w:eastAsiaTheme="minorEastAsia"/>
          <w:kern w:val="0"/>
          <w:szCs w:val="21"/>
        </w:rPr>
        <w:t>的持有人户数及结构含</w:t>
      </w:r>
      <w:r w:rsidRPr="008707EB">
        <w:rPr>
          <w:rFonts w:eastAsiaTheme="minorEastAsia"/>
          <w:kern w:val="0"/>
          <w:szCs w:val="21"/>
        </w:rPr>
        <w:t>A</w:t>
      </w:r>
      <w:r w:rsidRPr="008707EB">
        <w:rPr>
          <w:rFonts w:eastAsiaTheme="minorEastAsia"/>
          <w:kern w:val="0"/>
          <w:szCs w:val="21"/>
        </w:rPr>
        <w:t>类人民币份额及</w:t>
      </w:r>
      <w:r w:rsidRPr="008707EB">
        <w:rPr>
          <w:rFonts w:eastAsiaTheme="minorEastAsia"/>
          <w:kern w:val="0"/>
          <w:szCs w:val="21"/>
        </w:rPr>
        <w:t>A</w:t>
      </w:r>
      <w:r w:rsidRPr="008707EB">
        <w:rPr>
          <w:rFonts w:eastAsiaTheme="minorEastAsia"/>
          <w:kern w:val="0"/>
          <w:szCs w:val="21"/>
        </w:rPr>
        <w:t>类美元份额；易方达中证海外中国互联网</w:t>
      </w:r>
      <w:r w:rsidRPr="008707EB">
        <w:rPr>
          <w:rFonts w:eastAsiaTheme="minorEastAsia"/>
          <w:kern w:val="0"/>
          <w:szCs w:val="21"/>
        </w:rPr>
        <w:t>50ETF</w:t>
      </w:r>
      <w:r w:rsidRPr="008707EB">
        <w:rPr>
          <w:rFonts w:eastAsiaTheme="minorEastAsia"/>
          <w:kern w:val="0"/>
          <w:szCs w:val="21"/>
        </w:rPr>
        <w:t>联接（</w:t>
      </w:r>
      <w:r w:rsidRPr="008707EB">
        <w:rPr>
          <w:rFonts w:eastAsiaTheme="minorEastAsia"/>
          <w:kern w:val="0"/>
          <w:szCs w:val="21"/>
        </w:rPr>
        <w:t>QDII</w:t>
      </w:r>
      <w:r w:rsidRPr="008707EB">
        <w:rPr>
          <w:rFonts w:eastAsiaTheme="minorEastAsia"/>
          <w:kern w:val="0"/>
          <w:szCs w:val="21"/>
        </w:rPr>
        <w:t>）</w:t>
      </w:r>
      <w:r w:rsidRPr="008707EB">
        <w:rPr>
          <w:rFonts w:eastAsiaTheme="minorEastAsia"/>
          <w:kern w:val="0"/>
          <w:szCs w:val="21"/>
        </w:rPr>
        <w:t>C</w:t>
      </w:r>
      <w:r w:rsidRPr="008707EB">
        <w:rPr>
          <w:rFonts w:eastAsiaTheme="minorEastAsia"/>
          <w:kern w:val="0"/>
          <w:szCs w:val="21"/>
        </w:rPr>
        <w:t>的持有人户数及结构含</w:t>
      </w:r>
      <w:r w:rsidRPr="008707EB">
        <w:rPr>
          <w:rFonts w:eastAsiaTheme="minorEastAsia"/>
          <w:kern w:val="0"/>
          <w:szCs w:val="21"/>
        </w:rPr>
        <w:t>C</w:t>
      </w:r>
      <w:r w:rsidRPr="008707EB">
        <w:rPr>
          <w:rFonts w:eastAsiaTheme="minorEastAsia"/>
          <w:kern w:val="0"/>
          <w:szCs w:val="21"/>
        </w:rPr>
        <w:t>类人民币份额及</w:t>
      </w:r>
      <w:r w:rsidRPr="008707EB">
        <w:rPr>
          <w:rFonts w:eastAsiaTheme="minorEastAsia"/>
          <w:kern w:val="0"/>
          <w:szCs w:val="21"/>
        </w:rPr>
        <w:t>C</w:t>
      </w:r>
      <w:r w:rsidRPr="008707EB">
        <w:rPr>
          <w:rFonts w:eastAsiaTheme="minorEastAsia"/>
          <w:kern w:val="0"/>
          <w:szCs w:val="21"/>
        </w:rPr>
        <w:t>类美元份额。</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04" w:name="_Toc390164837"/>
      <w:bookmarkStart w:id="305" w:name="_Toc48659067"/>
      <w:r w:rsidRPr="0087359D">
        <w:rPr>
          <w:rFonts w:ascii="宋体" w:hAnsi="宋体"/>
          <w:kern w:val="0"/>
          <w:sz w:val="21"/>
          <w:szCs w:val="21"/>
        </w:rPr>
        <w:t>8.2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期末基金管理人的从业人员持有本基金的情况</w:t>
      </w:r>
      <w:bookmarkEnd w:id="301"/>
      <w:bookmarkEnd w:id="302"/>
      <w:bookmarkEnd w:id="303"/>
      <w:bookmarkEnd w:id="304"/>
      <w:bookmarkEnd w:id="305"/>
    </w:p>
    <w:tbl>
      <w:tblPr>
        <w:tblStyle w:val="af7"/>
        <w:tblW w:w="0" w:type="auto"/>
        <w:tblInd w:w="108" w:type="dxa"/>
        <w:tblLayout w:type="fixed"/>
        <w:tblLook w:val="04A0" w:firstRow="1" w:lastRow="0" w:firstColumn="1" w:lastColumn="0" w:noHBand="0" w:noVBand="1"/>
      </w:tblPr>
      <w:tblGrid>
        <w:gridCol w:w="2321"/>
        <w:gridCol w:w="2321"/>
        <w:gridCol w:w="2322"/>
        <w:gridCol w:w="2322"/>
      </w:tblGrid>
      <w:tr w:rsidR="00232443" w:rsidRPr="00C24ACA" w:rsidTr="005C3575">
        <w:tc>
          <w:tcPr>
            <w:tcW w:w="2321" w:type="dxa"/>
            <w:vAlign w:val="center"/>
          </w:tcPr>
          <w:p w:rsidR="00232443" w:rsidRPr="00C24ACA" w:rsidRDefault="00232443" w:rsidP="005C3575">
            <w:pPr>
              <w:pStyle w:val="a0"/>
              <w:ind w:firstLineChars="0" w:firstLine="0"/>
              <w:jc w:val="center"/>
              <w:rPr>
                <w:rFonts w:eastAsiaTheme="minorEastAsia"/>
                <w:szCs w:val="21"/>
              </w:rPr>
            </w:pPr>
            <w:bookmarkStart w:id="306" w:name="_Toc286911325"/>
            <w:bookmarkStart w:id="307" w:name="_Toc247957892"/>
            <w:r w:rsidRPr="00C24ACA">
              <w:rPr>
                <w:rFonts w:eastAsiaTheme="minorEastAsia"/>
                <w:szCs w:val="21"/>
              </w:rPr>
              <w:t>项目</w:t>
            </w:r>
          </w:p>
        </w:tc>
        <w:tc>
          <w:tcPr>
            <w:tcW w:w="2321"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份额级别</w:t>
            </w:r>
          </w:p>
        </w:tc>
        <w:tc>
          <w:tcPr>
            <w:tcW w:w="2322"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持有份额总数（份）</w:t>
            </w:r>
          </w:p>
        </w:tc>
        <w:tc>
          <w:tcPr>
            <w:tcW w:w="2322"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占基金总份额比例</w:t>
            </w:r>
          </w:p>
        </w:tc>
      </w:tr>
      <w:tr w:rsidR="00232443" w:rsidRPr="00C24ACA" w:rsidTr="005C3575">
        <w:tc>
          <w:tcPr>
            <w:tcW w:w="2321" w:type="dxa"/>
            <w:vMerge w:val="restart"/>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color w:val="000000"/>
                <w:szCs w:val="21"/>
              </w:rPr>
              <w:t>基金管理人所有从业人员持有本基金</w:t>
            </w:r>
          </w:p>
        </w:tc>
        <w:tc>
          <w:tcPr>
            <w:tcW w:w="2321" w:type="dxa"/>
            <w:vAlign w:val="center"/>
          </w:tcPr>
          <w:p w:rsidR="00232443" w:rsidRPr="00C24ACA" w:rsidRDefault="00232443" w:rsidP="005C3575">
            <w:pPr>
              <w:jc w:val="center"/>
              <w:rPr>
                <w:rFonts w:eastAsiaTheme="minorEastAsia"/>
                <w:color w:val="000000"/>
                <w:kern w:val="0"/>
                <w:szCs w:val="21"/>
              </w:rPr>
            </w:pPr>
            <w:r w:rsidRPr="00C24ACA">
              <w:rPr>
                <w:rFonts w:eastAsiaTheme="minorEastAsia"/>
                <w:szCs w:val="21"/>
              </w:rPr>
              <w:t>易方达中证海外中国互联网</w:t>
            </w:r>
            <w:r w:rsidRPr="00C24ACA">
              <w:rPr>
                <w:rFonts w:eastAsiaTheme="minorEastAsia"/>
                <w:szCs w:val="21"/>
              </w:rPr>
              <w:t>50ETF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4,360,290.32</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0.8256%</w:t>
            </w:r>
          </w:p>
        </w:tc>
      </w:tr>
      <w:tr w:rsidR="00232443" w:rsidRPr="00C24ACA" w:rsidTr="005C3575">
        <w:tc>
          <w:tcPr>
            <w:tcW w:w="2321" w:type="dxa"/>
            <w:vMerge/>
          </w:tcPr>
          <w:p w:rsidR="00232443" w:rsidRPr="00C24ACA" w:rsidRDefault="00232443" w:rsidP="005C3575">
            <w:pPr>
              <w:pStyle w:val="a0"/>
              <w:ind w:firstLineChars="0" w:firstLine="0"/>
              <w:rPr>
                <w:rFonts w:eastAsiaTheme="minorEastAsia"/>
                <w:szCs w:val="21"/>
              </w:rPr>
            </w:pPr>
          </w:p>
        </w:tc>
        <w:tc>
          <w:tcPr>
            <w:tcW w:w="2321" w:type="dxa"/>
            <w:vAlign w:val="center"/>
          </w:tcPr>
          <w:p w:rsidR="00232443" w:rsidRPr="00C24ACA" w:rsidRDefault="00232443" w:rsidP="005C3575">
            <w:pPr>
              <w:jc w:val="center"/>
              <w:rPr>
                <w:rFonts w:eastAsiaTheme="minorEastAsia"/>
                <w:color w:val="000000"/>
                <w:kern w:val="0"/>
                <w:szCs w:val="21"/>
              </w:rPr>
            </w:pPr>
            <w:r w:rsidRPr="00C24ACA">
              <w:rPr>
                <w:rFonts w:eastAsiaTheme="minorEastAsia"/>
                <w:szCs w:val="21"/>
              </w:rPr>
              <w:t>易方达中证海外中国互联网</w:t>
            </w:r>
            <w:r w:rsidRPr="00C24ACA">
              <w:rPr>
                <w:rFonts w:eastAsiaTheme="minorEastAsia"/>
                <w:szCs w:val="21"/>
              </w:rPr>
              <w:t>50ETF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669,683.98</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2.5282%</w:t>
            </w:r>
          </w:p>
        </w:tc>
      </w:tr>
      <w:tr w:rsidR="00232443" w:rsidRPr="00C24ACA" w:rsidTr="005C3575">
        <w:tc>
          <w:tcPr>
            <w:tcW w:w="2321" w:type="dxa"/>
            <w:vMerge/>
          </w:tcPr>
          <w:p w:rsidR="00232443" w:rsidRPr="00C24ACA" w:rsidRDefault="00232443" w:rsidP="005C3575">
            <w:pPr>
              <w:pStyle w:val="a0"/>
              <w:ind w:firstLineChars="0" w:firstLine="0"/>
              <w:rPr>
                <w:rFonts w:eastAsiaTheme="minorEastAsia"/>
                <w:szCs w:val="21"/>
              </w:rPr>
            </w:pPr>
          </w:p>
        </w:tc>
        <w:tc>
          <w:tcPr>
            <w:tcW w:w="2321" w:type="dxa"/>
            <w:vAlign w:val="center"/>
          </w:tcPr>
          <w:p w:rsidR="00232443" w:rsidRPr="00C24ACA" w:rsidRDefault="00232443" w:rsidP="005C3575">
            <w:pPr>
              <w:widowControl/>
              <w:jc w:val="center"/>
              <w:rPr>
                <w:rFonts w:eastAsiaTheme="minorEastAsia"/>
                <w:color w:val="000000"/>
                <w:kern w:val="0"/>
                <w:szCs w:val="21"/>
              </w:rPr>
            </w:pPr>
            <w:r w:rsidRPr="00C24ACA">
              <w:rPr>
                <w:rFonts w:eastAsiaTheme="minorEastAsia"/>
                <w:color w:val="000000"/>
                <w:kern w:val="0"/>
                <w:szCs w:val="21"/>
              </w:rPr>
              <w:t>合计</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5,029,974.30</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0.9069%</w:t>
            </w:r>
          </w:p>
        </w:tc>
      </w:tr>
    </w:tbl>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注：基金管理人的从业人员持有的易方达中证海外中国互联网</w:t>
      </w:r>
      <w:r w:rsidRPr="00C24ACA">
        <w:rPr>
          <w:rFonts w:eastAsiaTheme="minorEastAsia"/>
          <w:kern w:val="0"/>
          <w:szCs w:val="21"/>
        </w:rPr>
        <w:t>50ETF</w:t>
      </w:r>
      <w:r w:rsidRPr="00C24ACA">
        <w:rPr>
          <w:rFonts w:eastAsiaTheme="minorEastAsia"/>
          <w:kern w:val="0"/>
          <w:szCs w:val="21"/>
        </w:rPr>
        <w:t>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r w:rsidRPr="00C24ACA">
        <w:rPr>
          <w:rFonts w:eastAsiaTheme="minorEastAsia"/>
          <w:kern w:val="0"/>
          <w:szCs w:val="21"/>
        </w:rPr>
        <w:t>类份额含</w:t>
      </w:r>
      <w:r w:rsidRPr="00C24ACA">
        <w:rPr>
          <w:rFonts w:eastAsiaTheme="minorEastAsia"/>
          <w:kern w:val="0"/>
          <w:szCs w:val="21"/>
        </w:rPr>
        <w:t>A</w:t>
      </w:r>
      <w:r w:rsidRPr="00C24ACA">
        <w:rPr>
          <w:rFonts w:eastAsiaTheme="minorEastAsia"/>
          <w:kern w:val="0"/>
          <w:szCs w:val="21"/>
        </w:rPr>
        <w:t>类人民币份额及</w:t>
      </w:r>
      <w:r w:rsidRPr="00C24ACA">
        <w:rPr>
          <w:rFonts w:eastAsiaTheme="minorEastAsia"/>
          <w:kern w:val="0"/>
          <w:szCs w:val="21"/>
        </w:rPr>
        <w:t>A</w:t>
      </w:r>
      <w:r w:rsidRPr="00C24ACA">
        <w:rPr>
          <w:rFonts w:eastAsiaTheme="minorEastAsia"/>
          <w:kern w:val="0"/>
          <w:szCs w:val="21"/>
        </w:rPr>
        <w:t>类美元份额；易方达中证海外中国互联网</w:t>
      </w:r>
      <w:r w:rsidRPr="00C24ACA">
        <w:rPr>
          <w:rFonts w:eastAsiaTheme="minorEastAsia"/>
          <w:kern w:val="0"/>
          <w:szCs w:val="21"/>
        </w:rPr>
        <w:t>50ETF</w:t>
      </w:r>
      <w:r w:rsidRPr="00C24ACA">
        <w:rPr>
          <w:rFonts w:eastAsiaTheme="minorEastAsia"/>
          <w:kern w:val="0"/>
          <w:szCs w:val="21"/>
        </w:rPr>
        <w:t>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类份额含</w:t>
      </w:r>
      <w:r w:rsidRPr="00C24ACA">
        <w:rPr>
          <w:rFonts w:eastAsiaTheme="minorEastAsia"/>
          <w:kern w:val="0"/>
          <w:szCs w:val="21"/>
        </w:rPr>
        <w:t>C</w:t>
      </w:r>
      <w:r w:rsidRPr="00C24ACA">
        <w:rPr>
          <w:rFonts w:eastAsiaTheme="minorEastAsia"/>
          <w:kern w:val="0"/>
          <w:szCs w:val="21"/>
        </w:rPr>
        <w:t>类人民币份额及</w:t>
      </w:r>
      <w:r w:rsidRPr="00C24ACA">
        <w:rPr>
          <w:rFonts w:eastAsiaTheme="minorEastAsia"/>
          <w:kern w:val="0"/>
          <w:szCs w:val="21"/>
        </w:rPr>
        <w:t>C</w:t>
      </w:r>
      <w:r w:rsidRPr="00C24ACA">
        <w:rPr>
          <w:rFonts w:eastAsiaTheme="minorEastAsia"/>
          <w:kern w:val="0"/>
          <w:szCs w:val="21"/>
        </w:rPr>
        <w:t>类美元份额。</w:t>
      </w:r>
      <w:bookmarkEnd w:id="306"/>
      <w:bookmarkEnd w:id="307"/>
    </w:p>
    <w:p w:rsidR="000B6328" w:rsidRPr="00A317EA" w:rsidRDefault="00251D61" w:rsidP="006C64F3">
      <w:pPr>
        <w:pStyle w:val="20"/>
        <w:spacing w:beforeLines="100" w:before="312" w:after="0"/>
        <w:rPr>
          <w:rFonts w:ascii="Times New Roman" w:eastAsiaTheme="minorEastAsia" w:hAnsi="Times New Roman"/>
          <w:kern w:val="0"/>
          <w:sz w:val="21"/>
          <w:szCs w:val="21"/>
        </w:rPr>
      </w:pPr>
      <w:bookmarkStart w:id="308" w:name="_Toc48659068"/>
      <w:r w:rsidRPr="0087359D">
        <w:rPr>
          <w:rFonts w:ascii="宋体" w:hAnsi="宋体"/>
          <w:kern w:val="0"/>
          <w:sz w:val="21"/>
          <w:szCs w:val="21"/>
        </w:rPr>
        <w:t>8.3</w:t>
      </w:r>
      <w:r w:rsidR="00982AAE" w:rsidRPr="009A2157">
        <w:rPr>
          <w:rFonts w:ascii="Times New Roman" w:eastAsiaTheme="minorEastAsia" w:hAnsi="Times New Roman"/>
          <w:kern w:val="0"/>
          <w:sz w:val="21"/>
          <w:szCs w:val="21"/>
        </w:rPr>
        <w:t xml:space="preserve">   </w:t>
      </w:r>
      <w:r w:rsidR="000B6328" w:rsidRPr="00A317EA">
        <w:rPr>
          <w:rFonts w:ascii="Times New Roman" w:eastAsiaTheme="minorEastAsia" w:hAnsi="Times New Roman"/>
          <w:kern w:val="0"/>
          <w:sz w:val="21"/>
          <w:szCs w:val="21"/>
        </w:rPr>
        <w:t>期末基金管理人的从业人员持有本开放式基金份额总量区间的情况</w:t>
      </w:r>
      <w:bookmarkEnd w:id="30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232443" w:rsidRPr="00C24ACA" w:rsidTr="00D0593F">
        <w:trPr>
          <w:trHeight w:val="285"/>
        </w:trPr>
        <w:tc>
          <w:tcPr>
            <w:tcW w:w="2548"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项目</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份额级别</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持有基金份额总量的数量区间（万份）</w:t>
            </w:r>
          </w:p>
        </w:tc>
      </w:tr>
      <w:tr w:rsidR="00232443" w:rsidRPr="00C24ACA" w:rsidTr="00D0593F">
        <w:trPr>
          <w:trHeight w:val="285"/>
        </w:trPr>
        <w:tc>
          <w:tcPr>
            <w:tcW w:w="2548" w:type="dxa"/>
            <w:vMerge w:val="restart"/>
            <w:shd w:val="clear" w:color="auto" w:fill="auto"/>
            <w:tcMar>
              <w:top w:w="0" w:type="dxa"/>
              <w:left w:w="108" w:type="dxa"/>
              <w:bottom w:w="0" w:type="dxa"/>
              <w:right w:w="108" w:type="dxa"/>
            </w:tcMar>
            <w:vAlign w:val="center"/>
            <w:hideMark/>
          </w:tcPr>
          <w:p w:rsidR="00232443" w:rsidRPr="00C24ACA" w:rsidRDefault="00232443" w:rsidP="005C3575">
            <w:pPr>
              <w:widowControl/>
              <w:jc w:val="left"/>
              <w:rPr>
                <w:rFonts w:eastAsiaTheme="minorEastAsia"/>
                <w:kern w:val="0"/>
                <w:szCs w:val="21"/>
              </w:rPr>
            </w:pPr>
            <w:r w:rsidRPr="00C24ACA">
              <w:rPr>
                <w:rFonts w:eastAsiaTheme="minorEastAsia"/>
                <w:kern w:val="0"/>
                <w:szCs w:val="21"/>
              </w:rPr>
              <w:t>本公司高级管理人员、基金投资和研究部门负责人</w:t>
            </w:r>
            <w:r w:rsidRPr="00C24ACA">
              <w:rPr>
                <w:rFonts w:eastAsiaTheme="minor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易方达中证海外中国互联网</w:t>
            </w:r>
            <w:r w:rsidRPr="00C24ACA">
              <w:rPr>
                <w:rFonts w:eastAsiaTheme="minorEastAsia"/>
                <w:kern w:val="0"/>
                <w:szCs w:val="21"/>
              </w:rPr>
              <w:t>50ETF</w:t>
            </w:r>
            <w:r w:rsidRPr="00C24ACA">
              <w:rPr>
                <w:rFonts w:eastAsiaTheme="minorEastAsia"/>
                <w:kern w:val="0"/>
                <w:szCs w:val="21"/>
              </w:rPr>
              <w:t>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D0593F">
        <w:trPr>
          <w:trHeight w:val="28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易方达中证海外中国互联网</w:t>
            </w:r>
            <w:r w:rsidRPr="00C24ACA">
              <w:rPr>
                <w:rFonts w:eastAsiaTheme="minorEastAsia"/>
                <w:kern w:val="0"/>
                <w:szCs w:val="21"/>
              </w:rPr>
              <w:t>50ETF</w:t>
            </w:r>
            <w:r w:rsidRPr="00C24ACA">
              <w:rPr>
                <w:rFonts w:eastAsiaTheme="minorEastAsia"/>
                <w:kern w:val="0"/>
                <w:szCs w:val="21"/>
              </w:rPr>
              <w:t>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D0593F">
        <w:trPr>
          <w:trHeight w:val="28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合计</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D0593F">
        <w:trPr>
          <w:trHeight w:val="285"/>
        </w:trPr>
        <w:tc>
          <w:tcPr>
            <w:tcW w:w="2548" w:type="dxa"/>
            <w:vMerge w:val="restart"/>
            <w:shd w:val="clear" w:color="auto" w:fill="auto"/>
            <w:tcMar>
              <w:top w:w="0" w:type="dxa"/>
              <w:left w:w="108" w:type="dxa"/>
              <w:bottom w:w="0" w:type="dxa"/>
              <w:right w:w="108" w:type="dxa"/>
            </w:tcMar>
            <w:vAlign w:val="center"/>
            <w:hideMark/>
          </w:tcPr>
          <w:p w:rsidR="00232443" w:rsidRPr="00C24ACA" w:rsidRDefault="00232443" w:rsidP="005C3575">
            <w:pPr>
              <w:widowControl/>
              <w:jc w:val="left"/>
              <w:rPr>
                <w:rFonts w:eastAsiaTheme="minorEastAsia"/>
                <w:kern w:val="0"/>
                <w:szCs w:val="21"/>
              </w:rPr>
            </w:pPr>
            <w:r w:rsidRPr="00C24ACA">
              <w:rPr>
                <w:rFonts w:eastAsiaTheme="minorEastAsia"/>
                <w:kern w:val="0"/>
                <w:szCs w:val="21"/>
              </w:rPr>
              <w:t>本基金基金经理</w:t>
            </w:r>
            <w:r w:rsidRPr="00C24ACA">
              <w:rPr>
                <w:rFonts w:eastAsiaTheme="minor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易方达中证海外中国互联网</w:t>
            </w:r>
            <w:r w:rsidRPr="00C24ACA">
              <w:rPr>
                <w:rFonts w:eastAsiaTheme="minorEastAsia"/>
                <w:kern w:val="0"/>
                <w:szCs w:val="21"/>
              </w:rPr>
              <w:t>50ETF</w:t>
            </w:r>
            <w:r w:rsidRPr="00C24ACA">
              <w:rPr>
                <w:rFonts w:eastAsiaTheme="minorEastAsia"/>
                <w:kern w:val="0"/>
                <w:szCs w:val="21"/>
              </w:rPr>
              <w:t>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D0593F">
        <w:trPr>
          <w:trHeight w:val="52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易方达中证海外中国互联网</w:t>
            </w:r>
            <w:r w:rsidRPr="00C24ACA">
              <w:rPr>
                <w:rFonts w:eastAsiaTheme="minorEastAsia"/>
                <w:kern w:val="0"/>
                <w:szCs w:val="21"/>
              </w:rPr>
              <w:t>50ETF</w:t>
            </w:r>
            <w:r w:rsidRPr="00C24ACA">
              <w:rPr>
                <w:rFonts w:eastAsiaTheme="minorEastAsia"/>
                <w:kern w:val="0"/>
                <w:szCs w:val="21"/>
              </w:rPr>
              <w:t>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D0593F">
        <w:trPr>
          <w:trHeight w:val="653"/>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合计</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bl>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09" w:name="_Toc225500053"/>
      <w:bookmarkStart w:id="310" w:name="_Toc352256009"/>
      <w:bookmarkStart w:id="311" w:name="_Toc352256077"/>
      <w:bookmarkStart w:id="312" w:name="_Toc352331255"/>
      <w:bookmarkStart w:id="313" w:name="_Toc390164839"/>
      <w:bookmarkStart w:id="314" w:name="_Toc48659069"/>
      <w:r w:rsidRPr="00A432E9">
        <w:rPr>
          <w:rFonts w:ascii="Times New Roman" w:hAnsi="Times New Roman"/>
          <w:bCs w:val="0"/>
          <w:color w:val="000000"/>
          <w:sz w:val="21"/>
          <w:szCs w:val="21"/>
        </w:rPr>
        <w:t>9</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开放式基金份额变动</w:t>
      </w:r>
      <w:bookmarkEnd w:id="309"/>
      <w:bookmarkEnd w:id="310"/>
      <w:bookmarkEnd w:id="311"/>
      <w:bookmarkEnd w:id="312"/>
      <w:bookmarkEnd w:id="313"/>
      <w:bookmarkEnd w:id="314"/>
    </w:p>
    <w:p w:rsidR="008A5A5D" w:rsidRPr="00C24ACA" w:rsidRDefault="008A5A5D" w:rsidP="002116B9">
      <w:pPr>
        <w:jc w:val="right"/>
        <w:rPr>
          <w:rFonts w:eastAsiaTheme="minorEastAsia"/>
          <w:szCs w:val="21"/>
        </w:rPr>
      </w:pPr>
      <w:r w:rsidRPr="00C24ACA">
        <w:rPr>
          <w:rFonts w:eastAsiaTheme="minorEastAsia"/>
          <w:szCs w:val="21"/>
        </w:rPr>
        <w:t>单位：份</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DE1120" w:rsidRPr="00C24ACA" w:rsidTr="005C3575">
        <w:tc>
          <w:tcPr>
            <w:tcW w:w="1771" w:type="pct"/>
            <w:vAlign w:val="center"/>
          </w:tcPr>
          <w:p w:rsidR="00DE1120" w:rsidRPr="00C24ACA" w:rsidRDefault="00DE1120" w:rsidP="005C3575">
            <w:pPr>
              <w:jc w:val="center"/>
              <w:rPr>
                <w:rFonts w:eastAsiaTheme="minorEastAsia"/>
                <w:szCs w:val="21"/>
              </w:rPr>
            </w:pPr>
            <w:r w:rsidRPr="00C24ACA">
              <w:rPr>
                <w:rFonts w:eastAsiaTheme="minorEastAsia"/>
                <w:szCs w:val="21"/>
              </w:rPr>
              <w:t>项目</w:t>
            </w:r>
          </w:p>
        </w:tc>
        <w:tc>
          <w:tcPr>
            <w:tcW w:w="1614" w:type="pct"/>
            <w:vAlign w:val="center"/>
          </w:tcPr>
          <w:p w:rsidR="00DE1120" w:rsidRPr="00C24ACA" w:rsidRDefault="00DE1120" w:rsidP="005C3575">
            <w:pPr>
              <w:jc w:val="center"/>
              <w:rPr>
                <w:rFonts w:eastAsiaTheme="minorEastAsia"/>
                <w:szCs w:val="21"/>
              </w:rPr>
            </w:pPr>
            <w:r w:rsidRPr="00C24ACA">
              <w:rPr>
                <w:rFonts w:eastAsiaTheme="minorEastAsia"/>
                <w:szCs w:val="21"/>
              </w:rPr>
              <w:t>易方达中证海外中国互联网</w:t>
            </w:r>
            <w:r w:rsidRPr="00C24ACA">
              <w:rPr>
                <w:rFonts w:eastAsiaTheme="minorEastAsia"/>
                <w:szCs w:val="21"/>
              </w:rPr>
              <w:t>50ETF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1615" w:type="pct"/>
            <w:vAlign w:val="center"/>
          </w:tcPr>
          <w:p w:rsidR="00DE1120" w:rsidRPr="00C24ACA" w:rsidRDefault="00DE1120" w:rsidP="005C3575">
            <w:pPr>
              <w:jc w:val="center"/>
              <w:rPr>
                <w:rFonts w:eastAsiaTheme="minorEastAsia"/>
                <w:szCs w:val="21"/>
              </w:rPr>
            </w:pPr>
            <w:r w:rsidRPr="00C24ACA">
              <w:rPr>
                <w:rFonts w:eastAsiaTheme="minorEastAsia"/>
                <w:szCs w:val="21"/>
              </w:rPr>
              <w:t>易方达中证海外中国互联网</w:t>
            </w:r>
            <w:r w:rsidRPr="00C24ACA">
              <w:rPr>
                <w:rFonts w:eastAsiaTheme="minorEastAsia"/>
                <w:szCs w:val="21"/>
              </w:rPr>
              <w:t>50ETF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DE1120" w:rsidRPr="00C24ACA" w:rsidTr="005C3575">
        <w:tc>
          <w:tcPr>
            <w:tcW w:w="1771" w:type="pct"/>
          </w:tcPr>
          <w:p w:rsidR="00DE1120" w:rsidRPr="00C24ACA" w:rsidRDefault="00DE1120" w:rsidP="005C3575">
            <w:pPr>
              <w:rPr>
                <w:rFonts w:eastAsiaTheme="minorEastAsia"/>
                <w:szCs w:val="21"/>
              </w:rPr>
            </w:pPr>
            <w:r w:rsidRPr="00C24ACA">
              <w:rPr>
                <w:rFonts w:eastAsiaTheme="minorEastAsia"/>
                <w:szCs w:val="21"/>
              </w:rPr>
              <w:t>基金合同生效日（</w:t>
            </w:r>
            <w:r w:rsidRPr="00C24ACA">
              <w:rPr>
                <w:rFonts w:eastAsiaTheme="minorEastAsia"/>
                <w:szCs w:val="21"/>
              </w:rPr>
              <w:t>2019</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18</w:t>
            </w:r>
            <w:r w:rsidRPr="00C24ACA">
              <w:rPr>
                <w:rFonts w:eastAsiaTheme="minorEastAsia"/>
                <w:szCs w:val="21"/>
              </w:rPr>
              <w:t>日）基金份额总额</w:t>
            </w:r>
          </w:p>
        </w:tc>
        <w:tc>
          <w:tcPr>
            <w:tcW w:w="1614" w:type="pct"/>
            <w:vAlign w:val="center"/>
          </w:tcPr>
          <w:p w:rsidR="00DE1120" w:rsidRPr="00C24ACA" w:rsidRDefault="00DE1120" w:rsidP="005C3575">
            <w:pPr>
              <w:jc w:val="right"/>
              <w:rPr>
                <w:rFonts w:eastAsiaTheme="minorEastAsia"/>
                <w:szCs w:val="21"/>
              </w:rPr>
            </w:pPr>
            <w:r w:rsidRPr="00C24ACA">
              <w:rPr>
                <w:rFonts w:eastAsiaTheme="minorEastAsia"/>
                <w:szCs w:val="21"/>
              </w:rPr>
              <w:t>31,839,071.46</w:t>
            </w:r>
          </w:p>
        </w:tc>
        <w:tc>
          <w:tcPr>
            <w:tcW w:w="1615" w:type="pct"/>
            <w:vAlign w:val="center"/>
          </w:tcPr>
          <w:p w:rsidR="00DE1120" w:rsidRPr="00C24ACA" w:rsidRDefault="00DE1120" w:rsidP="005C3575">
            <w:pPr>
              <w:jc w:val="right"/>
              <w:rPr>
                <w:rFonts w:eastAsiaTheme="minorEastAsia"/>
                <w:szCs w:val="21"/>
              </w:rPr>
            </w:pPr>
            <w:r w:rsidRPr="00C24ACA">
              <w:rPr>
                <w:rFonts w:eastAsiaTheme="minorEastAsia"/>
                <w:szCs w:val="21"/>
              </w:rPr>
              <w:t>404,099,454.41</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本报告期期初基金份额总额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114,226,520.89</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20,763,545.15</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本报告期基金总申购份额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584,417,653.24</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49,781,180.10</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减：本报告期基金总赎回份额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170,490,188.72</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44,055,735.53</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本报告期基金拆分变动份额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本报告期期末基金份额总额</w:t>
            </w:r>
          </w:p>
        </w:tc>
        <w:tc>
          <w:tcPr>
            <w:tcW w:w="1614" w:type="pct"/>
            <w:vAlign w:val="center"/>
          </w:tcPr>
          <w:p w:rsidR="00DE1120" w:rsidRPr="00C24ACA" w:rsidRDefault="00DE1120" w:rsidP="005C3575">
            <w:pPr>
              <w:jc w:val="right"/>
              <w:rPr>
                <w:rFonts w:eastAsiaTheme="minorEastAsia"/>
                <w:szCs w:val="21"/>
              </w:rPr>
            </w:pPr>
            <w:r w:rsidRPr="00C24ACA">
              <w:rPr>
                <w:rFonts w:eastAsiaTheme="minorEastAsia"/>
                <w:szCs w:val="21"/>
              </w:rPr>
              <w:t>528,153,985.41</w:t>
            </w:r>
          </w:p>
        </w:tc>
        <w:tc>
          <w:tcPr>
            <w:tcW w:w="1615" w:type="pct"/>
            <w:vAlign w:val="center"/>
          </w:tcPr>
          <w:p w:rsidR="00DE1120" w:rsidRPr="00C24ACA" w:rsidRDefault="00DE1120" w:rsidP="005C3575">
            <w:pPr>
              <w:jc w:val="right"/>
              <w:rPr>
                <w:rFonts w:eastAsiaTheme="minorEastAsia"/>
                <w:szCs w:val="21"/>
              </w:rPr>
            </w:pPr>
            <w:r w:rsidRPr="00C24ACA">
              <w:rPr>
                <w:rFonts w:eastAsiaTheme="minorEastAsia"/>
                <w:szCs w:val="21"/>
              </w:rPr>
              <w:t>26,488,989.72</w:t>
            </w:r>
          </w:p>
        </w:tc>
      </w:tr>
    </w:tbl>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注：易方达中证海外中国互联网</w:t>
      </w:r>
      <w:r w:rsidRPr="00C24ACA">
        <w:rPr>
          <w:rFonts w:eastAsiaTheme="minorEastAsia"/>
          <w:kern w:val="0"/>
          <w:szCs w:val="21"/>
        </w:rPr>
        <w:t>50ETF</w:t>
      </w:r>
      <w:r w:rsidRPr="00C24ACA">
        <w:rPr>
          <w:rFonts w:eastAsiaTheme="minorEastAsia"/>
          <w:kern w:val="0"/>
          <w:szCs w:val="21"/>
        </w:rPr>
        <w:t>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r w:rsidRPr="00C24ACA">
        <w:rPr>
          <w:rFonts w:eastAsiaTheme="minorEastAsia"/>
          <w:kern w:val="0"/>
          <w:szCs w:val="21"/>
        </w:rPr>
        <w:t>份额变动含</w:t>
      </w:r>
      <w:r w:rsidRPr="00C24ACA">
        <w:rPr>
          <w:rFonts w:eastAsiaTheme="minorEastAsia"/>
          <w:kern w:val="0"/>
          <w:szCs w:val="21"/>
        </w:rPr>
        <w:t>A</w:t>
      </w:r>
      <w:r w:rsidRPr="00C24ACA">
        <w:rPr>
          <w:rFonts w:eastAsiaTheme="minorEastAsia"/>
          <w:kern w:val="0"/>
          <w:szCs w:val="21"/>
        </w:rPr>
        <w:t>类人民币份额及</w:t>
      </w:r>
      <w:r w:rsidRPr="00C24ACA">
        <w:rPr>
          <w:rFonts w:eastAsiaTheme="minorEastAsia"/>
          <w:kern w:val="0"/>
          <w:szCs w:val="21"/>
        </w:rPr>
        <w:t>A</w:t>
      </w:r>
      <w:r w:rsidRPr="00C24ACA">
        <w:rPr>
          <w:rFonts w:eastAsiaTheme="minorEastAsia"/>
          <w:kern w:val="0"/>
          <w:szCs w:val="21"/>
        </w:rPr>
        <w:t>类美元份额；易方达中证海外中国互联网</w:t>
      </w:r>
      <w:r w:rsidRPr="00C24ACA">
        <w:rPr>
          <w:rFonts w:eastAsiaTheme="minorEastAsia"/>
          <w:kern w:val="0"/>
          <w:szCs w:val="21"/>
        </w:rPr>
        <w:t>50ETF</w:t>
      </w:r>
      <w:r w:rsidRPr="00C24ACA">
        <w:rPr>
          <w:rFonts w:eastAsiaTheme="minorEastAsia"/>
          <w:kern w:val="0"/>
          <w:szCs w:val="21"/>
        </w:rPr>
        <w:t>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份额变动含</w:t>
      </w:r>
      <w:r w:rsidRPr="00C24ACA">
        <w:rPr>
          <w:rFonts w:eastAsiaTheme="minorEastAsia"/>
          <w:kern w:val="0"/>
          <w:szCs w:val="21"/>
        </w:rPr>
        <w:t>C</w:t>
      </w:r>
      <w:r w:rsidRPr="00C24ACA">
        <w:rPr>
          <w:rFonts w:eastAsiaTheme="minorEastAsia"/>
          <w:kern w:val="0"/>
          <w:szCs w:val="21"/>
        </w:rPr>
        <w:t>类人民币份额及</w:t>
      </w:r>
      <w:r w:rsidRPr="00C24ACA">
        <w:rPr>
          <w:rFonts w:eastAsiaTheme="minorEastAsia"/>
          <w:kern w:val="0"/>
          <w:szCs w:val="21"/>
        </w:rPr>
        <w:t>C</w:t>
      </w:r>
      <w:r w:rsidRPr="00C24ACA">
        <w:rPr>
          <w:rFonts w:eastAsiaTheme="minorEastAsia"/>
          <w:kern w:val="0"/>
          <w:szCs w:val="21"/>
        </w:rPr>
        <w:t>类美元份额。</w:t>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15" w:name="_Toc225500054"/>
      <w:bookmarkStart w:id="316" w:name="_Toc352256010"/>
      <w:bookmarkStart w:id="317" w:name="_Toc352256078"/>
      <w:bookmarkStart w:id="318" w:name="_Toc352331256"/>
      <w:bookmarkStart w:id="319" w:name="_Toc390164840"/>
      <w:bookmarkStart w:id="320" w:name="_Toc48659070"/>
      <w:r w:rsidRPr="000C6CCD">
        <w:rPr>
          <w:rFonts w:ascii="宋体" w:hAnsi="宋体"/>
          <w:bCs w:val="0"/>
          <w:color w:val="000000"/>
          <w:sz w:val="21"/>
          <w:szCs w:val="21"/>
        </w:rPr>
        <w:t>10</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重大事件揭示</w:t>
      </w:r>
      <w:bookmarkEnd w:id="315"/>
      <w:bookmarkEnd w:id="316"/>
      <w:bookmarkEnd w:id="317"/>
      <w:bookmarkEnd w:id="318"/>
      <w:bookmarkEnd w:id="319"/>
      <w:bookmarkEnd w:id="320"/>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21" w:name="_Toc352256011"/>
      <w:bookmarkStart w:id="322" w:name="_Toc352256079"/>
      <w:bookmarkStart w:id="323" w:name="_Toc352331257"/>
      <w:bookmarkStart w:id="324" w:name="_Toc390164841"/>
      <w:bookmarkStart w:id="325" w:name="_Toc48659071"/>
      <w:r w:rsidRPr="0087359D">
        <w:rPr>
          <w:rFonts w:ascii="宋体" w:hAnsi="宋体"/>
          <w:kern w:val="0"/>
          <w:sz w:val="21"/>
          <w:szCs w:val="21"/>
        </w:rPr>
        <w:t>10.</w:t>
      </w:r>
      <w:r w:rsidR="00F0322F">
        <w:rPr>
          <w:rFonts w:ascii="宋体" w:hAnsi="宋体" w:hint="eastAsia"/>
          <w:kern w:val="0"/>
          <w:sz w:val="21"/>
          <w:szCs w:val="21"/>
        </w:rPr>
        <w:t>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基金份额持有人大会决议</w:t>
      </w:r>
      <w:bookmarkEnd w:id="321"/>
      <w:bookmarkEnd w:id="322"/>
      <w:bookmarkEnd w:id="323"/>
      <w:bookmarkEnd w:id="324"/>
      <w:bookmarkEnd w:id="325"/>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本报告期内未召开基金份额持有人大会。</w:t>
      </w:r>
    </w:p>
    <w:p w:rsidR="008A5A5D" w:rsidRPr="00C24ACA" w:rsidRDefault="00F0322F" w:rsidP="006C64F3">
      <w:pPr>
        <w:pStyle w:val="20"/>
        <w:spacing w:beforeLines="100" w:before="312" w:after="0"/>
        <w:rPr>
          <w:rFonts w:ascii="Times New Roman" w:eastAsiaTheme="minorEastAsia" w:hAnsi="Times New Roman"/>
          <w:kern w:val="0"/>
          <w:sz w:val="21"/>
          <w:szCs w:val="21"/>
        </w:rPr>
      </w:pPr>
      <w:bookmarkStart w:id="326" w:name="_Toc352256012"/>
      <w:bookmarkStart w:id="327" w:name="_Toc352256080"/>
      <w:bookmarkStart w:id="328" w:name="_Toc352331258"/>
      <w:bookmarkStart w:id="329" w:name="_Toc390164842"/>
      <w:bookmarkStart w:id="330" w:name="_Toc48659072"/>
      <w:r w:rsidRPr="0087359D">
        <w:rPr>
          <w:rFonts w:ascii="宋体" w:hAnsi="宋体"/>
          <w:kern w:val="0"/>
          <w:sz w:val="21"/>
          <w:szCs w:val="21"/>
        </w:rPr>
        <w:t>10.</w:t>
      </w:r>
      <w:r>
        <w:rPr>
          <w:rFonts w:ascii="宋体" w:hAnsi="宋体" w:hint="eastAsia"/>
          <w:kern w:val="0"/>
          <w:sz w:val="21"/>
          <w:szCs w:val="21"/>
        </w:rPr>
        <w:t>2</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基金管理人、基金托管人的专门基金托管部门的重大人事变动</w:t>
      </w:r>
      <w:bookmarkEnd w:id="326"/>
      <w:bookmarkEnd w:id="327"/>
      <w:bookmarkEnd w:id="328"/>
      <w:bookmarkEnd w:id="329"/>
      <w:bookmarkEnd w:id="330"/>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本基金管理人于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22</w:t>
      </w:r>
      <w:r>
        <w:rPr>
          <w:rFonts w:eastAsiaTheme="minorEastAsia"/>
          <w:kern w:val="0"/>
          <w:szCs w:val="21"/>
        </w:rPr>
        <w:t>日发布公告，自</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22</w:t>
      </w:r>
      <w:r>
        <w:rPr>
          <w:rFonts w:eastAsiaTheme="minorEastAsia"/>
          <w:kern w:val="0"/>
          <w:szCs w:val="21"/>
        </w:rPr>
        <w:t>日起聘任张坤先生、陈丽园女士担任公司副总经理级高级管理人员。</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本报告期内本基金托管人的专门基金托管部门未发生重大人事变动。</w:t>
      </w:r>
    </w:p>
    <w:p w:rsidR="008A5A5D" w:rsidRPr="00C24ACA" w:rsidRDefault="00F0322F" w:rsidP="006C64F3">
      <w:pPr>
        <w:pStyle w:val="20"/>
        <w:spacing w:beforeLines="100" w:before="312" w:after="0"/>
        <w:rPr>
          <w:rFonts w:ascii="Times New Roman" w:eastAsiaTheme="minorEastAsia" w:hAnsi="Times New Roman"/>
          <w:kern w:val="0"/>
          <w:sz w:val="21"/>
          <w:szCs w:val="21"/>
        </w:rPr>
      </w:pPr>
      <w:bookmarkStart w:id="331" w:name="_Toc352256013"/>
      <w:bookmarkStart w:id="332" w:name="_Toc352256081"/>
      <w:bookmarkStart w:id="333" w:name="_Toc352331259"/>
      <w:bookmarkStart w:id="334" w:name="_Toc390164843"/>
      <w:bookmarkStart w:id="335" w:name="_Toc48659073"/>
      <w:r w:rsidRPr="0087359D">
        <w:rPr>
          <w:rFonts w:ascii="宋体" w:hAnsi="宋体"/>
          <w:kern w:val="0"/>
          <w:sz w:val="21"/>
          <w:szCs w:val="21"/>
        </w:rPr>
        <w:t>10.</w:t>
      </w:r>
      <w:r>
        <w:rPr>
          <w:rFonts w:ascii="宋体" w:hAnsi="宋体" w:hint="eastAsia"/>
          <w:kern w:val="0"/>
          <w:sz w:val="21"/>
          <w:szCs w:val="21"/>
        </w:rPr>
        <w:t>3</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涉及基金管理人、基金财产、基金托管业务的诉讼</w:t>
      </w:r>
      <w:bookmarkEnd w:id="331"/>
      <w:bookmarkEnd w:id="332"/>
      <w:bookmarkEnd w:id="333"/>
      <w:bookmarkEnd w:id="334"/>
      <w:bookmarkEnd w:id="335"/>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本报告期内无涉及本基金管理人、基金财产、基金托管业务的诉讼事项。</w:t>
      </w:r>
    </w:p>
    <w:p w:rsidR="008A5A5D" w:rsidRPr="00C24ACA" w:rsidRDefault="00F0322F" w:rsidP="006C64F3">
      <w:pPr>
        <w:pStyle w:val="20"/>
        <w:spacing w:beforeLines="100" w:before="312" w:after="0"/>
        <w:rPr>
          <w:rFonts w:ascii="Times New Roman" w:eastAsiaTheme="minorEastAsia" w:hAnsi="Times New Roman"/>
          <w:kern w:val="0"/>
          <w:sz w:val="21"/>
          <w:szCs w:val="21"/>
        </w:rPr>
      </w:pPr>
      <w:bookmarkStart w:id="336" w:name="_Toc352256014"/>
      <w:bookmarkStart w:id="337" w:name="_Toc352256082"/>
      <w:bookmarkStart w:id="338" w:name="_Toc352331260"/>
      <w:bookmarkStart w:id="339" w:name="_Toc390164844"/>
      <w:bookmarkStart w:id="340" w:name="_Toc48659074"/>
      <w:r w:rsidRPr="0087359D">
        <w:rPr>
          <w:rFonts w:ascii="宋体" w:hAnsi="宋体"/>
          <w:kern w:val="0"/>
          <w:sz w:val="21"/>
          <w:szCs w:val="21"/>
        </w:rPr>
        <w:t>10.</w:t>
      </w:r>
      <w:r>
        <w:rPr>
          <w:rFonts w:ascii="宋体" w:hAnsi="宋体" w:hint="eastAsia"/>
          <w:kern w:val="0"/>
          <w:sz w:val="21"/>
          <w:szCs w:val="21"/>
        </w:rPr>
        <w:t>4</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基金投资策略的改变</w:t>
      </w:r>
      <w:bookmarkEnd w:id="336"/>
      <w:bookmarkEnd w:id="337"/>
      <w:bookmarkEnd w:id="338"/>
      <w:bookmarkEnd w:id="339"/>
      <w:bookmarkEnd w:id="340"/>
    </w:p>
    <w:p w:rsidR="00F0322F" w:rsidRPr="00F13227"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本报告期内本基金的投资策略未有重大变化。</w:t>
      </w:r>
    </w:p>
    <w:p w:rsidR="008A5A5D" w:rsidRPr="00C24ACA" w:rsidRDefault="00F0322F" w:rsidP="006C64F3">
      <w:pPr>
        <w:pStyle w:val="20"/>
        <w:spacing w:beforeLines="100" w:before="312" w:after="0"/>
        <w:rPr>
          <w:rFonts w:ascii="Times New Roman" w:eastAsiaTheme="minorEastAsia" w:hAnsi="Times New Roman"/>
          <w:kern w:val="0"/>
          <w:sz w:val="21"/>
          <w:szCs w:val="21"/>
        </w:rPr>
      </w:pPr>
      <w:bookmarkStart w:id="341" w:name="_Toc352256015"/>
      <w:bookmarkStart w:id="342" w:name="_Toc352256083"/>
      <w:bookmarkStart w:id="343" w:name="_Toc352331261"/>
      <w:bookmarkStart w:id="344" w:name="_Toc390164845"/>
      <w:bookmarkStart w:id="345" w:name="_Toc48659075"/>
      <w:r w:rsidRPr="0087359D">
        <w:rPr>
          <w:rFonts w:ascii="宋体" w:hAnsi="宋体"/>
          <w:kern w:val="0"/>
          <w:sz w:val="21"/>
          <w:szCs w:val="21"/>
        </w:rPr>
        <w:t>10.</w:t>
      </w:r>
      <w:r>
        <w:rPr>
          <w:rFonts w:ascii="宋体" w:hAnsi="宋体" w:hint="eastAsia"/>
          <w:kern w:val="0"/>
          <w:sz w:val="21"/>
          <w:szCs w:val="21"/>
        </w:rPr>
        <w:t>5</w:t>
      </w:r>
      <w:r w:rsidR="00982AAE" w:rsidRPr="009A2157">
        <w:rPr>
          <w:rFonts w:ascii="Times New Roman" w:eastAsiaTheme="minorEastAsia" w:hAnsi="Times New Roman"/>
          <w:kern w:val="0"/>
          <w:sz w:val="21"/>
          <w:szCs w:val="21"/>
        </w:rPr>
        <w:t xml:space="preserve">  </w:t>
      </w:r>
      <w:bookmarkEnd w:id="341"/>
      <w:bookmarkEnd w:id="342"/>
      <w:bookmarkEnd w:id="343"/>
      <w:bookmarkEnd w:id="344"/>
      <w:r w:rsidR="00C46FA8" w:rsidRPr="0087410D">
        <w:rPr>
          <w:rFonts w:ascii="宋体" w:hAnsi="宋体" w:hint="eastAsia"/>
          <w:kern w:val="0"/>
          <w:sz w:val="21"/>
          <w:szCs w:val="21"/>
        </w:rPr>
        <w:t>为基金进行审计的会计师事务所情况</w:t>
      </w:r>
      <w:bookmarkEnd w:id="345"/>
    </w:p>
    <w:p w:rsidR="008A5A5D" w:rsidRPr="00C24ACA" w:rsidRDefault="008A5A5D" w:rsidP="008707EB">
      <w:pPr>
        <w:tabs>
          <w:tab w:val="left" w:pos="426"/>
        </w:tabs>
        <w:spacing w:line="360" w:lineRule="auto"/>
        <w:ind w:firstLineChars="200" w:firstLine="420"/>
        <w:rPr>
          <w:rFonts w:eastAsiaTheme="minorEastAsia"/>
          <w:kern w:val="0"/>
          <w:szCs w:val="21"/>
        </w:rPr>
      </w:pPr>
      <w:bookmarkStart w:id="346" w:name="OLE_LINK3"/>
      <w:r w:rsidRPr="00C24ACA">
        <w:rPr>
          <w:rFonts w:eastAsiaTheme="minorEastAsia"/>
          <w:kern w:val="0"/>
          <w:szCs w:val="21"/>
        </w:rPr>
        <w:t>本报告期内本基金未改聘会计师事务所。</w:t>
      </w:r>
    </w:p>
    <w:p w:rsidR="008A5A5D" w:rsidRPr="00C24ACA" w:rsidRDefault="00F0322F" w:rsidP="006C64F3">
      <w:pPr>
        <w:pStyle w:val="20"/>
        <w:spacing w:beforeLines="100" w:before="312" w:after="0"/>
        <w:rPr>
          <w:rFonts w:ascii="Times New Roman" w:eastAsiaTheme="minorEastAsia" w:hAnsi="Times New Roman"/>
          <w:kern w:val="0"/>
          <w:sz w:val="21"/>
          <w:szCs w:val="21"/>
        </w:rPr>
      </w:pPr>
      <w:bookmarkStart w:id="347" w:name="_Toc352256016"/>
      <w:bookmarkStart w:id="348" w:name="_Toc352256084"/>
      <w:bookmarkStart w:id="349" w:name="_Toc352331262"/>
      <w:bookmarkStart w:id="350" w:name="_Toc390164846"/>
      <w:bookmarkStart w:id="351" w:name="_Toc48659076"/>
      <w:bookmarkEnd w:id="346"/>
      <w:r w:rsidRPr="0087359D">
        <w:rPr>
          <w:rFonts w:ascii="宋体" w:hAnsi="宋体"/>
          <w:kern w:val="0"/>
          <w:sz w:val="21"/>
          <w:szCs w:val="21"/>
        </w:rPr>
        <w:t>10.</w:t>
      </w:r>
      <w:r>
        <w:rPr>
          <w:rFonts w:ascii="宋体" w:hAnsi="宋体" w:hint="eastAsia"/>
          <w:kern w:val="0"/>
          <w:sz w:val="21"/>
          <w:szCs w:val="21"/>
        </w:rPr>
        <w:t>6</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管理人、托管人及其高级管理人员受稽查或处罚等情况</w:t>
      </w:r>
      <w:bookmarkEnd w:id="347"/>
      <w:bookmarkEnd w:id="348"/>
      <w:bookmarkEnd w:id="349"/>
      <w:bookmarkEnd w:id="350"/>
      <w:bookmarkEnd w:id="351"/>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本报告期内，本基金管理人和托管人托管业务部门及其相关高级管理人员未受到稽查或处罚。</w:t>
      </w:r>
    </w:p>
    <w:p w:rsidR="008A5A5D" w:rsidRPr="00C24ACA" w:rsidRDefault="00F0322F" w:rsidP="006C64F3">
      <w:pPr>
        <w:pStyle w:val="20"/>
        <w:spacing w:beforeLines="100" w:before="312" w:after="0"/>
        <w:rPr>
          <w:rFonts w:ascii="Times New Roman" w:eastAsiaTheme="minorEastAsia" w:hAnsi="Times New Roman"/>
          <w:kern w:val="0"/>
          <w:sz w:val="21"/>
          <w:szCs w:val="21"/>
        </w:rPr>
      </w:pPr>
      <w:bookmarkStart w:id="352" w:name="_Toc352256017"/>
      <w:bookmarkStart w:id="353" w:name="_Toc352256085"/>
      <w:bookmarkStart w:id="354" w:name="_Toc352331263"/>
      <w:bookmarkStart w:id="355" w:name="_Toc390164847"/>
      <w:bookmarkStart w:id="356" w:name="_Toc48659077"/>
      <w:r w:rsidRPr="0087359D">
        <w:rPr>
          <w:rFonts w:ascii="宋体" w:hAnsi="宋体"/>
          <w:kern w:val="0"/>
          <w:sz w:val="21"/>
          <w:szCs w:val="21"/>
        </w:rPr>
        <w:t>10.</w:t>
      </w:r>
      <w:r>
        <w:rPr>
          <w:rFonts w:ascii="宋体" w:hAnsi="宋体" w:hint="eastAsia"/>
          <w:kern w:val="0"/>
          <w:sz w:val="21"/>
          <w:szCs w:val="21"/>
        </w:rPr>
        <w:t>7</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基金租用证券公司交易单元的有关情况</w:t>
      </w:r>
      <w:bookmarkEnd w:id="352"/>
      <w:bookmarkEnd w:id="353"/>
      <w:bookmarkEnd w:id="354"/>
      <w:bookmarkEnd w:id="355"/>
      <w:bookmarkEnd w:id="356"/>
    </w:p>
    <w:p w:rsidR="008A5A5D" w:rsidRPr="00C24ACA" w:rsidRDefault="000D1F25" w:rsidP="00E92B70">
      <w:pPr>
        <w:spacing w:line="360" w:lineRule="auto"/>
        <w:rPr>
          <w:rFonts w:eastAsiaTheme="minorEastAsia"/>
          <w:b/>
          <w:szCs w:val="21"/>
        </w:rPr>
      </w:pPr>
      <w:bookmarkStart w:id="357" w:name="_Toc249760070"/>
      <w:r w:rsidRPr="00576CAF">
        <w:rPr>
          <w:rFonts w:eastAsiaTheme="minorEastAsia"/>
          <w:b/>
          <w:kern w:val="0"/>
          <w:szCs w:val="21"/>
        </w:rPr>
        <w:t>10</w:t>
      </w:r>
      <w:r>
        <w:rPr>
          <w:rFonts w:eastAsiaTheme="minorEastAsia"/>
          <w:b/>
          <w:szCs w:val="21"/>
        </w:rPr>
        <w:t>.</w:t>
      </w:r>
      <w:r>
        <w:rPr>
          <w:rFonts w:eastAsiaTheme="minorEastAsia" w:hint="eastAsia"/>
          <w:b/>
          <w:szCs w:val="21"/>
        </w:rPr>
        <w:t>7</w:t>
      </w:r>
      <w:r>
        <w:rPr>
          <w:rFonts w:eastAsiaTheme="minorEastAsia"/>
          <w:b/>
          <w:szCs w:val="21"/>
        </w:rPr>
        <w:t>.</w:t>
      </w:r>
      <w:r>
        <w:rPr>
          <w:rFonts w:eastAsiaTheme="minorEastAsia" w:hint="eastAsia"/>
          <w:b/>
          <w:szCs w:val="21"/>
        </w:rPr>
        <w:t>1</w:t>
      </w:r>
      <w:r w:rsidR="008A5A5D" w:rsidRPr="00C24ACA">
        <w:rPr>
          <w:rFonts w:eastAsiaTheme="minorEastAsia"/>
          <w:b/>
          <w:szCs w:val="21"/>
        </w:rPr>
        <w:t>基金租用证券公司交易单元进行股票投资及佣金支付情况</w:t>
      </w:r>
      <w:bookmarkEnd w:id="357"/>
    </w:p>
    <w:p w:rsidR="008A5A5D" w:rsidRPr="00C24ACA" w:rsidRDefault="008A5A5D" w:rsidP="008134C7">
      <w:pPr>
        <w:pStyle w:val="a0"/>
        <w:ind w:firstLineChars="2600" w:firstLine="5460"/>
        <w:jc w:val="right"/>
        <w:rPr>
          <w:rFonts w:eastAsiaTheme="minorEastAsia"/>
          <w:color w:val="000000"/>
          <w:szCs w:val="21"/>
        </w:rPr>
      </w:pPr>
      <w:r w:rsidRPr="00C24ACA">
        <w:rPr>
          <w:rFonts w:eastAsiaTheme="minor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8A5A5D" w:rsidRPr="00C24ACA" w:rsidTr="004A4847">
        <w:tc>
          <w:tcPr>
            <w:tcW w:w="1560" w:type="dxa"/>
            <w:vMerge w:val="restart"/>
            <w:vAlign w:val="center"/>
          </w:tcPr>
          <w:p w:rsidR="008A5A5D" w:rsidRPr="00C24ACA" w:rsidRDefault="008A5A5D" w:rsidP="004A4847">
            <w:pPr>
              <w:jc w:val="center"/>
              <w:rPr>
                <w:rFonts w:eastAsiaTheme="minorEastAsia"/>
                <w:color w:val="000000"/>
                <w:szCs w:val="21"/>
              </w:rPr>
            </w:pPr>
            <w:bookmarkStart w:id="358" w:name="_Toc249760071"/>
            <w:r w:rsidRPr="00C24ACA">
              <w:rPr>
                <w:rFonts w:eastAsiaTheme="minorEastAsia"/>
                <w:color w:val="000000"/>
                <w:szCs w:val="21"/>
              </w:rPr>
              <w:t>券商名称</w:t>
            </w:r>
          </w:p>
        </w:tc>
        <w:tc>
          <w:tcPr>
            <w:tcW w:w="780" w:type="dxa"/>
            <w:vMerge w:val="restart"/>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交易单元数量</w:t>
            </w:r>
          </w:p>
        </w:tc>
        <w:tc>
          <w:tcPr>
            <w:tcW w:w="288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股票交易</w:t>
            </w:r>
          </w:p>
        </w:tc>
        <w:tc>
          <w:tcPr>
            <w:tcW w:w="270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应支付该券商的佣金</w:t>
            </w:r>
          </w:p>
        </w:tc>
        <w:tc>
          <w:tcPr>
            <w:tcW w:w="1080" w:type="dxa"/>
            <w:vMerge w:val="restart"/>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备注</w:t>
            </w:r>
          </w:p>
        </w:tc>
      </w:tr>
      <w:tr w:rsidR="008A5A5D" w:rsidRPr="00C24ACA" w:rsidTr="004A4847">
        <w:tc>
          <w:tcPr>
            <w:tcW w:w="9000" w:type="dxa"/>
            <w:vMerge/>
            <w:vAlign w:val="center"/>
          </w:tcPr>
          <w:p w:rsidR="008A5A5D" w:rsidRPr="00C24ACA" w:rsidRDefault="008A5A5D" w:rsidP="004A4847">
            <w:pPr>
              <w:widowControl/>
              <w:jc w:val="left"/>
              <w:rPr>
                <w:rFonts w:eastAsiaTheme="minorEastAsia"/>
                <w:color w:val="000000"/>
                <w:szCs w:val="21"/>
              </w:rPr>
            </w:pPr>
          </w:p>
        </w:tc>
        <w:tc>
          <w:tcPr>
            <w:tcW w:w="780" w:type="dxa"/>
            <w:vMerge/>
            <w:vAlign w:val="center"/>
          </w:tcPr>
          <w:p w:rsidR="008A5A5D" w:rsidRPr="00C24ACA" w:rsidRDefault="008A5A5D" w:rsidP="004A4847">
            <w:pPr>
              <w:widowControl/>
              <w:jc w:val="left"/>
              <w:rPr>
                <w:rFonts w:eastAsiaTheme="minorEastAsia"/>
                <w:color w:val="000000"/>
                <w:szCs w:val="21"/>
              </w:rPr>
            </w:pPr>
          </w:p>
        </w:tc>
        <w:tc>
          <w:tcPr>
            <w:tcW w:w="180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成交金额</w:t>
            </w:r>
          </w:p>
        </w:tc>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占当期股票成交总额的比例</w:t>
            </w:r>
          </w:p>
        </w:tc>
        <w:tc>
          <w:tcPr>
            <w:tcW w:w="1620"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佣金</w:t>
            </w:r>
          </w:p>
        </w:tc>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占当期佣金总量的比例</w:t>
            </w:r>
          </w:p>
        </w:tc>
        <w:tc>
          <w:tcPr>
            <w:tcW w:w="1080" w:type="dxa"/>
            <w:vMerge/>
            <w:vAlign w:val="center"/>
          </w:tcPr>
          <w:p w:rsidR="008A5A5D" w:rsidRPr="00C24ACA" w:rsidRDefault="008A5A5D" w:rsidP="004A4847">
            <w:pPr>
              <w:widowControl/>
              <w:jc w:val="left"/>
              <w:rPr>
                <w:rFonts w:eastAsiaTheme="minorEastAsia"/>
                <w:color w:val="000000"/>
                <w:kern w:val="0"/>
                <w:szCs w:val="21"/>
              </w:rPr>
            </w:pPr>
          </w:p>
        </w:tc>
      </w:tr>
      <w:tr w:rsidR="007F3F42">
        <w:tc>
          <w:tcPr>
            <w:tcW w:w="1560" w:type="dxa"/>
            <w:vAlign w:val="center"/>
          </w:tcPr>
          <w:p w:rsidR="007F3F42" w:rsidRDefault="00781698">
            <w:pPr>
              <w:jc w:val="center"/>
            </w:pPr>
            <w:r>
              <w:rPr>
                <w:rFonts w:eastAsiaTheme="minorEastAsia"/>
                <w:color w:val="000000"/>
                <w:szCs w:val="21"/>
              </w:rPr>
              <w:t>高华证券</w:t>
            </w:r>
          </w:p>
        </w:tc>
        <w:tc>
          <w:tcPr>
            <w:tcW w:w="780" w:type="dxa"/>
            <w:vAlign w:val="center"/>
          </w:tcPr>
          <w:p w:rsidR="007F3F42" w:rsidRDefault="00781698">
            <w:pPr>
              <w:jc w:val="right"/>
            </w:pPr>
            <w:r>
              <w:rPr>
                <w:rFonts w:eastAsiaTheme="minorEastAsia"/>
                <w:color w:val="000000"/>
                <w:szCs w:val="21"/>
              </w:rPr>
              <w:t>2</w:t>
            </w:r>
          </w:p>
        </w:tc>
        <w:tc>
          <w:tcPr>
            <w:tcW w:w="180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right"/>
            </w:pPr>
            <w:r>
              <w:rPr>
                <w:rFonts w:eastAsiaTheme="minorEastAsia"/>
                <w:color w:val="000000"/>
                <w:szCs w:val="21"/>
              </w:rPr>
              <w:t>-</w:t>
            </w:r>
          </w:p>
        </w:tc>
        <w:tc>
          <w:tcPr>
            <w:tcW w:w="162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left"/>
            </w:pPr>
            <w:r>
              <w:rPr>
                <w:rFonts w:eastAsiaTheme="minorEastAsia"/>
                <w:color w:val="000000"/>
                <w:szCs w:val="21"/>
              </w:rPr>
              <w:t>-</w:t>
            </w:r>
          </w:p>
        </w:tc>
      </w:tr>
      <w:tr w:rsidR="007F3F42">
        <w:tc>
          <w:tcPr>
            <w:tcW w:w="1560" w:type="dxa"/>
            <w:vAlign w:val="center"/>
          </w:tcPr>
          <w:p w:rsidR="007F3F42" w:rsidRDefault="00781698">
            <w:pPr>
              <w:jc w:val="center"/>
            </w:pPr>
            <w:r>
              <w:rPr>
                <w:rFonts w:eastAsiaTheme="minorEastAsia"/>
                <w:color w:val="000000"/>
                <w:szCs w:val="21"/>
              </w:rPr>
              <w:t>东方证券</w:t>
            </w:r>
          </w:p>
        </w:tc>
        <w:tc>
          <w:tcPr>
            <w:tcW w:w="780" w:type="dxa"/>
            <w:vAlign w:val="center"/>
          </w:tcPr>
          <w:p w:rsidR="007F3F42" w:rsidRDefault="00781698">
            <w:pPr>
              <w:jc w:val="right"/>
            </w:pPr>
            <w:r>
              <w:rPr>
                <w:rFonts w:eastAsiaTheme="minorEastAsia"/>
                <w:color w:val="000000"/>
                <w:szCs w:val="21"/>
              </w:rPr>
              <w:t>1</w:t>
            </w:r>
          </w:p>
        </w:tc>
        <w:tc>
          <w:tcPr>
            <w:tcW w:w="180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right"/>
            </w:pPr>
            <w:r>
              <w:rPr>
                <w:rFonts w:eastAsiaTheme="minorEastAsia"/>
                <w:color w:val="000000"/>
                <w:szCs w:val="21"/>
              </w:rPr>
              <w:t>-</w:t>
            </w:r>
          </w:p>
        </w:tc>
        <w:tc>
          <w:tcPr>
            <w:tcW w:w="162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left"/>
            </w:pPr>
            <w:r>
              <w:rPr>
                <w:rFonts w:eastAsiaTheme="minorEastAsia"/>
                <w:color w:val="000000"/>
                <w:szCs w:val="21"/>
              </w:rPr>
              <w:t>-</w:t>
            </w:r>
          </w:p>
        </w:tc>
      </w:tr>
      <w:tr w:rsidR="007F3F42">
        <w:tc>
          <w:tcPr>
            <w:tcW w:w="1560" w:type="dxa"/>
            <w:vAlign w:val="center"/>
          </w:tcPr>
          <w:p w:rsidR="007F3F42" w:rsidRDefault="00781698">
            <w:pPr>
              <w:jc w:val="center"/>
            </w:pPr>
            <w:r>
              <w:rPr>
                <w:rFonts w:eastAsiaTheme="minorEastAsia"/>
                <w:color w:val="000000"/>
                <w:szCs w:val="21"/>
              </w:rPr>
              <w:t>广发证券</w:t>
            </w:r>
          </w:p>
        </w:tc>
        <w:tc>
          <w:tcPr>
            <w:tcW w:w="780" w:type="dxa"/>
            <w:vAlign w:val="center"/>
          </w:tcPr>
          <w:p w:rsidR="007F3F42" w:rsidRDefault="00781698">
            <w:pPr>
              <w:jc w:val="right"/>
            </w:pPr>
            <w:r>
              <w:rPr>
                <w:rFonts w:eastAsiaTheme="minorEastAsia"/>
                <w:color w:val="000000"/>
                <w:szCs w:val="21"/>
              </w:rPr>
              <w:t>4</w:t>
            </w:r>
          </w:p>
        </w:tc>
        <w:tc>
          <w:tcPr>
            <w:tcW w:w="180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right"/>
            </w:pPr>
            <w:r>
              <w:rPr>
                <w:rFonts w:eastAsiaTheme="minorEastAsia"/>
                <w:color w:val="000000"/>
                <w:szCs w:val="21"/>
              </w:rPr>
              <w:t>-</w:t>
            </w:r>
          </w:p>
        </w:tc>
        <w:tc>
          <w:tcPr>
            <w:tcW w:w="162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left"/>
            </w:pPr>
            <w:r>
              <w:rPr>
                <w:rFonts w:eastAsiaTheme="minorEastAsia"/>
                <w:color w:val="000000"/>
                <w:szCs w:val="21"/>
              </w:rPr>
              <w:t>-</w:t>
            </w:r>
          </w:p>
        </w:tc>
      </w:tr>
      <w:tr w:rsidR="007F3F42">
        <w:tc>
          <w:tcPr>
            <w:tcW w:w="1560" w:type="dxa"/>
            <w:vAlign w:val="center"/>
          </w:tcPr>
          <w:p w:rsidR="007F3F42" w:rsidRDefault="00781698">
            <w:pPr>
              <w:jc w:val="center"/>
            </w:pPr>
            <w:r>
              <w:rPr>
                <w:rFonts w:eastAsiaTheme="minorEastAsia"/>
                <w:color w:val="000000"/>
                <w:szCs w:val="21"/>
              </w:rPr>
              <w:t>申万宏源</w:t>
            </w:r>
          </w:p>
        </w:tc>
        <w:tc>
          <w:tcPr>
            <w:tcW w:w="780" w:type="dxa"/>
            <w:vAlign w:val="center"/>
          </w:tcPr>
          <w:p w:rsidR="007F3F42" w:rsidRDefault="00781698">
            <w:pPr>
              <w:jc w:val="right"/>
            </w:pPr>
            <w:r>
              <w:rPr>
                <w:rFonts w:eastAsiaTheme="minorEastAsia"/>
                <w:color w:val="000000"/>
                <w:szCs w:val="21"/>
              </w:rPr>
              <w:t>1</w:t>
            </w:r>
          </w:p>
        </w:tc>
        <w:tc>
          <w:tcPr>
            <w:tcW w:w="180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right"/>
            </w:pPr>
            <w:r>
              <w:rPr>
                <w:rFonts w:eastAsiaTheme="minorEastAsia"/>
                <w:color w:val="000000"/>
                <w:szCs w:val="21"/>
              </w:rPr>
              <w:t>-</w:t>
            </w:r>
          </w:p>
        </w:tc>
        <w:tc>
          <w:tcPr>
            <w:tcW w:w="162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left"/>
            </w:pPr>
            <w:r>
              <w:rPr>
                <w:rFonts w:eastAsiaTheme="minorEastAsia"/>
                <w:color w:val="000000"/>
                <w:szCs w:val="21"/>
              </w:rPr>
              <w:t>-</w:t>
            </w:r>
          </w:p>
        </w:tc>
      </w:tr>
      <w:tr w:rsidR="007F3F42">
        <w:tc>
          <w:tcPr>
            <w:tcW w:w="1560" w:type="dxa"/>
            <w:vAlign w:val="center"/>
          </w:tcPr>
          <w:p w:rsidR="007F3F42" w:rsidRDefault="00781698">
            <w:pPr>
              <w:jc w:val="center"/>
            </w:pPr>
            <w:r>
              <w:rPr>
                <w:rFonts w:eastAsiaTheme="minorEastAsia"/>
                <w:color w:val="000000"/>
                <w:szCs w:val="21"/>
              </w:rPr>
              <w:t>新时代证券</w:t>
            </w:r>
          </w:p>
        </w:tc>
        <w:tc>
          <w:tcPr>
            <w:tcW w:w="780" w:type="dxa"/>
            <w:vAlign w:val="center"/>
          </w:tcPr>
          <w:p w:rsidR="007F3F42" w:rsidRDefault="00781698">
            <w:pPr>
              <w:jc w:val="right"/>
            </w:pPr>
            <w:r>
              <w:rPr>
                <w:rFonts w:eastAsiaTheme="minorEastAsia"/>
                <w:color w:val="000000"/>
                <w:szCs w:val="21"/>
              </w:rPr>
              <w:t>1</w:t>
            </w:r>
          </w:p>
        </w:tc>
        <w:tc>
          <w:tcPr>
            <w:tcW w:w="180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right"/>
            </w:pPr>
            <w:r>
              <w:rPr>
                <w:rFonts w:eastAsiaTheme="minorEastAsia"/>
                <w:color w:val="000000"/>
                <w:szCs w:val="21"/>
              </w:rPr>
              <w:t>-</w:t>
            </w:r>
          </w:p>
        </w:tc>
        <w:tc>
          <w:tcPr>
            <w:tcW w:w="162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left"/>
            </w:pPr>
            <w:r>
              <w:rPr>
                <w:rFonts w:eastAsiaTheme="minorEastAsia"/>
                <w:color w:val="000000"/>
                <w:szCs w:val="21"/>
              </w:rPr>
              <w:t>-</w:t>
            </w:r>
          </w:p>
        </w:tc>
      </w:tr>
      <w:tr w:rsidR="007F3F42">
        <w:tc>
          <w:tcPr>
            <w:tcW w:w="1560" w:type="dxa"/>
            <w:vAlign w:val="center"/>
          </w:tcPr>
          <w:p w:rsidR="007F3F42" w:rsidRDefault="00781698">
            <w:pPr>
              <w:jc w:val="center"/>
            </w:pPr>
            <w:r>
              <w:rPr>
                <w:rFonts w:eastAsiaTheme="minorEastAsia"/>
                <w:color w:val="000000"/>
                <w:szCs w:val="21"/>
              </w:rPr>
              <w:t>银河证券</w:t>
            </w:r>
          </w:p>
        </w:tc>
        <w:tc>
          <w:tcPr>
            <w:tcW w:w="780" w:type="dxa"/>
            <w:vAlign w:val="center"/>
          </w:tcPr>
          <w:p w:rsidR="007F3F42" w:rsidRDefault="00781698">
            <w:pPr>
              <w:jc w:val="right"/>
            </w:pPr>
            <w:r>
              <w:rPr>
                <w:rFonts w:eastAsiaTheme="minorEastAsia"/>
                <w:color w:val="000000"/>
                <w:szCs w:val="21"/>
              </w:rPr>
              <w:t>1</w:t>
            </w:r>
          </w:p>
        </w:tc>
        <w:tc>
          <w:tcPr>
            <w:tcW w:w="180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right"/>
            </w:pPr>
            <w:r>
              <w:rPr>
                <w:rFonts w:eastAsiaTheme="minorEastAsia"/>
                <w:color w:val="000000"/>
                <w:szCs w:val="21"/>
              </w:rPr>
              <w:t>-</w:t>
            </w:r>
          </w:p>
        </w:tc>
        <w:tc>
          <w:tcPr>
            <w:tcW w:w="162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left"/>
            </w:pPr>
            <w:r>
              <w:rPr>
                <w:rFonts w:eastAsiaTheme="minorEastAsia"/>
                <w:color w:val="000000"/>
                <w:szCs w:val="21"/>
              </w:rPr>
              <w:t>-</w:t>
            </w:r>
          </w:p>
        </w:tc>
      </w:tr>
      <w:tr w:rsidR="007F3F42">
        <w:tc>
          <w:tcPr>
            <w:tcW w:w="1560" w:type="dxa"/>
            <w:vAlign w:val="center"/>
          </w:tcPr>
          <w:p w:rsidR="007F3F42" w:rsidRDefault="00781698">
            <w:pPr>
              <w:jc w:val="center"/>
            </w:pPr>
            <w:r>
              <w:rPr>
                <w:rFonts w:eastAsiaTheme="minorEastAsia"/>
                <w:color w:val="000000"/>
                <w:szCs w:val="21"/>
              </w:rPr>
              <w:t>招商证券</w:t>
            </w:r>
          </w:p>
        </w:tc>
        <w:tc>
          <w:tcPr>
            <w:tcW w:w="780" w:type="dxa"/>
            <w:vAlign w:val="center"/>
          </w:tcPr>
          <w:p w:rsidR="007F3F42" w:rsidRDefault="00781698">
            <w:pPr>
              <w:jc w:val="right"/>
            </w:pPr>
            <w:r>
              <w:rPr>
                <w:rFonts w:eastAsiaTheme="minorEastAsia"/>
                <w:color w:val="000000"/>
                <w:szCs w:val="21"/>
              </w:rPr>
              <w:t>1</w:t>
            </w:r>
          </w:p>
        </w:tc>
        <w:tc>
          <w:tcPr>
            <w:tcW w:w="180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right"/>
            </w:pPr>
            <w:r>
              <w:rPr>
                <w:rFonts w:eastAsiaTheme="minorEastAsia"/>
                <w:color w:val="000000"/>
                <w:szCs w:val="21"/>
              </w:rPr>
              <w:t>-</w:t>
            </w:r>
          </w:p>
        </w:tc>
        <w:tc>
          <w:tcPr>
            <w:tcW w:w="162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right"/>
            </w:pPr>
            <w:r>
              <w:rPr>
                <w:rFonts w:eastAsiaTheme="minorEastAsia"/>
                <w:color w:val="000000"/>
                <w:szCs w:val="21"/>
              </w:rPr>
              <w:t>-</w:t>
            </w:r>
          </w:p>
        </w:tc>
        <w:tc>
          <w:tcPr>
            <w:tcW w:w="1080" w:type="dxa"/>
            <w:vAlign w:val="center"/>
          </w:tcPr>
          <w:p w:rsidR="007F3F42" w:rsidRDefault="00781698">
            <w:pPr>
              <w:jc w:val="left"/>
            </w:pPr>
            <w:r>
              <w:rPr>
                <w:rFonts w:eastAsiaTheme="minorEastAsia"/>
                <w:color w:val="000000"/>
                <w:szCs w:val="21"/>
              </w:rPr>
              <w:t>-</w:t>
            </w:r>
          </w:p>
        </w:tc>
      </w:tr>
    </w:tbl>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注：</w:t>
      </w:r>
      <w:r>
        <w:rPr>
          <w:rFonts w:eastAsiaTheme="minorEastAsia"/>
          <w:kern w:val="0"/>
          <w:szCs w:val="21"/>
        </w:rPr>
        <w:t xml:space="preserve">a) </w:t>
      </w:r>
      <w:r>
        <w:rPr>
          <w:rFonts w:eastAsiaTheme="minorEastAsia"/>
          <w:kern w:val="0"/>
          <w:szCs w:val="21"/>
        </w:rPr>
        <w:t>本报告期内本基金无减少交易账户</w:t>
      </w:r>
      <w:r>
        <w:rPr>
          <w:rFonts w:eastAsiaTheme="minorEastAsia"/>
          <w:kern w:val="0"/>
          <w:szCs w:val="21"/>
        </w:rPr>
        <w:t>,</w:t>
      </w:r>
      <w:r>
        <w:rPr>
          <w:rFonts w:eastAsiaTheme="minorEastAsia"/>
          <w:kern w:val="0"/>
          <w:szCs w:val="21"/>
        </w:rPr>
        <w:t>新增招商证券股份有限公司一个交易单元。</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b</w:t>
      </w:r>
      <w:r>
        <w:rPr>
          <w:rFonts w:eastAsiaTheme="minorEastAsia"/>
          <w:kern w:val="0"/>
          <w:szCs w:val="21"/>
        </w:rPr>
        <w:t>）本基金管理人负责选择证券经营机构，并在该机构开立交易账户。基金交易账户的开立标准如下：</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1</w:t>
      </w:r>
      <w:r>
        <w:rPr>
          <w:rFonts w:eastAsiaTheme="minorEastAsia"/>
          <w:kern w:val="0"/>
          <w:szCs w:val="21"/>
        </w:rPr>
        <w:t>）交易执行能力。主要指证券经营机构能否对投资指令进行有效地执行，以及能否取得较高质量的成交结果；</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2</w:t>
      </w:r>
      <w:r>
        <w:rPr>
          <w:rFonts w:eastAsiaTheme="minorEastAsia"/>
          <w:kern w:val="0"/>
          <w:szCs w:val="21"/>
        </w:rPr>
        <w:t>）研究报告质量。主要指证券经营机构能否提供高质量的宏观经济研究、行业研究及市场走向、个股分析报告和专题研究报告等；</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3</w:t>
      </w:r>
      <w:r>
        <w:rPr>
          <w:rFonts w:eastAsiaTheme="minorEastAsia"/>
          <w:kern w:val="0"/>
          <w:szCs w:val="21"/>
        </w:rPr>
        <w:t>）提供研究服务的质量。主要包括协助安排上市公司调研、研究资料共享、路演服务、日常沟通交流、接受委托研究的服务质量等方面；</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4</w:t>
      </w:r>
      <w:r>
        <w:rPr>
          <w:rFonts w:eastAsiaTheme="minorEastAsia"/>
          <w:kern w:val="0"/>
          <w:szCs w:val="21"/>
        </w:rPr>
        <w:t>）法规监管资讯服务。主要包括境外投资法律规定、交易监管规则、信息披露、个人利益冲突、税收等资讯的提供与培训；</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5</w:t>
      </w:r>
      <w:r>
        <w:rPr>
          <w:rFonts w:eastAsiaTheme="minorEastAsia"/>
          <w:kern w:val="0"/>
          <w:szCs w:val="21"/>
        </w:rPr>
        <w:t>）价值贡献。主要是指证券经营机构对公司研究团队、投资团队在业务能力提升上所做的培训服务、对公司投资提升所作出的贡献；</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6</w:t>
      </w:r>
      <w:r>
        <w:rPr>
          <w:rFonts w:eastAsiaTheme="minorEastAsia"/>
          <w:kern w:val="0"/>
          <w:szCs w:val="21"/>
        </w:rPr>
        <w:t>）其他因素。主要是证券经营机构的财务状况、经营行为规范、风险管理机制、近年内有无重大违规行为等。</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c</w:t>
      </w:r>
      <w:r>
        <w:rPr>
          <w:rFonts w:eastAsiaTheme="minorEastAsia"/>
          <w:kern w:val="0"/>
          <w:szCs w:val="21"/>
        </w:rPr>
        <w:t>）基金交易账户的选择程序如下：</w:t>
      </w:r>
    </w:p>
    <w:p w:rsidR="007F3F42" w:rsidRDefault="00781698">
      <w:pPr>
        <w:tabs>
          <w:tab w:val="left" w:pos="426"/>
        </w:tabs>
        <w:spacing w:line="360" w:lineRule="auto"/>
        <w:ind w:firstLineChars="200" w:firstLine="420"/>
        <w:rPr>
          <w:rFonts w:eastAsiaTheme="minorEastAsia"/>
          <w:kern w:val="0"/>
          <w:szCs w:val="21"/>
        </w:rPr>
      </w:pPr>
      <w:r>
        <w:rPr>
          <w:rFonts w:eastAsiaTheme="minorEastAsia"/>
          <w:kern w:val="0"/>
          <w:szCs w:val="21"/>
        </w:rPr>
        <w:t>1</w:t>
      </w:r>
      <w:r>
        <w:rPr>
          <w:rFonts w:eastAsiaTheme="minorEastAsia"/>
          <w:kern w:val="0"/>
          <w:szCs w:val="21"/>
        </w:rPr>
        <w:t>）本基金管理人根据上述标准考察后确定选用交易账户的证券经营机构。</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2</w:t>
      </w:r>
      <w:r w:rsidRPr="00C24ACA">
        <w:rPr>
          <w:rFonts w:eastAsiaTheme="minorEastAsia"/>
          <w:kern w:val="0"/>
          <w:szCs w:val="21"/>
        </w:rPr>
        <w:t>）基金管理人与所选定的证券经营机构办理开立交易账户事宜。</w:t>
      </w:r>
    </w:p>
    <w:p w:rsidR="008A5A5D" w:rsidRPr="00C24ACA" w:rsidRDefault="000D1F25" w:rsidP="006C64F3">
      <w:pPr>
        <w:spacing w:beforeLines="100" w:before="312" w:line="360" w:lineRule="auto"/>
        <w:rPr>
          <w:rFonts w:eastAsiaTheme="minorEastAsia"/>
          <w:b/>
          <w:szCs w:val="21"/>
        </w:rPr>
      </w:pPr>
      <w:r w:rsidRPr="00576CAF">
        <w:rPr>
          <w:rFonts w:eastAsiaTheme="minorEastAsia"/>
          <w:b/>
          <w:kern w:val="0"/>
          <w:szCs w:val="21"/>
        </w:rPr>
        <w:t>10</w:t>
      </w:r>
      <w:r>
        <w:rPr>
          <w:rFonts w:eastAsiaTheme="minorEastAsia"/>
          <w:b/>
          <w:szCs w:val="21"/>
        </w:rPr>
        <w:t>.</w:t>
      </w:r>
      <w:r>
        <w:rPr>
          <w:rFonts w:eastAsiaTheme="minorEastAsia" w:hint="eastAsia"/>
          <w:b/>
          <w:szCs w:val="21"/>
        </w:rPr>
        <w:t>7</w:t>
      </w:r>
      <w:r>
        <w:rPr>
          <w:rFonts w:eastAsiaTheme="minorEastAsia"/>
          <w:b/>
          <w:szCs w:val="21"/>
        </w:rPr>
        <w:t>.</w:t>
      </w:r>
      <w:r>
        <w:rPr>
          <w:rFonts w:eastAsiaTheme="minorEastAsia" w:hint="eastAsia"/>
          <w:b/>
          <w:szCs w:val="21"/>
        </w:rPr>
        <w:t>2</w:t>
      </w:r>
      <w:r w:rsidR="008A5A5D" w:rsidRPr="00C24ACA">
        <w:rPr>
          <w:rFonts w:eastAsiaTheme="minorEastAsia"/>
          <w:b/>
          <w:szCs w:val="21"/>
        </w:rPr>
        <w:t>基金租用证券公司交易单元进行其他证券投资的情况</w:t>
      </w:r>
      <w:bookmarkEnd w:id="358"/>
    </w:p>
    <w:p w:rsidR="008A5A5D" w:rsidRPr="00C24ACA" w:rsidRDefault="008A5A5D" w:rsidP="002116B9">
      <w:pPr>
        <w:wordWrap w:val="0"/>
        <w:ind w:firstLine="420"/>
        <w:jc w:val="right"/>
        <w:rPr>
          <w:rFonts w:eastAsiaTheme="minorEastAsia"/>
          <w:color w:val="000000"/>
          <w:szCs w:val="21"/>
        </w:rPr>
      </w:pPr>
      <w:r w:rsidRPr="00C24ACA">
        <w:rPr>
          <w:rFonts w:eastAsiaTheme="minorEastAsia"/>
          <w:szCs w:val="21"/>
        </w:rPr>
        <w:t>金额单位：人民币元</w:t>
      </w:r>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1276"/>
        <w:gridCol w:w="763"/>
        <w:gridCol w:w="1260"/>
        <w:gridCol w:w="724"/>
        <w:gridCol w:w="1440"/>
        <w:gridCol w:w="781"/>
        <w:gridCol w:w="1181"/>
      </w:tblGrid>
      <w:tr w:rsidR="00762C75" w:rsidRPr="00C24ACA" w:rsidTr="00762C75">
        <w:tc>
          <w:tcPr>
            <w:tcW w:w="709" w:type="dxa"/>
            <w:vMerge w:val="restart"/>
            <w:vAlign w:val="center"/>
          </w:tcPr>
          <w:p w:rsidR="00762C75" w:rsidRPr="00C24ACA" w:rsidRDefault="00762C75" w:rsidP="004A4847">
            <w:pPr>
              <w:jc w:val="center"/>
              <w:rPr>
                <w:rFonts w:eastAsiaTheme="minorEastAsia"/>
                <w:color w:val="000000"/>
                <w:kern w:val="0"/>
                <w:szCs w:val="21"/>
              </w:rPr>
            </w:pPr>
            <w:r w:rsidRPr="00C24ACA">
              <w:rPr>
                <w:rFonts w:eastAsiaTheme="minorEastAsia"/>
                <w:color w:val="000000"/>
                <w:szCs w:val="21"/>
              </w:rPr>
              <w:t>券商名称</w:t>
            </w:r>
          </w:p>
        </w:tc>
        <w:tc>
          <w:tcPr>
            <w:tcW w:w="1985" w:type="dxa"/>
            <w:gridSpan w:val="2"/>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债券交易</w:t>
            </w:r>
          </w:p>
        </w:tc>
        <w:tc>
          <w:tcPr>
            <w:tcW w:w="2023" w:type="dxa"/>
            <w:gridSpan w:val="2"/>
            <w:vAlign w:val="center"/>
          </w:tcPr>
          <w:p w:rsidR="00762C75" w:rsidRPr="00C24ACA" w:rsidRDefault="007D058F" w:rsidP="004A4847">
            <w:pPr>
              <w:jc w:val="center"/>
              <w:rPr>
                <w:rFonts w:eastAsiaTheme="minorEastAsia"/>
                <w:color w:val="000000"/>
                <w:szCs w:val="21"/>
              </w:rPr>
            </w:pPr>
            <w:r>
              <w:rPr>
                <w:rFonts w:eastAsiaTheme="minorEastAsia" w:hint="eastAsia"/>
                <w:color w:val="000000"/>
                <w:szCs w:val="21"/>
              </w:rPr>
              <w:t>债券</w:t>
            </w:r>
            <w:r w:rsidR="00762C75" w:rsidRPr="00C24ACA">
              <w:rPr>
                <w:rFonts w:eastAsiaTheme="minorEastAsia"/>
                <w:color w:val="000000"/>
                <w:szCs w:val="21"/>
              </w:rPr>
              <w:t>回购交易</w:t>
            </w:r>
          </w:p>
        </w:tc>
        <w:tc>
          <w:tcPr>
            <w:tcW w:w="2164" w:type="dxa"/>
            <w:gridSpan w:val="2"/>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权证交易</w:t>
            </w:r>
          </w:p>
        </w:tc>
        <w:tc>
          <w:tcPr>
            <w:tcW w:w="1962" w:type="dxa"/>
            <w:gridSpan w:val="2"/>
          </w:tcPr>
          <w:p w:rsidR="00762C75" w:rsidRPr="00C24ACA" w:rsidRDefault="00AF0AFC" w:rsidP="004A4847">
            <w:pPr>
              <w:jc w:val="center"/>
              <w:rPr>
                <w:rFonts w:eastAsiaTheme="minorEastAsia"/>
                <w:color w:val="000000"/>
                <w:szCs w:val="21"/>
              </w:rPr>
            </w:pPr>
            <w:r w:rsidRPr="00C24ACA">
              <w:rPr>
                <w:rFonts w:eastAsiaTheme="minorEastAsia"/>
                <w:color w:val="000000"/>
                <w:szCs w:val="21"/>
              </w:rPr>
              <w:t>基金交易</w:t>
            </w:r>
          </w:p>
        </w:tc>
      </w:tr>
      <w:tr w:rsidR="00762C75" w:rsidRPr="00C24ACA" w:rsidTr="00762C75">
        <w:tc>
          <w:tcPr>
            <w:tcW w:w="709" w:type="dxa"/>
            <w:vMerge/>
            <w:vAlign w:val="center"/>
          </w:tcPr>
          <w:p w:rsidR="00762C75" w:rsidRPr="00C24ACA" w:rsidRDefault="00762C75" w:rsidP="004A4847">
            <w:pPr>
              <w:widowControl/>
              <w:jc w:val="left"/>
              <w:rPr>
                <w:rFonts w:eastAsiaTheme="minorEastAsia"/>
                <w:color w:val="000000"/>
                <w:kern w:val="0"/>
                <w:szCs w:val="21"/>
              </w:rPr>
            </w:pPr>
          </w:p>
        </w:tc>
        <w:tc>
          <w:tcPr>
            <w:tcW w:w="709"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276"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占当期债券成交总额的比例</w:t>
            </w:r>
          </w:p>
        </w:tc>
        <w:tc>
          <w:tcPr>
            <w:tcW w:w="763"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260"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w:t>
            </w:r>
            <w:r w:rsidR="007D058F">
              <w:rPr>
                <w:rFonts w:eastAsiaTheme="minorEastAsia" w:hint="eastAsia"/>
                <w:color w:val="000000"/>
                <w:szCs w:val="21"/>
              </w:rPr>
              <w:t>债券</w:t>
            </w:r>
            <w:r w:rsidRPr="00C24ACA">
              <w:rPr>
                <w:rFonts w:eastAsiaTheme="minorEastAsia"/>
                <w:color w:val="000000"/>
                <w:szCs w:val="21"/>
              </w:rPr>
              <w:t>回购成交总额的比例</w:t>
            </w:r>
          </w:p>
        </w:tc>
        <w:tc>
          <w:tcPr>
            <w:tcW w:w="724"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440"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占当期权证成交总额的比例</w:t>
            </w:r>
          </w:p>
        </w:tc>
        <w:tc>
          <w:tcPr>
            <w:tcW w:w="781" w:type="dxa"/>
            <w:vAlign w:val="center"/>
          </w:tcPr>
          <w:p w:rsidR="00762C75" w:rsidRPr="00C24ACA" w:rsidRDefault="00762C75" w:rsidP="00B03EF5">
            <w:pPr>
              <w:jc w:val="center"/>
              <w:rPr>
                <w:rFonts w:eastAsiaTheme="minorEastAsia"/>
                <w:color w:val="000000"/>
                <w:szCs w:val="21"/>
              </w:rPr>
            </w:pPr>
            <w:r w:rsidRPr="00C24ACA">
              <w:rPr>
                <w:rFonts w:eastAsiaTheme="minorEastAsia"/>
                <w:color w:val="000000"/>
                <w:szCs w:val="21"/>
              </w:rPr>
              <w:t>成交金额</w:t>
            </w:r>
          </w:p>
        </w:tc>
        <w:tc>
          <w:tcPr>
            <w:tcW w:w="1181" w:type="dxa"/>
            <w:vAlign w:val="center"/>
          </w:tcPr>
          <w:p w:rsidR="00762C75" w:rsidRPr="00C24ACA" w:rsidRDefault="00762C75" w:rsidP="00511FD1">
            <w:pPr>
              <w:jc w:val="center"/>
              <w:rPr>
                <w:rFonts w:eastAsiaTheme="minorEastAsia"/>
                <w:color w:val="000000"/>
                <w:szCs w:val="21"/>
              </w:rPr>
            </w:pPr>
            <w:r w:rsidRPr="00C24ACA">
              <w:rPr>
                <w:rFonts w:eastAsiaTheme="minorEastAsia"/>
                <w:color w:val="000000"/>
                <w:szCs w:val="21"/>
              </w:rPr>
              <w:t>占当期</w:t>
            </w:r>
            <w:r w:rsidR="00511FD1" w:rsidRPr="00C24ACA">
              <w:rPr>
                <w:rFonts w:eastAsiaTheme="minorEastAsia"/>
                <w:color w:val="000000"/>
                <w:szCs w:val="21"/>
              </w:rPr>
              <w:t>基金</w:t>
            </w:r>
            <w:r w:rsidRPr="00C24ACA">
              <w:rPr>
                <w:rFonts w:eastAsiaTheme="minorEastAsia"/>
                <w:color w:val="000000"/>
                <w:szCs w:val="21"/>
              </w:rPr>
              <w:t>成交总额的比例</w:t>
            </w:r>
          </w:p>
        </w:tc>
      </w:tr>
      <w:tr w:rsidR="007F3F42">
        <w:tc>
          <w:tcPr>
            <w:tcW w:w="709" w:type="dxa"/>
            <w:vAlign w:val="center"/>
          </w:tcPr>
          <w:p w:rsidR="007F3F42" w:rsidRDefault="00781698">
            <w:pPr>
              <w:jc w:val="left"/>
            </w:pPr>
            <w:r>
              <w:rPr>
                <w:rFonts w:eastAsiaTheme="minorEastAsia"/>
                <w:color w:val="000000"/>
                <w:szCs w:val="21"/>
              </w:rPr>
              <w:t>高华证券</w:t>
            </w:r>
          </w:p>
        </w:tc>
        <w:tc>
          <w:tcPr>
            <w:tcW w:w="709" w:type="dxa"/>
            <w:vAlign w:val="center"/>
          </w:tcPr>
          <w:p w:rsidR="007F3F42" w:rsidRDefault="00781698">
            <w:pPr>
              <w:jc w:val="right"/>
            </w:pPr>
            <w:r>
              <w:rPr>
                <w:rFonts w:eastAsiaTheme="minorEastAsia"/>
                <w:color w:val="000000"/>
                <w:szCs w:val="21"/>
              </w:rPr>
              <w:t>-</w:t>
            </w:r>
          </w:p>
        </w:tc>
        <w:tc>
          <w:tcPr>
            <w:tcW w:w="1276" w:type="dxa"/>
            <w:vAlign w:val="center"/>
          </w:tcPr>
          <w:p w:rsidR="007F3F42" w:rsidRDefault="00781698">
            <w:pPr>
              <w:jc w:val="right"/>
            </w:pPr>
            <w:r>
              <w:rPr>
                <w:rFonts w:eastAsiaTheme="minorEastAsia"/>
                <w:color w:val="000000"/>
                <w:szCs w:val="21"/>
              </w:rPr>
              <w:t>-</w:t>
            </w:r>
          </w:p>
        </w:tc>
        <w:tc>
          <w:tcPr>
            <w:tcW w:w="763" w:type="dxa"/>
            <w:vAlign w:val="center"/>
          </w:tcPr>
          <w:p w:rsidR="007F3F42" w:rsidRDefault="00781698">
            <w:pPr>
              <w:jc w:val="right"/>
            </w:pPr>
            <w:r>
              <w:rPr>
                <w:rFonts w:eastAsiaTheme="minorEastAsia"/>
                <w:color w:val="000000"/>
                <w:szCs w:val="21"/>
              </w:rPr>
              <w:t>-</w:t>
            </w:r>
          </w:p>
        </w:tc>
        <w:tc>
          <w:tcPr>
            <w:tcW w:w="1260" w:type="dxa"/>
            <w:vAlign w:val="center"/>
          </w:tcPr>
          <w:p w:rsidR="007F3F42" w:rsidRDefault="00781698">
            <w:pPr>
              <w:jc w:val="right"/>
            </w:pPr>
            <w:r>
              <w:rPr>
                <w:rFonts w:eastAsiaTheme="minorEastAsia"/>
                <w:color w:val="000000"/>
                <w:szCs w:val="21"/>
              </w:rPr>
              <w:t>-</w:t>
            </w:r>
          </w:p>
        </w:tc>
        <w:tc>
          <w:tcPr>
            <w:tcW w:w="724" w:type="dxa"/>
            <w:vAlign w:val="center"/>
          </w:tcPr>
          <w:p w:rsidR="007F3F42" w:rsidRDefault="00781698">
            <w:pPr>
              <w:jc w:val="right"/>
            </w:pPr>
            <w:r>
              <w:rPr>
                <w:rFonts w:eastAsiaTheme="minorEastAsia"/>
                <w:color w:val="000000"/>
                <w:szCs w:val="21"/>
              </w:rPr>
              <w:t>-</w:t>
            </w:r>
          </w:p>
        </w:tc>
        <w:tc>
          <w:tcPr>
            <w:tcW w:w="1440" w:type="dxa"/>
            <w:vAlign w:val="center"/>
          </w:tcPr>
          <w:p w:rsidR="007F3F42" w:rsidRDefault="00781698">
            <w:pPr>
              <w:jc w:val="right"/>
            </w:pPr>
            <w:r>
              <w:rPr>
                <w:rFonts w:eastAsiaTheme="minorEastAsia"/>
                <w:color w:val="000000"/>
                <w:szCs w:val="21"/>
              </w:rPr>
              <w:t>-</w:t>
            </w:r>
          </w:p>
        </w:tc>
        <w:tc>
          <w:tcPr>
            <w:tcW w:w="781" w:type="dxa"/>
            <w:vAlign w:val="center"/>
          </w:tcPr>
          <w:p w:rsidR="007F3F42" w:rsidRDefault="00781698">
            <w:pPr>
              <w:jc w:val="right"/>
            </w:pPr>
            <w:r>
              <w:rPr>
                <w:rFonts w:eastAsiaTheme="minorEastAsia"/>
                <w:color w:val="000000"/>
                <w:szCs w:val="21"/>
              </w:rPr>
              <w:t>382,835,213.00</w:t>
            </w:r>
          </w:p>
        </w:tc>
        <w:tc>
          <w:tcPr>
            <w:tcW w:w="1181" w:type="dxa"/>
            <w:vAlign w:val="center"/>
          </w:tcPr>
          <w:p w:rsidR="007F3F42" w:rsidRDefault="00781698">
            <w:pPr>
              <w:jc w:val="right"/>
            </w:pPr>
            <w:r>
              <w:rPr>
                <w:rFonts w:eastAsiaTheme="minorEastAsia"/>
                <w:color w:val="000000"/>
                <w:szCs w:val="21"/>
              </w:rPr>
              <w:t>100.00%</w:t>
            </w:r>
          </w:p>
        </w:tc>
      </w:tr>
      <w:tr w:rsidR="007F3F42">
        <w:tc>
          <w:tcPr>
            <w:tcW w:w="709" w:type="dxa"/>
            <w:vAlign w:val="center"/>
          </w:tcPr>
          <w:p w:rsidR="007F3F42" w:rsidRDefault="00781698">
            <w:pPr>
              <w:jc w:val="left"/>
            </w:pPr>
            <w:r>
              <w:rPr>
                <w:rFonts w:eastAsiaTheme="minorEastAsia"/>
                <w:color w:val="000000"/>
                <w:szCs w:val="21"/>
              </w:rPr>
              <w:t>东方证券</w:t>
            </w:r>
          </w:p>
        </w:tc>
        <w:tc>
          <w:tcPr>
            <w:tcW w:w="709" w:type="dxa"/>
            <w:vAlign w:val="center"/>
          </w:tcPr>
          <w:p w:rsidR="007F3F42" w:rsidRDefault="00781698">
            <w:pPr>
              <w:jc w:val="right"/>
            </w:pPr>
            <w:r>
              <w:rPr>
                <w:rFonts w:eastAsiaTheme="minorEastAsia"/>
                <w:color w:val="000000"/>
                <w:szCs w:val="21"/>
              </w:rPr>
              <w:t>-</w:t>
            </w:r>
          </w:p>
        </w:tc>
        <w:tc>
          <w:tcPr>
            <w:tcW w:w="1276" w:type="dxa"/>
            <w:vAlign w:val="center"/>
          </w:tcPr>
          <w:p w:rsidR="007F3F42" w:rsidRDefault="00781698">
            <w:pPr>
              <w:jc w:val="right"/>
            </w:pPr>
            <w:r>
              <w:rPr>
                <w:rFonts w:eastAsiaTheme="minorEastAsia"/>
                <w:color w:val="000000"/>
                <w:szCs w:val="21"/>
              </w:rPr>
              <w:t>-</w:t>
            </w:r>
          </w:p>
        </w:tc>
        <w:tc>
          <w:tcPr>
            <w:tcW w:w="763" w:type="dxa"/>
            <w:vAlign w:val="center"/>
          </w:tcPr>
          <w:p w:rsidR="007F3F42" w:rsidRDefault="00781698">
            <w:pPr>
              <w:jc w:val="right"/>
            </w:pPr>
            <w:r>
              <w:rPr>
                <w:rFonts w:eastAsiaTheme="minorEastAsia"/>
                <w:color w:val="000000"/>
                <w:szCs w:val="21"/>
              </w:rPr>
              <w:t>-</w:t>
            </w:r>
          </w:p>
        </w:tc>
        <w:tc>
          <w:tcPr>
            <w:tcW w:w="1260" w:type="dxa"/>
            <w:vAlign w:val="center"/>
          </w:tcPr>
          <w:p w:rsidR="007F3F42" w:rsidRDefault="00781698">
            <w:pPr>
              <w:jc w:val="right"/>
            </w:pPr>
            <w:r>
              <w:rPr>
                <w:rFonts w:eastAsiaTheme="minorEastAsia"/>
                <w:color w:val="000000"/>
                <w:szCs w:val="21"/>
              </w:rPr>
              <w:t>-</w:t>
            </w:r>
          </w:p>
        </w:tc>
        <w:tc>
          <w:tcPr>
            <w:tcW w:w="724" w:type="dxa"/>
            <w:vAlign w:val="center"/>
          </w:tcPr>
          <w:p w:rsidR="007F3F42" w:rsidRDefault="00781698">
            <w:pPr>
              <w:jc w:val="right"/>
            </w:pPr>
            <w:r>
              <w:rPr>
                <w:rFonts w:eastAsiaTheme="minorEastAsia"/>
                <w:color w:val="000000"/>
                <w:szCs w:val="21"/>
              </w:rPr>
              <w:t>-</w:t>
            </w:r>
          </w:p>
        </w:tc>
        <w:tc>
          <w:tcPr>
            <w:tcW w:w="1440" w:type="dxa"/>
            <w:vAlign w:val="center"/>
          </w:tcPr>
          <w:p w:rsidR="007F3F42" w:rsidRDefault="00781698">
            <w:pPr>
              <w:jc w:val="right"/>
            </w:pPr>
            <w:r>
              <w:rPr>
                <w:rFonts w:eastAsiaTheme="minorEastAsia"/>
                <w:color w:val="000000"/>
                <w:szCs w:val="21"/>
              </w:rPr>
              <w:t>-</w:t>
            </w:r>
          </w:p>
        </w:tc>
        <w:tc>
          <w:tcPr>
            <w:tcW w:w="781" w:type="dxa"/>
            <w:vAlign w:val="center"/>
          </w:tcPr>
          <w:p w:rsidR="007F3F42" w:rsidRDefault="00781698">
            <w:pPr>
              <w:jc w:val="right"/>
            </w:pPr>
            <w:r>
              <w:rPr>
                <w:rFonts w:eastAsiaTheme="minorEastAsia"/>
                <w:color w:val="000000"/>
                <w:szCs w:val="21"/>
              </w:rPr>
              <w:t>-</w:t>
            </w:r>
          </w:p>
        </w:tc>
        <w:tc>
          <w:tcPr>
            <w:tcW w:w="1181" w:type="dxa"/>
            <w:vAlign w:val="center"/>
          </w:tcPr>
          <w:p w:rsidR="007F3F42" w:rsidRDefault="00781698">
            <w:pPr>
              <w:jc w:val="right"/>
            </w:pPr>
            <w:r>
              <w:rPr>
                <w:rFonts w:eastAsiaTheme="minorEastAsia"/>
                <w:color w:val="000000"/>
                <w:szCs w:val="21"/>
              </w:rPr>
              <w:t>-</w:t>
            </w:r>
          </w:p>
        </w:tc>
      </w:tr>
      <w:tr w:rsidR="007F3F42">
        <w:tc>
          <w:tcPr>
            <w:tcW w:w="709" w:type="dxa"/>
            <w:vAlign w:val="center"/>
          </w:tcPr>
          <w:p w:rsidR="007F3F42" w:rsidRDefault="00781698">
            <w:pPr>
              <w:jc w:val="left"/>
            </w:pPr>
            <w:r>
              <w:rPr>
                <w:rFonts w:eastAsiaTheme="minorEastAsia"/>
                <w:color w:val="000000"/>
                <w:szCs w:val="21"/>
              </w:rPr>
              <w:t>广发证券</w:t>
            </w:r>
          </w:p>
        </w:tc>
        <w:tc>
          <w:tcPr>
            <w:tcW w:w="709" w:type="dxa"/>
            <w:vAlign w:val="center"/>
          </w:tcPr>
          <w:p w:rsidR="007F3F42" w:rsidRDefault="00781698">
            <w:pPr>
              <w:jc w:val="right"/>
            </w:pPr>
            <w:r>
              <w:rPr>
                <w:rFonts w:eastAsiaTheme="minorEastAsia"/>
                <w:color w:val="000000"/>
                <w:szCs w:val="21"/>
              </w:rPr>
              <w:t>-</w:t>
            </w:r>
          </w:p>
        </w:tc>
        <w:tc>
          <w:tcPr>
            <w:tcW w:w="1276" w:type="dxa"/>
            <w:vAlign w:val="center"/>
          </w:tcPr>
          <w:p w:rsidR="007F3F42" w:rsidRDefault="00781698">
            <w:pPr>
              <w:jc w:val="right"/>
            </w:pPr>
            <w:r>
              <w:rPr>
                <w:rFonts w:eastAsiaTheme="minorEastAsia"/>
                <w:color w:val="000000"/>
                <w:szCs w:val="21"/>
              </w:rPr>
              <w:t>-</w:t>
            </w:r>
          </w:p>
        </w:tc>
        <w:tc>
          <w:tcPr>
            <w:tcW w:w="763" w:type="dxa"/>
            <w:vAlign w:val="center"/>
          </w:tcPr>
          <w:p w:rsidR="007F3F42" w:rsidRDefault="00781698">
            <w:pPr>
              <w:jc w:val="right"/>
            </w:pPr>
            <w:r>
              <w:rPr>
                <w:rFonts w:eastAsiaTheme="minorEastAsia"/>
                <w:color w:val="000000"/>
                <w:szCs w:val="21"/>
              </w:rPr>
              <w:t>-</w:t>
            </w:r>
          </w:p>
        </w:tc>
        <w:tc>
          <w:tcPr>
            <w:tcW w:w="1260" w:type="dxa"/>
            <w:vAlign w:val="center"/>
          </w:tcPr>
          <w:p w:rsidR="007F3F42" w:rsidRDefault="00781698">
            <w:pPr>
              <w:jc w:val="right"/>
            </w:pPr>
            <w:r>
              <w:rPr>
                <w:rFonts w:eastAsiaTheme="minorEastAsia"/>
                <w:color w:val="000000"/>
                <w:szCs w:val="21"/>
              </w:rPr>
              <w:t>-</w:t>
            </w:r>
          </w:p>
        </w:tc>
        <w:tc>
          <w:tcPr>
            <w:tcW w:w="724" w:type="dxa"/>
            <w:vAlign w:val="center"/>
          </w:tcPr>
          <w:p w:rsidR="007F3F42" w:rsidRDefault="00781698">
            <w:pPr>
              <w:jc w:val="right"/>
            </w:pPr>
            <w:r>
              <w:rPr>
                <w:rFonts w:eastAsiaTheme="minorEastAsia"/>
                <w:color w:val="000000"/>
                <w:szCs w:val="21"/>
              </w:rPr>
              <w:t>-</w:t>
            </w:r>
          </w:p>
        </w:tc>
        <w:tc>
          <w:tcPr>
            <w:tcW w:w="1440" w:type="dxa"/>
            <w:vAlign w:val="center"/>
          </w:tcPr>
          <w:p w:rsidR="007F3F42" w:rsidRDefault="00781698">
            <w:pPr>
              <w:jc w:val="right"/>
            </w:pPr>
            <w:r>
              <w:rPr>
                <w:rFonts w:eastAsiaTheme="minorEastAsia"/>
                <w:color w:val="000000"/>
                <w:szCs w:val="21"/>
              </w:rPr>
              <w:t>-</w:t>
            </w:r>
          </w:p>
        </w:tc>
        <w:tc>
          <w:tcPr>
            <w:tcW w:w="781" w:type="dxa"/>
            <w:vAlign w:val="center"/>
          </w:tcPr>
          <w:p w:rsidR="007F3F42" w:rsidRDefault="00781698">
            <w:pPr>
              <w:jc w:val="right"/>
            </w:pPr>
            <w:r>
              <w:rPr>
                <w:rFonts w:eastAsiaTheme="minorEastAsia"/>
                <w:color w:val="000000"/>
                <w:szCs w:val="21"/>
              </w:rPr>
              <w:t>-</w:t>
            </w:r>
          </w:p>
        </w:tc>
        <w:tc>
          <w:tcPr>
            <w:tcW w:w="1181" w:type="dxa"/>
            <w:vAlign w:val="center"/>
          </w:tcPr>
          <w:p w:rsidR="007F3F42" w:rsidRDefault="00781698">
            <w:pPr>
              <w:jc w:val="right"/>
            </w:pPr>
            <w:r>
              <w:rPr>
                <w:rFonts w:eastAsiaTheme="minorEastAsia"/>
                <w:color w:val="000000"/>
                <w:szCs w:val="21"/>
              </w:rPr>
              <w:t>-</w:t>
            </w:r>
          </w:p>
        </w:tc>
      </w:tr>
      <w:tr w:rsidR="007F3F42">
        <w:tc>
          <w:tcPr>
            <w:tcW w:w="709" w:type="dxa"/>
            <w:vAlign w:val="center"/>
          </w:tcPr>
          <w:p w:rsidR="007F3F42" w:rsidRDefault="00781698">
            <w:pPr>
              <w:jc w:val="left"/>
            </w:pPr>
            <w:r>
              <w:rPr>
                <w:rFonts w:eastAsiaTheme="minorEastAsia"/>
                <w:color w:val="000000"/>
                <w:szCs w:val="21"/>
              </w:rPr>
              <w:t>申万宏源</w:t>
            </w:r>
          </w:p>
        </w:tc>
        <w:tc>
          <w:tcPr>
            <w:tcW w:w="709" w:type="dxa"/>
            <w:vAlign w:val="center"/>
          </w:tcPr>
          <w:p w:rsidR="007F3F42" w:rsidRDefault="00781698">
            <w:pPr>
              <w:jc w:val="right"/>
            </w:pPr>
            <w:r>
              <w:rPr>
                <w:rFonts w:eastAsiaTheme="minorEastAsia"/>
                <w:color w:val="000000"/>
                <w:szCs w:val="21"/>
              </w:rPr>
              <w:t>-</w:t>
            </w:r>
          </w:p>
        </w:tc>
        <w:tc>
          <w:tcPr>
            <w:tcW w:w="1276" w:type="dxa"/>
            <w:vAlign w:val="center"/>
          </w:tcPr>
          <w:p w:rsidR="007F3F42" w:rsidRDefault="00781698">
            <w:pPr>
              <w:jc w:val="right"/>
            </w:pPr>
            <w:r>
              <w:rPr>
                <w:rFonts w:eastAsiaTheme="minorEastAsia"/>
                <w:color w:val="000000"/>
                <w:szCs w:val="21"/>
              </w:rPr>
              <w:t>-</w:t>
            </w:r>
          </w:p>
        </w:tc>
        <w:tc>
          <w:tcPr>
            <w:tcW w:w="763" w:type="dxa"/>
            <w:vAlign w:val="center"/>
          </w:tcPr>
          <w:p w:rsidR="007F3F42" w:rsidRDefault="00781698">
            <w:pPr>
              <w:jc w:val="right"/>
            </w:pPr>
            <w:r>
              <w:rPr>
                <w:rFonts w:eastAsiaTheme="minorEastAsia"/>
                <w:color w:val="000000"/>
                <w:szCs w:val="21"/>
              </w:rPr>
              <w:t>-</w:t>
            </w:r>
          </w:p>
        </w:tc>
        <w:tc>
          <w:tcPr>
            <w:tcW w:w="1260" w:type="dxa"/>
            <w:vAlign w:val="center"/>
          </w:tcPr>
          <w:p w:rsidR="007F3F42" w:rsidRDefault="00781698">
            <w:pPr>
              <w:jc w:val="right"/>
            </w:pPr>
            <w:r>
              <w:rPr>
                <w:rFonts w:eastAsiaTheme="minorEastAsia"/>
                <w:color w:val="000000"/>
                <w:szCs w:val="21"/>
              </w:rPr>
              <w:t>-</w:t>
            </w:r>
          </w:p>
        </w:tc>
        <w:tc>
          <w:tcPr>
            <w:tcW w:w="724" w:type="dxa"/>
            <w:vAlign w:val="center"/>
          </w:tcPr>
          <w:p w:rsidR="007F3F42" w:rsidRDefault="00781698">
            <w:pPr>
              <w:jc w:val="right"/>
            </w:pPr>
            <w:r>
              <w:rPr>
                <w:rFonts w:eastAsiaTheme="minorEastAsia"/>
                <w:color w:val="000000"/>
                <w:szCs w:val="21"/>
              </w:rPr>
              <w:t>-</w:t>
            </w:r>
          </w:p>
        </w:tc>
        <w:tc>
          <w:tcPr>
            <w:tcW w:w="1440" w:type="dxa"/>
            <w:vAlign w:val="center"/>
          </w:tcPr>
          <w:p w:rsidR="007F3F42" w:rsidRDefault="00781698">
            <w:pPr>
              <w:jc w:val="right"/>
            </w:pPr>
            <w:r>
              <w:rPr>
                <w:rFonts w:eastAsiaTheme="minorEastAsia"/>
                <w:color w:val="000000"/>
                <w:szCs w:val="21"/>
              </w:rPr>
              <w:t>-</w:t>
            </w:r>
          </w:p>
        </w:tc>
        <w:tc>
          <w:tcPr>
            <w:tcW w:w="781" w:type="dxa"/>
            <w:vAlign w:val="center"/>
          </w:tcPr>
          <w:p w:rsidR="007F3F42" w:rsidRDefault="00781698">
            <w:pPr>
              <w:jc w:val="right"/>
            </w:pPr>
            <w:r>
              <w:rPr>
                <w:rFonts w:eastAsiaTheme="minorEastAsia"/>
                <w:color w:val="000000"/>
                <w:szCs w:val="21"/>
              </w:rPr>
              <w:t>-</w:t>
            </w:r>
          </w:p>
        </w:tc>
        <w:tc>
          <w:tcPr>
            <w:tcW w:w="1181" w:type="dxa"/>
            <w:vAlign w:val="center"/>
          </w:tcPr>
          <w:p w:rsidR="007F3F42" w:rsidRDefault="00781698">
            <w:pPr>
              <w:jc w:val="right"/>
            </w:pPr>
            <w:r>
              <w:rPr>
                <w:rFonts w:eastAsiaTheme="minorEastAsia"/>
                <w:color w:val="000000"/>
                <w:szCs w:val="21"/>
              </w:rPr>
              <w:t>-</w:t>
            </w:r>
          </w:p>
        </w:tc>
      </w:tr>
      <w:tr w:rsidR="007F3F42">
        <w:tc>
          <w:tcPr>
            <w:tcW w:w="709" w:type="dxa"/>
            <w:vAlign w:val="center"/>
          </w:tcPr>
          <w:p w:rsidR="007F3F42" w:rsidRDefault="00781698">
            <w:pPr>
              <w:jc w:val="left"/>
            </w:pPr>
            <w:r>
              <w:rPr>
                <w:rFonts w:eastAsiaTheme="minorEastAsia"/>
                <w:color w:val="000000"/>
                <w:szCs w:val="21"/>
              </w:rPr>
              <w:t>新时代证券</w:t>
            </w:r>
          </w:p>
        </w:tc>
        <w:tc>
          <w:tcPr>
            <w:tcW w:w="709" w:type="dxa"/>
            <w:vAlign w:val="center"/>
          </w:tcPr>
          <w:p w:rsidR="007F3F42" w:rsidRDefault="00781698">
            <w:pPr>
              <w:jc w:val="right"/>
            </w:pPr>
            <w:r>
              <w:rPr>
                <w:rFonts w:eastAsiaTheme="minorEastAsia"/>
                <w:color w:val="000000"/>
                <w:szCs w:val="21"/>
              </w:rPr>
              <w:t>-</w:t>
            </w:r>
          </w:p>
        </w:tc>
        <w:tc>
          <w:tcPr>
            <w:tcW w:w="1276" w:type="dxa"/>
            <w:vAlign w:val="center"/>
          </w:tcPr>
          <w:p w:rsidR="007F3F42" w:rsidRDefault="00781698">
            <w:pPr>
              <w:jc w:val="right"/>
            </w:pPr>
            <w:r>
              <w:rPr>
                <w:rFonts w:eastAsiaTheme="minorEastAsia"/>
                <w:color w:val="000000"/>
                <w:szCs w:val="21"/>
              </w:rPr>
              <w:t>-</w:t>
            </w:r>
          </w:p>
        </w:tc>
        <w:tc>
          <w:tcPr>
            <w:tcW w:w="763" w:type="dxa"/>
            <w:vAlign w:val="center"/>
          </w:tcPr>
          <w:p w:rsidR="007F3F42" w:rsidRDefault="00781698">
            <w:pPr>
              <w:jc w:val="right"/>
            </w:pPr>
            <w:r>
              <w:rPr>
                <w:rFonts w:eastAsiaTheme="minorEastAsia"/>
                <w:color w:val="000000"/>
                <w:szCs w:val="21"/>
              </w:rPr>
              <w:t>-</w:t>
            </w:r>
          </w:p>
        </w:tc>
        <w:tc>
          <w:tcPr>
            <w:tcW w:w="1260" w:type="dxa"/>
            <w:vAlign w:val="center"/>
          </w:tcPr>
          <w:p w:rsidR="007F3F42" w:rsidRDefault="00781698">
            <w:pPr>
              <w:jc w:val="right"/>
            </w:pPr>
            <w:r>
              <w:rPr>
                <w:rFonts w:eastAsiaTheme="minorEastAsia"/>
                <w:color w:val="000000"/>
                <w:szCs w:val="21"/>
              </w:rPr>
              <w:t>-</w:t>
            </w:r>
          </w:p>
        </w:tc>
        <w:tc>
          <w:tcPr>
            <w:tcW w:w="724" w:type="dxa"/>
            <w:vAlign w:val="center"/>
          </w:tcPr>
          <w:p w:rsidR="007F3F42" w:rsidRDefault="00781698">
            <w:pPr>
              <w:jc w:val="right"/>
            </w:pPr>
            <w:r>
              <w:rPr>
                <w:rFonts w:eastAsiaTheme="minorEastAsia"/>
                <w:color w:val="000000"/>
                <w:szCs w:val="21"/>
              </w:rPr>
              <w:t>-</w:t>
            </w:r>
          </w:p>
        </w:tc>
        <w:tc>
          <w:tcPr>
            <w:tcW w:w="1440" w:type="dxa"/>
            <w:vAlign w:val="center"/>
          </w:tcPr>
          <w:p w:rsidR="007F3F42" w:rsidRDefault="00781698">
            <w:pPr>
              <w:jc w:val="right"/>
            </w:pPr>
            <w:r>
              <w:rPr>
                <w:rFonts w:eastAsiaTheme="minorEastAsia"/>
                <w:color w:val="000000"/>
                <w:szCs w:val="21"/>
              </w:rPr>
              <w:t>-</w:t>
            </w:r>
          </w:p>
        </w:tc>
        <w:tc>
          <w:tcPr>
            <w:tcW w:w="781" w:type="dxa"/>
            <w:vAlign w:val="center"/>
          </w:tcPr>
          <w:p w:rsidR="007F3F42" w:rsidRDefault="00781698">
            <w:pPr>
              <w:jc w:val="right"/>
            </w:pPr>
            <w:r>
              <w:rPr>
                <w:rFonts w:eastAsiaTheme="minorEastAsia"/>
                <w:color w:val="000000"/>
                <w:szCs w:val="21"/>
              </w:rPr>
              <w:t>-</w:t>
            </w:r>
          </w:p>
        </w:tc>
        <w:tc>
          <w:tcPr>
            <w:tcW w:w="1181" w:type="dxa"/>
            <w:vAlign w:val="center"/>
          </w:tcPr>
          <w:p w:rsidR="007F3F42" w:rsidRDefault="00781698">
            <w:pPr>
              <w:jc w:val="right"/>
            </w:pPr>
            <w:r>
              <w:rPr>
                <w:rFonts w:eastAsiaTheme="minorEastAsia"/>
                <w:color w:val="000000"/>
                <w:szCs w:val="21"/>
              </w:rPr>
              <w:t>-</w:t>
            </w:r>
          </w:p>
        </w:tc>
      </w:tr>
      <w:tr w:rsidR="007F3F42">
        <w:tc>
          <w:tcPr>
            <w:tcW w:w="709" w:type="dxa"/>
            <w:vAlign w:val="center"/>
          </w:tcPr>
          <w:p w:rsidR="007F3F42" w:rsidRDefault="00781698">
            <w:pPr>
              <w:jc w:val="left"/>
            </w:pPr>
            <w:r>
              <w:rPr>
                <w:rFonts w:eastAsiaTheme="minorEastAsia"/>
                <w:color w:val="000000"/>
                <w:szCs w:val="21"/>
              </w:rPr>
              <w:t>银河证券</w:t>
            </w:r>
          </w:p>
        </w:tc>
        <w:tc>
          <w:tcPr>
            <w:tcW w:w="709" w:type="dxa"/>
            <w:vAlign w:val="center"/>
          </w:tcPr>
          <w:p w:rsidR="007F3F42" w:rsidRDefault="00781698">
            <w:pPr>
              <w:jc w:val="right"/>
            </w:pPr>
            <w:r>
              <w:rPr>
                <w:rFonts w:eastAsiaTheme="minorEastAsia"/>
                <w:color w:val="000000"/>
                <w:szCs w:val="21"/>
              </w:rPr>
              <w:t>-</w:t>
            </w:r>
          </w:p>
        </w:tc>
        <w:tc>
          <w:tcPr>
            <w:tcW w:w="1276" w:type="dxa"/>
            <w:vAlign w:val="center"/>
          </w:tcPr>
          <w:p w:rsidR="007F3F42" w:rsidRDefault="00781698">
            <w:pPr>
              <w:jc w:val="right"/>
            </w:pPr>
            <w:r>
              <w:rPr>
                <w:rFonts w:eastAsiaTheme="minorEastAsia"/>
                <w:color w:val="000000"/>
                <w:szCs w:val="21"/>
              </w:rPr>
              <w:t>-</w:t>
            </w:r>
          </w:p>
        </w:tc>
        <w:tc>
          <w:tcPr>
            <w:tcW w:w="763" w:type="dxa"/>
            <w:vAlign w:val="center"/>
          </w:tcPr>
          <w:p w:rsidR="007F3F42" w:rsidRDefault="00781698">
            <w:pPr>
              <w:jc w:val="right"/>
            </w:pPr>
            <w:r>
              <w:rPr>
                <w:rFonts w:eastAsiaTheme="minorEastAsia"/>
                <w:color w:val="000000"/>
                <w:szCs w:val="21"/>
              </w:rPr>
              <w:t>-</w:t>
            </w:r>
          </w:p>
        </w:tc>
        <w:tc>
          <w:tcPr>
            <w:tcW w:w="1260" w:type="dxa"/>
            <w:vAlign w:val="center"/>
          </w:tcPr>
          <w:p w:rsidR="007F3F42" w:rsidRDefault="00781698">
            <w:pPr>
              <w:jc w:val="right"/>
            </w:pPr>
            <w:r>
              <w:rPr>
                <w:rFonts w:eastAsiaTheme="minorEastAsia"/>
                <w:color w:val="000000"/>
                <w:szCs w:val="21"/>
              </w:rPr>
              <w:t>-</w:t>
            </w:r>
          </w:p>
        </w:tc>
        <w:tc>
          <w:tcPr>
            <w:tcW w:w="724" w:type="dxa"/>
            <w:vAlign w:val="center"/>
          </w:tcPr>
          <w:p w:rsidR="007F3F42" w:rsidRDefault="00781698">
            <w:pPr>
              <w:jc w:val="right"/>
            </w:pPr>
            <w:r>
              <w:rPr>
                <w:rFonts w:eastAsiaTheme="minorEastAsia"/>
                <w:color w:val="000000"/>
                <w:szCs w:val="21"/>
              </w:rPr>
              <w:t>-</w:t>
            </w:r>
          </w:p>
        </w:tc>
        <w:tc>
          <w:tcPr>
            <w:tcW w:w="1440" w:type="dxa"/>
            <w:vAlign w:val="center"/>
          </w:tcPr>
          <w:p w:rsidR="007F3F42" w:rsidRDefault="00781698">
            <w:pPr>
              <w:jc w:val="right"/>
            </w:pPr>
            <w:r>
              <w:rPr>
                <w:rFonts w:eastAsiaTheme="minorEastAsia"/>
                <w:color w:val="000000"/>
                <w:szCs w:val="21"/>
              </w:rPr>
              <w:t>-</w:t>
            </w:r>
          </w:p>
        </w:tc>
        <w:tc>
          <w:tcPr>
            <w:tcW w:w="781" w:type="dxa"/>
            <w:vAlign w:val="center"/>
          </w:tcPr>
          <w:p w:rsidR="007F3F42" w:rsidRDefault="00781698">
            <w:pPr>
              <w:jc w:val="right"/>
            </w:pPr>
            <w:r>
              <w:rPr>
                <w:rFonts w:eastAsiaTheme="minorEastAsia"/>
                <w:color w:val="000000"/>
                <w:szCs w:val="21"/>
              </w:rPr>
              <w:t>-</w:t>
            </w:r>
          </w:p>
        </w:tc>
        <w:tc>
          <w:tcPr>
            <w:tcW w:w="1181" w:type="dxa"/>
            <w:vAlign w:val="center"/>
          </w:tcPr>
          <w:p w:rsidR="007F3F42" w:rsidRDefault="00781698">
            <w:pPr>
              <w:jc w:val="right"/>
            </w:pPr>
            <w:r>
              <w:rPr>
                <w:rFonts w:eastAsiaTheme="minorEastAsia"/>
                <w:color w:val="000000"/>
                <w:szCs w:val="21"/>
              </w:rPr>
              <w:t>-</w:t>
            </w:r>
          </w:p>
        </w:tc>
      </w:tr>
      <w:tr w:rsidR="007F3F42">
        <w:tc>
          <w:tcPr>
            <w:tcW w:w="709" w:type="dxa"/>
            <w:vAlign w:val="center"/>
          </w:tcPr>
          <w:p w:rsidR="007F3F42" w:rsidRDefault="00781698">
            <w:pPr>
              <w:jc w:val="left"/>
            </w:pPr>
            <w:r>
              <w:rPr>
                <w:rFonts w:eastAsiaTheme="minorEastAsia"/>
                <w:color w:val="000000"/>
                <w:szCs w:val="21"/>
              </w:rPr>
              <w:t>招商证券</w:t>
            </w:r>
          </w:p>
        </w:tc>
        <w:tc>
          <w:tcPr>
            <w:tcW w:w="709" w:type="dxa"/>
            <w:vAlign w:val="center"/>
          </w:tcPr>
          <w:p w:rsidR="007F3F42" w:rsidRDefault="00781698">
            <w:pPr>
              <w:jc w:val="right"/>
            </w:pPr>
            <w:r>
              <w:rPr>
                <w:rFonts w:eastAsiaTheme="minorEastAsia"/>
                <w:color w:val="000000"/>
                <w:szCs w:val="21"/>
              </w:rPr>
              <w:t>-</w:t>
            </w:r>
          </w:p>
        </w:tc>
        <w:tc>
          <w:tcPr>
            <w:tcW w:w="1276" w:type="dxa"/>
            <w:vAlign w:val="center"/>
          </w:tcPr>
          <w:p w:rsidR="007F3F42" w:rsidRDefault="00781698">
            <w:pPr>
              <w:jc w:val="right"/>
            </w:pPr>
            <w:r>
              <w:rPr>
                <w:rFonts w:eastAsiaTheme="minorEastAsia"/>
                <w:color w:val="000000"/>
                <w:szCs w:val="21"/>
              </w:rPr>
              <w:t>-</w:t>
            </w:r>
          </w:p>
        </w:tc>
        <w:tc>
          <w:tcPr>
            <w:tcW w:w="763" w:type="dxa"/>
            <w:vAlign w:val="center"/>
          </w:tcPr>
          <w:p w:rsidR="007F3F42" w:rsidRDefault="00781698">
            <w:pPr>
              <w:jc w:val="right"/>
            </w:pPr>
            <w:r>
              <w:rPr>
                <w:rFonts w:eastAsiaTheme="minorEastAsia"/>
                <w:color w:val="000000"/>
                <w:szCs w:val="21"/>
              </w:rPr>
              <w:t>-</w:t>
            </w:r>
          </w:p>
        </w:tc>
        <w:tc>
          <w:tcPr>
            <w:tcW w:w="1260" w:type="dxa"/>
            <w:vAlign w:val="center"/>
          </w:tcPr>
          <w:p w:rsidR="007F3F42" w:rsidRDefault="00781698">
            <w:pPr>
              <w:jc w:val="right"/>
            </w:pPr>
            <w:r>
              <w:rPr>
                <w:rFonts w:eastAsiaTheme="minorEastAsia"/>
                <w:color w:val="000000"/>
                <w:szCs w:val="21"/>
              </w:rPr>
              <w:t>-</w:t>
            </w:r>
          </w:p>
        </w:tc>
        <w:tc>
          <w:tcPr>
            <w:tcW w:w="724" w:type="dxa"/>
            <w:vAlign w:val="center"/>
          </w:tcPr>
          <w:p w:rsidR="007F3F42" w:rsidRDefault="00781698">
            <w:pPr>
              <w:jc w:val="right"/>
            </w:pPr>
            <w:r>
              <w:rPr>
                <w:rFonts w:eastAsiaTheme="minorEastAsia"/>
                <w:color w:val="000000"/>
                <w:szCs w:val="21"/>
              </w:rPr>
              <w:t>-</w:t>
            </w:r>
          </w:p>
        </w:tc>
        <w:tc>
          <w:tcPr>
            <w:tcW w:w="1440" w:type="dxa"/>
            <w:vAlign w:val="center"/>
          </w:tcPr>
          <w:p w:rsidR="007F3F42" w:rsidRDefault="00781698">
            <w:pPr>
              <w:jc w:val="right"/>
            </w:pPr>
            <w:r>
              <w:rPr>
                <w:rFonts w:eastAsiaTheme="minorEastAsia"/>
                <w:color w:val="000000"/>
                <w:szCs w:val="21"/>
              </w:rPr>
              <w:t>-</w:t>
            </w:r>
          </w:p>
        </w:tc>
        <w:tc>
          <w:tcPr>
            <w:tcW w:w="781" w:type="dxa"/>
            <w:vAlign w:val="center"/>
          </w:tcPr>
          <w:p w:rsidR="007F3F42" w:rsidRDefault="00781698">
            <w:pPr>
              <w:jc w:val="right"/>
            </w:pPr>
            <w:r>
              <w:rPr>
                <w:rFonts w:eastAsiaTheme="minorEastAsia"/>
                <w:color w:val="000000"/>
                <w:szCs w:val="21"/>
              </w:rPr>
              <w:t>-</w:t>
            </w:r>
          </w:p>
        </w:tc>
        <w:tc>
          <w:tcPr>
            <w:tcW w:w="1181" w:type="dxa"/>
            <w:vAlign w:val="center"/>
          </w:tcPr>
          <w:p w:rsidR="007F3F42" w:rsidRDefault="00781698">
            <w:pPr>
              <w:jc w:val="right"/>
            </w:pPr>
            <w:r>
              <w:rPr>
                <w:rFonts w:eastAsiaTheme="minorEastAsia"/>
                <w:color w:val="000000"/>
                <w:szCs w:val="21"/>
              </w:rPr>
              <w:t>-</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59" w:name="_Toc352256018"/>
      <w:bookmarkStart w:id="360" w:name="_Toc352256086"/>
      <w:bookmarkStart w:id="361" w:name="_Toc352331264"/>
      <w:bookmarkStart w:id="362" w:name="_Toc390164848"/>
      <w:bookmarkStart w:id="363" w:name="_Toc48659078"/>
      <w:r w:rsidRPr="0087359D">
        <w:rPr>
          <w:rFonts w:ascii="宋体" w:hAnsi="宋体"/>
          <w:kern w:val="0"/>
          <w:sz w:val="21"/>
          <w:szCs w:val="21"/>
        </w:rPr>
        <w:t>10.8</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其他重大事件</w:t>
      </w:r>
      <w:bookmarkEnd w:id="359"/>
      <w:bookmarkEnd w:id="360"/>
      <w:bookmarkEnd w:id="361"/>
      <w:bookmarkEnd w:id="362"/>
      <w:bookmarkEnd w:id="36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8A5A5D" w:rsidRPr="00C24ACA" w:rsidTr="004A4847">
        <w:tc>
          <w:tcPr>
            <w:tcW w:w="7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序号</w:t>
            </w:r>
          </w:p>
        </w:tc>
        <w:tc>
          <w:tcPr>
            <w:tcW w:w="43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公告事项</w:t>
            </w:r>
          </w:p>
        </w:tc>
        <w:tc>
          <w:tcPr>
            <w:tcW w:w="25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法定披露方式</w:t>
            </w:r>
          </w:p>
        </w:tc>
        <w:tc>
          <w:tcPr>
            <w:tcW w:w="144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法定披露日期</w:t>
            </w:r>
          </w:p>
        </w:tc>
      </w:tr>
      <w:tr w:rsidR="007F3F42">
        <w:tc>
          <w:tcPr>
            <w:tcW w:w="720" w:type="dxa"/>
            <w:vAlign w:val="center"/>
          </w:tcPr>
          <w:p w:rsidR="007F3F42" w:rsidRDefault="00781698">
            <w:pPr>
              <w:jc w:val="center"/>
            </w:pPr>
            <w:r>
              <w:rPr>
                <w:rFonts w:eastAsiaTheme="minorEastAsia"/>
                <w:color w:val="000000"/>
                <w:szCs w:val="21"/>
              </w:rPr>
              <w:t>1</w:t>
            </w:r>
          </w:p>
        </w:tc>
        <w:tc>
          <w:tcPr>
            <w:tcW w:w="4320" w:type="dxa"/>
            <w:vAlign w:val="center"/>
          </w:tcPr>
          <w:p w:rsidR="007F3F42" w:rsidRDefault="00781698">
            <w:pPr>
              <w:jc w:val="left"/>
            </w:pPr>
            <w:r>
              <w:rPr>
                <w:rFonts w:eastAsiaTheme="minorEastAsia"/>
                <w:color w:val="000000"/>
                <w:szCs w:val="21"/>
              </w:rPr>
              <w:t>易方达中证海外中国互联网</w:t>
            </w:r>
            <w:r>
              <w:rPr>
                <w:rFonts w:eastAsiaTheme="minorEastAsia"/>
                <w:color w:val="000000"/>
                <w:szCs w:val="21"/>
              </w:rPr>
              <w:t>50</w:t>
            </w:r>
            <w:r>
              <w:rPr>
                <w:rFonts w:eastAsiaTheme="minorEastAsia"/>
                <w:color w:val="000000"/>
                <w:szCs w:val="21"/>
              </w:rPr>
              <w:t>交易型开放式指数证券投资基金联接基金</w:t>
            </w:r>
            <w:r>
              <w:rPr>
                <w:rFonts w:eastAsiaTheme="minorEastAsia"/>
                <w:color w:val="000000"/>
                <w:szCs w:val="21"/>
              </w:rPr>
              <w:t>2020</w:t>
            </w:r>
            <w:r>
              <w:rPr>
                <w:rFonts w:eastAsiaTheme="minorEastAsia"/>
                <w:color w:val="000000"/>
                <w:szCs w:val="21"/>
              </w:rPr>
              <w:t>年</w:t>
            </w:r>
            <w:r>
              <w:rPr>
                <w:rFonts w:eastAsiaTheme="minorEastAsia"/>
                <w:color w:val="000000"/>
                <w:szCs w:val="21"/>
              </w:rPr>
              <w:t>1</w:t>
            </w:r>
            <w:r>
              <w:rPr>
                <w:rFonts w:eastAsiaTheme="minorEastAsia"/>
                <w:color w:val="000000"/>
                <w:szCs w:val="21"/>
              </w:rPr>
              <w:t>月</w:t>
            </w:r>
            <w:r>
              <w:rPr>
                <w:rFonts w:eastAsiaTheme="minorEastAsia"/>
                <w:color w:val="000000"/>
                <w:szCs w:val="21"/>
              </w:rPr>
              <w:t>20</w:t>
            </w:r>
            <w:r>
              <w:rPr>
                <w:rFonts w:eastAsiaTheme="minorEastAsia"/>
                <w:color w:val="000000"/>
                <w:szCs w:val="21"/>
              </w:rPr>
              <w:t>日暂停申购、赎回、定期定额投资业务的公告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2020-01-15</w:t>
            </w:r>
          </w:p>
        </w:tc>
      </w:tr>
      <w:tr w:rsidR="007F3F42">
        <w:tc>
          <w:tcPr>
            <w:tcW w:w="720" w:type="dxa"/>
            <w:vAlign w:val="center"/>
          </w:tcPr>
          <w:p w:rsidR="007F3F42" w:rsidRDefault="00781698">
            <w:pPr>
              <w:jc w:val="center"/>
            </w:pPr>
            <w:r>
              <w:rPr>
                <w:rFonts w:eastAsiaTheme="minorEastAsia"/>
                <w:color w:val="000000"/>
                <w:szCs w:val="21"/>
              </w:rPr>
              <w:t>2</w:t>
            </w:r>
          </w:p>
        </w:tc>
        <w:tc>
          <w:tcPr>
            <w:tcW w:w="4320" w:type="dxa"/>
            <w:vAlign w:val="center"/>
          </w:tcPr>
          <w:p w:rsidR="007F3F42" w:rsidRDefault="00781698">
            <w:pPr>
              <w:jc w:val="left"/>
            </w:pPr>
            <w:r>
              <w:rPr>
                <w:rFonts w:eastAsiaTheme="minorEastAsia"/>
                <w:color w:val="000000"/>
                <w:szCs w:val="21"/>
              </w:rPr>
              <w:t>易方达基金管理有限公司旗下基金</w:t>
            </w:r>
            <w:r>
              <w:rPr>
                <w:rFonts w:eastAsiaTheme="minorEastAsia"/>
                <w:color w:val="000000"/>
                <w:szCs w:val="21"/>
              </w:rPr>
              <w:t>2019</w:t>
            </w:r>
            <w:r>
              <w:rPr>
                <w:rFonts w:eastAsiaTheme="minorEastAsia"/>
                <w:color w:val="000000"/>
                <w:szCs w:val="21"/>
              </w:rPr>
              <w:t>年第</w:t>
            </w:r>
            <w:r>
              <w:rPr>
                <w:rFonts w:eastAsiaTheme="minorEastAsia"/>
                <w:color w:val="000000"/>
                <w:szCs w:val="21"/>
              </w:rPr>
              <w:t>4</w:t>
            </w:r>
            <w:r>
              <w:rPr>
                <w:rFonts w:eastAsiaTheme="minorEastAsia"/>
                <w:color w:val="000000"/>
                <w:szCs w:val="21"/>
              </w:rPr>
              <w:t>季度报告提示性公告</w:t>
            </w:r>
          </w:p>
        </w:tc>
        <w:tc>
          <w:tcPr>
            <w:tcW w:w="2520" w:type="dxa"/>
            <w:vAlign w:val="center"/>
          </w:tcPr>
          <w:p w:rsidR="007F3F42" w:rsidRDefault="00781698">
            <w:pPr>
              <w:jc w:val="left"/>
            </w:pPr>
            <w:r>
              <w:rPr>
                <w:rFonts w:eastAsiaTheme="minorEastAsia"/>
                <w:color w:val="000000"/>
                <w:szCs w:val="21"/>
              </w:rPr>
              <w:t>证券时报</w:t>
            </w:r>
          </w:p>
        </w:tc>
        <w:tc>
          <w:tcPr>
            <w:tcW w:w="1440" w:type="dxa"/>
            <w:vAlign w:val="center"/>
          </w:tcPr>
          <w:p w:rsidR="007F3F42" w:rsidRDefault="00781698">
            <w:pPr>
              <w:jc w:val="center"/>
            </w:pPr>
            <w:r>
              <w:rPr>
                <w:rFonts w:eastAsiaTheme="minorEastAsia"/>
                <w:color w:val="000000"/>
                <w:szCs w:val="21"/>
              </w:rPr>
              <w:t>2020-01-18</w:t>
            </w:r>
          </w:p>
        </w:tc>
      </w:tr>
      <w:tr w:rsidR="007F3F42">
        <w:tc>
          <w:tcPr>
            <w:tcW w:w="720" w:type="dxa"/>
            <w:vAlign w:val="center"/>
          </w:tcPr>
          <w:p w:rsidR="007F3F42" w:rsidRDefault="00781698">
            <w:pPr>
              <w:jc w:val="center"/>
            </w:pPr>
            <w:r>
              <w:rPr>
                <w:rFonts w:eastAsiaTheme="minorEastAsia"/>
                <w:color w:val="000000"/>
                <w:szCs w:val="21"/>
              </w:rPr>
              <w:t>3</w:t>
            </w:r>
          </w:p>
        </w:tc>
        <w:tc>
          <w:tcPr>
            <w:tcW w:w="4320" w:type="dxa"/>
            <w:vAlign w:val="center"/>
          </w:tcPr>
          <w:p w:rsidR="007F3F42" w:rsidRDefault="00781698">
            <w:pPr>
              <w:jc w:val="left"/>
            </w:pPr>
            <w:r>
              <w:rPr>
                <w:rFonts w:eastAsiaTheme="minorEastAsia"/>
                <w:color w:val="000000"/>
                <w:szCs w:val="21"/>
              </w:rPr>
              <w:t>易方达基金管理有限公司旗下部分开放式基金增加东莞农村商业银行为销售机构的公告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2020-01-22</w:t>
            </w:r>
          </w:p>
        </w:tc>
      </w:tr>
      <w:tr w:rsidR="007F3F42">
        <w:tc>
          <w:tcPr>
            <w:tcW w:w="720" w:type="dxa"/>
            <w:vAlign w:val="center"/>
          </w:tcPr>
          <w:p w:rsidR="007F3F42" w:rsidRDefault="00781698">
            <w:pPr>
              <w:jc w:val="center"/>
            </w:pPr>
            <w:r>
              <w:rPr>
                <w:rFonts w:eastAsiaTheme="minorEastAsia"/>
                <w:color w:val="000000"/>
                <w:szCs w:val="21"/>
              </w:rPr>
              <w:t>4</w:t>
            </w:r>
          </w:p>
        </w:tc>
        <w:tc>
          <w:tcPr>
            <w:tcW w:w="4320" w:type="dxa"/>
            <w:vAlign w:val="center"/>
          </w:tcPr>
          <w:p w:rsidR="007F3F42" w:rsidRDefault="00781698">
            <w:pPr>
              <w:jc w:val="left"/>
            </w:pPr>
            <w:r>
              <w:rPr>
                <w:rFonts w:eastAsiaTheme="minorEastAsia"/>
                <w:color w:val="000000"/>
                <w:szCs w:val="21"/>
              </w:rPr>
              <w:t>易方达基金管理有限公司关于旗下基金</w:t>
            </w:r>
            <w:r>
              <w:rPr>
                <w:rFonts w:eastAsiaTheme="minorEastAsia"/>
                <w:color w:val="000000"/>
                <w:szCs w:val="21"/>
              </w:rPr>
              <w:t>2020</w:t>
            </w:r>
            <w:r>
              <w:rPr>
                <w:rFonts w:eastAsiaTheme="minorEastAsia"/>
                <w:color w:val="000000"/>
                <w:szCs w:val="21"/>
              </w:rPr>
              <w:t>年</w:t>
            </w:r>
            <w:r>
              <w:rPr>
                <w:rFonts w:eastAsiaTheme="minorEastAsia"/>
                <w:color w:val="000000"/>
                <w:szCs w:val="21"/>
              </w:rPr>
              <w:t>1</w:t>
            </w:r>
            <w:r>
              <w:rPr>
                <w:rFonts w:eastAsiaTheme="minorEastAsia"/>
                <w:color w:val="000000"/>
                <w:szCs w:val="21"/>
              </w:rPr>
              <w:t>月</w:t>
            </w:r>
            <w:r>
              <w:rPr>
                <w:rFonts w:eastAsiaTheme="minorEastAsia"/>
                <w:color w:val="000000"/>
                <w:szCs w:val="21"/>
              </w:rPr>
              <w:t>31</w:t>
            </w:r>
            <w:r>
              <w:rPr>
                <w:rFonts w:eastAsiaTheme="minorEastAsia"/>
                <w:color w:val="000000"/>
                <w:szCs w:val="21"/>
              </w:rPr>
              <w:t>日不开放申购、赎回、转换、定期定额投资等业务的提示性公告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2020-01-30</w:t>
            </w:r>
          </w:p>
        </w:tc>
      </w:tr>
      <w:tr w:rsidR="007F3F42">
        <w:tc>
          <w:tcPr>
            <w:tcW w:w="720" w:type="dxa"/>
            <w:vAlign w:val="center"/>
          </w:tcPr>
          <w:p w:rsidR="007F3F42" w:rsidRDefault="00781698">
            <w:pPr>
              <w:jc w:val="center"/>
            </w:pPr>
            <w:r>
              <w:rPr>
                <w:rFonts w:eastAsiaTheme="minorEastAsia"/>
                <w:color w:val="000000"/>
                <w:szCs w:val="21"/>
              </w:rPr>
              <w:t>5</w:t>
            </w:r>
          </w:p>
        </w:tc>
        <w:tc>
          <w:tcPr>
            <w:tcW w:w="4320" w:type="dxa"/>
            <w:vAlign w:val="center"/>
          </w:tcPr>
          <w:p w:rsidR="007F3F42" w:rsidRDefault="00781698">
            <w:pPr>
              <w:jc w:val="left"/>
            </w:pPr>
            <w:r>
              <w:rPr>
                <w:rFonts w:eastAsiaTheme="minorEastAsia"/>
                <w:color w:val="000000"/>
                <w:szCs w:val="21"/>
              </w:rPr>
              <w:t>易方达基金管理有限公司及全资子公司投资旗下基金相关事宜的公告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2020-02-04</w:t>
            </w:r>
          </w:p>
        </w:tc>
      </w:tr>
      <w:tr w:rsidR="007F3F42">
        <w:tc>
          <w:tcPr>
            <w:tcW w:w="720" w:type="dxa"/>
            <w:vAlign w:val="center"/>
          </w:tcPr>
          <w:p w:rsidR="007F3F42" w:rsidRDefault="00781698">
            <w:pPr>
              <w:jc w:val="center"/>
            </w:pPr>
            <w:r>
              <w:rPr>
                <w:rFonts w:eastAsiaTheme="minorEastAsia"/>
                <w:color w:val="000000"/>
                <w:szCs w:val="21"/>
              </w:rPr>
              <w:t>6</w:t>
            </w:r>
          </w:p>
        </w:tc>
        <w:tc>
          <w:tcPr>
            <w:tcW w:w="4320" w:type="dxa"/>
            <w:vAlign w:val="center"/>
          </w:tcPr>
          <w:p w:rsidR="007F3F42" w:rsidRDefault="00781698">
            <w:pPr>
              <w:jc w:val="left"/>
            </w:pPr>
            <w:r>
              <w:rPr>
                <w:rFonts w:eastAsiaTheme="minorEastAsia"/>
                <w:color w:val="000000"/>
                <w:szCs w:val="21"/>
              </w:rPr>
              <w:t>易方达中证海外中国互联网</w:t>
            </w:r>
            <w:r>
              <w:rPr>
                <w:rFonts w:eastAsiaTheme="minorEastAsia"/>
                <w:color w:val="000000"/>
                <w:szCs w:val="21"/>
              </w:rPr>
              <w:t>50</w:t>
            </w:r>
            <w:r>
              <w:rPr>
                <w:rFonts w:eastAsiaTheme="minorEastAsia"/>
                <w:color w:val="000000"/>
                <w:szCs w:val="21"/>
              </w:rPr>
              <w:t>交易型开放式指数证券投资基金联接基金</w:t>
            </w:r>
            <w:r>
              <w:rPr>
                <w:rFonts w:eastAsiaTheme="minorEastAsia"/>
                <w:color w:val="000000"/>
                <w:szCs w:val="21"/>
              </w:rPr>
              <w:t>2020</w:t>
            </w:r>
            <w:r>
              <w:rPr>
                <w:rFonts w:eastAsiaTheme="minorEastAsia"/>
                <w:color w:val="000000"/>
                <w:szCs w:val="21"/>
              </w:rPr>
              <w:t>年</w:t>
            </w:r>
            <w:r>
              <w:rPr>
                <w:rFonts w:eastAsiaTheme="minorEastAsia"/>
                <w:color w:val="000000"/>
                <w:szCs w:val="21"/>
              </w:rPr>
              <w:t>2</w:t>
            </w:r>
            <w:r>
              <w:rPr>
                <w:rFonts w:eastAsiaTheme="minorEastAsia"/>
                <w:color w:val="000000"/>
                <w:szCs w:val="21"/>
              </w:rPr>
              <w:t>月</w:t>
            </w:r>
            <w:r>
              <w:rPr>
                <w:rFonts w:eastAsiaTheme="minorEastAsia"/>
                <w:color w:val="000000"/>
                <w:szCs w:val="21"/>
              </w:rPr>
              <w:t>17</w:t>
            </w:r>
            <w:r>
              <w:rPr>
                <w:rFonts w:eastAsiaTheme="minorEastAsia"/>
                <w:color w:val="000000"/>
                <w:szCs w:val="21"/>
              </w:rPr>
              <w:t>日暂停申购、赎回、定期定额投资业务的公告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2020-02-12</w:t>
            </w:r>
          </w:p>
        </w:tc>
      </w:tr>
      <w:tr w:rsidR="007F3F42">
        <w:tc>
          <w:tcPr>
            <w:tcW w:w="720" w:type="dxa"/>
            <w:vAlign w:val="center"/>
          </w:tcPr>
          <w:p w:rsidR="007F3F42" w:rsidRDefault="00781698">
            <w:pPr>
              <w:jc w:val="center"/>
            </w:pPr>
            <w:r>
              <w:rPr>
                <w:rFonts w:eastAsiaTheme="minorEastAsia"/>
                <w:color w:val="000000"/>
                <w:szCs w:val="21"/>
              </w:rPr>
              <w:t>7</w:t>
            </w:r>
          </w:p>
        </w:tc>
        <w:tc>
          <w:tcPr>
            <w:tcW w:w="4320" w:type="dxa"/>
            <w:vAlign w:val="center"/>
          </w:tcPr>
          <w:p w:rsidR="007F3F42" w:rsidRDefault="00781698">
            <w:pPr>
              <w:jc w:val="left"/>
            </w:pPr>
            <w:r>
              <w:rPr>
                <w:rFonts w:eastAsiaTheme="minorEastAsia"/>
                <w:color w:val="000000"/>
                <w:szCs w:val="21"/>
              </w:rPr>
              <w:t>易方达基金管理有限公司旗下部分开放式基金增加财达证券为销售机构的公告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2020-02-27</w:t>
            </w:r>
          </w:p>
        </w:tc>
      </w:tr>
      <w:tr w:rsidR="007F3F42">
        <w:tc>
          <w:tcPr>
            <w:tcW w:w="720" w:type="dxa"/>
            <w:vAlign w:val="center"/>
          </w:tcPr>
          <w:p w:rsidR="007F3F42" w:rsidRDefault="00781698">
            <w:pPr>
              <w:jc w:val="center"/>
            </w:pPr>
            <w:r>
              <w:rPr>
                <w:rFonts w:eastAsiaTheme="minorEastAsia"/>
                <w:color w:val="000000"/>
                <w:szCs w:val="21"/>
              </w:rPr>
              <w:t>8</w:t>
            </w:r>
          </w:p>
        </w:tc>
        <w:tc>
          <w:tcPr>
            <w:tcW w:w="4320" w:type="dxa"/>
            <w:vAlign w:val="center"/>
          </w:tcPr>
          <w:p w:rsidR="007F3F42" w:rsidRDefault="00781698">
            <w:pPr>
              <w:jc w:val="left"/>
            </w:pPr>
            <w:r>
              <w:rPr>
                <w:rFonts w:eastAsiaTheme="minorEastAsia"/>
                <w:color w:val="000000"/>
                <w:szCs w:val="21"/>
              </w:rPr>
              <w:t>易方达基金管理有限公司旗下部分开放式基金增加德邦证券为销售机构、参加德邦证券费率优惠活动的公告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2020-02-27</w:t>
            </w:r>
          </w:p>
        </w:tc>
      </w:tr>
      <w:tr w:rsidR="007F3F42">
        <w:tc>
          <w:tcPr>
            <w:tcW w:w="720" w:type="dxa"/>
            <w:vAlign w:val="center"/>
          </w:tcPr>
          <w:p w:rsidR="007F3F42" w:rsidRDefault="00781698">
            <w:pPr>
              <w:jc w:val="center"/>
            </w:pPr>
            <w:r>
              <w:rPr>
                <w:rFonts w:eastAsiaTheme="minorEastAsia"/>
                <w:color w:val="000000"/>
                <w:szCs w:val="21"/>
              </w:rPr>
              <w:t>9</w:t>
            </w:r>
          </w:p>
        </w:tc>
        <w:tc>
          <w:tcPr>
            <w:tcW w:w="4320" w:type="dxa"/>
            <w:vAlign w:val="center"/>
          </w:tcPr>
          <w:p w:rsidR="007F3F42" w:rsidRDefault="00781698">
            <w:pPr>
              <w:jc w:val="left"/>
            </w:pPr>
            <w:r>
              <w:rPr>
                <w:rFonts w:eastAsiaTheme="minorEastAsia"/>
                <w:color w:val="000000"/>
                <w:szCs w:val="21"/>
              </w:rPr>
              <w:t>易方达基金管理有限公司旗下部分开放式基金增加顺德农村商业银行为销售机构的公告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2020-03-02</w:t>
            </w:r>
          </w:p>
        </w:tc>
      </w:tr>
      <w:tr w:rsidR="007F3F42">
        <w:tc>
          <w:tcPr>
            <w:tcW w:w="720" w:type="dxa"/>
            <w:vAlign w:val="center"/>
          </w:tcPr>
          <w:p w:rsidR="007F3F42" w:rsidRDefault="00781698">
            <w:pPr>
              <w:jc w:val="center"/>
            </w:pPr>
            <w:r>
              <w:rPr>
                <w:rFonts w:eastAsiaTheme="minorEastAsia"/>
                <w:color w:val="000000"/>
                <w:szCs w:val="21"/>
              </w:rPr>
              <w:t>10</w:t>
            </w:r>
          </w:p>
        </w:tc>
        <w:tc>
          <w:tcPr>
            <w:tcW w:w="4320" w:type="dxa"/>
            <w:vAlign w:val="center"/>
          </w:tcPr>
          <w:p w:rsidR="007F3F42" w:rsidRDefault="00781698">
            <w:pPr>
              <w:jc w:val="left"/>
            </w:pPr>
            <w:r>
              <w:rPr>
                <w:rFonts w:eastAsiaTheme="minorEastAsia"/>
                <w:color w:val="000000"/>
                <w:szCs w:val="21"/>
              </w:rPr>
              <w:t>易方达基金管理有限公司旗下部分开放式基金参加百度百盈费率优惠活动的公告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2020-03-10</w:t>
            </w:r>
          </w:p>
        </w:tc>
      </w:tr>
      <w:tr w:rsidR="007F3F42">
        <w:tc>
          <w:tcPr>
            <w:tcW w:w="720" w:type="dxa"/>
            <w:vAlign w:val="center"/>
          </w:tcPr>
          <w:p w:rsidR="007F3F42" w:rsidRDefault="00781698">
            <w:pPr>
              <w:jc w:val="center"/>
            </w:pPr>
            <w:r>
              <w:rPr>
                <w:rFonts w:eastAsiaTheme="minorEastAsia"/>
                <w:color w:val="000000"/>
                <w:szCs w:val="21"/>
              </w:rPr>
              <w:t>11</w:t>
            </w:r>
          </w:p>
        </w:tc>
        <w:tc>
          <w:tcPr>
            <w:tcW w:w="4320" w:type="dxa"/>
            <w:vAlign w:val="center"/>
          </w:tcPr>
          <w:p w:rsidR="007F3F42" w:rsidRDefault="00781698">
            <w:pPr>
              <w:jc w:val="left"/>
            </w:pPr>
            <w:r>
              <w:rPr>
                <w:rFonts w:eastAsiaTheme="minorEastAsia"/>
                <w:color w:val="000000"/>
                <w:szCs w:val="21"/>
              </w:rPr>
              <w:t>易方达中证海外中国互联网</w:t>
            </w:r>
            <w:r>
              <w:rPr>
                <w:rFonts w:eastAsiaTheme="minorEastAsia"/>
                <w:color w:val="000000"/>
                <w:szCs w:val="21"/>
              </w:rPr>
              <w:t>50</w:t>
            </w:r>
            <w:r>
              <w:rPr>
                <w:rFonts w:eastAsiaTheme="minorEastAsia"/>
                <w:color w:val="000000"/>
                <w:szCs w:val="21"/>
              </w:rPr>
              <w:t>交易型开放式指数证券投资基金联接基金暂停申购及定期定额投资业务的公告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2020-03-11</w:t>
            </w:r>
          </w:p>
        </w:tc>
      </w:tr>
      <w:tr w:rsidR="007F3F42">
        <w:tc>
          <w:tcPr>
            <w:tcW w:w="720" w:type="dxa"/>
            <w:vAlign w:val="center"/>
          </w:tcPr>
          <w:p w:rsidR="007F3F42" w:rsidRDefault="00781698">
            <w:pPr>
              <w:jc w:val="center"/>
            </w:pPr>
            <w:r>
              <w:rPr>
                <w:rFonts w:eastAsiaTheme="minorEastAsia"/>
                <w:color w:val="000000"/>
                <w:szCs w:val="21"/>
              </w:rPr>
              <w:t>12</w:t>
            </w:r>
          </w:p>
        </w:tc>
        <w:tc>
          <w:tcPr>
            <w:tcW w:w="4320" w:type="dxa"/>
            <w:vAlign w:val="center"/>
          </w:tcPr>
          <w:p w:rsidR="007F3F42" w:rsidRDefault="00781698">
            <w:pPr>
              <w:jc w:val="left"/>
            </w:pPr>
            <w:r>
              <w:rPr>
                <w:rFonts w:eastAsiaTheme="minorEastAsia"/>
                <w:color w:val="000000"/>
                <w:szCs w:val="21"/>
              </w:rPr>
              <w:t>易方达中证海外中国互联网</w:t>
            </w:r>
            <w:r>
              <w:rPr>
                <w:rFonts w:eastAsiaTheme="minorEastAsia"/>
                <w:color w:val="000000"/>
                <w:szCs w:val="21"/>
              </w:rPr>
              <w:t>50</w:t>
            </w:r>
            <w:r>
              <w:rPr>
                <w:rFonts w:eastAsiaTheme="minorEastAsia"/>
                <w:color w:val="000000"/>
                <w:szCs w:val="21"/>
              </w:rPr>
              <w:t>交易型开放式指数证券投资基金联接基金恢复申购、定期定额投资业务并暂停大额申购业务的公告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2020-03-19</w:t>
            </w:r>
          </w:p>
        </w:tc>
      </w:tr>
      <w:tr w:rsidR="007F3F42">
        <w:tc>
          <w:tcPr>
            <w:tcW w:w="720" w:type="dxa"/>
            <w:vAlign w:val="center"/>
          </w:tcPr>
          <w:p w:rsidR="007F3F42" w:rsidRDefault="00781698">
            <w:pPr>
              <w:jc w:val="center"/>
            </w:pPr>
            <w:r>
              <w:rPr>
                <w:rFonts w:eastAsiaTheme="minorEastAsia"/>
                <w:color w:val="000000"/>
                <w:szCs w:val="21"/>
              </w:rPr>
              <w:t>13</w:t>
            </w:r>
          </w:p>
        </w:tc>
        <w:tc>
          <w:tcPr>
            <w:tcW w:w="4320" w:type="dxa"/>
            <w:vAlign w:val="center"/>
          </w:tcPr>
          <w:p w:rsidR="007F3F42" w:rsidRDefault="00781698">
            <w:pPr>
              <w:jc w:val="left"/>
            </w:pPr>
            <w:r>
              <w:rPr>
                <w:rFonts w:eastAsiaTheme="minorEastAsia"/>
                <w:color w:val="000000"/>
                <w:szCs w:val="21"/>
              </w:rPr>
              <w:t>易方达基金管理有限公司旗下部分开放式基金增加华瑞保险销售为销售机构、参加华瑞保险销售费率优惠活动的公告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2020-03-23</w:t>
            </w:r>
          </w:p>
        </w:tc>
      </w:tr>
      <w:tr w:rsidR="007F3F42">
        <w:tc>
          <w:tcPr>
            <w:tcW w:w="720" w:type="dxa"/>
            <w:vAlign w:val="center"/>
          </w:tcPr>
          <w:p w:rsidR="007F3F42" w:rsidRDefault="00781698">
            <w:pPr>
              <w:jc w:val="center"/>
            </w:pPr>
            <w:r>
              <w:rPr>
                <w:rFonts w:eastAsiaTheme="minorEastAsia"/>
                <w:color w:val="000000"/>
                <w:szCs w:val="21"/>
              </w:rPr>
              <w:t>14</w:t>
            </w:r>
          </w:p>
        </w:tc>
        <w:tc>
          <w:tcPr>
            <w:tcW w:w="4320" w:type="dxa"/>
            <w:vAlign w:val="center"/>
          </w:tcPr>
          <w:p w:rsidR="007F3F42" w:rsidRDefault="00781698">
            <w:pPr>
              <w:jc w:val="left"/>
            </w:pPr>
            <w:r>
              <w:rPr>
                <w:rFonts w:eastAsiaTheme="minorEastAsia"/>
                <w:color w:val="000000"/>
                <w:szCs w:val="21"/>
              </w:rPr>
              <w:t>易方达基金管理有限公司旗下基金</w:t>
            </w:r>
            <w:r>
              <w:rPr>
                <w:rFonts w:eastAsiaTheme="minorEastAsia"/>
                <w:color w:val="000000"/>
                <w:szCs w:val="21"/>
              </w:rPr>
              <w:t>2019</w:t>
            </w:r>
            <w:r>
              <w:rPr>
                <w:rFonts w:eastAsiaTheme="minorEastAsia"/>
                <w:color w:val="000000"/>
                <w:szCs w:val="21"/>
              </w:rPr>
              <w:t>年年度报告提示性公告</w:t>
            </w:r>
          </w:p>
        </w:tc>
        <w:tc>
          <w:tcPr>
            <w:tcW w:w="2520" w:type="dxa"/>
            <w:vAlign w:val="center"/>
          </w:tcPr>
          <w:p w:rsidR="007F3F42" w:rsidRDefault="00781698">
            <w:pPr>
              <w:jc w:val="left"/>
            </w:pPr>
            <w:r>
              <w:rPr>
                <w:rFonts w:eastAsiaTheme="minorEastAsia"/>
                <w:color w:val="000000"/>
                <w:szCs w:val="21"/>
              </w:rPr>
              <w:t>证券时报</w:t>
            </w:r>
          </w:p>
        </w:tc>
        <w:tc>
          <w:tcPr>
            <w:tcW w:w="1440" w:type="dxa"/>
            <w:vAlign w:val="center"/>
          </w:tcPr>
          <w:p w:rsidR="007F3F42" w:rsidRDefault="00781698">
            <w:pPr>
              <w:jc w:val="center"/>
            </w:pPr>
            <w:r>
              <w:rPr>
                <w:rFonts w:eastAsiaTheme="minorEastAsia"/>
                <w:color w:val="000000"/>
                <w:szCs w:val="21"/>
              </w:rPr>
              <w:t>2020-03-31</w:t>
            </w:r>
          </w:p>
        </w:tc>
      </w:tr>
      <w:tr w:rsidR="007F3F42">
        <w:tc>
          <w:tcPr>
            <w:tcW w:w="720" w:type="dxa"/>
            <w:vAlign w:val="center"/>
          </w:tcPr>
          <w:p w:rsidR="007F3F42" w:rsidRDefault="00781698">
            <w:pPr>
              <w:jc w:val="center"/>
            </w:pPr>
            <w:r>
              <w:rPr>
                <w:rFonts w:eastAsiaTheme="minorEastAsia"/>
                <w:color w:val="000000"/>
                <w:szCs w:val="21"/>
              </w:rPr>
              <w:t>15</w:t>
            </w:r>
          </w:p>
        </w:tc>
        <w:tc>
          <w:tcPr>
            <w:tcW w:w="4320" w:type="dxa"/>
            <w:vAlign w:val="center"/>
          </w:tcPr>
          <w:p w:rsidR="007F3F42" w:rsidRDefault="00781698">
            <w:pPr>
              <w:jc w:val="left"/>
            </w:pPr>
            <w:r>
              <w:rPr>
                <w:rFonts w:eastAsiaTheme="minorEastAsia"/>
                <w:color w:val="000000"/>
                <w:szCs w:val="21"/>
              </w:rPr>
              <w:t>易方达中证海外中国互联网</w:t>
            </w:r>
            <w:r>
              <w:rPr>
                <w:rFonts w:eastAsiaTheme="minorEastAsia"/>
                <w:color w:val="000000"/>
                <w:szCs w:val="21"/>
              </w:rPr>
              <w:t>50</w:t>
            </w:r>
            <w:r>
              <w:rPr>
                <w:rFonts w:eastAsiaTheme="minorEastAsia"/>
                <w:color w:val="000000"/>
                <w:szCs w:val="21"/>
              </w:rPr>
              <w:t>交易型开放式指数证券投资基金联接基金</w:t>
            </w:r>
            <w:r>
              <w:rPr>
                <w:rFonts w:eastAsiaTheme="minorEastAsia"/>
                <w:color w:val="000000"/>
                <w:szCs w:val="21"/>
              </w:rPr>
              <w:t>2020</w:t>
            </w:r>
            <w:r>
              <w:rPr>
                <w:rFonts w:eastAsiaTheme="minorEastAsia"/>
                <w:color w:val="000000"/>
                <w:szCs w:val="21"/>
              </w:rPr>
              <w:t>年</w:t>
            </w:r>
            <w:r>
              <w:rPr>
                <w:rFonts w:eastAsiaTheme="minorEastAsia"/>
                <w:color w:val="000000"/>
                <w:szCs w:val="21"/>
              </w:rPr>
              <w:t>4</w:t>
            </w:r>
            <w:r>
              <w:rPr>
                <w:rFonts w:eastAsiaTheme="minorEastAsia"/>
                <w:color w:val="000000"/>
                <w:szCs w:val="21"/>
              </w:rPr>
              <w:t>月</w:t>
            </w:r>
            <w:r>
              <w:rPr>
                <w:rFonts w:eastAsiaTheme="minorEastAsia"/>
                <w:color w:val="000000"/>
                <w:szCs w:val="21"/>
              </w:rPr>
              <w:t>10</w:t>
            </w:r>
            <w:r>
              <w:rPr>
                <w:rFonts w:eastAsiaTheme="minorEastAsia"/>
                <w:color w:val="000000"/>
                <w:szCs w:val="21"/>
              </w:rPr>
              <w:t>日、</w:t>
            </w:r>
            <w:r>
              <w:rPr>
                <w:rFonts w:eastAsiaTheme="minorEastAsia"/>
                <w:color w:val="000000"/>
                <w:szCs w:val="21"/>
              </w:rPr>
              <w:t>4</w:t>
            </w:r>
            <w:r>
              <w:rPr>
                <w:rFonts w:eastAsiaTheme="minorEastAsia"/>
                <w:color w:val="000000"/>
                <w:szCs w:val="21"/>
              </w:rPr>
              <w:t>月</w:t>
            </w:r>
            <w:r>
              <w:rPr>
                <w:rFonts w:eastAsiaTheme="minorEastAsia"/>
                <w:color w:val="000000"/>
                <w:szCs w:val="21"/>
              </w:rPr>
              <w:t>13</w:t>
            </w:r>
            <w:r>
              <w:rPr>
                <w:rFonts w:eastAsiaTheme="minorEastAsia"/>
                <w:color w:val="000000"/>
                <w:szCs w:val="21"/>
              </w:rPr>
              <w:t>日暂停申购、赎回、定期定额投资业务的公告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2020-04-07</w:t>
            </w:r>
          </w:p>
        </w:tc>
      </w:tr>
      <w:tr w:rsidR="007F3F42">
        <w:tc>
          <w:tcPr>
            <w:tcW w:w="720" w:type="dxa"/>
            <w:vAlign w:val="center"/>
          </w:tcPr>
          <w:p w:rsidR="007F3F42" w:rsidRDefault="00781698">
            <w:pPr>
              <w:jc w:val="center"/>
            </w:pPr>
            <w:r>
              <w:rPr>
                <w:rFonts w:eastAsiaTheme="minorEastAsia"/>
                <w:color w:val="000000"/>
                <w:szCs w:val="21"/>
              </w:rPr>
              <w:t>16</w:t>
            </w:r>
          </w:p>
        </w:tc>
        <w:tc>
          <w:tcPr>
            <w:tcW w:w="4320" w:type="dxa"/>
            <w:vAlign w:val="center"/>
          </w:tcPr>
          <w:p w:rsidR="007F3F42" w:rsidRDefault="00781698">
            <w:pPr>
              <w:jc w:val="left"/>
            </w:pPr>
            <w:r>
              <w:rPr>
                <w:rFonts w:eastAsiaTheme="minorEastAsia"/>
                <w:color w:val="000000"/>
                <w:szCs w:val="21"/>
              </w:rPr>
              <w:t>易方达基金管理有限公司旗下部分开放式基金参加恒泰证券费率优惠活动的公告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2020-04-08</w:t>
            </w:r>
          </w:p>
        </w:tc>
      </w:tr>
      <w:tr w:rsidR="007F3F42">
        <w:tc>
          <w:tcPr>
            <w:tcW w:w="720" w:type="dxa"/>
            <w:vAlign w:val="center"/>
          </w:tcPr>
          <w:p w:rsidR="007F3F42" w:rsidRDefault="00781698">
            <w:pPr>
              <w:jc w:val="center"/>
            </w:pPr>
            <w:r>
              <w:rPr>
                <w:rFonts w:eastAsiaTheme="minorEastAsia"/>
                <w:color w:val="000000"/>
                <w:szCs w:val="21"/>
              </w:rPr>
              <w:t>17</w:t>
            </w:r>
          </w:p>
        </w:tc>
        <w:tc>
          <w:tcPr>
            <w:tcW w:w="4320" w:type="dxa"/>
            <w:vAlign w:val="center"/>
          </w:tcPr>
          <w:p w:rsidR="007F3F42" w:rsidRDefault="00781698">
            <w:pPr>
              <w:jc w:val="left"/>
            </w:pPr>
            <w:r>
              <w:rPr>
                <w:rFonts w:eastAsiaTheme="minorEastAsia"/>
                <w:color w:val="000000"/>
                <w:szCs w:val="21"/>
              </w:rPr>
              <w:t>易方达基金管理有限公司关于提醒投资者及时提供或更新身份信息资料的公告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2020-04-10</w:t>
            </w:r>
          </w:p>
        </w:tc>
      </w:tr>
      <w:tr w:rsidR="007F3F42">
        <w:tc>
          <w:tcPr>
            <w:tcW w:w="720" w:type="dxa"/>
            <w:vAlign w:val="center"/>
          </w:tcPr>
          <w:p w:rsidR="007F3F42" w:rsidRDefault="00781698">
            <w:pPr>
              <w:jc w:val="center"/>
            </w:pPr>
            <w:r>
              <w:rPr>
                <w:rFonts w:eastAsiaTheme="minorEastAsia"/>
                <w:color w:val="000000"/>
                <w:szCs w:val="21"/>
              </w:rPr>
              <w:t>18</w:t>
            </w:r>
          </w:p>
        </w:tc>
        <w:tc>
          <w:tcPr>
            <w:tcW w:w="4320" w:type="dxa"/>
            <w:vAlign w:val="center"/>
          </w:tcPr>
          <w:p w:rsidR="007F3F42" w:rsidRDefault="00781698">
            <w:pPr>
              <w:jc w:val="left"/>
            </w:pPr>
            <w:r>
              <w:rPr>
                <w:rFonts w:eastAsiaTheme="minorEastAsia"/>
                <w:color w:val="000000"/>
                <w:szCs w:val="21"/>
              </w:rPr>
              <w:t>易方达基金管理有限公司旗下基金</w:t>
            </w:r>
            <w:r>
              <w:rPr>
                <w:rFonts w:eastAsiaTheme="minorEastAsia"/>
                <w:color w:val="000000"/>
                <w:szCs w:val="21"/>
              </w:rPr>
              <w:t>2020</w:t>
            </w:r>
            <w:r>
              <w:rPr>
                <w:rFonts w:eastAsiaTheme="minorEastAsia"/>
                <w:color w:val="000000"/>
                <w:szCs w:val="21"/>
              </w:rPr>
              <w:t>年第</w:t>
            </w:r>
            <w:r>
              <w:rPr>
                <w:rFonts w:eastAsiaTheme="minorEastAsia"/>
                <w:color w:val="000000"/>
                <w:szCs w:val="21"/>
              </w:rPr>
              <w:t>1</w:t>
            </w:r>
            <w:r>
              <w:rPr>
                <w:rFonts w:eastAsiaTheme="minorEastAsia"/>
                <w:color w:val="000000"/>
                <w:szCs w:val="21"/>
              </w:rPr>
              <w:t>季度报告提示性公告</w:t>
            </w:r>
          </w:p>
        </w:tc>
        <w:tc>
          <w:tcPr>
            <w:tcW w:w="2520" w:type="dxa"/>
            <w:vAlign w:val="center"/>
          </w:tcPr>
          <w:p w:rsidR="007F3F42" w:rsidRDefault="00781698">
            <w:pPr>
              <w:jc w:val="left"/>
            </w:pPr>
            <w:r>
              <w:rPr>
                <w:rFonts w:eastAsiaTheme="minorEastAsia"/>
                <w:color w:val="000000"/>
                <w:szCs w:val="21"/>
              </w:rPr>
              <w:t>证券时报</w:t>
            </w:r>
          </w:p>
        </w:tc>
        <w:tc>
          <w:tcPr>
            <w:tcW w:w="1440" w:type="dxa"/>
            <w:vAlign w:val="center"/>
          </w:tcPr>
          <w:p w:rsidR="007F3F42" w:rsidRDefault="00781698">
            <w:pPr>
              <w:jc w:val="center"/>
            </w:pPr>
            <w:r>
              <w:rPr>
                <w:rFonts w:eastAsiaTheme="minorEastAsia"/>
                <w:color w:val="000000"/>
                <w:szCs w:val="21"/>
              </w:rPr>
              <w:t>2020-04-21</w:t>
            </w:r>
          </w:p>
        </w:tc>
      </w:tr>
      <w:tr w:rsidR="007F3F42">
        <w:tc>
          <w:tcPr>
            <w:tcW w:w="720" w:type="dxa"/>
            <w:vAlign w:val="center"/>
          </w:tcPr>
          <w:p w:rsidR="007F3F42" w:rsidRDefault="00781698">
            <w:pPr>
              <w:jc w:val="center"/>
            </w:pPr>
            <w:r>
              <w:rPr>
                <w:rFonts w:eastAsiaTheme="minorEastAsia"/>
                <w:color w:val="000000"/>
                <w:szCs w:val="21"/>
              </w:rPr>
              <w:t>19</w:t>
            </w:r>
          </w:p>
        </w:tc>
        <w:tc>
          <w:tcPr>
            <w:tcW w:w="4320" w:type="dxa"/>
            <w:vAlign w:val="center"/>
          </w:tcPr>
          <w:p w:rsidR="007F3F42" w:rsidRDefault="00781698">
            <w:pPr>
              <w:jc w:val="left"/>
            </w:pPr>
            <w:r>
              <w:rPr>
                <w:rFonts w:eastAsiaTheme="minorEastAsia"/>
                <w:color w:val="000000"/>
                <w:szCs w:val="21"/>
              </w:rPr>
              <w:t>易方达基金管理有限公司旗下部分开放式基金参加国联证券费率优惠活动的公告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2020-04-22</w:t>
            </w:r>
          </w:p>
        </w:tc>
      </w:tr>
      <w:tr w:rsidR="007F3F42">
        <w:tc>
          <w:tcPr>
            <w:tcW w:w="720" w:type="dxa"/>
            <w:vAlign w:val="center"/>
          </w:tcPr>
          <w:p w:rsidR="007F3F42" w:rsidRDefault="00781698">
            <w:pPr>
              <w:jc w:val="center"/>
            </w:pPr>
            <w:r>
              <w:rPr>
                <w:rFonts w:eastAsiaTheme="minorEastAsia"/>
                <w:color w:val="000000"/>
                <w:szCs w:val="21"/>
              </w:rPr>
              <w:t>20</w:t>
            </w:r>
          </w:p>
        </w:tc>
        <w:tc>
          <w:tcPr>
            <w:tcW w:w="4320" w:type="dxa"/>
            <w:vAlign w:val="center"/>
          </w:tcPr>
          <w:p w:rsidR="007F3F42" w:rsidRDefault="00781698">
            <w:pPr>
              <w:jc w:val="left"/>
            </w:pPr>
            <w:r>
              <w:rPr>
                <w:rFonts w:eastAsiaTheme="minorEastAsia"/>
                <w:color w:val="000000"/>
                <w:szCs w:val="21"/>
              </w:rPr>
              <w:t>易方达中证海外中国互联网</w:t>
            </w:r>
            <w:r>
              <w:rPr>
                <w:rFonts w:eastAsiaTheme="minorEastAsia"/>
                <w:color w:val="000000"/>
                <w:szCs w:val="21"/>
              </w:rPr>
              <w:t>50</w:t>
            </w:r>
            <w:r>
              <w:rPr>
                <w:rFonts w:eastAsiaTheme="minorEastAsia"/>
                <w:color w:val="000000"/>
                <w:szCs w:val="21"/>
              </w:rPr>
              <w:t>交易型开放式指数证券投资基金联接基金</w:t>
            </w:r>
            <w:r>
              <w:rPr>
                <w:rFonts w:eastAsiaTheme="minorEastAsia"/>
                <w:color w:val="000000"/>
                <w:szCs w:val="21"/>
              </w:rPr>
              <w:t>2020</w:t>
            </w:r>
            <w:r>
              <w:rPr>
                <w:rFonts w:eastAsiaTheme="minorEastAsia"/>
                <w:color w:val="000000"/>
                <w:szCs w:val="21"/>
              </w:rPr>
              <w:t>年</w:t>
            </w:r>
            <w:r>
              <w:rPr>
                <w:rFonts w:eastAsiaTheme="minorEastAsia"/>
                <w:color w:val="000000"/>
                <w:szCs w:val="21"/>
              </w:rPr>
              <w:t>4</w:t>
            </w:r>
            <w:r>
              <w:rPr>
                <w:rFonts w:eastAsiaTheme="minorEastAsia"/>
                <w:color w:val="000000"/>
                <w:szCs w:val="21"/>
              </w:rPr>
              <w:t>月</w:t>
            </w:r>
            <w:r>
              <w:rPr>
                <w:rFonts w:eastAsiaTheme="minorEastAsia"/>
                <w:color w:val="000000"/>
                <w:szCs w:val="21"/>
              </w:rPr>
              <w:t>30</w:t>
            </w:r>
            <w:r>
              <w:rPr>
                <w:rFonts w:eastAsiaTheme="minorEastAsia"/>
                <w:color w:val="000000"/>
                <w:szCs w:val="21"/>
              </w:rPr>
              <w:t>日暂停申购、赎回、定期定额投资业务的公告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2020-04-27</w:t>
            </w:r>
          </w:p>
        </w:tc>
      </w:tr>
      <w:tr w:rsidR="007F3F42">
        <w:tc>
          <w:tcPr>
            <w:tcW w:w="720" w:type="dxa"/>
            <w:vAlign w:val="center"/>
          </w:tcPr>
          <w:p w:rsidR="007F3F42" w:rsidRDefault="00781698">
            <w:pPr>
              <w:jc w:val="center"/>
            </w:pPr>
            <w:r>
              <w:rPr>
                <w:rFonts w:eastAsiaTheme="minorEastAsia"/>
                <w:color w:val="000000"/>
                <w:szCs w:val="21"/>
              </w:rPr>
              <w:t>21</w:t>
            </w:r>
          </w:p>
        </w:tc>
        <w:tc>
          <w:tcPr>
            <w:tcW w:w="4320" w:type="dxa"/>
            <w:vAlign w:val="center"/>
          </w:tcPr>
          <w:p w:rsidR="007F3F42" w:rsidRDefault="00781698">
            <w:pPr>
              <w:jc w:val="left"/>
            </w:pPr>
            <w:r>
              <w:rPr>
                <w:rFonts w:eastAsiaTheme="minorEastAsia"/>
                <w:color w:val="000000"/>
                <w:szCs w:val="21"/>
              </w:rPr>
              <w:t>易方达中证海外中国互联网</w:t>
            </w:r>
            <w:r>
              <w:rPr>
                <w:rFonts w:eastAsiaTheme="minorEastAsia"/>
                <w:color w:val="000000"/>
                <w:szCs w:val="21"/>
              </w:rPr>
              <w:t>50</w:t>
            </w:r>
            <w:r>
              <w:rPr>
                <w:rFonts w:eastAsiaTheme="minorEastAsia"/>
                <w:color w:val="000000"/>
                <w:szCs w:val="21"/>
              </w:rPr>
              <w:t>交易型开放式指数证券投资基金联接基金</w:t>
            </w:r>
            <w:r>
              <w:rPr>
                <w:rFonts w:eastAsiaTheme="minorEastAsia"/>
                <w:color w:val="000000"/>
                <w:szCs w:val="21"/>
              </w:rPr>
              <w:t>2020</w:t>
            </w:r>
            <w:r>
              <w:rPr>
                <w:rFonts w:eastAsiaTheme="minorEastAsia"/>
                <w:color w:val="000000"/>
                <w:szCs w:val="21"/>
              </w:rPr>
              <w:t>年</w:t>
            </w:r>
            <w:r>
              <w:rPr>
                <w:rFonts w:eastAsiaTheme="minorEastAsia"/>
                <w:color w:val="000000"/>
                <w:szCs w:val="21"/>
              </w:rPr>
              <w:t>5</w:t>
            </w:r>
            <w:r>
              <w:rPr>
                <w:rFonts w:eastAsiaTheme="minorEastAsia"/>
                <w:color w:val="000000"/>
                <w:szCs w:val="21"/>
              </w:rPr>
              <w:t>月</w:t>
            </w:r>
            <w:r>
              <w:rPr>
                <w:rFonts w:eastAsiaTheme="minorEastAsia"/>
                <w:color w:val="000000"/>
                <w:szCs w:val="21"/>
              </w:rPr>
              <w:t>25</w:t>
            </w:r>
            <w:r>
              <w:rPr>
                <w:rFonts w:eastAsiaTheme="minorEastAsia"/>
                <w:color w:val="000000"/>
                <w:szCs w:val="21"/>
              </w:rPr>
              <w:t>日暂停申购、赎回、定期定额投资业务的公告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2020-05-20</w:t>
            </w:r>
          </w:p>
        </w:tc>
      </w:tr>
      <w:tr w:rsidR="007F3F42">
        <w:tc>
          <w:tcPr>
            <w:tcW w:w="720" w:type="dxa"/>
            <w:vAlign w:val="center"/>
          </w:tcPr>
          <w:p w:rsidR="007F3F42" w:rsidRDefault="00781698">
            <w:pPr>
              <w:jc w:val="center"/>
            </w:pPr>
            <w:r>
              <w:rPr>
                <w:rFonts w:eastAsiaTheme="minorEastAsia"/>
                <w:color w:val="000000"/>
                <w:szCs w:val="21"/>
              </w:rPr>
              <w:t>22</w:t>
            </w:r>
          </w:p>
        </w:tc>
        <w:tc>
          <w:tcPr>
            <w:tcW w:w="4320" w:type="dxa"/>
            <w:vAlign w:val="center"/>
          </w:tcPr>
          <w:p w:rsidR="007F3F42" w:rsidRDefault="00781698">
            <w:pPr>
              <w:jc w:val="left"/>
            </w:pPr>
            <w:r>
              <w:rPr>
                <w:rFonts w:eastAsiaTheme="minorEastAsia"/>
                <w:color w:val="000000"/>
                <w:szCs w:val="21"/>
              </w:rPr>
              <w:t>易方达基金管理有限公司关于调整旗下部分开放式基金在招商银行最低定期定额投资金额限制的公告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2020-06-04</w:t>
            </w:r>
          </w:p>
        </w:tc>
      </w:tr>
      <w:tr w:rsidR="007F3F42">
        <w:tc>
          <w:tcPr>
            <w:tcW w:w="720" w:type="dxa"/>
            <w:vAlign w:val="center"/>
          </w:tcPr>
          <w:p w:rsidR="007F3F42" w:rsidRDefault="00781698">
            <w:pPr>
              <w:jc w:val="center"/>
            </w:pPr>
            <w:r>
              <w:rPr>
                <w:rFonts w:eastAsiaTheme="minorEastAsia"/>
                <w:color w:val="000000"/>
                <w:szCs w:val="21"/>
              </w:rPr>
              <w:t>23</w:t>
            </w:r>
          </w:p>
        </w:tc>
        <w:tc>
          <w:tcPr>
            <w:tcW w:w="4320" w:type="dxa"/>
            <w:vAlign w:val="center"/>
          </w:tcPr>
          <w:p w:rsidR="007F3F42" w:rsidRDefault="00781698">
            <w:pPr>
              <w:jc w:val="left"/>
            </w:pPr>
            <w:r>
              <w:rPr>
                <w:rFonts w:eastAsiaTheme="minorEastAsia"/>
                <w:color w:val="000000"/>
                <w:szCs w:val="21"/>
              </w:rPr>
              <w:t>易方达基金管理有限公司高级管理人员变更公告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2020-06-22</w:t>
            </w:r>
          </w:p>
        </w:tc>
      </w:tr>
      <w:tr w:rsidR="007F3F42">
        <w:tc>
          <w:tcPr>
            <w:tcW w:w="720" w:type="dxa"/>
            <w:vAlign w:val="center"/>
          </w:tcPr>
          <w:p w:rsidR="007F3F42" w:rsidRDefault="00781698">
            <w:pPr>
              <w:jc w:val="center"/>
            </w:pPr>
            <w:r>
              <w:rPr>
                <w:rFonts w:eastAsiaTheme="minorEastAsia"/>
                <w:color w:val="000000"/>
                <w:szCs w:val="21"/>
              </w:rPr>
              <w:t>24</w:t>
            </w:r>
          </w:p>
        </w:tc>
        <w:tc>
          <w:tcPr>
            <w:tcW w:w="4320" w:type="dxa"/>
            <w:vAlign w:val="center"/>
          </w:tcPr>
          <w:p w:rsidR="007F3F42" w:rsidRDefault="00781698">
            <w:pPr>
              <w:jc w:val="left"/>
            </w:pPr>
            <w:r>
              <w:rPr>
                <w:rFonts w:eastAsiaTheme="minorEastAsia"/>
                <w:color w:val="000000"/>
                <w:szCs w:val="21"/>
              </w:rPr>
              <w:t>易方达中证海外中国互联网</w:t>
            </w:r>
            <w:r>
              <w:rPr>
                <w:rFonts w:eastAsiaTheme="minorEastAsia"/>
                <w:color w:val="000000"/>
                <w:szCs w:val="21"/>
              </w:rPr>
              <w:t>50</w:t>
            </w:r>
            <w:r>
              <w:rPr>
                <w:rFonts w:eastAsiaTheme="minorEastAsia"/>
                <w:color w:val="000000"/>
                <w:szCs w:val="21"/>
              </w:rPr>
              <w:t>交易型开放式指数证券投资基金联接基金</w:t>
            </w:r>
            <w:r>
              <w:rPr>
                <w:rFonts w:eastAsiaTheme="minorEastAsia"/>
                <w:color w:val="000000"/>
                <w:szCs w:val="21"/>
              </w:rPr>
              <w:t>2020</w:t>
            </w:r>
            <w:r>
              <w:rPr>
                <w:rFonts w:eastAsiaTheme="minorEastAsia"/>
                <w:color w:val="000000"/>
                <w:szCs w:val="21"/>
              </w:rPr>
              <w:t>年</w:t>
            </w:r>
            <w:r>
              <w:rPr>
                <w:rFonts w:eastAsiaTheme="minorEastAsia"/>
                <w:color w:val="000000"/>
                <w:szCs w:val="21"/>
              </w:rPr>
              <w:t>7</w:t>
            </w:r>
            <w:r>
              <w:rPr>
                <w:rFonts w:eastAsiaTheme="minorEastAsia"/>
                <w:color w:val="000000"/>
                <w:szCs w:val="21"/>
              </w:rPr>
              <w:t>月</w:t>
            </w:r>
            <w:r>
              <w:rPr>
                <w:rFonts w:eastAsiaTheme="minorEastAsia"/>
                <w:color w:val="000000"/>
                <w:szCs w:val="21"/>
              </w:rPr>
              <w:t>1</w:t>
            </w:r>
            <w:r>
              <w:rPr>
                <w:rFonts w:eastAsiaTheme="minorEastAsia"/>
                <w:color w:val="000000"/>
                <w:szCs w:val="21"/>
              </w:rPr>
              <w:t>日暂停申购、赎回、定期定额投资业务的公告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2020-06-24</w:t>
            </w:r>
          </w:p>
        </w:tc>
      </w:tr>
      <w:tr w:rsidR="007F3F42">
        <w:tc>
          <w:tcPr>
            <w:tcW w:w="720" w:type="dxa"/>
            <w:vAlign w:val="center"/>
          </w:tcPr>
          <w:p w:rsidR="007F3F42" w:rsidRDefault="00781698">
            <w:pPr>
              <w:jc w:val="center"/>
            </w:pPr>
            <w:r>
              <w:rPr>
                <w:rFonts w:eastAsiaTheme="minorEastAsia"/>
                <w:color w:val="000000"/>
                <w:szCs w:val="21"/>
              </w:rPr>
              <w:t>25</w:t>
            </w:r>
          </w:p>
        </w:tc>
        <w:tc>
          <w:tcPr>
            <w:tcW w:w="4320" w:type="dxa"/>
            <w:vAlign w:val="center"/>
          </w:tcPr>
          <w:p w:rsidR="007F3F42" w:rsidRDefault="00781698">
            <w:pPr>
              <w:jc w:val="left"/>
            </w:pPr>
            <w:r>
              <w:rPr>
                <w:rFonts w:eastAsiaTheme="minorEastAsia"/>
                <w:color w:val="000000"/>
                <w:szCs w:val="21"/>
              </w:rPr>
              <w:t>易方达中证海外中国互联网</w:t>
            </w:r>
            <w:r>
              <w:rPr>
                <w:rFonts w:eastAsiaTheme="minorEastAsia"/>
                <w:color w:val="000000"/>
                <w:szCs w:val="21"/>
              </w:rPr>
              <w:t>50</w:t>
            </w:r>
            <w:r>
              <w:rPr>
                <w:rFonts w:eastAsiaTheme="minorEastAsia"/>
                <w:color w:val="000000"/>
                <w:szCs w:val="21"/>
              </w:rPr>
              <w:t>交易型开放式指数证券投资基金联接基金</w:t>
            </w:r>
            <w:r>
              <w:rPr>
                <w:rFonts w:eastAsiaTheme="minorEastAsia"/>
                <w:color w:val="000000"/>
                <w:szCs w:val="21"/>
              </w:rPr>
              <w:t>2020</w:t>
            </w:r>
            <w:r>
              <w:rPr>
                <w:rFonts w:eastAsiaTheme="minorEastAsia"/>
                <w:color w:val="000000"/>
                <w:szCs w:val="21"/>
              </w:rPr>
              <w:t>年</w:t>
            </w:r>
            <w:r>
              <w:rPr>
                <w:rFonts w:eastAsiaTheme="minorEastAsia"/>
                <w:color w:val="000000"/>
                <w:szCs w:val="21"/>
              </w:rPr>
              <w:t>7</w:t>
            </w:r>
            <w:r>
              <w:rPr>
                <w:rFonts w:eastAsiaTheme="minorEastAsia"/>
                <w:color w:val="000000"/>
                <w:szCs w:val="21"/>
              </w:rPr>
              <w:t>月</w:t>
            </w:r>
            <w:r>
              <w:rPr>
                <w:rFonts w:eastAsiaTheme="minorEastAsia"/>
                <w:color w:val="000000"/>
                <w:szCs w:val="21"/>
              </w:rPr>
              <w:t>3</w:t>
            </w:r>
            <w:r>
              <w:rPr>
                <w:rFonts w:eastAsiaTheme="minorEastAsia"/>
                <w:color w:val="000000"/>
                <w:szCs w:val="21"/>
              </w:rPr>
              <w:t>日暂停申购、赎回、定期定额投资业务的公告</w:t>
            </w:r>
          </w:p>
        </w:tc>
        <w:tc>
          <w:tcPr>
            <w:tcW w:w="2520" w:type="dxa"/>
            <w:vAlign w:val="center"/>
          </w:tcPr>
          <w:p w:rsidR="007F3F42" w:rsidRDefault="00781698">
            <w:pPr>
              <w:jc w:val="left"/>
            </w:pPr>
            <w:r>
              <w:rPr>
                <w:rFonts w:eastAsiaTheme="minorEastAsia"/>
                <w:color w:val="000000"/>
                <w:szCs w:val="21"/>
              </w:rPr>
              <w:t>证券时报、基金管理人网站及中国证监会基金电子披露网站</w:t>
            </w:r>
          </w:p>
        </w:tc>
        <w:tc>
          <w:tcPr>
            <w:tcW w:w="1440" w:type="dxa"/>
            <w:vAlign w:val="center"/>
          </w:tcPr>
          <w:p w:rsidR="007F3F42" w:rsidRDefault="00781698">
            <w:pPr>
              <w:jc w:val="center"/>
            </w:pPr>
            <w:r>
              <w:rPr>
                <w:rFonts w:eastAsiaTheme="minorEastAsia"/>
                <w:color w:val="000000"/>
                <w:szCs w:val="21"/>
              </w:rPr>
              <w:t>2020-06-30</w:t>
            </w:r>
          </w:p>
        </w:tc>
      </w:tr>
    </w:tbl>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64" w:name="_Toc225500055"/>
      <w:bookmarkStart w:id="365" w:name="_Toc352256020"/>
      <w:bookmarkStart w:id="366" w:name="_Toc352256088"/>
      <w:bookmarkStart w:id="367" w:name="_Toc352331266"/>
      <w:bookmarkStart w:id="368" w:name="_Toc390164850"/>
      <w:bookmarkStart w:id="369" w:name="_Toc48659079"/>
      <w:r w:rsidRPr="000C6CCD">
        <w:rPr>
          <w:rFonts w:ascii="宋体" w:hAnsi="宋体"/>
          <w:bCs w:val="0"/>
          <w:color w:val="000000"/>
          <w:sz w:val="21"/>
          <w:szCs w:val="21"/>
        </w:rPr>
        <w:t>11</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备查文件目录</w:t>
      </w:r>
      <w:bookmarkEnd w:id="364"/>
      <w:bookmarkEnd w:id="365"/>
      <w:bookmarkEnd w:id="366"/>
      <w:bookmarkEnd w:id="367"/>
      <w:bookmarkEnd w:id="368"/>
      <w:bookmarkEnd w:id="369"/>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70" w:name="_Toc352256021"/>
      <w:bookmarkStart w:id="371" w:name="_Toc352256089"/>
      <w:bookmarkStart w:id="372" w:name="_Toc352331267"/>
      <w:bookmarkStart w:id="373" w:name="_Toc390164851"/>
      <w:bookmarkStart w:id="374" w:name="_Toc48659080"/>
      <w:r w:rsidRPr="0087359D">
        <w:rPr>
          <w:rFonts w:ascii="宋体" w:hAnsi="宋体"/>
          <w:kern w:val="0"/>
          <w:sz w:val="21"/>
          <w:szCs w:val="21"/>
        </w:rPr>
        <w:t>11.1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备查文件目录</w:t>
      </w:r>
      <w:bookmarkEnd w:id="370"/>
      <w:bookmarkEnd w:id="371"/>
      <w:bookmarkEnd w:id="372"/>
      <w:bookmarkEnd w:id="373"/>
      <w:bookmarkEnd w:id="374"/>
    </w:p>
    <w:p w:rsidR="007F3F42" w:rsidRDefault="00781698">
      <w:pPr>
        <w:widowControl/>
        <w:spacing w:line="360" w:lineRule="auto"/>
        <w:ind w:firstLineChars="200" w:firstLine="420"/>
        <w:rPr>
          <w:rFonts w:eastAsiaTheme="minorEastAsia"/>
          <w:kern w:val="0"/>
          <w:szCs w:val="21"/>
        </w:rPr>
      </w:pPr>
      <w:r>
        <w:rPr>
          <w:rFonts w:eastAsiaTheme="minorEastAsia"/>
          <w:kern w:val="0"/>
          <w:szCs w:val="21"/>
        </w:rPr>
        <w:t>1.</w:t>
      </w:r>
      <w:r>
        <w:rPr>
          <w:rFonts w:eastAsiaTheme="minorEastAsia"/>
          <w:kern w:val="0"/>
          <w:szCs w:val="21"/>
        </w:rPr>
        <w:t>中国证监会注册易方达中证海外中国互联网</w:t>
      </w:r>
      <w:r>
        <w:rPr>
          <w:rFonts w:eastAsiaTheme="minorEastAsia"/>
          <w:kern w:val="0"/>
          <w:szCs w:val="21"/>
        </w:rPr>
        <w:t>50</w:t>
      </w:r>
      <w:r>
        <w:rPr>
          <w:rFonts w:eastAsiaTheme="minorEastAsia"/>
          <w:kern w:val="0"/>
          <w:szCs w:val="21"/>
        </w:rPr>
        <w:t>交易型开放式指数证券投资基金联接基金募集的文件；</w:t>
      </w:r>
    </w:p>
    <w:p w:rsidR="007F3F42" w:rsidRDefault="00781698">
      <w:pPr>
        <w:widowControl/>
        <w:spacing w:line="360" w:lineRule="auto"/>
        <w:ind w:firstLineChars="200" w:firstLine="420"/>
        <w:rPr>
          <w:rFonts w:eastAsiaTheme="minorEastAsia"/>
          <w:kern w:val="0"/>
          <w:szCs w:val="21"/>
        </w:rPr>
      </w:pPr>
      <w:r>
        <w:rPr>
          <w:rFonts w:eastAsiaTheme="minorEastAsia"/>
          <w:kern w:val="0"/>
          <w:szCs w:val="21"/>
        </w:rPr>
        <w:t>2.</w:t>
      </w:r>
      <w:r>
        <w:rPr>
          <w:rFonts w:eastAsiaTheme="minorEastAsia"/>
          <w:kern w:val="0"/>
          <w:szCs w:val="21"/>
        </w:rPr>
        <w:t>《易方达中证海外中国互联网</w:t>
      </w:r>
      <w:r>
        <w:rPr>
          <w:rFonts w:eastAsiaTheme="minorEastAsia"/>
          <w:kern w:val="0"/>
          <w:szCs w:val="21"/>
        </w:rPr>
        <w:t>50</w:t>
      </w:r>
      <w:r>
        <w:rPr>
          <w:rFonts w:eastAsiaTheme="minorEastAsia"/>
          <w:kern w:val="0"/>
          <w:szCs w:val="21"/>
        </w:rPr>
        <w:t>交易型开放式指数证券投资基金联接基金基金合同》；</w:t>
      </w:r>
      <w:r>
        <w:rPr>
          <w:rFonts w:eastAsiaTheme="minorEastAsia"/>
          <w:kern w:val="0"/>
          <w:szCs w:val="21"/>
        </w:rPr>
        <w:t xml:space="preserve"> </w:t>
      </w:r>
    </w:p>
    <w:p w:rsidR="007F3F42" w:rsidRDefault="00781698">
      <w:pPr>
        <w:widowControl/>
        <w:spacing w:line="360" w:lineRule="auto"/>
        <w:ind w:firstLineChars="200" w:firstLine="420"/>
        <w:rPr>
          <w:rFonts w:eastAsiaTheme="minorEastAsia"/>
          <w:kern w:val="0"/>
          <w:szCs w:val="21"/>
        </w:rPr>
      </w:pPr>
      <w:r>
        <w:rPr>
          <w:rFonts w:eastAsiaTheme="minorEastAsia"/>
          <w:kern w:val="0"/>
          <w:szCs w:val="21"/>
        </w:rPr>
        <w:t>3.</w:t>
      </w:r>
      <w:r>
        <w:rPr>
          <w:rFonts w:eastAsiaTheme="minorEastAsia"/>
          <w:kern w:val="0"/>
          <w:szCs w:val="21"/>
        </w:rPr>
        <w:t>《易方达中证海外中国互联网</w:t>
      </w:r>
      <w:r>
        <w:rPr>
          <w:rFonts w:eastAsiaTheme="minorEastAsia"/>
          <w:kern w:val="0"/>
          <w:szCs w:val="21"/>
        </w:rPr>
        <w:t>50</w:t>
      </w:r>
      <w:r>
        <w:rPr>
          <w:rFonts w:eastAsiaTheme="minorEastAsia"/>
          <w:kern w:val="0"/>
          <w:szCs w:val="21"/>
        </w:rPr>
        <w:t>交易型开放式指数证券投资基金联接基金托管协议》；</w:t>
      </w:r>
    </w:p>
    <w:p w:rsidR="007F3F42" w:rsidRDefault="00781698">
      <w:pPr>
        <w:widowControl/>
        <w:spacing w:line="360" w:lineRule="auto"/>
        <w:ind w:firstLineChars="200" w:firstLine="420"/>
        <w:rPr>
          <w:rFonts w:eastAsiaTheme="minorEastAsia"/>
          <w:kern w:val="0"/>
          <w:szCs w:val="21"/>
        </w:rPr>
      </w:pPr>
      <w:r>
        <w:rPr>
          <w:rFonts w:eastAsiaTheme="minorEastAsia"/>
          <w:kern w:val="0"/>
          <w:szCs w:val="21"/>
        </w:rPr>
        <w:t>4.</w:t>
      </w:r>
      <w:r>
        <w:rPr>
          <w:rFonts w:eastAsiaTheme="minorEastAsia"/>
          <w:kern w:val="0"/>
          <w:szCs w:val="21"/>
        </w:rPr>
        <w:t>《易方达基金管理有限公司开放式基金业务规则》；</w:t>
      </w:r>
    </w:p>
    <w:p w:rsidR="008A5A5D" w:rsidRPr="00C24ACA" w:rsidRDefault="008A5A5D" w:rsidP="008134C7">
      <w:pPr>
        <w:widowControl/>
        <w:spacing w:line="360" w:lineRule="auto"/>
        <w:ind w:firstLineChars="200" w:firstLine="420"/>
        <w:rPr>
          <w:rFonts w:eastAsiaTheme="minorEastAsia"/>
          <w:kern w:val="0"/>
          <w:szCs w:val="21"/>
        </w:rPr>
      </w:pPr>
      <w:r w:rsidRPr="00C24ACA">
        <w:rPr>
          <w:rFonts w:eastAsiaTheme="minorEastAsia"/>
          <w:kern w:val="0"/>
          <w:szCs w:val="21"/>
        </w:rPr>
        <w:t>5.</w:t>
      </w:r>
      <w:r w:rsidRPr="00C24ACA">
        <w:rPr>
          <w:rFonts w:eastAsiaTheme="minorEastAsia"/>
          <w:kern w:val="0"/>
          <w:szCs w:val="21"/>
        </w:rPr>
        <w:t>基金管理人业务资格批件和营业执照。</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75" w:name="_Toc352256022"/>
      <w:bookmarkStart w:id="376" w:name="_Toc352256090"/>
      <w:bookmarkStart w:id="377" w:name="_Toc352331268"/>
      <w:bookmarkStart w:id="378" w:name="_Toc390164852"/>
      <w:bookmarkStart w:id="379" w:name="_Toc48659081"/>
      <w:r w:rsidRPr="0087359D">
        <w:rPr>
          <w:rFonts w:ascii="宋体" w:hAnsi="宋体"/>
          <w:kern w:val="0"/>
          <w:sz w:val="21"/>
          <w:szCs w:val="21"/>
        </w:rPr>
        <w:t>11.2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存放地点</w:t>
      </w:r>
      <w:bookmarkEnd w:id="375"/>
      <w:bookmarkEnd w:id="376"/>
      <w:bookmarkEnd w:id="377"/>
      <w:bookmarkEnd w:id="378"/>
      <w:bookmarkEnd w:id="379"/>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广州市天河区珠江新城珠江东路</w:t>
      </w:r>
      <w:r w:rsidRPr="00C24ACA">
        <w:rPr>
          <w:rFonts w:eastAsiaTheme="minorEastAsia"/>
          <w:kern w:val="0"/>
          <w:szCs w:val="21"/>
        </w:rPr>
        <w:t>30</w:t>
      </w:r>
      <w:r w:rsidRPr="00C24ACA">
        <w:rPr>
          <w:rFonts w:eastAsiaTheme="minorEastAsia"/>
          <w:kern w:val="0"/>
          <w:szCs w:val="21"/>
        </w:rPr>
        <w:t>号广州银行大厦</w:t>
      </w:r>
      <w:r w:rsidRPr="00C24ACA">
        <w:rPr>
          <w:rFonts w:eastAsiaTheme="minorEastAsia"/>
          <w:kern w:val="0"/>
          <w:szCs w:val="21"/>
        </w:rPr>
        <w:t>40-43</w:t>
      </w:r>
      <w:r w:rsidRPr="00C24ACA">
        <w:rPr>
          <w:rFonts w:eastAsiaTheme="minorEastAsia"/>
          <w:kern w:val="0"/>
          <w:szCs w:val="21"/>
        </w:rPr>
        <w:t>楼。</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80" w:name="_Toc352256023"/>
      <w:bookmarkStart w:id="381" w:name="_Toc352256091"/>
      <w:bookmarkStart w:id="382" w:name="_Toc352331269"/>
      <w:bookmarkStart w:id="383" w:name="_Toc390164853"/>
      <w:bookmarkStart w:id="384" w:name="_Toc48659082"/>
      <w:r w:rsidRPr="0087359D">
        <w:rPr>
          <w:rFonts w:ascii="宋体" w:hAnsi="宋体"/>
          <w:kern w:val="0"/>
          <w:sz w:val="21"/>
          <w:szCs w:val="21"/>
        </w:rPr>
        <w:t>11.3</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查阅方式</w:t>
      </w:r>
      <w:bookmarkEnd w:id="380"/>
      <w:bookmarkEnd w:id="381"/>
      <w:bookmarkEnd w:id="382"/>
      <w:bookmarkEnd w:id="383"/>
      <w:bookmarkEnd w:id="384"/>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投资者可在营业时间免费查阅，也可按工本费购买复印件。</w:t>
      </w: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2116B9">
      <w:pPr>
        <w:spacing w:line="360" w:lineRule="auto"/>
        <w:ind w:left="840"/>
        <w:jc w:val="right"/>
        <w:rPr>
          <w:rFonts w:eastAsiaTheme="minorEastAsia"/>
          <w:b/>
          <w:bCs/>
          <w:szCs w:val="21"/>
        </w:rPr>
      </w:pPr>
      <w:r w:rsidRPr="00C24ACA">
        <w:rPr>
          <w:rFonts w:eastAsiaTheme="minorEastAsia"/>
          <w:b/>
          <w:bCs/>
          <w:szCs w:val="21"/>
        </w:rPr>
        <w:t>易方达基金管理有限公司</w:t>
      </w:r>
    </w:p>
    <w:p w:rsidR="008A5A5D" w:rsidRPr="00C24ACA" w:rsidRDefault="00025106" w:rsidP="002116B9">
      <w:pPr>
        <w:spacing w:line="360" w:lineRule="auto"/>
        <w:ind w:left="840"/>
        <w:jc w:val="right"/>
        <w:rPr>
          <w:rFonts w:eastAsiaTheme="minorEastAsia"/>
          <w:b/>
          <w:bCs/>
          <w:szCs w:val="21"/>
        </w:rPr>
      </w:pPr>
      <w:r w:rsidRPr="00C24ACA">
        <w:rPr>
          <w:rFonts w:eastAsiaTheme="minorEastAsia"/>
          <w:b/>
          <w:bCs/>
          <w:szCs w:val="21"/>
        </w:rPr>
        <w:t>二〇二〇年八月二十八日</w:t>
      </w:r>
      <w:bookmarkEnd w:id="0"/>
    </w:p>
    <w:sectPr w:rsidR="008A5A5D" w:rsidRPr="00C24ACA" w:rsidSect="00937AC9">
      <w:footerReference w:type="even"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D70" w:rsidRDefault="00992D70">
      <w:r>
        <w:separator/>
      </w:r>
    </w:p>
  </w:endnote>
  <w:endnote w:type="continuationSeparator" w:id="0">
    <w:p w:rsidR="00992D70" w:rsidRDefault="00992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F67" w:rsidRPr="00FF5BA7" w:rsidRDefault="00DC4F67" w:rsidP="008134C7">
    <w:pPr>
      <w:pStyle w:val="a7"/>
      <w:ind w:right="360"/>
      <w:jc w:val="center"/>
      <w:rPr>
        <w:sz w:val="21"/>
        <w:szCs w:val="21"/>
      </w:rPr>
    </w:pPr>
    <w:r w:rsidRPr="00FF5BA7">
      <w:rPr>
        <w:rFonts w:hint="eastAsia"/>
        <w:kern w:val="0"/>
        <w:sz w:val="21"/>
        <w:szCs w:val="21"/>
      </w:rPr>
      <w:t>第</w:t>
    </w:r>
    <w:r w:rsidRPr="00FF5BA7">
      <w:rPr>
        <w:kern w:val="0"/>
        <w:sz w:val="21"/>
        <w:szCs w:val="21"/>
      </w:rPr>
      <w:fldChar w:fldCharType="begin"/>
    </w:r>
    <w:r w:rsidRPr="00FF5BA7">
      <w:rPr>
        <w:kern w:val="0"/>
        <w:sz w:val="21"/>
        <w:szCs w:val="21"/>
      </w:rPr>
      <w:instrText xml:space="preserve"> PAGE </w:instrText>
    </w:r>
    <w:r w:rsidRPr="00FF5BA7">
      <w:rPr>
        <w:kern w:val="0"/>
        <w:sz w:val="21"/>
        <w:szCs w:val="21"/>
      </w:rPr>
      <w:fldChar w:fldCharType="separate"/>
    </w:r>
    <w:r w:rsidR="00A025BF">
      <w:rPr>
        <w:noProof/>
        <w:kern w:val="0"/>
        <w:sz w:val="21"/>
        <w:szCs w:val="21"/>
      </w:rPr>
      <w:t>52</w:t>
    </w:r>
    <w:r w:rsidRPr="00FF5BA7">
      <w:rPr>
        <w:kern w:val="0"/>
        <w:sz w:val="21"/>
        <w:szCs w:val="21"/>
      </w:rPr>
      <w:fldChar w:fldCharType="end"/>
    </w:r>
    <w:r w:rsidRPr="00FF5BA7">
      <w:rPr>
        <w:rFonts w:hint="eastAsia"/>
        <w:kern w:val="0"/>
        <w:sz w:val="21"/>
        <w:szCs w:val="21"/>
      </w:rPr>
      <w:t>页，共</w:t>
    </w:r>
    <w:r w:rsidRPr="00FF5BA7">
      <w:rPr>
        <w:kern w:val="0"/>
        <w:sz w:val="21"/>
        <w:szCs w:val="21"/>
      </w:rPr>
      <w:fldChar w:fldCharType="begin"/>
    </w:r>
    <w:r w:rsidRPr="00FF5BA7">
      <w:rPr>
        <w:kern w:val="0"/>
        <w:sz w:val="21"/>
        <w:szCs w:val="21"/>
      </w:rPr>
      <w:instrText xml:space="preserve"> NUMPAGES </w:instrText>
    </w:r>
    <w:r w:rsidRPr="00FF5BA7">
      <w:rPr>
        <w:kern w:val="0"/>
        <w:sz w:val="21"/>
        <w:szCs w:val="21"/>
      </w:rPr>
      <w:fldChar w:fldCharType="separate"/>
    </w:r>
    <w:r w:rsidR="00A025BF">
      <w:rPr>
        <w:noProof/>
        <w:kern w:val="0"/>
        <w:sz w:val="21"/>
        <w:szCs w:val="21"/>
      </w:rPr>
      <w:t>52</w:t>
    </w:r>
    <w:r w:rsidRPr="00FF5BA7">
      <w:rPr>
        <w:kern w:val="0"/>
        <w:sz w:val="21"/>
        <w:szCs w:val="21"/>
      </w:rPr>
      <w:fldChar w:fldCharType="end"/>
    </w:r>
    <w:r w:rsidRPr="00FF5BA7">
      <w:rPr>
        <w:rFonts w:hint="eastAsia"/>
        <w:kern w:val="0"/>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F67" w:rsidRDefault="00DC4F67" w:rsidP="00C03B3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DC4F67" w:rsidRDefault="00DC4F67" w:rsidP="00C03B3A">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D70" w:rsidRDefault="00992D70">
      <w:r>
        <w:separator/>
      </w:r>
    </w:p>
  </w:footnote>
  <w:footnote w:type="continuationSeparator" w:id="0">
    <w:p w:rsidR="00992D70" w:rsidRDefault="00992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F67" w:rsidRPr="007018D6" w:rsidRDefault="00DC4F67" w:rsidP="009D66C1">
    <w:pPr>
      <w:pStyle w:val="aa"/>
      <w:pBdr>
        <w:bottom w:val="single" w:sz="6" w:space="0" w:color="auto"/>
      </w:pBdr>
      <w:jc w:val="right"/>
    </w:pPr>
    <w:r w:rsidRPr="007018D6">
      <w:t>易方达中证海外中国互联网</w:t>
    </w:r>
    <w:r w:rsidRPr="007018D6">
      <w:t>50</w:t>
    </w:r>
    <w:r w:rsidRPr="007018D6">
      <w:t>交易型开放式指数证券投资基金联接基金</w:t>
    </w:r>
    <w:r w:rsidRPr="007018D6">
      <w:t>2020</w:t>
    </w:r>
    <w:r w:rsidRPr="007018D6">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3"/>
    <w:rsid w:val="00001B39"/>
    <w:rsid w:val="00002644"/>
    <w:rsid w:val="00002FDA"/>
    <w:rsid w:val="0000309F"/>
    <w:rsid w:val="00003577"/>
    <w:rsid w:val="0000403B"/>
    <w:rsid w:val="00004337"/>
    <w:rsid w:val="00005172"/>
    <w:rsid w:val="0000551D"/>
    <w:rsid w:val="00005911"/>
    <w:rsid w:val="00005C09"/>
    <w:rsid w:val="00005D29"/>
    <w:rsid w:val="000061CF"/>
    <w:rsid w:val="00006CF4"/>
    <w:rsid w:val="000102A7"/>
    <w:rsid w:val="00010918"/>
    <w:rsid w:val="00010A83"/>
    <w:rsid w:val="00010A8E"/>
    <w:rsid w:val="00010AC3"/>
    <w:rsid w:val="00010C1F"/>
    <w:rsid w:val="00010F11"/>
    <w:rsid w:val="00011081"/>
    <w:rsid w:val="00011EB5"/>
    <w:rsid w:val="0001280C"/>
    <w:rsid w:val="00013749"/>
    <w:rsid w:val="00013CAE"/>
    <w:rsid w:val="00015C4F"/>
    <w:rsid w:val="00015E54"/>
    <w:rsid w:val="000162AF"/>
    <w:rsid w:val="00016604"/>
    <w:rsid w:val="00016CEB"/>
    <w:rsid w:val="00016F07"/>
    <w:rsid w:val="00017581"/>
    <w:rsid w:val="0001767C"/>
    <w:rsid w:val="00020583"/>
    <w:rsid w:val="00021813"/>
    <w:rsid w:val="00021DD4"/>
    <w:rsid w:val="000221FE"/>
    <w:rsid w:val="00022F8F"/>
    <w:rsid w:val="00023BE7"/>
    <w:rsid w:val="00024491"/>
    <w:rsid w:val="0002453B"/>
    <w:rsid w:val="000246E6"/>
    <w:rsid w:val="00024C15"/>
    <w:rsid w:val="00024C62"/>
    <w:rsid w:val="00024CA0"/>
    <w:rsid w:val="00025106"/>
    <w:rsid w:val="00025805"/>
    <w:rsid w:val="000274FE"/>
    <w:rsid w:val="00027526"/>
    <w:rsid w:val="000276C9"/>
    <w:rsid w:val="00027CFC"/>
    <w:rsid w:val="00027F5F"/>
    <w:rsid w:val="0003228A"/>
    <w:rsid w:val="000322D5"/>
    <w:rsid w:val="0003271C"/>
    <w:rsid w:val="000327EA"/>
    <w:rsid w:val="00032ADD"/>
    <w:rsid w:val="00032FE1"/>
    <w:rsid w:val="000331EA"/>
    <w:rsid w:val="00033E6C"/>
    <w:rsid w:val="00033EC1"/>
    <w:rsid w:val="00034BA5"/>
    <w:rsid w:val="000358FE"/>
    <w:rsid w:val="00036C37"/>
    <w:rsid w:val="00036CFB"/>
    <w:rsid w:val="00037267"/>
    <w:rsid w:val="000378BC"/>
    <w:rsid w:val="00037CF2"/>
    <w:rsid w:val="00037FCF"/>
    <w:rsid w:val="000400FF"/>
    <w:rsid w:val="0004087B"/>
    <w:rsid w:val="00040DAC"/>
    <w:rsid w:val="000415E6"/>
    <w:rsid w:val="00041BC8"/>
    <w:rsid w:val="000421B8"/>
    <w:rsid w:val="000429DF"/>
    <w:rsid w:val="00042AAD"/>
    <w:rsid w:val="000430CA"/>
    <w:rsid w:val="0004381B"/>
    <w:rsid w:val="00043ABF"/>
    <w:rsid w:val="00044158"/>
    <w:rsid w:val="000445E4"/>
    <w:rsid w:val="000471B4"/>
    <w:rsid w:val="00047DFF"/>
    <w:rsid w:val="00050260"/>
    <w:rsid w:val="0005049D"/>
    <w:rsid w:val="000510AB"/>
    <w:rsid w:val="000514E0"/>
    <w:rsid w:val="00052E9B"/>
    <w:rsid w:val="00053091"/>
    <w:rsid w:val="0005346A"/>
    <w:rsid w:val="000534CD"/>
    <w:rsid w:val="00053EED"/>
    <w:rsid w:val="00053F17"/>
    <w:rsid w:val="0005448A"/>
    <w:rsid w:val="00055AF1"/>
    <w:rsid w:val="00056F23"/>
    <w:rsid w:val="000573B5"/>
    <w:rsid w:val="00060423"/>
    <w:rsid w:val="00060597"/>
    <w:rsid w:val="00060A2C"/>
    <w:rsid w:val="00060CB4"/>
    <w:rsid w:val="00061167"/>
    <w:rsid w:val="00062997"/>
    <w:rsid w:val="00062D12"/>
    <w:rsid w:val="00063D34"/>
    <w:rsid w:val="00063FEA"/>
    <w:rsid w:val="000642EA"/>
    <w:rsid w:val="000643C3"/>
    <w:rsid w:val="0006475F"/>
    <w:rsid w:val="00064AE3"/>
    <w:rsid w:val="00064FC8"/>
    <w:rsid w:val="00066524"/>
    <w:rsid w:val="000671A3"/>
    <w:rsid w:val="00067CC5"/>
    <w:rsid w:val="00070CD1"/>
    <w:rsid w:val="00071022"/>
    <w:rsid w:val="000710CD"/>
    <w:rsid w:val="0007171B"/>
    <w:rsid w:val="000717A1"/>
    <w:rsid w:val="000726C0"/>
    <w:rsid w:val="00072DE0"/>
    <w:rsid w:val="00073DB1"/>
    <w:rsid w:val="00073F87"/>
    <w:rsid w:val="00076397"/>
    <w:rsid w:val="000764CB"/>
    <w:rsid w:val="00076CC5"/>
    <w:rsid w:val="000801F4"/>
    <w:rsid w:val="00080423"/>
    <w:rsid w:val="0008141B"/>
    <w:rsid w:val="00081A3D"/>
    <w:rsid w:val="00081D05"/>
    <w:rsid w:val="00082038"/>
    <w:rsid w:val="0008226A"/>
    <w:rsid w:val="00083770"/>
    <w:rsid w:val="00083BAF"/>
    <w:rsid w:val="00083C9A"/>
    <w:rsid w:val="00084ADE"/>
    <w:rsid w:val="0008506D"/>
    <w:rsid w:val="00085E0F"/>
    <w:rsid w:val="00085F3E"/>
    <w:rsid w:val="000861D6"/>
    <w:rsid w:val="0008624A"/>
    <w:rsid w:val="000863CA"/>
    <w:rsid w:val="00086622"/>
    <w:rsid w:val="000866EC"/>
    <w:rsid w:val="000869C6"/>
    <w:rsid w:val="00087011"/>
    <w:rsid w:val="000874BC"/>
    <w:rsid w:val="00087CF7"/>
    <w:rsid w:val="00087D8D"/>
    <w:rsid w:val="0009000C"/>
    <w:rsid w:val="000908ED"/>
    <w:rsid w:val="0009091B"/>
    <w:rsid w:val="00090D5E"/>
    <w:rsid w:val="000917D5"/>
    <w:rsid w:val="000919B7"/>
    <w:rsid w:val="00093E08"/>
    <w:rsid w:val="00094876"/>
    <w:rsid w:val="000951F7"/>
    <w:rsid w:val="00095912"/>
    <w:rsid w:val="00095CE0"/>
    <w:rsid w:val="00096933"/>
    <w:rsid w:val="00096995"/>
    <w:rsid w:val="00096B18"/>
    <w:rsid w:val="00097013"/>
    <w:rsid w:val="00097230"/>
    <w:rsid w:val="000A010B"/>
    <w:rsid w:val="000A1448"/>
    <w:rsid w:val="000A1449"/>
    <w:rsid w:val="000A1BFB"/>
    <w:rsid w:val="000A2779"/>
    <w:rsid w:val="000A3022"/>
    <w:rsid w:val="000A38DE"/>
    <w:rsid w:val="000A457E"/>
    <w:rsid w:val="000A4672"/>
    <w:rsid w:val="000A4FEF"/>
    <w:rsid w:val="000A53FD"/>
    <w:rsid w:val="000A549A"/>
    <w:rsid w:val="000A578A"/>
    <w:rsid w:val="000A6557"/>
    <w:rsid w:val="000A673F"/>
    <w:rsid w:val="000A72F2"/>
    <w:rsid w:val="000A7FCC"/>
    <w:rsid w:val="000B0C56"/>
    <w:rsid w:val="000B2714"/>
    <w:rsid w:val="000B2B57"/>
    <w:rsid w:val="000B2C8D"/>
    <w:rsid w:val="000B36CC"/>
    <w:rsid w:val="000B3E43"/>
    <w:rsid w:val="000B417C"/>
    <w:rsid w:val="000B4365"/>
    <w:rsid w:val="000B5CC0"/>
    <w:rsid w:val="000B6328"/>
    <w:rsid w:val="000B682A"/>
    <w:rsid w:val="000B6D23"/>
    <w:rsid w:val="000C01F9"/>
    <w:rsid w:val="000C05AB"/>
    <w:rsid w:val="000C0871"/>
    <w:rsid w:val="000C0CA5"/>
    <w:rsid w:val="000C0F55"/>
    <w:rsid w:val="000C127D"/>
    <w:rsid w:val="000C15BE"/>
    <w:rsid w:val="000C1723"/>
    <w:rsid w:val="000C1B20"/>
    <w:rsid w:val="000C224F"/>
    <w:rsid w:val="000C2BDC"/>
    <w:rsid w:val="000C3FD9"/>
    <w:rsid w:val="000C4107"/>
    <w:rsid w:val="000C45E7"/>
    <w:rsid w:val="000C45F5"/>
    <w:rsid w:val="000C4A39"/>
    <w:rsid w:val="000C5E98"/>
    <w:rsid w:val="000C5F67"/>
    <w:rsid w:val="000C698D"/>
    <w:rsid w:val="000C6CCD"/>
    <w:rsid w:val="000C705C"/>
    <w:rsid w:val="000C7AE4"/>
    <w:rsid w:val="000D01F4"/>
    <w:rsid w:val="000D0B89"/>
    <w:rsid w:val="000D1497"/>
    <w:rsid w:val="000D1519"/>
    <w:rsid w:val="000D1F25"/>
    <w:rsid w:val="000D3145"/>
    <w:rsid w:val="000D36D1"/>
    <w:rsid w:val="000D4AAD"/>
    <w:rsid w:val="000D52DC"/>
    <w:rsid w:val="000D6054"/>
    <w:rsid w:val="000D619B"/>
    <w:rsid w:val="000D788B"/>
    <w:rsid w:val="000E1057"/>
    <w:rsid w:val="000E148A"/>
    <w:rsid w:val="000E28C9"/>
    <w:rsid w:val="000E34ED"/>
    <w:rsid w:val="000E4456"/>
    <w:rsid w:val="000E458D"/>
    <w:rsid w:val="000E56C3"/>
    <w:rsid w:val="000E6184"/>
    <w:rsid w:val="000E67FE"/>
    <w:rsid w:val="000E6DA9"/>
    <w:rsid w:val="000E7C24"/>
    <w:rsid w:val="000F0C0A"/>
    <w:rsid w:val="000F175F"/>
    <w:rsid w:val="000F17D1"/>
    <w:rsid w:val="000F1913"/>
    <w:rsid w:val="000F1B87"/>
    <w:rsid w:val="000F1EE4"/>
    <w:rsid w:val="000F2C75"/>
    <w:rsid w:val="000F3506"/>
    <w:rsid w:val="000F350C"/>
    <w:rsid w:val="000F3D90"/>
    <w:rsid w:val="000F4232"/>
    <w:rsid w:val="000F593E"/>
    <w:rsid w:val="000F60F3"/>
    <w:rsid w:val="000F60FF"/>
    <w:rsid w:val="000F6198"/>
    <w:rsid w:val="000F635F"/>
    <w:rsid w:val="000F6C61"/>
    <w:rsid w:val="00100C12"/>
    <w:rsid w:val="001013A8"/>
    <w:rsid w:val="00102CC8"/>
    <w:rsid w:val="001030B5"/>
    <w:rsid w:val="0010352B"/>
    <w:rsid w:val="001049B6"/>
    <w:rsid w:val="00104A39"/>
    <w:rsid w:val="00104DE3"/>
    <w:rsid w:val="001051C6"/>
    <w:rsid w:val="00105211"/>
    <w:rsid w:val="0010577B"/>
    <w:rsid w:val="00105C9C"/>
    <w:rsid w:val="001069ED"/>
    <w:rsid w:val="00106C1F"/>
    <w:rsid w:val="00107BA0"/>
    <w:rsid w:val="00107C33"/>
    <w:rsid w:val="001116BA"/>
    <w:rsid w:val="0011177A"/>
    <w:rsid w:val="0011179E"/>
    <w:rsid w:val="00111C71"/>
    <w:rsid w:val="00113B73"/>
    <w:rsid w:val="001141C0"/>
    <w:rsid w:val="001150A3"/>
    <w:rsid w:val="00115AD8"/>
    <w:rsid w:val="00116B10"/>
    <w:rsid w:val="00116E31"/>
    <w:rsid w:val="00120169"/>
    <w:rsid w:val="00120E31"/>
    <w:rsid w:val="00120EED"/>
    <w:rsid w:val="001212B4"/>
    <w:rsid w:val="00121A03"/>
    <w:rsid w:val="0012304E"/>
    <w:rsid w:val="0012380F"/>
    <w:rsid w:val="001239C8"/>
    <w:rsid w:val="00123A56"/>
    <w:rsid w:val="00124099"/>
    <w:rsid w:val="0012415D"/>
    <w:rsid w:val="001248EF"/>
    <w:rsid w:val="001257C7"/>
    <w:rsid w:val="0012593C"/>
    <w:rsid w:val="00126502"/>
    <w:rsid w:val="00126AF2"/>
    <w:rsid w:val="00126DDF"/>
    <w:rsid w:val="001270BF"/>
    <w:rsid w:val="00127BAC"/>
    <w:rsid w:val="00127FF5"/>
    <w:rsid w:val="00130386"/>
    <w:rsid w:val="00130590"/>
    <w:rsid w:val="00130C28"/>
    <w:rsid w:val="00131EC2"/>
    <w:rsid w:val="0013226C"/>
    <w:rsid w:val="00132E82"/>
    <w:rsid w:val="0013374F"/>
    <w:rsid w:val="00135467"/>
    <w:rsid w:val="00136211"/>
    <w:rsid w:val="001364D3"/>
    <w:rsid w:val="001366C4"/>
    <w:rsid w:val="0013686A"/>
    <w:rsid w:val="00136BE0"/>
    <w:rsid w:val="0013718B"/>
    <w:rsid w:val="00137BB5"/>
    <w:rsid w:val="00137BB9"/>
    <w:rsid w:val="00137D50"/>
    <w:rsid w:val="00140038"/>
    <w:rsid w:val="00142280"/>
    <w:rsid w:val="0014241E"/>
    <w:rsid w:val="001424C6"/>
    <w:rsid w:val="00142A56"/>
    <w:rsid w:val="001432A7"/>
    <w:rsid w:val="00143BE5"/>
    <w:rsid w:val="00144280"/>
    <w:rsid w:val="00144AAD"/>
    <w:rsid w:val="00144DF5"/>
    <w:rsid w:val="001455C7"/>
    <w:rsid w:val="00145A97"/>
    <w:rsid w:val="00145B50"/>
    <w:rsid w:val="00145CAE"/>
    <w:rsid w:val="00146485"/>
    <w:rsid w:val="00146835"/>
    <w:rsid w:val="00146A28"/>
    <w:rsid w:val="00146FBA"/>
    <w:rsid w:val="00147492"/>
    <w:rsid w:val="0015080E"/>
    <w:rsid w:val="00150AD6"/>
    <w:rsid w:val="0015173F"/>
    <w:rsid w:val="00151B23"/>
    <w:rsid w:val="001529AD"/>
    <w:rsid w:val="00152AB0"/>
    <w:rsid w:val="00152B88"/>
    <w:rsid w:val="0015328C"/>
    <w:rsid w:val="001535AE"/>
    <w:rsid w:val="00153B40"/>
    <w:rsid w:val="00153B9D"/>
    <w:rsid w:val="00153BCF"/>
    <w:rsid w:val="00154ADA"/>
    <w:rsid w:val="00154B08"/>
    <w:rsid w:val="00154C44"/>
    <w:rsid w:val="0015531A"/>
    <w:rsid w:val="00155875"/>
    <w:rsid w:val="001558FD"/>
    <w:rsid w:val="00155A35"/>
    <w:rsid w:val="00157418"/>
    <w:rsid w:val="00157B5A"/>
    <w:rsid w:val="0016050B"/>
    <w:rsid w:val="00161476"/>
    <w:rsid w:val="001626F8"/>
    <w:rsid w:val="0016380C"/>
    <w:rsid w:val="00163816"/>
    <w:rsid w:val="00163B27"/>
    <w:rsid w:val="0016425E"/>
    <w:rsid w:val="0016435A"/>
    <w:rsid w:val="00164BF7"/>
    <w:rsid w:val="00165317"/>
    <w:rsid w:val="001657AB"/>
    <w:rsid w:val="0016725E"/>
    <w:rsid w:val="0017073D"/>
    <w:rsid w:val="001707EF"/>
    <w:rsid w:val="00170D38"/>
    <w:rsid w:val="00171484"/>
    <w:rsid w:val="0017173B"/>
    <w:rsid w:val="00171BAD"/>
    <w:rsid w:val="00171F2C"/>
    <w:rsid w:val="001731C7"/>
    <w:rsid w:val="00173AF1"/>
    <w:rsid w:val="001744B4"/>
    <w:rsid w:val="001751EF"/>
    <w:rsid w:val="001756A1"/>
    <w:rsid w:val="001761EE"/>
    <w:rsid w:val="00176D47"/>
    <w:rsid w:val="00176EAA"/>
    <w:rsid w:val="00177030"/>
    <w:rsid w:val="0017725A"/>
    <w:rsid w:val="0017747A"/>
    <w:rsid w:val="00177C4B"/>
    <w:rsid w:val="00177F6A"/>
    <w:rsid w:val="00182708"/>
    <w:rsid w:val="00182A38"/>
    <w:rsid w:val="00182BB8"/>
    <w:rsid w:val="0018325A"/>
    <w:rsid w:val="00183BA8"/>
    <w:rsid w:val="00183D7A"/>
    <w:rsid w:val="00183F2D"/>
    <w:rsid w:val="00184CAE"/>
    <w:rsid w:val="00186199"/>
    <w:rsid w:val="00186F7A"/>
    <w:rsid w:val="00187CB2"/>
    <w:rsid w:val="00190AE2"/>
    <w:rsid w:val="00190E27"/>
    <w:rsid w:val="001928F7"/>
    <w:rsid w:val="00192AD3"/>
    <w:rsid w:val="00193182"/>
    <w:rsid w:val="00193575"/>
    <w:rsid w:val="0019389D"/>
    <w:rsid w:val="00193B62"/>
    <w:rsid w:val="00194537"/>
    <w:rsid w:val="00194F79"/>
    <w:rsid w:val="0019563C"/>
    <w:rsid w:val="001956CA"/>
    <w:rsid w:val="00195B79"/>
    <w:rsid w:val="00196BCF"/>
    <w:rsid w:val="00197CE2"/>
    <w:rsid w:val="001A02F4"/>
    <w:rsid w:val="001A088E"/>
    <w:rsid w:val="001A0AD5"/>
    <w:rsid w:val="001A0F4A"/>
    <w:rsid w:val="001A1B13"/>
    <w:rsid w:val="001A1D38"/>
    <w:rsid w:val="001A21A9"/>
    <w:rsid w:val="001A2A97"/>
    <w:rsid w:val="001A364F"/>
    <w:rsid w:val="001A39B7"/>
    <w:rsid w:val="001A42FA"/>
    <w:rsid w:val="001A4AEC"/>
    <w:rsid w:val="001A5051"/>
    <w:rsid w:val="001A58FE"/>
    <w:rsid w:val="001A59D8"/>
    <w:rsid w:val="001A5FA6"/>
    <w:rsid w:val="001A644F"/>
    <w:rsid w:val="001A668F"/>
    <w:rsid w:val="001A71CC"/>
    <w:rsid w:val="001A7F30"/>
    <w:rsid w:val="001B017D"/>
    <w:rsid w:val="001B2F0C"/>
    <w:rsid w:val="001B30CA"/>
    <w:rsid w:val="001B3513"/>
    <w:rsid w:val="001B353A"/>
    <w:rsid w:val="001B3D3E"/>
    <w:rsid w:val="001B3F69"/>
    <w:rsid w:val="001B4CEC"/>
    <w:rsid w:val="001B50CD"/>
    <w:rsid w:val="001B52FE"/>
    <w:rsid w:val="001B7890"/>
    <w:rsid w:val="001C005A"/>
    <w:rsid w:val="001C00CF"/>
    <w:rsid w:val="001C0806"/>
    <w:rsid w:val="001C1110"/>
    <w:rsid w:val="001C156D"/>
    <w:rsid w:val="001C1C77"/>
    <w:rsid w:val="001C2F9C"/>
    <w:rsid w:val="001C3399"/>
    <w:rsid w:val="001C37F6"/>
    <w:rsid w:val="001C4928"/>
    <w:rsid w:val="001C4D9F"/>
    <w:rsid w:val="001C4EB6"/>
    <w:rsid w:val="001C5289"/>
    <w:rsid w:val="001C6288"/>
    <w:rsid w:val="001C67A1"/>
    <w:rsid w:val="001C7C6D"/>
    <w:rsid w:val="001D0538"/>
    <w:rsid w:val="001D0634"/>
    <w:rsid w:val="001D0D6A"/>
    <w:rsid w:val="001D0F6A"/>
    <w:rsid w:val="001D21BC"/>
    <w:rsid w:val="001D2230"/>
    <w:rsid w:val="001D2D34"/>
    <w:rsid w:val="001D2E47"/>
    <w:rsid w:val="001D2FA5"/>
    <w:rsid w:val="001D35E0"/>
    <w:rsid w:val="001D5016"/>
    <w:rsid w:val="001D5045"/>
    <w:rsid w:val="001D5281"/>
    <w:rsid w:val="001D5494"/>
    <w:rsid w:val="001D5A44"/>
    <w:rsid w:val="001D6213"/>
    <w:rsid w:val="001D6BEF"/>
    <w:rsid w:val="001D724B"/>
    <w:rsid w:val="001D730C"/>
    <w:rsid w:val="001E03BE"/>
    <w:rsid w:val="001E07AE"/>
    <w:rsid w:val="001E09F9"/>
    <w:rsid w:val="001E0AAA"/>
    <w:rsid w:val="001E0F28"/>
    <w:rsid w:val="001E0F82"/>
    <w:rsid w:val="001E11D3"/>
    <w:rsid w:val="001E15F1"/>
    <w:rsid w:val="001E1C4F"/>
    <w:rsid w:val="001E1C7C"/>
    <w:rsid w:val="001E2332"/>
    <w:rsid w:val="001E27F6"/>
    <w:rsid w:val="001E287E"/>
    <w:rsid w:val="001E2A6A"/>
    <w:rsid w:val="001E3BB1"/>
    <w:rsid w:val="001E3DC2"/>
    <w:rsid w:val="001E49F3"/>
    <w:rsid w:val="001E56FF"/>
    <w:rsid w:val="001E5C6B"/>
    <w:rsid w:val="001E6862"/>
    <w:rsid w:val="001E6EBF"/>
    <w:rsid w:val="001F0307"/>
    <w:rsid w:val="001F03E1"/>
    <w:rsid w:val="001F0DE9"/>
    <w:rsid w:val="001F147B"/>
    <w:rsid w:val="001F221F"/>
    <w:rsid w:val="001F2246"/>
    <w:rsid w:val="001F3CC6"/>
    <w:rsid w:val="001F3F50"/>
    <w:rsid w:val="001F4530"/>
    <w:rsid w:val="001F489E"/>
    <w:rsid w:val="001F5CE2"/>
    <w:rsid w:val="001F5DBA"/>
    <w:rsid w:val="001F5DE3"/>
    <w:rsid w:val="001F5F74"/>
    <w:rsid w:val="001F6058"/>
    <w:rsid w:val="001F69B2"/>
    <w:rsid w:val="002000DE"/>
    <w:rsid w:val="002010DE"/>
    <w:rsid w:val="00201962"/>
    <w:rsid w:val="00201B58"/>
    <w:rsid w:val="00201DDA"/>
    <w:rsid w:val="00202968"/>
    <w:rsid w:val="00202C32"/>
    <w:rsid w:val="00203940"/>
    <w:rsid w:val="00203973"/>
    <w:rsid w:val="00203AEF"/>
    <w:rsid w:val="00206018"/>
    <w:rsid w:val="00206D74"/>
    <w:rsid w:val="002075E2"/>
    <w:rsid w:val="002077F4"/>
    <w:rsid w:val="00207E26"/>
    <w:rsid w:val="002116B9"/>
    <w:rsid w:val="00211A26"/>
    <w:rsid w:val="00212249"/>
    <w:rsid w:val="002125F7"/>
    <w:rsid w:val="00212901"/>
    <w:rsid w:val="00213709"/>
    <w:rsid w:val="0021397C"/>
    <w:rsid w:val="00214463"/>
    <w:rsid w:val="00214756"/>
    <w:rsid w:val="00215CF2"/>
    <w:rsid w:val="00215D9F"/>
    <w:rsid w:val="00216310"/>
    <w:rsid w:val="00216BCE"/>
    <w:rsid w:val="00216D8F"/>
    <w:rsid w:val="00217867"/>
    <w:rsid w:val="00220542"/>
    <w:rsid w:val="00220D7F"/>
    <w:rsid w:val="002210EB"/>
    <w:rsid w:val="00221174"/>
    <w:rsid w:val="00222DE3"/>
    <w:rsid w:val="002233F0"/>
    <w:rsid w:val="0022498A"/>
    <w:rsid w:val="00225756"/>
    <w:rsid w:val="00225ADC"/>
    <w:rsid w:val="00225CEB"/>
    <w:rsid w:val="0022692D"/>
    <w:rsid w:val="00227ABF"/>
    <w:rsid w:val="002318F3"/>
    <w:rsid w:val="00232443"/>
    <w:rsid w:val="0023323F"/>
    <w:rsid w:val="00233A86"/>
    <w:rsid w:val="00234202"/>
    <w:rsid w:val="00235842"/>
    <w:rsid w:val="002359EB"/>
    <w:rsid w:val="002363AB"/>
    <w:rsid w:val="00236412"/>
    <w:rsid w:val="00236933"/>
    <w:rsid w:val="0023727B"/>
    <w:rsid w:val="00237579"/>
    <w:rsid w:val="00237675"/>
    <w:rsid w:val="00237C6D"/>
    <w:rsid w:val="0024096B"/>
    <w:rsid w:val="00241582"/>
    <w:rsid w:val="00241B45"/>
    <w:rsid w:val="00241D0E"/>
    <w:rsid w:val="002424D7"/>
    <w:rsid w:val="0024260D"/>
    <w:rsid w:val="00242657"/>
    <w:rsid w:val="002428F6"/>
    <w:rsid w:val="00242FA2"/>
    <w:rsid w:val="00243C23"/>
    <w:rsid w:val="0024402C"/>
    <w:rsid w:val="00244D4F"/>
    <w:rsid w:val="00245012"/>
    <w:rsid w:val="0024504E"/>
    <w:rsid w:val="00245761"/>
    <w:rsid w:val="0024651F"/>
    <w:rsid w:val="00247729"/>
    <w:rsid w:val="0025158D"/>
    <w:rsid w:val="00251C7E"/>
    <w:rsid w:val="00251D61"/>
    <w:rsid w:val="00252697"/>
    <w:rsid w:val="0025281A"/>
    <w:rsid w:val="00253103"/>
    <w:rsid w:val="00253D3C"/>
    <w:rsid w:val="00254022"/>
    <w:rsid w:val="002544D7"/>
    <w:rsid w:val="00254C82"/>
    <w:rsid w:val="00255292"/>
    <w:rsid w:val="002561CC"/>
    <w:rsid w:val="002571F0"/>
    <w:rsid w:val="00257578"/>
    <w:rsid w:val="00260200"/>
    <w:rsid w:val="00260B06"/>
    <w:rsid w:val="00260BFB"/>
    <w:rsid w:val="00260DA3"/>
    <w:rsid w:val="00261D93"/>
    <w:rsid w:val="00261E92"/>
    <w:rsid w:val="00262029"/>
    <w:rsid w:val="00262553"/>
    <w:rsid w:val="002631B5"/>
    <w:rsid w:val="00263BBD"/>
    <w:rsid w:val="002648D8"/>
    <w:rsid w:val="00265AFB"/>
    <w:rsid w:val="00267EE3"/>
    <w:rsid w:val="00267F59"/>
    <w:rsid w:val="002700E9"/>
    <w:rsid w:val="00270CE9"/>
    <w:rsid w:val="002716BD"/>
    <w:rsid w:val="0027235A"/>
    <w:rsid w:val="00273CDB"/>
    <w:rsid w:val="00273F86"/>
    <w:rsid w:val="002741BE"/>
    <w:rsid w:val="002752EA"/>
    <w:rsid w:val="00275D42"/>
    <w:rsid w:val="00275D56"/>
    <w:rsid w:val="00275EAD"/>
    <w:rsid w:val="00276B03"/>
    <w:rsid w:val="00276C3A"/>
    <w:rsid w:val="002773FB"/>
    <w:rsid w:val="002774F0"/>
    <w:rsid w:val="00277583"/>
    <w:rsid w:val="00277722"/>
    <w:rsid w:val="00280A4F"/>
    <w:rsid w:val="00281226"/>
    <w:rsid w:val="002813C5"/>
    <w:rsid w:val="0028284A"/>
    <w:rsid w:val="00282C23"/>
    <w:rsid w:val="0028315D"/>
    <w:rsid w:val="00283885"/>
    <w:rsid w:val="002839A4"/>
    <w:rsid w:val="0028459B"/>
    <w:rsid w:val="00284C5F"/>
    <w:rsid w:val="0028507E"/>
    <w:rsid w:val="00286183"/>
    <w:rsid w:val="0028658C"/>
    <w:rsid w:val="002873F0"/>
    <w:rsid w:val="00287762"/>
    <w:rsid w:val="00287B8D"/>
    <w:rsid w:val="00290793"/>
    <w:rsid w:val="002915FE"/>
    <w:rsid w:val="002916E3"/>
    <w:rsid w:val="002916F1"/>
    <w:rsid w:val="00291A70"/>
    <w:rsid w:val="00291A85"/>
    <w:rsid w:val="00291F6F"/>
    <w:rsid w:val="0029379A"/>
    <w:rsid w:val="00293C97"/>
    <w:rsid w:val="002942CB"/>
    <w:rsid w:val="00294C7F"/>
    <w:rsid w:val="00294D8F"/>
    <w:rsid w:val="00295D5A"/>
    <w:rsid w:val="002964F9"/>
    <w:rsid w:val="0029690F"/>
    <w:rsid w:val="002969CC"/>
    <w:rsid w:val="00297D85"/>
    <w:rsid w:val="002A07F4"/>
    <w:rsid w:val="002A090A"/>
    <w:rsid w:val="002A0B47"/>
    <w:rsid w:val="002A1381"/>
    <w:rsid w:val="002A1F14"/>
    <w:rsid w:val="002A2678"/>
    <w:rsid w:val="002A2E01"/>
    <w:rsid w:val="002A32E5"/>
    <w:rsid w:val="002A34B9"/>
    <w:rsid w:val="002A398F"/>
    <w:rsid w:val="002A3DFD"/>
    <w:rsid w:val="002A46A7"/>
    <w:rsid w:val="002A4F2C"/>
    <w:rsid w:val="002A525F"/>
    <w:rsid w:val="002A5C6B"/>
    <w:rsid w:val="002A5D31"/>
    <w:rsid w:val="002A5E63"/>
    <w:rsid w:val="002A5FBD"/>
    <w:rsid w:val="002A714F"/>
    <w:rsid w:val="002A75D7"/>
    <w:rsid w:val="002B09C0"/>
    <w:rsid w:val="002B1851"/>
    <w:rsid w:val="002B1EC9"/>
    <w:rsid w:val="002B27FF"/>
    <w:rsid w:val="002B2B42"/>
    <w:rsid w:val="002B2F4E"/>
    <w:rsid w:val="002B5C8E"/>
    <w:rsid w:val="002B6688"/>
    <w:rsid w:val="002B6793"/>
    <w:rsid w:val="002B7562"/>
    <w:rsid w:val="002B780B"/>
    <w:rsid w:val="002B7D25"/>
    <w:rsid w:val="002C03E0"/>
    <w:rsid w:val="002C1260"/>
    <w:rsid w:val="002C1726"/>
    <w:rsid w:val="002C21A6"/>
    <w:rsid w:val="002C26D5"/>
    <w:rsid w:val="002C5777"/>
    <w:rsid w:val="002C5889"/>
    <w:rsid w:val="002C5909"/>
    <w:rsid w:val="002C5B7A"/>
    <w:rsid w:val="002C65FA"/>
    <w:rsid w:val="002C661D"/>
    <w:rsid w:val="002C7C89"/>
    <w:rsid w:val="002D1A0F"/>
    <w:rsid w:val="002D22BF"/>
    <w:rsid w:val="002D237C"/>
    <w:rsid w:val="002D32E3"/>
    <w:rsid w:val="002D33F1"/>
    <w:rsid w:val="002D353D"/>
    <w:rsid w:val="002D44BC"/>
    <w:rsid w:val="002D4733"/>
    <w:rsid w:val="002D528B"/>
    <w:rsid w:val="002D52AD"/>
    <w:rsid w:val="002D58D8"/>
    <w:rsid w:val="002D5EB1"/>
    <w:rsid w:val="002D7777"/>
    <w:rsid w:val="002D77FF"/>
    <w:rsid w:val="002D7BFF"/>
    <w:rsid w:val="002E0394"/>
    <w:rsid w:val="002E0644"/>
    <w:rsid w:val="002E0FEB"/>
    <w:rsid w:val="002E14AD"/>
    <w:rsid w:val="002E171B"/>
    <w:rsid w:val="002E1BCA"/>
    <w:rsid w:val="002E204F"/>
    <w:rsid w:val="002E2625"/>
    <w:rsid w:val="002E319D"/>
    <w:rsid w:val="002E372D"/>
    <w:rsid w:val="002E3CD4"/>
    <w:rsid w:val="002E4AD5"/>
    <w:rsid w:val="002E4C2D"/>
    <w:rsid w:val="002E72C5"/>
    <w:rsid w:val="002F0F79"/>
    <w:rsid w:val="002F100F"/>
    <w:rsid w:val="002F19F9"/>
    <w:rsid w:val="002F1C9E"/>
    <w:rsid w:val="002F1EB2"/>
    <w:rsid w:val="002F2450"/>
    <w:rsid w:val="002F280E"/>
    <w:rsid w:val="002F2CBB"/>
    <w:rsid w:val="002F324A"/>
    <w:rsid w:val="002F3470"/>
    <w:rsid w:val="002F3709"/>
    <w:rsid w:val="002F3A6C"/>
    <w:rsid w:val="002F4296"/>
    <w:rsid w:val="002F5777"/>
    <w:rsid w:val="002F60EA"/>
    <w:rsid w:val="002F62F1"/>
    <w:rsid w:val="002F680E"/>
    <w:rsid w:val="002F7330"/>
    <w:rsid w:val="00300727"/>
    <w:rsid w:val="00300951"/>
    <w:rsid w:val="00300E8A"/>
    <w:rsid w:val="0030216B"/>
    <w:rsid w:val="003023C9"/>
    <w:rsid w:val="003029E6"/>
    <w:rsid w:val="00302CA8"/>
    <w:rsid w:val="00302DE9"/>
    <w:rsid w:val="00303EA9"/>
    <w:rsid w:val="00304860"/>
    <w:rsid w:val="00304E23"/>
    <w:rsid w:val="00305084"/>
    <w:rsid w:val="00305871"/>
    <w:rsid w:val="00305BCF"/>
    <w:rsid w:val="00306026"/>
    <w:rsid w:val="00306408"/>
    <w:rsid w:val="0030682A"/>
    <w:rsid w:val="00306B13"/>
    <w:rsid w:val="00307249"/>
    <w:rsid w:val="00307E35"/>
    <w:rsid w:val="00311D61"/>
    <w:rsid w:val="00312C47"/>
    <w:rsid w:val="00312DAE"/>
    <w:rsid w:val="003132DB"/>
    <w:rsid w:val="00313336"/>
    <w:rsid w:val="003137CA"/>
    <w:rsid w:val="00313918"/>
    <w:rsid w:val="003153CB"/>
    <w:rsid w:val="00316012"/>
    <w:rsid w:val="003166DE"/>
    <w:rsid w:val="00316B8C"/>
    <w:rsid w:val="00316BA5"/>
    <w:rsid w:val="003171A3"/>
    <w:rsid w:val="00317226"/>
    <w:rsid w:val="00317528"/>
    <w:rsid w:val="003201F9"/>
    <w:rsid w:val="003204E9"/>
    <w:rsid w:val="0032050A"/>
    <w:rsid w:val="00320AF3"/>
    <w:rsid w:val="00320B7B"/>
    <w:rsid w:val="00320DAB"/>
    <w:rsid w:val="0032160D"/>
    <w:rsid w:val="00321618"/>
    <w:rsid w:val="00321E8C"/>
    <w:rsid w:val="00321FDA"/>
    <w:rsid w:val="00322318"/>
    <w:rsid w:val="00322A86"/>
    <w:rsid w:val="00323041"/>
    <w:rsid w:val="00323AE8"/>
    <w:rsid w:val="00323B32"/>
    <w:rsid w:val="00324548"/>
    <w:rsid w:val="0032494A"/>
    <w:rsid w:val="003251F4"/>
    <w:rsid w:val="00325408"/>
    <w:rsid w:val="0032555D"/>
    <w:rsid w:val="00326927"/>
    <w:rsid w:val="003273A3"/>
    <w:rsid w:val="003277CD"/>
    <w:rsid w:val="003303E3"/>
    <w:rsid w:val="00330651"/>
    <w:rsid w:val="00331A88"/>
    <w:rsid w:val="003329EA"/>
    <w:rsid w:val="00332C6E"/>
    <w:rsid w:val="00332D73"/>
    <w:rsid w:val="0033368C"/>
    <w:rsid w:val="003338BE"/>
    <w:rsid w:val="00336AA2"/>
    <w:rsid w:val="00337271"/>
    <w:rsid w:val="00337B1B"/>
    <w:rsid w:val="00337ED3"/>
    <w:rsid w:val="003405DA"/>
    <w:rsid w:val="003407A5"/>
    <w:rsid w:val="00340CBC"/>
    <w:rsid w:val="003410A1"/>
    <w:rsid w:val="00341188"/>
    <w:rsid w:val="0034147B"/>
    <w:rsid w:val="003424CB"/>
    <w:rsid w:val="003439DB"/>
    <w:rsid w:val="00344FBE"/>
    <w:rsid w:val="00346759"/>
    <w:rsid w:val="00350238"/>
    <w:rsid w:val="00350315"/>
    <w:rsid w:val="0035109C"/>
    <w:rsid w:val="00351752"/>
    <w:rsid w:val="00351F0A"/>
    <w:rsid w:val="00352648"/>
    <w:rsid w:val="003532D4"/>
    <w:rsid w:val="00353AC6"/>
    <w:rsid w:val="00353E6B"/>
    <w:rsid w:val="003542B7"/>
    <w:rsid w:val="0035432B"/>
    <w:rsid w:val="00354765"/>
    <w:rsid w:val="00354E10"/>
    <w:rsid w:val="003574C8"/>
    <w:rsid w:val="0035753E"/>
    <w:rsid w:val="00357B15"/>
    <w:rsid w:val="00357BB3"/>
    <w:rsid w:val="003602EA"/>
    <w:rsid w:val="00360F81"/>
    <w:rsid w:val="00361E7E"/>
    <w:rsid w:val="00363564"/>
    <w:rsid w:val="003648F2"/>
    <w:rsid w:val="00364FA1"/>
    <w:rsid w:val="00366B02"/>
    <w:rsid w:val="003671F5"/>
    <w:rsid w:val="003700E2"/>
    <w:rsid w:val="00370348"/>
    <w:rsid w:val="00370AA4"/>
    <w:rsid w:val="003711F2"/>
    <w:rsid w:val="003717FC"/>
    <w:rsid w:val="00371FF4"/>
    <w:rsid w:val="003723C2"/>
    <w:rsid w:val="0037275D"/>
    <w:rsid w:val="00372797"/>
    <w:rsid w:val="003736DD"/>
    <w:rsid w:val="003745EC"/>
    <w:rsid w:val="003746F1"/>
    <w:rsid w:val="0037470E"/>
    <w:rsid w:val="00374A5E"/>
    <w:rsid w:val="00374D1B"/>
    <w:rsid w:val="00375CC4"/>
    <w:rsid w:val="00376103"/>
    <w:rsid w:val="003767B3"/>
    <w:rsid w:val="00376B49"/>
    <w:rsid w:val="00376FC5"/>
    <w:rsid w:val="003771E2"/>
    <w:rsid w:val="00377520"/>
    <w:rsid w:val="00380273"/>
    <w:rsid w:val="00380404"/>
    <w:rsid w:val="0038047C"/>
    <w:rsid w:val="00380D36"/>
    <w:rsid w:val="00380F49"/>
    <w:rsid w:val="003819F9"/>
    <w:rsid w:val="00381AE2"/>
    <w:rsid w:val="003822D3"/>
    <w:rsid w:val="0038480C"/>
    <w:rsid w:val="00384DC9"/>
    <w:rsid w:val="0038566E"/>
    <w:rsid w:val="00385C66"/>
    <w:rsid w:val="00385EDA"/>
    <w:rsid w:val="00386630"/>
    <w:rsid w:val="00386A6C"/>
    <w:rsid w:val="00390379"/>
    <w:rsid w:val="00390741"/>
    <w:rsid w:val="003909FB"/>
    <w:rsid w:val="00390B25"/>
    <w:rsid w:val="00390DD9"/>
    <w:rsid w:val="00390DDD"/>
    <w:rsid w:val="003921B9"/>
    <w:rsid w:val="00392A2D"/>
    <w:rsid w:val="00392AE5"/>
    <w:rsid w:val="003933F1"/>
    <w:rsid w:val="003936AD"/>
    <w:rsid w:val="003937F7"/>
    <w:rsid w:val="00393A83"/>
    <w:rsid w:val="003955D3"/>
    <w:rsid w:val="00395809"/>
    <w:rsid w:val="00395CAA"/>
    <w:rsid w:val="00395F75"/>
    <w:rsid w:val="00395F76"/>
    <w:rsid w:val="00396588"/>
    <w:rsid w:val="00396863"/>
    <w:rsid w:val="00396F0A"/>
    <w:rsid w:val="00397156"/>
    <w:rsid w:val="00397960"/>
    <w:rsid w:val="00397D91"/>
    <w:rsid w:val="003A0663"/>
    <w:rsid w:val="003A10D5"/>
    <w:rsid w:val="003A1660"/>
    <w:rsid w:val="003A1FE0"/>
    <w:rsid w:val="003A2C23"/>
    <w:rsid w:val="003A3BC4"/>
    <w:rsid w:val="003A458A"/>
    <w:rsid w:val="003A551D"/>
    <w:rsid w:val="003A647F"/>
    <w:rsid w:val="003A6B26"/>
    <w:rsid w:val="003A7E6F"/>
    <w:rsid w:val="003B05F2"/>
    <w:rsid w:val="003B0F3D"/>
    <w:rsid w:val="003B2040"/>
    <w:rsid w:val="003B23CB"/>
    <w:rsid w:val="003B2F13"/>
    <w:rsid w:val="003B3353"/>
    <w:rsid w:val="003B405E"/>
    <w:rsid w:val="003B446F"/>
    <w:rsid w:val="003B4712"/>
    <w:rsid w:val="003B47EB"/>
    <w:rsid w:val="003B48BA"/>
    <w:rsid w:val="003B4F62"/>
    <w:rsid w:val="003B57D3"/>
    <w:rsid w:val="003B59CA"/>
    <w:rsid w:val="003B6067"/>
    <w:rsid w:val="003B632D"/>
    <w:rsid w:val="003C0135"/>
    <w:rsid w:val="003C018A"/>
    <w:rsid w:val="003C08E3"/>
    <w:rsid w:val="003C09B5"/>
    <w:rsid w:val="003C0B69"/>
    <w:rsid w:val="003C0F62"/>
    <w:rsid w:val="003C1176"/>
    <w:rsid w:val="003C1D9A"/>
    <w:rsid w:val="003C1F58"/>
    <w:rsid w:val="003C3232"/>
    <w:rsid w:val="003C48B1"/>
    <w:rsid w:val="003C57A7"/>
    <w:rsid w:val="003C5C2B"/>
    <w:rsid w:val="003C6943"/>
    <w:rsid w:val="003C6BD2"/>
    <w:rsid w:val="003C7294"/>
    <w:rsid w:val="003C792F"/>
    <w:rsid w:val="003C7ABD"/>
    <w:rsid w:val="003C7B20"/>
    <w:rsid w:val="003C7C3D"/>
    <w:rsid w:val="003D08F8"/>
    <w:rsid w:val="003D124B"/>
    <w:rsid w:val="003D18F3"/>
    <w:rsid w:val="003D21FB"/>
    <w:rsid w:val="003D2CC1"/>
    <w:rsid w:val="003D33F2"/>
    <w:rsid w:val="003D3725"/>
    <w:rsid w:val="003D4FFC"/>
    <w:rsid w:val="003D51ED"/>
    <w:rsid w:val="003D535A"/>
    <w:rsid w:val="003D569B"/>
    <w:rsid w:val="003D73EF"/>
    <w:rsid w:val="003D78B5"/>
    <w:rsid w:val="003E0204"/>
    <w:rsid w:val="003E0918"/>
    <w:rsid w:val="003E099F"/>
    <w:rsid w:val="003E244F"/>
    <w:rsid w:val="003E37AE"/>
    <w:rsid w:val="003E5165"/>
    <w:rsid w:val="003E62A6"/>
    <w:rsid w:val="003E648D"/>
    <w:rsid w:val="003E6731"/>
    <w:rsid w:val="003E695F"/>
    <w:rsid w:val="003E69CF"/>
    <w:rsid w:val="003E6C9B"/>
    <w:rsid w:val="003E6D39"/>
    <w:rsid w:val="003E709C"/>
    <w:rsid w:val="003E712E"/>
    <w:rsid w:val="003E726D"/>
    <w:rsid w:val="003E7B89"/>
    <w:rsid w:val="003F0AEC"/>
    <w:rsid w:val="003F0B30"/>
    <w:rsid w:val="003F0FA3"/>
    <w:rsid w:val="003F276B"/>
    <w:rsid w:val="003F2EA5"/>
    <w:rsid w:val="003F3E26"/>
    <w:rsid w:val="003F4241"/>
    <w:rsid w:val="003F4B8A"/>
    <w:rsid w:val="003F62BB"/>
    <w:rsid w:val="003F6FEC"/>
    <w:rsid w:val="003F7C45"/>
    <w:rsid w:val="00400241"/>
    <w:rsid w:val="0040132C"/>
    <w:rsid w:val="0040145D"/>
    <w:rsid w:val="004016C4"/>
    <w:rsid w:val="00401D95"/>
    <w:rsid w:val="0040231A"/>
    <w:rsid w:val="00403562"/>
    <w:rsid w:val="004049BD"/>
    <w:rsid w:val="00404EB5"/>
    <w:rsid w:val="00405085"/>
    <w:rsid w:val="00405D28"/>
    <w:rsid w:val="0040629D"/>
    <w:rsid w:val="004066FC"/>
    <w:rsid w:val="00407481"/>
    <w:rsid w:val="00407753"/>
    <w:rsid w:val="00407C10"/>
    <w:rsid w:val="00407E90"/>
    <w:rsid w:val="004113B4"/>
    <w:rsid w:val="00413323"/>
    <w:rsid w:val="00413B17"/>
    <w:rsid w:val="004141C0"/>
    <w:rsid w:val="00414503"/>
    <w:rsid w:val="00414827"/>
    <w:rsid w:val="004153B3"/>
    <w:rsid w:val="00415772"/>
    <w:rsid w:val="004161F8"/>
    <w:rsid w:val="004163FD"/>
    <w:rsid w:val="0041683D"/>
    <w:rsid w:val="00416C10"/>
    <w:rsid w:val="00417976"/>
    <w:rsid w:val="00417A0E"/>
    <w:rsid w:val="0042053A"/>
    <w:rsid w:val="004213D6"/>
    <w:rsid w:val="00421425"/>
    <w:rsid w:val="004222D0"/>
    <w:rsid w:val="00422440"/>
    <w:rsid w:val="00422916"/>
    <w:rsid w:val="00423BA3"/>
    <w:rsid w:val="0042415D"/>
    <w:rsid w:val="00424213"/>
    <w:rsid w:val="00424EF3"/>
    <w:rsid w:val="0042551C"/>
    <w:rsid w:val="004267DB"/>
    <w:rsid w:val="004268BB"/>
    <w:rsid w:val="00426A4B"/>
    <w:rsid w:val="00427130"/>
    <w:rsid w:val="00427AA3"/>
    <w:rsid w:val="00427BFF"/>
    <w:rsid w:val="00430724"/>
    <w:rsid w:val="0043097C"/>
    <w:rsid w:val="00431047"/>
    <w:rsid w:val="00431B86"/>
    <w:rsid w:val="00432E06"/>
    <w:rsid w:val="00433065"/>
    <w:rsid w:val="004332B5"/>
    <w:rsid w:val="00433EED"/>
    <w:rsid w:val="00436196"/>
    <w:rsid w:val="004375A2"/>
    <w:rsid w:val="00437C96"/>
    <w:rsid w:val="004408EC"/>
    <w:rsid w:val="004416A4"/>
    <w:rsid w:val="00441ABA"/>
    <w:rsid w:val="00441E6A"/>
    <w:rsid w:val="00442AEE"/>
    <w:rsid w:val="00443C8F"/>
    <w:rsid w:val="00444C60"/>
    <w:rsid w:val="00444E35"/>
    <w:rsid w:val="0044502D"/>
    <w:rsid w:val="00445F6B"/>
    <w:rsid w:val="0044755D"/>
    <w:rsid w:val="00447CEF"/>
    <w:rsid w:val="00447E28"/>
    <w:rsid w:val="00450BA9"/>
    <w:rsid w:val="00450F23"/>
    <w:rsid w:val="004515EB"/>
    <w:rsid w:val="0045169A"/>
    <w:rsid w:val="00452481"/>
    <w:rsid w:val="004528FA"/>
    <w:rsid w:val="00453DC8"/>
    <w:rsid w:val="00455165"/>
    <w:rsid w:val="004576F7"/>
    <w:rsid w:val="00457804"/>
    <w:rsid w:val="00460AEF"/>
    <w:rsid w:val="00460C52"/>
    <w:rsid w:val="0046209A"/>
    <w:rsid w:val="00462279"/>
    <w:rsid w:val="004626CD"/>
    <w:rsid w:val="00463182"/>
    <w:rsid w:val="004635F5"/>
    <w:rsid w:val="00463F8B"/>
    <w:rsid w:val="004646BF"/>
    <w:rsid w:val="00464744"/>
    <w:rsid w:val="0046535F"/>
    <w:rsid w:val="004665A8"/>
    <w:rsid w:val="004665E3"/>
    <w:rsid w:val="0046760F"/>
    <w:rsid w:val="0047237D"/>
    <w:rsid w:val="00472561"/>
    <w:rsid w:val="004731F1"/>
    <w:rsid w:val="00473AE0"/>
    <w:rsid w:val="00473EB5"/>
    <w:rsid w:val="00474021"/>
    <w:rsid w:val="0047456B"/>
    <w:rsid w:val="00475251"/>
    <w:rsid w:val="00475D19"/>
    <w:rsid w:val="00477400"/>
    <w:rsid w:val="0048088E"/>
    <w:rsid w:val="00480BC8"/>
    <w:rsid w:val="00481265"/>
    <w:rsid w:val="004814BF"/>
    <w:rsid w:val="00482649"/>
    <w:rsid w:val="00483630"/>
    <w:rsid w:val="004836EA"/>
    <w:rsid w:val="00483A13"/>
    <w:rsid w:val="00483F72"/>
    <w:rsid w:val="00485215"/>
    <w:rsid w:val="00485340"/>
    <w:rsid w:val="0048587E"/>
    <w:rsid w:val="00485B57"/>
    <w:rsid w:val="00486200"/>
    <w:rsid w:val="004868C8"/>
    <w:rsid w:val="00486C9C"/>
    <w:rsid w:val="00486D6A"/>
    <w:rsid w:val="00487815"/>
    <w:rsid w:val="00487830"/>
    <w:rsid w:val="00487C2B"/>
    <w:rsid w:val="004900FF"/>
    <w:rsid w:val="00490561"/>
    <w:rsid w:val="0049125B"/>
    <w:rsid w:val="004914B6"/>
    <w:rsid w:val="00491C58"/>
    <w:rsid w:val="00491FAB"/>
    <w:rsid w:val="00492081"/>
    <w:rsid w:val="0049227D"/>
    <w:rsid w:val="0049297D"/>
    <w:rsid w:val="004929F2"/>
    <w:rsid w:val="00492F1A"/>
    <w:rsid w:val="00492F5E"/>
    <w:rsid w:val="00493E9D"/>
    <w:rsid w:val="00495A03"/>
    <w:rsid w:val="00495E28"/>
    <w:rsid w:val="00497079"/>
    <w:rsid w:val="00497450"/>
    <w:rsid w:val="00497F49"/>
    <w:rsid w:val="004A1135"/>
    <w:rsid w:val="004A1BBA"/>
    <w:rsid w:val="004A23C2"/>
    <w:rsid w:val="004A2F25"/>
    <w:rsid w:val="004A3336"/>
    <w:rsid w:val="004A3E3C"/>
    <w:rsid w:val="004A4069"/>
    <w:rsid w:val="004A42E5"/>
    <w:rsid w:val="004A455B"/>
    <w:rsid w:val="004A4847"/>
    <w:rsid w:val="004A484E"/>
    <w:rsid w:val="004A5C65"/>
    <w:rsid w:val="004A6513"/>
    <w:rsid w:val="004A7CCE"/>
    <w:rsid w:val="004B0440"/>
    <w:rsid w:val="004B0E6D"/>
    <w:rsid w:val="004B16E8"/>
    <w:rsid w:val="004B19EA"/>
    <w:rsid w:val="004B202D"/>
    <w:rsid w:val="004B2CA5"/>
    <w:rsid w:val="004B412E"/>
    <w:rsid w:val="004B5B92"/>
    <w:rsid w:val="004B5DB7"/>
    <w:rsid w:val="004B6250"/>
    <w:rsid w:val="004B66F3"/>
    <w:rsid w:val="004B68EC"/>
    <w:rsid w:val="004B759C"/>
    <w:rsid w:val="004B76B1"/>
    <w:rsid w:val="004C0057"/>
    <w:rsid w:val="004C02E0"/>
    <w:rsid w:val="004C030A"/>
    <w:rsid w:val="004C0541"/>
    <w:rsid w:val="004C07EB"/>
    <w:rsid w:val="004C0BBF"/>
    <w:rsid w:val="004C1D08"/>
    <w:rsid w:val="004C1D55"/>
    <w:rsid w:val="004C2836"/>
    <w:rsid w:val="004C2C46"/>
    <w:rsid w:val="004C405B"/>
    <w:rsid w:val="004C47DF"/>
    <w:rsid w:val="004C54CA"/>
    <w:rsid w:val="004C686E"/>
    <w:rsid w:val="004C6CE2"/>
    <w:rsid w:val="004C7214"/>
    <w:rsid w:val="004C7235"/>
    <w:rsid w:val="004C753B"/>
    <w:rsid w:val="004C7955"/>
    <w:rsid w:val="004D0213"/>
    <w:rsid w:val="004D047F"/>
    <w:rsid w:val="004D0B63"/>
    <w:rsid w:val="004D0FA5"/>
    <w:rsid w:val="004D1529"/>
    <w:rsid w:val="004D29F1"/>
    <w:rsid w:val="004D29F3"/>
    <w:rsid w:val="004D2E04"/>
    <w:rsid w:val="004D2F51"/>
    <w:rsid w:val="004D3D96"/>
    <w:rsid w:val="004D40BB"/>
    <w:rsid w:val="004D4854"/>
    <w:rsid w:val="004D4EA1"/>
    <w:rsid w:val="004D5316"/>
    <w:rsid w:val="004D575C"/>
    <w:rsid w:val="004D650F"/>
    <w:rsid w:val="004D679F"/>
    <w:rsid w:val="004D7269"/>
    <w:rsid w:val="004D74EE"/>
    <w:rsid w:val="004D7F01"/>
    <w:rsid w:val="004E0140"/>
    <w:rsid w:val="004E08FC"/>
    <w:rsid w:val="004E0B6E"/>
    <w:rsid w:val="004E2133"/>
    <w:rsid w:val="004E2BD2"/>
    <w:rsid w:val="004E34BB"/>
    <w:rsid w:val="004E37C3"/>
    <w:rsid w:val="004E395B"/>
    <w:rsid w:val="004E3A3B"/>
    <w:rsid w:val="004E3C7D"/>
    <w:rsid w:val="004E4CD7"/>
    <w:rsid w:val="004E5EDB"/>
    <w:rsid w:val="004E60FB"/>
    <w:rsid w:val="004E73A5"/>
    <w:rsid w:val="004E758A"/>
    <w:rsid w:val="004F09DD"/>
    <w:rsid w:val="004F1C42"/>
    <w:rsid w:val="004F23CE"/>
    <w:rsid w:val="004F2C5A"/>
    <w:rsid w:val="004F3E01"/>
    <w:rsid w:val="004F3E31"/>
    <w:rsid w:val="004F409E"/>
    <w:rsid w:val="004F4541"/>
    <w:rsid w:val="004F4601"/>
    <w:rsid w:val="004F779C"/>
    <w:rsid w:val="004F7846"/>
    <w:rsid w:val="005000A6"/>
    <w:rsid w:val="005000D4"/>
    <w:rsid w:val="005004EE"/>
    <w:rsid w:val="005007AB"/>
    <w:rsid w:val="0050087E"/>
    <w:rsid w:val="00500B1E"/>
    <w:rsid w:val="00500B24"/>
    <w:rsid w:val="00500C17"/>
    <w:rsid w:val="005027F4"/>
    <w:rsid w:val="005036C2"/>
    <w:rsid w:val="0050492E"/>
    <w:rsid w:val="005051C9"/>
    <w:rsid w:val="00506389"/>
    <w:rsid w:val="005067F4"/>
    <w:rsid w:val="00506FF7"/>
    <w:rsid w:val="0051084C"/>
    <w:rsid w:val="00510A69"/>
    <w:rsid w:val="00510CAF"/>
    <w:rsid w:val="0051114C"/>
    <w:rsid w:val="00511597"/>
    <w:rsid w:val="0051164A"/>
    <w:rsid w:val="00511915"/>
    <w:rsid w:val="005119A4"/>
    <w:rsid w:val="00511AC6"/>
    <w:rsid w:val="00511FD1"/>
    <w:rsid w:val="00512235"/>
    <w:rsid w:val="005128C5"/>
    <w:rsid w:val="00512905"/>
    <w:rsid w:val="00512D8B"/>
    <w:rsid w:val="00512E85"/>
    <w:rsid w:val="005136C7"/>
    <w:rsid w:val="0051478B"/>
    <w:rsid w:val="00514C1C"/>
    <w:rsid w:val="0051524F"/>
    <w:rsid w:val="0051566A"/>
    <w:rsid w:val="00515D7B"/>
    <w:rsid w:val="00515DD8"/>
    <w:rsid w:val="005166E9"/>
    <w:rsid w:val="00516C92"/>
    <w:rsid w:val="00517917"/>
    <w:rsid w:val="0052009E"/>
    <w:rsid w:val="005200F7"/>
    <w:rsid w:val="00520AB5"/>
    <w:rsid w:val="00520D7F"/>
    <w:rsid w:val="00521596"/>
    <w:rsid w:val="00522066"/>
    <w:rsid w:val="005222FA"/>
    <w:rsid w:val="005247B4"/>
    <w:rsid w:val="00525059"/>
    <w:rsid w:val="00525740"/>
    <w:rsid w:val="00525E59"/>
    <w:rsid w:val="005278EE"/>
    <w:rsid w:val="00530A21"/>
    <w:rsid w:val="005310DD"/>
    <w:rsid w:val="00531851"/>
    <w:rsid w:val="005318CC"/>
    <w:rsid w:val="0053199E"/>
    <w:rsid w:val="00531D65"/>
    <w:rsid w:val="005321E1"/>
    <w:rsid w:val="00532255"/>
    <w:rsid w:val="00532B00"/>
    <w:rsid w:val="00532FAE"/>
    <w:rsid w:val="005334E4"/>
    <w:rsid w:val="005349B1"/>
    <w:rsid w:val="00535AA4"/>
    <w:rsid w:val="00535DA3"/>
    <w:rsid w:val="005364A6"/>
    <w:rsid w:val="005364AE"/>
    <w:rsid w:val="0053652C"/>
    <w:rsid w:val="0053659B"/>
    <w:rsid w:val="005368A0"/>
    <w:rsid w:val="005374BC"/>
    <w:rsid w:val="0054069B"/>
    <w:rsid w:val="00540EC2"/>
    <w:rsid w:val="0054101E"/>
    <w:rsid w:val="005427DC"/>
    <w:rsid w:val="00543177"/>
    <w:rsid w:val="00543188"/>
    <w:rsid w:val="005432F0"/>
    <w:rsid w:val="00543367"/>
    <w:rsid w:val="00543741"/>
    <w:rsid w:val="0054384E"/>
    <w:rsid w:val="00543BFA"/>
    <w:rsid w:val="0054655E"/>
    <w:rsid w:val="00546601"/>
    <w:rsid w:val="00546A60"/>
    <w:rsid w:val="00547D9C"/>
    <w:rsid w:val="00547DA1"/>
    <w:rsid w:val="005501BC"/>
    <w:rsid w:val="0055068D"/>
    <w:rsid w:val="00551276"/>
    <w:rsid w:val="00551AB1"/>
    <w:rsid w:val="00551BAB"/>
    <w:rsid w:val="00551C53"/>
    <w:rsid w:val="0055221B"/>
    <w:rsid w:val="005526DC"/>
    <w:rsid w:val="005535B7"/>
    <w:rsid w:val="00554BFC"/>
    <w:rsid w:val="00554CAC"/>
    <w:rsid w:val="0055513C"/>
    <w:rsid w:val="005553C4"/>
    <w:rsid w:val="005558FA"/>
    <w:rsid w:val="0055637C"/>
    <w:rsid w:val="00556B00"/>
    <w:rsid w:val="0055753F"/>
    <w:rsid w:val="00557618"/>
    <w:rsid w:val="00557782"/>
    <w:rsid w:val="00560866"/>
    <w:rsid w:val="00560C90"/>
    <w:rsid w:val="00560C94"/>
    <w:rsid w:val="00560FD5"/>
    <w:rsid w:val="0056101E"/>
    <w:rsid w:val="00561BD7"/>
    <w:rsid w:val="00561C0A"/>
    <w:rsid w:val="00562765"/>
    <w:rsid w:val="0056283B"/>
    <w:rsid w:val="0056291C"/>
    <w:rsid w:val="00563E82"/>
    <w:rsid w:val="00564289"/>
    <w:rsid w:val="005643FD"/>
    <w:rsid w:val="005646BB"/>
    <w:rsid w:val="005647F9"/>
    <w:rsid w:val="00564B19"/>
    <w:rsid w:val="00564C4B"/>
    <w:rsid w:val="0056586F"/>
    <w:rsid w:val="00565A63"/>
    <w:rsid w:val="00566588"/>
    <w:rsid w:val="0056662E"/>
    <w:rsid w:val="00566A26"/>
    <w:rsid w:val="00566F23"/>
    <w:rsid w:val="00566F6B"/>
    <w:rsid w:val="00567012"/>
    <w:rsid w:val="00567BA7"/>
    <w:rsid w:val="00567EA5"/>
    <w:rsid w:val="00570514"/>
    <w:rsid w:val="005705B3"/>
    <w:rsid w:val="00571111"/>
    <w:rsid w:val="00571A41"/>
    <w:rsid w:val="0057216B"/>
    <w:rsid w:val="005721D0"/>
    <w:rsid w:val="0057275D"/>
    <w:rsid w:val="00572919"/>
    <w:rsid w:val="00572C41"/>
    <w:rsid w:val="0057329C"/>
    <w:rsid w:val="00573AD5"/>
    <w:rsid w:val="00573D1A"/>
    <w:rsid w:val="00574103"/>
    <w:rsid w:val="00574DA2"/>
    <w:rsid w:val="00575B68"/>
    <w:rsid w:val="00575DA6"/>
    <w:rsid w:val="00577104"/>
    <w:rsid w:val="0057737F"/>
    <w:rsid w:val="005800A9"/>
    <w:rsid w:val="00580488"/>
    <w:rsid w:val="0058074D"/>
    <w:rsid w:val="00580FD1"/>
    <w:rsid w:val="00581A62"/>
    <w:rsid w:val="00582FAD"/>
    <w:rsid w:val="00583489"/>
    <w:rsid w:val="0058391F"/>
    <w:rsid w:val="00583A80"/>
    <w:rsid w:val="00584188"/>
    <w:rsid w:val="00584E33"/>
    <w:rsid w:val="00585432"/>
    <w:rsid w:val="00585AD4"/>
    <w:rsid w:val="00586819"/>
    <w:rsid w:val="00586E9A"/>
    <w:rsid w:val="00587419"/>
    <w:rsid w:val="00587AF5"/>
    <w:rsid w:val="00590D38"/>
    <w:rsid w:val="00590FE4"/>
    <w:rsid w:val="00591D9C"/>
    <w:rsid w:val="0059282D"/>
    <w:rsid w:val="005932C1"/>
    <w:rsid w:val="00593440"/>
    <w:rsid w:val="005936BF"/>
    <w:rsid w:val="00593DE5"/>
    <w:rsid w:val="0059592B"/>
    <w:rsid w:val="00596617"/>
    <w:rsid w:val="00596CC4"/>
    <w:rsid w:val="00597057"/>
    <w:rsid w:val="005973A6"/>
    <w:rsid w:val="005975DC"/>
    <w:rsid w:val="00597AAB"/>
    <w:rsid w:val="00597D8B"/>
    <w:rsid w:val="005A0742"/>
    <w:rsid w:val="005A152F"/>
    <w:rsid w:val="005A19CD"/>
    <w:rsid w:val="005A1C30"/>
    <w:rsid w:val="005A1CC6"/>
    <w:rsid w:val="005A31C9"/>
    <w:rsid w:val="005A3295"/>
    <w:rsid w:val="005A46FF"/>
    <w:rsid w:val="005A4AFF"/>
    <w:rsid w:val="005A65F0"/>
    <w:rsid w:val="005A7758"/>
    <w:rsid w:val="005A7DB8"/>
    <w:rsid w:val="005B011E"/>
    <w:rsid w:val="005B028B"/>
    <w:rsid w:val="005B0764"/>
    <w:rsid w:val="005B2E84"/>
    <w:rsid w:val="005B352F"/>
    <w:rsid w:val="005B36DA"/>
    <w:rsid w:val="005B3E66"/>
    <w:rsid w:val="005B3FE8"/>
    <w:rsid w:val="005B436C"/>
    <w:rsid w:val="005B477E"/>
    <w:rsid w:val="005B4F97"/>
    <w:rsid w:val="005B50B0"/>
    <w:rsid w:val="005B52A4"/>
    <w:rsid w:val="005B5CA4"/>
    <w:rsid w:val="005B6E01"/>
    <w:rsid w:val="005B7476"/>
    <w:rsid w:val="005B7688"/>
    <w:rsid w:val="005B7849"/>
    <w:rsid w:val="005B7B0E"/>
    <w:rsid w:val="005C0DFA"/>
    <w:rsid w:val="005C0FF0"/>
    <w:rsid w:val="005C113A"/>
    <w:rsid w:val="005C219B"/>
    <w:rsid w:val="005C3575"/>
    <w:rsid w:val="005C462C"/>
    <w:rsid w:val="005C492F"/>
    <w:rsid w:val="005C4B4C"/>
    <w:rsid w:val="005C5409"/>
    <w:rsid w:val="005C55EF"/>
    <w:rsid w:val="005C55F1"/>
    <w:rsid w:val="005C5D9A"/>
    <w:rsid w:val="005C628C"/>
    <w:rsid w:val="005C6765"/>
    <w:rsid w:val="005C69AC"/>
    <w:rsid w:val="005C722E"/>
    <w:rsid w:val="005C7576"/>
    <w:rsid w:val="005C7759"/>
    <w:rsid w:val="005C7AD4"/>
    <w:rsid w:val="005D01A4"/>
    <w:rsid w:val="005D0376"/>
    <w:rsid w:val="005D0B13"/>
    <w:rsid w:val="005D0B95"/>
    <w:rsid w:val="005D15AE"/>
    <w:rsid w:val="005D1A7B"/>
    <w:rsid w:val="005D1EDD"/>
    <w:rsid w:val="005D2965"/>
    <w:rsid w:val="005D456F"/>
    <w:rsid w:val="005D45B3"/>
    <w:rsid w:val="005D4AB3"/>
    <w:rsid w:val="005D4CEB"/>
    <w:rsid w:val="005D5344"/>
    <w:rsid w:val="005D5DA8"/>
    <w:rsid w:val="005D61EB"/>
    <w:rsid w:val="005E0AE0"/>
    <w:rsid w:val="005E1BF3"/>
    <w:rsid w:val="005E518C"/>
    <w:rsid w:val="005E5F9A"/>
    <w:rsid w:val="005E6628"/>
    <w:rsid w:val="005E77F2"/>
    <w:rsid w:val="005F02B8"/>
    <w:rsid w:val="005F043C"/>
    <w:rsid w:val="005F0444"/>
    <w:rsid w:val="005F04E6"/>
    <w:rsid w:val="005F1138"/>
    <w:rsid w:val="005F13C8"/>
    <w:rsid w:val="005F17EC"/>
    <w:rsid w:val="005F1C2F"/>
    <w:rsid w:val="005F2F3F"/>
    <w:rsid w:val="005F39D5"/>
    <w:rsid w:val="005F3AB5"/>
    <w:rsid w:val="005F3E05"/>
    <w:rsid w:val="005F3E08"/>
    <w:rsid w:val="005F43B9"/>
    <w:rsid w:val="005F4BBF"/>
    <w:rsid w:val="005F55D6"/>
    <w:rsid w:val="005F599A"/>
    <w:rsid w:val="005F5CA9"/>
    <w:rsid w:val="005F68CB"/>
    <w:rsid w:val="005F6BDE"/>
    <w:rsid w:val="005F7F90"/>
    <w:rsid w:val="00600242"/>
    <w:rsid w:val="00601974"/>
    <w:rsid w:val="00602652"/>
    <w:rsid w:val="00602B51"/>
    <w:rsid w:val="006033E3"/>
    <w:rsid w:val="00605FC7"/>
    <w:rsid w:val="00606218"/>
    <w:rsid w:val="00606CA3"/>
    <w:rsid w:val="00606E91"/>
    <w:rsid w:val="00607018"/>
    <w:rsid w:val="006077ED"/>
    <w:rsid w:val="00607C5F"/>
    <w:rsid w:val="00610954"/>
    <w:rsid w:val="00610CBE"/>
    <w:rsid w:val="00610E1F"/>
    <w:rsid w:val="0061321C"/>
    <w:rsid w:val="00614C5C"/>
    <w:rsid w:val="00614CA1"/>
    <w:rsid w:val="00615C2C"/>
    <w:rsid w:val="00616D42"/>
    <w:rsid w:val="00617297"/>
    <w:rsid w:val="0062038A"/>
    <w:rsid w:val="006203A8"/>
    <w:rsid w:val="00620E59"/>
    <w:rsid w:val="00621132"/>
    <w:rsid w:val="00622656"/>
    <w:rsid w:val="00622A77"/>
    <w:rsid w:val="00622C05"/>
    <w:rsid w:val="00623305"/>
    <w:rsid w:val="0062386E"/>
    <w:rsid w:val="00623D9A"/>
    <w:rsid w:val="00623F01"/>
    <w:rsid w:val="006242FB"/>
    <w:rsid w:val="00624738"/>
    <w:rsid w:val="0062670B"/>
    <w:rsid w:val="00626E2D"/>
    <w:rsid w:val="006272DE"/>
    <w:rsid w:val="00627A55"/>
    <w:rsid w:val="00627D94"/>
    <w:rsid w:val="00630490"/>
    <w:rsid w:val="006304D3"/>
    <w:rsid w:val="00630A33"/>
    <w:rsid w:val="00630AB9"/>
    <w:rsid w:val="00630B42"/>
    <w:rsid w:val="00630C14"/>
    <w:rsid w:val="006310FC"/>
    <w:rsid w:val="006313B1"/>
    <w:rsid w:val="00631688"/>
    <w:rsid w:val="006320D8"/>
    <w:rsid w:val="00632540"/>
    <w:rsid w:val="00632E88"/>
    <w:rsid w:val="0063454C"/>
    <w:rsid w:val="00634DBB"/>
    <w:rsid w:val="00635744"/>
    <w:rsid w:val="00635EA5"/>
    <w:rsid w:val="00637C26"/>
    <w:rsid w:val="00640732"/>
    <w:rsid w:val="006413B3"/>
    <w:rsid w:val="0064185E"/>
    <w:rsid w:val="00642072"/>
    <w:rsid w:val="00642088"/>
    <w:rsid w:val="00643DBD"/>
    <w:rsid w:val="006440ED"/>
    <w:rsid w:val="0064467C"/>
    <w:rsid w:val="00644F1E"/>
    <w:rsid w:val="00645213"/>
    <w:rsid w:val="00645293"/>
    <w:rsid w:val="006468CB"/>
    <w:rsid w:val="006469D9"/>
    <w:rsid w:val="00646CF8"/>
    <w:rsid w:val="00650A2D"/>
    <w:rsid w:val="00651B78"/>
    <w:rsid w:val="00652263"/>
    <w:rsid w:val="0065238F"/>
    <w:rsid w:val="00652881"/>
    <w:rsid w:val="00652985"/>
    <w:rsid w:val="006533AE"/>
    <w:rsid w:val="00653C38"/>
    <w:rsid w:val="006551AE"/>
    <w:rsid w:val="00656FC4"/>
    <w:rsid w:val="00661974"/>
    <w:rsid w:val="006623E2"/>
    <w:rsid w:val="006624E3"/>
    <w:rsid w:val="00663E63"/>
    <w:rsid w:val="006640F9"/>
    <w:rsid w:val="00664551"/>
    <w:rsid w:val="00664685"/>
    <w:rsid w:val="00664B95"/>
    <w:rsid w:val="00665D5F"/>
    <w:rsid w:val="00665FB2"/>
    <w:rsid w:val="006676A0"/>
    <w:rsid w:val="006700C4"/>
    <w:rsid w:val="006703A4"/>
    <w:rsid w:val="006704F3"/>
    <w:rsid w:val="00670857"/>
    <w:rsid w:val="00670E4B"/>
    <w:rsid w:val="00671124"/>
    <w:rsid w:val="006727B0"/>
    <w:rsid w:val="00672C9E"/>
    <w:rsid w:val="0067307E"/>
    <w:rsid w:val="0067333F"/>
    <w:rsid w:val="006739C0"/>
    <w:rsid w:val="00673F6D"/>
    <w:rsid w:val="00674850"/>
    <w:rsid w:val="00675116"/>
    <w:rsid w:val="00675D03"/>
    <w:rsid w:val="00676016"/>
    <w:rsid w:val="00676462"/>
    <w:rsid w:val="00676EA7"/>
    <w:rsid w:val="006805DF"/>
    <w:rsid w:val="00681B97"/>
    <w:rsid w:val="00682EC2"/>
    <w:rsid w:val="00683F61"/>
    <w:rsid w:val="00686A36"/>
    <w:rsid w:val="00687AD5"/>
    <w:rsid w:val="00687FBD"/>
    <w:rsid w:val="0069211A"/>
    <w:rsid w:val="00692775"/>
    <w:rsid w:val="00692B81"/>
    <w:rsid w:val="00692C4F"/>
    <w:rsid w:val="00693B90"/>
    <w:rsid w:val="006949D2"/>
    <w:rsid w:val="00694C5F"/>
    <w:rsid w:val="00695204"/>
    <w:rsid w:val="00695251"/>
    <w:rsid w:val="006953EF"/>
    <w:rsid w:val="00695689"/>
    <w:rsid w:val="00695ADE"/>
    <w:rsid w:val="00695C0D"/>
    <w:rsid w:val="00695CAE"/>
    <w:rsid w:val="00696356"/>
    <w:rsid w:val="006968EA"/>
    <w:rsid w:val="00696CA0"/>
    <w:rsid w:val="0069787A"/>
    <w:rsid w:val="00697C5C"/>
    <w:rsid w:val="006A015D"/>
    <w:rsid w:val="006A0D5F"/>
    <w:rsid w:val="006A28BF"/>
    <w:rsid w:val="006A2EA3"/>
    <w:rsid w:val="006A303F"/>
    <w:rsid w:val="006A3CC1"/>
    <w:rsid w:val="006A3F9D"/>
    <w:rsid w:val="006A4899"/>
    <w:rsid w:val="006A62E1"/>
    <w:rsid w:val="006A6566"/>
    <w:rsid w:val="006A72C6"/>
    <w:rsid w:val="006A7310"/>
    <w:rsid w:val="006B02D0"/>
    <w:rsid w:val="006B02DA"/>
    <w:rsid w:val="006B08FB"/>
    <w:rsid w:val="006B0A5A"/>
    <w:rsid w:val="006B14BF"/>
    <w:rsid w:val="006B2065"/>
    <w:rsid w:val="006B275B"/>
    <w:rsid w:val="006B2D79"/>
    <w:rsid w:val="006B2F8B"/>
    <w:rsid w:val="006B2FA1"/>
    <w:rsid w:val="006B30BF"/>
    <w:rsid w:val="006B38C6"/>
    <w:rsid w:val="006B3940"/>
    <w:rsid w:val="006B45A6"/>
    <w:rsid w:val="006B47D3"/>
    <w:rsid w:val="006B62F0"/>
    <w:rsid w:val="006B6C6B"/>
    <w:rsid w:val="006C09B6"/>
    <w:rsid w:val="006C0DBC"/>
    <w:rsid w:val="006C111B"/>
    <w:rsid w:val="006C168D"/>
    <w:rsid w:val="006C2BF5"/>
    <w:rsid w:val="006C4A40"/>
    <w:rsid w:val="006C4C9E"/>
    <w:rsid w:val="006C4E56"/>
    <w:rsid w:val="006C5CE0"/>
    <w:rsid w:val="006C5E49"/>
    <w:rsid w:val="006C5EDB"/>
    <w:rsid w:val="006C61CD"/>
    <w:rsid w:val="006C642C"/>
    <w:rsid w:val="006C64F3"/>
    <w:rsid w:val="006C6FC6"/>
    <w:rsid w:val="006C7462"/>
    <w:rsid w:val="006C78D5"/>
    <w:rsid w:val="006C7BB9"/>
    <w:rsid w:val="006C7D50"/>
    <w:rsid w:val="006D02D9"/>
    <w:rsid w:val="006D141C"/>
    <w:rsid w:val="006D1994"/>
    <w:rsid w:val="006D2425"/>
    <w:rsid w:val="006D2CF3"/>
    <w:rsid w:val="006D2D08"/>
    <w:rsid w:val="006D2F35"/>
    <w:rsid w:val="006D3228"/>
    <w:rsid w:val="006D349E"/>
    <w:rsid w:val="006D3B4D"/>
    <w:rsid w:val="006D41EF"/>
    <w:rsid w:val="006D53AA"/>
    <w:rsid w:val="006D6993"/>
    <w:rsid w:val="006D70F0"/>
    <w:rsid w:val="006D78AA"/>
    <w:rsid w:val="006E0D09"/>
    <w:rsid w:val="006E0D87"/>
    <w:rsid w:val="006E1F1D"/>
    <w:rsid w:val="006E241F"/>
    <w:rsid w:val="006E24EE"/>
    <w:rsid w:val="006E25BD"/>
    <w:rsid w:val="006E3379"/>
    <w:rsid w:val="006E34B7"/>
    <w:rsid w:val="006E36B8"/>
    <w:rsid w:val="006E3874"/>
    <w:rsid w:val="006E5585"/>
    <w:rsid w:val="006E5842"/>
    <w:rsid w:val="006E59EA"/>
    <w:rsid w:val="006E5BAC"/>
    <w:rsid w:val="006E5E32"/>
    <w:rsid w:val="006E62D5"/>
    <w:rsid w:val="006E633A"/>
    <w:rsid w:val="006E6A14"/>
    <w:rsid w:val="006E6B16"/>
    <w:rsid w:val="006E6DE8"/>
    <w:rsid w:val="006E780C"/>
    <w:rsid w:val="006F0823"/>
    <w:rsid w:val="006F0BA7"/>
    <w:rsid w:val="006F0EB9"/>
    <w:rsid w:val="006F0F01"/>
    <w:rsid w:val="006F174D"/>
    <w:rsid w:val="006F1F41"/>
    <w:rsid w:val="006F3222"/>
    <w:rsid w:val="006F32EF"/>
    <w:rsid w:val="006F3615"/>
    <w:rsid w:val="006F3788"/>
    <w:rsid w:val="006F3C54"/>
    <w:rsid w:val="006F4CD8"/>
    <w:rsid w:val="006F53D9"/>
    <w:rsid w:val="006F5812"/>
    <w:rsid w:val="006F609A"/>
    <w:rsid w:val="006F7FDA"/>
    <w:rsid w:val="007004DC"/>
    <w:rsid w:val="00701093"/>
    <w:rsid w:val="007018D6"/>
    <w:rsid w:val="007022C4"/>
    <w:rsid w:val="007026E9"/>
    <w:rsid w:val="00703C8B"/>
    <w:rsid w:val="00703E8A"/>
    <w:rsid w:val="00704372"/>
    <w:rsid w:val="00704F60"/>
    <w:rsid w:val="00706045"/>
    <w:rsid w:val="00706EA3"/>
    <w:rsid w:val="007078BE"/>
    <w:rsid w:val="00710BF6"/>
    <w:rsid w:val="00711522"/>
    <w:rsid w:val="007118A6"/>
    <w:rsid w:val="007124FE"/>
    <w:rsid w:val="00712533"/>
    <w:rsid w:val="00713186"/>
    <w:rsid w:val="00713757"/>
    <w:rsid w:val="00713758"/>
    <w:rsid w:val="007137D8"/>
    <w:rsid w:val="00714064"/>
    <w:rsid w:val="00715517"/>
    <w:rsid w:val="00716A38"/>
    <w:rsid w:val="00717772"/>
    <w:rsid w:val="00717BDC"/>
    <w:rsid w:val="007200E5"/>
    <w:rsid w:val="00720622"/>
    <w:rsid w:val="00720C17"/>
    <w:rsid w:val="00721AF1"/>
    <w:rsid w:val="0072280F"/>
    <w:rsid w:val="00722B5E"/>
    <w:rsid w:val="007230F1"/>
    <w:rsid w:val="007235F5"/>
    <w:rsid w:val="00723B2C"/>
    <w:rsid w:val="007253CC"/>
    <w:rsid w:val="00725668"/>
    <w:rsid w:val="00725F0E"/>
    <w:rsid w:val="00726F5A"/>
    <w:rsid w:val="0072708F"/>
    <w:rsid w:val="00730172"/>
    <w:rsid w:val="00730E81"/>
    <w:rsid w:val="00731000"/>
    <w:rsid w:val="00731204"/>
    <w:rsid w:val="007319BC"/>
    <w:rsid w:val="0073222B"/>
    <w:rsid w:val="00732582"/>
    <w:rsid w:val="00732D1D"/>
    <w:rsid w:val="007332C4"/>
    <w:rsid w:val="00733C68"/>
    <w:rsid w:val="00734381"/>
    <w:rsid w:val="00735EAA"/>
    <w:rsid w:val="00736034"/>
    <w:rsid w:val="0073681C"/>
    <w:rsid w:val="0073725B"/>
    <w:rsid w:val="00737E96"/>
    <w:rsid w:val="00740189"/>
    <w:rsid w:val="0074033C"/>
    <w:rsid w:val="0074050E"/>
    <w:rsid w:val="00740B66"/>
    <w:rsid w:val="00741AF8"/>
    <w:rsid w:val="00741EBE"/>
    <w:rsid w:val="00742112"/>
    <w:rsid w:val="00742181"/>
    <w:rsid w:val="00742218"/>
    <w:rsid w:val="007424EC"/>
    <w:rsid w:val="00742728"/>
    <w:rsid w:val="00742AB8"/>
    <w:rsid w:val="00742EDA"/>
    <w:rsid w:val="007440FA"/>
    <w:rsid w:val="00744201"/>
    <w:rsid w:val="00745FCE"/>
    <w:rsid w:val="00746130"/>
    <w:rsid w:val="00746A40"/>
    <w:rsid w:val="00746E6A"/>
    <w:rsid w:val="00747598"/>
    <w:rsid w:val="00750358"/>
    <w:rsid w:val="007520A3"/>
    <w:rsid w:val="00752529"/>
    <w:rsid w:val="007526F5"/>
    <w:rsid w:val="00754717"/>
    <w:rsid w:val="00754836"/>
    <w:rsid w:val="00754FB9"/>
    <w:rsid w:val="00755CDF"/>
    <w:rsid w:val="00756868"/>
    <w:rsid w:val="00757042"/>
    <w:rsid w:val="007573AF"/>
    <w:rsid w:val="00757588"/>
    <w:rsid w:val="00757635"/>
    <w:rsid w:val="007578C3"/>
    <w:rsid w:val="00757A4C"/>
    <w:rsid w:val="00760895"/>
    <w:rsid w:val="00762144"/>
    <w:rsid w:val="0076230F"/>
    <w:rsid w:val="00762ABF"/>
    <w:rsid w:val="00762C75"/>
    <w:rsid w:val="00762F29"/>
    <w:rsid w:val="00764A94"/>
    <w:rsid w:val="00764B26"/>
    <w:rsid w:val="00764EA6"/>
    <w:rsid w:val="0076511D"/>
    <w:rsid w:val="007651A9"/>
    <w:rsid w:val="007651E5"/>
    <w:rsid w:val="0076524F"/>
    <w:rsid w:val="00765584"/>
    <w:rsid w:val="007665B2"/>
    <w:rsid w:val="00766B12"/>
    <w:rsid w:val="007670DC"/>
    <w:rsid w:val="00767356"/>
    <w:rsid w:val="00770F2A"/>
    <w:rsid w:val="0077111A"/>
    <w:rsid w:val="00771F95"/>
    <w:rsid w:val="0077213A"/>
    <w:rsid w:val="007721E2"/>
    <w:rsid w:val="00772272"/>
    <w:rsid w:val="0077369F"/>
    <w:rsid w:val="0077463A"/>
    <w:rsid w:val="00774AB3"/>
    <w:rsid w:val="00774D0F"/>
    <w:rsid w:val="00774D7B"/>
    <w:rsid w:val="007756ED"/>
    <w:rsid w:val="0077589D"/>
    <w:rsid w:val="0077617F"/>
    <w:rsid w:val="00776A3D"/>
    <w:rsid w:val="0077707A"/>
    <w:rsid w:val="007776BF"/>
    <w:rsid w:val="00780B65"/>
    <w:rsid w:val="00781698"/>
    <w:rsid w:val="007819A1"/>
    <w:rsid w:val="00782B2A"/>
    <w:rsid w:val="00783BA5"/>
    <w:rsid w:val="00784F9E"/>
    <w:rsid w:val="0078533C"/>
    <w:rsid w:val="007857FB"/>
    <w:rsid w:val="007863A3"/>
    <w:rsid w:val="007870FC"/>
    <w:rsid w:val="00787CD0"/>
    <w:rsid w:val="00787FF8"/>
    <w:rsid w:val="007905A2"/>
    <w:rsid w:val="00791053"/>
    <w:rsid w:val="00791261"/>
    <w:rsid w:val="007918FE"/>
    <w:rsid w:val="00791A3A"/>
    <w:rsid w:val="007922B8"/>
    <w:rsid w:val="0079262D"/>
    <w:rsid w:val="00792A53"/>
    <w:rsid w:val="00793233"/>
    <w:rsid w:val="00793DAA"/>
    <w:rsid w:val="00794196"/>
    <w:rsid w:val="00794C47"/>
    <w:rsid w:val="00794FFF"/>
    <w:rsid w:val="007957C3"/>
    <w:rsid w:val="00795F07"/>
    <w:rsid w:val="007965E4"/>
    <w:rsid w:val="007969C0"/>
    <w:rsid w:val="00796D4D"/>
    <w:rsid w:val="007971B8"/>
    <w:rsid w:val="00797637"/>
    <w:rsid w:val="007979F5"/>
    <w:rsid w:val="007A0018"/>
    <w:rsid w:val="007A0ADE"/>
    <w:rsid w:val="007A1B35"/>
    <w:rsid w:val="007A2F14"/>
    <w:rsid w:val="007A3680"/>
    <w:rsid w:val="007A3BCD"/>
    <w:rsid w:val="007A5214"/>
    <w:rsid w:val="007A5357"/>
    <w:rsid w:val="007A59B8"/>
    <w:rsid w:val="007A65AF"/>
    <w:rsid w:val="007A7682"/>
    <w:rsid w:val="007A7F38"/>
    <w:rsid w:val="007A7F42"/>
    <w:rsid w:val="007B07E4"/>
    <w:rsid w:val="007B0E14"/>
    <w:rsid w:val="007B2862"/>
    <w:rsid w:val="007B2FD8"/>
    <w:rsid w:val="007B3968"/>
    <w:rsid w:val="007B3B0A"/>
    <w:rsid w:val="007B45AF"/>
    <w:rsid w:val="007B4DD0"/>
    <w:rsid w:val="007B611E"/>
    <w:rsid w:val="007B662A"/>
    <w:rsid w:val="007B684F"/>
    <w:rsid w:val="007B71DC"/>
    <w:rsid w:val="007B758B"/>
    <w:rsid w:val="007B7743"/>
    <w:rsid w:val="007C04F4"/>
    <w:rsid w:val="007C0762"/>
    <w:rsid w:val="007C0CFB"/>
    <w:rsid w:val="007C16D6"/>
    <w:rsid w:val="007C2139"/>
    <w:rsid w:val="007C27DE"/>
    <w:rsid w:val="007C299E"/>
    <w:rsid w:val="007C2DFD"/>
    <w:rsid w:val="007C3C64"/>
    <w:rsid w:val="007C3F97"/>
    <w:rsid w:val="007C525F"/>
    <w:rsid w:val="007C5321"/>
    <w:rsid w:val="007C5E8A"/>
    <w:rsid w:val="007C5F4B"/>
    <w:rsid w:val="007C6AAB"/>
    <w:rsid w:val="007C6EA8"/>
    <w:rsid w:val="007C7B84"/>
    <w:rsid w:val="007C7E09"/>
    <w:rsid w:val="007D058F"/>
    <w:rsid w:val="007D1FE9"/>
    <w:rsid w:val="007D28C9"/>
    <w:rsid w:val="007D3009"/>
    <w:rsid w:val="007D326B"/>
    <w:rsid w:val="007D38F0"/>
    <w:rsid w:val="007D3CC8"/>
    <w:rsid w:val="007D3D45"/>
    <w:rsid w:val="007D430A"/>
    <w:rsid w:val="007D47FB"/>
    <w:rsid w:val="007D4DD3"/>
    <w:rsid w:val="007D4F6E"/>
    <w:rsid w:val="007D576A"/>
    <w:rsid w:val="007D62F9"/>
    <w:rsid w:val="007D63A4"/>
    <w:rsid w:val="007D6542"/>
    <w:rsid w:val="007D7313"/>
    <w:rsid w:val="007E1AA2"/>
    <w:rsid w:val="007E1EE3"/>
    <w:rsid w:val="007E1F2C"/>
    <w:rsid w:val="007E2429"/>
    <w:rsid w:val="007E2793"/>
    <w:rsid w:val="007E279D"/>
    <w:rsid w:val="007E2D69"/>
    <w:rsid w:val="007E3B9A"/>
    <w:rsid w:val="007E46E8"/>
    <w:rsid w:val="007E470F"/>
    <w:rsid w:val="007E4C1F"/>
    <w:rsid w:val="007E500F"/>
    <w:rsid w:val="007E55C0"/>
    <w:rsid w:val="007F01DE"/>
    <w:rsid w:val="007F0759"/>
    <w:rsid w:val="007F0BCC"/>
    <w:rsid w:val="007F0D5B"/>
    <w:rsid w:val="007F124D"/>
    <w:rsid w:val="007F156E"/>
    <w:rsid w:val="007F1C97"/>
    <w:rsid w:val="007F1CF3"/>
    <w:rsid w:val="007F25C0"/>
    <w:rsid w:val="007F30BB"/>
    <w:rsid w:val="007F3368"/>
    <w:rsid w:val="007F3D6A"/>
    <w:rsid w:val="007F3F42"/>
    <w:rsid w:val="007F4C96"/>
    <w:rsid w:val="007F5D9C"/>
    <w:rsid w:val="007F5F52"/>
    <w:rsid w:val="007F672A"/>
    <w:rsid w:val="007F6A1D"/>
    <w:rsid w:val="007F77C6"/>
    <w:rsid w:val="007F79D4"/>
    <w:rsid w:val="008003A1"/>
    <w:rsid w:val="008006B7"/>
    <w:rsid w:val="00800FDB"/>
    <w:rsid w:val="00802081"/>
    <w:rsid w:val="008020F6"/>
    <w:rsid w:val="0080298E"/>
    <w:rsid w:val="00802F04"/>
    <w:rsid w:val="00803833"/>
    <w:rsid w:val="00804316"/>
    <w:rsid w:val="008044F8"/>
    <w:rsid w:val="00804B55"/>
    <w:rsid w:val="008050BC"/>
    <w:rsid w:val="00805D3E"/>
    <w:rsid w:val="00806461"/>
    <w:rsid w:val="008064C1"/>
    <w:rsid w:val="0081096D"/>
    <w:rsid w:val="00810EAD"/>
    <w:rsid w:val="00811833"/>
    <w:rsid w:val="008134C7"/>
    <w:rsid w:val="00814BDE"/>
    <w:rsid w:val="00814DBC"/>
    <w:rsid w:val="008159A9"/>
    <w:rsid w:val="008174D4"/>
    <w:rsid w:val="0082002E"/>
    <w:rsid w:val="0082083C"/>
    <w:rsid w:val="00820BF6"/>
    <w:rsid w:val="00820C54"/>
    <w:rsid w:val="00820F37"/>
    <w:rsid w:val="00820FE6"/>
    <w:rsid w:val="00821A66"/>
    <w:rsid w:val="00822476"/>
    <w:rsid w:val="008227FB"/>
    <w:rsid w:val="00822882"/>
    <w:rsid w:val="00822A1E"/>
    <w:rsid w:val="00822A2A"/>
    <w:rsid w:val="008238C7"/>
    <w:rsid w:val="008247D0"/>
    <w:rsid w:val="00825268"/>
    <w:rsid w:val="0082529F"/>
    <w:rsid w:val="0082571C"/>
    <w:rsid w:val="00825B94"/>
    <w:rsid w:val="00825BB4"/>
    <w:rsid w:val="00825F68"/>
    <w:rsid w:val="008273D2"/>
    <w:rsid w:val="00830544"/>
    <w:rsid w:val="00830E92"/>
    <w:rsid w:val="00831151"/>
    <w:rsid w:val="008320ED"/>
    <w:rsid w:val="00832A0F"/>
    <w:rsid w:val="008353D5"/>
    <w:rsid w:val="00835408"/>
    <w:rsid w:val="008358A2"/>
    <w:rsid w:val="008359DA"/>
    <w:rsid w:val="00837CEF"/>
    <w:rsid w:val="00837E2F"/>
    <w:rsid w:val="00840035"/>
    <w:rsid w:val="00842661"/>
    <w:rsid w:val="008428A9"/>
    <w:rsid w:val="00842D1E"/>
    <w:rsid w:val="00844112"/>
    <w:rsid w:val="008444D6"/>
    <w:rsid w:val="008456C9"/>
    <w:rsid w:val="0084611D"/>
    <w:rsid w:val="00846177"/>
    <w:rsid w:val="008462E0"/>
    <w:rsid w:val="0084654D"/>
    <w:rsid w:val="00846C9F"/>
    <w:rsid w:val="00847BD6"/>
    <w:rsid w:val="00850137"/>
    <w:rsid w:val="00850C62"/>
    <w:rsid w:val="00852B48"/>
    <w:rsid w:val="0085435B"/>
    <w:rsid w:val="0085474D"/>
    <w:rsid w:val="00855B21"/>
    <w:rsid w:val="00856481"/>
    <w:rsid w:val="00856484"/>
    <w:rsid w:val="008567A2"/>
    <w:rsid w:val="00856E6C"/>
    <w:rsid w:val="00857DE1"/>
    <w:rsid w:val="00860793"/>
    <w:rsid w:val="00862636"/>
    <w:rsid w:val="00863011"/>
    <w:rsid w:val="00863C5B"/>
    <w:rsid w:val="00863D2E"/>
    <w:rsid w:val="00864E32"/>
    <w:rsid w:val="00865075"/>
    <w:rsid w:val="00865B2B"/>
    <w:rsid w:val="00865E2D"/>
    <w:rsid w:val="0086615F"/>
    <w:rsid w:val="0086748F"/>
    <w:rsid w:val="008707EB"/>
    <w:rsid w:val="00870FBB"/>
    <w:rsid w:val="00871A0D"/>
    <w:rsid w:val="00871B95"/>
    <w:rsid w:val="008720A7"/>
    <w:rsid w:val="00872757"/>
    <w:rsid w:val="00872CE4"/>
    <w:rsid w:val="0087359D"/>
    <w:rsid w:val="0087391D"/>
    <w:rsid w:val="00873AA4"/>
    <w:rsid w:val="00873CA8"/>
    <w:rsid w:val="00873F3E"/>
    <w:rsid w:val="00873F5D"/>
    <w:rsid w:val="0087507A"/>
    <w:rsid w:val="0087570C"/>
    <w:rsid w:val="00875DF5"/>
    <w:rsid w:val="008773BA"/>
    <w:rsid w:val="00877B62"/>
    <w:rsid w:val="00881015"/>
    <w:rsid w:val="008810B0"/>
    <w:rsid w:val="00881665"/>
    <w:rsid w:val="008819B6"/>
    <w:rsid w:val="00881AAC"/>
    <w:rsid w:val="00882C04"/>
    <w:rsid w:val="008836B7"/>
    <w:rsid w:val="00883F7C"/>
    <w:rsid w:val="008841D3"/>
    <w:rsid w:val="008843CB"/>
    <w:rsid w:val="00884987"/>
    <w:rsid w:val="00884BE0"/>
    <w:rsid w:val="0088684C"/>
    <w:rsid w:val="00887BF9"/>
    <w:rsid w:val="00887DE6"/>
    <w:rsid w:val="00890FFF"/>
    <w:rsid w:val="0089214A"/>
    <w:rsid w:val="00892226"/>
    <w:rsid w:val="008922FA"/>
    <w:rsid w:val="00892D3E"/>
    <w:rsid w:val="008936DC"/>
    <w:rsid w:val="00893784"/>
    <w:rsid w:val="00893E53"/>
    <w:rsid w:val="008945EB"/>
    <w:rsid w:val="00894C2A"/>
    <w:rsid w:val="008964A8"/>
    <w:rsid w:val="0089690B"/>
    <w:rsid w:val="00896A5F"/>
    <w:rsid w:val="0089728F"/>
    <w:rsid w:val="008976C0"/>
    <w:rsid w:val="00897708"/>
    <w:rsid w:val="00897C25"/>
    <w:rsid w:val="00897D88"/>
    <w:rsid w:val="008A17AF"/>
    <w:rsid w:val="008A1F98"/>
    <w:rsid w:val="008A2C65"/>
    <w:rsid w:val="008A2F16"/>
    <w:rsid w:val="008A36AE"/>
    <w:rsid w:val="008A3B1C"/>
    <w:rsid w:val="008A48C3"/>
    <w:rsid w:val="008A4E18"/>
    <w:rsid w:val="008A520C"/>
    <w:rsid w:val="008A5493"/>
    <w:rsid w:val="008A596C"/>
    <w:rsid w:val="008A5A5D"/>
    <w:rsid w:val="008A64C4"/>
    <w:rsid w:val="008A6789"/>
    <w:rsid w:val="008A6BF7"/>
    <w:rsid w:val="008A6CC1"/>
    <w:rsid w:val="008A7011"/>
    <w:rsid w:val="008A72FB"/>
    <w:rsid w:val="008A7F03"/>
    <w:rsid w:val="008B009C"/>
    <w:rsid w:val="008B1823"/>
    <w:rsid w:val="008B1B4E"/>
    <w:rsid w:val="008B24DC"/>
    <w:rsid w:val="008B2BDF"/>
    <w:rsid w:val="008B4198"/>
    <w:rsid w:val="008B586A"/>
    <w:rsid w:val="008B6651"/>
    <w:rsid w:val="008B6E16"/>
    <w:rsid w:val="008B7110"/>
    <w:rsid w:val="008B7A20"/>
    <w:rsid w:val="008C0DF9"/>
    <w:rsid w:val="008C2029"/>
    <w:rsid w:val="008C267C"/>
    <w:rsid w:val="008C2E44"/>
    <w:rsid w:val="008C3427"/>
    <w:rsid w:val="008C381D"/>
    <w:rsid w:val="008C3BC2"/>
    <w:rsid w:val="008C4413"/>
    <w:rsid w:val="008C4F76"/>
    <w:rsid w:val="008C55AD"/>
    <w:rsid w:val="008C6127"/>
    <w:rsid w:val="008C61D6"/>
    <w:rsid w:val="008C649D"/>
    <w:rsid w:val="008C64F1"/>
    <w:rsid w:val="008C69DE"/>
    <w:rsid w:val="008C7C1A"/>
    <w:rsid w:val="008D0DC1"/>
    <w:rsid w:val="008D1326"/>
    <w:rsid w:val="008D1BB0"/>
    <w:rsid w:val="008D20FF"/>
    <w:rsid w:val="008D2B9A"/>
    <w:rsid w:val="008D3DE6"/>
    <w:rsid w:val="008D4223"/>
    <w:rsid w:val="008D44CC"/>
    <w:rsid w:val="008D46E3"/>
    <w:rsid w:val="008D4CED"/>
    <w:rsid w:val="008D50F9"/>
    <w:rsid w:val="008D5CAF"/>
    <w:rsid w:val="008D6709"/>
    <w:rsid w:val="008E083A"/>
    <w:rsid w:val="008E12AD"/>
    <w:rsid w:val="008E21BC"/>
    <w:rsid w:val="008E22FF"/>
    <w:rsid w:val="008E2450"/>
    <w:rsid w:val="008E32E5"/>
    <w:rsid w:val="008E3453"/>
    <w:rsid w:val="008E3F27"/>
    <w:rsid w:val="008E47EF"/>
    <w:rsid w:val="008E4E6E"/>
    <w:rsid w:val="008E5DB7"/>
    <w:rsid w:val="008E61EB"/>
    <w:rsid w:val="008E7896"/>
    <w:rsid w:val="008E79C7"/>
    <w:rsid w:val="008E7B6F"/>
    <w:rsid w:val="008E7C05"/>
    <w:rsid w:val="008E7C9D"/>
    <w:rsid w:val="008E7D8A"/>
    <w:rsid w:val="008F14C7"/>
    <w:rsid w:val="008F1707"/>
    <w:rsid w:val="008F1E9E"/>
    <w:rsid w:val="008F2165"/>
    <w:rsid w:val="008F2477"/>
    <w:rsid w:val="008F3879"/>
    <w:rsid w:val="008F3B3C"/>
    <w:rsid w:val="008F4668"/>
    <w:rsid w:val="008F48E1"/>
    <w:rsid w:val="008F4C10"/>
    <w:rsid w:val="008F5442"/>
    <w:rsid w:val="008F653E"/>
    <w:rsid w:val="008F7769"/>
    <w:rsid w:val="008F7ACC"/>
    <w:rsid w:val="009004FE"/>
    <w:rsid w:val="00900924"/>
    <w:rsid w:val="009010F0"/>
    <w:rsid w:val="00901162"/>
    <w:rsid w:val="00901B53"/>
    <w:rsid w:val="0090223A"/>
    <w:rsid w:val="009028E2"/>
    <w:rsid w:val="00902AAB"/>
    <w:rsid w:val="00902EDD"/>
    <w:rsid w:val="009039FE"/>
    <w:rsid w:val="00903E9A"/>
    <w:rsid w:val="00905404"/>
    <w:rsid w:val="00906478"/>
    <w:rsid w:val="00906753"/>
    <w:rsid w:val="00907264"/>
    <w:rsid w:val="00907488"/>
    <w:rsid w:val="0090765F"/>
    <w:rsid w:val="00907DE6"/>
    <w:rsid w:val="00910642"/>
    <w:rsid w:val="00911305"/>
    <w:rsid w:val="00912590"/>
    <w:rsid w:val="009125B5"/>
    <w:rsid w:val="00913200"/>
    <w:rsid w:val="00914EAB"/>
    <w:rsid w:val="009152D8"/>
    <w:rsid w:val="009154FD"/>
    <w:rsid w:val="00915A1D"/>
    <w:rsid w:val="0092042F"/>
    <w:rsid w:val="009208DC"/>
    <w:rsid w:val="009221F1"/>
    <w:rsid w:val="00922567"/>
    <w:rsid w:val="009228DB"/>
    <w:rsid w:val="00922B68"/>
    <w:rsid w:val="00922D49"/>
    <w:rsid w:val="009236B9"/>
    <w:rsid w:val="00925E37"/>
    <w:rsid w:val="00925EDD"/>
    <w:rsid w:val="00925F20"/>
    <w:rsid w:val="00926C1A"/>
    <w:rsid w:val="00927899"/>
    <w:rsid w:val="00927D0E"/>
    <w:rsid w:val="00927D1F"/>
    <w:rsid w:val="009309DA"/>
    <w:rsid w:val="00930E47"/>
    <w:rsid w:val="00931040"/>
    <w:rsid w:val="00931663"/>
    <w:rsid w:val="00931D22"/>
    <w:rsid w:val="00932CC7"/>
    <w:rsid w:val="00935306"/>
    <w:rsid w:val="00935CDE"/>
    <w:rsid w:val="0093605E"/>
    <w:rsid w:val="00936688"/>
    <w:rsid w:val="00936F09"/>
    <w:rsid w:val="00937683"/>
    <w:rsid w:val="00937AC9"/>
    <w:rsid w:val="00937CFA"/>
    <w:rsid w:val="00937FC6"/>
    <w:rsid w:val="00940291"/>
    <w:rsid w:val="009406B3"/>
    <w:rsid w:val="00942286"/>
    <w:rsid w:val="00942EFD"/>
    <w:rsid w:val="00942F30"/>
    <w:rsid w:val="00943748"/>
    <w:rsid w:val="00943AB7"/>
    <w:rsid w:val="00943CEE"/>
    <w:rsid w:val="009444F4"/>
    <w:rsid w:val="00944674"/>
    <w:rsid w:val="00945727"/>
    <w:rsid w:val="00945CC4"/>
    <w:rsid w:val="00945CF5"/>
    <w:rsid w:val="0094691C"/>
    <w:rsid w:val="00947C95"/>
    <w:rsid w:val="00947EED"/>
    <w:rsid w:val="009500A1"/>
    <w:rsid w:val="009502B0"/>
    <w:rsid w:val="0095037E"/>
    <w:rsid w:val="00951D97"/>
    <w:rsid w:val="00952230"/>
    <w:rsid w:val="00952AAD"/>
    <w:rsid w:val="00953B2B"/>
    <w:rsid w:val="00954567"/>
    <w:rsid w:val="009547B3"/>
    <w:rsid w:val="00954A89"/>
    <w:rsid w:val="00956671"/>
    <w:rsid w:val="009568D4"/>
    <w:rsid w:val="00956EEA"/>
    <w:rsid w:val="00957466"/>
    <w:rsid w:val="009576F7"/>
    <w:rsid w:val="00960722"/>
    <w:rsid w:val="00961356"/>
    <w:rsid w:val="00962401"/>
    <w:rsid w:val="00962510"/>
    <w:rsid w:val="0096260B"/>
    <w:rsid w:val="0096275C"/>
    <w:rsid w:val="009627FF"/>
    <w:rsid w:val="0096290F"/>
    <w:rsid w:val="00962A27"/>
    <w:rsid w:val="00962B9D"/>
    <w:rsid w:val="00962EDC"/>
    <w:rsid w:val="00964E3D"/>
    <w:rsid w:val="009664D5"/>
    <w:rsid w:val="009668A9"/>
    <w:rsid w:val="00966E6A"/>
    <w:rsid w:val="009670C1"/>
    <w:rsid w:val="00970C69"/>
    <w:rsid w:val="00971262"/>
    <w:rsid w:val="00971F1C"/>
    <w:rsid w:val="009720F0"/>
    <w:rsid w:val="0097211D"/>
    <w:rsid w:val="009724F9"/>
    <w:rsid w:val="0097263C"/>
    <w:rsid w:val="00972DF9"/>
    <w:rsid w:val="00972E10"/>
    <w:rsid w:val="009738AD"/>
    <w:rsid w:val="00974694"/>
    <w:rsid w:val="009746CA"/>
    <w:rsid w:val="00974E7C"/>
    <w:rsid w:val="00976F71"/>
    <w:rsid w:val="00977134"/>
    <w:rsid w:val="00980013"/>
    <w:rsid w:val="0098010E"/>
    <w:rsid w:val="009801B9"/>
    <w:rsid w:val="0098028A"/>
    <w:rsid w:val="0098030F"/>
    <w:rsid w:val="00980E65"/>
    <w:rsid w:val="0098122D"/>
    <w:rsid w:val="00981963"/>
    <w:rsid w:val="00982AAE"/>
    <w:rsid w:val="009831B9"/>
    <w:rsid w:val="00983A16"/>
    <w:rsid w:val="00983C82"/>
    <w:rsid w:val="009844D6"/>
    <w:rsid w:val="00984520"/>
    <w:rsid w:val="00985337"/>
    <w:rsid w:val="0098545C"/>
    <w:rsid w:val="00985F36"/>
    <w:rsid w:val="009862F1"/>
    <w:rsid w:val="00986F70"/>
    <w:rsid w:val="009871EA"/>
    <w:rsid w:val="00987CEA"/>
    <w:rsid w:val="00991675"/>
    <w:rsid w:val="00992BA2"/>
    <w:rsid w:val="00992D70"/>
    <w:rsid w:val="00992F83"/>
    <w:rsid w:val="00993316"/>
    <w:rsid w:val="0099344F"/>
    <w:rsid w:val="00993577"/>
    <w:rsid w:val="00993A3C"/>
    <w:rsid w:val="00994633"/>
    <w:rsid w:val="0099508A"/>
    <w:rsid w:val="009967D7"/>
    <w:rsid w:val="009974EB"/>
    <w:rsid w:val="00997A12"/>
    <w:rsid w:val="009A0C49"/>
    <w:rsid w:val="009A1126"/>
    <w:rsid w:val="009A16C1"/>
    <w:rsid w:val="009A1CB4"/>
    <w:rsid w:val="009A2157"/>
    <w:rsid w:val="009A439E"/>
    <w:rsid w:val="009A5564"/>
    <w:rsid w:val="009A7469"/>
    <w:rsid w:val="009B07EE"/>
    <w:rsid w:val="009B1584"/>
    <w:rsid w:val="009B1B32"/>
    <w:rsid w:val="009B21CA"/>
    <w:rsid w:val="009B2648"/>
    <w:rsid w:val="009B424E"/>
    <w:rsid w:val="009B4317"/>
    <w:rsid w:val="009B4EBB"/>
    <w:rsid w:val="009B529C"/>
    <w:rsid w:val="009B5FA5"/>
    <w:rsid w:val="009B61B2"/>
    <w:rsid w:val="009B679E"/>
    <w:rsid w:val="009B7332"/>
    <w:rsid w:val="009B7420"/>
    <w:rsid w:val="009B7B46"/>
    <w:rsid w:val="009C0294"/>
    <w:rsid w:val="009C03E5"/>
    <w:rsid w:val="009C08B6"/>
    <w:rsid w:val="009C0920"/>
    <w:rsid w:val="009C12C3"/>
    <w:rsid w:val="009C196C"/>
    <w:rsid w:val="009C1B5C"/>
    <w:rsid w:val="009C1FD2"/>
    <w:rsid w:val="009C3047"/>
    <w:rsid w:val="009C36E6"/>
    <w:rsid w:val="009C3730"/>
    <w:rsid w:val="009C37BD"/>
    <w:rsid w:val="009C3888"/>
    <w:rsid w:val="009C3AAC"/>
    <w:rsid w:val="009C4D19"/>
    <w:rsid w:val="009C5F6C"/>
    <w:rsid w:val="009C5FDB"/>
    <w:rsid w:val="009C693E"/>
    <w:rsid w:val="009C6B2C"/>
    <w:rsid w:val="009C6ED6"/>
    <w:rsid w:val="009C70CB"/>
    <w:rsid w:val="009C7623"/>
    <w:rsid w:val="009C7D89"/>
    <w:rsid w:val="009C7E41"/>
    <w:rsid w:val="009D07C7"/>
    <w:rsid w:val="009D14EB"/>
    <w:rsid w:val="009D1B18"/>
    <w:rsid w:val="009D1E70"/>
    <w:rsid w:val="009D1EA4"/>
    <w:rsid w:val="009D27AA"/>
    <w:rsid w:val="009D2843"/>
    <w:rsid w:val="009D2BFD"/>
    <w:rsid w:val="009D2D5A"/>
    <w:rsid w:val="009D2FF8"/>
    <w:rsid w:val="009D3F20"/>
    <w:rsid w:val="009D428F"/>
    <w:rsid w:val="009D4991"/>
    <w:rsid w:val="009D597B"/>
    <w:rsid w:val="009D5A89"/>
    <w:rsid w:val="009D5BB5"/>
    <w:rsid w:val="009D6657"/>
    <w:rsid w:val="009D66C1"/>
    <w:rsid w:val="009D696D"/>
    <w:rsid w:val="009D6993"/>
    <w:rsid w:val="009D6ED2"/>
    <w:rsid w:val="009D78A3"/>
    <w:rsid w:val="009D7DB4"/>
    <w:rsid w:val="009E0603"/>
    <w:rsid w:val="009E08B3"/>
    <w:rsid w:val="009E0F1A"/>
    <w:rsid w:val="009E140D"/>
    <w:rsid w:val="009E43DD"/>
    <w:rsid w:val="009E4465"/>
    <w:rsid w:val="009E5318"/>
    <w:rsid w:val="009E6401"/>
    <w:rsid w:val="009E6C54"/>
    <w:rsid w:val="009E72E8"/>
    <w:rsid w:val="009F04C8"/>
    <w:rsid w:val="009F0812"/>
    <w:rsid w:val="009F0E02"/>
    <w:rsid w:val="009F1B6A"/>
    <w:rsid w:val="009F2408"/>
    <w:rsid w:val="009F248B"/>
    <w:rsid w:val="009F2A25"/>
    <w:rsid w:val="009F3A1A"/>
    <w:rsid w:val="009F4C7D"/>
    <w:rsid w:val="009F5235"/>
    <w:rsid w:val="009F531A"/>
    <w:rsid w:val="009F5EB9"/>
    <w:rsid w:val="009F6344"/>
    <w:rsid w:val="009F6550"/>
    <w:rsid w:val="009F6B65"/>
    <w:rsid w:val="009F786E"/>
    <w:rsid w:val="009F7B30"/>
    <w:rsid w:val="00A00817"/>
    <w:rsid w:val="00A00902"/>
    <w:rsid w:val="00A0098B"/>
    <w:rsid w:val="00A01A28"/>
    <w:rsid w:val="00A025BF"/>
    <w:rsid w:val="00A0294E"/>
    <w:rsid w:val="00A0327A"/>
    <w:rsid w:val="00A039FF"/>
    <w:rsid w:val="00A04524"/>
    <w:rsid w:val="00A046F6"/>
    <w:rsid w:val="00A05758"/>
    <w:rsid w:val="00A05ACE"/>
    <w:rsid w:val="00A06DBC"/>
    <w:rsid w:val="00A10C6C"/>
    <w:rsid w:val="00A114B9"/>
    <w:rsid w:val="00A11895"/>
    <w:rsid w:val="00A1211A"/>
    <w:rsid w:val="00A139BF"/>
    <w:rsid w:val="00A13A2E"/>
    <w:rsid w:val="00A13A65"/>
    <w:rsid w:val="00A13A67"/>
    <w:rsid w:val="00A14589"/>
    <w:rsid w:val="00A14AE3"/>
    <w:rsid w:val="00A151A0"/>
    <w:rsid w:val="00A16675"/>
    <w:rsid w:val="00A21955"/>
    <w:rsid w:val="00A22BB6"/>
    <w:rsid w:val="00A22CD6"/>
    <w:rsid w:val="00A234EC"/>
    <w:rsid w:val="00A24128"/>
    <w:rsid w:val="00A2417A"/>
    <w:rsid w:val="00A25642"/>
    <w:rsid w:val="00A26668"/>
    <w:rsid w:val="00A2681F"/>
    <w:rsid w:val="00A27804"/>
    <w:rsid w:val="00A317EA"/>
    <w:rsid w:val="00A320F6"/>
    <w:rsid w:val="00A3276D"/>
    <w:rsid w:val="00A330B0"/>
    <w:rsid w:val="00A334D1"/>
    <w:rsid w:val="00A34029"/>
    <w:rsid w:val="00A34257"/>
    <w:rsid w:val="00A346FC"/>
    <w:rsid w:val="00A34F44"/>
    <w:rsid w:val="00A34F72"/>
    <w:rsid w:val="00A3655D"/>
    <w:rsid w:val="00A36822"/>
    <w:rsid w:val="00A36AB5"/>
    <w:rsid w:val="00A374FD"/>
    <w:rsid w:val="00A3754B"/>
    <w:rsid w:val="00A402DD"/>
    <w:rsid w:val="00A4069E"/>
    <w:rsid w:val="00A40BBF"/>
    <w:rsid w:val="00A411D1"/>
    <w:rsid w:val="00A432E9"/>
    <w:rsid w:val="00A43389"/>
    <w:rsid w:val="00A434A7"/>
    <w:rsid w:val="00A43687"/>
    <w:rsid w:val="00A43E71"/>
    <w:rsid w:val="00A4526F"/>
    <w:rsid w:val="00A454C0"/>
    <w:rsid w:val="00A45753"/>
    <w:rsid w:val="00A457B8"/>
    <w:rsid w:val="00A46E47"/>
    <w:rsid w:val="00A479DC"/>
    <w:rsid w:val="00A47B15"/>
    <w:rsid w:val="00A5094A"/>
    <w:rsid w:val="00A50D5A"/>
    <w:rsid w:val="00A51708"/>
    <w:rsid w:val="00A52F84"/>
    <w:rsid w:val="00A533CC"/>
    <w:rsid w:val="00A54284"/>
    <w:rsid w:val="00A5465A"/>
    <w:rsid w:val="00A54FB5"/>
    <w:rsid w:val="00A552C0"/>
    <w:rsid w:val="00A55BFA"/>
    <w:rsid w:val="00A56B05"/>
    <w:rsid w:val="00A56C06"/>
    <w:rsid w:val="00A56E50"/>
    <w:rsid w:val="00A57678"/>
    <w:rsid w:val="00A57972"/>
    <w:rsid w:val="00A579F5"/>
    <w:rsid w:val="00A57F07"/>
    <w:rsid w:val="00A57F83"/>
    <w:rsid w:val="00A60E2F"/>
    <w:rsid w:val="00A6199F"/>
    <w:rsid w:val="00A627AD"/>
    <w:rsid w:val="00A63246"/>
    <w:rsid w:val="00A63284"/>
    <w:rsid w:val="00A63458"/>
    <w:rsid w:val="00A634AE"/>
    <w:rsid w:val="00A6372D"/>
    <w:rsid w:val="00A64CB8"/>
    <w:rsid w:val="00A64E3E"/>
    <w:rsid w:val="00A66065"/>
    <w:rsid w:val="00A66D10"/>
    <w:rsid w:val="00A67018"/>
    <w:rsid w:val="00A671D2"/>
    <w:rsid w:val="00A67289"/>
    <w:rsid w:val="00A672F3"/>
    <w:rsid w:val="00A673DC"/>
    <w:rsid w:val="00A7076E"/>
    <w:rsid w:val="00A709BE"/>
    <w:rsid w:val="00A70D85"/>
    <w:rsid w:val="00A7162E"/>
    <w:rsid w:val="00A72D71"/>
    <w:rsid w:val="00A73112"/>
    <w:rsid w:val="00A73617"/>
    <w:rsid w:val="00A747D2"/>
    <w:rsid w:val="00A7511E"/>
    <w:rsid w:val="00A75123"/>
    <w:rsid w:val="00A753C0"/>
    <w:rsid w:val="00A75705"/>
    <w:rsid w:val="00A75F35"/>
    <w:rsid w:val="00A765A9"/>
    <w:rsid w:val="00A77BF3"/>
    <w:rsid w:val="00A77C69"/>
    <w:rsid w:val="00A812B1"/>
    <w:rsid w:val="00A82C61"/>
    <w:rsid w:val="00A8301B"/>
    <w:rsid w:val="00A83049"/>
    <w:rsid w:val="00A83945"/>
    <w:rsid w:val="00A83953"/>
    <w:rsid w:val="00A83CD7"/>
    <w:rsid w:val="00A8400B"/>
    <w:rsid w:val="00A8416A"/>
    <w:rsid w:val="00A846DA"/>
    <w:rsid w:val="00A853D8"/>
    <w:rsid w:val="00A85FA3"/>
    <w:rsid w:val="00A8661E"/>
    <w:rsid w:val="00A8695A"/>
    <w:rsid w:val="00A86ACF"/>
    <w:rsid w:val="00A8708E"/>
    <w:rsid w:val="00A903B6"/>
    <w:rsid w:val="00A90F4F"/>
    <w:rsid w:val="00A919AD"/>
    <w:rsid w:val="00A91F90"/>
    <w:rsid w:val="00A92507"/>
    <w:rsid w:val="00A92579"/>
    <w:rsid w:val="00A92EF7"/>
    <w:rsid w:val="00A936F9"/>
    <w:rsid w:val="00A947AA"/>
    <w:rsid w:val="00A94888"/>
    <w:rsid w:val="00A94990"/>
    <w:rsid w:val="00A9681C"/>
    <w:rsid w:val="00A96867"/>
    <w:rsid w:val="00A96B3D"/>
    <w:rsid w:val="00A97141"/>
    <w:rsid w:val="00A97820"/>
    <w:rsid w:val="00A97A4E"/>
    <w:rsid w:val="00AA1B53"/>
    <w:rsid w:val="00AA1DEA"/>
    <w:rsid w:val="00AA256D"/>
    <w:rsid w:val="00AA311D"/>
    <w:rsid w:val="00AA3556"/>
    <w:rsid w:val="00AA35FD"/>
    <w:rsid w:val="00AA364F"/>
    <w:rsid w:val="00AA3DB7"/>
    <w:rsid w:val="00AA41D3"/>
    <w:rsid w:val="00AA46A1"/>
    <w:rsid w:val="00AA554C"/>
    <w:rsid w:val="00AA694F"/>
    <w:rsid w:val="00AA712F"/>
    <w:rsid w:val="00AB0039"/>
    <w:rsid w:val="00AB0D96"/>
    <w:rsid w:val="00AB15A3"/>
    <w:rsid w:val="00AB177A"/>
    <w:rsid w:val="00AB216D"/>
    <w:rsid w:val="00AB2F94"/>
    <w:rsid w:val="00AB3012"/>
    <w:rsid w:val="00AB321C"/>
    <w:rsid w:val="00AB3CED"/>
    <w:rsid w:val="00AB473F"/>
    <w:rsid w:val="00AB4C91"/>
    <w:rsid w:val="00AB4E3B"/>
    <w:rsid w:val="00AB5381"/>
    <w:rsid w:val="00AB5CBB"/>
    <w:rsid w:val="00AB688F"/>
    <w:rsid w:val="00AB75EA"/>
    <w:rsid w:val="00AB7AA2"/>
    <w:rsid w:val="00AB7D15"/>
    <w:rsid w:val="00AC03D8"/>
    <w:rsid w:val="00AC0A22"/>
    <w:rsid w:val="00AC1028"/>
    <w:rsid w:val="00AC1515"/>
    <w:rsid w:val="00AC1F41"/>
    <w:rsid w:val="00AC2234"/>
    <w:rsid w:val="00AC3FF3"/>
    <w:rsid w:val="00AC4938"/>
    <w:rsid w:val="00AC4A34"/>
    <w:rsid w:val="00AC4BC1"/>
    <w:rsid w:val="00AC5715"/>
    <w:rsid w:val="00AC7D8D"/>
    <w:rsid w:val="00AD04BD"/>
    <w:rsid w:val="00AD0765"/>
    <w:rsid w:val="00AD0F00"/>
    <w:rsid w:val="00AD14B8"/>
    <w:rsid w:val="00AD296B"/>
    <w:rsid w:val="00AD299E"/>
    <w:rsid w:val="00AD312A"/>
    <w:rsid w:val="00AD5374"/>
    <w:rsid w:val="00AD55A8"/>
    <w:rsid w:val="00AD56B4"/>
    <w:rsid w:val="00AD5A2E"/>
    <w:rsid w:val="00AD5CA4"/>
    <w:rsid w:val="00AD6076"/>
    <w:rsid w:val="00AD634F"/>
    <w:rsid w:val="00AD6591"/>
    <w:rsid w:val="00AD6A91"/>
    <w:rsid w:val="00AD7214"/>
    <w:rsid w:val="00AE04DB"/>
    <w:rsid w:val="00AE0C58"/>
    <w:rsid w:val="00AE0E09"/>
    <w:rsid w:val="00AE103C"/>
    <w:rsid w:val="00AE1066"/>
    <w:rsid w:val="00AE14DD"/>
    <w:rsid w:val="00AE1A2D"/>
    <w:rsid w:val="00AE2CB7"/>
    <w:rsid w:val="00AE2FA5"/>
    <w:rsid w:val="00AE3215"/>
    <w:rsid w:val="00AE3A4F"/>
    <w:rsid w:val="00AE4518"/>
    <w:rsid w:val="00AE49D9"/>
    <w:rsid w:val="00AE4C42"/>
    <w:rsid w:val="00AE5D7F"/>
    <w:rsid w:val="00AE7140"/>
    <w:rsid w:val="00AE79F0"/>
    <w:rsid w:val="00AF07B0"/>
    <w:rsid w:val="00AF0AFC"/>
    <w:rsid w:val="00AF109C"/>
    <w:rsid w:val="00AF1752"/>
    <w:rsid w:val="00AF2896"/>
    <w:rsid w:val="00AF3F1D"/>
    <w:rsid w:val="00AF42FC"/>
    <w:rsid w:val="00AF4AC5"/>
    <w:rsid w:val="00AF4C2C"/>
    <w:rsid w:val="00AF597D"/>
    <w:rsid w:val="00AF6EC1"/>
    <w:rsid w:val="00AF7416"/>
    <w:rsid w:val="00AF784D"/>
    <w:rsid w:val="00AF7CE9"/>
    <w:rsid w:val="00B00331"/>
    <w:rsid w:val="00B00E46"/>
    <w:rsid w:val="00B01102"/>
    <w:rsid w:val="00B01293"/>
    <w:rsid w:val="00B014A1"/>
    <w:rsid w:val="00B01A80"/>
    <w:rsid w:val="00B034DF"/>
    <w:rsid w:val="00B03EF5"/>
    <w:rsid w:val="00B046AF"/>
    <w:rsid w:val="00B06036"/>
    <w:rsid w:val="00B061F5"/>
    <w:rsid w:val="00B07C27"/>
    <w:rsid w:val="00B07DDE"/>
    <w:rsid w:val="00B07FB2"/>
    <w:rsid w:val="00B10017"/>
    <w:rsid w:val="00B1004A"/>
    <w:rsid w:val="00B101CE"/>
    <w:rsid w:val="00B10DE1"/>
    <w:rsid w:val="00B10FF8"/>
    <w:rsid w:val="00B11E02"/>
    <w:rsid w:val="00B12F0D"/>
    <w:rsid w:val="00B13A85"/>
    <w:rsid w:val="00B13BC7"/>
    <w:rsid w:val="00B13CD4"/>
    <w:rsid w:val="00B153D8"/>
    <w:rsid w:val="00B154DE"/>
    <w:rsid w:val="00B155FF"/>
    <w:rsid w:val="00B15814"/>
    <w:rsid w:val="00B16B91"/>
    <w:rsid w:val="00B17B14"/>
    <w:rsid w:val="00B20203"/>
    <w:rsid w:val="00B203C4"/>
    <w:rsid w:val="00B20863"/>
    <w:rsid w:val="00B20CDD"/>
    <w:rsid w:val="00B20E37"/>
    <w:rsid w:val="00B21584"/>
    <w:rsid w:val="00B21F27"/>
    <w:rsid w:val="00B224DF"/>
    <w:rsid w:val="00B22683"/>
    <w:rsid w:val="00B22BC9"/>
    <w:rsid w:val="00B22E81"/>
    <w:rsid w:val="00B232FE"/>
    <w:rsid w:val="00B23996"/>
    <w:rsid w:val="00B23A8A"/>
    <w:rsid w:val="00B23BBE"/>
    <w:rsid w:val="00B23CB2"/>
    <w:rsid w:val="00B240CC"/>
    <w:rsid w:val="00B24E14"/>
    <w:rsid w:val="00B2561A"/>
    <w:rsid w:val="00B256C1"/>
    <w:rsid w:val="00B25A64"/>
    <w:rsid w:val="00B25A79"/>
    <w:rsid w:val="00B25B94"/>
    <w:rsid w:val="00B26E97"/>
    <w:rsid w:val="00B26EB9"/>
    <w:rsid w:val="00B271F2"/>
    <w:rsid w:val="00B277C4"/>
    <w:rsid w:val="00B31884"/>
    <w:rsid w:val="00B31D19"/>
    <w:rsid w:val="00B32155"/>
    <w:rsid w:val="00B32396"/>
    <w:rsid w:val="00B32AB3"/>
    <w:rsid w:val="00B32DAE"/>
    <w:rsid w:val="00B33825"/>
    <w:rsid w:val="00B3456F"/>
    <w:rsid w:val="00B34BB2"/>
    <w:rsid w:val="00B34E7C"/>
    <w:rsid w:val="00B35AF6"/>
    <w:rsid w:val="00B36228"/>
    <w:rsid w:val="00B366A3"/>
    <w:rsid w:val="00B368EA"/>
    <w:rsid w:val="00B3741E"/>
    <w:rsid w:val="00B37EEF"/>
    <w:rsid w:val="00B41344"/>
    <w:rsid w:val="00B418AD"/>
    <w:rsid w:val="00B41DAD"/>
    <w:rsid w:val="00B4229C"/>
    <w:rsid w:val="00B42F1A"/>
    <w:rsid w:val="00B43790"/>
    <w:rsid w:val="00B4430B"/>
    <w:rsid w:val="00B443D9"/>
    <w:rsid w:val="00B44531"/>
    <w:rsid w:val="00B445EA"/>
    <w:rsid w:val="00B46587"/>
    <w:rsid w:val="00B47AD2"/>
    <w:rsid w:val="00B47CF7"/>
    <w:rsid w:val="00B50686"/>
    <w:rsid w:val="00B50C50"/>
    <w:rsid w:val="00B50ED1"/>
    <w:rsid w:val="00B513C0"/>
    <w:rsid w:val="00B52CF8"/>
    <w:rsid w:val="00B53708"/>
    <w:rsid w:val="00B53DCB"/>
    <w:rsid w:val="00B5428F"/>
    <w:rsid w:val="00B54370"/>
    <w:rsid w:val="00B54DEA"/>
    <w:rsid w:val="00B54FDF"/>
    <w:rsid w:val="00B55185"/>
    <w:rsid w:val="00B55C03"/>
    <w:rsid w:val="00B55F0B"/>
    <w:rsid w:val="00B5695D"/>
    <w:rsid w:val="00B56A70"/>
    <w:rsid w:val="00B602D5"/>
    <w:rsid w:val="00B60638"/>
    <w:rsid w:val="00B606F8"/>
    <w:rsid w:val="00B60A44"/>
    <w:rsid w:val="00B616D5"/>
    <w:rsid w:val="00B61872"/>
    <w:rsid w:val="00B61923"/>
    <w:rsid w:val="00B621D6"/>
    <w:rsid w:val="00B6375F"/>
    <w:rsid w:val="00B63AF2"/>
    <w:rsid w:val="00B64278"/>
    <w:rsid w:val="00B65747"/>
    <w:rsid w:val="00B65D6F"/>
    <w:rsid w:val="00B65FAD"/>
    <w:rsid w:val="00B66174"/>
    <w:rsid w:val="00B661B5"/>
    <w:rsid w:val="00B67B37"/>
    <w:rsid w:val="00B67C23"/>
    <w:rsid w:val="00B7079B"/>
    <w:rsid w:val="00B70BE5"/>
    <w:rsid w:val="00B70DC7"/>
    <w:rsid w:val="00B721A4"/>
    <w:rsid w:val="00B72B5B"/>
    <w:rsid w:val="00B72EFF"/>
    <w:rsid w:val="00B73C25"/>
    <w:rsid w:val="00B73DCE"/>
    <w:rsid w:val="00B746E4"/>
    <w:rsid w:val="00B74A6F"/>
    <w:rsid w:val="00B74D64"/>
    <w:rsid w:val="00B750C2"/>
    <w:rsid w:val="00B75411"/>
    <w:rsid w:val="00B7546A"/>
    <w:rsid w:val="00B756CB"/>
    <w:rsid w:val="00B75735"/>
    <w:rsid w:val="00B77142"/>
    <w:rsid w:val="00B8010E"/>
    <w:rsid w:val="00B80879"/>
    <w:rsid w:val="00B80A2C"/>
    <w:rsid w:val="00B80D3B"/>
    <w:rsid w:val="00B8135C"/>
    <w:rsid w:val="00B814BB"/>
    <w:rsid w:val="00B81730"/>
    <w:rsid w:val="00B81F60"/>
    <w:rsid w:val="00B82123"/>
    <w:rsid w:val="00B823D4"/>
    <w:rsid w:val="00B82BEC"/>
    <w:rsid w:val="00B8314A"/>
    <w:rsid w:val="00B841AC"/>
    <w:rsid w:val="00B844A6"/>
    <w:rsid w:val="00B85873"/>
    <w:rsid w:val="00B85E95"/>
    <w:rsid w:val="00B865B0"/>
    <w:rsid w:val="00B865DC"/>
    <w:rsid w:val="00B86E3A"/>
    <w:rsid w:val="00B870E8"/>
    <w:rsid w:val="00B874E9"/>
    <w:rsid w:val="00B875E3"/>
    <w:rsid w:val="00B87ACB"/>
    <w:rsid w:val="00B87C29"/>
    <w:rsid w:val="00B90780"/>
    <w:rsid w:val="00B90968"/>
    <w:rsid w:val="00B918BB"/>
    <w:rsid w:val="00B91A15"/>
    <w:rsid w:val="00B91BC2"/>
    <w:rsid w:val="00B9240D"/>
    <w:rsid w:val="00B93E0B"/>
    <w:rsid w:val="00B94960"/>
    <w:rsid w:val="00B9543E"/>
    <w:rsid w:val="00B96748"/>
    <w:rsid w:val="00B96F6E"/>
    <w:rsid w:val="00B9702A"/>
    <w:rsid w:val="00B979D4"/>
    <w:rsid w:val="00BA0703"/>
    <w:rsid w:val="00BA22A8"/>
    <w:rsid w:val="00BA309F"/>
    <w:rsid w:val="00BA3B8F"/>
    <w:rsid w:val="00BA3E48"/>
    <w:rsid w:val="00BA4905"/>
    <w:rsid w:val="00BA4BD3"/>
    <w:rsid w:val="00BA5B51"/>
    <w:rsid w:val="00BA6E49"/>
    <w:rsid w:val="00BB0187"/>
    <w:rsid w:val="00BB0C2D"/>
    <w:rsid w:val="00BB0E56"/>
    <w:rsid w:val="00BB1473"/>
    <w:rsid w:val="00BB1EB3"/>
    <w:rsid w:val="00BB2678"/>
    <w:rsid w:val="00BB2C68"/>
    <w:rsid w:val="00BB3077"/>
    <w:rsid w:val="00BB31D5"/>
    <w:rsid w:val="00BB33A8"/>
    <w:rsid w:val="00BB3927"/>
    <w:rsid w:val="00BB3D8C"/>
    <w:rsid w:val="00BB4B39"/>
    <w:rsid w:val="00BB4CFF"/>
    <w:rsid w:val="00BB4E17"/>
    <w:rsid w:val="00BB53AF"/>
    <w:rsid w:val="00BB5BDF"/>
    <w:rsid w:val="00BB5C26"/>
    <w:rsid w:val="00BB64B7"/>
    <w:rsid w:val="00BB6591"/>
    <w:rsid w:val="00BB6A40"/>
    <w:rsid w:val="00BC013A"/>
    <w:rsid w:val="00BC12F7"/>
    <w:rsid w:val="00BC162A"/>
    <w:rsid w:val="00BC2343"/>
    <w:rsid w:val="00BC2A29"/>
    <w:rsid w:val="00BC2BE7"/>
    <w:rsid w:val="00BC2E1B"/>
    <w:rsid w:val="00BC3F52"/>
    <w:rsid w:val="00BC43D7"/>
    <w:rsid w:val="00BC4ED3"/>
    <w:rsid w:val="00BC5824"/>
    <w:rsid w:val="00BC6B20"/>
    <w:rsid w:val="00BC702F"/>
    <w:rsid w:val="00BC7377"/>
    <w:rsid w:val="00BD0707"/>
    <w:rsid w:val="00BD0ECF"/>
    <w:rsid w:val="00BD1266"/>
    <w:rsid w:val="00BD13C1"/>
    <w:rsid w:val="00BD30C8"/>
    <w:rsid w:val="00BD38F4"/>
    <w:rsid w:val="00BD3EB4"/>
    <w:rsid w:val="00BD4C5B"/>
    <w:rsid w:val="00BD4F01"/>
    <w:rsid w:val="00BD5359"/>
    <w:rsid w:val="00BD556E"/>
    <w:rsid w:val="00BD5C65"/>
    <w:rsid w:val="00BD7BCC"/>
    <w:rsid w:val="00BE16E9"/>
    <w:rsid w:val="00BE1E11"/>
    <w:rsid w:val="00BE2730"/>
    <w:rsid w:val="00BE2A17"/>
    <w:rsid w:val="00BE2D83"/>
    <w:rsid w:val="00BE31BE"/>
    <w:rsid w:val="00BE3A1D"/>
    <w:rsid w:val="00BE3ABB"/>
    <w:rsid w:val="00BE3B92"/>
    <w:rsid w:val="00BE487E"/>
    <w:rsid w:val="00BE528E"/>
    <w:rsid w:val="00BE6018"/>
    <w:rsid w:val="00BE7086"/>
    <w:rsid w:val="00BE7278"/>
    <w:rsid w:val="00BF1F57"/>
    <w:rsid w:val="00BF20FD"/>
    <w:rsid w:val="00BF2239"/>
    <w:rsid w:val="00BF22C6"/>
    <w:rsid w:val="00BF27DD"/>
    <w:rsid w:val="00BF34C2"/>
    <w:rsid w:val="00BF3804"/>
    <w:rsid w:val="00BF3B4E"/>
    <w:rsid w:val="00BF3B89"/>
    <w:rsid w:val="00BF4086"/>
    <w:rsid w:val="00BF426C"/>
    <w:rsid w:val="00BF4594"/>
    <w:rsid w:val="00BF58D0"/>
    <w:rsid w:val="00BF6027"/>
    <w:rsid w:val="00BF6702"/>
    <w:rsid w:val="00BF7561"/>
    <w:rsid w:val="00BF7952"/>
    <w:rsid w:val="00BF7D6A"/>
    <w:rsid w:val="00C0021D"/>
    <w:rsid w:val="00C00300"/>
    <w:rsid w:val="00C0068D"/>
    <w:rsid w:val="00C00A6C"/>
    <w:rsid w:val="00C00B8B"/>
    <w:rsid w:val="00C013E1"/>
    <w:rsid w:val="00C01611"/>
    <w:rsid w:val="00C02BDB"/>
    <w:rsid w:val="00C02D59"/>
    <w:rsid w:val="00C02FE3"/>
    <w:rsid w:val="00C030B6"/>
    <w:rsid w:val="00C03284"/>
    <w:rsid w:val="00C03591"/>
    <w:rsid w:val="00C03B3A"/>
    <w:rsid w:val="00C03CD4"/>
    <w:rsid w:val="00C04694"/>
    <w:rsid w:val="00C04C52"/>
    <w:rsid w:val="00C050C4"/>
    <w:rsid w:val="00C050D7"/>
    <w:rsid w:val="00C056B6"/>
    <w:rsid w:val="00C05B5F"/>
    <w:rsid w:val="00C10086"/>
    <w:rsid w:val="00C104CC"/>
    <w:rsid w:val="00C11153"/>
    <w:rsid w:val="00C11521"/>
    <w:rsid w:val="00C142AD"/>
    <w:rsid w:val="00C142C1"/>
    <w:rsid w:val="00C14A30"/>
    <w:rsid w:val="00C152FE"/>
    <w:rsid w:val="00C15D1B"/>
    <w:rsid w:val="00C16739"/>
    <w:rsid w:val="00C168DD"/>
    <w:rsid w:val="00C176CC"/>
    <w:rsid w:val="00C20E37"/>
    <w:rsid w:val="00C21031"/>
    <w:rsid w:val="00C221B9"/>
    <w:rsid w:val="00C225EA"/>
    <w:rsid w:val="00C226E6"/>
    <w:rsid w:val="00C22CCE"/>
    <w:rsid w:val="00C232BC"/>
    <w:rsid w:val="00C23BA2"/>
    <w:rsid w:val="00C2485F"/>
    <w:rsid w:val="00C248B1"/>
    <w:rsid w:val="00C24ACA"/>
    <w:rsid w:val="00C24B63"/>
    <w:rsid w:val="00C256C3"/>
    <w:rsid w:val="00C262A0"/>
    <w:rsid w:val="00C26A4E"/>
    <w:rsid w:val="00C31195"/>
    <w:rsid w:val="00C31774"/>
    <w:rsid w:val="00C3180E"/>
    <w:rsid w:val="00C32AF2"/>
    <w:rsid w:val="00C33051"/>
    <w:rsid w:val="00C33204"/>
    <w:rsid w:val="00C338EB"/>
    <w:rsid w:val="00C34389"/>
    <w:rsid w:val="00C3465D"/>
    <w:rsid w:val="00C347D5"/>
    <w:rsid w:val="00C35C57"/>
    <w:rsid w:val="00C379E9"/>
    <w:rsid w:val="00C37C29"/>
    <w:rsid w:val="00C37EDC"/>
    <w:rsid w:val="00C403CD"/>
    <w:rsid w:val="00C4082B"/>
    <w:rsid w:val="00C40ECA"/>
    <w:rsid w:val="00C411AC"/>
    <w:rsid w:val="00C4173D"/>
    <w:rsid w:val="00C41B04"/>
    <w:rsid w:val="00C42041"/>
    <w:rsid w:val="00C42949"/>
    <w:rsid w:val="00C42BD9"/>
    <w:rsid w:val="00C43934"/>
    <w:rsid w:val="00C43935"/>
    <w:rsid w:val="00C439FB"/>
    <w:rsid w:val="00C43AA8"/>
    <w:rsid w:val="00C43F23"/>
    <w:rsid w:val="00C441A4"/>
    <w:rsid w:val="00C452E1"/>
    <w:rsid w:val="00C45C1B"/>
    <w:rsid w:val="00C463C9"/>
    <w:rsid w:val="00C46FA8"/>
    <w:rsid w:val="00C47648"/>
    <w:rsid w:val="00C47852"/>
    <w:rsid w:val="00C50011"/>
    <w:rsid w:val="00C51827"/>
    <w:rsid w:val="00C5254B"/>
    <w:rsid w:val="00C53973"/>
    <w:rsid w:val="00C5569A"/>
    <w:rsid w:val="00C55D39"/>
    <w:rsid w:val="00C55FBF"/>
    <w:rsid w:val="00C57E68"/>
    <w:rsid w:val="00C601C9"/>
    <w:rsid w:val="00C6038C"/>
    <w:rsid w:val="00C616D0"/>
    <w:rsid w:val="00C623C6"/>
    <w:rsid w:val="00C631D3"/>
    <w:rsid w:val="00C645E6"/>
    <w:rsid w:val="00C64813"/>
    <w:rsid w:val="00C64D82"/>
    <w:rsid w:val="00C64FBC"/>
    <w:rsid w:val="00C65A83"/>
    <w:rsid w:val="00C66A00"/>
    <w:rsid w:val="00C66CBE"/>
    <w:rsid w:val="00C67118"/>
    <w:rsid w:val="00C67276"/>
    <w:rsid w:val="00C67DDD"/>
    <w:rsid w:val="00C70139"/>
    <w:rsid w:val="00C7072A"/>
    <w:rsid w:val="00C7191D"/>
    <w:rsid w:val="00C72603"/>
    <w:rsid w:val="00C728C2"/>
    <w:rsid w:val="00C72C6F"/>
    <w:rsid w:val="00C73BE3"/>
    <w:rsid w:val="00C74453"/>
    <w:rsid w:val="00C7473A"/>
    <w:rsid w:val="00C75AB0"/>
    <w:rsid w:val="00C75EDE"/>
    <w:rsid w:val="00C76166"/>
    <w:rsid w:val="00C76B7B"/>
    <w:rsid w:val="00C76BBD"/>
    <w:rsid w:val="00C76DE2"/>
    <w:rsid w:val="00C772BA"/>
    <w:rsid w:val="00C77555"/>
    <w:rsid w:val="00C7770C"/>
    <w:rsid w:val="00C802D1"/>
    <w:rsid w:val="00C8036C"/>
    <w:rsid w:val="00C80CD8"/>
    <w:rsid w:val="00C80F23"/>
    <w:rsid w:val="00C81151"/>
    <w:rsid w:val="00C82AC2"/>
    <w:rsid w:val="00C82CC6"/>
    <w:rsid w:val="00C839CB"/>
    <w:rsid w:val="00C841CE"/>
    <w:rsid w:val="00C84593"/>
    <w:rsid w:val="00C850A3"/>
    <w:rsid w:val="00C85C32"/>
    <w:rsid w:val="00C85D4F"/>
    <w:rsid w:val="00C85F45"/>
    <w:rsid w:val="00C86C8C"/>
    <w:rsid w:val="00C87473"/>
    <w:rsid w:val="00C87568"/>
    <w:rsid w:val="00C87FD0"/>
    <w:rsid w:val="00C902C8"/>
    <w:rsid w:val="00C903E7"/>
    <w:rsid w:val="00C90DB6"/>
    <w:rsid w:val="00C92603"/>
    <w:rsid w:val="00C93649"/>
    <w:rsid w:val="00C9394F"/>
    <w:rsid w:val="00C93B1A"/>
    <w:rsid w:val="00C95E97"/>
    <w:rsid w:val="00C96D24"/>
    <w:rsid w:val="00C96F5F"/>
    <w:rsid w:val="00C97055"/>
    <w:rsid w:val="00C97D41"/>
    <w:rsid w:val="00CA1E82"/>
    <w:rsid w:val="00CA2B4F"/>
    <w:rsid w:val="00CA30C3"/>
    <w:rsid w:val="00CA3549"/>
    <w:rsid w:val="00CA5927"/>
    <w:rsid w:val="00CA5D23"/>
    <w:rsid w:val="00CA635E"/>
    <w:rsid w:val="00CA6BB0"/>
    <w:rsid w:val="00CA70CE"/>
    <w:rsid w:val="00CA79EC"/>
    <w:rsid w:val="00CB002C"/>
    <w:rsid w:val="00CB1E4B"/>
    <w:rsid w:val="00CB259F"/>
    <w:rsid w:val="00CB389B"/>
    <w:rsid w:val="00CB39C2"/>
    <w:rsid w:val="00CB45FC"/>
    <w:rsid w:val="00CB4C8C"/>
    <w:rsid w:val="00CB4E90"/>
    <w:rsid w:val="00CB5850"/>
    <w:rsid w:val="00CB5C99"/>
    <w:rsid w:val="00CB633B"/>
    <w:rsid w:val="00CB6782"/>
    <w:rsid w:val="00CB6E3E"/>
    <w:rsid w:val="00CB6FD3"/>
    <w:rsid w:val="00CB72CD"/>
    <w:rsid w:val="00CC080A"/>
    <w:rsid w:val="00CC09EB"/>
    <w:rsid w:val="00CC0D0F"/>
    <w:rsid w:val="00CC1275"/>
    <w:rsid w:val="00CC12EE"/>
    <w:rsid w:val="00CC5767"/>
    <w:rsid w:val="00CC5D2F"/>
    <w:rsid w:val="00CC667C"/>
    <w:rsid w:val="00CC68CC"/>
    <w:rsid w:val="00CC6CB9"/>
    <w:rsid w:val="00CC701E"/>
    <w:rsid w:val="00CC7735"/>
    <w:rsid w:val="00CD0310"/>
    <w:rsid w:val="00CD0D09"/>
    <w:rsid w:val="00CD268B"/>
    <w:rsid w:val="00CD2E48"/>
    <w:rsid w:val="00CD4826"/>
    <w:rsid w:val="00CD4E19"/>
    <w:rsid w:val="00CD6219"/>
    <w:rsid w:val="00CD700F"/>
    <w:rsid w:val="00CD70EB"/>
    <w:rsid w:val="00CD7319"/>
    <w:rsid w:val="00CD7BA2"/>
    <w:rsid w:val="00CD7DF8"/>
    <w:rsid w:val="00CE04BC"/>
    <w:rsid w:val="00CE0A6E"/>
    <w:rsid w:val="00CE148E"/>
    <w:rsid w:val="00CE208D"/>
    <w:rsid w:val="00CE242D"/>
    <w:rsid w:val="00CE2453"/>
    <w:rsid w:val="00CE356D"/>
    <w:rsid w:val="00CE3FA4"/>
    <w:rsid w:val="00CE44F8"/>
    <w:rsid w:val="00CE485F"/>
    <w:rsid w:val="00CE5277"/>
    <w:rsid w:val="00CE58F6"/>
    <w:rsid w:val="00CE5B4D"/>
    <w:rsid w:val="00CE6358"/>
    <w:rsid w:val="00CE6686"/>
    <w:rsid w:val="00CE6E97"/>
    <w:rsid w:val="00CE7868"/>
    <w:rsid w:val="00CE789A"/>
    <w:rsid w:val="00CE7968"/>
    <w:rsid w:val="00CE796C"/>
    <w:rsid w:val="00CF0DB0"/>
    <w:rsid w:val="00CF1B70"/>
    <w:rsid w:val="00CF1DD1"/>
    <w:rsid w:val="00CF2161"/>
    <w:rsid w:val="00CF2307"/>
    <w:rsid w:val="00CF26AE"/>
    <w:rsid w:val="00CF2D54"/>
    <w:rsid w:val="00CF311F"/>
    <w:rsid w:val="00CF5047"/>
    <w:rsid w:val="00D01344"/>
    <w:rsid w:val="00D01B90"/>
    <w:rsid w:val="00D024CD"/>
    <w:rsid w:val="00D0262B"/>
    <w:rsid w:val="00D02C7C"/>
    <w:rsid w:val="00D034DA"/>
    <w:rsid w:val="00D03538"/>
    <w:rsid w:val="00D0421D"/>
    <w:rsid w:val="00D046FD"/>
    <w:rsid w:val="00D047F7"/>
    <w:rsid w:val="00D049B8"/>
    <w:rsid w:val="00D04C8A"/>
    <w:rsid w:val="00D04EB2"/>
    <w:rsid w:val="00D0516C"/>
    <w:rsid w:val="00D0593F"/>
    <w:rsid w:val="00D05B56"/>
    <w:rsid w:val="00D05BBE"/>
    <w:rsid w:val="00D05C2F"/>
    <w:rsid w:val="00D05EE7"/>
    <w:rsid w:val="00D068D0"/>
    <w:rsid w:val="00D06FE0"/>
    <w:rsid w:val="00D07307"/>
    <w:rsid w:val="00D076A9"/>
    <w:rsid w:val="00D07754"/>
    <w:rsid w:val="00D078D1"/>
    <w:rsid w:val="00D07B2E"/>
    <w:rsid w:val="00D10824"/>
    <w:rsid w:val="00D1188B"/>
    <w:rsid w:val="00D1293B"/>
    <w:rsid w:val="00D129A8"/>
    <w:rsid w:val="00D12FB9"/>
    <w:rsid w:val="00D13431"/>
    <w:rsid w:val="00D135F2"/>
    <w:rsid w:val="00D13D00"/>
    <w:rsid w:val="00D147C0"/>
    <w:rsid w:val="00D15696"/>
    <w:rsid w:val="00D15C51"/>
    <w:rsid w:val="00D16C68"/>
    <w:rsid w:val="00D17FDD"/>
    <w:rsid w:val="00D200BD"/>
    <w:rsid w:val="00D200CC"/>
    <w:rsid w:val="00D201AA"/>
    <w:rsid w:val="00D204A7"/>
    <w:rsid w:val="00D20AA5"/>
    <w:rsid w:val="00D20DC4"/>
    <w:rsid w:val="00D21059"/>
    <w:rsid w:val="00D22399"/>
    <w:rsid w:val="00D26223"/>
    <w:rsid w:val="00D2662C"/>
    <w:rsid w:val="00D27FA3"/>
    <w:rsid w:val="00D30711"/>
    <w:rsid w:val="00D314FB"/>
    <w:rsid w:val="00D316D2"/>
    <w:rsid w:val="00D3176C"/>
    <w:rsid w:val="00D31B3F"/>
    <w:rsid w:val="00D31DE7"/>
    <w:rsid w:val="00D321AF"/>
    <w:rsid w:val="00D3249F"/>
    <w:rsid w:val="00D33751"/>
    <w:rsid w:val="00D34AB9"/>
    <w:rsid w:val="00D35D4A"/>
    <w:rsid w:val="00D36F6E"/>
    <w:rsid w:val="00D372B0"/>
    <w:rsid w:val="00D37343"/>
    <w:rsid w:val="00D376AD"/>
    <w:rsid w:val="00D41E6A"/>
    <w:rsid w:val="00D42034"/>
    <w:rsid w:val="00D4205E"/>
    <w:rsid w:val="00D44EB8"/>
    <w:rsid w:val="00D464AE"/>
    <w:rsid w:val="00D47399"/>
    <w:rsid w:val="00D47BB2"/>
    <w:rsid w:val="00D47D04"/>
    <w:rsid w:val="00D5056A"/>
    <w:rsid w:val="00D510A0"/>
    <w:rsid w:val="00D51F73"/>
    <w:rsid w:val="00D527EE"/>
    <w:rsid w:val="00D5286F"/>
    <w:rsid w:val="00D529C4"/>
    <w:rsid w:val="00D53929"/>
    <w:rsid w:val="00D539B5"/>
    <w:rsid w:val="00D539D0"/>
    <w:rsid w:val="00D53F2B"/>
    <w:rsid w:val="00D540DC"/>
    <w:rsid w:val="00D54CA4"/>
    <w:rsid w:val="00D55616"/>
    <w:rsid w:val="00D5574C"/>
    <w:rsid w:val="00D55DAC"/>
    <w:rsid w:val="00D561C5"/>
    <w:rsid w:val="00D5636F"/>
    <w:rsid w:val="00D57FDF"/>
    <w:rsid w:val="00D6153F"/>
    <w:rsid w:val="00D61982"/>
    <w:rsid w:val="00D61A2D"/>
    <w:rsid w:val="00D61EA9"/>
    <w:rsid w:val="00D61EFF"/>
    <w:rsid w:val="00D62655"/>
    <w:rsid w:val="00D6267A"/>
    <w:rsid w:val="00D62998"/>
    <w:rsid w:val="00D636B6"/>
    <w:rsid w:val="00D6468E"/>
    <w:rsid w:val="00D647DE"/>
    <w:rsid w:val="00D6501F"/>
    <w:rsid w:val="00D65347"/>
    <w:rsid w:val="00D6575E"/>
    <w:rsid w:val="00D67D12"/>
    <w:rsid w:val="00D700D9"/>
    <w:rsid w:val="00D70309"/>
    <w:rsid w:val="00D705FF"/>
    <w:rsid w:val="00D70B0C"/>
    <w:rsid w:val="00D70DE6"/>
    <w:rsid w:val="00D7145C"/>
    <w:rsid w:val="00D71CE0"/>
    <w:rsid w:val="00D7332F"/>
    <w:rsid w:val="00D744BC"/>
    <w:rsid w:val="00D7585A"/>
    <w:rsid w:val="00D7604B"/>
    <w:rsid w:val="00D77C53"/>
    <w:rsid w:val="00D77E96"/>
    <w:rsid w:val="00D80618"/>
    <w:rsid w:val="00D8068C"/>
    <w:rsid w:val="00D807DF"/>
    <w:rsid w:val="00D81006"/>
    <w:rsid w:val="00D82339"/>
    <w:rsid w:val="00D82494"/>
    <w:rsid w:val="00D82696"/>
    <w:rsid w:val="00D82FF2"/>
    <w:rsid w:val="00D830B9"/>
    <w:rsid w:val="00D83774"/>
    <w:rsid w:val="00D83C1D"/>
    <w:rsid w:val="00D84A4B"/>
    <w:rsid w:val="00D84E83"/>
    <w:rsid w:val="00D8555A"/>
    <w:rsid w:val="00D85631"/>
    <w:rsid w:val="00D85D98"/>
    <w:rsid w:val="00D879CB"/>
    <w:rsid w:val="00D87C11"/>
    <w:rsid w:val="00D90A81"/>
    <w:rsid w:val="00D90B7D"/>
    <w:rsid w:val="00D90B81"/>
    <w:rsid w:val="00D90CC7"/>
    <w:rsid w:val="00D90DCE"/>
    <w:rsid w:val="00D92168"/>
    <w:rsid w:val="00D9231C"/>
    <w:rsid w:val="00D92356"/>
    <w:rsid w:val="00D92A5E"/>
    <w:rsid w:val="00D935BD"/>
    <w:rsid w:val="00D93EEC"/>
    <w:rsid w:val="00D940B5"/>
    <w:rsid w:val="00D953F2"/>
    <w:rsid w:val="00D9582D"/>
    <w:rsid w:val="00D95CB0"/>
    <w:rsid w:val="00D9654F"/>
    <w:rsid w:val="00D966FE"/>
    <w:rsid w:val="00D977C0"/>
    <w:rsid w:val="00D97E14"/>
    <w:rsid w:val="00DA00A3"/>
    <w:rsid w:val="00DA13F3"/>
    <w:rsid w:val="00DA2DE3"/>
    <w:rsid w:val="00DA35D9"/>
    <w:rsid w:val="00DA3633"/>
    <w:rsid w:val="00DA400B"/>
    <w:rsid w:val="00DA4130"/>
    <w:rsid w:val="00DA4909"/>
    <w:rsid w:val="00DA5999"/>
    <w:rsid w:val="00DA6443"/>
    <w:rsid w:val="00DA6B5E"/>
    <w:rsid w:val="00DA7146"/>
    <w:rsid w:val="00DA716A"/>
    <w:rsid w:val="00DA7B82"/>
    <w:rsid w:val="00DB02EE"/>
    <w:rsid w:val="00DB0843"/>
    <w:rsid w:val="00DB1F4F"/>
    <w:rsid w:val="00DB292F"/>
    <w:rsid w:val="00DB2CD0"/>
    <w:rsid w:val="00DB344D"/>
    <w:rsid w:val="00DB37EE"/>
    <w:rsid w:val="00DB401F"/>
    <w:rsid w:val="00DB40F5"/>
    <w:rsid w:val="00DB4450"/>
    <w:rsid w:val="00DB4EE7"/>
    <w:rsid w:val="00DB5051"/>
    <w:rsid w:val="00DB5102"/>
    <w:rsid w:val="00DB521D"/>
    <w:rsid w:val="00DB5971"/>
    <w:rsid w:val="00DB5D51"/>
    <w:rsid w:val="00DB5F53"/>
    <w:rsid w:val="00DB6E27"/>
    <w:rsid w:val="00DB7B69"/>
    <w:rsid w:val="00DC0A2F"/>
    <w:rsid w:val="00DC0DBE"/>
    <w:rsid w:val="00DC1C8F"/>
    <w:rsid w:val="00DC1F57"/>
    <w:rsid w:val="00DC234A"/>
    <w:rsid w:val="00DC35DD"/>
    <w:rsid w:val="00DC41E4"/>
    <w:rsid w:val="00DC496E"/>
    <w:rsid w:val="00DC4F67"/>
    <w:rsid w:val="00DC5116"/>
    <w:rsid w:val="00DC59DF"/>
    <w:rsid w:val="00DC7C77"/>
    <w:rsid w:val="00DC7FD5"/>
    <w:rsid w:val="00DD02FF"/>
    <w:rsid w:val="00DD0925"/>
    <w:rsid w:val="00DD24F9"/>
    <w:rsid w:val="00DD26EC"/>
    <w:rsid w:val="00DD2C06"/>
    <w:rsid w:val="00DD2DFB"/>
    <w:rsid w:val="00DD3604"/>
    <w:rsid w:val="00DD3F4D"/>
    <w:rsid w:val="00DD6F2E"/>
    <w:rsid w:val="00DD72E1"/>
    <w:rsid w:val="00DD7848"/>
    <w:rsid w:val="00DD796C"/>
    <w:rsid w:val="00DD7EA2"/>
    <w:rsid w:val="00DE00F2"/>
    <w:rsid w:val="00DE1120"/>
    <w:rsid w:val="00DE117F"/>
    <w:rsid w:val="00DE22D3"/>
    <w:rsid w:val="00DE2D17"/>
    <w:rsid w:val="00DE353C"/>
    <w:rsid w:val="00DE401C"/>
    <w:rsid w:val="00DE549C"/>
    <w:rsid w:val="00DE5510"/>
    <w:rsid w:val="00DE5954"/>
    <w:rsid w:val="00DE5EC7"/>
    <w:rsid w:val="00DE6E2F"/>
    <w:rsid w:val="00DE6F47"/>
    <w:rsid w:val="00DE6FC0"/>
    <w:rsid w:val="00DE7D13"/>
    <w:rsid w:val="00DE7DD2"/>
    <w:rsid w:val="00DF1EAE"/>
    <w:rsid w:val="00DF2AF6"/>
    <w:rsid w:val="00DF2B22"/>
    <w:rsid w:val="00DF3816"/>
    <w:rsid w:val="00DF3818"/>
    <w:rsid w:val="00DF38A2"/>
    <w:rsid w:val="00DF3F94"/>
    <w:rsid w:val="00DF4369"/>
    <w:rsid w:val="00DF4B8D"/>
    <w:rsid w:val="00DF55FC"/>
    <w:rsid w:val="00DF5970"/>
    <w:rsid w:val="00DF5B14"/>
    <w:rsid w:val="00DF63FA"/>
    <w:rsid w:val="00DF66E2"/>
    <w:rsid w:val="00E001FD"/>
    <w:rsid w:val="00E00A1C"/>
    <w:rsid w:val="00E00D60"/>
    <w:rsid w:val="00E01250"/>
    <w:rsid w:val="00E012CC"/>
    <w:rsid w:val="00E0147A"/>
    <w:rsid w:val="00E01EC7"/>
    <w:rsid w:val="00E01ECC"/>
    <w:rsid w:val="00E0220A"/>
    <w:rsid w:val="00E0220E"/>
    <w:rsid w:val="00E02961"/>
    <w:rsid w:val="00E02A1E"/>
    <w:rsid w:val="00E02B71"/>
    <w:rsid w:val="00E02DEB"/>
    <w:rsid w:val="00E03999"/>
    <w:rsid w:val="00E0399E"/>
    <w:rsid w:val="00E039F9"/>
    <w:rsid w:val="00E042A1"/>
    <w:rsid w:val="00E05E82"/>
    <w:rsid w:val="00E069E3"/>
    <w:rsid w:val="00E07425"/>
    <w:rsid w:val="00E1043E"/>
    <w:rsid w:val="00E104FA"/>
    <w:rsid w:val="00E1082A"/>
    <w:rsid w:val="00E10956"/>
    <w:rsid w:val="00E10B68"/>
    <w:rsid w:val="00E110B5"/>
    <w:rsid w:val="00E11166"/>
    <w:rsid w:val="00E12818"/>
    <w:rsid w:val="00E12887"/>
    <w:rsid w:val="00E12D39"/>
    <w:rsid w:val="00E13182"/>
    <w:rsid w:val="00E13426"/>
    <w:rsid w:val="00E141AF"/>
    <w:rsid w:val="00E14523"/>
    <w:rsid w:val="00E14972"/>
    <w:rsid w:val="00E14A89"/>
    <w:rsid w:val="00E14CB9"/>
    <w:rsid w:val="00E151F2"/>
    <w:rsid w:val="00E15383"/>
    <w:rsid w:val="00E15C82"/>
    <w:rsid w:val="00E1738C"/>
    <w:rsid w:val="00E17797"/>
    <w:rsid w:val="00E17C9D"/>
    <w:rsid w:val="00E201C0"/>
    <w:rsid w:val="00E21ABD"/>
    <w:rsid w:val="00E22775"/>
    <w:rsid w:val="00E22D28"/>
    <w:rsid w:val="00E22F81"/>
    <w:rsid w:val="00E22F87"/>
    <w:rsid w:val="00E230E3"/>
    <w:rsid w:val="00E23C97"/>
    <w:rsid w:val="00E244B0"/>
    <w:rsid w:val="00E24727"/>
    <w:rsid w:val="00E24D5F"/>
    <w:rsid w:val="00E250DB"/>
    <w:rsid w:val="00E265A7"/>
    <w:rsid w:val="00E26FC5"/>
    <w:rsid w:val="00E27B80"/>
    <w:rsid w:val="00E30EDF"/>
    <w:rsid w:val="00E31B43"/>
    <w:rsid w:val="00E31FBA"/>
    <w:rsid w:val="00E326D0"/>
    <w:rsid w:val="00E33513"/>
    <w:rsid w:val="00E33A4F"/>
    <w:rsid w:val="00E33F3E"/>
    <w:rsid w:val="00E341E5"/>
    <w:rsid w:val="00E34315"/>
    <w:rsid w:val="00E35FBC"/>
    <w:rsid w:val="00E36AAE"/>
    <w:rsid w:val="00E37198"/>
    <w:rsid w:val="00E3774C"/>
    <w:rsid w:val="00E41013"/>
    <w:rsid w:val="00E41313"/>
    <w:rsid w:val="00E41773"/>
    <w:rsid w:val="00E41ACD"/>
    <w:rsid w:val="00E42FE6"/>
    <w:rsid w:val="00E43B4A"/>
    <w:rsid w:val="00E44D25"/>
    <w:rsid w:val="00E44E78"/>
    <w:rsid w:val="00E45C40"/>
    <w:rsid w:val="00E460B6"/>
    <w:rsid w:val="00E46BD2"/>
    <w:rsid w:val="00E46CF3"/>
    <w:rsid w:val="00E473D4"/>
    <w:rsid w:val="00E474CF"/>
    <w:rsid w:val="00E513F6"/>
    <w:rsid w:val="00E51A4C"/>
    <w:rsid w:val="00E51EC6"/>
    <w:rsid w:val="00E5203E"/>
    <w:rsid w:val="00E52F3B"/>
    <w:rsid w:val="00E52F80"/>
    <w:rsid w:val="00E53BEE"/>
    <w:rsid w:val="00E53D94"/>
    <w:rsid w:val="00E53DEA"/>
    <w:rsid w:val="00E5424B"/>
    <w:rsid w:val="00E544BA"/>
    <w:rsid w:val="00E55B64"/>
    <w:rsid w:val="00E573EF"/>
    <w:rsid w:val="00E616DB"/>
    <w:rsid w:val="00E62442"/>
    <w:rsid w:val="00E627A4"/>
    <w:rsid w:val="00E62A5E"/>
    <w:rsid w:val="00E630ED"/>
    <w:rsid w:val="00E6395F"/>
    <w:rsid w:val="00E6437C"/>
    <w:rsid w:val="00E65237"/>
    <w:rsid w:val="00E66367"/>
    <w:rsid w:val="00E67862"/>
    <w:rsid w:val="00E67ADD"/>
    <w:rsid w:val="00E70ACF"/>
    <w:rsid w:val="00E70D46"/>
    <w:rsid w:val="00E712A9"/>
    <w:rsid w:val="00E713BC"/>
    <w:rsid w:val="00E72444"/>
    <w:rsid w:val="00E726A8"/>
    <w:rsid w:val="00E72D3D"/>
    <w:rsid w:val="00E72E07"/>
    <w:rsid w:val="00E72EAD"/>
    <w:rsid w:val="00E7410F"/>
    <w:rsid w:val="00E74EC5"/>
    <w:rsid w:val="00E75161"/>
    <w:rsid w:val="00E76B86"/>
    <w:rsid w:val="00E773F4"/>
    <w:rsid w:val="00E8000D"/>
    <w:rsid w:val="00E809F3"/>
    <w:rsid w:val="00E80C21"/>
    <w:rsid w:val="00E820BD"/>
    <w:rsid w:val="00E8227B"/>
    <w:rsid w:val="00E8342F"/>
    <w:rsid w:val="00E84210"/>
    <w:rsid w:val="00E844CD"/>
    <w:rsid w:val="00E847A7"/>
    <w:rsid w:val="00E84FE5"/>
    <w:rsid w:val="00E860D6"/>
    <w:rsid w:val="00E86682"/>
    <w:rsid w:val="00E86E79"/>
    <w:rsid w:val="00E87EC9"/>
    <w:rsid w:val="00E9048D"/>
    <w:rsid w:val="00E906B4"/>
    <w:rsid w:val="00E9095B"/>
    <w:rsid w:val="00E9145E"/>
    <w:rsid w:val="00E91B24"/>
    <w:rsid w:val="00E91B2B"/>
    <w:rsid w:val="00E91D76"/>
    <w:rsid w:val="00E926B8"/>
    <w:rsid w:val="00E927BF"/>
    <w:rsid w:val="00E92920"/>
    <w:rsid w:val="00E92B70"/>
    <w:rsid w:val="00E92EEF"/>
    <w:rsid w:val="00E936DA"/>
    <w:rsid w:val="00E9399B"/>
    <w:rsid w:val="00E939A7"/>
    <w:rsid w:val="00E93A27"/>
    <w:rsid w:val="00E94008"/>
    <w:rsid w:val="00E94762"/>
    <w:rsid w:val="00E94884"/>
    <w:rsid w:val="00E94BDB"/>
    <w:rsid w:val="00E95208"/>
    <w:rsid w:val="00E956BA"/>
    <w:rsid w:val="00E96B52"/>
    <w:rsid w:val="00EA0018"/>
    <w:rsid w:val="00EA08BE"/>
    <w:rsid w:val="00EA0A85"/>
    <w:rsid w:val="00EA14B0"/>
    <w:rsid w:val="00EA2244"/>
    <w:rsid w:val="00EA4DDC"/>
    <w:rsid w:val="00EA6FA7"/>
    <w:rsid w:val="00EB067F"/>
    <w:rsid w:val="00EB150C"/>
    <w:rsid w:val="00EB17BE"/>
    <w:rsid w:val="00EB1A1B"/>
    <w:rsid w:val="00EB1F02"/>
    <w:rsid w:val="00EB2A00"/>
    <w:rsid w:val="00EB2E64"/>
    <w:rsid w:val="00EB2FEF"/>
    <w:rsid w:val="00EB3290"/>
    <w:rsid w:val="00EB3F7A"/>
    <w:rsid w:val="00EB46B9"/>
    <w:rsid w:val="00EB57EA"/>
    <w:rsid w:val="00EB5BC5"/>
    <w:rsid w:val="00EB6212"/>
    <w:rsid w:val="00EB6BB5"/>
    <w:rsid w:val="00EB6E30"/>
    <w:rsid w:val="00EB6FD5"/>
    <w:rsid w:val="00EB73BC"/>
    <w:rsid w:val="00EB7618"/>
    <w:rsid w:val="00EB7A2E"/>
    <w:rsid w:val="00EB7B51"/>
    <w:rsid w:val="00EB7F93"/>
    <w:rsid w:val="00EC086C"/>
    <w:rsid w:val="00EC1720"/>
    <w:rsid w:val="00EC2DB7"/>
    <w:rsid w:val="00EC337D"/>
    <w:rsid w:val="00EC42D0"/>
    <w:rsid w:val="00EC4AF6"/>
    <w:rsid w:val="00EC5256"/>
    <w:rsid w:val="00EC549A"/>
    <w:rsid w:val="00EC57B0"/>
    <w:rsid w:val="00EC5D33"/>
    <w:rsid w:val="00EC638F"/>
    <w:rsid w:val="00EC68BF"/>
    <w:rsid w:val="00EC7927"/>
    <w:rsid w:val="00ED095E"/>
    <w:rsid w:val="00ED1A0B"/>
    <w:rsid w:val="00ED27DD"/>
    <w:rsid w:val="00ED312F"/>
    <w:rsid w:val="00ED31E5"/>
    <w:rsid w:val="00ED4CA3"/>
    <w:rsid w:val="00ED4E9C"/>
    <w:rsid w:val="00ED5162"/>
    <w:rsid w:val="00ED697C"/>
    <w:rsid w:val="00EE06CA"/>
    <w:rsid w:val="00EE1E0C"/>
    <w:rsid w:val="00EE43AD"/>
    <w:rsid w:val="00EE4874"/>
    <w:rsid w:val="00EE48D6"/>
    <w:rsid w:val="00EE4A6E"/>
    <w:rsid w:val="00EE4AB9"/>
    <w:rsid w:val="00EE4BAB"/>
    <w:rsid w:val="00EE4D3B"/>
    <w:rsid w:val="00EE511D"/>
    <w:rsid w:val="00EE6FC6"/>
    <w:rsid w:val="00EE7922"/>
    <w:rsid w:val="00EE79A6"/>
    <w:rsid w:val="00EF11DF"/>
    <w:rsid w:val="00EF130D"/>
    <w:rsid w:val="00EF2E26"/>
    <w:rsid w:val="00EF30E0"/>
    <w:rsid w:val="00EF3A81"/>
    <w:rsid w:val="00EF3D05"/>
    <w:rsid w:val="00EF42CF"/>
    <w:rsid w:val="00EF45D8"/>
    <w:rsid w:val="00EF5403"/>
    <w:rsid w:val="00EF567D"/>
    <w:rsid w:val="00EF5B08"/>
    <w:rsid w:val="00EF5F11"/>
    <w:rsid w:val="00EF5FA8"/>
    <w:rsid w:val="00EF6111"/>
    <w:rsid w:val="00EF6CFA"/>
    <w:rsid w:val="00F005A0"/>
    <w:rsid w:val="00F01835"/>
    <w:rsid w:val="00F01891"/>
    <w:rsid w:val="00F01DE9"/>
    <w:rsid w:val="00F0229D"/>
    <w:rsid w:val="00F02B1B"/>
    <w:rsid w:val="00F0322F"/>
    <w:rsid w:val="00F032BB"/>
    <w:rsid w:val="00F032C8"/>
    <w:rsid w:val="00F03522"/>
    <w:rsid w:val="00F03567"/>
    <w:rsid w:val="00F03DD3"/>
    <w:rsid w:val="00F04BBE"/>
    <w:rsid w:val="00F0580C"/>
    <w:rsid w:val="00F06616"/>
    <w:rsid w:val="00F07485"/>
    <w:rsid w:val="00F07EDE"/>
    <w:rsid w:val="00F10BC6"/>
    <w:rsid w:val="00F11352"/>
    <w:rsid w:val="00F11AD0"/>
    <w:rsid w:val="00F12313"/>
    <w:rsid w:val="00F13D34"/>
    <w:rsid w:val="00F14308"/>
    <w:rsid w:val="00F14602"/>
    <w:rsid w:val="00F1498D"/>
    <w:rsid w:val="00F14DDF"/>
    <w:rsid w:val="00F152AD"/>
    <w:rsid w:val="00F15BA3"/>
    <w:rsid w:val="00F15D52"/>
    <w:rsid w:val="00F165B7"/>
    <w:rsid w:val="00F1722F"/>
    <w:rsid w:val="00F20C9C"/>
    <w:rsid w:val="00F21827"/>
    <w:rsid w:val="00F21A00"/>
    <w:rsid w:val="00F2285F"/>
    <w:rsid w:val="00F23155"/>
    <w:rsid w:val="00F23EE4"/>
    <w:rsid w:val="00F24236"/>
    <w:rsid w:val="00F24E0E"/>
    <w:rsid w:val="00F2525F"/>
    <w:rsid w:val="00F25504"/>
    <w:rsid w:val="00F25707"/>
    <w:rsid w:val="00F26693"/>
    <w:rsid w:val="00F26A13"/>
    <w:rsid w:val="00F26CEB"/>
    <w:rsid w:val="00F27D3B"/>
    <w:rsid w:val="00F30F7A"/>
    <w:rsid w:val="00F3106C"/>
    <w:rsid w:val="00F31261"/>
    <w:rsid w:val="00F31334"/>
    <w:rsid w:val="00F31BB3"/>
    <w:rsid w:val="00F31C67"/>
    <w:rsid w:val="00F323C3"/>
    <w:rsid w:val="00F32A15"/>
    <w:rsid w:val="00F32C93"/>
    <w:rsid w:val="00F32EE6"/>
    <w:rsid w:val="00F32F3C"/>
    <w:rsid w:val="00F339EC"/>
    <w:rsid w:val="00F33D3D"/>
    <w:rsid w:val="00F3414F"/>
    <w:rsid w:val="00F3443B"/>
    <w:rsid w:val="00F34FDD"/>
    <w:rsid w:val="00F35279"/>
    <w:rsid w:val="00F35CC2"/>
    <w:rsid w:val="00F35F1A"/>
    <w:rsid w:val="00F36130"/>
    <w:rsid w:val="00F36278"/>
    <w:rsid w:val="00F3644F"/>
    <w:rsid w:val="00F36B71"/>
    <w:rsid w:val="00F373AE"/>
    <w:rsid w:val="00F37D22"/>
    <w:rsid w:val="00F4032F"/>
    <w:rsid w:val="00F40360"/>
    <w:rsid w:val="00F40444"/>
    <w:rsid w:val="00F40CE6"/>
    <w:rsid w:val="00F40EC2"/>
    <w:rsid w:val="00F41B59"/>
    <w:rsid w:val="00F42099"/>
    <w:rsid w:val="00F423BD"/>
    <w:rsid w:val="00F42AFB"/>
    <w:rsid w:val="00F42ED8"/>
    <w:rsid w:val="00F431C5"/>
    <w:rsid w:val="00F432FF"/>
    <w:rsid w:val="00F433C2"/>
    <w:rsid w:val="00F4457F"/>
    <w:rsid w:val="00F44B9C"/>
    <w:rsid w:val="00F456D2"/>
    <w:rsid w:val="00F45B08"/>
    <w:rsid w:val="00F46431"/>
    <w:rsid w:val="00F46523"/>
    <w:rsid w:val="00F469AD"/>
    <w:rsid w:val="00F46B4B"/>
    <w:rsid w:val="00F4715C"/>
    <w:rsid w:val="00F47C9F"/>
    <w:rsid w:val="00F5070F"/>
    <w:rsid w:val="00F50CE8"/>
    <w:rsid w:val="00F51361"/>
    <w:rsid w:val="00F52330"/>
    <w:rsid w:val="00F525CE"/>
    <w:rsid w:val="00F54603"/>
    <w:rsid w:val="00F54772"/>
    <w:rsid w:val="00F54869"/>
    <w:rsid w:val="00F556B2"/>
    <w:rsid w:val="00F56024"/>
    <w:rsid w:val="00F565E8"/>
    <w:rsid w:val="00F56CB4"/>
    <w:rsid w:val="00F5754B"/>
    <w:rsid w:val="00F576DE"/>
    <w:rsid w:val="00F57747"/>
    <w:rsid w:val="00F578BC"/>
    <w:rsid w:val="00F633F1"/>
    <w:rsid w:val="00F63BF7"/>
    <w:rsid w:val="00F6453E"/>
    <w:rsid w:val="00F65215"/>
    <w:rsid w:val="00F655C6"/>
    <w:rsid w:val="00F65617"/>
    <w:rsid w:val="00F65A88"/>
    <w:rsid w:val="00F66494"/>
    <w:rsid w:val="00F66E76"/>
    <w:rsid w:val="00F700B9"/>
    <w:rsid w:val="00F7011F"/>
    <w:rsid w:val="00F710BE"/>
    <w:rsid w:val="00F71BF5"/>
    <w:rsid w:val="00F72016"/>
    <w:rsid w:val="00F72C08"/>
    <w:rsid w:val="00F72DAD"/>
    <w:rsid w:val="00F736D2"/>
    <w:rsid w:val="00F74CEE"/>
    <w:rsid w:val="00F7564C"/>
    <w:rsid w:val="00F759AD"/>
    <w:rsid w:val="00F76220"/>
    <w:rsid w:val="00F769BE"/>
    <w:rsid w:val="00F7735C"/>
    <w:rsid w:val="00F77BD5"/>
    <w:rsid w:val="00F8108B"/>
    <w:rsid w:val="00F82D85"/>
    <w:rsid w:val="00F82E6B"/>
    <w:rsid w:val="00F83662"/>
    <w:rsid w:val="00F838C0"/>
    <w:rsid w:val="00F85F83"/>
    <w:rsid w:val="00F86374"/>
    <w:rsid w:val="00F86739"/>
    <w:rsid w:val="00F87E7F"/>
    <w:rsid w:val="00F90D75"/>
    <w:rsid w:val="00F91049"/>
    <w:rsid w:val="00F912FD"/>
    <w:rsid w:val="00F91D43"/>
    <w:rsid w:val="00F92B65"/>
    <w:rsid w:val="00F9367F"/>
    <w:rsid w:val="00F9512B"/>
    <w:rsid w:val="00F95411"/>
    <w:rsid w:val="00F9619C"/>
    <w:rsid w:val="00F96339"/>
    <w:rsid w:val="00F9759C"/>
    <w:rsid w:val="00F97859"/>
    <w:rsid w:val="00F97973"/>
    <w:rsid w:val="00F97B71"/>
    <w:rsid w:val="00FA06A3"/>
    <w:rsid w:val="00FA0E23"/>
    <w:rsid w:val="00FA1506"/>
    <w:rsid w:val="00FA230F"/>
    <w:rsid w:val="00FA2CFC"/>
    <w:rsid w:val="00FA2DDA"/>
    <w:rsid w:val="00FA34CA"/>
    <w:rsid w:val="00FA3E3E"/>
    <w:rsid w:val="00FA4A55"/>
    <w:rsid w:val="00FA4D4F"/>
    <w:rsid w:val="00FA54E8"/>
    <w:rsid w:val="00FA595E"/>
    <w:rsid w:val="00FA5FE8"/>
    <w:rsid w:val="00FA668B"/>
    <w:rsid w:val="00FA67CF"/>
    <w:rsid w:val="00FA6F6C"/>
    <w:rsid w:val="00FA7659"/>
    <w:rsid w:val="00FA7F6F"/>
    <w:rsid w:val="00FB10EC"/>
    <w:rsid w:val="00FB2D17"/>
    <w:rsid w:val="00FB2F69"/>
    <w:rsid w:val="00FB368B"/>
    <w:rsid w:val="00FB3A3A"/>
    <w:rsid w:val="00FB4217"/>
    <w:rsid w:val="00FB4379"/>
    <w:rsid w:val="00FB45FF"/>
    <w:rsid w:val="00FB542A"/>
    <w:rsid w:val="00FB55D8"/>
    <w:rsid w:val="00FB5D97"/>
    <w:rsid w:val="00FB61EA"/>
    <w:rsid w:val="00FB6C7A"/>
    <w:rsid w:val="00FB732E"/>
    <w:rsid w:val="00FB79F7"/>
    <w:rsid w:val="00FC09E7"/>
    <w:rsid w:val="00FC1CA5"/>
    <w:rsid w:val="00FC1D8E"/>
    <w:rsid w:val="00FC24EB"/>
    <w:rsid w:val="00FC2733"/>
    <w:rsid w:val="00FC2979"/>
    <w:rsid w:val="00FC5041"/>
    <w:rsid w:val="00FC5407"/>
    <w:rsid w:val="00FC5615"/>
    <w:rsid w:val="00FC6D6C"/>
    <w:rsid w:val="00FC6E91"/>
    <w:rsid w:val="00FC71A8"/>
    <w:rsid w:val="00FD1BEF"/>
    <w:rsid w:val="00FD1C3C"/>
    <w:rsid w:val="00FD24F6"/>
    <w:rsid w:val="00FD2DB1"/>
    <w:rsid w:val="00FD38A8"/>
    <w:rsid w:val="00FD3A23"/>
    <w:rsid w:val="00FD5348"/>
    <w:rsid w:val="00FD6AC8"/>
    <w:rsid w:val="00FD6ADD"/>
    <w:rsid w:val="00FE06DF"/>
    <w:rsid w:val="00FE0A6C"/>
    <w:rsid w:val="00FE1727"/>
    <w:rsid w:val="00FE1738"/>
    <w:rsid w:val="00FE225B"/>
    <w:rsid w:val="00FE326E"/>
    <w:rsid w:val="00FE3638"/>
    <w:rsid w:val="00FE3D09"/>
    <w:rsid w:val="00FE3EA1"/>
    <w:rsid w:val="00FE4818"/>
    <w:rsid w:val="00FE4CA4"/>
    <w:rsid w:val="00FE5AE4"/>
    <w:rsid w:val="00FE5D80"/>
    <w:rsid w:val="00FE637F"/>
    <w:rsid w:val="00FE64EE"/>
    <w:rsid w:val="00FE73F7"/>
    <w:rsid w:val="00FE745E"/>
    <w:rsid w:val="00FE7865"/>
    <w:rsid w:val="00FF05DE"/>
    <w:rsid w:val="00FF06C4"/>
    <w:rsid w:val="00FF0BB0"/>
    <w:rsid w:val="00FF1342"/>
    <w:rsid w:val="00FF1513"/>
    <w:rsid w:val="00FF1577"/>
    <w:rsid w:val="00FF17DD"/>
    <w:rsid w:val="00FF2145"/>
    <w:rsid w:val="00FF314D"/>
    <w:rsid w:val="00FF3334"/>
    <w:rsid w:val="00FF4946"/>
    <w:rsid w:val="00FF50AB"/>
    <w:rsid w:val="00FF54A3"/>
    <w:rsid w:val="00FF5733"/>
    <w:rsid w:val="00FF59BE"/>
    <w:rsid w:val="00FF5BA7"/>
    <w:rsid w:val="00FF6267"/>
    <w:rsid w:val="00FF64CC"/>
    <w:rsid w:val="00FF6ADB"/>
    <w:rsid w:val="00FF6C36"/>
    <w:rsid w:val="00FF6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21E50595-9D19-426D-94DF-5B720AF95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paragraph" w:styleId="40">
    <w:name w:val="heading 4"/>
    <w:basedOn w:val="a"/>
    <w:next w:val="a"/>
    <w:link w:val="4Char"/>
    <w:unhideWhenUsed/>
    <w:qFormat/>
    <w:locked/>
    <w:rsid w:val="0091064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4">
    <w:name w:val="Balloon Text"/>
    <w:basedOn w:val="a"/>
    <w:link w:val="Char"/>
    <w:uiPriority w:val="99"/>
    <w:semiHidden/>
    <w:rsid w:val="00FB732E"/>
    <w:rPr>
      <w:sz w:val="18"/>
      <w:szCs w:val="18"/>
    </w:rPr>
  </w:style>
  <w:style w:type="character" w:customStyle="1" w:styleId="Char">
    <w:name w:val="批注框文本 Char"/>
    <w:link w:val="a4"/>
    <w:uiPriority w:val="99"/>
    <w:semiHidden/>
    <w:locked/>
    <w:rsid w:val="006D141C"/>
    <w:rPr>
      <w:rFonts w:cs="Times New Roman"/>
      <w:kern w:val="2"/>
      <w:sz w:val="18"/>
      <w:szCs w:val="18"/>
    </w:rPr>
  </w:style>
  <w:style w:type="paragraph" w:styleId="a0">
    <w:name w:val="Normal Indent"/>
    <w:basedOn w:val="a"/>
    <w:uiPriority w:val="99"/>
    <w:rsid w:val="00FB732E"/>
    <w:pPr>
      <w:ind w:firstLineChars="200" w:firstLine="420"/>
    </w:pPr>
  </w:style>
  <w:style w:type="paragraph" w:styleId="a5">
    <w:name w:val="Body Text Indent"/>
    <w:basedOn w:val="a"/>
    <w:link w:val="Char0"/>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0">
    <w:name w:val="正文文本缩进 Char"/>
    <w:link w:val="a5"/>
    <w:uiPriority w:val="99"/>
    <w:locked/>
    <w:rsid w:val="006D141C"/>
    <w:rPr>
      <w:rFonts w:ascii="Arial Unicode MS" w:eastAsia="Times New Roman" w:hAnsi="Arial Unicode MS" w:cs="Arial Unicode MS"/>
      <w:sz w:val="24"/>
      <w:szCs w:val="24"/>
    </w:rPr>
  </w:style>
  <w:style w:type="paragraph" w:styleId="a6">
    <w:name w:val="Plain Text"/>
    <w:basedOn w:val="a"/>
    <w:link w:val="Char1"/>
    <w:uiPriority w:val="99"/>
    <w:rsid w:val="00FB732E"/>
    <w:rPr>
      <w:rFonts w:ascii="宋体" w:hAnsi="Courier New"/>
      <w:szCs w:val="21"/>
    </w:rPr>
  </w:style>
  <w:style w:type="character" w:customStyle="1" w:styleId="Char1">
    <w:name w:val="纯文本 Char"/>
    <w:link w:val="a6"/>
    <w:uiPriority w:val="99"/>
    <w:locked/>
    <w:rsid w:val="00586E9A"/>
    <w:rPr>
      <w:rFonts w:ascii="宋体" w:hAnsi="Courier New"/>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uiPriority w:val="99"/>
    <w:locked/>
    <w:rsid w:val="006D141C"/>
    <w:rPr>
      <w:rFonts w:ascii="宋体" w:eastAsia="宋体" w:cs="Times New Roman"/>
      <w:color w:val="FF0000"/>
      <w:kern w:val="2"/>
      <w:sz w:val="24"/>
      <w:szCs w:val="24"/>
    </w:rPr>
  </w:style>
  <w:style w:type="paragraph" w:styleId="a7">
    <w:name w:val="footer"/>
    <w:basedOn w:val="a"/>
    <w:link w:val="Char2"/>
    <w:uiPriority w:val="99"/>
    <w:rsid w:val="00FB732E"/>
    <w:pPr>
      <w:tabs>
        <w:tab w:val="center" w:pos="4153"/>
        <w:tab w:val="right" w:pos="8306"/>
      </w:tabs>
      <w:snapToGrid w:val="0"/>
      <w:jc w:val="left"/>
    </w:pPr>
    <w:rPr>
      <w:sz w:val="18"/>
      <w:szCs w:val="18"/>
    </w:rPr>
  </w:style>
  <w:style w:type="character" w:customStyle="1" w:styleId="Char2">
    <w:name w:val="页脚 Char"/>
    <w:link w:val="a7"/>
    <w:uiPriority w:val="99"/>
    <w:locked/>
    <w:rsid w:val="006D141C"/>
    <w:rPr>
      <w:rFonts w:cs="Times New Roman"/>
      <w:kern w:val="2"/>
      <w:sz w:val="18"/>
      <w:szCs w:val="18"/>
    </w:rPr>
  </w:style>
  <w:style w:type="character" w:styleId="a8">
    <w:name w:val="page number"/>
    <w:uiPriority w:val="99"/>
    <w:rsid w:val="00FB732E"/>
    <w:rPr>
      <w:rFonts w:cs="Times New Roman"/>
    </w:rPr>
  </w:style>
  <w:style w:type="character" w:styleId="a9">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a">
    <w:name w:val="header"/>
    <w:basedOn w:val="a"/>
    <w:link w:val="Char3"/>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a"/>
    <w:uiPriority w:val="99"/>
    <w:locked/>
    <w:rsid w:val="006D141C"/>
    <w:rPr>
      <w:rFonts w:cs="Times New Roman"/>
      <w:kern w:val="2"/>
      <w:sz w:val="18"/>
      <w:szCs w:val="18"/>
    </w:rPr>
  </w:style>
  <w:style w:type="character" w:styleId="ab">
    <w:name w:val="FollowedHyperlink"/>
    <w:uiPriority w:val="99"/>
    <w:rsid w:val="00FB732E"/>
    <w:rPr>
      <w:rFonts w:cs="Times New Roman"/>
      <w:color w:val="800080"/>
      <w:u w:val="single"/>
    </w:rPr>
  </w:style>
  <w:style w:type="paragraph" w:styleId="ac">
    <w:name w:val="List"/>
    <w:basedOn w:val="ad"/>
    <w:uiPriority w:val="99"/>
    <w:rsid w:val="00FB732E"/>
    <w:pPr>
      <w:spacing w:after="220" w:line="220" w:lineRule="atLeast"/>
      <w:ind w:left="1440" w:hanging="360"/>
    </w:pPr>
    <w:rPr>
      <w:szCs w:val="20"/>
    </w:rPr>
  </w:style>
  <w:style w:type="paragraph" w:styleId="ad">
    <w:name w:val="Body Text"/>
    <w:basedOn w:val="a"/>
    <w:link w:val="Char4"/>
    <w:uiPriority w:val="99"/>
    <w:rsid w:val="00FB732E"/>
    <w:pPr>
      <w:spacing w:after="120"/>
    </w:pPr>
  </w:style>
  <w:style w:type="character" w:customStyle="1" w:styleId="Char4">
    <w:name w:val="正文文本 Char"/>
    <w:link w:val="ad"/>
    <w:uiPriority w:val="99"/>
    <w:locked/>
    <w:rsid w:val="006D141C"/>
    <w:rPr>
      <w:rFonts w:cs="Times New Roman"/>
      <w:kern w:val="2"/>
      <w:sz w:val="24"/>
      <w:szCs w:val="24"/>
    </w:rPr>
  </w:style>
  <w:style w:type="paragraph" w:styleId="ae">
    <w:name w:val="Date"/>
    <w:basedOn w:val="a"/>
    <w:next w:val="a"/>
    <w:link w:val="Char5"/>
    <w:uiPriority w:val="99"/>
    <w:rsid w:val="00FB732E"/>
    <w:rPr>
      <w:sz w:val="24"/>
      <w:szCs w:val="20"/>
    </w:rPr>
  </w:style>
  <w:style w:type="character" w:customStyle="1" w:styleId="Char5">
    <w:name w:val="日期 Char"/>
    <w:link w:val="ae"/>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semiHidden/>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link w:val="2Char1"/>
    <w:autoRedefine/>
    <w:uiPriority w:val="39"/>
    <w:qFormat/>
    <w:rsid w:val="003D3725"/>
    <w:pPr>
      <w:tabs>
        <w:tab w:val="left" w:pos="1260"/>
        <w:tab w:val="right" w:leader="dot" w:pos="9072"/>
      </w:tabs>
      <w:ind w:leftChars="200" w:left="20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937FC6"/>
    <w:pPr>
      <w:tabs>
        <w:tab w:val="left" w:pos="420"/>
        <w:tab w:val="right" w:leader="dot" w:pos="9072"/>
      </w:tabs>
    </w:pPr>
  </w:style>
  <w:style w:type="paragraph" w:styleId="32">
    <w:name w:val="toc 3"/>
    <w:basedOn w:val="a"/>
    <w:next w:val="a"/>
    <w:autoRedefine/>
    <w:uiPriority w:val="99"/>
    <w:semiHidden/>
    <w:qFormat/>
    <w:rsid w:val="003D3725"/>
    <w:pPr>
      <w:ind w:leftChars="400" w:left="40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styleId="TOC">
    <w:name w:val="TOC Heading"/>
    <w:basedOn w:val="1"/>
    <w:next w:val="a"/>
    <w:uiPriority w:val="99"/>
    <w:qFormat/>
    <w:rsid w:val="00B60A44"/>
    <w:pPr>
      <w:keepNext/>
      <w:keepLines/>
      <w:spacing w:before="480" w:line="276" w:lineRule="auto"/>
      <w:outlineLvl w:val="9"/>
    </w:pPr>
    <w:rPr>
      <w:rFonts w:ascii="Cambria" w:hAnsi="Cambria"/>
      <w:b/>
      <w:bCs/>
      <w:color w:val="365F91"/>
      <w:sz w:val="28"/>
      <w:szCs w:val="28"/>
      <w:lang w:val="en-US"/>
    </w:rPr>
  </w:style>
  <w:style w:type="numbering" w:customStyle="1" w:styleId="5">
    <w:name w:val="样式5"/>
    <w:rsid w:val="00CB660F"/>
    <w:pPr>
      <w:numPr>
        <w:numId w:val="8"/>
      </w:numPr>
    </w:pPr>
  </w:style>
  <w:style w:type="numbering" w:customStyle="1" w:styleId="3">
    <w:name w:val="样式3"/>
    <w:rsid w:val="00CB660F"/>
    <w:pPr>
      <w:numPr>
        <w:numId w:val="7"/>
      </w:numPr>
    </w:pPr>
  </w:style>
  <w:style w:type="numbering" w:customStyle="1" w:styleId="4">
    <w:name w:val="样式4"/>
    <w:rsid w:val="00CB660F"/>
    <w:pPr>
      <w:numPr>
        <w:numId w:val="9"/>
      </w:numPr>
    </w:pPr>
  </w:style>
  <w:style w:type="numbering" w:customStyle="1" w:styleId="2">
    <w:name w:val="样式2"/>
    <w:rsid w:val="00CB660F"/>
    <w:pPr>
      <w:numPr>
        <w:numId w:val="16"/>
      </w:numPr>
    </w:pPr>
  </w:style>
  <w:style w:type="character" w:styleId="af8">
    <w:name w:val="Strong"/>
    <w:basedOn w:val="a1"/>
    <w:uiPriority w:val="22"/>
    <w:qFormat/>
    <w:locked/>
    <w:rsid w:val="00490561"/>
    <w:rPr>
      <w:b/>
      <w:bCs/>
    </w:rPr>
  </w:style>
  <w:style w:type="paragraph" w:customStyle="1" w:styleId="af9">
    <w:name w:val="目录模式"/>
    <w:basedOn w:val="22"/>
    <w:link w:val="Charb"/>
    <w:qFormat/>
    <w:rsid w:val="00F655C6"/>
    <w:rPr>
      <w:rFonts w:ascii="宋体" w:hAnsi="宋体"/>
      <w:noProof/>
      <w:szCs w:val="24"/>
    </w:rPr>
  </w:style>
  <w:style w:type="paragraph" w:customStyle="1" w:styleId="12">
    <w:name w:val="样式1"/>
    <w:basedOn w:val="22"/>
    <w:link w:val="1Char0"/>
    <w:autoRedefine/>
    <w:qFormat/>
    <w:rsid w:val="00F655C6"/>
    <w:rPr>
      <w:rFonts w:ascii="宋体" w:hAnsi="宋体"/>
      <w:noProof/>
      <w:szCs w:val="24"/>
    </w:rPr>
  </w:style>
  <w:style w:type="character" w:customStyle="1" w:styleId="2Char1">
    <w:name w:val="目录 2 Char"/>
    <w:basedOn w:val="a1"/>
    <w:link w:val="22"/>
    <w:uiPriority w:val="99"/>
    <w:rsid w:val="003D3725"/>
    <w:rPr>
      <w:sz w:val="21"/>
      <w:szCs w:val="21"/>
    </w:rPr>
  </w:style>
  <w:style w:type="character" w:customStyle="1" w:styleId="Charb">
    <w:name w:val="目录模式 Char"/>
    <w:basedOn w:val="2Char1"/>
    <w:link w:val="af9"/>
    <w:rsid w:val="00F655C6"/>
    <w:rPr>
      <w:rFonts w:ascii="宋体" w:hAnsi="宋体"/>
      <w:noProof/>
      <w:sz w:val="24"/>
      <w:szCs w:val="24"/>
    </w:rPr>
  </w:style>
  <w:style w:type="character" w:customStyle="1" w:styleId="1Char0">
    <w:name w:val="样式1 Char"/>
    <w:basedOn w:val="2Char1"/>
    <w:link w:val="12"/>
    <w:rsid w:val="00F655C6"/>
    <w:rPr>
      <w:rFonts w:ascii="宋体" w:hAnsi="宋体"/>
      <w:noProof/>
      <w:sz w:val="24"/>
      <w:szCs w:val="24"/>
    </w:rPr>
  </w:style>
  <w:style w:type="character" w:customStyle="1" w:styleId="4Char">
    <w:name w:val="标题 4 Char"/>
    <w:basedOn w:val="a1"/>
    <w:link w:val="40"/>
    <w:rsid w:val="00910642"/>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123387">
      <w:marLeft w:val="0"/>
      <w:marRight w:val="0"/>
      <w:marTop w:val="0"/>
      <w:marBottom w:val="0"/>
      <w:divBdr>
        <w:top w:val="none" w:sz="0" w:space="0" w:color="auto"/>
        <w:left w:val="none" w:sz="0" w:space="0" w:color="auto"/>
        <w:bottom w:val="none" w:sz="0" w:space="0" w:color="auto"/>
        <w:right w:val="none" w:sz="0" w:space="0" w:color="auto"/>
      </w:divBdr>
    </w:div>
    <w:div w:id="213123388">
      <w:marLeft w:val="0"/>
      <w:marRight w:val="0"/>
      <w:marTop w:val="0"/>
      <w:marBottom w:val="0"/>
      <w:divBdr>
        <w:top w:val="none" w:sz="0" w:space="0" w:color="auto"/>
        <w:left w:val="none" w:sz="0" w:space="0" w:color="auto"/>
        <w:bottom w:val="none" w:sz="0" w:space="0" w:color="auto"/>
        <w:right w:val="none" w:sz="0" w:space="0" w:color="auto"/>
      </w:divBdr>
    </w:div>
    <w:div w:id="213123389">
      <w:marLeft w:val="0"/>
      <w:marRight w:val="0"/>
      <w:marTop w:val="0"/>
      <w:marBottom w:val="0"/>
      <w:divBdr>
        <w:top w:val="none" w:sz="0" w:space="0" w:color="auto"/>
        <w:left w:val="none" w:sz="0" w:space="0" w:color="auto"/>
        <w:bottom w:val="none" w:sz="0" w:space="0" w:color="auto"/>
        <w:right w:val="none" w:sz="0" w:space="0" w:color="auto"/>
      </w:divBdr>
    </w:div>
    <w:div w:id="213123390">
      <w:marLeft w:val="0"/>
      <w:marRight w:val="0"/>
      <w:marTop w:val="0"/>
      <w:marBottom w:val="0"/>
      <w:divBdr>
        <w:top w:val="none" w:sz="0" w:space="0" w:color="auto"/>
        <w:left w:val="none" w:sz="0" w:space="0" w:color="auto"/>
        <w:bottom w:val="none" w:sz="0" w:space="0" w:color="auto"/>
        <w:right w:val="none" w:sz="0" w:space="0" w:color="auto"/>
      </w:divBdr>
    </w:div>
    <w:div w:id="213123391">
      <w:marLeft w:val="0"/>
      <w:marRight w:val="0"/>
      <w:marTop w:val="0"/>
      <w:marBottom w:val="0"/>
      <w:divBdr>
        <w:top w:val="none" w:sz="0" w:space="0" w:color="auto"/>
        <w:left w:val="none" w:sz="0" w:space="0" w:color="auto"/>
        <w:bottom w:val="none" w:sz="0" w:space="0" w:color="auto"/>
        <w:right w:val="none" w:sz="0" w:space="0" w:color="auto"/>
      </w:divBdr>
    </w:div>
    <w:div w:id="213123392">
      <w:marLeft w:val="0"/>
      <w:marRight w:val="0"/>
      <w:marTop w:val="0"/>
      <w:marBottom w:val="0"/>
      <w:divBdr>
        <w:top w:val="none" w:sz="0" w:space="0" w:color="auto"/>
        <w:left w:val="none" w:sz="0" w:space="0" w:color="auto"/>
        <w:bottom w:val="none" w:sz="0" w:space="0" w:color="auto"/>
        <w:right w:val="none" w:sz="0" w:space="0" w:color="auto"/>
      </w:divBdr>
    </w:div>
    <w:div w:id="213123393">
      <w:marLeft w:val="0"/>
      <w:marRight w:val="0"/>
      <w:marTop w:val="0"/>
      <w:marBottom w:val="0"/>
      <w:divBdr>
        <w:top w:val="none" w:sz="0" w:space="0" w:color="auto"/>
        <w:left w:val="none" w:sz="0" w:space="0" w:color="auto"/>
        <w:bottom w:val="none" w:sz="0" w:space="0" w:color="auto"/>
        <w:right w:val="none" w:sz="0" w:space="0" w:color="auto"/>
      </w:divBdr>
    </w:div>
    <w:div w:id="213123394">
      <w:marLeft w:val="0"/>
      <w:marRight w:val="0"/>
      <w:marTop w:val="0"/>
      <w:marBottom w:val="0"/>
      <w:divBdr>
        <w:top w:val="none" w:sz="0" w:space="0" w:color="auto"/>
        <w:left w:val="none" w:sz="0" w:space="0" w:color="auto"/>
        <w:bottom w:val="none" w:sz="0" w:space="0" w:color="auto"/>
        <w:right w:val="none" w:sz="0" w:space="0" w:color="auto"/>
      </w:divBdr>
    </w:div>
    <w:div w:id="213123395">
      <w:marLeft w:val="0"/>
      <w:marRight w:val="0"/>
      <w:marTop w:val="0"/>
      <w:marBottom w:val="0"/>
      <w:divBdr>
        <w:top w:val="none" w:sz="0" w:space="0" w:color="auto"/>
        <w:left w:val="none" w:sz="0" w:space="0" w:color="auto"/>
        <w:bottom w:val="none" w:sz="0" w:space="0" w:color="auto"/>
        <w:right w:val="none" w:sz="0" w:space="0" w:color="auto"/>
      </w:divBdr>
    </w:div>
    <w:div w:id="213123396">
      <w:marLeft w:val="0"/>
      <w:marRight w:val="0"/>
      <w:marTop w:val="0"/>
      <w:marBottom w:val="0"/>
      <w:divBdr>
        <w:top w:val="none" w:sz="0" w:space="0" w:color="auto"/>
        <w:left w:val="none" w:sz="0" w:space="0" w:color="auto"/>
        <w:bottom w:val="none" w:sz="0" w:space="0" w:color="auto"/>
        <w:right w:val="none" w:sz="0" w:space="0" w:color="auto"/>
      </w:divBdr>
    </w:div>
    <w:div w:id="213123397">
      <w:marLeft w:val="0"/>
      <w:marRight w:val="0"/>
      <w:marTop w:val="0"/>
      <w:marBottom w:val="0"/>
      <w:divBdr>
        <w:top w:val="none" w:sz="0" w:space="0" w:color="auto"/>
        <w:left w:val="none" w:sz="0" w:space="0" w:color="auto"/>
        <w:bottom w:val="none" w:sz="0" w:space="0" w:color="auto"/>
        <w:right w:val="none" w:sz="0" w:space="0" w:color="auto"/>
      </w:divBdr>
    </w:div>
    <w:div w:id="213123398">
      <w:marLeft w:val="0"/>
      <w:marRight w:val="0"/>
      <w:marTop w:val="0"/>
      <w:marBottom w:val="0"/>
      <w:divBdr>
        <w:top w:val="none" w:sz="0" w:space="0" w:color="auto"/>
        <w:left w:val="none" w:sz="0" w:space="0" w:color="auto"/>
        <w:bottom w:val="none" w:sz="0" w:space="0" w:color="auto"/>
        <w:right w:val="none" w:sz="0" w:space="0" w:color="auto"/>
      </w:divBdr>
    </w:div>
    <w:div w:id="213123399">
      <w:marLeft w:val="0"/>
      <w:marRight w:val="0"/>
      <w:marTop w:val="0"/>
      <w:marBottom w:val="0"/>
      <w:divBdr>
        <w:top w:val="none" w:sz="0" w:space="0" w:color="auto"/>
        <w:left w:val="none" w:sz="0" w:space="0" w:color="auto"/>
        <w:bottom w:val="none" w:sz="0" w:space="0" w:color="auto"/>
        <w:right w:val="none" w:sz="0" w:space="0" w:color="auto"/>
      </w:divBdr>
    </w:div>
    <w:div w:id="213123400">
      <w:marLeft w:val="0"/>
      <w:marRight w:val="0"/>
      <w:marTop w:val="0"/>
      <w:marBottom w:val="0"/>
      <w:divBdr>
        <w:top w:val="none" w:sz="0" w:space="0" w:color="auto"/>
        <w:left w:val="none" w:sz="0" w:space="0" w:color="auto"/>
        <w:bottom w:val="none" w:sz="0" w:space="0" w:color="auto"/>
        <w:right w:val="none" w:sz="0" w:space="0" w:color="auto"/>
      </w:divBdr>
    </w:div>
    <w:div w:id="213123401">
      <w:marLeft w:val="0"/>
      <w:marRight w:val="0"/>
      <w:marTop w:val="0"/>
      <w:marBottom w:val="0"/>
      <w:divBdr>
        <w:top w:val="none" w:sz="0" w:space="0" w:color="auto"/>
        <w:left w:val="none" w:sz="0" w:space="0" w:color="auto"/>
        <w:bottom w:val="none" w:sz="0" w:space="0" w:color="auto"/>
        <w:right w:val="none" w:sz="0" w:space="0" w:color="auto"/>
      </w:divBdr>
    </w:div>
    <w:div w:id="213123402">
      <w:marLeft w:val="0"/>
      <w:marRight w:val="0"/>
      <w:marTop w:val="0"/>
      <w:marBottom w:val="0"/>
      <w:divBdr>
        <w:top w:val="none" w:sz="0" w:space="0" w:color="auto"/>
        <w:left w:val="none" w:sz="0" w:space="0" w:color="auto"/>
        <w:bottom w:val="none" w:sz="0" w:space="0" w:color="auto"/>
        <w:right w:val="none" w:sz="0" w:space="0" w:color="auto"/>
      </w:divBdr>
    </w:div>
    <w:div w:id="213123403">
      <w:marLeft w:val="0"/>
      <w:marRight w:val="0"/>
      <w:marTop w:val="0"/>
      <w:marBottom w:val="0"/>
      <w:divBdr>
        <w:top w:val="none" w:sz="0" w:space="0" w:color="auto"/>
        <w:left w:val="none" w:sz="0" w:space="0" w:color="auto"/>
        <w:bottom w:val="none" w:sz="0" w:space="0" w:color="auto"/>
        <w:right w:val="none" w:sz="0" w:space="0" w:color="auto"/>
      </w:divBdr>
    </w:div>
    <w:div w:id="213123404">
      <w:marLeft w:val="0"/>
      <w:marRight w:val="0"/>
      <w:marTop w:val="0"/>
      <w:marBottom w:val="0"/>
      <w:divBdr>
        <w:top w:val="none" w:sz="0" w:space="0" w:color="auto"/>
        <w:left w:val="none" w:sz="0" w:space="0" w:color="auto"/>
        <w:bottom w:val="none" w:sz="0" w:space="0" w:color="auto"/>
        <w:right w:val="none" w:sz="0" w:space="0" w:color="auto"/>
      </w:divBdr>
    </w:div>
    <w:div w:id="213123405">
      <w:marLeft w:val="0"/>
      <w:marRight w:val="0"/>
      <w:marTop w:val="0"/>
      <w:marBottom w:val="0"/>
      <w:divBdr>
        <w:top w:val="none" w:sz="0" w:space="0" w:color="auto"/>
        <w:left w:val="none" w:sz="0" w:space="0" w:color="auto"/>
        <w:bottom w:val="none" w:sz="0" w:space="0" w:color="auto"/>
        <w:right w:val="none" w:sz="0" w:space="0" w:color="auto"/>
      </w:divBdr>
    </w:div>
    <w:div w:id="213123406">
      <w:marLeft w:val="0"/>
      <w:marRight w:val="0"/>
      <w:marTop w:val="0"/>
      <w:marBottom w:val="0"/>
      <w:divBdr>
        <w:top w:val="none" w:sz="0" w:space="0" w:color="auto"/>
        <w:left w:val="none" w:sz="0" w:space="0" w:color="auto"/>
        <w:bottom w:val="none" w:sz="0" w:space="0" w:color="auto"/>
        <w:right w:val="none" w:sz="0" w:space="0" w:color="auto"/>
      </w:divBdr>
    </w:div>
    <w:div w:id="213123407">
      <w:marLeft w:val="0"/>
      <w:marRight w:val="0"/>
      <w:marTop w:val="0"/>
      <w:marBottom w:val="0"/>
      <w:divBdr>
        <w:top w:val="none" w:sz="0" w:space="0" w:color="auto"/>
        <w:left w:val="none" w:sz="0" w:space="0" w:color="auto"/>
        <w:bottom w:val="none" w:sz="0" w:space="0" w:color="auto"/>
        <w:right w:val="none" w:sz="0" w:space="0" w:color="auto"/>
      </w:divBdr>
    </w:div>
    <w:div w:id="213123408">
      <w:marLeft w:val="0"/>
      <w:marRight w:val="0"/>
      <w:marTop w:val="0"/>
      <w:marBottom w:val="0"/>
      <w:divBdr>
        <w:top w:val="none" w:sz="0" w:space="0" w:color="auto"/>
        <w:left w:val="none" w:sz="0" w:space="0" w:color="auto"/>
        <w:bottom w:val="none" w:sz="0" w:space="0" w:color="auto"/>
        <w:right w:val="none" w:sz="0" w:space="0" w:color="auto"/>
      </w:divBdr>
    </w:div>
    <w:div w:id="213123409">
      <w:marLeft w:val="0"/>
      <w:marRight w:val="0"/>
      <w:marTop w:val="0"/>
      <w:marBottom w:val="0"/>
      <w:divBdr>
        <w:top w:val="none" w:sz="0" w:space="0" w:color="auto"/>
        <w:left w:val="none" w:sz="0" w:space="0" w:color="auto"/>
        <w:bottom w:val="none" w:sz="0" w:space="0" w:color="auto"/>
        <w:right w:val="none" w:sz="0" w:space="0" w:color="auto"/>
      </w:divBdr>
    </w:div>
    <w:div w:id="213123410">
      <w:marLeft w:val="0"/>
      <w:marRight w:val="0"/>
      <w:marTop w:val="0"/>
      <w:marBottom w:val="0"/>
      <w:divBdr>
        <w:top w:val="none" w:sz="0" w:space="0" w:color="auto"/>
        <w:left w:val="none" w:sz="0" w:space="0" w:color="auto"/>
        <w:bottom w:val="none" w:sz="0" w:space="0" w:color="auto"/>
        <w:right w:val="none" w:sz="0" w:space="0" w:color="auto"/>
      </w:divBdr>
    </w:div>
    <w:div w:id="213123411">
      <w:marLeft w:val="0"/>
      <w:marRight w:val="0"/>
      <w:marTop w:val="0"/>
      <w:marBottom w:val="0"/>
      <w:divBdr>
        <w:top w:val="none" w:sz="0" w:space="0" w:color="auto"/>
        <w:left w:val="none" w:sz="0" w:space="0" w:color="auto"/>
        <w:bottom w:val="none" w:sz="0" w:space="0" w:color="auto"/>
        <w:right w:val="none" w:sz="0" w:space="0" w:color="auto"/>
      </w:divBdr>
    </w:div>
    <w:div w:id="213123412">
      <w:marLeft w:val="0"/>
      <w:marRight w:val="0"/>
      <w:marTop w:val="0"/>
      <w:marBottom w:val="0"/>
      <w:divBdr>
        <w:top w:val="none" w:sz="0" w:space="0" w:color="auto"/>
        <w:left w:val="none" w:sz="0" w:space="0" w:color="auto"/>
        <w:bottom w:val="none" w:sz="0" w:space="0" w:color="auto"/>
        <w:right w:val="none" w:sz="0" w:space="0" w:color="auto"/>
      </w:divBdr>
      <w:divsChild>
        <w:div w:id="213123536">
          <w:marLeft w:val="0"/>
          <w:marRight w:val="0"/>
          <w:marTop w:val="0"/>
          <w:marBottom w:val="0"/>
          <w:divBdr>
            <w:top w:val="none" w:sz="0" w:space="0" w:color="auto"/>
            <w:left w:val="none" w:sz="0" w:space="0" w:color="auto"/>
            <w:bottom w:val="none" w:sz="0" w:space="0" w:color="auto"/>
            <w:right w:val="none" w:sz="0" w:space="0" w:color="auto"/>
          </w:divBdr>
        </w:div>
      </w:divsChild>
    </w:div>
    <w:div w:id="213123413">
      <w:marLeft w:val="0"/>
      <w:marRight w:val="0"/>
      <w:marTop w:val="0"/>
      <w:marBottom w:val="0"/>
      <w:divBdr>
        <w:top w:val="none" w:sz="0" w:space="0" w:color="auto"/>
        <w:left w:val="none" w:sz="0" w:space="0" w:color="auto"/>
        <w:bottom w:val="none" w:sz="0" w:space="0" w:color="auto"/>
        <w:right w:val="none" w:sz="0" w:space="0" w:color="auto"/>
      </w:divBdr>
    </w:div>
    <w:div w:id="213123414">
      <w:marLeft w:val="0"/>
      <w:marRight w:val="0"/>
      <w:marTop w:val="0"/>
      <w:marBottom w:val="0"/>
      <w:divBdr>
        <w:top w:val="none" w:sz="0" w:space="0" w:color="auto"/>
        <w:left w:val="none" w:sz="0" w:space="0" w:color="auto"/>
        <w:bottom w:val="none" w:sz="0" w:space="0" w:color="auto"/>
        <w:right w:val="none" w:sz="0" w:space="0" w:color="auto"/>
      </w:divBdr>
    </w:div>
    <w:div w:id="213123415">
      <w:marLeft w:val="0"/>
      <w:marRight w:val="0"/>
      <w:marTop w:val="0"/>
      <w:marBottom w:val="0"/>
      <w:divBdr>
        <w:top w:val="none" w:sz="0" w:space="0" w:color="auto"/>
        <w:left w:val="none" w:sz="0" w:space="0" w:color="auto"/>
        <w:bottom w:val="none" w:sz="0" w:space="0" w:color="auto"/>
        <w:right w:val="none" w:sz="0" w:space="0" w:color="auto"/>
      </w:divBdr>
    </w:div>
    <w:div w:id="213123416">
      <w:marLeft w:val="0"/>
      <w:marRight w:val="0"/>
      <w:marTop w:val="0"/>
      <w:marBottom w:val="0"/>
      <w:divBdr>
        <w:top w:val="none" w:sz="0" w:space="0" w:color="auto"/>
        <w:left w:val="none" w:sz="0" w:space="0" w:color="auto"/>
        <w:bottom w:val="none" w:sz="0" w:space="0" w:color="auto"/>
        <w:right w:val="none" w:sz="0" w:space="0" w:color="auto"/>
      </w:divBdr>
    </w:div>
    <w:div w:id="213123417">
      <w:marLeft w:val="0"/>
      <w:marRight w:val="0"/>
      <w:marTop w:val="0"/>
      <w:marBottom w:val="0"/>
      <w:divBdr>
        <w:top w:val="none" w:sz="0" w:space="0" w:color="auto"/>
        <w:left w:val="none" w:sz="0" w:space="0" w:color="auto"/>
        <w:bottom w:val="none" w:sz="0" w:space="0" w:color="auto"/>
        <w:right w:val="none" w:sz="0" w:space="0" w:color="auto"/>
      </w:divBdr>
    </w:div>
    <w:div w:id="213123418">
      <w:marLeft w:val="0"/>
      <w:marRight w:val="0"/>
      <w:marTop w:val="0"/>
      <w:marBottom w:val="0"/>
      <w:divBdr>
        <w:top w:val="none" w:sz="0" w:space="0" w:color="auto"/>
        <w:left w:val="none" w:sz="0" w:space="0" w:color="auto"/>
        <w:bottom w:val="none" w:sz="0" w:space="0" w:color="auto"/>
        <w:right w:val="none" w:sz="0" w:space="0" w:color="auto"/>
      </w:divBdr>
    </w:div>
    <w:div w:id="213123419">
      <w:marLeft w:val="0"/>
      <w:marRight w:val="0"/>
      <w:marTop w:val="0"/>
      <w:marBottom w:val="0"/>
      <w:divBdr>
        <w:top w:val="none" w:sz="0" w:space="0" w:color="auto"/>
        <w:left w:val="none" w:sz="0" w:space="0" w:color="auto"/>
        <w:bottom w:val="none" w:sz="0" w:space="0" w:color="auto"/>
        <w:right w:val="none" w:sz="0" w:space="0" w:color="auto"/>
      </w:divBdr>
    </w:div>
    <w:div w:id="213123420">
      <w:marLeft w:val="0"/>
      <w:marRight w:val="0"/>
      <w:marTop w:val="0"/>
      <w:marBottom w:val="0"/>
      <w:divBdr>
        <w:top w:val="none" w:sz="0" w:space="0" w:color="auto"/>
        <w:left w:val="none" w:sz="0" w:space="0" w:color="auto"/>
        <w:bottom w:val="none" w:sz="0" w:space="0" w:color="auto"/>
        <w:right w:val="none" w:sz="0" w:space="0" w:color="auto"/>
      </w:divBdr>
    </w:div>
    <w:div w:id="213123421">
      <w:marLeft w:val="0"/>
      <w:marRight w:val="0"/>
      <w:marTop w:val="0"/>
      <w:marBottom w:val="0"/>
      <w:divBdr>
        <w:top w:val="none" w:sz="0" w:space="0" w:color="auto"/>
        <w:left w:val="none" w:sz="0" w:space="0" w:color="auto"/>
        <w:bottom w:val="none" w:sz="0" w:space="0" w:color="auto"/>
        <w:right w:val="none" w:sz="0" w:space="0" w:color="auto"/>
      </w:divBdr>
    </w:div>
    <w:div w:id="213123422">
      <w:marLeft w:val="0"/>
      <w:marRight w:val="0"/>
      <w:marTop w:val="0"/>
      <w:marBottom w:val="0"/>
      <w:divBdr>
        <w:top w:val="none" w:sz="0" w:space="0" w:color="auto"/>
        <w:left w:val="none" w:sz="0" w:space="0" w:color="auto"/>
        <w:bottom w:val="none" w:sz="0" w:space="0" w:color="auto"/>
        <w:right w:val="none" w:sz="0" w:space="0" w:color="auto"/>
      </w:divBdr>
    </w:div>
    <w:div w:id="213123423">
      <w:marLeft w:val="0"/>
      <w:marRight w:val="0"/>
      <w:marTop w:val="0"/>
      <w:marBottom w:val="0"/>
      <w:divBdr>
        <w:top w:val="none" w:sz="0" w:space="0" w:color="auto"/>
        <w:left w:val="none" w:sz="0" w:space="0" w:color="auto"/>
        <w:bottom w:val="none" w:sz="0" w:space="0" w:color="auto"/>
        <w:right w:val="none" w:sz="0" w:space="0" w:color="auto"/>
      </w:divBdr>
    </w:div>
    <w:div w:id="213123424">
      <w:marLeft w:val="0"/>
      <w:marRight w:val="0"/>
      <w:marTop w:val="0"/>
      <w:marBottom w:val="0"/>
      <w:divBdr>
        <w:top w:val="none" w:sz="0" w:space="0" w:color="auto"/>
        <w:left w:val="none" w:sz="0" w:space="0" w:color="auto"/>
        <w:bottom w:val="none" w:sz="0" w:space="0" w:color="auto"/>
        <w:right w:val="none" w:sz="0" w:space="0" w:color="auto"/>
      </w:divBdr>
    </w:div>
    <w:div w:id="213123425">
      <w:marLeft w:val="0"/>
      <w:marRight w:val="0"/>
      <w:marTop w:val="0"/>
      <w:marBottom w:val="0"/>
      <w:divBdr>
        <w:top w:val="none" w:sz="0" w:space="0" w:color="auto"/>
        <w:left w:val="none" w:sz="0" w:space="0" w:color="auto"/>
        <w:bottom w:val="none" w:sz="0" w:space="0" w:color="auto"/>
        <w:right w:val="none" w:sz="0" w:space="0" w:color="auto"/>
      </w:divBdr>
    </w:div>
    <w:div w:id="213123426">
      <w:marLeft w:val="0"/>
      <w:marRight w:val="0"/>
      <w:marTop w:val="0"/>
      <w:marBottom w:val="0"/>
      <w:divBdr>
        <w:top w:val="none" w:sz="0" w:space="0" w:color="auto"/>
        <w:left w:val="none" w:sz="0" w:space="0" w:color="auto"/>
        <w:bottom w:val="none" w:sz="0" w:space="0" w:color="auto"/>
        <w:right w:val="none" w:sz="0" w:space="0" w:color="auto"/>
      </w:divBdr>
    </w:div>
    <w:div w:id="213123427">
      <w:marLeft w:val="0"/>
      <w:marRight w:val="0"/>
      <w:marTop w:val="0"/>
      <w:marBottom w:val="0"/>
      <w:divBdr>
        <w:top w:val="none" w:sz="0" w:space="0" w:color="auto"/>
        <w:left w:val="none" w:sz="0" w:space="0" w:color="auto"/>
        <w:bottom w:val="none" w:sz="0" w:space="0" w:color="auto"/>
        <w:right w:val="none" w:sz="0" w:space="0" w:color="auto"/>
      </w:divBdr>
    </w:div>
    <w:div w:id="213123428">
      <w:marLeft w:val="0"/>
      <w:marRight w:val="0"/>
      <w:marTop w:val="0"/>
      <w:marBottom w:val="0"/>
      <w:divBdr>
        <w:top w:val="none" w:sz="0" w:space="0" w:color="auto"/>
        <w:left w:val="none" w:sz="0" w:space="0" w:color="auto"/>
        <w:bottom w:val="none" w:sz="0" w:space="0" w:color="auto"/>
        <w:right w:val="none" w:sz="0" w:space="0" w:color="auto"/>
      </w:divBdr>
    </w:div>
    <w:div w:id="213123429">
      <w:marLeft w:val="0"/>
      <w:marRight w:val="0"/>
      <w:marTop w:val="0"/>
      <w:marBottom w:val="0"/>
      <w:divBdr>
        <w:top w:val="none" w:sz="0" w:space="0" w:color="auto"/>
        <w:left w:val="none" w:sz="0" w:space="0" w:color="auto"/>
        <w:bottom w:val="none" w:sz="0" w:space="0" w:color="auto"/>
        <w:right w:val="none" w:sz="0" w:space="0" w:color="auto"/>
      </w:divBdr>
    </w:div>
    <w:div w:id="213123430">
      <w:marLeft w:val="0"/>
      <w:marRight w:val="0"/>
      <w:marTop w:val="0"/>
      <w:marBottom w:val="0"/>
      <w:divBdr>
        <w:top w:val="none" w:sz="0" w:space="0" w:color="auto"/>
        <w:left w:val="none" w:sz="0" w:space="0" w:color="auto"/>
        <w:bottom w:val="none" w:sz="0" w:space="0" w:color="auto"/>
        <w:right w:val="none" w:sz="0" w:space="0" w:color="auto"/>
      </w:divBdr>
    </w:div>
    <w:div w:id="213123431">
      <w:marLeft w:val="0"/>
      <w:marRight w:val="0"/>
      <w:marTop w:val="0"/>
      <w:marBottom w:val="0"/>
      <w:divBdr>
        <w:top w:val="none" w:sz="0" w:space="0" w:color="auto"/>
        <w:left w:val="none" w:sz="0" w:space="0" w:color="auto"/>
        <w:bottom w:val="none" w:sz="0" w:space="0" w:color="auto"/>
        <w:right w:val="none" w:sz="0" w:space="0" w:color="auto"/>
      </w:divBdr>
    </w:div>
    <w:div w:id="213123432">
      <w:marLeft w:val="0"/>
      <w:marRight w:val="0"/>
      <w:marTop w:val="0"/>
      <w:marBottom w:val="0"/>
      <w:divBdr>
        <w:top w:val="none" w:sz="0" w:space="0" w:color="auto"/>
        <w:left w:val="none" w:sz="0" w:space="0" w:color="auto"/>
        <w:bottom w:val="none" w:sz="0" w:space="0" w:color="auto"/>
        <w:right w:val="none" w:sz="0" w:space="0" w:color="auto"/>
      </w:divBdr>
    </w:div>
    <w:div w:id="213123433">
      <w:marLeft w:val="0"/>
      <w:marRight w:val="0"/>
      <w:marTop w:val="0"/>
      <w:marBottom w:val="0"/>
      <w:divBdr>
        <w:top w:val="none" w:sz="0" w:space="0" w:color="auto"/>
        <w:left w:val="none" w:sz="0" w:space="0" w:color="auto"/>
        <w:bottom w:val="none" w:sz="0" w:space="0" w:color="auto"/>
        <w:right w:val="none" w:sz="0" w:space="0" w:color="auto"/>
      </w:divBdr>
    </w:div>
    <w:div w:id="213123434">
      <w:marLeft w:val="0"/>
      <w:marRight w:val="0"/>
      <w:marTop w:val="0"/>
      <w:marBottom w:val="0"/>
      <w:divBdr>
        <w:top w:val="none" w:sz="0" w:space="0" w:color="auto"/>
        <w:left w:val="none" w:sz="0" w:space="0" w:color="auto"/>
        <w:bottom w:val="none" w:sz="0" w:space="0" w:color="auto"/>
        <w:right w:val="none" w:sz="0" w:space="0" w:color="auto"/>
      </w:divBdr>
    </w:div>
    <w:div w:id="213123435">
      <w:marLeft w:val="0"/>
      <w:marRight w:val="0"/>
      <w:marTop w:val="0"/>
      <w:marBottom w:val="0"/>
      <w:divBdr>
        <w:top w:val="none" w:sz="0" w:space="0" w:color="auto"/>
        <w:left w:val="none" w:sz="0" w:space="0" w:color="auto"/>
        <w:bottom w:val="none" w:sz="0" w:space="0" w:color="auto"/>
        <w:right w:val="none" w:sz="0" w:space="0" w:color="auto"/>
      </w:divBdr>
    </w:div>
    <w:div w:id="213123436">
      <w:marLeft w:val="0"/>
      <w:marRight w:val="0"/>
      <w:marTop w:val="0"/>
      <w:marBottom w:val="0"/>
      <w:divBdr>
        <w:top w:val="none" w:sz="0" w:space="0" w:color="auto"/>
        <w:left w:val="none" w:sz="0" w:space="0" w:color="auto"/>
        <w:bottom w:val="none" w:sz="0" w:space="0" w:color="auto"/>
        <w:right w:val="none" w:sz="0" w:space="0" w:color="auto"/>
      </w:divBdr>
    </w:div>
    <w:div w:id="213123437">
      <w:marLeft w:val="0"/>
      <w:marRight w:val="0"/>
      <w:marTop w:val="0"/>
      <w:marBottom w:val="0"/>
      <w:divBdr>
        <w:top w:val="none" w:sz="0" w:space="0" w:color="auto"/>
        <w:left w:val="none" w:sz="0" w:space="0" w:color="auto"/>
        <w:bottom w:val="none" w:sz="0" w:space="0" w:color="auto"/>
        <w:right w:val="none" w:sz="0" w:space="0" w:color="auto"/>
      </w:divBdr>
    </w:div>
    <w:div w:id="213123438">
      <w:marLeft w:val="0"/>
      <w:marRight w:val="0"/>
      <w:marTop w:val="0"/>
      <w:marBottom w:val="0"/>
      <w:divBdr>
        <w:top w:val="none" w:sz="0" w:space="0" w:color="auto"/>
        <w:left w:val="none" w:sz="0" w:space="0" w:color="auto"/>
        <w:bottom w:val="none" w:sz="0" w:space="0" w:color="auto"/>
        <w:right w:val="none" w:sz="0" w:space="0" w:color="auto"/>
      </w:divBdr>
    </w:div>
    <w:div w:id="213123439">
      <w:marLeft w:val="0"/>
      <w:marRight w:val="0"/>
      <w:marTop w:val="0"/>
      <w:marBottom w:val="0"/>
      <w:divBdr>
        <w:top w:val="none" w:sz="0" w:space="0" w:color="auto"/>
        <w:left w:val="none" w:sz="0" w:space="0" w:color="auto"/>
        <w:bottom w:val="none" w:sz="0" w:space="0" w:color="auto"/>
        <w:right w:val="none" w:sz="0" w:space="0" w:color="auto"/>
      </w:divBdr>
    </w:div>
    <w:div w:id="213123440">
      <w:marLeft w:val="0"/>
      <w:marRight w:val="0"/>
      <w:marTop w:val="0"/>
      <w:marBottom w:val="0"/>
      <w:divBdr>
        <w:top w:val="none" w:sz="0" w:space="0" w:color="auto"/>
        <w:left w:val="none" w:sz="0" w:space="0" w:color="auto"/>
        <w:bottom w:val="none" w:sz="0" w:space="0" w:color="auto"/>
        <w:right w:val="none" w:sz="0" w:space="0" w:color="auto"/>
      </w:divBdr>
    </w:div>
    <w:div w:id="213123441">
      <w:marLeft w:val="0"/>
      <w:marRight w:val="0"/>
      <w:marTop w:val="0"/>
      <w:marBottom w:val="0"/>
      <w:divBdr>
        <w:top w:val="none" w:sz="0" w:space="0" w:color="auto"/>
        <w:left w:val="none" w:sz="0" w:space="0" w:color="auto"/>
        <w:bottom w:val="none" w:sz="0" w:space="0" w:color="auto"/>
        <w:right w:val="none" w:sz="0" w:space="0" w:color="auto"/>
      </w:divBdr>
    </w:div>
    <w:div w:id="213123442">
      <w:marLeft w:val="0"/>
      <w:marRight w:val="0"/>
      <w:marTop w:val="0"/>
      <w:marBottom w:val="0"/>
      <w:divBdr>
        <w:top w:val="none" w:sz="0" w:space="0" w:color="auto"/>
        <w:left w:val="none" w:sz="0" w:space="0" w:color="auto"/>
        <w:bottom w:val="none" w:sz="0" w:space="0" w:color="auto"/>
        <w:right w:val="none" w:sz="0" w:space="0" w:color="auto"/>
      </w:divBdr>
    </w:div>
    <w:div w:id="213123443">
      <w:marLeft w:val="0"/>
      <w:marRight w:val="0"/>
      <w:marTop w:val="0"/>
      <w:marBottom w:val="0"/>
      <w:divBdr>
        <w:top w:val="none" w:sz="0" w:space="0" w:color="auto"/>
        <w:left w:val="none" w:sz="0" w:space="0" w:color="auto"/>
        <w:bottom w:val="none" w:sz="0" w:space="0" w:color="auto"/>
        <w:right w:val="none" w:sz="0" w:space="0" w:color="auto"/>
      </w:divBdr>
    </w:div>
    <w:div w:id="213123444">
      <w:marLeft w:val="0"/>
      <w:marRight w:val="0"/>
      <w:marTop w:val="0"/>
      <w:marBottom w:val="0"/>
      <w:divBdr>
        <w:top w:val="none" w:sz="0" w:space="0" w:color="auto"/>
        <w:left w:val="none" w:sz="0" w:space="0" w:color="auto"/>
        <w:bottom w:val="none" w:sz="0" w:space="0" w:color="auto"/>
        <w:right w:val="none" w:sz="0" w:space="0" w:color="auto"/>
      </w:divBdr>
    </w:div>
    <w:div w:id="213123445">
      <w:marLeft w:val="0"/>
      <w:marRight w:val="0"/>
      <w:marTop w:val="0"/>
      <w:marBottom w:val="0"/>
      <w:divBdr>
        <w:top w:val="none" w:sz="0" w:space="0" w:color="auto"/>
        <w:left w:val="none" w:sz="0" w:space="0" w:color="auto"/>
        <w:bottom w:val="none" w:sz="0" w:space="0" w:color="auto"/>
        <w:right w:val="none" w:sz="0" w:space="0" w:color="auto"/>
      </w:divBdr>
    </w:div>
    <w:div w:id="213123446">
      <w:marLeft w:val="0"/>
      <w:marRight w:val="0"/>
      <w:marTop w:val="0"/>
      <w:marBottom w:val="0"/>
      <w:divBdr>
        <w:top w:val="none" w:sz="0" w:space="0" w:color="auto"/>
        <w:left w:val="none" w:sz="0" w:space="0" w:color="auto"/>
        <w:bottom w:val="none" w:sz="0" w:space="0" w:color="auto"/>
        <w:right w:val="none" w:sz="0" w:space="0" w:color="auto"/>
      </w:divBdr>
    </w:div>
    <w:div w:id="213123447">
      <w:marLeft w:val="0"/>
      <w:marRight w:val="0"/>
      <w:marTop w:val="0"/>
      <w:marBottom w:val="0"/>
      <w:divBdr>
        <w:top w:val="none" w:sz="0" w:space="0" w:color="auto"/>
        <w:left w:val="none" w:sz="0" w:space="0" w:color="auto"/>
        <w:bottom w:val="none" w:sz="0" w:space="0" w:color="auto"/>
        <w:right w:val="none" w:sz="0" w:space="0" w:color="auto"/>
      </w:divBdr>
    </w:div>
    <w:div w:id="213123448">
      <w:marLeft w:val="0"/>
      <w:marRight w:val="0"/>
      <w:marTop w:val="0"/>
      <w:marBottom w:val="0"/>
      <w:divBdr>
        <w:top w:val="none" w:sz="0" w:space="0" w:color="auto"/>
        <w:left w:val="none" w:sz="0" w:space="0" w:color="auto"/>
        <w:bottom w:val="none" w:sz="0" w:space="0" w:color="auto"/>
        <w:right w:val="none" w:sz="0" w:space="0" w:color="auto"/>
      </w:divBdr>
    </w:div>
    <w:div w:id="213123449">
      <w:marLeft w:val="0"/>
      <w:marRight w:val="0"/>
      <w:marTop w:val="0"/>
      <w:marBottom w:val="0"/>
      <w:divBdr>
        <w:top w:val="none" w:sz="0" w:space="0" w:color="auto"/>
        <w:left w:val="none" w:sz="0" w:space="0" w:color="auto"/>
        <w:bottom w:val="none" w:sz="0" w:space="0" w:color="auto"/>
        <w:right w:val="none" w:sz="0" w:space="0" w:color="auto"/>
      </w:divBdr>
    </w:div>
    <w:div w:id="213123450">
      <w:marLeft w:val="0"/>
      <w:marRight w:val="0"/>
      <w:marTop w:val="0"/>
      <w:marBottom w:val="0"/>
      <w:divBdr>
        <w:top w:val="none" w:sz="0" w:space="0" w:color="auto"/>
        <w:left w:val="none" w:sz="0" w:space="0" w:color="auto"/>
        <w:bottom w:val="none" w:sz="0" w:space="0" w:color="auto"/>
        <w:right w:val="none" w:sz="0" w:space="0" w:color="auto"/>
      </w:divBdr>
    </w:div>
    <w:div w:id="213123451">
      <w:marLeft w:val="0"/>
      <w:marRight w:val="0"/>
      <w:marTop w:val="0"/>
      <w:marBottom w:val="0"/>
      <w:divBdr>
        <w:top w:val="none" w:sz="0" w:space="0" w:color="auto"/>
        <w:left w:val="none" w:sz="0" w:space="0" w:color="auto"/>
        <w:bottom w:val="none" w:sz="0" w:space="0" w:color="auto"/>
        <w:right w:val="none" w:sz="0" w:space="0" w:color="auto"/>
      </w:divBdr>
    </w:div>
    <w:div w:id="213123452">
      <w:marLeft w:val="0"/>
      <w:marRight w:val="0"/>
      <w:marTop w:val="0"/>
      <w:marBottom w:val="0"/>
      <w:divBdr>
        <w:top w:val="none" w:sz="0" w:space="0" w:color="auto"/>
        <w:left w:val="none" w:sz="0" w:space="0" w:color="auto"/>
        <w:bottom w:val="none" w:sz="0" w:space="0" w:color="auto"/>
        <w:right w:val="none" w:sz="0" w:space="0" w:color="auto"/>
      </w:divBdr>
    </w:div>
    <w:div w:id="213123453">
      <w:marLeft w:val="0"/>
      <w:marRight w:val="0"/>
      <w:marTop w:val="0"/>
      <w:marBottom w:val="0"/>
      <w:divBdr>
        <w:top w:val="none" w:sz="0" w:space="0" w:color="auto"/>
        <w:left w:val="none" w:sz="0" w:space="0" w:color="auto"/>
        <w:bottom w:val="none" w:sz="0" w:space="0" w:color="auto"/>
        <w:right w:val="none" w:sz="0" w:space="0" w:color="auto"/>
      </w:divBdr>
    </w:div>
    <w:div w:id="213123454">
      <w:marLeft w:val="0"/>
      <w:marRight w:val="0"/>
      <w:marTop w:val="0"/>
      <w:marBottom w:val="0"/>
      <w:divBdr>
        <w:top w:val="none" w:sz="0" w:space="0" w:color="auto"/>
        <w:left w:val="none" w:sz="0" w:space="0" w:color="auto"/>
        <w:bottom w:val="none" w:sz="0" w:space="0" w:color="auto"/>
        <w:right w:val="none" w:sz="0" w:space="0" w:color="auto"/>
      </w:divBdr>
    </w:div>
    <w:div w:id="213123455">
      <w:marLeft w:val="0"/>
      <w:marRight w:val="0"/>
      <w:marTop w:val="0"/>
      <w:marBottom w:val="0"/>
      <w:divBdr>
        <w:top w:val="none" w:sz="0" w:space="0" w:color="auto"/>
        <w:left w:val="none" w:sz="0" w:space="0" w:color="auto"/>
        <w:bottom w:val="none" w:sz="0" w:space="0" w:color="auto"/>
        <w:right w:val="none" w:sz="0" w:space="0" w:color="auto"/>
      </w:divBdr>
    </w:div>
    <w:div w:id="213123456">
      <w:marLeft w:val="0"/>
      <w:marRight w:val="0"/>
      <w:marTop w:val="0"/>
      <w:marBottom w:val="0"/>
      <w:divBdr>
        <w:top w:val="none" w:sz="0" w:space="0" w:color="auto"/>
        <w:left w:val="none" w:sz="0" w:space="0" w:color="auto"/>
        <w:bottom w:val="none" w:sz="0" w:space="0" w:color="auto"/>
        <w:right w:val="none" w:sz="0" w:space="0" w:color="auto"/>
      </w:divBdr>
    </w:div>
    <w:div w:id="213123457">
      <w:marLeft w:val="0"/>
      <w:marRight w:val="0"/>
      <w:marTop w:val="0"/>
      <w:marBottom w:val="0"/>
      <w:divBdr>
        <w:top w:val="none" w:sz="0" w:space="0" w:color="auto"/>
        <w:left w:val="none" w:sz="0" w:space="0" w:color="auto"/>
        <w:bottom w:val="none" w:sz="0" w:space="0" w:color="auto"/>
        <w:right w:val="none" w:sz="0" w:space="0" w:color="auto"/>
      </w:divBdr>
    </w:div>
    <w:div w:id="213123458">
      <w:marLeft w:val="0"/>
      <w:marRight w:val="0"/>
      <w:marTop w:val="0"/>
      <w:marBottom w:val="0"/>
      <w:divBdr>
        <w:top w:val="none" w:sz="0" w:space="0" w:color="auto"/>
        <w:left w:val="none" w:sz="0" w:space="0" w:color="auto"/>
        <w:bottom w:val="none" w:sz="0" w:space="0" w:color="auto"/>
        <w:right w:val="none" w:sz="0" w:space="0" w:color="auto"/>
      </w:divBdr>
    </w:div>
    <w:div w:id="213123459">
      <w:marLeft w:val="0"/>
      <w:marRight w:val="0"/>
      <w:marTop w:val="0"/>
      <w:marBottom w:val="0"/>
      <w:divBdr>
        <w:top w:val="none" w:sz="0" w:space="0" w:color="auto"/>
        <w:left w:val="none" w:sz="0" w:space="0" w:color="auto"/>
        <w:bottom w:val="none" w:sz="0" w:space="0" w:color="auto"/>
        <w:right w:val="none" w:sz="0" w:space="0" w:color="auto"/>
      </w:divBdr>
    </w:div>
    <w:div w:id="213123460">
      <w:marLeft w:val="0"/>
      <w:marRight w:val="0"/>
      <w:marTop w:val="0"/>
      <w:marBottom w:val="0"/>
      <w:divBdr>
        <w:top w:val="none" w:sz="0" w:space="0" w:color="auto"/>
        <w:left w:val="none" w:sz="0" w:space="0" w:color="auto"/>
        <w:bottom w:val="none" w:sz="0" w:space="0" w:color="auto"/>
        <w:right w:val="none" w:sz="0" w:space="0" w:color="auto"/>
      </w:divBdr>
    </w:div>
    <w:div w:id="213123461">
      <w:marLeft w:val="0"/>
      <w:marRight w:val="0"/>
      <w:marTop w:val="0"/>
      <w:marBottom w:val="0"/>
      <w:divBdr>
        <w:top w:val="none" w:sz="0" w:space="0" w:color="auto"/>
        <w:left w:val="none" w:sz="0" w:space="0" w:color="auto"/>
        <w:bottom w:val="none" w:sz="0" w:space="0" w:color="auto"/>
        <w:right w:val="none" w:sz="0" w:space="0" w:color="auto"/>
      </w:divBdr>
    </w:div>
    <w:div w:id="213123462">
      <w:marLeft w:val="0"/>
      <w:marRight w:val="0"/>
      <w:marTop w:val="0"/>
      <w:marBottom w:val="0"/>
      <w:divBdr>
        <w:top w:val="none" w:sz="0" w:space="0" w:color="auto"/>
        <w:left w:val="none" w:sz="0" w:space="0" w:color="auto"/>
        <w:bottom w:val="none" w:sz="0" w:space="0" w:color="auto"/>
        <w:right w:val="none" w:sz="0" w:space="0" w:color="auto"/>
      </w:divBdr>
    </w:div>
    <w:div w:id="213123463">
      <w:marLeft w:val="0"/>
      <w:marRight w:val="0"/>
      <w:marTop w:val="0"/>
      <w:marBottom w:val="0"/>
      <w:divBdr>
        <w:top w:val="none" w:sz="0" w:space="0" w:color="auto"/>
        <w:left w:val="none" w:sz="0" w:space="0" w:color="auto"/>
        <w:bottom w:val="none" w:sz="0" w:space="0" w:color="auto"/>
        <w:right w:val="none" w:sz="0" w:space="0" w:color="auto"/>
      </w:divBdr>
    </w:div>
    <w:div w:id="213123464">
      <w:marLeft w:val="0"/>
      <w:marRight w:val="0"/>
      <w:marTop w:val="0"/>
      <w:marBottom w:val="0"/>
      <w:divBdr>
        <w:top w:val="none" w:sz="0" w:space="0" w:color="auto"/>
        <w:left w:val="none" w:sz="0" w:space="0" w:color="auto"/>
        <w:bottom w:val="none" w:sz="0" w:space="0" w:color="auto"/>
        <w:right w:val="none" w:sz="0" w:space="0" w:color="auto"/>
      </w:divBdr>
    </w:div>
    <w:div w:id="213123465">
      <w:marLeft w:val="0"/>
      <w:marRight w:val="0"/>
      <w:marTop w:val="0"/>
      <w:marBottom w:val="0"/>
      <w:divBdr>
        <w:top w:val="none" w:sz="0" w:space="0" w:color="auto"/>
        <w:left w:val="none" w:sz="0" w:space="0" w:color="auto"/>
        <w:bottom w:val="none" w:sz="0" w:space="0" w:color="auto"/>
        <w:right w:val="none" w:sz="0" w:space="0" w:color="auto"/>
      </w:divBdr>
    </w:div>
    <w:div w:id="213123466">
      <w:marLeft w:val="0"/>
      <w:marRight w:val="0"/>
      <w:marTop w:val="0"/>
      <w:marBottom w:val="0"/>
      <w:divBdr>
        <w:top w:val="none" w:sz="0" w:space="0" w:color="auto"/>
        <w:left w:val="none" w:sz="0" w:space="0" w:color="auto"/>
        <w:bottom w:val="none" w:sz="0" w:space="0" w:color="auto"/>
        <w:right w:val="none" w:sz="0" w:space="0" w:color="auto"/>
      </w:divBdr>
    </w:div>
    <w:div w:id="213123467">
      <w:marLeft w:val="0"/>
      <w:marRight w:val="0"/>
      <w:marTop w:val="0"/>
      <w:marBottom w:val="0"/>
      <w:divBdr>
        <w:top w:val="none" w:sz="0" w:space="0" w:color="auto"/>
        <w:left w:val="none" w:sz="0" w:space="0" w:color="auto"/>
        <w:bottom w:val="none" w:sz="0" w:space="0" w:color="auto"/>
        <w:right w:val="none" w:sz="0" w:space="0" w:color="auto"/>
      </w:divBdr>
    </w:div>
    <w:div w:id="213123468">
      <w:marLeft w:val="0"/>
      <w:marRight w:val="0"/>
      <w:marTop w:val="0"/>
      <w:marBottom w:val="0"/>
      <w:divBdr>
        <w:top w:val="none" w:sz="0" w:space="0" w:color="auto"/>
        <w:left w:val="none" w:sz="0" w:space="0" w:color="auto"/>
        <w:bottom w:val="none" w:sz="0" w:space="0" w:color="auto"/>
        <w:right w:val="none" w:sz="0" w:space="0" w:color="auto"/>
      </w:divBdr>
    </w:div>
    <w:div w:id="213123469">
      <w:marLeft w:val="0"/>
      <w:marRight w:val="0"/>
      <w:marTop w:val="0"/>
      <w:marBottom w:val="0"/>
      <w:divBdr>
        <w:top w:val="none" w:sz="0" w:space="0" w:color="auto"/>
        <w:left w:val="none" w:sz="0" w:space="0" w:color="auto"/>
        <w:bottom w:val="none" w:sz="0" w:space="0" w:color="auto"/>
        <w:right w:val="none" w:sz="0" w:space="0" w:color="auto"/>
      </w:divBdr>
    </w:div>
    <w:div w:id="213123470">
      <w:marLeft w:val="0"/>
      <w:marRight w:val="0"/>
      <w:marTop w:val="0"/>
      <w:marBottom w:val="0"/>
      <w:divBdr>
        <w:top w:val="none" w:sz="0" w:space="0" w:color="auto"/>
        <w:left w:val="none" w:sz="0" w:space="0" w:color="auto"/>
        <w:bottom w:val="none" w:sz="0" w:space="0" w:color="auto"/>
        <w:right w:val="none" w:sz="0" w:space="0" w:color="auto"/>
      </w:divBdr>
    </w:div>
    <w:div w:id="213123471">
      <w:marLeft w:val="0"/>
      <w:marRight w:val="0"/>
      <w:marTop w:val="0"/>
      <w:marBottom w:val="0"/>
      <w:divBdr>
        <w:top w:val="none" w:sz="0" w:space="0" w:color="auto"/>
        <w:left w:val="none" w:sz="0" w:space="0" w:color="auto"/>
        <w:bottom w:val="none" w:sz="0" w:space="0" w:color="auto"/>
        <w:right w:val="none" w:sz="0" w:space="0" w:color="auto"/>
      </w:divBdr>
    </w:div>
    <w:div w:id="213123472">
      <w:marLeft w:val="0"/>
      <w:marRight w:val="0"/>
      <w:marTop w:val="0"/>
      <w:marBottom w:val="0"/>
      <w:divBdr>
        <w:top w:val="none" w:sz="0" w:space="0" w:color="auto"/>
        <w:left w:val="none" w:sz="0" w:space="0" w:color="auto"/>
        <w:bottom w:val="none" w:sz="0" w:space="0" w:color="auto"/>
        <w:right w:val="none" w:sz="0" w:space="0" w:color="auto"/>
      </w:divBdr>
    </w:div>
    <w:div w:id="213123473">
      <w:marLeft w:val="0"/>
      <w:marRight w:val="0"/>
      <w:marTop w:val="0"/>
      <w:marBottom w:val="0"/>
      <w:divBdr>
        <w:top w:val="none" w:sz="0" w:space="0" w:color="auto"/>
        <w:left w:val="none" w:sz="0" w:space="0" w:color="auto"/>
        <w:bottom w:val="none" w:sz="0" w:space="0" w:color="auto"/>
        <w:right w:val="none" w:sz="0" w:space="0" w:color="auto"/>
      </w:divBdr>
    </w:div>
    <w:div w:id="213123474">
      <w:marLeft w:val="0"/>
      <w:marRight w:val="0"/>
      <w:marTop w:val="0"/>
      <w:marBottom w:val="0"/>
      <w:divBdr>
        <w:top w:val="none" w:sz="0" w:space="0" w:color="auto"/>
        <w:left w:val="none" w:sz="0" w:space="0" w:color="auto"/>
        <w:bottom w:val="none" w:sz="0" w:space="0" w:color="auto"/>
        <w:right w:val="none" w:sz="0" w:space="0" w:color="auto"/>
      </w:divBdr>
    </w:div>
    <w:div w:id="213123475">
      <w:marLeft w:val="0"/>
      <w:marRight w:val="0"/>
      <w:marTop w:val="0"/>
      <w:marBottom w:val="0"/>
      <w:divBdr>
        <w:top w:val="none" w:sz="0" w:space="0" w:color="auto"/>
        <w:left w:val="none" w:sz="0" w:space="0" w:color="auto"/>
        <w:bottom w:val="none" w:sz="0" w:space="0" w:color="auto"/>
        <w:right w:val="none" w:sz="0" w:space="0" w:color="auto"/>
      </w:divBdr>
    </w:div>
    <w:div w:id="213123476">
      <w:marLeft w:val="0"/>
      <w:marRight w:val="0"/>
      <w:marTop w:val="0"/>
      <w:marBottom w:val="0"/>
      <w:divBdr>
        <w:top w:val="none" w:sz="0" w:space="0" w:color="auto"/>
        <w:left w:val="none" w:sz="0" w:space="0" w:color="auto"/>
        <w:bottom w:val="none" w:sz="0" w:space="0" w:color="auto"/>
        <w:right w:val="none" w:sz="0" w:space="0" w:color="auto"/>
      </w:divBdr>
    </w:div>
    <w:div w:id="213123477">
      <w:marLeft w:val="0"/>
      <w:marRight w:val="0"/>
      <w:marTop w:val="0"/>
      <w:marBottom w:val="0"/>
      <w:divBdr>
        <w:top w:val="none" w:sz="0" w:space="0" w:color="auto"/>
        <w:left w:val="none" w:sz="0" w:space="0" w:color="auto"/>
        <w:bottom w:val="none" w:sz="0" w:space="0" w:color="auto"/>
        <w:right w:val="none" w:sz="0" w:space="0" w:color="auto"/>
      </w:divBdr>
    </w:div>
    <w:div w:id="213123478">
      <w:marLeft w:val="0"/>
      <w:marRight w:val="0"/>
      <w:marTop w:val="0"/>
      <w:marBottom w:val="0"/>
      <w:divBdr>
        <w:top w:val="none" w:sz="0" w:space="0" w:color="auto"/>
        <w:left w:val="none" w:sz="0" w:space="0" w:color="auto"/>
        <w:bottom w:val="none" w:sz="0" w:space="0" w:color="auto"/>
        <w:right w:val="none" w:sz="0" w:space="0" w:color="auto"/>
      </w:divBdr>
    </w:div>
    <w:div w:id="213123479">
      <w:marLeft w:val="0"/>
      <w:marRight w:val="0"/>
      <w:marTop w:val="0"/>
      <w:marBottom w:val="0"/>
      <w:divBdr>
        <w:top w:val="none" w:sz="0" w:space="0" w:color="auto"/>
        <w:left w:val="none" w:sz="0" w:space="0" w:color="auto"/>
        <w:bottom w:val="none" w:sz="0" w:space="0" w:color="auto"/>
        <w:right w:val="none" w:sz="0" w:space="0" w:color="auto"/>
      </w:divBdr>
    </w:div>
    <w:div w:id="213123480">
      <w:marLeft w:val="0"/>
      <w:marRight w:val="0"/>
      <w:marTop w:val="0"/>
      <w:marBottom w:val="0"/>
      <w:divBdr>
        <w:top w:val="none" w:sz="0" w:space="0" w:color="auto"/>
        <w:left w:val="none" w:sz="0" w:space="0" w:color="auto"/>
        <w:bottom w:val="none" w:sz="0" w:space="0" w:color="auto"/>
        <w:right w:val="none" w:sz="0" w:space="0" w:color="auto"/>
      </w:divBdr>
    </w:div>
    <w:div w:id="213123481">
      <w:marLeft w:val="0"/>
      <w:marRight w:val="0"/>
      <w:marTop w:val="0"/>
      <w:marBottom w:val="0"/>
      <w:divBdr>
        <w:top w:val="none" w:sz="0" w:space="0" w:color="auto"/>
        <w:left w:val="none" w:sz="0" w:space="0" w:color="auto"/>
        <w:bottom w:val="none" w:sz="0" w:space="0" w:color="auto"/>
        <w:right w:val="none" w:sz="0" w:space="0" w:color="auto"/>
      </w:divBdr>
    </w:div>
    <w:div w:id="213123482">
      <w:marLeft w:val="0"/>
      <w:marRight w:val="0"/>
      <w:marTop w:val="0"/>
      <w:marBottom w:val="0"/>
      <w:divBdr>
        <w:top w:val="none" w:sz="0" w:space="0" w:color="auto"/>
        <w:left w:val="none" w:sz="0" w:space="0" w:color="auto"/>
        <w:bottom w:val="none" w:sz="0" w:space="0" w:color="auto"/>
        <w:right w:val="none" w:sz="0" w:space="0" w:color="auto"/>
      </w:divBdr>
    </w:div>
    <w:div w:id="213123483">
      <w:marLeft w:val="0"/>
      <w:marRight w:val="0"/>
      <w:marTop w:val="0"/>
      <w:marBottom w:val="0"/>
      <w:divBdr>
        <w:top w:val="none" w:sz="0" w:space="0" w:color="auto"/>
        <w:left w:val="none" w:sz="0" w:space="0" w:color="auto"/>
        <w:bottom w:val="none" w:sz="0" w:space="0" w:color="auto"/>
        <w:right w:val="none" w:sz="0" w:space="0" w:color="auto"/>
      </w:divBdr>
    </w:div>
    <w:div w:id="213123484">
      <w:marLeft w:val="0"/>
      <w:marRight w:val="0"/>
      <w:marTop w:val="0"/>
      <w:marBottom w:val="0"/>
      <w:divBdr>
        <w:top w:val="none" w:sz="0" w:space="0" w:color="auto"/>
        <w:left w:val="none" w:sz="0" w:space="0" w:color="auto"/>
        <w:bottom w:val="none" w:sz="0" w:space="0" w:color="auto"/>
        <w:right w:val="none" w:sz="0" w:space="0" w:color="auto"/>
      </w:divBdr>
    </w:div>
    <w:div w:id="213123485">
      <w:marLeft w:val="0"/>
      <w:marRight w:val="0"/>
      <w:marTop w:val="0"/>
      <w:marBottom w:val="0"/>
      <w:divBdr>
        <w:top w:val="none" w:sz="0" w:space="0" w:color="auto"/>
        <w:left w:val="none" w:sz="0" w:space="0" w:color="auto"/>
        <w:bottom w:val="none" w:sz="0" w:space="0" w:color="auto"/>
        <w:right w:val="none" w:sz="0" w:space="0" w:color="auto"/>
      </w:divBdr>
    </w:div>
    <w:div w:id="213123486">
      <w:marLeft w:val="0"/>
      <w:marRight w:val="0"/>
      <w:marTop w:val="0"/>
      <w:marBottom w:val="0"/>
      <w:divBdr>
        <w:top w:val="none" w:sz="0" w:space="0" w:color="auto"/>
        <w:left w:val="none" w:sz="0" w:space="0" w:color="auto"/>
        <w:bottom w:val="none" w:sz="0" w:space="0" w:color="auto"/>
        <w:right w:val="none" w:sz="0" w:space="0" w:color="auto"/>
      </w:divBdr>
    </w:div>
    <w:div w:id="213123487">
      <w:marLeft w:val="0"/>
      <w:marRight w:val="0"/>
      <w:marTop w:val="0"/>
      <w:marBottom w:val="0"/>
      <w:divBdr>
        <w:top w:val="none" w:sz="0" w:space="0" w:color="auto"/>
        <w:left w:val="none" w:sz="0" w:space="0" w:color="auto"/>
        <w:bottom w:val="none" w:sz="0" w:space="0" w:color="auto"/>
        <w:right w:val="none" w:sz="0" w:space="0" w:color="auto"/>
      </w:divBdr>
    </w:div>
    <w:div w:id="213123488">
      <w:marLeft w:val="0"/>
      <w:marRight w:val="0"/>
      <w:marTop w:val="0"/>
      <w:marBottom w:val="0"/>
      <w:divBdr>
        <w:top w:val="none" w:sz="0" w:space="0" w:color="auto"/>
        <w:left w:val="none" w:sz="0" w:space="0" w:color="auto"/>
        <w:bottom w:val="none" w:sz="0" w:space="0" w:color="auto"/>
        <w:right w:val="none" w:sz="0" w:space="0" w:color="auto"/>
      </w:divBdr>
    </w:div>
    <w:div w:id="213123489">
      <w:marLeft w:val="0"/>
      <w:marRight w:val="0"/>
      <w:marTop w:val="0"/>
      <w:marBottom w:val="0"/>
      <w:divBdr>
        <w:top w:val="none" w:sz="0" w:space="0" w:color="auto"/>
        <w:left w:val="none" w:sz="0" w:space="0" w:color="auto"/>
        <w:bottom w:val="none" w:sz="0" w:space="0" w:color="auto"/>
        <w:right w:val="none" w:sz="0" w:space="0" w:color="auto"/>
      </w:divBdr>
    </w:div>
    <w:div w:id="213123490">
      <w:marLeft w:val="0"/>
      <w:marRight w:val="0"/>
      <w:marTop w:val="0"/>
      <w:marBottom w:val="0"/>
      <w:divBdr>
        <w:top w:val="none" w:sz="0" w:space="0" w:color="auto"/>
        <w:left w:val="none" w:sz="0" w:space="0" w:color="auto"/>
        <w:bottom w:val="none" w:sz="0" w:space="0" w:color="auto"/>
        <w:right w:val="none" w:sz="0" w:space="0" w:color="auto"/>
      </w:divBdr>
    </w:div>
    <w:div w:id="213123491">
      <w:marLeft w:val="0"/>
      <w:marRight w:val="0"/>
      <w:marTop w:val="0"/>
      <w:marBottom w:val="0"/>
      <w:divBdr>
        <w:top w:val="none" w:sz="0" w:space="0" w:color="auto"/>
        <w:left w:val="none" w:sz="0" w:space="0" w:color="auto"/>
        <w:bottom w:val="none" w:sz="0" w:space="0" w:color="auto"/>
        <w:right w:val="none" w:sz="0" w:space="0" w:color="auto"/>
      </w:divBdr>
    </w:div>
    <w:div w:id="213123492">
      <w:marLeft w:val="0"/>
      <w:marRight w:val="0"/>
      <w:marTop w:val="0"/>
      <w:marBottom w:val="0"/>
      <w:divBdr>
        <w:top w:val="none" w:sz="0" w:space="0" w:color="auto"/>
        <w:left w:val="none" w:sz="0" w:space="0" w:color="auto"/>
        <w:bottom w:val="none" w:sz="0" w:space="0" w:color="auto"/>
        <w:right w:val="none" w:sz="0" w:space="0" w:color="auto"/>
      </w:divBdr>
    </w:div>
    <w:div w:id="213123493">
      <w:marLeft w:val="0"/>
      <w:marRight w:val="0"/>
      <w:marTop w:val="0"/>
      <w:marBottom w:val="0"/>
      <w:divBdr>
        <w:top w:val="none" w:sz="0" w:space="0" w:color="auto"/>
        <w:left w:val="none" w:sz="0" w:space="0" w:color="auto"/>
        <w:bottom w:val="none" w:sz="0" w:space="0" w:color="auto"/>
        <w:right w:val="none" w:sz="0" w:space="0" w:color="auto"/>
      </w:divBdr>
    </w:div>
    <w:div w:id="213123494">
      <w:marLeft w:val="0"/>
      <w:marRight w:val="0"/>
      <w:marTop w:val="0"/>
      <w:marBottom w:val="0"/>
      <w:divBdr>
        <w:top w:val="none" w:sz="0" w:space="0" w:color="auto"/>
        <w:left w:val="none" w:sz="0" w:space="0" w:color="auto"/>
        <w:bottom w:val="none" w:sz="0" w:space="0" w:color="auto"/>
        <w:right w:val="none" w:sz="0" w:space="0" w:color="auto"/>
      </w:divBdr>
    </w:div>
    <w:div w:id="213123495">
      <w:marLeft w:val="0"/>
      <w:marRight w:val="0"/>
      <w:marTop w:val="0"/>
      <w:marBottom w:val="0"/>
      <w:divBdr>
        <w:top w:val="none" w:sz="0" w:space="0" w:color="auto"/>
        <w:left w:val="none" w:sz="0" w:space="0" w:color="auto"/>
        <w:bottom w:val="none" w:sz="0" w:space="0" w:color="auto"/>
        <w:right w:val="none" w:sz="0" w:space="0" w:color="auto"/>
      </w:divBdr>
    </w:div>
    <w:div w:id="213123496">
      <w:marLeft w:val="0"/>
      <w:marRight w:val="0"/>
      <w:marTop w:val="0"/>
      <w:marBottom w:val="0"/>
      <w:divBdr>
        <w:top w:val="none" w:sz="0" w:space="0" w:color="auto"/>
        <w:left w:val="none" w:sz="0" w:space="0" w:color="auto"/>
        <w:bottom w:val="none" w:sz="0" w:space="0" w:color="auto"/>
        <w:right w:val="none" w:sz="0" w:space="0" w:color="auto"/>
      </w:divBdr>
    </w:div>
    <w:div w:id="213123497">
      <w:marLeft w:val="0"/>
      <w:marRight w:val="0"/>
      <w:marTop w:val="0"/>
      <w:marBottom w:val="0"/>
      <w:divBdr>
        <w:top w:val="none" w:sz="0" w:space="0" w:color="auto"/>
        <w:left w:val="none" w:sz="0" w:space="0" w:color="auto"/>
        <w:bottom w:val="none" w:sz="0" w:space="0" w:color="auto"/>
        <w:right w:val="none" w:sz="0" w:space="0" w:color="auto"/>
      </w:divBdr>
    </w:div>
    <w:div w:id="213123498">
      <w:marLeft w:val="0"/>
      <w:marRight w:val="0"/>
      <w:marTop w:val="0"/>
      <w:marBottom w:val="0"/>
      <w:divBdr>
        <w:top w:val="none" w:sz="0" w:space="0" w:color="auto"/>
        <w:left w:val="none" w:sz="0" w:space="0" w:color="auto"/>
        <w:bottom w:val="none" w:sz="0" w:space="0" w:color="auto"/>
        <w:right w:val="none" w:sz="0" w:space="0" w:color="auto"/>
      </w:divBdr>
    </w:div>
    <w:div w:id="213123499">
      <w:marLeft w:val="0"/>
      <w:marRight w:val="0"/>
      <w:marTop w:val="0"/>
      <w:marBottom w:val="0"/>
      <w:divBdr>
        <w:top w:val="none" w:sz="0" w:space="0" w:color="auto"/>
        <w:left w:val="none" w:sz="0" w:space="0" w:color="auto"/>
        <w:bottom w:val="none" w:sz="0" w:space="0" w:color="auto"/>
        <w:right w:val="none" w:sz="0" w:space="0" w:color="auto"/>
      </w:divBdr>
    </w:div>
    <w:div w:id="213123500">
      <w:marLeft w:val="0"/>
      <w:marRight w:val="0"/>
      <w:marTop w:val="0"/>
      <w:marBottom w:val="0"/>
      <w:divBdr>
        <w:top w:val="none" w:sz="0" w:space="0" w:color="auto"/>
        <w:left w:val="none" w:sz="0" w:space="0" w:color="auto"/>
        <w:bottom w:val="none" w:sz="0" w:space="0" w:color="auto"/>
        <w:right w:val="none" w:sz="0" w:space="0" w:color="auto"/>
      </w:divBdr>
    </w:div>
    <w:div w:id="213123501">
      <w:marLeft w:val="0"/>
      <w:marRight w:val="0"/>
      <w:marTop w:val="0"/>
      <w:marBottom w:val="0"/>
      <w:divBdr>
        <w:top w:val="none" w:sz="0" w:space="0" w:color="auto"/>
        <w:left w:val="none" w:sz="0" w:space="0" w:color="auto"/>
        <w:bottom w:val="none" w:sz="0" w:space="0" w:color="auto"/>
        <w:right w:val="none" w:sz="0" w:space="0" w:color="auto"/>
      </w:divBdr>
    </w:div>
    <w:div w:id="213123502">
      <w:marLeft w:val="0"/>
      <w:marRight w:val="0"/>
      <w:marTop w:val="0"/>
      <w:marBottom w:val="0"/>
      <w:divBdr>
        <w:top w:val="none" w:sz="0" w:space="0" w:color="auto"/>
        <w:left w:val="none" w:sz="0" w:space="0" w:color="auto"/>
        <w:bottom w:val="none" w:sz="0" w:space="0" w:color="auto"/>
        <w:right w:val="none" w:sz="0" w:space="0" w:color="auto"/>
      </w:divBdr>
    </w:div>
    <w:div w:id="213123503">
      <w:marLeft w:val="0"/>
      <w:marRight w:val="0"/>
      <w:marTop w:val="0"/>
      <w:marBottom w:val="0"/>
      <w:divBdr>
        <w:top w:val="none" w:sz="0" w:space="0" w:color="auto"/>
        <w:left w:val="none" w:sz="0" w:space="0" w:color="auto"/>
        <w:bottom w:val="none" w:sz="0" w:space="0" w:color="auto"/>
        <w:right w:val="none" w:sz="0" w:space="0" w:color="auto"/>
      </w:divBdr>
    </w:div>
    <w:div w:id="213123504">
      <w:marLeft w:val="0"/>
      <w:marRight w:val="0"/>
      <w:marTop w:val="0"/>
      <w:marBottom w:val="0"/>
      <w:divBdr>
        <w:top w:val="none" w:sz="0" w:space="0" w:color="auto"/>
        <w:left w:val="none" w:sz="0" w:space="0" w:color="auto"/>
        <w:bottom w:val="none" w:sz="0" w:space="0" w:color="auto"/>
        <w:right w:val="none" w:sz="0" w:space="0" w:color="auto"/>
      </w:divBdr>
    </w:div>
    <w:div w:id="213123505">
      <w:marLeft w:val="0"/>
      <w:marRight w:val="0"/>
      <w:marTop w:val="0"/>
      <w:marBottom w:val="0"/>
      <w:divBdr>
        <w:top w:val="none" w:sz="0" w:space="0" w:color="auto"/>
        <w:left w:val="none" w:sz="0" w:space="0" w:color="auto"/>
        <w:bottom w:val="none" w:sz="0" w:space="0" w:color="auto"/>
        <w:right w:val="none" w:sz="0" w:space="0" w:color="auto"/>
      </w:divBdr>
    </w:div>
    <w:div w:id="213123506">
      <w:marLeft w:val="0"/>
      <w:marRight w:val="0"/>
      <w:marTop w:val="0"/>
      <w:marBottom w:val="0"/>
      <w:divBdr>
        <w:top w:val="none" w:sz="0" w:space="0" w:color="auto"/>
        <w:left w:val="none" w:sz="0" w:space="0" w:color="auto"/>
        <w:bottom w:val="none" w:sz="0" w:space="0" w:color="auto"/>
        <w:right w:val="none" w:sz="0" w:space="0" w:color="auto"/>
      </w:divBdr>
    </w:div>
    <w:div w:id="213123507">
      <w:marLeft w:val="0"/>
      <w:marRight w:val="0"/>
      <w:marTop w:val="0"/>
      <w:marBottom w:val="0"/>
      <w:divBdr>
        <w:top w:val="none" w:sz="0" w:space="0" w:color="auto"/>
        <w:left w:val="none" w:sz="0" w:space="0" w:color="auto"/>
        <w:bottom w:val="none" w:sz="0" w:space="0" w:color="auto"/>
        <w:right w:val="none" w:sz="0" w:space="0" w:color="auto"/>
      </w:divBdr>
    </w:div>
    <w:div w:id="213123508">
      <w:marLeft w:val="0"/>
      <w:marRight w:val="0"/>
      <w:marTop w:val="0"/>
      <w:marBottom w:val="0"/>
      <w:divBdr>
        <w:top w:val="none" w:sz="0" w:space="0" w:color="auto"/>
        <w:left w:val="none" w:sz="0" w:space="0" w:color="auto"/>
        <w:bottom w:val="none" w:sz="0" w:space="0" w:color="auto"/>
        <w:right w:val="none" w:sz="0" w:space="0" w:color="auto"/>
      </w:divBdr>
    </w:div>
    <w:div w:id="213123509">
      <w:marLeft w:val="0"/>
      <w:marRight w:val="0"/>
      <w:marTop w:val="0"/>
      <w:marBottom w:val="0"/>
      <w:divBdr>
        <w:top w:val="none" w:sz="0" w:space="0" w:color="auto"/>
        <w:left w:val="none" w:sz="0" w:space="0" w:color="auto"/>
        <w:bottom w:val="none" w:sz="0" w:space="0" w:color="auto"/>
        <w:right w:val="none" w:sz="0" w:space="0" w:color="auto"/>
      </w:divBdr>
    </w:div>
    <w:div w:id="213123510">
      <w:marLeft w:val="0"/>
      <w:marRight w:val="0"/>
      <w:marTop w:val="0"/>
      <w:marBottom w:val="0"/>
      <w:divBdr>
        <w:top w:val="none" w:sz="0" w:space="0" w:color="auto"/>
        <w:left w:val="none" w:sz="0" w:space="0" w:color="auto"/>
        <w:bottom w:val="none" w:sz="0" w:space="0" w:color="auto"/>
        <w:right w:val="none" w:sz="0" w:space="0" w:color="auto"/>
      </w:divBdr>
    </w:div>
    <w:div w:id="213123511">
      <w:marLeft w:val="0"/>
      <w:marRight w:val="0"/>
      <w:marTop w:val="0"/>
      <w:marBottom w:val="0"/>
      <w:divBdr>
        <w:top w:val="none" w:sz="0" w:space="0" w:color="auto"/>
        <w:left w:val="none" w:sz="0" w:space="0" w:color="auto"/>
        <w:bottom w:val="none" w:sz="0" w:space="0" w:color="auto"/>
        <w:right w:val="none" w:sz="0" w:space="0" w:color="auto"/>
      </w:divBdr>
    </w:div>
    <w:div w:id="213123512">
      <w:marLeft w:val="0"/>
      <w:marRight w:val="0"/>
      <w:marTop w:val="0"/>
      <w:marBottom w:val="0"/>
      <w:divBdr>
        <w:top w:val="none" w:sz="0" w:space="0" w:color="auto"/>
        <w:left w:val="none" w:sz="0" w:space="0" w:color="auto"/>
        <w:bottom w:val="none" w:sz="0" w:space="0" w:color="auto"/>
        <w:right w:val="none" w:sz="0" w:space="0" w:color="auto"/>
      </w:divBdr>
    </w:div>
    <w:div w:id="213123513">
      <w:marLeft w:val="0"/>
      <w:marRight w:val="0"/>
      <w:marTop w:val="0"/>
      <w:marBottom w:val="0"/>
      <w:divBdr>
        <w:top w:val="none" w:sz="0" w:space="0" w:color="auto"/>
        <w:left w:val="none" w:sz="0" w:space="0" w:color="auto"/>
        <w:bottom w:val="none" w:sz="0" w:space="0" w:color="auto"/>
        <w:right w:val="none" w:sz="0" w:space="0" w:color="auto"/>
      </w:divBdr>
    </w:div>
    <w:div w:id="213123514">
      <w:marLeft w:val="0"/>
      <w:marRight w:val="0"/>
      <w:marTop w:val="0"/>
      <w:marBottom w:val="0"/>
      <w:divBdr>
        <w:top w:val="none" w:sz="0" w:space="0" w:color="auto"/>
        <w:left w:val="none" w:sz="0" w:space="0" w:color="auto"/>
        <w:bottom w:val="none" w:sz="0" w:space="0" w:color="auto"/>
        <w:right w:val="none" w:sz="0" w:space="0" w:color="auto"/>
      </w:divBdr>
    </w:div>
    <w:div w:id="213123515">
      <w:marLeft w:val="0"/>
      <w:marRight w:val="0"/>
      <w:marTop w:val="0"/>
      <w:marBottom w:val="0"/>
      <w:divBdr>
        <w:top w:val="none" w:sz="0" w:space="0" w:color="auto"/>
        <w:left w:val="none" w:sz="0" w:space="0" w:color="auto"/>
        <w:bottom w:val="none" w:sz="0" w:space="0" w:color="auto"/>
        <w:right w:val="none" w:sz="0" w:space="0" w:color="auto"/>
      </w:divBdr>
    </w:div>
    <w:div w:id="213123516">
      <w:marLeft w:val="0"/>
      <w:marRight w:val="0"/>
      <w:marTop w:val="0"/>
      <w:marBottom w:val="0"/>
      <w:divBdr>
        <w:top w:val="none" w:sz="0" w:space="0" w:color="auto"/>
        <w:left w:val="none" w:sz="0" w:space="0" w:color="auto"/>
        <w:bottom w:val="none" w:sz="0" w:space="0" w:color="auto"/>
        <w:right w:val="none" w:sz="0" w:space="0" w:color="auto"/>
      </w:divBdr>
    </w:div>
    <w:div w:id="213123517">
      <w:marLeft w:val="0"/>
      <w:marRight w:val="0"/>
      <w:marTop w:val="0"/>
      <w:marBottom w:val="0"/>
      <w:divBdr>
        <w:top w:val="none" w:sz="0" w:space="0" w:color="auto"/>
        <w:left w:val="none" w:sz="0" w:space="0" w:color="auto"/>
        <w:bottom w:val="none" w:sz="0" w:space="0" w:color="auto"/>
        <w:right w:val="none" w:sz="0" w:space="0" w:color="auto"/>
      </w:divBdr>
    </w:div>
    <w:div w:id="213123518">
      <w:marLeft w:val="0"/>
      <w:marRight w:val="0"/>
      <w:marTop w:val="0"/>
      <w:marBottom w:val="0"/>
      <w:divBdr>
        <w:top w:val="none" w:sz="0" w:space="0" w:color="auto"/>
        <w:left w:val="none" w:sz="0" w:space="0" w:color="auto"/>
        <w:bottom w:val="none" w:sz="0" w:space="0" w:color="auto"/>
        <w:right w:val="none" w:sz="0" w:space="0" w:color="auto"/>
      </w:divBdr>
    </w:div>
    <w:div w:id="213123519">
      <w:marLeft w:val="0"/>
      <w:marRight w:val="0"/>
      <w:marTop w:val="0"/>
      <w:marBottom w:val="0"/>
      <w:divBdr>
        <w:top w:val="none" w:sz="0" w:space="0" w:color="auto"/>
        <w:left w:val="none" w:sz="0" w:space="0" w:color="auto"/>
        <w:bottom w:val="none" w:sz="0" w:space="0" w:color="auto"/>
        <w:right w:val="none" w:sz="0" w:space="0" w:color="auto"/>
      </w:divBdr>
    </w:div>
    <w:div w:id="213123520">
      <w:marLeft w:val="0"/>
      <w:marRight w:val="0"/>
      <w:marTop w:val="0"/>
      <w:marBottom w:val="0"/>
      <w:divBdr>
        <w:top w:val="none" w:sz="0" w:space="0" w:color="auto"/>
        <w:left w:val="none" w:sz="0" w:space="0" w:color="auto"/>
        <w:bottom w:val="none" w:sz="0" w:space="0" w:color="auto"/>
        <w:right w:val="none" w:sz="0" w:space="0" w:color="auto"/>
      </w:divBdr>
    </w:div>
    <w:div w:id="213123521">
      <w:marLeft w:val="0"/>
      <w:marRight w:val="0"/>
      <w:marTop w:val="0"/>
      <w:marBottom w:val="0"/>
      <w:divBdr>
        <w:top w:val="none" w:sz="0" w:space="0" w:color="auto"/>
        <w:left w:val="none" w:sz="0" w:space="0" w:color="auto"/>
        <w:bottom w:val="none" w:sz="0" w:space="0" w:color="auto"/>
        <w:right w:val="none" w:sz="0" w:space="0" w:color="auto"/>
      </w:divBdr>
    </w:div>
    <w:div w:id="213123522">
      <w:marLeft w:val="0"/>
      <w:marRight w:val="0"/>
      <w:marTop w:val="0"/>
      <w:marBottom w:val="0"/>
      <w:divBdr>
        <w:top w:val="none" w:sz="0" w:space="0" w:color="auto"/>
        <w:left w:val="none" w:sz="0" w:space="0" w:color="auto"/>
        <w:bottom w:val="none" w:sz="0" w:space="0" w:color="auto"/>
        <w:right w:val="none" w:sz="0" w:space="0" w:color="auto"/>
      </w:divBdr>
    </w:div>
    <w:div w:id="213123523">
      <w:marLeft w:val="0"/>
      <w:marRight w:val="0"/>
      <w:marTop w:val="0"/>
      <w:marBottom w:val="0"/>
      <w:divBdr>
        <w:top w:val="none" w:sz="0" w:space="0" w:color="auto"/>
        <w:left w:val="none" w:sz="0" w:space="0" w:color="auto"/>
        <w:bottom w:val="none" w:sz="0" w:space="0" w:color="auto"/>
        <w:right w:val="none" w:sz="0" w:space="0" w:color="auto"/>
      </w:divBdr>
    </w:div>
    <w:div w:id="213123525">
      <w:marLeft w:val="0"/>
      <w:marRight w:val="0"/>
      <w:marTop w:val="0"/>
      <w:marBottom w:val="0"/>
      <w:divBdr>
        <w:top w:val="none" w:sz="0" w:space="0" w:color="auto"/>
        <w:left w:val="none" w:sz="0" w:space="0" w:color="auto"/>
        <w:bottom w:val="none" w:sz="0" w:space="0" w:color="auto"/>
        <w:right w:val="none" w:sz="0" w:space="0" w:color="auto"/>
      </w:divBdr>
    </w:div>
    <w:div w:id="213123526">
      <w:marLeft w:val="0"/>
      <w:marRight w:val="0"/>
      <w:marTop w:val="0"/>
      <w:marBottom w:val="0"/>
      <w:divBdr>
        <w:top w:val="none" w:sz="0" w:space="0" w:color="auto"/>
        <w:left w:val="none" w:sz="0" w:space="0" w:color="auto"/>
        <w:bottom w:val="none" w:sz="0" w:space="0" w:color="auto"/>
        <w:right w:val="none" w:sz="0" w:space="0" w:color="auto"/>
      </w:divBdr>
    </w:div>
    <w:div w:id="213123527">
      <w:marLeft w:val="0"/>
      <w:marRight w:val="0"/>
      <w:marTop w:val="0"/>
      <w:marBottom w:val="0"/>
      <w:divBdr>
        <w:top w:val="none" w:sz="0" w:space="0" w:color="auto"/>
        <w:left w:val="none" w:sz="0" w:space="0" w:color="auto"/>
        <w:bottom w:val="none" w:sz="0" w:space="0" w:color="auto"/>
        <w:right w:val="none" w:sz="0" w:space="0" w:color="auto"/>
      </w:divBdr>
    </w:div>
    <w:div w:id="213123528">
      <w:marLeft w:val="0"/>
      <w:marRight w:val="0"/>
      <w:marTop w:val="0"/>
      <w:marBottom w:val="0"/>
      <w:divBdr>
        <w:top w:val="none" w:sz="0" w:space="0" w:color="auto"/>
        <w:left w:val="none" w:sz="0" w:space="0" w:color="auto"/>
        <w:bottom w:val="none" w:sz="0" w:space="0" w:color="auto"/>
        <w:right w:val="none" w:sz="0" w:space="0" w:color="auto"/>
      </w:divBdr>
    </w:div>
    <w:div w:id="213123529">
      <w:marLeft w:val="0"/>
      <w:marRight w:val="0"/>
      <w:marTop w:val="0"/>
      <w:marBottom w:val="0"/>
      <w:divBdr>
        <w:top w:val="none" w:sz="0" w:space="0" w:color="auto"/>
        <w:left w:val="none" w:sz="0" w:space="0" w:color="auto"/>
        <w:bottom w:val="none" w:sz="0" w:space="0" w:color="auto"/>
        <w:right w:val="none" w:sz="0" w:space="0" w:color="auto"/>
      </w:divBdr>
    </w:div>
    <w:div w:id="213123530">
      <w:marLeft w:val="0"/>
      <w:marRight w:val="0"/>
      <w:marTop w:val="0"/>
      <w:marBottom w:val="0"/>
      <w:divBdr>
        <w:top w:val="none" w:sz="0" w:space="0" w:color="auto"/>
        <w:left w:val="none" w:sz="0" w:space="0" w:color="auto"/>
        <w:bottom w:val="none" w:sz="0" w:space="0" w:color="auto"/>
        <w:right w:val="none" w:sz="0" w:space="0" w:color="auto"/>
      </w:divBdr>
    </w:div>
    <w:div w:id="213123531">
      <w:marLeft w:val="0"/>
      <w:marRight w:val="0"/>
      <w:marTop w:val="0"/>
      <w:marBottom w:val="0"/>
      <w:divBdr>
        <w:top w:val="none" w:sz="0" w:space="0" w:color="auto"/>
        <w:left w:val="none" w:sz="0" w:space="0" w:color="auto"/>
        <w:bottom w:val="none" w:sz="0" w:space="0" w:color="auto"/>
        <w:right w:val="none" w:sz="0" w:space="0" w:color="auto"/>
      </w:divBdr>
    </w:div>
    <w:div w:id="213123532">
      <w:marLeft w:val="0"/>
      <w:marRight w:val="0"/>
      <w:marTop w:val="0"/>
      <w:marBottom w:val="0"/>
      <w:divBdr>
        <w:top w:val="none" w:sz="0" w:space="0" w:color="auto"/>
        <w:left w:val="none" w:sz="0" w:space="0" w:color="auto"/>
        <w:bottom w:val="none" w:sz="0" w:space="0" w:color="auto"/>
        <w:right w:val="none" w:sz="0" w:space="0" w:color="auto"/>
      </w:divBdr>
    </w:div>
    <w:div w:id="213123533">
      <w:marLeft w:val="0"/>
      <w:marRight w:val="0"/>
      <w:marTop w:val="0"/>
      <w:marBottom w:val="0"/>
      <w:divBdr>
        <w:top w:val="none" w:sz="0" w:space="0" w:color="auto"/>
        <w:left w:val="none" w:sz="0" w:space="0" w:color="auto"/>
        <w:bottom w:val="none" w:sz="0" w:space="0" w:color="auto"/>
        <w:right w:val="none" w:sz="0" w:space="0" w:color="auto"/>
      </w:divBdr>
    </w:div>
    <w:div w:id="213123534">
      <w:marLeft w:val="0"/>
      <w:marRight w:val="0"/>
      <w:marTop w:val="0"/>
      <w:marBottom w:val="0"/>
      <w:divBdr>
        <w:top w:val="none" w:sz="0" w:space="0" w:color="auto"/>
        <w:left w:val="none" w:sz="0" w:space="0" w:color="auto"/>
        <w:bottom w:val="none" w:sz="0" w:space="0" w:color="auto"/>
        <w:right w:val="none" w:sz="0" w:space="0" w:color="auto"/>
      </w:divBdr>
    </w:div>
    <w:div w:id="213123535">
      <w:marLeft w:val="0"/>
      <w:marRight w:val="0"/>
      <w:marTop w:val="0"/>
      <w:marBottom w:val="0"/>
      <w:divBdr>
        <w:top w:val="none" w:sz="0" w:space="0" w:color="auto"/>
        <w:left w:val="none" w:sz="0" w:space="0" w:color="auto"/>
        <w:bottom w:val="none" w:sz="0" w:space="0" w:color="auto"/>
        <w:right w:val="none" w:sz="0" w:space="0" w:color="auto"/>
      </w:divBdr>
    </w:div>
    <w:div w:id="213123537">
      <w:marLeft w:val="0"/>
      <w:marRight w:val="0"/>
      <w:marTop w:val="0"/>
      <w:marBottom w:val="0"/>
      <w:divBdr>
        <w:top w:val="none" w:sz="0" w:space="0" w:color="auto"/>
        <w:left w:val="none" w:sz="0" w:space="0" w:color="auto"/>
        <w:bottom w:val="none" w:sz="0" w:space="0" w:color="auto"/>
        <w:right w:val="none" w:sz="0" w:space="0" w:color="auto"/>
      </w:divBdr>
    </w:div>
    <w:div w:id="213123538">
      <w:marLeft w:val="0"/>
      <w:marRight w:val="0"/>
      <w:marTop w:val="0"/>
      <w:marBottom w:val="0"/>
      <w:divBdr>
        <w:top w:val="none" w:sz="0" w:space="0" w:color="auto"/>
        <w:left w:val="none" w:sz="0" w:space="0" w:color="auto"/>
        <w:bottom w:val="none" w:sz="0" w:space="0" w:color="auto"/>
        <w:right w:val="none" w:sz="0" w:space="0" w:color="auto"/>
      </w:divBdr>
    </w:div>
    <w:div w:id="213123539">
      <w:marLeft w:val="0"/>
      <w:marRight w:val="0"/>
      <w:marTop w:val="0"/>
      <w:marBottom w:val="0"/>
      <w:divBdr>
        <w:top w:val="none" w:sz="0" w:space="0" w:color="auto"/>
        <w:left w:val="none" w:sz="0" w:space="0" w:color="auto"/>
        <w:bottom w:val="none" w:sz="0" w:space="0" w:color="auto"/>
        <w:right w:val="none" w:sz="0" w:space="0" w:color="auto"/>
      </w:divBdr>
    </w:div>
    <w:div w:id="213123540">
      <w:marLeft w:val="0"/>
      <w:marRight w:val="0"/>
      <w:marTop w:val="0"/>
      <w:marBottom w:val="0"/>
      <w:divBdr>
        <w:top w:val="none" w:sz="0" w:space="0" w:color="auto"/>
        <w:left w:val="none" w:sz="0" w:space="0" w:color="auto"/>
        <w:bottom w:val="none" w:sz="0" w:space="0" w:color="auto"/>
        <w:right w:val="none" w:sz="0" w:space="0" w:color="auto"/>
      </w:divBdr>
    </w:div>
    <w:div w:id="213123541">
      <w:marLeft w:val="0"/>
      <w:marRight w:val="0"/>
      <w:marTop w:val="0"/>
      <w:marBottom w:val="0"/>
      <w:divBdr>
        <w:top w:val="none" w:sz="0" w:space="0" w:color="auto"/>
        <w:left w:val="none" w:sz="0" w:space="0" w:color="auto"/>
        <w:bottom w:val="none" w:sz="0" w:space="0" w:color="auto"/>
        <w:right w:val="none" w:sz="0" w:space="0" w:color="auto"/>
      </w:divBdr>
    </w:div>
    <w:div w:id="213123542">
      <w:marLeft w:val="0"/>
      <w:marRight w:val="0"/>
      <w:marTop w:val="0"/>
      <w:marBottom w:val="0"/>
      <w:divBdr>
        <w:top w:val="none" w:sz="0" w:space="0" w:color="auto"/>
        <w:left w:val="none" w:sz="0" w:space="0" w:color="auto"/>
        <w:bottom w:val="none" w:sz="0" w:space="0" w:color="auto"/>
        <w:right w:val="none" w:sz="0" w:space="0" w:color="auto"/>
      </w:divBdr>
    </w:div>
    <w:div w:id="213123543">
      <w:marLeft w:val="0"/>
      <w:marRight w:val="0"/>
      <w:marTop w:val="0"/>
      <w:marBottom w:val="0"/>
      <w:divBdr>
        <w:top w:val="none" w:sz="0" w:space="0" w:color="auto"/>
        <w:left w:val="none" w:sz="0" w:space="0" w:color="auto"/>
        <w:bottom w:val="none" w:sz="0" w:space="0" w:color="auto"/>
        <w:right w:val="none" w:sz="0" w:space="0" w:color="auto"/>
      </w:divBdr>
    </w:div>
    <w:div w:id="213123544">
      <w:marLeft w:val="0"/>
      <w:marRight w:val="0"/>
      <w:marTop w:val="0"/>
      <w:marBottom w:val="0"/>
      <w:divBdr>
        <w:top w:val="none" w:sz="0" w:space="0" w:color="auto"/>
        <w:left w:val="none" w:sz="0" w:space="0" w:color="auto"/>
        <w:bottom w:val="none" w:sz="0" w:space="0" w:color="auto"/>
        <w:right w:val="none" w:sz="0" w:space="0" w:color="auto"/>
      </w:divBdr>
    </w:div>
    <w:div w:id="213123545">
      <w:marLeft w:val="0"/>
      <w:marRight w:val="0"/>
      <w:marTop w:val="0"/>
      <w:marBottom w:val="0"/>
      <w:divBdr>
        <w:top w:val="none" w:sz="0" w:space="0" w:color="auto"/>
        <w:left w:val="none" w:sz="0" w:space="0" w:color="auto"/>
        <w:bottom w:val="none" w:sz="0" w:space="0" w:color="auto"/>
        <w:right w:val="none" w:sz="0" w:space="0" w:color="auto"/>
      </w:divBdr>
    </w:div>
    <w:div w:id="213123546">
      <w:marLeft w:val="0"/>
      <w:marRight w:val="0"/>
      <w:marTop w:val="0"/>
      <w:marBottom w:val="0"/>
      <w:divBdr>
        <w:top w:val="none" w:sz="0" w:space="0" w:color="auto"/>
        <w:left w:val="none" w:sz="0" w:space="0" w:color="auto"/>
        <w:bottom w:val="none" w:sz="0" w:space="0" w:color="auto"/>
        <w:right w:val="none" w:sz="0" w:space="0" w:color="auto"/>
      </w:divBdr>
    </w:div>
    <w:div w:id="213123547">
      <w:marLeft w:val="0"/>
      <w:marRight w:val="0"/>
      <w:marTop w:val="0"/>
      <w:marBottom w:val="0"/>
      <w:divBdr>
        <w:top w:val="none" w:sz="0" w:space="0" w:color="auto"/>
        <w:left w:val="none" w:sz="0" w:space="0" w:color="auto"/>
        <w:bottom w:val="none" w:sz="0" w:space="0" w:color="auto"/>
        <w:right w:val="none" w:sz="0" w:space="0" w:color="auto"/>
      </w:divBdr>
    </w:div>
    <w:div w:id="213123548">
      <w:marLeft w:val="0"/>
      <w:marRight w:val="0"/>
      <w:marTop w:val="0"/>
      <w:marBottom w:val="0"/>
      <w:divBdr>
        <w:top w:val="none" w:sz="0" w:space="0" w:color="auto"/>
        <w:left w:val="none" w:sz="0" w:space="0" w:color="auto"/>
        <w:bottom w:val="none" w:sz="0" w:space="0" w:color="auto"/>
        <w:right w:val="none" w:sz="0" w:space="0" w:color="auto"/>
      </w:divBdr>
    </w:div>
    <w:div w:id="213123549">
      <w:marLeft w:val="0"/>
      <w:marRight w:val="0"/>
      <w:marTop w:val="0"/>
      <w:marBottom w:val="0"/>
      <w:divBdr>
        <w:top w:val="none" w:sz="0" w:space="0" w:color="auto"/>
        <w:left w:val="none" w:sz="0" w:space="0" w:color="auto"/>
        <w:bottom w:val="none" w:sz="0" w:space="0" w:color="auto"/>
        <w:right w:val="none" w:sz="0" w:space="0" w:color="auto"/>
      </w:divBdr>
    </w:div>
    <w:div w:id="213123550">
      <w:marLeft w:val="0"/>
      <w:marRight w:val="0"/>
      <w:marTop w:val="0"/>
      <w:marBottom w:val="0"/>
      <w:divBdr>
        <w:top w:val="none" w:sz="0" w:space="0" w:color="auto"/>
        <w:left w:val="none" w:sz="0" w:space="0" w:color="auto"/>
        <w:bottom w:val="none" w:sz="0" w:space="0" w:color="auto"/>
        <w:right w:val="none" w:sz="0" w:space="0" w:color="auto"/>
      </w:divBdr>
    </w:div>
    <w:div w:id="213123551">
      <w:marLeft w:val="0"/>
      <w:marRight w:val="0"/>
      <w:marTop w:val="0"/>
      <w:marBottom w:val="0"/>
      <w:divBdr>
        <w:top w:val="none" w:sz="0" w:space="0" w:color="auto"/>
        <w:left w:val="none" w:sz="0" w:space="0" w:color="auto"/>
        <w:bottom w:val="none" w:sz="0" w:space="0" w:color="auto"/>
        <w:right w:val="none" w:sz="0" w:space="0" w:color="auto"/>
      </w:divBdr>
    </w:div>
    <w:div w:id="213123552">
      <w:marLeft w:val="0"/>
      <w:marRight w:val="0"/>
      <w:marTop w:val="0"/>
      <w:marBottom w:val="0"/>
      <w:divBdr>
        <w:top w:val="none" w:sz="0" w:space="0" w:color="auto"/>
        <w:left w:val="none" w:sz="0" w:space="0" w:color="auto"/>
        <w:bottom w:val="none" w:sz="0" w:space="0" w:color="auto"/>
        <w:right w:val="none" w:sz="0" w:space="0" w:color="auto"/>
      </w:divBdr>
    </w:div>
    <w:div w:id="213123553">
      <w:marLeft w:val="0"/>
      <w:marRight w:val="0"/>
      <w:marTop w:val="0"/>
      <w:marBottom w:val="0"/>
      <w:divBdr>
        <w:top w:val="none" w:sz="0" w:space="0" w:color="auto"/>
        <w:left w:val="none" w:sz="0" w:space="0" w:color="auto"/>
        <w:bottom w:val="none" w:sz="0" w:space="0" w:color="auto"/>
        <w:right w:val="none" w:sz="0" w:space="0" w:color="auto"/>
      </w:divBdr>
    </w:div>
    <w:div w:id="213123554">
      <w:marLeft w:val="0"/>
      <w:marRight w:val="0"/>
      <w:marTop w:val="0"/>
      <w:marBottom w:val="0"/>
      <w:divBdr>
        <w:top w:val="none" w:sz="0" w:space="0" w:color="auto"/>
        <w:left w:val="none" w:sz="0" w:space="0" w:color="auto"/>
        <w:bottom w:val="none" w:sz="0" w:space="0" w:color="auto"/>
        <w:right w:val="none" w:sz="0" w:space="0" w:color="auto"/>
      </w:divBdr>
    </w:div>
    <w:div w:id="213123555">
      <w:marLeft w:val="0"/>
      <w:marRight w:val="0"/>
      <w:marTop w:val="0"/>
      <w:marBottom w:val="0"/>
      <w:divBdr>
        <w:top w:val="none" w:sz="0" w:space="0" w:color="auto"/>
        <w:left w:val="none" w:sz="0" w:space="0" w:color="auto"/>
        <w:bottom w:val="none" w:sz="0" w:space="0" w:color="auto"/>
        <w:right w:val="none" w:sz="0" w:space="0" w:color="auto"/>
      </w:divBdr>
    </w:div>
    <w:div w:id="213123556">
      <w:marLeft w:val="0"/>
      <w:marRight w:val="0"/>
      <w:marTop w:val="0"/>
      <w:marBottom w:val="0"/>
      <w:divBdr>
        <w:top w:val="none" w:sz="0" w:space="0" w:color="auto"/>
        <w:left w:val="none" w:sz="0" w:space="0" w:color="auto"/>
        <w:bottom w:val="none" w:sz="0" w:space="0" w:color="auto"/>
        <w:right w:val="none" w:sz="0" w:space="0" w:color="auto"/>
      </w:divBdr>
    </w:div>
    <w:div w:id="213123557">
      <w:marLeft w:val="0"/>
      <w:marRight w:val="0"/>
      <w:marTop w:val="0"/>
      <w:marBottom w:val="0"/>
      <w:divBdr>
        <w:top w:val="none" w:sz="0" w:space="0" w:color="auto"/>
        <w:left w:val="none" w:sz="0" w:space="0" w:color="auto"/>
        <w:bottom w:val="none" w:sz="0" w:space="0" w:color="auto"/>
        <w:right w:val="none" w:sz="0" w:space="0" w:color="auto"/>
      </w:divBdr>
    </w:div>
    <w:div w:id="213123558">
      <w:marLeft w:val="0"/>
      <w:marRight w:val="0"/>
      <w:marTop w:val="0"/>
      <w:marBottom w:val="0"/>
      <w:divBdr>
        <w:top w:val="none" w:sz="0" w:space="0" w:color="auto"/>
        <w:left w:val="none" w:sz="0" w:space="0" w:color="auto"/>
        <w:bottom w:val="none" w:sz="0" w:space="0" w:color="auto"/>
        <w:right w:val="none" w:sz="0" w:space="0" w:color="auto"/>
      </w:divBdr>
    </w:div>
    <w:div w:id="213123559">
      <w:marLeft w:val="0"/>
      <w:marRight w:val="0"/>
      <w:marTop w:val="0"/>
      <w:marBottom w:val="0"/>
      <w:divBdr>
        <w:top w:val="none" w:sz="0" w:space="0" w:color="auto"/>
        <w:left w:val="none" w:sz="0" w:space="0" w:color="auto"/>
        <w:bottom w:val="none" w:sz="0" w:space="0" w:color="auto"/>
        <w:right w:val="none" w:sz="0" w:space="0" w:color="auto"/>
      </w:divBdr>
    </w:div>
    <w:div w:id="213123560">
      <w:marLeft w:val="0"/>
      <w:marRight w:val="0"/>
      <w:marTop w:val="0"/>
      <w:marBottom w:val="0"/>
      <w:divBdr>
        <w:top w:val="none" w:sz="0" w:space="0" w:color="auto"/>
        <w:left w:val="none" w:sz="0" w:space="0" w:color="auto"/>
        <w:bottom w:val="none" w:sz="0" w:space="0" w:color="auto"/>
        <w:right w:val="none" w:sz="0" w:space="0" w:color="auto"/>
      </w:divBdr>
    </w:div>
    <w:div w:id="213123561">
      <w:marLeft w:val="0"/>
      <w:marRight w:val="0"/>
      <w:marTop w:val="0"/>
      <w:marBottom w:val="0"/>
      <w:divBdr>
        <w:top w:val="none" w:sz="0" w:space="0" w:color="auto"/>
        <w:left w:val="none" w:sz="0" w:space="0" w:color="auto"/>
        <w:bottom w:val="none" w:sz="0" w:space="0" w:color="auto"/>
        <w:right w:val="none" w:sz="0" w:space="0" w:color="auto"/>
      </w:divBdr>
    </w:div>
    <w:div w:id="213123562">
      <w:marLeft w:val="0"/>
      <w:marRight w:val="0"/>
      <w:marTop w:val="0"/>
      <w:marBottom w:val="0"/>
      <w:divBdr>
        <w:top w:val="none" w:sz="0" w:space="0" w:color="auto"/>
        <w:left w:val="none" w:sz="0" w:space="0" w:color="auto"/>
        <w:bottom w:val="none" w:sz="0" w:space="0" w:color="auto"/>
        <w:right w:val="none" w:sz="0" w:space="0" w:color="auto"/>
      </w:divBdr>
    </w:div>
    <w:div w:id="213123563">
      <w:marLeft w:val="0"/>
      <w:marRight w:val="0"/>
      <w:marTop w:val="0"/>
      <w:marBottom w:val="0"/>
      <w:divBdr>
        <w:top w:val="none" w:sz="0" w:space="0" w:color="auto"/>
        <w:left w:val="none" w:sz="0" w:space="0" w:color="auto"/>
        <w:bottom w:val="none" w:sz="0" w:space="0" w:color="auto"/>
        <w:right w:val="none" w:sz="0" w:space="0" w:color="auto"/>
      </w:divBdr>
    </w:div>
    <w:div w:id="213123564">
      <w:marLeft w:val="0"/>
      <w:marRight w:val="0"/>
      <w:marTop w:val="0"/>
      <w:marBottom w:val="0"/>
      <w:divBdr>
        <w:top w:val="none" w:sz="0" w:space="0" w:color="auto"/>
        <w:left w:val="none" w:sz="0" w:space="0" w:color="auto"/>
        <w:bottom w:val="none" w:sz="0" w:space="0" w:color="auto"/>
        <w:right w:val="none" w:sz="0" w:space="0" w:color="auto"/>
      </w:divBdr>
    </w:div>
    <w:div w:id="213123565">
      <w:marLeft w:val="0"/>
      <w:marRight w:val="0"/>
      <w:marTop w:val="0"/>
      <w:marBottom w:val="0"/>
      <w:divBdr>
        <w:top w:val="none" w:sz="0" w:space="0" w:color="auto"/>
        <w:left w:val="none" w:sz="0" w:space="0" w:color="auto"/>
        <w:bottom w:val="none" w:sz="0" w:space="0" w:color="auto"/>
        <w:right w:val="none" w:sz="0" w:space="0" w:color="auto"/>
      </w:divBdr>
    </w:div>
    <w:div w:id="213123566">
      <w:marLeft w:val="0"/>
      <w:marRight w:val="0"/>
      <w:marTop w:val="0"/>
      <w:marBottom w:val="0"/>
      <w:divBdr>
        <w:top w:val="none" w:sz="0" w:space="0" w:color="auto"/>
        <w:left w:val="none" w:sz="0" w:space="0" w:color="auto"/>
        <w:bottom w:val="none" w:sz="0" w:space="0" w:color="auto"/>
        <w:right w:val="none" w:sz="0" w:space="0" w:color="auto"/>
      </w:divBdr>
    </w:div>
    <w:div w:id="213123567">
      <w:marLeft w:val="0"/>
      <w:marRight w:val="0"/>
      <w:marTop w:val="0"/>
      <w:marBottom w:val="0"/>
      <w:divBdr>
        <w:top w:val="none" w:sz="0" w:space="0" w:color="auto"/>
        <w:left w:val="none" w:sz="0" w:space="0" w:color="auto"/>
        <w:bottom w:val="none" w:sz="0" w:space="0" w:color="auto"/>
        <w:right w:val="none" w:sz="0" w:space="0" w:color="auto"/>
      </w:divBdr>
    </w:div>
    <w:div w:id="213123568">
      <w:marLeft w:val="0"/>
      <w:marRight w:val="0"/>
      <w:marTop w:val="0"/>
      <w:marBottom w:val="0"/>
      <w:divBdr>
        <w:top w:val="none" w:sz="0" w:space="0" w:color="auto"/>
        <w:left w:val="none" w:sz="0" w:space="0" w:color="auto"/>
        <w:bottom w:val="none" w:sz="0" w:space="0" w:color="auto"/>
        <w:right w:val="none" w:sz="0" w:space="0" w:color="auto"/>
      </w:divBdr>
    </w:div>
    <w:div w:id="213123569">
      <w:marLeft w:val="0"/>
      <w:marRight w:val="0"/>
      <w:marTop w:val="0"/>
      <w:marBottom w:val="0"/>
      <w:divBdr>
        <w:top w:val="none" w:sz="0" w:space="0" w:color="auto"/>
        <w:left w:val="none" w:sz="0" w:space="0" w:color="auto"/>
        <w:bottom w:val="none" w:sz="0" w:space="0" w:color="auto"/>
        <w:right w:val="none" w:sz="0" w:space="0" w:color="auto"/>
      </w:divBdr>
    </w:div>
    <w:div w:id="213123570">
      <w:marLeft w:val="0"/>
      <w:marRight w:val="0"/>
      <w:marTop w:val="0"/>
      <w:marBottom w:val="0"/>
      <w:divBdr>
        <w:top w:val="none" w:sz="0" w:space="0" w:color="auto"/>
        <w:left w:val="none" w:sz="0" w:space="0" w:color="auto"/>
        <w:bottom w:val="none" w:sz="0" w:space="0" w:color="auto"/>
        <w:right w:val="none" w:sz="0" w:space="0" w:color="auto"/>
      </w:divBdr>
    </w:div>
    <w:div w:id="213123571">
      <w:marLeft w:val="0"/>
      <w:marRight w:val="0"/>
      <w:marTop w:val="0"/>
      <w:marBottom w:val="0"/>
      <w:divBdr>
        <w:top w:val="none" w:sz="0" w:space="0" w:color="auto"/>
        <w:left w:val="none" w:sz="0" w:space="0" w:color="auto"/>
        <w:bottom w:val="none" w:sz="0" w:space="0" w:color="auto"/>
        <w:right w:val="none" w:sz="0" w:space="0" w:color="auto"/>
      </w:divBdr>
    </w:div>
    <w:div w:id="213123572">
      <w:marLeft w:val="0"/>
      <w:marRight w:val="0"/>
      <w:marTop w:val="0"/>
      <w:marBottom w:val="0"/>
      <w:divBdr>
        <w:top w:val="none" w:sz="0" w:space="0" w:color="auto"/>
        <w:left w:val="none" w:sz="0" w:space="0" w:color="auto"/>
        <w:bottom w:val="none" w:sz="0" w:space="0" w:color="auto"/>
        <w:right w:val="none" w:sz="0" w:space="0" w:color="auto"/>
      </w:divBdr>
    </w:div>
    <w:div w:id="213123573">
      <w:marLeft w:val="0"/>
      <w:marRight w:val="0"/>
      <w:marTop w:val="0"/>
      <w:marBottom w:val="0"/>
      <w:divBdr>
        <w:top w:val="none" w:sz="0" w:space="0" w:color="auto"/>
        <w:left w:val="none" w:sz="0" w:space="0" w:color="auto"/>
        <w:bottom w:val="none" w:sz="0" w:space="0" w:color="auto"/>
        <w:right w:val="none" w:sz="0" w:space="0" w:color="auto"/>
      </w:divBdr>
    </w:div>
    <w:div w:id="213123574">
      <w:marLeft w:val="0"/>
      <w:marRight w:val="0"/>
      <w:marTop w:val="0"/>
      <w:marBottom w:val="0"/>
      <w:divBdr>
        <w:top w:val="none" w:sz="0" w:space="0" w:color="auto"/>
        <w:left w:val="none" w:sz="0" w:space="0" w:color="auto"/>
        <w:bottom w:val="none" w:sz="0" w:space="0" w:color="auto"/>
        <w:right w:val="none" w:sz="0" w:space="0" w:color="auto"/>
      </w:divBdr>
    </w:div>
    <w:div w:id="213123575">
      <w:marLeft w:val="0"/>
      <w:marRight w:val="0"/>
      <w:marTop w:val="0"/>
      <w:marBottom w:val="0"/>
      <w:divBdr>
        <w:top w:val="none" w:sz="0" w:space="0" w:color="auto"/>
        <w:left w:val="none" w:sz="0" w:space="0" w:color="auto"/>
        <w:bottom w:val="none" w:sz="0" w:space="0" w:color="auto"/>
        <w:right w:val="none" w:sz="0" w:space="0" w:color="auto"/>
      </w:divBdr>
    </w:div>
    <w:div w:id="213123576">
      <w:marLeft w:val="0"/>
      <w:marRight w:val="0"/>
      <w:marTop w:val="0"/>
      <w:marBottom w:val="0"/>
      <w:divBdr>
        <w:top w:val="none" w:sz="0" w:space="0" w:color="auto"/>
        <w:left w:val="none" w:sz="0" w:space="0" w:color="auto"/>
        <w:bottom w:val="none" w:sz="0" w:space="0" w:color="auto"/>
        <w:right w:val="none" w:sz="0" w:space="0" w:color="auto"/>
      </w:divBdr>
    </w:div>
    <w:div w:id="213123577">
      <w:marLeft w:val="0"/>
      <w:marRight w:val="0"/>
      <w:marTop w:val="0"/>
      <w:marBottom w:val="0"/>
      <w:divBdr>
        <w:top w:val="none" w:sz="0" w:space="0" w:color="auto"/>
        <w:left w:val="none" w:sz="0" w:space="0" w:color="auto"/>
        <w:bottom w:val="none" w:sz="0" w:space="0" w:color="auto"/>
        <w:right w:val="none" w:sz="0" w:space="0" w:color="auto"/>
      </w:divBdr>
    </w:div>
    <w:div w:id="213123578">
      <w:marLeft w:val="0"/>
      <w:marRight w:val="0"/>
      <w:marTop w:val="0"/>
      <w:marBottom w:val="0"/>
      <w:divBdr>
        <w:top w:val="none" w:sz="0" w:space="0" w:color="auto"/>
        <w:left w:val="none" w:sz="0" w:space="0" w:color="auto"/>
        <w:bottom w:val="none" w:sz="0" w:space="0" w:color="auto"/>
        <w:right w:val="none" w:sz="0" w:space="0" w:color="auto"/>
      </w:divBdr>
    </w:div>
    <w:div w:id="213123579">
      <w:marLeft w:val="0"/>
      <w:marRight w:val="0"/>
      <w:marTop w:val="0"/>
      <w:marBottom w:val="0"/>
      <w:divBdr>
        <w:top w:val="none" w:sz="0" w:space="0" w:color="auto"/>
        <w:left w:val="none" w:sz="0" w:space="0" w:color="auto"/>
        <w:bottom w:val="none" w:sz="0" w:space="0" w:color="auto"/>
        <w:right w:val="none" w:sz="0" w:space="0" w:color="auto"/>
      </w:divBdr>
    </w:div>
    <w:div w:id="213123580">
      <w:marLeft w:val="0"/>
      <w:marRight w:val="0"/>
      <w:marTop w:val="0"/>
      <w:marBottom w:val="0"/>
      <w:divBdr>
        <w:top w:val="none" w:sz="0" w:space="0" w:color="auto"/>
        <w:left w:val="none" w:sz="0" w:space="0" w:color="auto"/>
        <w:bottom w:val="none" w:sz="0" w:space="0" w:color="auto"/>
        <w:right w:val="none" w:sz="0" w:space="0" w:color="auto"/>
      </w:divBdr>
    </w:div>
    <w:div w:id="213123581">
      <w:marLeft w:val="0"/>
      <w:marRight w:val="0"/>
      <w:marTop w:val="0"/>
      <w:marBottom w:val="0"/>
      <w:divBdr>
        <w:top w:val="none" w:sz="0" w:space="0" w:color="auto"/>
        <w:left w:val="none" w:sz="0" w:space="0" w:color="auto"/>
        <w:bottom w:val="none" w:sz="0" w:space="0" w:color="auto"/>
        <w:right w:val="none" w:sz="0" w:space="0" w:color="auto"/>
      </w:divBdr>
    </w:div>
    <w:div w:id="213123582">
      <w:marLeft w:val="0"/>
      <w:marRight w:val="0"/>
      <w:marTop w:val="0"/>
      <w:marBottom w:val="0"/>
      <w:divBdr>
        <w:top w:val="none" w:sz="0" w:space="0" w:color="auto"/>
        <w:left w:val="none" w:sz="0" w:space="0" w:color="auto"/>
        <w:bottom w:val="none" w:sz="0" w:space="0" w:color="auto"/>
        <w:right w:val="none" w:sz="0" w:space="0" w:color="auto"/>
      </w:divBdr>
    </w:div>
    <w:div w:id="213123583">
      <w:marLeft w:val="0"/>
      <w:marRight w:val="0"/>
      <w:marTop w:val="0"/>
      <w:marBottom w:val="0"/>
      <w:divBdr>
        <w:top w:val="none" w:sz="0" w:space="0" w:color="auto"/>
        <w:left w:val="none" w:sz="0" w:space="0" w:color="auto"/>
        <w:bottom w:val="none" w:sz="0" w:space="0" w:color="auto"/>
        <w:right w:val="none" w:sz="0" w:space="0" w:color="auto"/>
      </w:divBdr>
    </w:div>
    <w:div w:id="213123584">
      <w:marLeft w:val="0"/>
      <w:marRight w:val="0"/>
      <w:marTop w:val="0"/>
      <w:marBottom w:val="0"/>
      <w:divBdr>
        <w:top w:val="none" w:sz="0" w:space="0" w:color="auto"/>
        <w:left w:val="none" w:sz="0" w:space="0" w:color="auto"/>
        <w:bottom w:val="none" w:sz="0" w:space="0" w:color="auto"/>
        <w:right w:val="none" w:sz="0" w:space="0" w:color="auto"/>
      </w:divBdr>
    </w:div>
    <w:div w:id="213123585">
      <w:marLeft w:val="0"/>
      <w:marRight w:val="0"/>
      <w:marTop w:val="0"/>
      <w:marBottom w:val="0"/>
      <w:divBdr>
        <w:top w:val="none" w:sz="0" w:space="0" w:color="auto"/>
        <w:left w:val="none" w:sz="0" w:space="0" w:color="auto"/>
        <w:bottom w:val="none" w:sz="0" w:space="0" w:color="auto"/>
        <w:right w:val="none" w:sz="0" w:space="0" w:color="auto"/>
      </w:divBdr>
    </w:div>
    <w:div w:id="213123586">
      <w:marLeft w:val="0"/>
      <w:marRight w:val="0"/>
      <w:marTop w:val="0"/>
      <w:marBottom w:val="0"/>
      <w:divBdr>
        <w:top w:val="none" w:sz="0" w:space="0" w:color="auto"/>
        <w:left w:val="none" w:sz="0" w:space="0" w:color="auto"/>
        <w:bottom w:val="none" w:sz="0" w:space="0" w:color="auto"/>
        <w:right w:val="none" w:sz="0" w:space="0" w:color="auto"/>
      </w:divBdr>
    </w:div>
    <w:div w:id="213123587">
      <w:marLeft w:val="0"/>
      <w:marRight w:val="0"/>
      <w:marTop w:val="0"/>
      <w:marBottom w:val="0"/>
      <w:divBdr>
        <w:top w:val="none" w:sz="0" w:space="0" w:color="auto"/>
        <w:left w:val="none" w:sz="0" w:space="0" w:color="auto"/>
        <w:bottom w:val="none" w:sz="0" w:space="0" w:color="auto"/>
        <w:right w:val="none" w:sz="0" w:space="0" w:color="auto"/>
      </w:divBdr>
      <w:divsChild>
        <w:div w:id="213123524">
          <w:marLeft w:val="0"/>
          <w:marRight w:val="0"/>
          <w:marTop w:val="0"/>
          <w:marBottom w:val="0"/>
          <w:divBdr>
            <w:top w:val="none" w:sz="0" w:space="0" w:color="auto"/>
            <w:left w:val="none" w:sz="0" w:space="0" w:color="auto"/>
            <w:bottom w:val="none" w:sz="0" w:space="0" w:color="auto"/>
            <w:right w:val="none" w:sz="0" w:space="0" w:color="auto"/>
          </w:divBdr>
        </w:div>
      </w:divsChild>
    </w:div>
    <w:div w:id="213123588">
      <w:marLeft w:val="0"/>
      <w:marRight w:val="0"/>
      <w:marTop w:val="0"/>
      <w:marBottom w:val="0"/>
      <w:divBdr>
        <w:top w:val="none" w:sz="0" w:space="0" w:color="auto"/>
        <w:left w:val="none" w:sz="0" w:space="0" w:color="auto"/>
        <w:bottom w:val="none" w:sz="0" w:space="0" w:color="auto"/>
        <w:right w:val="none" w:sz="0" w:space="0" w:color="auto"/>
      </w:divBdr>
    </w:div>
    <w:div w:id="213123589">
      <w:marLeft w:val="0"/>
      <w:marRight w:val="0"/>
      <w:marTop w:val="0"/>
      <w:marBottom w:val="0"/>
      <w:divBdr>
        <w:top w:val="none" w:sz="0" w:space="0" w:color="auto"/>
        <w:left w:val="none" w:sz="0" w:space="0" w:color="auto"/>
        <w:bottom w:val="none" w:sz="0" w:space="0" w:color="auto"/>
        <w:right w:val="none" w:sz="0" w:space="0" w:color="auto"/>
      </w:divBdr>
    </w:div>
    <w:div w:id="213123590">
      <w:marLeft w:val="0"/>
      <w:marRight w:val="0"/>
      <w:marTop w:val="0"/>
      <w:marBottom w:val="0"/>
      <w:divBdr>
        <w:top w:val="none" w:sz="0" w:space="0" w:color="auto"/>
        <w:left w:val="none" w:sz="0" w:space="0" w:color="auto"/>
        <w:bottom w:val="none" w:sz="0" w:space="0" w:color="auto"/>
        <w:right w:val="none" w:sz="0" w:space="0" w:color="auto"/>
      </w:divBdr>
    </w:div>
    <w:div w:id="213123591">
      <w:marLeft w:val="0"/>
      <w:marRight w:val="0"/>
      <w:marTop w:val="0"/>
      <w:marBottom w:val="0"/>
      <w:divBdr>
        <w:top w:val="none" w:sz="0" w:space="0" w:color="auto"/>
        <w:left w:val="none" w:sz="0" w:space="0" w:color="auto"/>
        <w:bottom w:val="none" w:sz="0" w:space="0" w:color="auto"/>
        <w:right w:val="none" w:sz="0" w:space="0" w:color="auto"/>
      </w:divBdr>
    </w:div>
    <w:div w:id="213123592">
      <w:marLeft w:val="0"/>
      <w:marRight w:val="0"/>
      <w:marTop w:val="0"/>
      <w:marBottom w:val="0"/>
      <w:divBdr>
        <w:top w:val="none" w:sz="0" w:space="0" w:color="auto"/>
        <w:left w:val="none" w:sz="0" w:space="0" w:color="auto"/>
        <w:bottom w:val="none" w:sz="0" w:space="0" w:color="auto"/>
        <w:right w:val="none" w:sz="0" w:space="0" w:color="auto"/>
      </w:divBdr>
    </w:div>
    <w:div w:id="213123593">
      <w:marLeft w:val="0"/>
      <w:marRight w:val="0"/>
      <w:marTop w:val="0"/>
      <w:marBottom w:val="0"/>
      <w:divBdr>
        <w:top w:val="none" w:sz="0" w:space="0" w:color="auto"/>
        <w:left w:val="none" w:sz="0" w:space="0" w:color="auto"/>
        <w:bottom w:val="none" w:sz="0" w:space="0" w:color="auto"/>
        <w:right w:val="none" w:sz="0" w:space="0" w:color="auto"/>
      </w:divBdr>
    </w:div>
    <w:div w:id="213123594">
      <w:marLeft w:val="0"/>
      <w:marRight w:val="0"/>
      <w:marTop w:val="0"/>
      <w:marBottom w:val="0"/>
      <w:divBdr>
        <w:top w:val="none" w:sz="0" w:space="0" w:color="auto"/>
        <w:left w:val="none" w:sz="0" w:space="0" w:color="auto"/>
        <w:bottom w:val="none" w:sz="0" w:space="0" w:color="auto"/>
        <w:right w:val="none" w:sz="0" w:space="0" w:color="auto"/>
      </w:divBdr>
    </w:div>
    <w:div w:id="213123595">
      <w:marLeft w:val="0"/>
      <w:marRight w:val="0"/>
      <w:marTop w:val="0"/>
      <w:marBottom w:val="0"/>
      <w:divBdr>
        <w:top w:val="none" w:sz="0" w:space="0" w:color="auto"/>
        <w:left w:val="none" w:sz="0" w:space="0" w:color="auto"/>
        <w:bottom w:val="none" w:sz="0" w:space="0" w:color="auto"/>
        <w:right w:val="none" w:sz="0" w:space="0" w:color="auto"/>
      </w:divBdr>
    </w:div>
    <w:div w:id="213123596">
      <w:marLeft w:val="0"/>
      <w:marRight w:val="0"/>
      <w:marTop w:val="0"/>
      <w:marBottom w:val="0"/>
      <w:divBdr>
        <w:top w:val="none" w:sz="0" w:space="0" w:color="auto"/>
        <w:left w:val="none" w:sz="0" w:space="0" w:color="auto"/>
        <w:bottom w:val="none" w:sz="0" w:space="0" w:color="auto"/>
        <w:right w:val="none" w:sz="0" w:space="0" w:color="auto"/>
      </w:divBdr>
    </w:div>
    <w:div w:id="213123597">
      <w:marLeft w:val="0"/>
      <w:marRight w:val="0"/>
      <w:marTop w:val="0"/>
      <w:marBottom w:val="0"/>
      <w:divBdr>
        <w:top w:val="none" w:sz="0" w:space="0" w:color="auto"/>
        <w:left w:val="none" w:sz="0" w:space="0" w:color="auto"/>
        <w:bottom w:val="none" w:sz="0" w:space="0" w:color="auto"/>
        <w:right w:val="none" w:sz="0" w:space="0" w:color="auto"/>
      </w:divBdr>
    </w:div>
    <w:div w:id="213123598">
      <w:marLeft w:val="0"/>
      <w:marRight w:val="0"/>
      <w:marTop w:val="0"/>
      <w:marBottom w:val="0"/>
      <w:divBdr>
        <w:top w:val="none" w:sz="0" w:space="0" w:color="auto"/>
        <w:left w:val="none" w:sz="0" w:space="0" w:color="auto"/>
        <w:bottom w:val="none" w:sz="0" w:space="0" w:color="auto"/>
        <w:right w:val="none" w:sz="0" w:space="0" w:color="auto"/>
      </w:divBdr>
    </w:div>
    <w:div w:id="213123599">
      <w:marLeft w:val="0"/>
      <w:marRight w:val="0"/>
      <w:marTop w:val="0"/>
      <w:marBottom w:val="0"/>
      <w:divBdr>
        <w:top w:val="none" w:sz="0" w:space="0" w:color="auto"/>
        <w:left w:val="none" w:sz="0" w:space="0" w:color="auto"/>
        <w:bottom w:val="none" w:sz="0" w:space="0" w:color="auto"/>
        <w:right w:val="none" w:sz="0" w:space="0" w:color="auto"/>
      </w:divBdr>
    </w:div>
    <w:div w:id="213123600">
      <w:marLeft w:val="0"/>
      <w:marRight w:val="0"/>
      <w:marTop w:val="0"/>
      <w:marBottom w:val="0"/>
      <w:divBdr>
        <w:top w:val="none" w:sz="0" w:space="0" w:color="auto"/>
        <w:left w:val="none" w:sz="0" w:space="0" w:color="auto"/>
        <w:bottom w:val="none" w:sz="0" w:space="0" w:color="auto"/>
        <w:right w:val="none" w:sz="0" w:space="0" w:color="auto"/>
      </w:divBdr>
    </w:div>
    <w:div w:id="213123601">
      <w:marLeft w:val="0"/>
      <w:marRight w:val="0"/>
      <w:marTop w:val="0"/>
      <w:marBottom w:val="0"/>
      <w:divBdr>
        <w:top w:val="none" w:sz="0" w:space="0" w:color="auto"/>
        <w:left w:val="none" w:sz="0" w:space="0" w:color="auto"/>
        <w:bottom w:val="none" w:sz="0" w:space="0" w:color="auto"/>
        <w:right w:val="none" w:sz="0" w:space="0" w:color="auto"/>
      </w:divBdr>
    </w:div>
    <w:div w:id="213123602">
      <w:marLeft w:val="0"/>
      <w:marRight w:val="0"/>
      <w:marTop w:val="0"/>
      <w:marBottom w:val="0"/>
      <w:divBdr>
        <w:top w:val="none" w:sz="0" w:space="0" w:color="auto"/>
        <w:left w:val="none" w:sz="0" w:space="0" w:color="auto"/>
        <w:bottom w:val="none" w:sz="0" w:space="0" w:color="auto"/>
        <w:right w:val="none" w:sz="0" w:space="0" w:color="auto"/>
      </w:divBdr>
    </w:div>
    <w:div w:id="213123603">
      <w:marLeft w:val="0"/>
      <w:marRight w:val="0"/>
      <w:marTop w:val="0"/>
      <w:marBottom w:val="0"/>
      <w:divBdr>
        <w:top w:val="none" w:sz="0" w:space="0" w:color="auto"/>
        <w:left w:val="none" w:sz="0" w:space="0" w:color="auto"/>
        <w:bottom w:val="none" w:sz="0" w:space="0" w:color="auto"/>
        <w:right w:val="none" w:sz="0" w:space="0" w:color="auto"/>
      </w:divBdr>
    </w:div>
    <w:div w:id="213123604">
      <w:marLeft w:val="0"/>
      <w:marRight w:val="0"/>
      <w:marTop w:val="0"/>
      <w:marBottom w:val="0"/>
      <w:divBdr>
        <w:top w:val="none" w:sz="0" w:space="0" w:color="auto"/>
        <w:left w:val="none" w:sz="0" w:space="0" w:color="auto"/>
        <w:bottom w:val="none" w:sz="0" w:space="0" w:color="auto"/>
        <w:right w:val="none" w:sz="0" w:space="0" w:color="auto"/>
      </w:divBdr>
    </w:div>
    <w:div w:id="213123605">
      <w:marLeft w:val="0"/>
      <w:marRight w:val="0"/>
      <w:marTop w:val="0"/>
      <w:marBottom w:val="0"/>
      <w:divBdr>
        <w:top w:val="none" w:sz="0" w:space="0" w:color="auto"/>
        <w:left w:val="none" w:sz="0" w:space="0" w:color="auto"/>
        <w:bottom w:val="none" w:sz="0" w:space="0" w:color="auto"/>
        <w:right w:val="none" w:sz="0" w:space="0" w:color="auto"/>
      </w:divBdr>
    </w:div>
    <w:div w:id="213123606">
      <w:marLeft w:val="0"/>
      <w:marRight w:val="0"/>
      <w:marTop w:val="0"/>
      <w:marBottom w:val="0"/>
      <w:divBdr>
        <w:top w:val="none" w:sz="0" w:space="0" w:color="auto"/>
        <w:left w:val="none" w:sz="0" w:space="0" w:color="auto"/>
        <w:bottom w:val="none" w:sz="0" w:space="0" w:color="auto"/>
        <w:right w:val="none" w:sz="0" w:space="0" w:color="auto"/>
      </w:divBdr>
    </w:div>
    <w:div w:id="213123607">
      <w:marLeft w:val="0"/>
      <w:marRight w:val="0"/>
      <w:marTop w:val="0"/>
      <w:marBottom w:val="0"/>
      <w:divBdr>
        <w:top w:val="none" w:sz="0" w:space="0" w:color="auto"/>
        <w:left w:val="none" w:sz="0" w:space="0" w:color="auto"/>
        <w:bottom w:val="none" w:sz="0" w:space="0" w:color="auto"/>
        <w:right w:val="none" w:sz="0" w:space="0" w:color="auto"/>
      </w:divBdr>
    </w:div>
    <w:div w:id="213123608">
      <w:marLeft w:val="0"/>
      <w:marRight w:val="0"/>
      <w:marTop w:val="0"/>
      <w:marBottom w:val="0"/>
      <w:divBdr>
        <w:top w:val="none" w:sz="0" w:space="0" w:color="auto"/>
        <w:left w:val="none" w:sz="0" w:space="0" w:color="auto"/>
        <w:bottom w:val="none" w:sz="0" w:space="0" w:color="auto"/>
        <w:right w:val="none" w:sz="0" w:space="0" w:color="auto"/>
      </w:divBdr>
    </w:div>
    <w:div w:id="213123609">
      <w:marLeft w:val="0"/>
      <w:marRight w:val="0"/>
      <w:marTop w:val="0"/>
      <w:marBottom w:val="0"/>
      <w:divBdr>
        <w:top w:val="none" w:sz="0" w:space="0" w:color="auto"/>
        <w:left w:val="none" w:sz="0" w:space="0" w:color="auto"/>
        <w:bottom w:val="none" w:sz="0" w:space="0" w:color="auto"/>
        <w:right w:val="none" w:sz="0" w:space="0" w:color="auto"/>
      </w:divBdr>
    </w:div>
    <w:div w:id="213123610">
      <w:marLeft w:val="0"/>
      <w:marRight w:val="0"/>
      <w:marTop w:val="0"/>
      <w:marBottom w:val="0"/>
      <w:divBdr>
        <w:top w:val="none" w:sz="0" w:space="0" w:color="auto"/>
        <w:left w:val="none" w:sz="0" w:space="0" w:color="auto"/>
        <w:bottom w:val="none" w:sz="0" w:space="0" w:color="auto"/>
        <w:right w:val="none" w:sz="0" w:space="0" w:color="auto"/>
      </w:divBdr>
    </w:div>
    <w:div w:id="213123611">
      <w:marLeft w:val="0"/>
      <w:marRight w:val="0"/>
      <w:marTop w:val="0"/>
      <w:marBottom w:val="0"/>
      <w:divBdr>
        <w:top w:val="none" w:sz="0" w:space="0" w:color="auto"/>
        <w:left w:val="none" w:sz="0" w:space="0" w:color="auto"/>
        <w:bottom w:val="none" w:sz="0" w:space="0" w:color="auto"/>
        <w:right w:val="none" w:sz="0" w:space="0" w:color="auto"/>
      </w:divBdr>
    </w:div>
    <w:div w:id="213123612">
      <w:marLeft w:val="0"/>
      <w:marRight w:val="0"/>
      <w:marTop w:val="0"/>
      <w:marBottom w:val="0"/>
      <w:divBdr>
        <w:top w:val="none" w:sz="0" w:space="0" w:color="auto"/>
        <w:left w:val="none" w:sz="0" w:space="0" w:color="auto"/>
        <w:bottom w:val="none" w:sz="0" w:space="0" w:color="auto"/>
        <w:right w:val="none" w:sz="0" w:space="0" w:color="auto"/>
      </w:divBdr>
    </w:div>
    <w:div w:id="213123613">
      <w:marLeft w:val="0"/>
      <w:marRight w:val="0"/>
      <w:marTop w:val="0"/>
      <w:marBottom w:val="0"/>
      <w:divBdr>
        <w:top w:val="none" w:sz="0" w:space="0" w:color="auto"/>
        <w:left w:val="none" w:sz="0" w:space="0" w:color="auto"/>
        <w:bottom w:val="none" w:sz="0" w:space="0" w:color="auto"/>
        <w:right w:val="none" w:sz="0" w:space="0" w:color="auto"/>
      </w:divBdr>
    </w:div>
    <w:div w:id="213123614">
      <w:marLeft w:val="0"/>
      <w:marRight w:val="0"/>
      <w:marTop w:val="0"/>
      <w:marBottom w:val="0"/>
      <w:divBdr>
        <w:top w:val="none" w:sz="0" w:space="0" w:color="auto"/>
        <w:left w:val="none" w:sz="0" w:space="0" w:color="auto"/>
        <w:bottom w:val="none" w:sz="0" w:space="0" w:color="auto"/>
        <w:right w:val="none" w:sz="0" w:space="0" w:color="auto"/>
      </w:divBdr>
    </w:div>
    <w:div w:id="213123615">
      <w:marLeft w:val="0"/>
      <w:marRight w:val="0"/>
      <w:marTop w:val="0"/>
      <w:marBottom w:val="0"/>
      <w:divBdr>
        <w:top w:val="none" w:sz="0" w:space="0" w:color="auto"/>
        <w:left w:val="none" w:sz="0" w:space="0" w:color="auto"/>
        <w:bottom w:val="none" w:sz="0" w:space="0" w:color="auto"/>
        <w:right w:val="none" w:sz="0" w:space="0" w:color="auto"/>
      </w:divBdr>
    </w:div>
    <w:div w:id="213123616">
      <w:marLeft w:val="0"/>
      <w:marRight w:val="0"/>
      <w:marTop w:val="0"/>
      <w:marBottom w:val="0"/>
      <w:divBdr>
        <w:top w:val="none" w:sz="0" w:space="0" w:color="auto"/>
        <w:left w:val="none" w:sz="0" w:space="0" w:color="auto"/>
        <w:bottom w:val="none" w:sz="0" w:space="0" w:color="auto"/>
        <w:right w:val="none" w:sz="0" w:space="0" w:color="auto"/>
      </w:divBdr>
    </w:div>
    <w:div w:id="213123617">
      <w:marLeft w:val="0"/>
      <w:marRight w:val="0"/>
      <w:marTop w:val="0"/>
      <w:marBottom w:val="0"/>
      <w:divBdr>
        <w:top w:val="none" w:sz="0" w:space="0" w:color="auto"/>
        <w:left w:val="none" w:sz="0" w:space="0" w:color="auto"/>
        <w:bottom w:val="none" w:sz="0" w:space="0" w:color="auto"/>
        <w:right w:val="none" w:sz="0" w:space="0" w:color="auto"/>
      </w:divBdr>
    </w:div>
    <w:div w:id="213123618">
      <w:marLeft w:val="0"/>
      <w:marRight w:val="0"/>
      <w:marTop w:val="0"/>
      <w:marBottom w:val="0"/>
      <w:divBdr>
        <w:top w:val="none" w:sz="0" w:space="0" w:color="auto"/>
        <w:left w:val="none" w:sz="0" w:space="0" w:color="auto"/>
        <w:bottom w:val="none" w:sz="0" w:space="0" w:color="auto"/>
        <w:right w:val="none" w:sz="0" w:space="0" w:color="auto"/>
      </w:divBdr>
    </w:div>
    <w:div w:id="213123619">
      <w:marLeft w:val="0"/>
      <w:marRight w:val="0"/>
      <w:marTop w:val="0"/>
      <w:marBottom w:val="0"/>
      <w:divBdr>
        <w:top w:val="none" w:sz="0" w:space="0" w:color="auto"/>
        <w:left w:val="none" w:sz="0" w:space="0" w:color="auto"/>
        <w:bottom w:val="none" w:sz="0" w:space="0" w:color="auto"/>
        <w:right w:val="none" w:sz="0" w:space="0" w:color="auto"/>
      </w:divBdr>
    </w:div>
    <w:div w:id="213123620">
      <w:marLeft w:val="0"/>
      <w:marRight w:val="0"/>
      <w:marTop w:val="0"/>
      <w:marBottom w:val="0"/>
      <w:divBdr>
        <w:top w:val="none" w:sz="0" w:space="0" w:color="auto"/>
        <w:left w:val="none" w:sz="0" w:space="0" w:color="auto"/>
        <w:bottom w:val="none" w:sz="0" w:space="0" w:color="auto"/>
        <w:right w:val="none" w:sz="0" w:space="0" w:color="auto"/>
      </w:divBdr>
    </w:div>
    <w:div w:id="213123621">
      <w:marLeft w:val="0"/>
      <w:marRight w:val="0"/>
      <w:marTop w:val="0"/>
      <w:marBottom w:val="0"/>
      <w:divBdr>
        <w:top w:val="none" w:sz="0" w:space="0" w:color="auto"/>
        <w:left w:val="none" w:sz="0" w:space="0" w:color="auto"/>
        <w:bottom w:val="none" w:sz="0" w:space="0" w:color="auto"/>
        <w:right w:val="none" w:sz="0" w:space="0" w:color="auto"/>
      </w:divBdr>
    </w:div>
    <w:div w:id="213123622">
      <w:marLeft w:val="0"/>
      <w:marRight w:val="0"/>
      <w:marTop w:val="0"/>
      <w:marBottom w:val="0"/>
      <w:divBdr>
        <w:top w:val="none" w:sz="0" w:space="0" w:color="auto"/>
        <w:left w:val="none" w:sz="0" w:space="0" w:color="auto"/>
        <w:bottom w:val="none" w:sz="0" w:space="0" w:color="auto"/>
        <w:right w:val="none" w:sz="0" w:space="0" w:color="auto"/>
      </w:divBdr>
    </w:div>
    <w:div w:id="213123623">
      <w:marLeft w:val="0"/>
      <w:marRight w:val="0"/>
      <w:marTop w:val="0"/>
      <w:marBottom w:val="0"/>
      <w:divBdr>
        <w:top w:val="none" w:sz="0" w:space="0" w:color="auto"/>
        <w:left w:val="none" w:sz="0" w:space="0" w:color="auto"/>
        <w:bottom w:val="none" w:sz="0" w:space="0" w:color="auto"/>
        <w:right w:val="none" w:sz="0" w:space="0" w:color="auto"/>
      </w:divBdr>
    </w:div>
    <w:div w:id="213123624">
      <w:marLeft w:val="0"/>
      <w:marRight w:val="0"/>
      <w:marTop w:val="0"/>
      <w:marBottom w:val="0"/>
      <w:divBdr>
        <w:top w:val="none" w:sz="0" w:space="0" w:color="auto"/>
        <w:left w:val="none" w:sz="0" w:space="0" w:color="auto"/>
        <w:bottom w:val="none" w:sz="0" w:space="0" w:color="auto"/>
        <w:right w:val="none" w:sz="0" w:space="0" w:color="auto"/>
      </w:divBdr>
    </w:div>
    <w:div w:id="213123625">
      <w:marLeft w:val="0"/>
      <w:marRight w:val="0"/>
      <w:marTop w:val="0"/>
      <w:marBottom w:val="0"/>
      <w:divBdr>
        <w:top w:val="none" w:sz="0" w:space="0" w:color="auto"/>
        <w:left w:val="none" w:sz="0" w:space="0" w:color="auto"/>
        <w:bottom w:val="none" w:sz="0" w:space="0" w:color="auto"/>
        <w:right w:val="none" w:sz="0" w:space="0" w:color="auto"/>
      </w:divBdr>
    </w:div>
    <w:div w:id="213123626">
      <w:marLeft w:val="0"/>
      <w:marRight w:val="0"/>
      <w:marTop w:val="0"/>
      <w:marBottom w:val="0"/>
      <w:divBdr>
        <w:top w:val="none" w:sz="0" w:space="0" w:color="auto"/>
        <w:left w:val="none" w:sz="0" w:space="0" w:color="auto"/>
        <w:bottom w:val="none" w:sz="0" w:space="0" w:color="auto"/>
        <w:right w:val="none" w:sz="0" w:space="0" w:color="auto"/>
      </w:divBdr>
    </w:div>
    <w:div w:id="213123627">
      <w:marLeft w:val="0"/>
      <w:marRight w:val="0"/>
      <w:marTop w:val="0"/>
      <w:marBottom w:val="0"/>
      <w:divBdr>
        <w:top w:val="none" w:sz="0" w:space="0" w:color="auto"/>
        <w:left w:val="none" w:sz="0" w:space="0" w:color="auto"/>
        <w:bottom w:val="none" w:sz="0" w:space="0" w:color="auto"/>
        <w:right w:val="none" w:sz="0" w:space="0" w:color="auto"/>
      </w:divBdr>
    </w:div>
    <w:div w:id="213123628">
      <w:marLeft w:val="0"/>
      <w:marRight w:val="0"/>
      <w:marTop w:val="0"/>
      <w:marBottom w:val="0"/>
      <w:divBdr>
        <w:top w:val="none" w:sz="0" w:space="0" w:color="auto"/>
        <w:left w:val="none" w:sz="0" w:space="0" w:color="auto"/>
        <w:bottom w:val="none" w:sz="0" w:space="0" w:color="auto"/>
        <w:right w:val="none" w:sz="0" w:space="0" w:color="auto"/>
      </w:divBdr>
    </w:div>
    <w:div w:id="213123629">
      <w:marLeft w:val="0"/>
      <w:marRight w:val="0"/>
      <w:marTop w:val="0"/>
      <w:marBottom w:val="0"/>
      <w:divBdr>
        <w:top w:val="none" w:sz="0" w:space="0" w:color="auto"/>
        <w:left w:val="none" w:sz="0" w:space="0" w:color="auto"/>
        <w:bottom w:val="none" w:sz="0" w:space="0" w:color="auto"/>
        <w:right w:val="none" w:sz="0" w:space="0" w:color="auto"/>
      </w:divBdr>
    </w:div>
    <w:div w:id="213123630">
      <w:marLeft w:val="0"/>
      <w:marRight w:val="0"/>
      <w:marTop w:val="0"/>
      <w:marBottom w:val="0"/>
      <w:divBdr>
        <w:top w:val="none" w:sz="0" w:space="0" w:color="auto"/>
        <w:left w:val="none" w:sz="0" w:space="0" w:color="auto"/>
        <w:bottom w:val="none" w:sz="0" w:space="0" w:color="auto"/>
        <w:right w:val="none" w:sz="0" w:space="0" w:color="auto"/>
      </w:divBdr>
    </w:div>
    <w:div w:id="213123631">
      <w:marLeft w:val="0"/>
      <w:marRight w:val="0"/>
      <w:marTop w:val="0"/>
      <w:marBottom w:val="0"/>
      <w:divBdr>
        <w:top w:val="none" w:sz="0" w:space="0" w:color="auto"/>
        <w:left w:val="none" w:sz="0" w:space="0" w:color="auto"/>
        <w:bottom w:val="none" w:sz="0" w:space="0" w:color="auto"/>
        <w:right w:val="none" w:sz="0" w:space="0" w:color="auto"/>
      </w:divBdr>
    </w:div>
    <w:div w:id="213123632">
      <w:marLeft w:val="0"/>
      <w:marRight w:val="0"/>
      <w:marTop w:val="0"/>
      <w:marBottom w:val="0"/>
      <w:divBdr>
        <w:top w:val="none" w:sz="0" w:space="0" w:color="auto"/>
        <w:left w:val="none" w:sz="0" w:space="0" w:color="auto"/>
        <w:bottom w:val="none" w:sz="0" w:space="0" w:color="auto"/>
        <w:right w:val="none" w:sz="0" w:space="0" w:color="auto"/>
      </w:divBdr>
    </w:div>
    <w:div w:id="213123633">
      <w:marLeft w:val="0"/>
      <w:marRight w:val="0"/>
      <w:marTop w:val="0"/>
      <w:marBottom w:val="0"/>
      <w:divBdr>
        <w:top w:val="none" w:sz="0" w:space="0" w:color="auto"/>
        <w:left w:val="none" w:sz="0" w:space="0" w:color="auto"/>
        <w:bottom w:val="none" w:sz="0" w:space="0" w:color="auto"/>
        <w:right w:val="none" w:sz="0" w:space="0" w:color="auto"/>
      </w:divBdr>
    </w:div>
    <w:div w:id="213123634">
      <w:marLeft w:val="0"/>
      <w:marRight w:val="0"/>
      <w:marTop w:val="0"/>
      <w:marBottom w:val="0"/>
      <w:divBdr>
        <w:top w:val="none" w:sz="0" w:space="0" w:color="auto"/>
        <w:left w:val="none" w:sz="0" w:space="0" w:color="auto"/>
        <w:bottom w:val="none" w:sz="0" w:space="0" w:color="auto"/>
        <w:right w:val="none" w:sz="0" w:space="0" w:color="auto"/>
      </w:divBdr>
    </w:div>
    <w:div w:id="213123635">
      <w:marLeft w:val="0"/>
      <w:marRight w:val="0"/>
      <w:marTop w:val="0"/>
      <w:marBottom w:val="0"/>
      <w:divBdr>
        <w:top w:val="none" w:sz="0" w:space="0" w:color="auto"/>
        <w:left w:val="none" w:sz="0" w:space="0" w:color="auto"/>
        <w:bottom w:val="none" w:sz="0" w:space="0" w:color="auto"/>
        <w:right w:val="none" w:sz="0" w:space="0" w:color="auto"/>
      </w:divBdr>
    </w:div>
    <w:div w:id="213123636">
      <w:marLeft w:val="0"/>
      <w:marRight w:val="0"/>
      <w:marTop w:val="0"/>
      <w:marBottom w:val="0"/>
      <w:divBdr>
        <w:top w:val="none" w:sz="0" w:space="0" w:color="auto"/>
        <w:left w:val="none" w:sz="0" w:space="0" w:color="auto"/>
        <w:bottom w:val="none" w:sz="0" w:space="0" w:color="auto"/>
        <w:right w:val="none" w:sz="0" w:space="0" w:color="auto"/>
      </w:divBdr>
    </w:div>
    <w:div w:id="213123637">
      <w:marLeft w:val="0"/>
      <w:marRight w:val="0"/>
      <w:marTop w:val="0"/>
      <w:marBottom w:val="0"/>
      <w:divBdr>
        <w:top w:val="none" w:sz="0" w:space="0" w:color="auto"/>
        <w:left w:val="none" w:sz="0" w:space="0" w:color="auto"/>
        <w:bottom w:val="none" w:sz="0" w:space="0" w:color="auto"/>
        <w:right w:val="none" w:sz="0" w:space="0" w:color="auto"/>
      </w:divBdr>
    </w:div>
    <w:div w:id="213123638">
      <w:marLeft w:val="0"/>
      <w:marRight w:val="0"/>
      <w:marTop w:val="0"/>
      <w:marBottom w:val="0"/>
      <w:divBdr>
        <w:top w:val="none" w:sz="0" w:space="0" w:color="auto"/>
        <w:left w:val="none" w:sz="0" w:space="0" w:color="auto"/>
        <w:bottom w:val="none" w:sz="0" w:space="0" w:color="auto"/>
        <w:right w:val="none" w:sz="0" w:space="0" w:color="auto"/>
      </w:divBdr>
    </w:div>
    <w:div w:id="322703213">
      <w:bodyDiv w:val="1"/>
      <w:marLeft w:val="0"/>
      <w:marRight w:val="0"/>
      <w:marTop w:val="0"/>
      <w:marBottom w:val="0"/>
      <w:divBdr>
        <w:top w:val="none" w:sz="0" w:space="0" w:color="auto"/>
        <w:left w:val="none" w:sz="0" w:space="0" w:color="auto"/>
        <w:bottom w:val="none" w:sz="0" w:space="0" w:color="auto"/>
        <w:right w:val="none" w:sz="0" w:space="0" w:color="auto"/>
      </w:divBdr>
    </w:div>
    <w:div w:id="562915101">
      <w:bodyDiv w:val="1"/>
      <w:marLeft w:val="0"/>
      <w:marRight w:val="0"/>
      <w:marTop w:val="0"/>
      <w:marBottom w:val="0"/>
      <w:divBdr>
        <w:top w:val="none" w:sz="0" w:space="0" w:color="auto"/>
        <w:left w:val="none" w:sz="0" w:space="0" w:color="auto"/>
        <w:bottom w:val="none" w:sz="0" w:space="0" w:color="auto"/>
        <w:right w:val="none" w:sz="0" w:space="0" w:color="auto"/>
      </w:divBdr>
    </w:div>
    <w:div w:id="698895605">
      <w:bodyDiv w:val="1"/>
      <w:marLeft w:val="0"/>
      <w:marRight w:val="0"/>
      <w:marTop w:val="0"/>
      <w:marBottom w:val="0"/>
      <w:divBdr>
        <w:top w:val="none" w:sz="0" w:space="0" w:color="auto"/>
        <w:left w:val="none" w:sz="0" w:space="0" w:color="auto"/>
        <w:bottom w:val="none" w:sz="0" w:space="0" w:color="auto"/>
        <w:right w:val="none" w:sz="0" w:space="0" w:color="auto"/>
      </w:divBdr>
    </w:div>
    <w:div w:id="720399437">
      <w:bodyDiv w:val="1"/>
      <w:marLeft w:val="0"/>
      <w:marRight w:val="0"/>
      <w:marTop w:val="0"/>
      <w:marBottom w:val="0"/>
      <w:divBdr>
        <w:top w:val="none" w:sz="0" w:space="0" w:color="auto"/>
        <w:left w:val="none" w:sz="0" w:space="0" w:color="auto"/>
        <w:bottom w:val="none" w:sz="0" w:space="0" w:color="auto"/>
        <w:right w:val="none" w:sz="0" w:space="0" w:color="auto"/>
      </w:divBdr>
    </w:div>
    <w:div w:id="956254617">
      <w:bodyDiv w:val="1"/>
      <w:marLeft w:val="0"/>
      <w:marRight w:val="0"/>
      <w:marTop w:val="0"/>
      <w:marBottom w:val="0"/>
      <w:divBdr>
        <w:top w:val="none" w:sz="0" w:space="0" w:color="auto"/>
        <w:left w:val="none" w:sz="0" w:space="0" w:color="auto"/>
        <w:bottom w:val="none" w:sz="0" w:space="0" w:color="auto"/>
        <w:right w:val="none" w:sz="0" w:space="0" w:color="auto"/>
      </w:divBdr>
    </w:div>
    <w:div w:id="967516304">
      <w:bodyDiv w:val="1"/>
      <w:marLeft w:val="0"/>
      <w:marRight w:val="0"/>
      <w:marTop w:val="0"/>
      <w:marBottom w:val="0"/>
      <w:divBdr>
        <w:top w:val="none" w:sz="0" w:space="0" w:color="auto"/>
        <w:left w:val="none" w:sz="0" w:space="0" w:color="auto"/>
        <w:bottom w:val="none" w:sz="0" w:space="0" w:color="auto"/>
        <w:right w:val="none" w:sz="0" w:space="0" w:color="auto"/>
      </w:divBdr>
    </w:div>
    <w:div w:id="1005747553">
      <w:bodyDiv w:val="1"/>
      <w:marLeft w:val="0"/>
      <w:marRight w:val="0"/>
      <w:marTop w:val="0"/>
      <w:marBottom w:val="0"/>
      <w:divBdr>
        <w:top w:val="none" w:sz="0" w:space="0" w:color="auto"/>
        <w:left w:val="none" w:sz="0" w:space="0" w:color="auto"/>
        <w:bottom w:val="none" w:sz="0" w:space="0" w:color="auto"/>
        <w:right w:val="none" w:sz="0" w:space="0" w:color="auto"/>
      </w:divBdr>
    </w:div>
    <w:div w:id="1114250943">
      <w:bodyDiv w:val="1"/>
      <w:marLeft w:val="0"/>
      <w:marRight w:val="0"/>
      <w:marTop w:val="0"/>
      <w:marBottom w:val="0"/>
      <w:divBdr>
        <w:top w:val="none" w:sz="0" w:space="0" w:color="auto"/>
        <w:left w:val="none" w:sz="0" w:space="0" w:color="auto"/>
        <w:bottom w:val="none" w:sz="0" w:space="0" w:color="auto"/>
        <w:right w:val="none" w:sz="0" w:space="0" w:color="auto"/>
      </w:divBdr>
    </w:div>
    <w:div w:id="1227111839">
      <w:bodyDiv w:val="1"/>
      <w:marLeft w:val="0"/>
      <w:marRight w:val="0"/>
      <w:marTop w:val="0"/>
      <w:marBottom w:val="0"/>
      <w:divBdr>
        <w:top w:val="none" w:sz="0" w:space="0" w:color="auto"/>
        <w:left w:val="none" w:sz="0" w:space="0" w:color="auto"/>
        <w:bottom w:val="none" w:sz="0" w:space="0" w:color="auto"/>
        <w:right w:val="none" w:sz="0" w:space="0" w:color="auto"/>
      </w:divBdr>
    </w:div>
    <w:div w:id="1288048704">
      <w:bodyDiv w:val="1"/>
      <w:marLeft w:val="0"/>
      <w:marRight w:val="0"/>
      <w:marTop w:val="0"/>
      <w:marBottom w:val="0"/>
      <w:divBdr>
        <w:top w:val="none" w:sz="0" w:space="0" w:color="auto"/>
        <w:left w:val="none" w:sz="0" w:space="0" w:color="auto"/>
        <w:bottom w:val="none" w:sz="0" w:space="0" w:color="auto"/>
        <w:right w:val="none" w:sz="0" w:space="0" w:color="auto"/>
      </w:divBdr>
    </w:div>
    <w:div w:id="1293101599">
      <w:bodyDiv w:val="1"/>
      <w:marLeft w:val="0"/>
      <w:marRight w:val="0"/>
      <w:marTop w:val="0"/>
      <w:marBottom w:val="0"/>
      <w:divBdr>
        <w:top w:val="none" w:sz="0" w:space="0" w:color="auto"/>
        <w:left w:val="none" w:sz="0" w:space="0" w:color="auto"/>
        <w:bottom w:val="none" w:sz="0" w:space="0" w:color="auto"/>
        <w:right w:val="none" w:sz="0" w:space="0" w:color="auto"/>
      </w:divBdr>
    </w:div>
    <w:div w:id="1514418409">
      <w:bodyDiv w:val="1"/>
      <w:marLeft w:val="0"/>
      <w:marRight w:val="0"/>
      <w:marTop w:val="0"/>
      <w:marBottom w:val="0"/>
      <w:divBdr>
        <w:top w:val="none" w:sz="0" w:space="0" w:color="auto"/>
        <w:left w:val="none" w:sz="0" w:space="0" w:color="auto"/>
        <w:bottom w:val="none" w:sz="0" w:space="0" w:color="auto"/>
        <w:right w:val="none" w:sz="0" w:space="0" w:color="auto"/>
      </w:divBdr>
    </w:div>
    <w:div w:id="1530484841">
      <w:bodyDiv w:val="1"/>
      <w:marLeft w:val="0"/>
      <w:marRight w:val="0"/>
      <w:marTop w:val="0"/>
      <w:marBottom w:val="0"/>
      <w:divBdr>
        <w:top w:val="none" w:sz="0" w:space="0" w:color="auto"/>
        <w:left w:val="none" w:sz="0" w:space="0" w:color="auto"/>
        <w:bottom w:val="none" w:sz="0" w:space="0" w:color="auto"/>
        <w:right w:val="none" w:sz="0" w:space="0" w:color="auto"/>
      </w:divBdr>
    </w:div>
    <w:div w:id="1594321813">
      <w:bodyDiv w:val="1"/>
      <w:marLeft w:val="0"/>
      <w:marRight w:val="0"/>
      <w:marTop w:val="0"/>
      <w:marBottom w:val="0"/>
      <w:divBdr>
        <w:top w:val="none" w:sz="0" w:space="0" w:color="auto"/>
        <w:left w:val="none" w:sz="0" w:space="0" w:color="auto"/>
        <w:bottom w:val="none" w:sz="0" w:space="0" w:color="auto"/>
        <w:right w:val="none" w:sz="0" w:space="0" w:color="auto"/>
      </w:divBdr>
    </w:div>
    <w:div w:id="1669871307">
      <w:bodyDiv w:val="1"/>
      <w:marLeft w:val="0"/>
      <w:marRight w:val="0"/>
      <w:marTop w:val="0"/>
      <w:marBottom w:val="0"/>
      <w:divBdr>
        <w:top w:val="none" w:sz="0" w:space="0" w:color="auto"/>
        <w:left w:val="none" w:sz="0" w:space="0" w:color="auto"/>
        <w:bottom w:val="none" w:sz="0" w:space="0" w:color="auto"/>
        <w:right w:val="none" w:sz="0" w:space="0" w:color="auto"/>
      </w:divBdr>
    </w:div>
    <w:div w:id="1723404359">
      <w:bodyDiv w:val="1"/>
      <w:marLeft w:val="0"/>
      <w:marRight w:val="0"/>
      <w:marTop w:val="0"/>
      <w:marBottom w:val="0"/>
      <w:divBdr>
        <w:top w:val="none" w:sz="0" w:space="0" w:color="auto"/>
        <w:left w:val="none" w:sz="0" w:space="0" w:color="auto"/>
        <w:bottom w:val="none" w:sz="0" w:space="0" w:color="auto"/>
        <w:right w:val="none" w:sz="0" w:space="0" w:color="auto"/>
      </w:divBdr>
    </w:div>
    <w:div w:id="1782407786">
      <w:bodyDiv w:val="1"/>
      <w:marLeft w:val="180"/>
      <w:marRight w:val="180"/>
      <w:marTop w:val="180"/>
      <w:marBottom w:val="180"/>
      <w:divBdr>
        <w:top w:val="none" w:sz="0" w:space="0" w:color="auto"/>
        <w:left w:val="none" w:sz="0" w:space="0" w:color="auto"/>
        <w:bottom w:val="none" w:sz="0" w:space="0" w:color="auto"/>
        <w:right w:val="none" w:sz="0" w:space="0" w:color="auto"/>
      </w:divBdr>
      <w:divsChild>
        <w:div w:id="776758508">
          <w:marLeft w:val="0"/>
          <w:marRight w:val="0"/>
          <w:marTop w:val="0"/>
          <w:marBottom w:val="0"/>
          <w:divBdr>
            <w:top w:val="none" w:sz="0" w:space="0" w:color="auto"/>
            <w:left w:val="none" w:sz="0" w:space="0" w:color="auto"/>
            <w:bottom w:val="none" w:sz="0" w:space="0" w:color="auto"/>
            <w:right w:val="none" w:sz="0" w:space="0" w:color="auto"/>
          </w:divBdr>
        </w:div>
      </w:divsChild>
    </w:div>
    <w:div w:id="1805808638">
      <w:bodyDiv w:val="1"/>
      <w:marLeft w:val="0"/>
      <w:marRight w:val="0"/>
      <w:marTop w:val="0"/>
      <w:marBottom w:val="0"/>
      <w:divBdr>
        <w:top w:val="none" w:sz="0" w:space="0" w:color="auto"/>
        <w:left w:val="none" w:sz="0" w:space="0" w:color="auto"/>
        <w:bottom w:val="none" w:sz="0" w:space="0" w:color="auto"/>
        <w:right w:val="none" w:sz="0" w:space="0" w:color="auto"/>
      </w:divBdr>
    </w:div>
    <w:div w:id="1872569358">
      <w:bodyDiv w:val="1"/>
      <w:marLeft w:val="0"/>
      <w:marRight w:val="0"/>
      <w:marTop w:val="0"/>
      <w:marBottom w:val="0"/>
      <w:divBdr>
        <w:top w:val="none" w:sz="0" w:space="0" w:color="auto"/>
        <w:left w:val="none" w:sz="0" w:space="0" w:color="auto"/>
        <w:bottom w:val="none" w:sz="0" w:space="0" w:color="auto"/>
        <w:right w:val="none" w:sz="0" w:space="0" w:color="auto"/>
      </w:divBdr>
    </w:div>
    <w:div w:id="2042583160">
      <w:bodyDiv w:val="1"/>
      <w:marLeft w:val="0"/>
      <w:marRight w:val="0"/>
      <w:marTop w:val="0"/>
      <w:marBottom w:val="0"/>
      <w:divBdr>
        <w:top w:val="none" w:sz="0" w:space="0" w:color="auto"/>
        <w:left w:val="none" w:sz="0" w:space="0" w:color="auto"/>
        <w:bottom w:val="none" w:sz="0" w:space="0" w:color="auto"/>
        <w:right w:val="none" w:sz="0" w:space="0" w:color="auto"/>
      </w:divBdr>
    </w:div>
    <w:div w:id="214514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42CCD-106C-4F76-A5EF-EEF29D030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6181</Words>
  <Characters>35232</Characters>
  <Application>Microsoft Office Word</Application>
  <DocSecurity>0</DocSecurity>
  <Lines>293</Lines>
  <Paragraphs>82</Paragraphs>
  <ScaleCrop>false</ScaleCrop>
  <Company/>
  <LinksUpToDate>false</LinksUpToDate>
  <CharactersWithSpaces>41331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2020-08-17T12:19:00Z</dcterms:created>
  <dcterms:modified xsi:type="dcterms:W3CDTF">2020-08-18T06:46:00Z</dcterms:modified>
</cp:coreProperties>
</file>