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易方达科瑞灵活配置混合型证券投资基金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交通银行股份有限公司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易方达科瑞混合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003293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003293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2017年1月3日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541,244,567.01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股票投资方面，本基金将根据对各行业的综合分析，确定并调整行业配置比例。在个股选择方面，本基金将精选具有持续竞争优势且估值具有吸引力的公司进行投资。在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沪深300指数收益率×80%+中债新综合财富指数收益率×20%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本基金为混合基金，理论上其预期风险与预期收益水平低于股票基金，高于债券基金和货币市场基金。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64,879,822.03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156,049,571.59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0.2840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793,732,802.63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1.4665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24.07%</w:t>
            </w:r>
          </w:p>
        </w:tc>
        <w:tc>
          <w:tcPr>
            <w:vAlign w:val="center"/>
          </w:tcPr>
          <w:p>
            <w:pPr>
              <w:jc w:val="center"/>
            </w:pPr>
            <w:r>
              <w:rPr>
                <w:color w:val="000000"/>
                <w:kern w:val="0"/>
                <w:sz w:val="24"/>
                <w:szCs w:val="24"/>
              </w:rPr>
              <w:t>0.93%</w:t>
            </w:r>
          </w:p>
        </w:tc>
        <w:tc>
          <w:tcPr>
            <w:vAlign w:val="center"/>
          </w:tcPr>
          <w:p>
            <w:pPr>
              <w:jc w:val="center"/>
            </w:pPr>
            <w:r>
              <w:rPr>
                <w:color w:val="000000"/>
                <w:kern w:val="0"/>
                <w:sz w:val="24"/>
                <w:szCs w:val="24"/>
              </w:rPr>
              <w:t>10.32%</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13.75%</w:t>
            </w:r>
          </w:p>
        </w:tc>
        <w:tc>
          <w:tcPr>
            <w:vAlign w:val="center"/>
          </w:tcPr>
          <w:p>
            <w:pPr>
              <w:jc w:val="center"/>
            </w:pPr>
            <w:r>
              <w:rPr>
                <w:color w:val="000000"/>
                <w:kern w:val="0"/>
                <w:sz w:val="24"/>
                <w:szCs w:val="24"/>
              </w:rPr>
              <w:t>0.21%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20.94%</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19.16%</w:t>
            </w:r>
          </w:p>
        </w:tc>
        <w:tc>
          <w:tcPr>
            <w:vAlign w:val="center"/>
          </w:tcPr>
          <w:p>
            <w:pPr>
              <w:jc w:val="center"/>
            </w:pPr>
            <w:r>
              <w:rPr>
                <w:color w:val="000000"/>
                <w:kern w:val="0"/>
                <w:sz w:val="24"/>
                <w:szCs w:val="24"/>
              </w:rPr>
              <w:t>0.31%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38.26%</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8.10%</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30.16%</w:t>
            </w:r>
          </w:p>
        </w:tc>
        <w:tc>
          <w:tcPr>
            <w:vAlign w:val="center"/>
          </w:tcPr>
          <w:p>
            <w:pPr>
              <w:jc w:val="center"/>
            </w:pPr>
            <w:r>
              <w:rPr>
                <w:color w:val="000000"/>
                <w:kern w:val="0"/>
                <w:sz w:val="24"/>
                <w:szCs w:val="24"/>
              </w:rPr>
              <w:t>0.21%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67.43%</w:t>
            </w:r>
          </w:p>
        </w:tc>
        <w:tc>
          <w:tcPr>
            <w:vAlign w:val="center"/>
          </w:tcPr>
          <w:p>
            <w:pPr>
              <w:jc w:val="center"/>
            </w:pPr>
            <w:r>
              <w:rPr>
                <w:color w:val="000000"/>
                <w:kern w:val="0"/>
                <w:sz w:val="24"/>
                <w:szCs w:val="24"/>
              </w:rPr>
              <w:t>1.16%</w:t>
            </w:r>
          </w:p>
        </w:tc>
        <w:tc>
          <w:tcPr>
            <w:vAlign w:val="center"/>
          </w:tcPr>
          <w:p>
            <w:pPr>
              <w:jc w:val="center"/>
            </w:pPr>
            <w:r>
              <w:rPr>
                <w:color w:val="000000"/>
                <w:kern w:val="0"/>
                <w:sz w:val="24"/>
                <w:szCs w:val="24"/>
              </w:rPr>
              <w:t>14.09%</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53.34%</w:t>
            </w:r>
          </w:p>
        </w:tc>
        <w:tc>
          <w:tcPr>
            <w:vAlign w:val="center"/>
          </w:tcPr>
          <w:p>
            <w:pPr>
              <w:jc w:val="center"/>
            </w:pPr>
            <w:r>
              <w:rPr>
                <w:color w:val="000000"/>
                <w:kern w:val="0"/>
                <w:sz w:val="24"/>
                <w:szCs w:val="24"/>
              </w:rPr>
              <w:t>0.16%</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71.72%</w:t>
            </w:r>
          </w:p>
        </w:tc>
        <w:tc>
          <w:tcPr>
            <w:vAlign w:val="center"/>
          </w:tcPr>
          <w:p>
            <w:pPr>
              <w:jc w:val="center"/>
            </w:pPr>
            <w:r>
              <w:rPr>
                <w:color w:val="000000"/>
                <w:kern w:val="0"/>
                <w:sz w:val="24"/>
                <w:szCs w:val="24"/>
              </w:rPr>
              <w:t>1.10%</w:t>
            </w:r>
          </w:p>
        </w:tc>
        <w:tc>
          <w:tcPr>
            <w:vAlign w:val="center"/>
          </w:tcPr>
          <w:p>
            <w:pPr>
              <w:jc w:val="center"/>
            </w:pPr>
            <w:r>
              <w:rPr>
                <w:color w:val="000000"/>
                <w:kern w:val="0"/>
                <w:sz w:val="24"/>
                <w:szCs w:val="24"/>
              </w:rPr>
              <w:t>23.86%</w:t>
            </w:r>
          </w:p>
        </w:tc>
        <w:tc>
          <w:tcPr>
            <w:vAlign w:val="center"/>
          </w:tcPr>
          <w:p>
            <w:pPr>
              <w:jc w:val="center"/>
            </w:pPr>
            <w:r>
              <w:rPr>
                <w:color w:val="000000"/>
                <w:kern w:val="0"/>
                <w:sz w:val="24"/>
                <w:szCs w:val="24"/>
              </w:rPr>
              <w:t>0.94%</w:t>
            </w:r>
          </w:p>
        </w:tc>
        <w:tc>
          <w:tcPr>
            <w:vAlign w:val="center"/>
          </w:tcPr>
          <w:p>
            <w:pPr>
              <w:jc w:val="center"/>
            </w:pPr>
            <w:r>
              <w:rPr>
                <w:color w:val="000000"/>
                <w:kern w:val="0"/>
                <w:sz w:val="24"/>
                <w:szCs w:val="24"/>
              </w:rPr>
              <w:t>47.86%</w:t>
            </w:r>
          </w:p>
        </w:tc>
        <w:tc>
          <w:tcPr>
            <w:vAlign w:val="center"/>
          </w:tcPr>
          <w:p>
            <w:pPr>
              <w:jc w:val="center"/>
            </w:pPr>
            <w:r>
              <w:rPr>
                <w:color w:val="000000"/>
                <w:kern w:val="0"/>
                <w:sz w:val="24"/>
                <w:szCs w:val="24"/>
              </w:rPr>
              <w:t>0.16%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自基金转型以来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易方达科瑞灵活配置混合型证券投资基金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2017年1月3日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注：1.本基金由原科瑞证券投资基金于2017年1月3日转型而来。</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2.自基金转型至报告期末，基金份额净值增长率为71.72%，同期业绩比较基准收益率为23.86%。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杨嘉文</w:t>
            </w:r>
          </w:p>
        </w:tc>
        <w:tc>
          <w:tcPr>
            <w:vAlign w:val="center"/>
          </w:tcPr>
          <w:p>
            <w:pPr>
              <w:jc w:val="left"/>
            </w:pPr>
            <w:r>
              <w:rPr>
                <w:color w:val="000000"/>
                <w:sz w:val="24"/>
              </w:rPr>
              <w:t>本基金的基金经理、易方达科汇灵活配置混合型证券投资基金的基金经理</w:t>
            </w:r>
          </w:p>
        </w:tc>
        <w:tc>
          <w:tcPr>
            <w:vAlign w:val="center"/>
          </w:tcPr>
          <w:p>
            <w:pPr>
              <w:jc w:val="center"/>
            </w:pPr>
            <w:r>
              <w:rPr>
                <w:color w:val="000000"/>
                <w:sz w:val="24"/>
              </w:rPr>
              <w:t>2017-12-27</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硕士研究生，具有基金从业资格。曾任大成基金管理有限公司研究部研究员，易方达基金管理有限公司行业研究员、易方达科瑞灵活配置混合型证券投资基金基金经理助理。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2020年第二季度A股主流的市场指数以上涨为主，其中沪深300指数上涨12.96%，上证50指数上涨9.40%，上证指数上涨8.52%，中证500上涨16.32%，而创业板指数涨幅最大，上涨了30.25%。</w:t>
      </w:r>
    </w:p>
    <w:p>
      <w:pPr>
        <w:spacing w:line="360" w:lineRule="auto"/>
        <w:ind w:firstLine="480" w:firstLineChars="200"/>
        <w:rPr>
          <w:color w:val="000000"/>
          <w:sz w:val="24"/>
          <w:szCs w:val="24"/>
        </w:rPr>
      </w:pPr>
      <w:r>
        <w:rPr>
          <w:color w:val="000000"/>
          <w:sz w:val="24"/>
          <w:szCs w:val="24"/>
        </w:rPr>
        <w:t>海外经济方面，目前新冠疫情在印度、巴西等新兴市场仍处于较高水平，美国二次疫情爆发对经济影响可能持续，全球产业链短期恢复仍存在阻力，部分产业链国产替代需求将边际提升；经济衰退预期叠加地缘扰动增加，海外流动性环境大概率继续维持宽松格局。全球经济增长在断崖式回落以后将逐步进入缓慢修复阶段。国内经济方面，外需未来依然承压，制造业增速恢复仍需时间，国内经济增长动力仍将依赖于内需提振。考虑复工复产有序推进、金融数据滞后起效、政策资金支持逐步到位，预计下半年经济的修复将会延续。基建与服务性消费有较大改善空间，但复苏结构上仍会有波折，一是外需乏力对出口的拖累尚未充分显现，二是地产与汽车前期积累消费释放后，增长可能出现反复。因此货币政策仍未到收紧时，大概率延续稳健偏宽松格局，专项债大幅落地将对基建投资构成重要支撑，房地产投资继续保持韧性。企业盈利方面，二季度上市公司盈利环比增速较一季度大概率有小幅改善。</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报告期内股票仓位稳定在80%左右，同时根据对上述的宏观经济判断，在行业和个股上作出了一些调整。随着经济的复苏和流动性持续宽松，市场出现了结构性的机会，本基金从估值性价比角度筛选中长期有一定竞争力的个股进行增持，主要行业有食品饮料、计算机和机械设备等，同时减持的行业主要有商业贸易、国防军工和建筑装饰等。</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截至报告期末，本基金份额净值为1.4665元，本报告期份额净值增长率为24.07%，同期业绩比较基准收益率为10.32%。</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632,646,025.28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78.84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632,646,025.28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78.84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168,465,955.57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21.00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1,283,927.47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802,395,908.32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8,268,558.00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437,994,276.51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55.18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33,888,175.60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26,433,763.77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3.33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69,559,172.34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24,255,044.88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3.06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15,600,109.49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4,809,125.37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10,007,932.00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1,817,101.00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632,646,025.28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79.71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378,548</w:t>
            </w:r>
          </w:p>
        </w:tc>
        <w:tc>
          <w:tcPr>
            <w:vAlign w:val="center"/>
          </w:tcPr>
          <w:p>
            <w:pPr>
              <w:jc w:val="right"/>
            </w:pPr>
            <w:r>
              <w:rPr>
                <w:color w:val="000000"/>
                <w:kern w:val="0"/>
                <w:sz w:val="24"/>
                <w:szCs w:val="24"/>
              </w:rPr>
              <w:t>64,777,133.76</w:t>
            </w:r>
          </w:p>
        </w:tc>
        <w:tc>
          <w:tcPr>
            <w:vAlign w:val="center"/>
          </w:tcPr>
          <w:p>
            <w:pPr>
              <w:jc w:val="right"/>
            </w:pPr>
            <w:r>
              <w:rPr>
                <w:color w:val="000000"/>
                <w:kern w:val="0"/>
                <w:sz w:val="24"/>
                <w:szCs w:val="24"/>
              </w:rPr>
              <w:t>8.16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23,515</w:t>
            </w:r>
          </w:p>
        </w:tc>
        <w:tc>
          <w:tcPr>
            <w:vAlign w:val="center"/>
          </w:tcPr>
          <w:p>
            <w:pPr>
              <w:jc w:val="right"/>
            </w:pPr>
            <w:r>
              <w:rPr>
                <w:color w:val="000000"/>
                <w:kern w:val="0"/>
                <w:sz w:val="24"/>
                <w:szCs w:val="24"/>
              </w:rPr>
              <w:t>34,399,623.20</w:t>
            </w:r>
          </w:p>
        </w:tc>
        <w:tc>
          <w:tcPr>
            <w:vAlign w:val="center"/>
          </w:tcPr>
          <w:p>
            <w:pPr>
              <w:jc w:val="right"/>
            </w:pPr>
            <w:r>
              <w:rPr>
                <w:color w:val="000000"/>
                <w:kern w:val="0"/>
                <w:sz w:val="24"/>
                <w:szCs w:val="24"/>
              </w:rPr>
              <w:t>4.33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471,993</w:t>
            </w:r>
          </w:p>
        </w:tc>
        <w:tc>
          <w:tcPr>
            <w:vAlign w:val="center"/>
          </w:tcPr>
          <w:p>
            <w:pPr>
              <w:jc w:val="right"/>
            </w:pPr>
            <w:r>
              <w:rPr>
                <w:color w:val="000000"/>
                <w:kern w:val="0"/>
                <w:sz w:val="24"/>
                <w:szCs w:val="24"/>
              </w:rPr>
              <w:t>33,700,300.20</w:t>
            </w:r>
          </w:p>
        </w:tc>
        <w:tc>
          <w:tcPr>
            <w:vAlign w:val="center"/>
          </w:tcPr>
          <w:p>
            <w:pPr>
              <w:jc w:val="right"/>
            </w:pPr>
            <w:r>
              <w:rPr>
                <w:color w:val="000000"/>
                <w:kern w:val="0"/>
                <w:sz w:val="24"/>
                <w:szCs w:val="24"/>
              </w:rPr>
              <w:t>4.25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300119</w:t>
            </w:r>
          </w:p>
        </w:tc>
        <w:tc>
          <w:tcPr>
            <w:vAlign w:val="center"/>
          </w:tcPr>
          <w:p>
            <w:pPr>
              <w:jc w:val="center"/>
            </w:pPr>
            <w:r>
              <w:rPr>
                <w:color w:val="000000"/>
                <w:kern w:val="0"/>
                <w:sz w:val="24"/>
                <w:szCs w:val="24"/>
              </w:rPr>
              <w:t>瑞普生物</w:t>
            </w:r>
          </w:p>
        </w:tc>
        <w:tc>
          <w:tcPr>
            <w:vAlign w:val="center"/>
          </w:tcPr>
          <w:p>
            <w:pPr>
              <w:jc w:val="right"/>
            </w:pPr>
            <w:r>
              <w:rPr>
                <w:color w:val="000000"/>
                <w:kern w:val="0"/>
                <w:sz w:val="24"/>
                <w:szCs w:val="24"/>
              </w:rPr>
              <w:t>1,412,400</w:t>
            </w:r>
          </w:p>
        </w:tc>
        <w:tc>
          <w:tcPr>
            <w:vAlign w:val="center"/>
          </w:tcPr>
          <w:p>
            <w:pPr>
              <w:jc w:val="right"/>
            </w:pPr>
            <w:r>
              <w:rPr>
                <w:color w:val="000000"/>
                <w:kern w:val="0"/>
                <w:sz w:val="24"/>
                <w:szCs w:val="24"/>
              </w:rPr>
              <w:t>31,567,140.00</w:t>
            </w:r>
          </w:p>
        </w:tc>
        <w:tc>
          <w:tcPr>
            <w:vAlign w:val="center"/>
          </w:tcPr>
          <w:p>
            <w:pPr>
              <w:jc w:val="right"/>
            </w:pPr>
            <w:r>
              <w:rPr>
                <w:color w:val="000000"/>
                <w:kern w:val="0"/>
                <w:sz w:val="24"/>
                <w:szCs w:val="24"/>
              </w:rPr>
              <w:t>3.98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603378</w:t>
            </w:r>
          </w:p>
        </w:tc>
        <w:tc>
          <w:tcPr>
            <w:vAlign w:val="center"/>
          </w:tcPr>
          <w:p>
            <w:pPr>
              <w:jc w:val="center"/>
            </w:pPr>
            <w:r>
              <w:rPr>
                <w:color w:val="000000"/>
                <w:kern w:val="0"/>
                <w:sz w:val="24"/>
                <w:szCs w:val="24"/>
              </w:rPr>
              <w:t>亚士创能</w:t>
            </w:r>
          </w:p>
        </w:tc>
        <w:tc>
          <w:tcPr>
            <w:vAlign w:val="center"/>
          </w:tcPr>
          <w:p>
            <w:pPr>
              <w:jc w:val="right"/>
            </w:pPr>
            <w:r>
              <w:rPr>
                <w:color w:val="000000"/>
                <w:kern w:val="0"/>
                <w:sz w:val="24"/>
                <w:szCs w:val="24"/>
              </w:rPr>
              <w:t>501,875</w:t>
            </w:r>
          </w:p>
        </w:tc>
        <w:tc>
          <w:tcPr>
            <w:vAlign w:val="center"/>
          </w:tcPr>
          <w:p>
            <w:pPr>
              <w:jc w:val="right"/>
            </w:pPr>
            <w:r>
              <w:rPr>
                <w:color w:val="000000"/>
                <w:kern w:val="0"/>
                <w:sz w:val="24"/>
                <w:szCs w:val="24"/>
              </w:rPr>
              <w:t>21,957,031.25</w:t>
            </w:r>
          </w:p>
        </w:tc>
        <w:tc>
          <w:tcPr>
            <w:vAlign w:val="center"/>
          </w:tcPr>
          <w:p>
            <w:pPr>
              <w:jc w:val="right"/>
            </w:pPr>
            <w:r>
              <w:rPr>
                <w:color w:val="000000"/>
                <w:kern w:val="0"/>
                <w:sz w:val="24"/>
                <w:szCs w:val="24"/>
              </w:rPr>
              <w:t>2.77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376,446</w:t>
            </w:r>
          </w:p>
        </w:tc>
        <w:tc>
          <w:tcPr>
            <w:vAlign w:val="center"/>
          </w:tcPr>
          <w:p>
            <w:pPr>
              <w:jc w:val="right"/>
            </w:pPr>
            <w:r>
              <w:rPr>
                <w:color w:val="000000"/>
                <w:kern w:val="0"/>
                <w:sz w:val="24"/>
                <w:szCs w:val="24"/>
              </w:rPr>
              <w:t>21,295,550.22</w:t>
            </w:r>
          </w:p>
        </w:tc>
        <w:tc>
          <w:tcPr>
            <w:vAlign w:val="center"/>
          </w:tcPr>
          <w:p>
            <w:pPr>
              <w:jc w:val="right"/>
            </w:pPr>
            <w:r>
              <w:rPr>
                <w:color w:val="000000"/>
                <w:kern w:val="0"/>
                <w:sz w:val="24"/>
                <w:szCs w:val="24"/>
              </w:rPr>
              <w:t>2.68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002419</w:t>
            </w:r>
          </w:p>
        </w:tc>
        <w:tc>
          <w:tcPr>
            <w:vAlign w:val="center"/>
          </w:tcPr>
          <w:p>
            <w:pPr>
              <w:jc w:val="center"/>
            </w:pPr>
            <w:r>
              <w:rPr>
                <w:color w:val="000000"/>
                <w:kern w:val="0"/>
                <w:sz w:val="24"/>
                <w:szCs w:val="24"/>
              </w:rPr>
              <w:t>天虹股份</w:t>
            </w:r>
          </w:p>
        </w:tc>
        <w:tc>
          <w:tcPr>
            <w:vAlign w:val="center"/>
          </w:tcPr>
          <w:p>
            <w:pPr>
              <w:jc w:val="right"/>
            </w:pPr>
            <w:r>
              <w:rPr>
                <w:color w:val="000000"/>
                <w:kern w:val="0"/>
                <w:sz w:val="24"/>
                <w:szCs w:val="24"/>
              </w:rPr>
              <w:t>2,200,432</w:t>
            </w:r>
          </w:p>
        </w:tc>
        <w:tc>
          <w:tcPr>
            <w:vAlign w:val="center"/>
          </w:tcPr>
          <w:p>
            <w:pPr>
              <w:jc w:val="right"/>
            </w:pPr>
            <w:r>
              <w:rPr>
                <w:color w:val="000000"/>
                <w:kern w:val="0"/>
                <w:sz w:val="24"/>
                <w:szCs w:val="24"/>
              </w:rPr>
              <w:t>21,014,125.60</w:t>
            </w:r>
          </w:p>
        </w:tc>
        <w:tc>
          <w:tcPr>
            <w:vAlign w:val="center"/>
          </w:tcPr>
          <w:p>
            <w:pPr>
              <w:jc w:val="right"/>
            </w:pPr>
            <w:r>
              <w:rPr>
                <w:color w:val="000000"/>
                <w:kern w:val="0"/>
                <w:sz w:val="24"/>
                <w:szCs w:val="24"/>
              </w:rPr>
              <w:t>2.65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600380</w:t>
            </w:r>
          </w:p>
        </w:tc>
        <w:tc>
          <w:tcPr>
            <w:vAlign w:val="center"/>
          </w:tcPr>
          <w:p>
            <w:pPr>
              <w:jc w:val="center"/>
            </w:pPr>
            <w:r>
              <w:rPr>
                <w:color w:val="000000"/>
                <w:kern w:val="0"/>
                <w:sz w:val="24"/>
                <w:szCs w:val="24"/>
              </w:rPr>
              <w:t>健康元</w:t>
            </w:r>
          </w:p>
        </w:tc>
        <w:tc>
          <w:tcPr>
            <w:vAlign w:val="center"/>
          </w:tcPr>
          <w:p>
            <w:pPr>
              <w:jc w:val="right"/>
            </w:pPr>
            <w:r>
              <w:rPr>
                <w:color w:val="000000"/>
                <w:kern w:val="0"/>
                <w:sz w:val="24"/>
                <w:szCs w:val="24"/>
              </w:rPr>
              <w:t>1,120,264</w:t>
            </w:r>
          </w:p>
        </w:tc>
        <w:tc>
          <w:tcPr>
            <w:vAlign w:val="center"/>
          </w:tcPr>
          <w:p>
            <w:pPr>
              <w:jc w:val="right"/>
            </w:pPr>
            <w:r>
              <w:rPr>
                <w:color w:val="000000"/>
                <w:kern w:val="0"/>
                <w:sz w:val="24"/>
                <w:szCs w:val="24"/>
              </w:rPr>
              <w:t>18,193,087.36</w:t>
            </w:r>
          </w:p>
        </w:tc>
        <w:tc>
          <w:tcPr>
            <w:vAlign w:val="center"/>
          </w:tcPr>
          <w:p>
            <w:pPr>
              <w:jc w:val="right"/>
            </w:pPr>
            <w:r>
              <w:rPr>
                <w:color w:val="000000"/>
                <w:kern w:val="0"/>
                <w:sz w:val="24"/>
                <w:szCs w:val="24"/>
              </w:rPr>
              <w:t>2.29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002142</w:t>
            </w:r>
          </w:p>
        </w:tc>
        <w:tc>
          <w:tcPr>
            <w:vAlign w:val="center"/>
          </w:tcPr>
          <w:p>
            <w:pPr>
              <w:jc w:val="center"/>
            </w:pPr>
            <w:r>
              <w:rPr>
                <w:color w:val="000000"/>
                <w:kern w:val="0"/>
                <w:sz w:val="24"/>
                <w:szCs w:val="24"/>
              </w:rPr>
              <w:t>宁波银行</w:t>
            </w:r>
          </w:p>
        </w:tc>
        <w:tc>
          <w:tcPr>
            <w:vAlign w:val="center"/>
          </w:tcPr>
          <w:p>
            <w:pPr>
              <w:jc w:val="right"/>
            </w:pPr>
            <w:r>
              <w:rPr>
                <w:color w:val="000000"/>
                <w:kern w:val="0"/>
                <w:sz w:val="24"/>
                <w:szCs w:val="24"/>
              </w:rPr>
              <w:t>657,290</w:t>
            </w:r>
          </w:p>
        </w:tc>
        <w:tc>
          <w:tcPr>
            <w:vAlign w:val="center"/>
          </w:tcPr>
          <w:p>
            <w:pPr>
              <w:jc w:val="right"/>
            </w:pPr>
            <w:r>
              <w:rPr>
                <w:color w:val="000000"/>
                <w:kern w:val="0"/>
                <w:sz w:val="24"/>
                <w:szCs w:val="24"/>
              </w:rPr>
              <w:t>17,267,008.30</w:t>
            </w:r>
          </w:p>
        </w:tc>
        <w:tc>
          <w:tcPr>
            <w:vAlign w:val="center"/>
          </w:tcPr>
          <w:p>
            <w:pPr>
              <w:jc w:val="right"/>
            </w:pPr>
            <w:r>
              <w:rPr>
                <w:color w:val="000000"/>
                <w:kern w:val="0"/>
                <w:sz w:val="24"/>
                <w:szCs w:val="24"/>
              </w:rPr>
              <w:t>2.18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300259</w:t>
            </w:r>
          </w:p>
        </w:tc>
        <w:tc>
          <w:tcPr>
            <w:vAlign w:val="center"/>
          </w:tcPr>
          <w:p>
            <w:pPr>
              <w:jc w:val="center"/>
            </w:pPr>
            <w:r>
              <w:rPr>
                <w:color w:val="000000"/>
                <w:kern w:val="0"/>
                <w:sz w:val="24"/>
                <w:szCs w:val="24"/>
              </w:rPr>
              <w:t>新天科技</w:t>
            </w:r>
          </w:p>
        </w:tc>
        <w:tc>
          <w:tcPr>
            <w:vAlign w:val="center"/>
          </w:tcPr>
          <w:p>
            <w:pPr>
              <w:jc w:val="right"/>
            </w:pPr>
            <w:r>
              <w:rPr>
                <w:color w:val="000000"/>
                <w:kern w:val="0"/>
                <w:sz w:val="24"/>
                <w:szCs w:val="24"/>
              </w:rPr>
              <w:t>2,724,202</w:t>
            </w:r>
          </w:p>
        </w:tc>
        <w:tc>
          <w:tcPr>
            <w:vAlign w:val="center"/>
          </w:tcPr>
          <w:p>
            <w:pPr>
              <w:jc w:val="right"/>
            </w:pPr>
            <w:r>
              <w:rPr>
                <w:color w:val="000000"/>
                <w:kern w:val="0"/>
                <w:sz w:val="24"/>
                <w:szCs w:val="24"/>
              </w:rPr>
              <w:t>15,745,887.56</w:t>
            </w:r>
          </w:p>
        </w:tc>
        <w:tc>
          <w:tcPr>
            <w:vAlign w:val="center"/>
          </w:tcPr>
          <w:p>
            <w:pPr>
              <w:jc w:val="right"/>
            </w:pPr>
            <w:r>
              <w:rPr>
                <w:color w:val="000000"/>
                <w:kern w:val="0"/>
                <w:sz w:val="24"/>
                <w:szCs w:val="24"/>
              </w:rPr>
              <w:t>1.98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2019年12月5日，宁波银保监局对宁波银行作出“罚款人民币40万元，并责令该行对相关直接责任人给予纪律处分”的行政处罚。违法违规事由：设立时点性规模考核指标、股权质押管理不合规。</w:t>
      </w:r>
    </w:p>
    <w:p>
      <w:pPr>
        <w:spacing w:line="360" w:lineRule="auto"/>
        <w:rPr>
          <w:rFonts w:ascii="宋体" w:hAnsi="宋体"/>
          <w:color w:val="000000"/>
          <w:sz w:val="24"/>
          <w:szCs w:val="24"/>
        </w:rPr>
      </w:pPr>
      <w:r>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本基金投资宁波银行、格力电器的投资决策程序符合公司投资制度的规定。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除宁波银行、格力电器外，本基金投资的前十名证券的发行主体本期没有出现被监管部门立案调查，或在报告编制日前一年内受到公开谴责、处罚的情形。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172,952.90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887,773.35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30,454.26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192,746.96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1,283,927.47</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549,255,876.39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21,641,360.22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29,652,669.60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541,244,567.01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1.中国证监会准予科瑞证券投资基金变更注册的文件；</w:t>
      </w:r>
    </w:p>
    <w:p>
      <w:pPr>
        <w:spacing w:line="360" w:lineRule="auto"/>
        <w:ind w:firstLine="480" w:firstLineChars="200"/>
        <w:rPr>
          <w:color w:val="000000"/>
          <w:sz w:val="24"/>
          <w:szCs w:val="24"/>
        </w:rPr>
      </w:pPr>
      <w:r>
        <w:rPr>
          <w:color w:val="000000"/>
          <w:sz w:val="24"/>
          <w:szCs w:val="24"/>
        </w:rPr>
        <w:t>2.关于科瑞证券投资基金基金份额持有人大会表决结果暨决议生效的公告；</w:t>
      </w:r>
    </w:p>
    <w:p>
      <w:pPr>
        <w:spacing w:line="360" w:lineRule="auto"/>
        <w:ind w:firstLine="480" w:firstLineChars="200"/>
        <w:rPr>
          <w:color w:val="000000"/>
          <w:sz w:val="24"/>
          <w:szCs w:val="24"/>
        </w:rPr>
      </w:pPr>
      <w:r>
        <w:rPr>
          <w:color w:val="000000"/>
          <w:sz w:val="24"/>
          <w:szCs w:val="24"/>
        </w:rPr>
        <w:t>3.《易方达科瑞灵活配置混合型证券投资基金基金合同》；</w:t>
      </w:r>
    </w:p>
    <w:p>
      <w:pPr>
        <w:spacing w:line="360" w:lineRule="auto"/>
        <w:ind w:firstLine="480" w:firstLineChars="200"/>
        <w:rPr>
          <w:color w:val="000000"/>
          <w:sz w:val="24"/>
          <w:szCs w:val="24"/>
        </w:rPr>
      </w:pPr>
      <w:r>
        <w:rPr>
          <w:color w:val="000000"/>
          <w:sz w:val="24"/>
          <w:szCs w:val="24"/>
        </w:rPr>
        <w:t>4.《易方达科瑞灵活配置混合型证券投资基金托管协议》；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易方达科瑞灵活配置混合型证券投资基金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