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易方达富惠纯债债券型证券投资基金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易方达富惠纯债债券</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003214</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003214</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2016年8月24日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4,299,460,146.27</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本基金为纯债基金，管理人主要通过分析影响债券市场的各类要素，在严格控制投资风险的基础上，力争实现基金资产的稳健增值。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采取积极管理的投资策略，在分析和判断宏观经济运行状况和金融市场运行趋势的基础上，自上而下地决定债券组合久期及类属配置；同时在严谨深入的信用分析的基础上，自下而上地精选个券，力争获得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59,497,532.02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1,946,863.95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4,406,219,345.18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1.0248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0.02%</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2.21%</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5.06%</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3.19%</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17.61%</w:t>
            </w:r>
          </w:p>
        </w:tc>
        <w:tc>
          <w:tcPr>
            <w:vAlign w:val="center"/>
          </w:tcPr>
          <w:p>
            <w:pPr>
              <w:jc w:val="center"/>
            </w:pPr>
            <w:r>
              <w:rPr>
                <w:color w:val="000000"/>
                <w:kern w:val="0"/>
                <w:sz w:val="24"/>
                <w:szCs w:val="24"/>
              </w:rPr>
              <w:t>0.06%</w:t>
            </w:r>
          </w:p>
        </w:tc>
        <w:tc>
          <w:tcPr>
            <w:vAlign w:val="center"/>
          </w:tcPr>
          <w:p>
            <w:pPr>
              <w:jc w:val="center"/>
            </w:pPr>
            <w:r>
              <w:rPr>
                <w:color w:val="000000"/>
                <w:kern w:val="0"/>
                <w:sz w:val="24"/>
                <w:szCs w:val="24"/>
              </w:rPr>
              <w:t>5.61%</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12.00%</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17.99%</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0.94%</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17.05%</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易方达富惠纯债债券型证券投资基金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2016年8月24日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注：自基金合同生效至报告期末，基金份额净值增长率为17.99%，同期业绩比较基准收益率为0.94%。</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中债7-10年期国开行债券指数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2019-11-02</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操作上，组合以信用债底仓配置策略为主，并积极根据市场情况进行波段操作，组合杠杆及有效久期均保持在中性偏高水平。受到债券市场剧烈波动的影响，组合净值有所回撤。</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截至报告期末，本基金份额净值为1.0248元，本报告期份额净值增长率为0.02%，同期业绩比较基准收益率为-1.04%。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5,905,322,268.40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96.80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5,885,362,268.40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96.47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19,960,000.00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0.33</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78,460,903.45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1.29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116,907,757.44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6,100,690,929.29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326,719,264.10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7.41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324,668,000.00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7.37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3,064,410,004.30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69.55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110,513,000.00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2.51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2,286,230,000.00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51.89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97,490,000.00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2.21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5,885,362,268.40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133.57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180203</w:t>
            </w:r>
          </w:p>
        </w:tc>
        <w:tc>
          <w:tcPr>
            <w:vAlign w:val="center"/>
          </w:tcPr>
          <w:p>
            <w:pPr>
              <w:jc w:val="center"/>
            </w:pPr>
            <w:r>
              <w:rPr>
                <w:color w:val="000000"/>
                <w:kern w:val="0"/>
                <w:sz w:val="24"/>
                <w:szCs w:val="24"/>
              </w:rPr>
              <w:t>18国开03</w:t>
            </w:r>
          </w:p>
        </w:tc>
        <w:tc>
          <w:tcPr>
            <w:vAlign w:val="center"/>
          </w:tcPr>
          <w:p>
            <w:pPr>
              <w:jc w:val="right"/>
            </w:pPr>
            <w:r>
              <w:rPr>
                <w:color w:val="000000"/>
                <w:kern w:val="0"/>
                <w:sz w:val="24"/>
                <w:szCs w:val="24"/>
              </w:rPr>
              <w:t>1,800,000</w:t>
            </w:r>
          </w:p>
        </w:tc>
        <w:tc>
          <w:tcPr>
            <w:vAlign w:val="center"/>
          </w:tcPr>
          <w:p>
            <w:pPr>
              <w:jc w:val="right"/>
            </w:pPr>
            <w:r>
              <w:rPr>
                <w:color w:val="000000"/>
                <w:kern w:val="0"/>
                <w:sz w:val="24"/>
                <w:szCs w:val="24"/>
              </w:rPr>
              <w:t>182,952,000.00</w:t>
            </w:r>
          </w:p>
        </w:tc>
        <w:tc>
          <w:tcPr>
            <w:vAlign w:val="center"/>
          </w:tcPr>
          <w:p>
            <w:pPr>
              <w:jc w:val="right"/>
            </w:pPr>
            <w:r>
              <w:rPr>
                <w:color w:val="000000"/>
                <w:kern w:val="0"/>
                <w:sz w:val="24"/>
                <w:szCs w:val="24"/>
              </w:rPr>
              <w:t>4.15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101801189</w:t>
            </w:r>
          </w:p>
        </w:tc>
        <w:tc>
          <w:tcPr>
            <w:vAlign w:val="center"/>
          </w:tcPr>
          <w:p>
            <w:pPr>
              <w:jc w:val="center"/>
            </w:pPr>
            <w:r>
              <w:rPr>
                <w:color w:val="000000"/>
                <w:kern w:val="0"/>
                <w:sz w:val="24"/>
                <w:szCs w:val="24"/>
              </w:rPr>
              <w:t>18兖州煤业MTN002</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102,400,000.00</w:t>
            </w:r>
          </w:p>
        </w:tc>
        <w:tc>
          <w:tcPr>
            <w:vAlign w:val="center"/>
          </w:tcPr>
          <w:p>
            <w:pPr>
              <w:jc w:val="right"/>
            </w:pPr>
            <w:r>
              <w:rPr>
                <w:color w:val="000000"/>
                <w:kern w:val="0"/>
                <w:sz w:val="24"/>
                <w:szCs w:val="24"/>
              </w:rPr>
              <w:t>2.32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112872</w:t>
            </w:r>
          </w:p>
        </w:tc>
        <w:tc>
          <w:tcPr>
            <w:vAlign w:val="center"/>
          </w:tcPr>
          <w:p>
            <w:pPr>
              <w:jc w:val="center"/>
            </w:pPr>
            <w:r>
              <w:rPr>
                <w:color w:val="000000"/>
                <w:kern w:val="0"/>
                <w:sz w:val="24"/>
                <w:szCs w:val="24"/>
              </w:rPr>
              <w:t>19GLPR1</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100,560,000.00</w:t>
            </w:r>
          </w:p>
        </w:tc>
        <w:tc>
          <w:tcPr>
            <w:vAlign w:val="center"/>
          </w:tcPr>
          <w:p>
            <w:pPr>
              <w:jc w:val="right"/>
            </w:pPr>
            <w:r>
              <w:rPr>
                <w:color w:val="000000"/>
                <w:kern w:val="0"/>
                <w:sz w:val="24"/>
                <w:szCs w:val="24"/>
              </w:rPr>
              <w:t>2.28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112080904</w:t>
            </w:r>
          </w:p>
        </w:tc>
        <w:tc>
          <w:tcPr>
            <w:vAlign w:val="center"/>
          </w:tcPr>
          <w:p>
            <w:pPr>
              <w:jc w:val="center"/>
            </w:pPr>
            <w:r>
              <w:rPr>
                <w:color w:val="000000"/>
                <w:kern w:val="0"/>
                <w:sz w:val="24"/>
                <w:szCs w:val="24"/>
              </w:rPr>
              <w:t>20昆仑银行CD087</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97,490,000.00</w:t>
            </w:r>
          </w:p>
        </w:tc>
        <w:tc>
          <w:tcPr>
            <w:vAlign w:val="center"/>
          </w:tcPr>
          <w:p>
            <w:pPr>
              <w:jc w:val="right"/>
            </w:pPr>
            <w:r>
              <w:rPr>
                <w:color w:val="000000"/>
                <w:kern w:val="0"/>
                <w:sz w:val="24"/>
                <w:szCs w:val="24"/>
              </w:rPr>
              <w:t>2.21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1780014</w:t>
            </w:r>
          </w:p>
        </w:tc>
        <w:tc>
          <w:tcPr>
            <w:vAlign w:val="center"/>
          </w:tcPr>
          <w:p>
            <w:pPr>
              <w:jc w:val="center"/>
            </w:pPr>
            <w:r>
              <w:rPr>
                <w:color w:val="000000"/>
                <w:kern w:val="0"/>
                <w:sz w:val="24"/>
                <w:szCs w:val="24"/>
              </w:rPr>
              <w:t>17龙湖绿色债03</w:t>
            </w:r>
          </w:p>
        </w:tc>
        <w:tc>
          <w:tcPr>
            <w:vAlign w:val="center"/>
          </w:tcPr>
          <w:p>
            <w:pPr>
              <w:jc w:val="right"/>
            </w:pPr>
            <w:r>
              <w:rPr>
                <w:color w:val="000000"/>
                <w:kern w:val="0"/>
                <w:sz w:val="24"/>
                <w:szCs w:val="24"/>
              </w:rPr>
              <w:t>900,000</w:t>
            </w:r>
          </w:p>
        </w:tc>
        <w:tc>
          <w:tcPr>
            <w:vAlign w:val="center"/>
          </w:tcPr>
          <w:p>
            <w:pPr>
              <w:jc w:val="right"/>
            </w:pPr>
            <w:r>
              <w:rPr>
                <w:color w:val="000000"/>
                <w:kern w:val="0"/>
                <w:sz w:val="24"/>
                <w:szCs w:val="24"/>
              </w:rPr>
              <w:t>92,394,000.00</w:t>
            </w:r>
          </w:p>
        </w:tc>
        <w:tc>
          <w:tcPr>
            <w:vAlign w:val="center"/>
          </w:tcPr>
          <w:p>
            <w:pPr>
              <w:jc w:val="right"/>
            </w:pPr>
            <w:r>
              <w:rPr>
                <w:color w:val="000000"/>
                <w:kern w:val="0"/>
                <w:sz w:val="24"/>
                <w:szCs w:val="24"/>
              </w:rPr>
              <w:t>2.10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168022</w:t>
            </w:r>
          </w:p>
        </w:tc>
        <w:tc>
          <w:tcPr>
            <w:vAlign w:val="center"/>
          </w:tcPr>
          <w:p>
            <w:pPr>
              <w:jc w:val="center"/>
            </w:pPr>
            <w:r>
              <w:rPr>
                <w:color w:val="000000"/>
                <w:kern w:val="0"/>
                <w:sz w:val="24"/>
                <w:szCs w:val="24"/>
              </w:rPr>
              <w:t>兆玺01优</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9,985,000.00</w:t>
            </w:r>
          </w:p>
        </w:tc>
        <w:tc>
          <w:tcPr>
            <w:vAlign w:val="center"/>
          </w:tcPr>
          <w:p>
            <w:pPr>
              <w:jc w:val="right"/>
            </w:pPr>
            <w:r>
              <w:rPr>
                <w:color w:val="000000"/>
                <w:kern w:val="0"/>
                <w:sz w:val="24"/>
                <w:szCs w:val="24"/>
              </w:rPr>
              <w:t>0.23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138579</w:t>
            </w:r>
          </w:p>
        </w:tc>
        <w:tc>
          <w:tcPr>
            <w:vAlign w:val="center"/>
          </w:tcPr>
          <w:p>
            <w:pPr>
              <w:jc w:val="center"/>
            </w:pPr>
            <w:r>
              <w:rPr>
                <w:color w:val="000000"/>
                <w:kern w:val="0"/>
                <w:sz w:val="24"/>
                <w:szCs w:val="24"/>
              </w:rPr>
              <w:t>鹏举05优</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9,975,000.00</w:t>
            </w:r>
          </w:p>
        </w:tc>
        <w:tc>
          <w:tcPr>
            <w:vAlign w:val="center"/>
          </w:tcPr>
          <w:p>
            <w:pPr>
              <w:jc w:val="right"/>
            </w:pPr>
            <w:r>
              <w:rPr>
                <w:color w:val="000000"/>
                <w:kern w:val="0"/>
                <w:sz w:val="24"/>
                <w:szCs w:val="24"/>
              </w:rPr>
              <w:t>0.23</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1B0A62" w:rsidR="00750D48" w:rsidRDefault="00750D48" w:rsidRPr="001C7E00">
      <w:pPr>
        <w:autoSpaceDE w:val="0"/>
        <w:autoSpaceDN w:val="0"/>
        <w:adjustRightInd w:val="0"/>
        <w:spacing w:line="360" w:lineRule="auto"/>
        <w:jc w:val="left"/>
        <w:rPr>
          <w:rFonts w:ascii="宋体" w:hAnsi="宋体"/>
          <w:bCs/>
          <w:color w:val="000000"/>
          <w:kern w:val="0"/>
          <w:sz w:val="24"/>
          <w:szCs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5.10.1 </w:t>
      </w:r>
      <w:r w:rsidRPr="001C7E00">
        <w:rPr>
          <w:rFonts w:ascii="宋体" w:hAnsi="宋体" w:hint="eastAsia"/>
          <w:bCs/>
          <w:color w:val="000000"/>
          <w:kern w:val="0"/>
          <w:sz w:val="24"/>
          <w:szCs w:val="24"/>
        </w:rPr>
        <w:t>本期国债期货投资政策</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本基金根据风险管理的原则，主要选择流动性好的国债期货合约进行交易，调节组合的久期水平。</w:t>
      </w:r>
    </w:p>
    <w:p w:rsidP="00277FAE" w:rsidR="00277FAE" w:rsidRDefault="00750D48">
      <w:pPr>
        <w:autoSpaceDE w:val="0"/>
        <w:autoSpaceDN w:val="0"/>
        <w:adjustRightInd w:val="0"/>
        <w:spacing w:line="360" w:lineRule="auto"/>
        <w:jc w:val="left"/>
        <w:rPr>
          <w:rFonts w:ascii="宋体" w:hAnsi="宋体"/>
          <w:bCs/>
          <w:color w:val="000000"/>
          <w:kern w:val="0"/>
          <w:sz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5.10.2 </w:t>
      </w:r>
      <w:r w:rsidRPr="001C7E00">
        <w:rPr>
          <w:rFonts w:ascii="宋体" w:hAnsi="宋体" w:hint="eastAsia"/>
          <w:bCs/>
          <w:color w:val="000000"/>
          <w:kern w:val="0"/>
          <w:sz w:val="24"/>
          <w:szCs w:val="24"/>
        </w:rPr>
        <w:t>报告期末本基金投资的国债期货持仓和损益明细</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277FAE" w:rsidTr="003B5535">
        <w:trPr>
          <w:jc w:val="center"/>
        </w:trPr>
        <w:tc>
          <w:tcPr>
            <w:tcW w:type="dxa" w:w="110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lastRenderedPageBreak/>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名称</w:t>
            </w:r>
          </w:p>
        </w:tc>
        <w:tc>
          <w:tcPr>
            <w:tcW w:type="dxa" w:w="1220"/>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t>持仓量</w:t>
            </w:r>
          </w:p>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（买</w:t>
            </w:r>
            <w:r>
              <w:rPr>
                <w:rFonts w:ascii="Times New Roman" w:cs="Times New Roman" w:hAnsi="Times New Roman"/>
              </w:rPr>
              <w:t>/</w:t>
            </w:r>
            <w:r>
              <w:rPr>
                <w:rFonts w:ascii="Times New Roman" w:cs="Times New Roman" w:hAnsi="Times New Roman" w:hint="eastAsia"/>
              </w:rPr>
              <w:t>卖）</w:t>
            </w:r>
          </w:p>
        </w:tc>
        <w:tc>
          <w:tcPr>
            <w:tcW w:type="dxa" w:w="1418"/>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合约市值</w:t>
            </w:r>
          </w:p>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（元）</w:t>
            </w:r>
          </w:p>
        </w:tc>
        <w:tc>
          <w:tcPr>
            <w:tcW w:type="dxa" w:w="170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公允价值变动</w:t>
            </w:r>
            <w:r>
              <w:rPr>
                <w:rFonts w:ascii="Times New Roman" w:cs="Times New Roman" w:hAnsi="Times New Roman" w:hint="eastAsia"/>
              </w:rPr>
              <w:lastRenderedPageBreak/>
              <w:t>（元）</w:t>
            </w:r>
          </w:p>
        </w:tc>
        <w:tc>
          <w:tcPr>
            <w:tcW w:type="dxa" w:w="1984"/>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风险指标说明</w:t>
            </w:r>
          </w:p>
        </w:tc>
      </w:tr>
      <w:tr>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2,820,922.33</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204,100.00</w:t>
            </w:r>
          </w:p>
        </w:tc>
      </w:tr>
    </w:tbl>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注：本基金本报告期末未投资国债期货。</w:t>
      </w:r>
    </w:p>
    <w:p w:rsidP="00277FAE" w:rsidR="00750D48" w:rsidRDefault="00750D48" w:rsidRPr="001C7E00">
      <w:pPr>
        <w:autoSpaceDE w:val="0"/>
        <w:autoSpaceDN w:val="0"/>
        <w:adjustRightInd w:val="0"/>
        <w:spacing w:line="360" w:lineRule="auto"/>
        <w:jc w:val="left"/>
        <w:rPr>
          <w:rFonts w:ascii="宋体" w:hAnsi="宋体"/>
          <w:bCs/>
          <w:color w:val="000000"/>
          <w:kern w:val="0"/>
          <w:sz w:val="24"/>
          <w:szCs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5.10.3 </w:t>
      </w:r>
      <w:r w:rsidRPr="001C7E00">
        <w:rPr>
          <w:rFonts w:ascii="宋体" w:hAnsi="宋体" w:hint="eastAsia"/>
          <w:bCs/>
          <w:color w:val="000000"/>
          <w:kern w:val="0"/>
          <w:sz w:val="24"/>
          <w:szCs w:val="24"/>
        </w:rPr>
        <w:t>本期国债期货投资评价</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本基金投资国债期货根据风险管理的原则，主要关注国债期货与债券现货之间的相对投资价值，调节组合的整体久期水平。本报告期内，本基金投资国债期货符合既定的投资政策和投资目的。</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22,999.93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9,005,705.67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107,879,051.84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116,907,757.44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4,323,887,967.14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313,696.15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24,741,517.02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4,299,460,146.27</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4,282,903,129.87</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4,282,903,129.87</w:t>
            </w:r>
          </w:p>
        </w:tc>
        <w:tc>
          <w:tcPr>
            <w:vAlign w:val="center"/>
          </w:tcPr>
          <w:p>
            <w:pPr>
              <w:jc w:val="center"/>
            </w:pPr>
            <w:r>
              <w:rPr>
                <w:sz w:val="24"/>
                <w:szCs w:val="24"/>
              </w:rPr>
              <w:t>99.61%</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1.中国证监会准予易方达富惠纯债债券型证券投资基金注册的文件；</w:t>
      </w:r>
    </w:p>
    <w:p>
      <w:pPr>
        <w:spacing w:line="360" w:lineRule="auto"/>
        <w:ind w:firstLine="480" w:firstLineChars="200"/>
        <w:rPr>
          <w:color w:val="000000"/>
          <w:sz w:val="24"/>
          <w:szCs w:val="24"/>
        </w:rPr>
      </w:pPr>
      <w:r>
        <w:rPr>
          <w:color w:val="000000"/>
          <w:sz w:val="24"/>
          <w:szCs w:val="24"/>
        </w:rPr>
        <w:t>2.《易方达富惠纯债债券型证券投资基金基金合同》；</w:t>
      </w:r>
    </w:p>
    <w:p>
      <w:pPr>
        <w:spacing w:line="360" w:lineRule="auto"/>
        <w:ind w:firstLine="480" w:firstLineChars="200"/>
        <w:rPr>
          <w:color w:val="000000"/>
          <w:sz w:val="24"/>
          <w:szCs w:val="24"/>
        </w:rPr>
      </w:pPr>
      <w:r>
        <w:rPr>
          <w:color w:val="000000"/>
          <w:sz w:val="24"/>
          <w:szCs w:val="24"/>
        </w:rPr>
        <w:t>3.《易方达富惠纯债债券型证券投资基金托管协议》；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易方达富惠纯债债券型证券投资基金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