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易方达裕鑫债券型证券投资基金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招商银行股份有限公司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易方达裕鑫债券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003133</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2016年9月5日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98,587,590.21</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本基金主要投资于债券资产，严格管理权益类品种的投资比例，在控制基金资产净值波动的基础上，力争实现基金资产的长期稳健增值。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xml:space="preserve">沪深300指数收益率×15%+中债新综合指数收益率（全价）×80%+金融机构人民币活期存款基准利率（税后）×5% </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招商银行股份有限公司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易方达裕鑫债券A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易方达裕鑫债券C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003133</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003134</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22,780,954.66</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75,806,635.55</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易方达裕鑫债券A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易方达裕鑫债券C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-11,880.97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-140,291.72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918,470.36</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3,665,547.48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0.0444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0.0467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27,665,594.88</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92,471,158.44</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1.2144</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1.2198</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易方达裕鑫债券A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4.05%</w:t>
            </w:r>
          </w:p>
        </w:tc>
        <w:tc>
          <w:tcPr>
            <w:vAlign w:val="center"/>
          </w:tcPr>
          <w:p>
            <w:pPr>
              <w:jc w:val="center"/>
            </w:pPr>
            <w:r>
              <w:rPr>
                <w:color w:val="000000"/>
                <w:sz w:val="24"/>
              </w:rPr>
              <w:t>0.40%</w:t>
            </w:r>
          </w:p>
        </w:tc>
        <w:tc>
          <w:tcPr>
            <w:vAlign w:val="center"/>
          </w:tcPr>
          <w:p>
            <w:pPr>
              <w:jc w:val="center"/>
            </w:pPr>
            <w:r>
              <w:rPr>
                <w:color w:val="000000"/>
                <w:sz w:val="24"/>
              </w:rPr>
              <w:t>1.04%</w:t>
            </w:r>
          </w:p>
        </w:tc>
        <w:tc>
          <w:tcPr>
            <w:vAlign w:val="center"/>
          </w:tcPr>
          <w:p>
            <w:pPr>
              <w:jc w:val="center"/>
            </w:pPr>
            <w:r>
              <w:rPr>
                <w:color w:val="000000"/>
                <w:sz w:val="24"/>
              </w:rPr>
              <w:t>0.16%</w:t>
            </w:r>
          </w:p>
        </w:tc>
        <w:tc>
          <w:tcPr>
            <w:vAlign w:val="center"/>
          </w:tcPr>
          <w:p>
            <w:pPr>
              <w:jc w:val="center"/>
            </w:pPr>
            <w:r>
              <w:rPr>
                <w:color w:val="000000"/>
                <w:sz w:val="24"/>
              </w:rPr>
              <w:t>3.01%</w:t>
            </w:r>
          </w:p>
        </w:tc>
        <w:tc>
          <w:tcPr>
            <w:vAlign w:val="center"/>
          </w:tcPr>
          <w:p>
            <w:pPr>
              <w:jc w:val="center"/>
            </w:pPr>
            <w:r>
              <w:rPr>
                <w:color w:val="000000"/>
                <w:sz w:val="24"/>
              </w:rPr>
              <w:t>0.24%</w:t>
            </w:r>
          </w:p>
        </w:tc>
      </w:tr>
      <w:tr>
        <w:tc>
          <w:tcPr>
            <w:vAlign w:val="center"/>
          </w:tcPr>
          <w:p>
            <w:pPr>
              <w:jc w:val="left"/>
            </w:pPr>
            <w:r>
              <w:rPr>
                <w:color w:val="000000"/>
                <w:sz w:val="24"/>
              </w:rPr>
              <w:t>过去六个月</w:t>
            </w:r>
          </w:p>
        </w:tc>
        <w:tc>
          <w:tcPr>
            <w:vAlign w:val="center"/>
          </w:tcPr>
          <w:p>
            <w:pPr>
              <w:jc w:val="center"/>
            </w:pPr>
            <w:r>
              <w:rPr>
                <w:color w:val="000000"/>
                <w:sz w:val="24"/>
              </w:rPr>
              <w:t>5.45%</w:t>
            </w:r>
          </w:p>
        </w:tc>
        <w:tc>
          <w:tcPr>
            <w:vAlign w:val="center"/>
          </w:tcPr>
          <w:p>
            <w:pPr>
              <w:jc w:val="center"/>
            </w:pPr>
            <w:r>
              <w:rPr>
                <w:color w:val="000000"/>
                <w:sz w:val="24"/>
              </w:rPr>
              <w:t>0.87%</w:t>
            </w:r>
          </w:p>
        </w:tc>
        <w:tc>
          <w:tcPr>
            <w:vAlign w:val="center"/>
          </w:tcPr>
          <w:p>
            <w:pPr>
              <w:jc w:val="center"/>
            </w:pPr>
            <w:r>
              <w:rPr>
                <w:color w:val="000000"/>
                <w:sz w:val="24"/>
              </w:rPr>
              <w:t>1.08%</w:t>
            </w:r>
          </w:p>
        </w:tc>
        <w:tc>
          <w:tcPr>
            <w:vAlign w:val="center"/>
          </w:tcPr>
          <w:p>
            <w:pPr>
              <w:jc w:val="center"/>
            </w:pPr>
            <w:r>
              <w:rPr>
                <w:color w:val="000000"/>
                <w:sz w:val="24"/>
              </w:rPr>
              <w:t>0.21%</w:t>
            </w:r>
          </w:p>
        </w:tc>
        <w:tc>
          <w:tcPr>
            <w:vAlign w:val="center"/>
          </w:tcPr>
          <w:p>
            <w:pPr>
              <w:jc w:val="center"/>
            </w:pPr>
            <w:r>
              <w:rPr>
                <w:color w:val="000000"/>
                <w:sz w:val="24"/>
              </w:rPr>
              <w:t>4.37%</w:t>
            </w:r>
          </w:p>
        </w:tc>
        <w:tc>
          <w:tcPr>
            <w:vAlign w:val="center"/>
          </w:tcPr>
          <w:p>
            <w:pPr>
              <w:jc w:val="center"/>
            </w:pPr>
            <w:r>
              <w:rPr>
                <w:color w:val="000000"/>
                <w:sz w:val="24"/>
              </w:rPr>
              <w:t>0.66%</w:t>
            </w:r>
          </w:p>
        </w:tc>
      </w:tr>
      <w:tr>
        <w:tc>
          <w:tcPr>
            <w:vAlign w:val="center"/>
          </w:tcPr>
          <w:p>
            <w:pPr>
              <w:jc w:val="left"/>
            </w:pPr>
            <w:r>
              <w:rPr>
                <w:color w:val="000000"/>
                <w:sz w:val="24"/>
              </w:rPr>
              <w:t>过去一年</w:t>
            </w:r>
          </w:p>
        </w:tc>
        <w:tc>
          <w:tcPr>
            <w:vAlign w:val="center"/>
          </w:tcPr>
          <w:p>
            <w:pPr>
              <w:jc w:val="center"/>
            </w:pPr>
            <w:r>
              <w:rPr>
                <w:color w:val="000000"/>
                <w:sz w:val="24"/>
              </w:rPr>
              <w:t>12.76%</w:t>
            </w:r>
          </w:p>
        </w:tc>
        <w:tc>
          <w:tcPr>
            <w:vAlign w:val="center"/>
          </w:tcPr>
          <w:p>
            <w:pPr>
              <w:jc w:val="center"/>
            </w:pPr>
            <w:r>
              <w:rPr>
                <w:color w:val="000000"/>
                <w:sz w:val="24"/>
              </w:rPr>
              <w:t>0.66%</w:t>
            </w:r>
          </w:p>
        </w:tc>
        <w:tc>
          <w:tcPr>
            <w:vAlign w:val="center"/>
          </w:tcPr>
          <w:p>
            <w:pPr>
              <w:jc w:val="center"/>
            </w:pPr>
            <w:r>
              <w:rPr>
                <w:color w:val="000000"/>
                <w:sz w:val="24"/>
              </w:rPr>
              <w:t>3.06%</w:t>
            </w:r>
          </w:p>
        </w:tc>
        <w:tc>
          <w:tcPr>
            <w:vAlign w:val="center"/>
          </w:tcPr>
          <w:p>
            <w:pPr>
              <w:jc w:val="center"/>
            </w:pPr>
            <w:r>
              <w:rPr>
                <w:color w:val="000000"/>
                <w:sz w:val="24"/>
              </w:rPr>
              <w:t>0.17%</w:t>
            </w:r>
          </w:p>
        </w:tc>
        <w:tc>
          <w:tcPr>
            <w:vAlign w:val="center"/>
          </w:tcPr>
          <w:p>
            <w:pPr>
              <w:jc w:val="center"/>
            </w:pPr>
            <w:r>
              <w:rPr>
                <w:color w:val="000000"/>
                <w:sz w:val="24"/>
              </w:rPr>
              <w:t>9.70%</w:t>
            </w:r>
          </w:p>
        </w:tc>
        <w:tc>
          <w:tcPr>
            <w:vAlign w:val="center"/>
          </w:tcPr>
          <w:p>
            <w:pPr>
              <w:jc w:val="center"/>
            </w:pPr>
            <w:r>
              <w:rPr>
                <w:color w:val="000000"/>
                <w:sz w:val="24"/>
              </w:rPr>
              <w:t>0.49%</w:t>
            </w:r>
          </w:p>
        </w:tc>
      </w:tr>
      <w:tr>
        <w:tc>
          <w:tcPr>
            <w:vAlign w:val="center"/>
          </w:tcPr>
          <w:p>
            <w:pPr>
              <w:jc w:val="left"/>
            </w:pPr>
            <w:r>
              <w:rPr>
                <w:color w:val="000000"/>
                <w:sz w:val="24"/>
              </w:rPr>
              <w:t>过去三年</w:t>
            </w:r>
          </w:p>
        </w:tc>
        <w:tc>
          <w:tcPr>
            <w:vAlign w:val="center"/>
          </w:tcPr>
          <w:p>
            <w:pPr>
              <w:jc w:val="center"/>
            </w:pPr>
            <w:r>
              <w:rPr>
                <w:color w:val="000000"/>
                <w:sz w:val="24"/>
              </w:rPr>
              <w:t>23.61%</w:t>
            </w:r>
          </w:p>
        </w:tc>
        <w:tc>
          <w:tcPr>
            <w:vAlign w:val="center"/>
          </w:tcPr>
          <w:p>
            <w:pPr>
              <w:jc w:val="center"/>
            </w:pPr>
            <w:r>
              <w:rPr>
                <w:color w:val="000000"/>
                <w:sz w:val="24"/>
              </w:rPr>
              <w:t>0.53%</w:t>
            </w:r>
          </w:p>
        </w:tc>
        <w:tc>
          <w:tcPr>
            <w:vAlign w:val="center"/>
          </w:tcPr>
          <w:p>
            <w:pPr>
              <w:jc w:val="center"/>
            </w:pPr>
            <w:r>
              <w:rPr>
                <w:color w:val="000000"/>
                <w:sz w:val="24"/>
              </w:rPr>
              <w:t>7.35%</w:t>
            </w:r>
          </w:p>
        </w:tc>
        <w:tc>
          <w:tcPr>
            <w:vAlign w:val="center"/>
          </w:tcPr>
          <w:p>
            <w:pPr>
              <w:jc w:val="center"/>
            </w:pPr>
            <w:r>
              <w:rPr>
                <w:color w:val="000000"/>
                <w:sz w:val="24"/>
              </w:rPr>
              <w:t>0.18%</w:t>
            </w:r>
          </w:p>
        </w:tc>
        <w:tc>
          <w:tcPr>
            <w:vAlign w:val="center"/>
          </w:tcPr>
          <w:p>
            <w:pPr>
              <w:jc w:val="center"/>
            </w:pPr>
            <w:r>
              <w:rPr>
                <w:color w:val="000000"/>
                <w:sz w:val="24"/>
              </w:rPr>
              <w:t>16.26%</w:t>
            </w:r>
          </w:p>
        </w:tc>
        <w:tc>
          <w:tcPr>
            <w:vAlign w:val="center"/>
          </w:tcPr>
          <w:p>
            <w:pPr>
              <w:jc w:val="center"/>
            </w:pPr>
            <w:r>
              <w:rPr>
                <w:color w:val="000000"/>
                <w:sz w:val="24"/>
              </w:rPr>
              <w:t>0.35%</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25.94%</w:t>
            </w:r>
          </w:p>
        </w:tc>
        <w:tc>
          <w:tcPr>
            <w:vAlign w:val="center"/>
          </w:tcPr>
          <w:p>
            <w:pPr>
              <w:jc w:val="center"/>
            </w:pPr>
            <w:r>
              <w:rPr>
                <w:color w:val="000000"/>
                <w:sz w:val="24"/>
              </w:rPr>
              <w:t>0.48%</w:t>
            </w:r>
          </w:p>
        </w:tc>
        <w:tc>
          <w:tcPr>
            <w:vAlign w:val="center"/>
          </w:tcPr>
          <w:p>
            <w:pPr>
              <w:jc w:val="center"/>
            </w:pPr>
            <w:r>
              <w:rPr>
                <w:color w:val="000000"/>
                <w:sz w:val="24"/>
              </w:rPr>
              <w:t>5.29%</w:t>
            </w:r>
          </w:p>
        </w:tc>
        <w:tc>
          <w:tcPr>
            <w:vAlign w:val="center"/>
          </w:tcPr>
          <w:p>
            <w:pPr>
              <w:jc w:val="center"/>
            </w:pPr>
            <w:r>
              <w:rPr>
                <w:color w:val="000000"/>
                <w:sz w:val="24"/>
              </w:rPr>
              <w:t>0.17%</w:t>
            </w:r>
          </w:p>
        </w:tc>
        <w:tc>
          <w:tcPr>
            <w:vAlign w:val="center"/>
          </w:tcPr>
          <w:p>
            <w:pPr>
              <w:jc w:val="center"/>
            </w:pPr>
            <w:r>
              <w:rPr>
                <w:color w:val="000000"/>
                <w:sz w:val="24"/>
              </w:rPr>
              <w:t>20.65%</w:t>
            </w:r>
          </w:p>
        </w:tc>
        <w:tc>
          <w:tcPr>
            <w:vAlign w:val="center"/>
          </w:tcPr>
          <w:p>
            <w:pPr>
              <w:jc w:val="center"/>
            </w:pPr>
            <w:r>
              <w:rPr>
                <w:color w:val="000000"/>
                <w:sz w:val="24"/>
              </w:rPr>
              <w:t>0.31%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易方达裕鑫债券C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4.01%</w:t>
            </w:r>
          </w:p>
        </w:tc>
        <w:tc>
          <w:tcPr>
            <w:vAlign w:val="center"/>
          </w:tcPr>
          <w:p>
            <w:pPr>
              <w:jc w:val="center"/>
            </w:pPr>
            <w:r>
              <w:rPr>
                <w:color w:val="000000"/>
                <w:sz w:val="24"/>
              </w:rPr>
              <w:t>0.40%</w:t>
            </w:r>
          </w:p>
        </w:tc>
        <w:tc>
          <w:tcPr>
            <w:vAlign w:val="center"/>
          </w:tcPr>
          <w:p>
            <w:pPr>
              <w:jc w:val="center"/>
            </w:pPr>
            <w:r>
              <w:rPr>
                <w:color w:val="000000"/>
                <w:sz w:val="24"/>
              </w:rPr>
              <w:t>1.04%</w:t>
            </w:r>
          </w:p>
        </w:tc>
        <w:tc>
          <w:tcPr>
            <w:vAlign w:val="center"/>
          </w:tcPr>
          <w:p>
            <w:pPr>
              <w:jc w:val="center"/>
            </w:pPr>
            <w:r>
              <w:rPr>
                <w:color w:val="000000"/>
                <w:sz w:val="24"/>
              </w:rPr>
              <w:t>0.16%</w:t>
            </w:r>
          </w:p>
        </w:tc>
        <w:tc>
          <w:tcPr>
            <w:vAlign w:val="center"/>
          </w:tcPr>
          <w:p>
            <w:pPr>
              <w:jc w:val="center"/>
            </w:pPr>
            <w:r>
              <w:rPr>
                <w:color w:val="000000"/>
                <w:sz w:val="24"/>
              </w:rPr>
              <w:t>2.97%</w:t>
            </w:r>
          </w:p>
        </w:tc>
        <w:tc>
          <w:tcPr>
            <w:vAlign w:val="center"/>
          </w:tcPr>
          <w:p>
            <w:pPr>
              <w:jc w:val="center"/>
            </w:pPr>
            <w:r>
              <w:rPr>
                <w:color w:val="000000"/>
                <w:sz w:val="24"/>
              </w:rPr>
              <w:t>0.24%</w:t>
            </w:r>
          </w:p>
        </w:tc>
      </w:tr>
      <w:tr>
        <w:tc>
          <w:tcPr>
            <w:vAlign w:val="center"/>
          </w:tcPr>
          <w:p>
            <w:pPr>
              <w:jc w:val="left"/>
            </w:pPr>
            <w:r>
              <w:rPr>
                <w:color w:val="000000"/>
                <w:sz w:val="24"/>
              </w:rPr>
              <w:t>过去六个月</w:t>
            </w:r>
          </w:p>
        </w:tc>
        <w:tc>
          <w:tcPr>
            <w:vAlign w:val="center"/>
          </w:tcPr>
          <w:p>
            <w:pPr>
              <w:jc w:val="center"/>
            </w:pPr>
            <w:r>
              <w:rPr>
                <w:color w:val="000000"/>
                <w:sz w:val="24"/>
              </w:rPr>
              <w:t>5.35%</w:t>
            </w:r>
          </w:p>
        </w:tc>
        <w:tc>
          <w:tcPr>
            <w:vAlign w:val="center"/>
          </w:tcPr>
          <w:p>
            <w:pPr>
              <w:jc w:val="center"/>
            </w:pPr>
            <w:r>
              <w:rPr>
                <w:color w:val="000000"/>
                <w:sz w:val="24"/>
              </w:rPr>
              <w:t>0.87%</w:t>
            </w:r>
          </w:p>
        </w:tc>
        <w:tc>
          <w:tcPr>
            <w:vAlign w:val="center"/>
          </w:tcPr>
          <w:p>
            <w:pPr>
              <w:jc w:val="center"/>
            </w:pPr>
            <w:r>
              <w:rPr>
                <w:color w:val="000000"/>
                <w:sz w:val="24"/>
              </w:rPr>
              <w:t>1.08%</w:t>
            </w:r>
          </w:p>
        </w:tc>
        <w:tc>
          <w:tcPr>
            <w:vAlign w:val="center"/>
          </w:tcPr>
          <w:p>
            <w:pPr>
              <w:jc w:val="center"/>
            </w:pPr>
            <w:r>
              <w:rPr>
                <w:color w:val="000000"/>
                <w:sz w:val="24"/>
              </w:rPr>
              <w:t>0.21%</w:t>
            </w:r>
          </w:p>
        </w:tc>
        <w:tc>
          <w:tcPr>
            <w:vAlign w:val="center"/>
          </w:tcPr>
          <w:p>
            <w:pPr>
              <w:jc w:val="center"/>
            </w:pPr>
            <w:r>
              <w:rPr>
                <w:color w:val="000000"/>
                <w:sz w:val="24"/>
              </w:rPr>
              <w:t>4.27%</w:t>
            </w:r>
          </w:p>
        </w:tc>
        <w:tc>
          <w:tcPr>
            <w:vAlign w:val="center"/>
          </w:tcPr>
          <w:p>
            <w:pPr>
              <w:jc w:val="center"/>
            </w:pPr>
            <w:r>
              <w:rPr>
                <w:color w:val="000000"/>
                <w:sz w:val="24"/>
              </w:rPr>
              <w:t>0.66%</w:t>
            </w:r>
          </w:p>
        </w:tc>
      </w:tr>
      <w:tr>
        <w:tc>
          <w:tcPr>
            <w:vAlign w:val="center"/>
          </w:tcPr>
          <w:p>
            <w:pPr>
              <w:jc w:val="left"/>
            </w:pPr>
            <w:r>
              <w:rPr>
                <w:color w:val="000000"/>
                <w:sz w:val="24"/>
              </w:rPr>
              <w:t>过去一年</w:t>
            </w:r>
          </w:p>
        </w:tc>
        <w:tc>
          <w:tcPr>
            <w:vAlign w:val="center"/>
          </w:tcPr>
          <w:p>
            <w:pPr>
              <w:jc w:val="center"/>
            </w:pPr>
            <w:r>
              <w:rPr>
                <w:color w:val="000000"/>
                <w:sz w:val="24"/>
              </w:rPr>
              <w:t>12.47%</w:t>
            </w:r>
          </w:p>
        </w:tc>
        <w:tc>
          <w:tcPr>
            <w:vAlign w:val="center"/>
          </w:tcPr>
          <w:p>
            <w:pPr>
              <w:jc w:val="center"/>
            </w:pPr>
            <w:r>
              <w:rPr>
                <w:color w:val="000000"/>
                <w:sz w:val="24"/>
              </w:rPr>
              <w:t>0.67%</w:t>
            </w:r>
          </w:p>
        </w:tc>
        <w:tc>
          <w:tcPr>
            <w:vAlign w:val="center"/>
          </w:tcPr>
          <w:p>
            <w:pPr>
              <w:jc w:val="center"/>
            </w:pPr>
            <w:r>
              <w:rPr>
                <w:color w:val="000000"/>
                <w:sz w:val="24"/>
              </w:rPr>
              <w:t>3.06%</w:t>
            </w:r>
          </w:p>
        </w:tc>
        <w:tc>
          <w:tcPr>
            <w:vAlign w:val="center"/>
          </w:tcPr>
          <w:p>
            <w:pPr>
              <w:jc w:val="center"/>
            </w:pPr>
            <w:r>
              <w:rPr>
                <w:color w:val="000000"/>
                <w:sz w:val="24"/>
              </w:rPr>
              <w:t>0.17%</w:t>
            </w:r>
          </w:p>
        </w:tc>
        <w:tc>
          <w:tcPr>
            <w:vAlign w:val="center"/>
          </w:tcPr>
          <w:p>
            <w:pPr>
              <w:jc w:val="center"/>
            </w:pPr>
            <w:r>
              <w:rPr>
                <w:color w:val="000000"/>
                <w:sz w:val="24"/>
              </w:rPr>
              <w:t>9.41%</w:t>
            </w:r>
          </w:p>
        </w:tc>
        <w:tc>
          <w:tcPr>
            <w:vAlign w:val="center"/>
          </w:tcPr>
          <w:p>
            <w:pPr>
              <w:jc w:val="center"/>
            </w:pPr>
            <w:r>
              <w:rPr>
                <w:color w:val="000000"/>
                <w:sz w:val="24"/>
              </w:rPr>
              <w:t>0.50%</w:t>
            </w:r>
          </w:p>
        </w:tc>
      </w:tr>
      <w:tr>
        <w:tc>
          <w:tcPr>
            <w:vAlign w:val="center"/>
          </w:tcPr>
          <w:p>
            <w:pPr>
              <w:jc w:val="left"/>
            </w:pPr>
            <w:r>
              <w:rPr>
                <w:color w:val="000000"/>
                <w:sz w:val="24"/>
              </w:rPr>
              <w:t>过去三年</w:t>
            </w:r>
          </w:p>
        </w:tc>
        <w:tc>
          <w:tcPr>
            <w:vAlign w:val="center"/>
          </w:tcPr>
          <w:p>
            <w:pPr>
              <w:jc w:val="center"/>
            </w:pPr>
            <w:r>
              <w:rPr>
                <w:color w:val="000000"/>
                <w:sz w:val="24"/>
              </w:rPr>
              <w:t>23.24%</w:t>
            </w:r>
          </w:p>
        </w:tc>
        <w:tc>
          <w:tcPr>
            <w:vAlign w:val="center"/>
          </w:tcPr>
          <w:p>
            <w:pPr>
              <w:jc w:val="center"/>
            </w:pPr>
            <w:r>
              <w:rPr>
                <w:color w:val="000000"/>
                <w:sz w:val="24"/>
              </w:rPr>
              <w:t>0.53%</w:t>
            </w:r>
          </w:p>
        </w:tc>
        <w:tc>
          <w:tcPr>
            <w:vAlign w:val="center"/>
          </w:tcPr>
          <w:p>
            <w:pPr>
              <w:jc w:val="center"/>
            </w:pPr>
            <w:r>
              <w:rPr>
                <w:color w:val="000000"/>
                <w:sz w:val="24"/>
              </w:rPr>
              <w:t>7.35%</w:t>
            </w:r>
          </w:p>
        </w:tc>
        <w:tc>
          <w:tcPr>
            <w:vAlign w:val="center"/>
          </w:tcPr>
          <w:p>
            <w:pPr>
              <w:jc w:val="center"/>
            </w:pPr>
            <w:r>
              <w:rPr>
                <w:color w:val="000000"/>
                <w:sz w:val="24"/>
              </w:rPr>
              <w:t>0.18%</w:t>
            </w:r>
          </w:p>
        </w:tc>
        <w:tc>
          <w:tcPr>
            <w:vAlign w:val="center"/>
          </w:tcPr>
          <w:p>
            <w:pPr>
              <w:jc w:val="center"/>
            </w:pPr>
            <w:r>
              <w:rPr>
                <w:color w:val="000000"/>
                <w:sz w:val="24"/>
              </w:rPr>
              <w:t>15.89%</w:t>
            </w:r>
          </w:p>
        </w:tc>
        <w:tc>
          <w:tcPr>
            <w:vAlign w:val="center"/>
          </w:tcPr>
          <w:p>
            <w:pPr>
              <w:jc w:val="center"/>
            </w:pPr>
            <w:r>
              <w:rPr>
                <w:color w:val="000000"/>
                <w:sz w:val="24"/>
              </w:rPr>
              <w:t>0.35%</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25.36%</w:t>
            </w:r>
          </w:p>
        </w:tc>
        <w:tc>
          <w:tcPr>
            <w:vAlign w:val="center"/>
          </w:tcPr>
          <w:p>
            <w:pPr>
              <w:jc w:val="center"/>
            </w:pPr>
            <w:r>
              <w:rPr>
                <w:color w:val="000000"/>
                <w:sz w:val="24"/>
              </w:rPr>
              <w:t>0.48%</w:t>
            </w:r>
          </w:p>
        </w:tc>
        <w:tc>
          <w:tcPr>
            <w:vAlign w:val="center"/>
          </w:tcPr>
          <w:p>
            <w:pPr>
              <w:jc w:val="center"/>
            </w:pPr>
            <w:r>
              <w:rPr>
                <w:color w:val="000000"/>
                <w:sz w:val="24"/>
              </w:rPr>
              <w:t>5.29%</w:t>
            </w:r>
          </w:p>
        </w:tc>
        <w:tc>
          <w:tcPr>
            <w:vAlign w:val="center"/>
          </w:tcPr>
          <w:p>
            <w:pPr>
              <w:jc w:val="center"/>
            </w:pPr>
            <w:r>
              <w:rPr>
                <w:color w:val="000000"/>
                <w:sz w:val="24"/>
              </w:rPr>
              <w:t>0.17%</w:t>
            </w:r>
          </w:p>
        </w:tc>
        <w:tc>
          <w:tcPr>
            <w:vAlign w:val="center"/>
          </w:tcPr>
          <w:p>
            <w:pPr>
              <w:jc w:val="center"/>
            </w:pPr>
            <w:r>
              <w:rPr>
                <w:color w:val="000000"/>
                <w:sz w:val="24"/>
              </w:rPr>
              <w:t>20.07%</w:t>
            </w:r>
          </w:p>
        </w:tc>
        <w:tc>
          <w:tcPr>
            <w:vAlign w:val="center"/>
          </w:tcPr>
          <w:p>
            <w:pPr>
              <w:jc w:val="center"/>
            </w:pPr>
            <w:r>
              <w:rPr>
                <w:color w:val="000000"/>
                <w:sz w:val="24"/>
              </w:rPr>
              <w:t>0.31%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易方达裕鑫债券型证券投资基金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（2016年9月5日至2020年6月30日）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易方达裕鑫债券A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易方达裕鑫债券C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注：自基金合同生效至报告期末，A类基金份额净值增长率为25.94%，C类基金份额净值增长率为25.36%，同期业绩比较基准收益率为5.29%。</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瑞景灵活配置混合型证券投资基金的基金经理、易方达新享灵活配置混合型证券投资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新益灵活配置混合型证券投资基金的基金经理、易方达瑞选灵活配置混合型证券投资基金的基金经理、易方达瑞祺灵活配置混合型证券投资基金的基金经理、易方达瑞和灵活配置混合型证券投资基金的基金经理、易方达瑞信灵活配置混合型证券投资基金的基金经理、易方达鑫转招利混合型证券投资基金的基金经理、易方达鑫转添利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2019-09-28</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股票仓位在较高水平，转债部分相对中性，风格主要以消费和科技板块为主，在权益市场上涨阶段为组合提供了较好的收益贡献。债券方面，组合维持较高的杠杆水平但维持中性的久期，整体仍按照票息策略的偏绝对收益操作思路为主。</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1.2144元，本报告期份额净值增长率为4.05%，同期业绩比较基准收益率为1.04%；C类基金份额净值为1.2198元，本报告期份额净值增长率为4.01%，同期业绩比较基准收益率为1.04%。</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23,937,253.41</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14.23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23,937,253.41</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14.23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136,141,388.42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80.95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136,141,388.42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80.95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5,582,570.26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3.32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2,521,744.26</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168,182,956.35</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666,600.00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0.55</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21,550,451.21</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17.94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321,631.20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0.27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416,796.00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0.35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981,775.00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0.82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23,937,253.41</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19.93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000858</w:t>
            </w:r>
          </w:p>
        </w:tc>
        <w:tc>
          <w:tcPr>
            <w:vAlign w:val="center"/>
          </w:tcPr>
          <w:p>
            <w:pPr>
              <w:jc w:val="center"/>
            </w:pPr>
            <w:r>
              <w:rPr>
                <w:color w:val="000000"/>
                <w:sz w:val="24"/>
              </w:rPr>
              <w:t>五粮液</w:t>
            </w:r>
          </w:p>
        </w:tc>
        <w:tc>
          <w:tcPr>
            <w:vAlign w:val="center"/>
          </w:tcPr>
          <w:p>
            <w:pPr>
              <w:jc w:val="right"/>
            </w:pPr>
            <w:r>
              <w:rPr>
                <w:color w:val="000000"/>
                <w:sz w:val="24"/>
              </w:rPr>
              <w:t>19,500</w:t>
            </w:r>
          </w:p>
        </w:tc>
        <w:tc>
          <w:tcPr>
            <w:vAlign w:val="center"/>
          </w:tcPr>
          <w:p>
            <w:pPr>
              <w:jc w:val="right"/>
            </w:pPr>
            <w:r>
              <w:rPr>
                <w:color w:val="000000"/>
                <w:sz w:val="24"/>
              </w:rPr>
              <w:t>3,336,840.00</w:t>
            </w:r>
          </w:p>
        </w:tc>
        <w:tc>
          <w:tcPr>
            <w:vAlign w:val="center"/>
          </w:tcPr>
          <w:p>
            <w:pPr>
              <w:jc w:val="right"/>
            </w:pPr>
            <w:r>
              <w:rPr>
                <w:color w:val="000000"/>
                <w:sz w:val="24"/>
              </w:rPr>
              <w:t>2.78</w:t>
            </w:r>
          </w:p>
        </w:tc>
      </w:tr>
      <w:tr>
        <w:tc>
          <w:tcPr>
            <w:vAlign w:val="center"/>
          </w:tcPr>
          <w:p>
            <w:pPr>
              <w:jc w:val="center"/>
            </w:pPr>
            <w:r>
              <w:rPr>
                <w:color w:val="000000"/>
                <w:sz w:val="24"/>
              </w:rPr>
              <w:t>2</w:t>
            </w:r>
          </w:p>
        </w:tc>
        <w:tc>
          <w:tcPr>
            <w:vAlign w:val="center"/>
          </w:tcPr>
          <w:p>
            <w:pPr>
              <w:jc w:val="center"/>
            </w:pPr>
            <w:r>
              <w:rPr>
                <w:color w:val="000000"/>
                <w:sz w:val="24"/>
              </w:rPr>
              <w:t>300628</w:t>
            </w:r>
          </w:p>
        </w:tc>
        <w:tc>
          <w:tcPr>
            <w:vAlign w:val="center"/>
          </w:tcPr>
          <w:p>
            <w:pPr>
              <w:jc w:val="center"/>
            </w:pPr>
            <w:r>
              <w:rPr>
                <w:color w:val="000000"/>
                <w:sz w:val="24"/>
              </w:rPr>
              <w:t>亿联网络</w:t>
            </w:r>
          </w:p>
        </w:tc>
        <w:tc>
          <w:tcPr>
            <w:vAlign w:val="center"/>
          </w:tcPr>
          <w:p>
            <w:pPr>
              <w:jc w:val="right"/>
            </w:pPr>
            <w:r>
              <w:rPr>
                <w:color w:val="000000"/>
                <w:sz w:val="24"/>
              </w:rPr>
              <w:t>42,150</w:t>
            </w:r>
          </w:p>
        </w:tc>
        <w:tc>
          <w:tcPr>
            <w:vAlign w:val="center"/>
          </w:tcPr>
          <w:p>
            <w:pPr>
              <w:jc w:val="right"/>
            </w:pPr>
            <w:r>
              <w:rPr>
                <w:color w:val="000000"/>
                <w:sz w:val="24"/>
              </w:rPr>
              <w:t>2,877,159.00</w:t>
            </w:r>
          </w:p>
        </w:tc>
        <w:tc>
          <w:tcPr>
            <w:vAlign w:val="center"/>
          </w:tcPr>
          <w:p>
            <w:pPr>
              <w:jc w:val="right"/>
            </w:pPr>
            <w:r>
              <w:rPr>
                <w:color w:val="000000"/>
                <w:sz w:val="24"/>
              </w:rPr>
              <w:t>2.39</w:t>
            </w:r>
          </w:p>
        </w:tc>
      </w:tr>
      <w:tr>
        <w:tc>
          <w:tcPr>
            <w:vAlign w:val="center"/>
          </w:tcPr>
          <w:p>
            <w:pPr>
              <w:jc w:val="center"/>
            </w:pPr>
            <w:r>
              <w:rPr>
                <w:color w:val="000000"/>
                <w:sz w:val="24"/>
              </w:rPr>
              <w:t>3</w:t>
            </w:r>
          </w:p>
        </w:tc>
        <w:tc>
          <w:tcPr>
            <w:vAlign w:val="center"/>
          </w:tcPr>
          <w:p>
            <w:pPr>
              <w:jc w:val="center"/>
            </w:pPr>
            <w:r>
              <w:rPr>
                <w:color w:val="000000"/>
                <w:sz w:val="24"/>
              </w:rPr>
              <w:t>601799</w:t>
            </w:r>
          </w:p>
        </w:tc>
        <w:tc>
          <w:tcPr>
            <w:vAlign w:val="center"/>
          </w:tcPr>
          <w:p>
            <w:pPr>
              <w:jc w:val="center"/>
            </w:pPr>
            <w:r>
              <w:rPr>
                <w:color w:val="000000"/>
                <w:sz w:val="24"/>
              </w:rPr>
              <w:t>星宇股份</w:t>
            </w:r>
          </w:p>
        </w:tc>
        <w:tc>
          <w:tcPr>
            <w:vAlign w:val="center"/>
          </w:tcPr>
          <w:p>
            <w:pPr>
              <w:jc w:val="right"/>
            </w:pPr>
            <w:r>
              <w:rPr>
                <w:color w:val="000000"/>
                <w:sz w:val="24"/>
              </w:rPr>
              <w:t>21,700</w:t>
            </w:r>
          </w:p>
        </w:tc>
        <w:tc>
          <w:tcPr>
            <w:vAlign w:val="center"/>
          </w:tcPr>
          <w:p>
            <w:pPr>
              <w:jc w:val="right"/>
            </w:pPr>
            <w:r>
              <w:rPr>
                <w:color w:val="000000"/>
                <w:sz w:val="24"/>
              </w:rPr>
              <w:t>2,755,900.00</w:t>
            </w:r>
          </w:p>
        </w:tc>
        <w:tc>
          <w:tcPr>
            <w:vAlign w:val="center"/>
          </w:tcPr>
          <w:p>
            <w:pPr>
              <w:jc w:val="right"/>
            </w:pPr>
            <w:r>
              <w:rPr>
                <w:color w:val="000000"/>
                <w:sz w:val="24"/>
              </w:rPr>
              <w:t>2.29</w:t>
            </w:r>
          </w:p>
        </w:tc>
      </w:tr>
      <w:tr>
        <w:tc>
          <w:tcPr>
            <w:vAlign w:val="center"/>
          </w:tcPr>
          <w:p>
            <w:pPr>
              <w:jc w:val="center"/>
            </w:pPr>
            <w:r>
              <w:rPr>
                <w:color w:val="000000"/>
                <w:sz w:val="24"/>
              </w:rPr>
              <w:t>4</w:t>
            </w:r>
          </w:p>
        </w:tc>
        <w:tc>
          <w:tcPr>
            <w:vAlign w:val="center"/>
          </w:tcPr>
          <w:p>
            <w:pPr>
              <w:jc w:val="center"/>
            </w:pPr>
            <w:r>
              <w:rPr>
                <w:color w:val="000000"/>
                <w:sz w:val="24"/>
              </w:rPr>
              <w:t>000651</w:t>
            </w:r>
          </w:p>
        </w:tc>
        <w:tc>
          <w:tcPr>
            <w:vAlign w:val="center"/>
          </w:tcPr>
          <w:p>
            <w:pPr>
              <w:jc w:val="center"/>
            </w:pPr>
            <w:r>
              <w:rPr>
                <w:color w:val="000000"/>
                <w:sz w:val="24"/>
              </w:rPr>
              <w:t>格力电器</w:t>
            </w:r>
          </w:p>
        </w:tc>
        <w:tc>
          <w:tcPr>
            <w:vAlign w:val="center"/>
          </w:tcPr>
          <w:p>
            <w:pPr>
              <w:jc w:val="right"/>
            </w:pPr>
            <w:r>
              <w:rPr>
                <w:color w:val="000000"/>
                <w:sz w:val="24"/>
              </w:rPr>
              <w:t>44,700</w:t>
            </w:r>
          </w:p>
        </w:tc>
        <w:tc>
          <w:tcPr>
            <w:vAlign w:val="center"/>
          </w:tcPr>
          <w:p>
            <w:pPr>
              <w:jc w:val="right"/>
            </w:pPr>
            <w:r>
              <w:rPr>
                <w:color w:val="000000"/>
                <w:sz w:val="24"/>
              </w:rPr>
              <w:t>2,528,679.00</w:t>
            </w:r>
          </w:p>
        </w:tc>
        <w:tc>
          <w:tcPr>
            <w:vAlign w:val="center"/>
          </w:tcPr>
          <w:p>
            <w:pPr>
              <w:jc w:val="right"/>
            </w:pPr>
            <w:r>
              <w:rPr>
                <w:color w:val="000000"/>
                <w:sz w:val="24"/>
              </w:rPr>
              <w:t>2.10</w:t>
            </w:r>
          </w:p>
        </w:tc>
      </w:tr>
      <w:tr>
        <w:tc>
          <w:tcPr>
            <w:vAlign w:val="center"/>
          </w:tcPr>
          <w:p>
            <w:pPr>
              <w:jc w:val="center"/>
            </w:pPr>
            <w:r>
              <w:rPr>
                <w:color w:val="000000"/>
                <w:sz w:val="24"/>
              </w:rPr>
              <w:t>5</w:t>
            </w:r>
          </w:p>
        </w:tc>
        <w:tc>
          <w:tcPr>
            <w:vAlign w:val="center"/>
          </w:tcPr>
          <w:p>
            <w:pPr>
              <w:jc w:val="center"/>
            </w:pPr>
            <w:r>
              <w:rPr>
                <w:color w:val="000000"/>
                <w:sz w:val="24"/>
              </w:rPr>
              <w:t>603179</w:t>
            </w:r>
          </w:p>
        </w:tc>
        <w:tc>
          <w:tcPr>
            <w:vAlign w:val="center"/>
          </w:tcPr>
          <w:p>
            <w:pPr>
              <w:jc w:val="center"/>
            </w:pPr>
            <w:r>
              <w:rPr>
                <w:color w:val="000000"/>
                <w:sz w:val="24"/>
              </w:rPr>
              <w:t>新泉股份</w:t>
            </w:r>
          </w:p>
        </w:tc>
        <w:tc>
          <w:tcPr>
            <w:vAlign w:val="center"/>
          </w:tcPr>
          <w:p>
            <w:pPr>
              <w:jc w:val="right"/>
            </w:pPr>
            <w:r>
              <w:rPr>
                <w:color w:val="000000"/>
                <w:sz w:val="24"/>
              </w:rPr>
              <w:t>67,080</w:t>
            </w:r>
          </w:p>
        </w:tc>
        <w:tc>
          <w:tcPr>
            <w:vAlign w:val="center"/>
          </w:tcPr>
          <w:p>
            <w:pPr>
              <w:jc w:val="right"/>
            </w:pPr>
            <w:r>
              <w:rPr>
                <w:color w:val="000000"/>
                <w:sz w:val="24"/>
              </w:rPr>
              <w:t>1,518,691.20</w:t>
            </w:r>
          </w:p>
        </w:tc>
        <w:tc>
          <w:tcPr>
            <w:vAlign w:val="center"/>
          </w:tcPr>
          <w:p>
            <w:pPr>
              <w:jc w:val="right"/>
            </w:pPr>
            <w:r>
              <w:rPr>
                <w:color w:val="000000"/>
                <w:sz w:val="24"/>
              </w:rPr>
              <w:t>1.26</w:t>
            </w:r>
          </w:p>
        </w:tc>
      </w:tr>
      <w:tr>
        <w:tc>
          <w:tcPr>
            <w:vAlign w:val="center"/>
          </w:tcPr>
          <w:p>
            <w:pPr>
              <w:jc w:val="center"/>
            </w:pPr>
            <w:r>
              <w:rPr>
                <w:color w:val="000000"/>
                <w:sz w:val="24"/>
              </w:rPr>
              <w:t>6</w:t>
            </w:r>
          </w:p>
        </w:tc>
        <w:tc>
          <w:tcPr>
            <w:vAlign w:val="center"/>
          </w:tcPr>
          <w:p>
            <w:pPr>
              <w:jc w:val="center"/>
            </w:pPr>
            <w:r>
              <w:rPr>
                <w:color w:val="000000"/>
                <w:sz w:val="24"/>
              </w:rPr>
              <w:t>300433</w:t>
            </w:r>
          </w:p>
        </w:tc>
        <w:tc>
          <w:tcPr>
            <w:vAlign w:val="center"/>
          </w:tcPr>
          <w:p>
            <w:pPr>
              <w:jc w:val="center"/>
            </w:pPr>
            <w:r>
              <w:rPr>
                <w:color w:val="000000"/>
                <w:sz w:val="24"/>
              </w:rPr>
              <w:t>蓝思科技</w:t>
            </w:r>
          </w:p>
        </w:tc>
        <w:tc>
          <w:tcPr>
            <w:vAlign w:val="center"/>
          </w:tcPr>
          <w:p>
            <w:pPr>
              <w:jc w:val="right"/>
            </w:pPr>
            <w:r>
              <w:rPr>
                <w:color w:val="000000"/>
                <w:sz w:val="24"/>
              </w:rPr>
              <w:t>52,700</w:t>
            </w:r>
          </w:p>
        </w:tc>
        <w:tc>
          <w:tcPr>
            <w:vAlign w:val="center"/>
          </w:tcPr>
          <w:p>
            <w:pPr>
              <w:jc w:val="right"/>
            </w:pPr>
            <w:r>
              <w:rPr>
                <w:color w:val="000000"/>
                <w:sz w:val="24"/>
              </w:rPr>
              <w:t>1,477,708.00</w:t>
            </w:r>
          </w:p>
        </w:tc>
        <w:tc>
          <w:tcPr>
            <w:vAlign w:val="center"/>
          </w:tcPr>
          <w:p>
            <w:pPr>
              <w:jc w:val="right"/>
            </w:pPr>
            <w:r>
              <w:rPr>
                <w:color w:val="000000"/>
                <w:sz w:val="24"/>
              </w:rPr>
              <w:t>1.23</w:t>
            </w:r>
          </w:p>
        </w:tc>
      </w:tr>
      <w:tr>
        <w:tc>
          <w:tcPr>
            <w:vAlign w:val="center"/>
          </w:tcPr>
          <w:p>
            <w:pPr>
              <w:jc w:val="center"/>
            </w:pPr>
            <w:r>
              <w:rPr>
                <w:color w:val="000000"/>
                <w:sz w:val="24"/>
              </w:rPr>
              <w:t>7</w:t>
            </w:r>
          </w:p>
        </w:tc>
        <w:tc>
          <w:tcPr>
            <w:vAlign w:val="center"/>
          </w:tcPr>
          <w:p>
            <w:pPr>
              <w:jc w:val="center"/>
            </w:pPr>
            <w:r>
              <w:rPr>
                <w:color w:val="000000"/>
                <w:sz w:val="24"/>
              </w:rPr>
              <w:t>300115</w:t>
            </w:r>
          </w:p>
        </w:tc>
        <w:tc>
          <w:tcPr>
            <w:vAlign w:val="center"/>
          </w:tcPr>
          <w:p>
            <w:pPr>
              <w:jc w:val="center"/>
            </w:pPr>
            <w:r>
              <w:rPr>
                <w:color w:val="000000"/>
                <w:sz w:val="24"/>
              </w:rPr>
              <w:t>长盈精密</w:t>
            </w:r>
          </w:p>
        </w:tc>
        <w:tc>
          <w:tcPr>
            <w:vAlign w:val="center"/>
          </w:tcPr>
          <w:p>
            <w:pPr>
              <w:jc w:val="right"/>
            </w:pPr>
            <w:r>
              <w:rPr>
                <w:color w:val="000000"/>
                <w:sz w:val="24"/>
              </w:rPr>
              <w:t>48,400</w:t>
            </w:r>
          </w:p>
        </w:tc>
        <w:tc>
          <w:tcPr>
            <w:vAlign w:val="center"/>
          </w:tcPr>
          <w:p>
            <w:pPr>
              <w:jc w:val="right"/>
            </w:pPr>
            <w:r>
              <w:rPr>
                <w:color w:val="000000"/>
                <w:sz w:val="24"/>
              </w:rPr>
              <w:t>1,105,940.00</w:t>
            </w:r>
          </w:p>
        </w:tc>
        <w:tc>
          <w:tcPr>
            <w:vAlign w:val="center"/>
          </w:tcPr>
          <w:p>
            <w:pPr>
              <w:jc w:val="right"/>
            </w:pPr>
            <w:r>
              <w:rPr>
                <w:color w:val="000000"/>
                <w:sz w:val="24"/>
              </w:rPr>
              <w:t>0.92</w:t>
            </w:r>
          </w:p>
        </w:tc>
      </w:tr>
      <w:tr>
        <w:tc>
          <w:tcPr>
            <w:vAlign w:val="center"/>
          </w:tcPr>
          <w:p>
            <w:pPr>
              <w:jc w:val="center"/>
            </w:pPr>
            <w:r>
              <w:rPr>
                <w:color w:val="000000"/>
                <w:sz w:val="24"/>
              </w:rPr>
              <w:t>8</w:t>
            </w:r>
          </w:p>
        </w:tc>
        <w:tc>
          <w:tcPr>
            <w:vAlign w:val="center"/>
          </w:tcPr>
          <w:p>
            <w:pPr>
              <w:jc w:val="center"/>
            </w:pPr>
            <w:r>
              <w:rPr>
                <w:color w:val="000000"/>
                <w:sz w:val="24"/>
              </w:rPr>
              <w:t>002475</w:t>
            </w:r>
          </w:p>
        </w:tc>
        <w:tc>
          <w:tcPr>
            <w:vAlign w:val="center"/>
          </w:tcPr>
          <w:p>
            <w:pPr>
              <w:jc w:val="center"/>
            </w:pPr>
            <w:r>
              <w:rPr>
                <w:color w:val="000000"/>
                <w:sz w:val="24"/>
              </w:rPr>
              <w:t>立讯精密</w:t>
            </w:r>
          </w:p>
        </w:tc>
        <w:tc>
          <w:tcPr>
            <w:vAlign w:val="center"/>
          </w:tcPr>
          <w:p>
            <w:pPr>
              <w:jc w:val="right"/>
            </w:pPr>
            <w:r>
              <w:rPr>
                <w:color w:val="000000"/>
                <w:sz w:val="24"/>
              </w:rPr>
              <w:t>20,929</w:t>
            </w:r>
          </w:p>
        </w:tc>
        <w:tc>
          <w:tcPr>
            <w:vAlign w:val="center"/>
          </w:tcPr>
          <w:p>
            <w:pPr>
              <w:jc w:val="right"/>
            </w:pPr>
            <w:r>
              <w:rPr>
                <w:color w:val="000000"/>
                <w:sz w:val="24"/>
              </w:rPr>
              <w:t>1,074,704.15</w:t>
            </w:r>
          </w:p>
        </w:tc>
        <w:tc>
          <w:tcPr>
            <w:vAlign w:val="center"/>
          </w:tcPr>
          <w:p>
            <w:pPr>
              <w:jc w:val="right"/>
            </w:pPr>
            <w:r>
              <w:rPr>
                <w:color w:val="000000"/>
                <w:sz w:val="24"/>
              </w:rPr>
              <w:t>0.89</w:t>
            </w:r>
          </w:p>
        </w:tc>
      </w:tr>
      <w:tr>
        <w:tc>
          <w:tcPr>
            <w:vAlign w:val="center"/>
          </w:tcPr>
          <w:p>
            <w:pPr>
              <w:jc w:val="center"/>
            </w:pPr>
            <w:r>
              <w:rPr>
                <w:color w:val="000000"/>
                <w:sz w:val="24"/>
              </w:rPr>
              <w:t>9</w:t>
            </w:r>
          </w:p>
        </w:tc>
        <w:tc>
          <w:tcPr>
            <w:vAlign w:val="center"/>
          </w:tcPr>
          <w:p>
            <w:pPr>
              <w:jc w:val="center"/>
            </w:pPr>
            <w:r>
              <w:rPr>
                <w:color w:val="000000"/>
                <w:sz w:val="24"/>
              </w:rPr>
              <w:t>300750</w:t>
            </w:r>
          </w:p>
        </w:tc>
        <w:tc>
          <w:tcPr>
            <w:vAlign w:val="center"/>
          </w:tcPr>
          <w:p>
            <w:pPr>
              <w:jc w:val="center"/>
            </w:pPr>
            <w:r>
              <w:rPr>
                <w:color w:val="000000"/>
                <w:sz w:val="24"/>
              </w:rPr>
              <w:t>宁德时代</w:t>
            </w:r>
          </w:p>
        </w:tc>
        <w:tc>
          <w:tcPr>
            <w:vAlign w:val="center"/>
          </w:tcPr>
          <w:p>
            <w:pPr>
              <w:jc w:val="right"/>
            </w:pPr>
            <w:r>
              <w:rPr>
                <w:color w:val="000000"/>
                <w:sz w:val="24"/>
              </w:rPr>
              <w:t>5,000</w:t>
            </w:r>
          </w:p>
        </w:tc>
        <w:tc>
          <w:tcPr>
            <w:vAlign w:val="center"/>
          </w:tcPr>
          <w:p>
            <w:pPr>
              <w:jc w:val="right"/>
            </w:pPr>
            <w:r>
              <w:rPr>
                <w:color w:val="000000"/>
                <w:sz w:val="24"/>
              </w:rPr>
              <w:t>871,800.00</w:t>
            </w:r>
          </w:p>
        </w:tc>
        <w:tc>
          <w:tcPr>
            <w:vAlign w:val="center"/>
          </w:tcPr>
          <w:p>
            <w:pPr>
              <w:jc w:val="right"/>
            </w:pPr>
            <w:r>
              <w:rPr>
                <w:color w:val="000000"/>
                <w:sz w:val="24"/>
              </w:rPr>
              <w:t>0.73</w:t>
            </w:r>
          </w:p>
        </w:tc>
      </w:tr>
      <w:tr>
        <w:tc>
          <w:tcPr>
            <w:vAlign w:val="center"/>
          </w:tcPr>
          <w:p>
            <w:pPr>
              <w:jc w:val="center"/>
            </w:pPr>
            <w:r>
              <w:rPr>
                <w:color w:val="000000"/>
                <w:sz w:val="24"/>
              </w:rPr>
              <w:t>10</w:t>
            </w:r>
          </w:p>
        </w:tc>
        <w:tc>
          <w:tcPr>
            <w:vAlign w:val="center"/>
          </w:tcPr>
          <w:p>
            <w:pPr>
              <w:jc w:val="center"/>
            </w:pPr>
            <w:r>
              <w:rPr>
                <w:color w:val="000000"/>
                <w:sz w:val="24"/>
              </w:rPr>
              <w:t>000977</w:t>
            </w:r>
          </w:p>
        </w:tc>
        <w:tc>
          <w:tcPr>
            <w:vAlign w:val="center"/>
          </w:tcPr>
          <w:p>
            <w:pPr>
              <w:jc w:val="center"/>
            </w:pPr>
            <w:r>
              <w:rPr>
                <w:color w:val="000000"/>
                <w:sz w:val="24"/>
              </w:rPr>
              <w:t>浪潮信息</w:t>
            </w:r>
          </w:p>
        </w:tc>
        <w:tc>
          <w:tcPr>
            <w:vAlign w:val="center"/>
          </w:tcPr>
          <w:p>
            <w:pPr>
              <w:jc w:val="right"/>
            </w:pPr>
            <w:r>
              <w:rPr>
                <w:color w:val="000000"/>
                <w:sz w:val="24"/>
              </w:rPr>
              <w:t>19,292</w:t>
            </w:r>
          </w:p>
        </w:tc>
        <w:tc>
          <w:tcPr>
            <w:vAlign w:val="center"/>
          </w:tcPr>
          <w:p>
            <w:pPr>
              <w:jc w:val="right"/>
            </w:pPr>
            <w:r>
              <w:rPr>
                <w:color w:val="000000"/>
                <w:sz w:val="24"/>
              </w:rPr>
              <w:t>755,860.56</w:t>
            </w:r>
          </w:p>
        </w:tc>
        <w:tc>
          <w:tcPr>
            <w:vAlign w:val="center"/>
          </w:tcPr>
          <w:p>
            <w:pPr>
              <w:jc w:val="right"/>
            </w:pPr>
            <w:r>
              <w:rPr>
                <w:color w:val="000000"/>
                <w:sz w:val="24"/>
              </w:rPr>
              <w:t>0.63</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300,150.00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0.25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5,901,770.00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4.91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5,901,770.00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4.91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99,073,949.80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82.47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30,865,518.62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25.69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136,141,388.42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113.32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136165</w:t>
            </w:r>
          </w:p>
        </w:tc>
        <w:tc>
          <w:tcPr>
            <w:vAlign w:val="center"/>
          </w:tcPr>
          <w:p>
            <w:pPr>
              <w:jc w:val="center"/>
            </w:pPr>
            <w:r>
              <w:rPr>
                <w:color w:val="000000"/>
                <w:sz w:val="24"/>
              </w:rPr>
              <w:t>16中油02</w:t>
            </w:r>
          </w:p>
        </w:tc>
        <w:tc>
          <w:tcPr>
            <w:vAlign w:val="center"/>
          </w:tcPr>
          <w:p>
            <w:pPr>
              <w:jc w:val="right"/>
            </w:pPr>
            <w:r>
              <w:rPr>
                <w:color w:val="000000"/>
                <w:sz w:val="24"/>
              </w:rPr>
              <w:t>70,000</w:t>
            </w:r>
          </w:p>
        </w:tc>
        <w:tc>
          <w:tcPr>
            <w:vAlign w:val="center"/>
          </w:tcPr>
          <w:p>
            <w:pPr>
              <w:jc w:val="right"/>
            </w:pPr>
            <w:r>
              <w:rPr>
                <w:color w:val="000000"/>
                <w:sz w:val="24"/>
              </w:rPr>
              <w:t>6,963,600.00</w:t>
            </w:r>
          </w:p>
        </w:tc>
        <w:tc>
          <w:tcPr>
            <w:vAlign w:val="center"/>
          </w:tcPr>
          <w:p>
            <w:pPr>
              <w:jc w:val="right"/>
            </w:pPr>
            <w:r>
              <w:rPr>
                <w:color w:val="000000"/>
                <w:sz w:val="24"/>
              </w:rPr>
              <w:t>5.80</w:t>
            </w:r>
          </w:p>
        </w:tc>
      </w:tr>
      <w:tr>
        <w:tc>
          <w:tcPr>
            <w:vAlign w:val="center"/>
          </w:tcPr>
          <w:p>
            <w:pPr>
              <w:jc w:val="center"/>
            </w:pPr>
            <w:r>
              <w:rPr>
                <w:color w:val="000000"/>
                <w:sz w:val="24"/>
              </w:rPr>
              <w:t>2</w:t>
            </w:r>
          </w:p>
        </w:tc>
        <w:tc>
          <w:tcPr>
            <w:vAlign w:val="center"/>
          </w:tcPr>
          <w:p>
            <w:pPr>
              <w:jc w:val="center"/>
            </w:pPr>
            <w:r>
              <w:rPr>
                <w:color w:val="000000"/>
                <w:sz w:val="24"/>
              </w:rPr>
              <w:t>112969</w:t>
            </w:r>
          </w:p>
        </w:tc>
        <w:tc>
          <w:tcPr>
            <w:vAlign w:val="center"/>
          </w:tcPr>
          <w:p>
            <w:pPr>
              <w:jc w:val="center"/>
            </w:pPr>
            <w:r>
              <w:rPr>
                <w:color w:val="000000"/>
                <w:sz w:val="24"/>
              </w:rPr>
              <w:t>19中电科</w:t>
            </w:r>
          </w:p>
        </w:tc>
        <w:tc>
          <w:tcPr>
            <w:vAlign w:val="center"/>
          </w:tcPr>
          <w:p>
            <w:pPr>
              <w:jc w:val="right"/>
            </w:pPr>
            <w:r>
              <w:rPr>
                <w:color w:val="000000"/>
                <w:sz w:val="24"/>
              </w:rPr>
              <w:t>60,000</w:t>
            </w:r>
          </w:p>
        </w:tc>
        <w:tc>
          <w:tcPr>
            <w:vAlign w:val="center"/>
          </w:tcPr>
          <w:p>
            <w:pPr>
              <w:jc w:val="right"/>
            </w:pPr>
            <w:r>
              <w:rPr>
                <w:color w:val="000000"/>
                <w:sz w:val="24"/>
              </w:rPr>
              <w:t>6,055,200.00</w:t>
            </w:r>
          </w:p>
        </w:tc>
        <w:tc>
          <w:tcPr>
            <w:vAlign w:val="center"/>
          </w:tcPr>
          <w:p>
            <w:pPr>
              <w:jc w:val="right"/>
            </w:pPr>
            <w:r>
              <w:rPr>
                <w:color w:val="000000"/>
                <w:sz w:val="24"/>
              </w:rPr>
              <w:t>5.04</w:t>
            </w:r>
          </w:p>
        </w:tc>
      </w:tr>
      <w:tr>
        <w:tc>
          <w:tcPr>
            <w:vAlign w:val="center"/>
          </w:tcPr>
          <w:p>
            <w:pPr>
              <w:jc w:val="center"/>
            </w:pPr>
            <w:r>
              <w:rPr>
                <w:color w:val="000000"/>
                <w:sz w:val="24"/>
              </w:rPr>
              <w:t>3</w:t>
            </w:r>
          </w:p>
        </w:tc>
        <w:tc>
          <w:tcPr>
            <w:vAlign w:val="center"/>
          </w:tcPr>
          <w:p>
            <w:pPr>
              <w:jc w:val="center"/>
            </w:pPr>
            <w:r>
              <w:rPr>
                <w:color w:val="000000"/>
                <w:sz w:val="24"/>
              </w:rPr>
              <w:t>136450</w:t>
            </w:r>
          </w:p>
        </w:tc>
        <w:tc>
          <w:tcPr>
            <w:vAlign w:val="center"/>
          </w:tcPr>
          <w:p>
            <w:pPr>
              <w:jc w:val="center"/>
            </w:pPr>
            <w:r>
              <w:rPr>
                <w:color w:val="000000"/>
                <w:sz w:val="24"/>
              </w:rPr>
              <w:t>16油服02</w:t>
            </w:r>
          </w:p>
        </w:tc>
        <w:tc>
          <w:tcPr>
            <w:vAlign w:val="center"/>
          </w:tcPr>
          <w:p>
            <w:pPr>
              <w:jc w:val="right"/>
            </w:pPr>
            <w:r>
              <w:rPr>
                <w:color w:val="000000"/>
                <w:sz w:val="24"/>
              </w:rPr>
              <w:t>60,000</w:t>
            </w:r>
          </w:p>
        </w:tc>
        <w:tc>
          <w:tcPr>
            <w:vAlign w:val="center"/>
          </w:tcPr>
          <w:p>
            <w:pPr>
              <w:jc w:val="right"/>
            </w:pPr>
            <w:r>
              <w:rPr>
                <w:color w:val="000000"/>
                <w:sz w:val="24"/>
              </w:rPr>
              <w:t>6,006,000.00</w:t>
            </w:r>
          </w:p>
        </w:tc>
        <w:tc>
          <w:tcPr>
            <w:vAlign w:val="center"/>
          </w:tcPr>
          <w:p>
            <w:pPr>
              <w:jc w:val="right"/>
            </w:pPr>
            <w:r>
              <w:rPr>
                <w:color w:val="000000"/>
                <w:sz w:val="24"/>
              </w:rPr>
              <w:t>5.00</w:t>
            </w:r>
          </w:p>
        </w:tc>
      </w:tr>
      <w:tr>
        <w:tc>
          <w:tcPr>
            <w:vAlign w:val="center"/>
          </w:tcPr>
          <w:p>
            <w:pPr>
              <w:jc w:val="center"/>
            </w:pPr>
            <w:r>
              <w:rPr>
                <w:color w:val="000000"/>
                <w:sz w:val="24"/>
              </w:rPr>
              <w:t>4</w:t>
            </w:r>
          </w:p>
        </w:tc>
        <w:tc>
          <w:tcPr>
            <w:vAlign w:val="center"/>
          </w:tcPr>
          <w:p>
            <w:pPr>
              <w:jc w:val="center"/>
            </w:pPr>
            <w:r>
              <w:rPr>
                <w:color w:val="000000"/>
                <w:sz w:val="24"/>
              </w:rPr>
              <w:t>112539</w:t>
            </w:r>
          </w:p>
        </w:tc>
        <w:tc>
          <w:tcPr>
            <w:vAlign w:val="center"/>
          </w:tcPr>
          <w:p>
            <w:pPr>
              <w:jc w:val="center"/>
            </w:pPr>
            <w:r>
              <w:rPr>
                <w:color w:val="000000"/>
                <w:sz w:val="24"/>
              </w:rPr>
              <w:t>17温氏02</w:t>
            </w:r>
          </w:p>
        </w:tc>
        <w:tc>
          <w:tcPr>
            <w:vAlign w:val="center"/>
          </w:tcPr>
          <w:p>
            <w:pPr>
              <w:jc w:val="right"/>
            </w:pPr>
            <w:r>
              <w:rPr>
                <w:color w:val="000000"/>
                <w:sz w:val="24"/>
              </w:rPr>
              <w:t>60,000</w:t>
            </w:r>
          </w:p>
        </w:tc>
        <w:tc>
          <w:tcPr>
            <w:vAlign w:val="center"/>
          </w:tcPr>
          <w:p>
            <w:pPr>
              <w:jc w:val="right"/>
            </w:pPr>
            <w:r>
              <w:rPr>
                <w:color w:val="000000"/>
                <w:sz w:val="24"/>
              </w:rPr>
              <w:t>6,000,000.00</w:t>
            </w:r>
          </w:p>
        </w:tc>
        <w:tc>
          <w:tcPr>
            <w:vAlign w:val="center"/>
          </w:tcPr>
          <w:p>
            <w:pPr>
              <w:jc w:val="right"/>
            </w:pPr>
            <w:r>
              <w:rPr>
                <w:color w:val="000000"/>
                <w:sz w:val="24"/>
              </w:rPr>
              <w:t>4.99</w:t>
            </w:r>
          </w:p>
        </w:tc>
      </w:tr>
      <w:tr>
        <w:tc>
          <w:tcPr>
            <w:vAlign w:val="center"/>
          </w:tcPr>
          <w:p>
            <w:pPr>
              <w:jc w:val="center"/>
            </w:pPr>
            <w:r>
              <w:rPr>
                <w:color w:val="000000"/>
                <w:sz w:val="24"/>
              </w:rPr>
              <w:t>5</w:t>
            </w:r>
          </w:p>
        </w:tc>
        <w:tc>
          <w:tcPr>
            <w:vAlign w:val="center"/>
          </w:tcPr>
          <w:p>
            <w:pPr>
              <w:jc w:val="center"/>
            </w:pPr>
            <w:r>
              <w:rPr>
                <w:color w:val="000000"/>
                <w:sz w:val="24"/>
              </w:rPr>
              <w:t>018013</w:t>
            </w:r>
          </w:p>
        </w:tc>
        <w:tc>
          <w:tcPr>
            <w:vAlign w:val="center"/>
          </w:tcPr>
          <w:p>
            <w:pPr>
              <w:jc w:val="center"/>
            </w:pPr>
            <w:r>
              <w:rPr>
                <w:color w:val="000000"/>
                <w:sz w:val="24"/>
              </w:rPr>
              <w:t>国开2004</w:t>
            </w:r>
          </w:p>
        </w:tc>
        <w:tc>
          <w:tcPr>
            <w:vAlign w:val="center"/>
          </w:tcPr>
          <w:p>
            <w:pPr>
              <w:jc w:val="right"/>
            </w:pPr>
            <w:r>
              <w:rPr>
                <w:color w:val="000000"/>
                <w:sz w:val="24"/>
              </w:rPr>
              <w:t>59,000</w:t>
            </w:r>
          </w:p>
        </w:tc>
        <w:tc>
          <w:tcPr>
            <w:vAlign w:val="center"/>
          </w:tcPr>
          <w:p>
            <w:pPr>
              <w:jc w:val="right"/>
            </w:pPr>
            <w:r>
              <w:rPr>
                <w:color w:val="000000"/>
                <w:sz w:val="24"/>
              </w:rPr>
              <w:t>5,901,770.00</w:t>
            </w:r>
          </w:p>
        </w:tc>
        <w:tc>
          <w:tcPr>
            <w:vAlign w:val="center"/>
          </w:tcPr>
          <w:p>
            <w:pPr>
              <w:jc w:val="right"/>
            </w:pPr>
            <w:r>
              <w:rPr>
                <w:color w:val="000000"/>
                <w:sz w:val="24"/>
              </w:rPr>
              <w:t>4.91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9月24日，广州市生态环境局对中国石油天然气股份有限公司广东广州销售分公司违反《中华人民共和国水污染防治法》第四十条第二款的行为作出“责令你单位下属广州销售分公司的金龙山加油南站限期一个月内完成地下油罐改造工作，罚款捌万元整”的行政处罚决定。2019年12月24日，吉林省德惠市环保局对中国石油天然气股份有限公司未依法履行职责的行为进行罚款。</w:t>
      </w:r>
    </w:p>
    <w:p>
      <w:pPr>
        <w:widowControl/>
        <w:spacing w:line="360" w:lineRule="auto"/>
        <w:rPr>
          <w:color w:val="000000"/>
          <w:sz w:val="24"/>
        </w:rPr>
      </w:pPr>
      <w:r>
        <w:rPr>
          <w:color w:val="000000"/>
          <w:sz w:val="24"/>
        </w:rPr>
        <w:t>本基金投资16中油02的投资决策程序符合公司投资制度的规定。</w:t>
      </w:r>
    </w:p>
    <w:p>
      <w:pPr>
        <w:widowControl/>
        <w:spacing w:line="360" w:lineRule="auto"/>
        <w:rPr>
          <w:color w:val="000000"/>
          <w:sz w:val="24"/>
        </w:rPr>
      </w:pPr>
      <w:r>
        <w:rPr>
          <w:color w:val="000000"/>
          <w:sz w:val="24"/>
        </w:rPr>
        <w:t>除16中油02外，本基金投资的前十名证券的发行主体本期没有出现被监管部门立案调查，或在报告编制日前一年内受到公开谴责、处罚的情形。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28,254.93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428,875.86</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2,034,976.67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29,636.80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2,521,744.26</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2,369,026.20</w:t>
            </w:r>
          </w:p>
        </w:tc>
        <w:tc>
          <w:tcPr>
            <w:vAlign w:val="center"/>
          </w:tcPr>
          <w:p>
            <w:pPr>
              <w:jc w:val="right"/>
            </w:pPr>
            <w:r>
              <w:rPr>
                <w:color w:val="000000"/>
                <w:sz w:val="24"/>
              </w:rPr>
              <w:t>1.97</w:t>
            </w:r>
          </w:p>
        </w:tc>
      </w:tr>
      <w:tr>
        <w:tc>
          <w:tcPr>
            <w:vAlign w:val="center"/>
          </w:tcPr>
          <w:p>
            <w:pPr>
              <w:jc w:val="center"/>
            </w:pPr>
            <w:r>
              <w:rPr>
                <w:color w:val="000000"/>
                <w:sz w:val="24"/>
              </w:rPr>
              <w:t>2</w:t>
            </w:r>
          </w:p>
        </w:tc>
        <w:tc>
          <w:tcPr>
            <w:vAlign w:val="center"/>
          </w:tcPr>
          <w:p>
            <w:pPr>
              <w:jc w:val="center"/>
            </w:pPr>
            <w:r>
              <w:rPr>
                <w:color w:val="000000"/>
                <w:sz w:val="24"/>
              </w:rPr>
              <w:t>128037</w:t>
            </w:r>
          </w:p>
        </w:tc>
        <w:tc>
          <w:tcPr>
            <w:vAlign w:val="center"/>
          </w:tcPr>
          <w:p>
            <w:pPr>
              <w:jc w:val="center"/>
            </w:pPr>
            <w:r>
              <w:rPr>
                <w:color w:val="000000"/>
                <w:sz w:val="24"/>
              </w:rPr>
              <w:t>岩土转债</w:t>
            </w:r>
          </w:p>
        </w:tc>
        <w:tc>
          <w:tcPr>
            <w:vAlign w:val="center"/>
          </w:tcPr>
          <w:p>
            <w:pPr>
              <w:jc w:val="right"/>
            </w:pPr>
            <w:r>
              <w:rPr>
                <w:color w:val="000000"/>
                <w:sz w:val="24"/>
              </w:rPr>
              <w:t>1,963,312.12</w:t>
            </w:r>
          </w:p>
        </w:tc>
        <w:tc>
          <w:tcPr>
            <w:vAlign w:val="center"/>
          </w:tcPr>
          <w:p>
            <w:pPr>
              <w:jc w:val="right"/>
            </w:pPr>
            <w:r>
              <w:rPr>
                <w:color w:val="000000"/>
                <w:sz w:val="24"/>
              </w:rPr>
              <w:t>1.63</w:t>
            </w:r>
          </w:p>
        </w:tc>
      </w:tr>
      <w:tr>
        <w:tc>
          <w:tcPr>
            <w:vAlign w:val="center"/>
          </w:tcPr>
          <w:p>
            <w:pPr>
              <w:jc w:val="center"/>
            </w:pPr>
            <w:r>
              <w:rPr>
                <w:color w:val="000000"/>
                <w:sz w:val="24"/>
              </w:rPr>
              <w:t>3</w:t>
            </w:r>
          </w:p>
        </w:tc>
        <w:tc>
          <w:tcPr>
            <w:vAlign w:val="center"/>
          </w:tcPr>
          <w:p>
            <w:pPr>
              <w:jc w:val="center"/>
            </w:pPr>
            <w:r>
              <w:rPr>
                <w:color w:val="000000"/>
                <w:sz w:val="24"/>
              </w:rPr>
              <w:t>128015</w:t>
            </w:r>
          </w:p>
        </w:tc>
        <w:tc>
          <w:tcPr>
            <w:vAlign w:val="center"/>
          </w:tcPr>
          <w:p>
            <w:pPr>
              <w:jc w:val="center"/>
            </w:pPr>
            <w:r>
              <w:rPr>
                <w:color w:val="000000"/>
                <w:sz w:val="24"/>
              </w:rPr>
              <w:t>久其转债</w:t>
            </w:r>
          </w:p>
        </w:tc>
        <w:tc>
          <w:tcPr>
            <w:vAlign w:val="center"/>
          </w:tcPr>
          <w:p>
            <w:pPr>
              <w:jc w:val="right"/>
            </w:pPr>
            <w:r>
              <w:rPr>
                <w:color w:val="000000"/>
                <w:sz w:val="24"/>
              </w:rPr>
              <w:t>1,713,271.60</w:t>
            </w:r>
          </w:p>
        </w:tc>
        <w:tc>
          <w:tcPr>
            <w:vAlign w:val="center"/>
          </w:tcPr>
          <w:p>
            <w:pPr>
              <w:jc w:val="right"/>
            </w:pPr>
            <w:r>
              <w:rPr>
                <w:color w:val="000000"/>
                <w:sz w:val="24"/>
              </w:rPr>
              <w:t>1.43</w:t>
            </w:r>
          </w:p>
        </w:tc>
      </w:tr>
      <w:tr>
        <w:tc>
          <w:tcPr>
            <w:vAlign w:val="center"/>
          </w:tcPr>
          <w:p>
            <w:pPr>
              <w:jc w:val="center"/>
            </w:pPr>
            <w:r>
              <w:rPr>
                <w:color w:val="000000"/>
                <w:sz w:val="24"/>
              </w:rPr>
              <w:t>4</w:t>
            </w:r>
          </w:p>
        </w:tc>
        <w:tc>
          <w:tcPr>
            <w:vAlign w:val="center"/>
          </w:tcPr>
          <w:p>
            <w:pPr>
              <w:jc w:val="center"/>
            </w:pPr>
            <w:r>
              <w:rPr>
                <w:color w:val="000000"/>
                <w:sz w:val="24"/>
              </w:rPr>
              <w:t>113551</w:t>
            </w:r>
          </w:p>
        </w:tc>
        <w:tc>
          <w:tcPr>
            <w:vAlign w:val="center"/>
          </w:tcPr>
          <w:p>
            <w:pPr>
              <w:jc w:val="center"/>
            </w:pPr>
            <w:r>
              <w:rPr>
                <w:color w:val="000000"/>
                <w:sz w:val="24"/>
              </w:rPr>
              <w:t>福特转债</w:t>
            </w:r>
          </w:p>
        </w:tc>
        <w:tc>
          <w:tcPr>
            <w:vAlign w:val="center"/>
          </w:tcPr>
          <w:p>
            <w:pPr>
              <w:jc w:val="right"/>
            </w:pPr>
            <w:r>
              <w:rPr>
                <w:color w:val="000000"/>
                <w:sz w:val="24"/>
              </w:rPr>
              <w:t>1,413,749.40</w:t>
            </w:r>
          </w:p>
        </w:tc>
        <w:tc>
          <w:tcPr>
            <w:vAlign w:val="center"/>
          </w:tcPr>
          <w:p>
            <w:pPr>
              <w:jc w:val="right"/>
            </w:pPr>
            <w:r>
              <w:rPr>
                <w:color w:val="000000"/>
                <w:sz w:val="24"/>
              </w:rPr>
              <w:t>1.18</w:t>
            </w:r>
          </w:p>
        </w:tc>
      </w:tr>
      <w:tr>
        <w:tc>
          <w:tcPr>
            <w:vAlign w:val="center"/>
          </w:tcPr>
          <w:p>
            <w:pPr>
              <w:jc w:val="center"/>
            </w:pPr>
            <w:r>
              <w:rPr>
                <w:color w:val="000000"/>
                <w:sz w:val="24"/>
              </w:rPr>
              <w:t>5</w:t>
            </w:r>
          </w:p>
        </w:tc>
        <w:tc>
          <w:tcPr>
            <w:vAlign w:val="center"/>
          </w:tcPr>
          <w:p>
            <w:pPr>
              <w:jc w:val="center"/>
            </w:pPr>
            <w:r>
              <w:rPr>
                <w:color w:val="000000"/>
                <w:sz w:val="24"/>
              </w:rPr>
              <w:t>127005</w:t>
            </w:r>
          </w:p>
        </w:tc>
        <w:tc>
          <w:tcPr>
            <w:vAlign w:val="center"/>
          </w:tcPr>
          <w:p>
            <w:pPr>
              <w:jc w:val="center"/>
            </w:pPr>
            <w:r>
              <w:rPr>
                <w:color w:val="000000"/>
                <w:sz w:val="24"/>
              </w:rPr>
              <w:t>长证转债</w:t>
            </w:r>
          </w:p>
        </w:tc>
        <w:tc>
          <w:tcPr>
            <w:vAlign w:val="center"/>
          </w:tcPr>
          <w:p>
            <w:pPr>
              <w:jc w:val="right"/>
            </w:pPr>
            <w:r>
              <w:rPr>
                <w:color w:val="000000"/>
                <w:sz w:val="24"/>
              </w:rPr>
              <w:t>1,314,882.72</w:t>
            </w:r>
          </w:p>
        </w:tc>
        <w:tc>
          <w:tcPr>
            <w:vAlign w:val="center"/>
          </w:tcPr>
          <w:p>
            <w:pPr>
              <w:jc w:val="right"/>
            </w:pPr>
            <w:r>
              <w:rPr>
                <w:color w:val="000000"/>
                <w:sz w:val="24"/>
              </w:rPr>
              <w:t>1.09</w:t>
            </w:r>
          </w:p>
        </w:tc>
      </w:tr>
      <w:tr>
        <w:tc>
          <w:tcPr>
            <w:vAlign w:val="center"/>
          </w:tcPr>
          <w:p>
            <w:pPr>
              <w:jc w:val="center"/>
            </w:pPr>
            <w:r>
              <w:rPr>
                <w:color w:val="000000"/>
                <w:sz w:val="24"/>
              </w:rPr>
              <w:t>6</w:t>
            </w:r>
          </w:p>
        </w:tc>
        <w:tc>
          <w:tcPr>
            <w:vAlign w:val="center"/>
          </w:tcPr>
          <w:p>
            <w:pPr>
              <w:jc w:val="center"/>
            </w:pPr>
            <w:r>
              <w:rPr>
                <w:color w:val="000000"/>
                <w:sz w:val="24"/>
              </w:rPr>
              <w:t>113013</w:t>
            </w:r>
          </w:p>
        </w:tc>
        <w:tc>
          <w:tcPr>
            <w:vAlign w:val="center"/>
          </w:tcPr>
          <w:p>
            <w:pPr>
              <w:jc w:val="center"/>
            </w:pPr>
            <w:r>
              <w:rPr>
                <w:color w:val="000000"/>
                <w:sz w:val="24"/>
              </w:rPr>
              <w:t>国君转债</w:t>
            </w:r>
          </w:p>
        </w:tc>
        <w:tc>
          <w:tcPr>
            <w:vAlign w:val="center"/>
          </w:tcPr>
          <w:p>
            <w:pPr>
              <w:jc w:val="right"/>
            </w:pPr>
            <w:r>
              <w:rPr>
                <w:color w:val="000000"/>
                <w:sz w:val="24"/>
              </w:rPr>
              <w:t>1,232,616.40</w:t>
            </w:r>
          </w:p>
        </w:tc>
        <w:tc>
          <w:tcPr>
            <w:vAlign w:val="center"/>
          </w:tcPr>
          <w:p>
            <w:pPr>
              <w:jc w:val="right"/>
            </w:pPr>
            <w:r>
              <w:rPr>
                <w:color w:val="000000"/>
                <w:sz w:val="24"/>
              </w:rPr>
              <w:t>1.03</w:t>
            </w:r>
          </w:p>
        </w:tc>
      </w:tr>
      <w:tr>
        <w:tc>
          <w:tcPr>
            <w:vAlign w:val="center"/>
          </w:tcPr>
          <w:p>
            <w:pPr>
              <w:jc w:val="center"/>
            </w:pPr>
            <w:r>
              <w:rPr>
                <w:color w:val="000000"/>
                <w:sz w:val="24"/>
              </w:rPr>
              <w:t>7</w:t>
            </w:r>
          </w:p>
        </w:tc>
        <w:tc>
          <w:tcPr>
            <w:vAlign w:val="center"/>
          </w:tcPr>
          <w:p>
            <w:pPr>
              <w:jc w:val="center"/>
            </w:pPr>
            <w:r>
              <w:rPr>
                <w:color w:val="000000"/>
                <w:sz w:val="24"/>
              </w:rPr>
              <w:t>128026</w:t>
            </w:r>
          </w:p>
        </w:tc>
        <w:tc>
          <w:tcPr>
            <w:vAlign w:val="center"/>
          </w:tcPr>
          <w:p>
            <w:pPr>
              <w:jc w:val="center"/>
            </w:pPr>
            <w:r>
              <w:rPr>
                <w:color w:val="000000"/>
                <w:sz w:val="24"/>
              </w:rPr>
              <w:t>众兴转债</w:t>
            </w:r>
          </w:p>
        </w:tc>
        <w:tc>
          <w:tcPr>
            <w:vAlign w:val="center"/>
          </w:tcPr>
          <w:p>
            <w:pPr>
              <w:jc w:val="right"/>
            </w:pPr>
            <w:r>
              <w:rPr>
                <w:color w:val="000000"/>
                <w:sz w:val="24"/>
              </w:rPr>
              <w:t>1,207,615.20</w:t>
            </w:r>
          </w:p>
        </w:tc>
        <w:tc>
          <w:tcPr>
            <w:vAlign w:val="center"/>
          </w:tcPr>
          <w:p>
            <w:pPr>
              <w:jc w:val="right"/>
            </w:pPr>
            <w:r>
              <w:rPr>
                <w:color w:val="000000"/>
                <w:sz w:val="24"/>
              </w:rPr>
              <w:t>1.01</w:t>
            </w:r>
          </w:p>
        </w:tc>
      </w:tr>
      <w:tr>
        <w:tc>
          <w:tcPr>
            <w:vAlign w:val="center"/>
          </w:tcPr>
          <w:p>
            <w:pPr>
              <w:jc w:val="center"/>
            </w:pPr>
            <w:r>
              <w:rPr>
                <w:color w:val="000000"/>
                <w:sz w:val="24"/>
              </w:rPr>
              <w:t>8</w:t>
            </w:r>
          </w:p>
        </w:tc>
        <w:tc>
          <w:tcPr>
            <w:vAlign w:val="center"/>
          </w:tcPr>
          <w:p>
            <w:pPr>
              <w:jc w:val="center"/>
            </w:pPr>
            <w:r>
              <w:rPr>
                <w:color w:val="000000"/>
                <w:sz w:val="24"/>
              </w:rPr>
              <w:t>128085</w:t>
            </w:r>
          </w:p>
        </w:tc>
        <w:tc>
          <w:tcPr>
            <w:vAlign w:val="center"/>
          </w:tcPr>
          <w:p>
            <w:pPr>
              <w:jc w:val="center"/>
            </w:pPr>
            <w:r>
              <w:rPr>
                <w:color w:val="000000"/>
                <w:sz w:val="24"/>
              </w:rPr>
              <w:t>鸿达转债</w:t>
            </w:r>
          </w:p>
        </w:tc>
        <w:tc>
          <w:tcPr>
            <w:vAlign w:val="center"/>
          </w:tcPr>
          <w:p>
            <w:pPr>
              <w:jc w:val="right"/>
            </w:pPr>
            <w:r>
              <w:rPr>
                <w:color w:val="000000"/>
                <w:sz w:val="24"/>
              </w:rPr>
              <w:t>1,117,374.30</w:t>
            </w:r>
          </w:p>
        </w:tc>
        <w:tc>
          <w:tcPr>
            <w:vAlign w:val="center"/>
          </w:tcPr>
          <w:p>
            <w:pPr>
              <w:jc w:val="right"/>
            </w:pPr>
            <w:r>
              <w:rPr>
                <w:color w:val="000000"/>
                <w:sz w:val="24"/>
              </w:rPr>
              <w:t>0.93</w:t>
            </w:r>
          </w:p>
        </w:tc>
      </w:tr>
      <w:tr>
        <w:tc>
          <w:tcPr>
            <w:vAlign w:val="center"/>
          </w:tcPr>
          <w:p>
            <w:pPr>
              <w:jc w:val="center"/>
            </w:pPr>
            <w:r>
              <w:rPr>
                <w:color w:val="000000"/>
                <w:sz w:val="24"/>
              </w:rPr>
              <w:t>9</w:t>
            </w:r>
          </w:p>
        </w:tc>
        <w:tc>
          <w:tcPr>
            <w:vAlign w:val="center"/>
          </w:tcPr>
          <w:p>
            <w:pPr>
              <w:jc w:val="center"/>
            </w:pPr>
            <w:r>
              <w:rPr>
                <w:color w:val="000000"/>
                <w:sz w:val="24"/>
              </w:rPr>
              <w:t>123025</w:t>
            </w:r>
          </w:p>
        </w:tc>
        <w:tc>
          <w:tcPr>
            <w:vAlign w:val="center"/>
          </w:tcPr>
          <w:p>
            <w:pPr>
              <w:jc w:val="center"/>
            </w:pPr>
            <w:r>
              <w:rPr>
                <w:color w:val="000000"/>
                <w:sz w:val="24"/>
              </w:rPr>
              <w:t>精测转债</w:t>
            </w:r>
          </w:p>
        </w:tc>
        <w:tc>
          <w:tcPr>
            <w:vAlign w:val="center"/>
          </w:tcPr>
          <w:p>
            <w:pPr>
              <w:jc w:val="right"/>
            </w:pPr>
            <w:r>
              <w:rPr>
                <w:color w:val="000000"/>
                <w:sz w:val="24"/>
              </w:rPr>
              <w:t>959,174.50</w:t>
            </w:r>
          </w:p>
        </w:tc>
        <w:tc>
          <w:tcPr>
            <w:vAlign w:val="center"/>
          </w:tcPr>
          <w:p>
            <w:pPr>
              <w:jc w:val="right"/>
            </w:pPr>
            <w:r>
              <w:rPr>
                <w:color w:val="000000"/>
                <w:sz w:val="24"/>
              </w:rPr>
              <w:t>0.80</w:t>
            </w:r>
          </w:p>
        </w:tc>
      </w:tr>
      <w:tr>
        <w:tc>
          <w:tcPr>
            <w:vAlign w:val="center"/>
          </w:tcPr>
          <w:p>
            <w:pPr>
              <w:jc w:val="center"/>
            </w:pPr>
            <w:r>
              <w:rPr>
                <w:color w:val="000000"/>
                <w:sz w:val="24"/>
              </w:rPr>
              <w:t>10</w:t>
            </w:r>
          </w:p>
        </w:tc>
        <w:tc>
          <w:tcPr>
            <w:vAlign w:val="center"/>
          </w:tcPr>
          <w:p>
            <w:pPr>
              <w:jc w:val="center"/>
            </w:pPr>
            <w:r>
              <w:rPr>
                <w:color w:val="000000"/>
                <w:sz w:val="24"/>
              </w:rPr>
              <w:t>128023</w:t>
            </w:r>
          </w:p>
        </w:tc>
        <w:tc>
          <w:tcPr>
            <w:vAlign w:val="center"/>
          </w:tcPr>
          <w:p>
            <w:pPr>
              <w:jc w:val="center"/>
            </w:pPr>
            <w:r>
              <w:rPr>
                <w:color w:val="000000"/>
                <w:sz w:val="24"/>
              </w:rPr>
              <w:t>亚太转债</w:t>
            </w:r>
          </w:p>
        </w:tc>
        <w:tc>
          <w:tcPr>
            <w:vAlign w:val="center"/>
          </w:tcPr>
          <w:p>
            <w:pPr>
              <w:jc w:val="right"/>
            </w:pPr>
            <w:r>
              <w:rPr>
                <w:color w:val="000000"/>
                <w:sz w:val="24"/>
              </w:rPr>
              <w:t>957,978.84</w:t>
            </w:r>
          </w:p>
        </w:tc>
        <w:tc>
          <w:tcPr>
            <w:vAlign w:val="center"/>
          </w:tcPr>
          <w:p>
            <w:pPr>
              <w:jc w:val="right"/>
            </w:pPr>
            <w:r>
              <w:rPr>
                <w:color w:val="000000"/>
                <w:sz w:val="24"/>
              </w:rPr>
              <w:t>0.80</w:t>
            </w:r>
          </w:p>
        </w:tc>
      </w:tr>
      <w:tr>
        <w:tc>
          <w:tcPr>
            <w:vAlign w:val="center"/>
          </w:tcPr>
          <w:p>
            <w:pPr>
              <w:jc w:val="center"/>
            </w:pPr>
            <w:r>
              <w:rPr>
                <w:color w:val="000000"/>
                <w:sz w:val="24"/>
              </w:rPr>
              <w:t>11</w:t>
            </w:r>
          </w:p>
        </w:tc>
        <w:tc>
          <w:tcPr>
            <w:vAlign w:val="center"/>
          </w:tcPr>
          <w:p>
            <w:pPr>
              <w:jc w:val="center"/>
            </w:pPr>
            <w:r>
              <w:rPr>
                <w:color w:val="000000"/>
                <w:sz w:val="24"/>
              </w:rPr>
              <w:t>128067</w:t>
            </w:r>
          </w:p>
        </w:tc>
        <w:tc>
          <w:tcPr>
            <w:vAlign w:val="center"/>
          </w:tcPr>
          <w:p>
            <w:pPr>
              <w:jc w:val="center"/>
            </w:pPr>
            <w:r>
              <w:rPr>
                <w:color w:val="000000"/>
                <w:sz w:val="24"/>
              </w:rPr>
              <w:t>一心转债</w:t>
            </w:r>
          </w:p>
        </w:tc>
        <w:tc>
          <w:tcPr>
            <w:vAlign w:val="center"/>
          </w:tcPr>
          <w:p>
            <w:pPr>
              <w:jc w:val="right"/>
            </w:pPr>
            <w:r>
              <w:rPr>
                <w:color w:val="000000"/>
                <w:sz w:val="24"/>
              </w:rPr>
              <w:t>946,363.40</w:t>
            </w:r>
          </w:p>
        </w:tc>
        <w:tc>
          <w:tcPr>
            <w:vAlign w:val="center"/>
          </w:tcPr>
          <w:p>
            <w:pPr>
              <w:jc w:val="right"/>
            </w:pPr>
            <w:r>
              <w:rPr>
                <w:color w:val="000000"/>
                <w:sz w:val="24"/>
              </w:rPr>
              <w:t>0.79</w:t>
            </w:r>
          </w:p>
        </w:tc>
      </w:tr>
      <w:tr>
        <w:tc>
          <w:tcPr>
            <w:vAlign w:val="center"/>
          </w:tcPr>
          <w:p>
            <w:pPr>
              <w:jc w:val="center"/>
            </w:pPr>
            <w:r>
              <w:rPr>
                <w:color w:val="000000"/>
                <w:sz w:val="24"/>
              </w:rPr>
              <w:t>12</w:t>
            </w:r>
          </w:p>
        </w:tc>
        <w:tc>
          <w:tcPr>
            <w:vAlign w:val="center"/>
          </w:tcPr>
          <w:p>
            <w:pPr>
              <w:jc w:val="center"/>
            </w:pPr>
            <w:r>
              <w:rPr>
                <w:color w:val="000000"/>
                <w:sz w:val="24"/>
              </w:rPr>
              <w:t>110056</w:t>
            </w:r>
          </w:p>
        </w:tc>
        <w:tc>
          <w:tcPr>
            <w:vAlign w:val="center"/>
          </w:tcPr>
          <w:p>
            <w:pPr>
              <w:jc w:val="center"/>
            </w:pPr>
            <w:r>
              <w:rPr>
                <w:color w:val="000000"/>
                <w:sz w:val="24"/>
              </w:rPr>
              <w:t>亨通转债</w:t>
            </w:r>
          </w:p>
        </w:tc>
        <w:tc>
          <w:tcPr>
            <w:vAlign w:val="center"/>
          </w:tcPr>
          <w:p>
            <w:pPr>
              <w:jc w:val="right"/>
            </w:pPr>
            <w:r>
              <w:rPr>
                <w:color w:val="000000"/>
                <w:sz w:val="24"/>
              </w:rPr>
              <w:t>930,501.80</w:t>
            </w:r>
          </w:p>
        </w:tc>
        <w:tc>
          <w:tcPr>
            <w:vAlign w:val="center"/>
          </w:tcPr>
          <w:p>
            <w:pPr>
              <w:jc w:val="right"/>
            </w:pPr>
            <w:r>
              <w:rPr>
                <w:color w:val="000000"/>
                <w:sz w:val="24"/>
              </w:rPr>
              <w:t>0.77</w:t>
            </w:r>
          </w:p>
        </w:tc>
      </w:tr>
      <w:tr>
        <w:tc>
          <w:tcPr>
            <w:vAlign w:val="center"/>
          </w:tcPr>
          <w:p>
            <w:pPr>
              <w:jc w:val="center"/>
            </w:pPr>
            <w:r>
              <w:rPr>
                <w:color w:val="000000"/>
                <w:sz w:val="24"/>
              </w:rPr>
              <w:t>13</w:t>
            </w:r>
          </w:p>
        </w:tc>
        <w:tc>
          <w:tcPr>
            <w:vAlign w:val="center"/>
          </w:tcPr>
          <w:p>
            <w:pPr>
              <w:jc w:val="center"/>
            </w:pPr>
            <w:r>
              <w:rPr>
                <w:color w:val="000000"/>
                <w:sz w:val="24"/>
              </w:rPr>
              <w:t>128078</w:t>
            </w:r>
          </w:p>
        </w:tc>
        <w:tc>
          <w:tcPr>
            <w:vAlign w:val="center"/>
          </w:tcPr>
          <w:p>
            <w:pPr>
              <w:jc w:val="center"/>
            </w:pPr>
            <w:r>
              <w:rPr>
                <w:color w:val="000000"/>
                <w:sz w:val="24"/>
              </w:rPr>
              <w:t>太极转债</w:t>
            </w:r>
          </w:p>
        </w:tc>
        <w:tc>
          <w:tcPr>
            <w:vAlign w:val="center"/>
          </w:tcPr>
          <w:p>
            <w:pPr>
              <w:jc w:val="right"/>
            </w:pPr>
            <w:r>
              <w:rPr>
                <w:color w:val="000000"/>
                <w:sz w:val="24"/>
              </w:rPr>
              <w:t>684,045.00</w:t>
            </w:r>
          </w:p>
        </w:tc>
        <w:tc>
          <w:tcPr>
            <w:vAlign w:val="center"/>
          </w:tcPr>
          <w:p>
            <w:pPr>
              <w:jc w:val="right"/>
            </w:pPr>
            <w:r>
              <w:rPr>
                <w:color w:val="000000"/>
                <w:sz w:val="24"/>
              </w:rPr>
              <w:t>0.57</w:t>
            </w:r>
          </w:p>
        </w:tc>
      </w:tr>
      <w:tr>
        <w:tc>
          <w:tcPr>
            <w:vAlign w:val="center"/>
          </w:tcPr>
          <w:p>
            <w:pPr>
              <w:jc w:val="center"/>
            </w:pPr>
            <w:r>
              <w:rPr>
                <w:color w:val="000000"/>
                <w:sz w:val="24"/>
              </w:rPr>
              <w:t>14</w:t>
            </w:r>
          </w:p>
        </w:tc>
        <w:tc>
          <w:tcPr>
            <w:vAlign w:val="center"/>
          </w:tcPr>
          <w:p>
            <w:pPr>
              <w:jc w:val="center"/>
            </w:pPr>
            <w:r>
              <w:rPr>
                <w:color w:val="000000"/>
                <w:sz w:val="24"/>
              </w:rPr>
              <w:t>128029</w:t>
            </w:r>
          </w:p>
        </w:tc>
        <w:tc>
          <w:tcPr>
            <w:vAlign w:val="center"/>
          </w:tcPr>
          <w:p>
            <w:pPr>
              <w:jc w:val="center"/>
            </w:pPr>
            <w:r>
              <w:rPr>
                <w:color w:val="000000"/>
                <w:sz w:val="24"/>
              </w:rPr>
              <w:t>太阳转债</w:t>
            </w:r>
          </w:p>
        </w:tc>
        <w:tc>
          <w:tcPr>
            <w:vAlign w:val="center"/>
          </w:tcPr>
          <w:p>
            <w:pPr>
              <w:jc w:val="right"/>
            </w:pPr>
            <w:r>
              <w:rPr>
                <w:color w:val="000000"/>
                <w:sz w:val="24"/>
              </w:rPr>
              <w:t>614,349.50</w:t>
            </w:r>
          </w:p>
        </w:tc>
        <w:tc>
          <w:tcPr>
            <w:vAlign w:val="center"/>
          </w:tcPr>
          <w:p>
            <w:pPr>
              <w:jc w:val="right"/>
            </w:pPr>
            <w:r>
              <w:rPr>
                <w:color w:val="000000"/>
                <w:sz w:val="24"/>
              </w:rPr>
              <w:t>0.51</w:t>
            </w:r>
          </w:p>
        </w:tc>
      </w:tr>
      <w:tr>
        <w:tc>
          <w:tcPr>
            <w:vAlign w:val="center"/>
          </w:tcPr>
          <w:p>
            <w:pPr>
              <w:jc w:val="center"/>
            </w:pPr>
            <w:r>
              <w:rPr>
                <w:color w:val="000000"/>
                <w:sz w:val="24"/>
              </w:rPr>
              <w:t>15</w:t>
            </w:r>
          </w:p>
        </w:tc>
        <w:tc>
          <w:tcPr>
            <w:vAlign w:val="center"/>
          </w:tcPr>
          <w:p>
            <w:pPr>
              <w:jc w:val="center"/>
            </w:pPr>
            <w:r>
              <w:rPr>
                <w:color w:val="000000"/>
                <w:sz w:val="24"/>
              </w:rPr>
              <w:t>127011</w:t>
            </w:r>
          </w:p>
        </w:tc>
        <w:tc>
          <w:tcPr>
            <w:vAlign w:val="center"/>
          </w:tcPr>
          <w:p>
            <w:pPr>
              <w:jc w:val="center"/>
            </w:pPr>
            <w:r>
              <w:rPr>
                <w:color w:val="000000"/>
                <w:sz w:val="24"/>
              </w:rPr>
              <w:t>中鼎转2</w:t>
            </w:r>
          </w:p>
        </w:tc>
        <w:tc>
          <w:tcPr>
            <w:vAlign w:val="center"/>
          </w:tcPr>
          <w:p>
            <w:pPr>
              <w:jc w:val="right"/>
            </w:pPr>
            <w:r>
              <w:rPr>
                <w:color w:val="000000"/>
                <w:sz w:val="24"/>
              </w:rPr>
              <w:t>602,510.04</w:t>
            </w:r>
          </w:p>
        </w:tc>
        <w:tc>
          <w:tcPr>
            <w:vAlign w:val="center"/>
          </w:tcPr>
          <w:p>
            <w:pPr>
              <w:jc w:val="right"/>
            </w:pPr>
            <w:r>
              <w:rPr>
                <w:color w:val="000000"/>
                <w:sz w:val="24"/>
              </w:rPr>
              <w:t>0.50</w:t>
            </w:r>
          </w:p>
        </w:tc>
      </w:tr>
      <w:tr>
        <w:tc>
          <w:tcPr>
            <w:vAlign w:val="center"/>
          </w:tcPr>
          <w:p>
            <w:pPr>
              <w:jc w:val="center"/>
            </w:pPr>
            <w:r>
              <w:rPr>
                <w:color w:val="000000"/>
                <w:sz w:val="24"/>
              </w:rPr>
              <w:t>16</w:t>
            </w:r>
          </w:p>
        </w:tc>
        <w:tc>
          <w:tcPr>
            <w:vAlign w:val="center"/>
          </w:tcPr>
          <w:p>
            <w:pPr>
              <w:jc w:val="center"/>
            </w:pPr>
            <w:r>
              <w:rPr>
                <w:color w:val="000000"/>
                <w:sz w:val="24"/>
              </w:rPr>
              <w:t>128030</w:t>
            </w:r>
          </w:p>
        </w:tc>
        <w:tc>
          <w:tcPr>
            <w:vAlign w:val="center"/>
          </w:tcPr>
          <w:p>
            <w:pPr>
              <w:jc w:val="center"/>
            </w:pPr>
            <w:r>
              <w:rPr>
                <w:color w:val="000000"/>
                <w:sz w:val="24"/>
              </w:rPr>
              <w:t>天康转债</w:t>
            </w:r>
          </w:p>
        </w:tc>
        <w:tc>
          <w:tcPr>
            <w:vAlign w:val="center"/>
          </w:tcPr>
          <w:p>
            <w:pPr>
              <w:jc w:val="right"/>
            </w:pPr>
            <w:r>
              <w:rPr>
                <w:color w:val="000000"/>
                <w:sz w:val="24"/>
              </w:rPr>
              <w:t>591,843.10</w:t>
            </w:r>
          </w:p>
        </w:tc>
        <w:tc>
          <w:tcPr>
            <w:vAlign w:val="center"/>
          </w:tcPr>
          <w:p>
            <w:pPr>
              <w:jc w:val="right"/>
            </w:pPr>
            <w:r>
              <w:rPr>
                <w:color w:val="000000"/>
                <w:sz w:val="24"/>
              </w:rPr>
              <w:t>0.49</w:t>
            </w:r>
          </w:p>
        </w:tc>
      </w:tr>
      <w:tr>
        <w:tc>
          <w:tcPr>
            <w:vAlign w:val="center"/>
          </w:tcPr>
          <w:p>
            <w:pPr>
              <w:jc w:val="center"/>
            </w:pPr>
            <w:r>
              <w:rPr>
                <w:color w:val="000000"/>
                <w:sz w:val="24"/>
              </w:rPr>
              <w:t>17</w:t>
            </w:r>
          </w:p>
        </w:tc>
        <w:tc>
          <w:tcPr>
            <w:vAlign w:val="center"/>
          </w:tcPr>
          <w:p>
            <w:pPr>
              <w:jc w:val="center"/>
            </w:pPr>
            <w:r>
              <w:rPr>
                <w:color w:val="000000"/>
                <w:sz w:val="24"/>
              </w:rPr>
              <w:t>113553</w:t>
            </w:r>
          </w:p>
        </w:tc>
        <w:tc>
          <w:tcPr>
            <w:vAlign w:val="center"/>
          </w:tcPr>
          <w:p>
            <w:pPr>
              <w:jc w:val="center"/>
            </w:pPr>
            <w:r>
              <w:rPr>
                <w:color w:val="000000"/>
                <w:sz w:val="24"/>
              </w:rPr>
              <w:t>金牌转债</w:t>
            </w:r>
          </w:p>
        </w:tc>
        <w:tc>
          <w:tcPr>
            <w:vAlign w:val="center"/>
          </w:tcPr>
          <w:p>
            <w:pPr>
              <w:jc w:val="right"/>
            </w:pPr>
            <w:r>
              <w:rPr>
                <w:color w:val="000000"/>
                <w:sz w:val="24"/>
              </w:rPr>
              <w:t>589,052.70</w:t>
            </w:r>
          </w:p>
        </w:tc>
        <w:tc>
          <w:tcPr>
            <w:vAlign w:val="center"/>
          </w:tcPr>
          <w:p>
            <w:pPr>
              <w:jc w:val="right"/>
            </w:pPr>
            <w:r>
              <w:rPr>
                <w:color w:val="000000"/>
                <w:sz w:val="24"/>
              </w:rPr>
              <w:t>0.49</w:t>
            </w:r>
          </w:p>
        </w:tc>
      </w:tr>
      <w:tr>
        <w:tc>
          <w:tcPr>
            <w:vAlign w:val="center"/>
          </w:tcPr>
          <w:p>
            <w:pPr>
              <w:jc w:val="center"/>
            </w:pPr>
            <w:r>
              <w:rPr>
                <w:color w:val="000000"/>
                <w:sz w:val="24"/>
              </w:rPr>
              <w:t>18</w:t>
            </w:r>
          </w:p>
        </w:tc>
        <w:tc>
          <w:tcPr>
            <w:vAlign w:val="center"/>
          </w:tcPr>
          <w:p>
            <w:pPr>
              <w:jc w:val="center"/>
            </w:pPr>
            <w:r>
              <w:rPr>
                <w:color w:val="000000"/>
                <w:sz w:val="24"/>
              </w:rPr>
              <w:t>113521</w:t>
            </w:r>
          </w:p>
        </w:tc>
        <w:tc>
          <w:tcPr>
            <w:vAlign w:val="center"/>
          </w:tcPr>
          <w:p>
            <w:pPr>
              <w:jc w:val="center"/>
            </w:pPr>
            <w:r>
              <w:rPr>
                <w:color w:val="000000"/>
                <w:sz w:val="24"/>
              </w:rPr>
              <w:t>科森转债</w:t>
            </w:r>
          </w:p>
        </w:tc>
        <w:tc>
          <w:tcPr>
            <w:vAlign w:val="center"/>
          </w:tcPr>
          <w:p>
            <w:pPr>
              <w:jc w:val="right"/>
            </w:pPr>
            <w:r>
              <w:rPr>
                <w:color w:val="000000"/>
                <w:sz w:val="24"/>
              </w:rPr>
              <w:t>497,647.80</w:t>
            </w:r>
          </w:p>
        </w:tc>
        <w:tc>
          <w:tcPr>
            <w:vAlign w:val="center"/>
          </w:tcPr>
          <w:p>
            <w:pPr>
              <w:jc w:val="right"/>
            </w:pPr>
            <w:r>
              <w:rPr>
                <w:color w:val="000000"/>
                <w:sz w:val="24"/>
              </w:rPr>
              <w:t>0.41</w:t>
            </w:r>
          </w:p>
        </w:tc>
      </w:tr>
      <w:tr>
        <w:tc>
          <w:tcPr>
            <w:vAlign w:val="center"/>
          </w:tcPr>
          <w:p>
            <w:pPr>
              <w:jc w:val="center"/>
            </w:pPr>
            <w:r>
              <w:rPr>
                <w:color w:val="000000"/>
                <w:sz w:val="24"/>
              </w:rPr>
              <w:t>19</w:t>
            </w:r>
          </w:p>
        </w:tc>
        <w:tc>
          <w:tcPr>
            <w:vAlign w:val="center"/>
          </w:tcPr>
          <w:p>
            <w:pPr>
              <w:jc w:val="center"/>
            </w:pPr>
            <w:r>
              <w:rPr>
                <w:color w:val="000000"/>
                <w:sz w:val="24"/>
              </w:rPr>
              <w:t>113556</w:t>
            </w:r>
          </w:p>
        </w:tc>
        <w:tc>
          <w:tcPr>
            <w:vAlign w:val="center"/>
          </w:tcPr>
          <w:p>
            <w:pPr>
              <w:jc w:val="center"/>
            </w:pPr>
            <w:r>
              <w:rPr>
                <w:color w:val="000000"/>
                <w:sz w:val="24"/>
              </w:rPr>
              <w:t>至纯转债</w:t>
            </w:r>
          </w:p>
        </w:tc>
        <w:tc>
          <w:tcPr>
            <w:vAlign w:val="center"/>
          </w:tcPr>
          <w:p>
            <w:pPr>
              <w:jc w:val="right"/>
            </w:pPr>
            <w:r>
              <w:rPr>
                <w:color w:val="000000"/>
                <w:sz w:val="24"/>
              </w:rPr>
              <w:t>420,810.00</w:t>
            </w:r>
          </w:p>
        </w:tc>
        <w:tc>
          <w:tcPr>
            <w:vAlign w:val="center"/>
          </w:tcPr>
          <w:p>
            <w:pPr>
              <w:jc w:val="right"/>
            </w:pPr>
            <w:r>
              <w:rPr>
                <w:color w:val="000000"/>
                <w:sz w:val="24"/>
              </w:rPr>
              <w:t>0.35</w:t>
            </w:r>
          </w:p>
        </w:tc>
      </w:tr>
      <w:tr>
        <w:tc>
          <w:tcPr>
            <w:vAlign w:val="center"/>
          </w:tcPr>
          <w:p>
            <w:pPr>
              <w:jc w:val="center"/>
            </w:pPr>
            <w:r>
              <w:rPr>
                <w:color w:val="000000"/>
                <w:sz w:val="24"/>
              </w:rPr>
              <w:t>20</w:t>
            </w:r>
          </w:p>
        </w:tc>
        <w:tc>
          <w:tcPr>
            <w:vAlign w:val="center"/>
          </w:tcPr>
          <w:p>
            <w:pPr>
              <w:jc w:val="center"/>
            </w:pPr>
            <w:r>
              <w:rPr>
                <w:color w:val="000000"/>
                <w:sz w:val="24"/>
              </w:rPr>
              <w:t>113558</w:t>
            </w:r>
          </w:p>
        </w:tc>
        <w:tc>
          <w:tcPr>
            <w:vAlign w:val="center"/>
          </w:tcPr>
          <w:p>
            <w:pPr>
              <w:jc w:val="center"/>
            </w:pPr>
            <w:r>
              <w:rPr>
                <w:color w:val="000000"/>
                <w:sz w:val="24"/>
              </w:rPr>
              <w:t>日月转债</w:t>
            </w:r>
          </w:p>
        </w:tc>
        <w:tc>
          <w:tcPr>
            <w:vAlign w:val="center"/>
          </w:tcPr>
          <w:p>
            <w:pPr>
              <w:jc w:val="right"/>
            </w:pPr>
            <w:r>
              <w:rPr>
                <w:color w:val="000000"/>
                <w:sz w:val="24"/>
              </w:rPr>
              <w:t>372,718.40</w:t>
            </w:r>
          </w:p>
        </w:tc>
        <w:tc>
          <w:tcPr>
            <w:vAlign w:val="center"/>
          </w:tcPr>
          <w:p>
            <w:pPr>
              <w:jc w:val="right"/>
            </w:pPr>
            <w:r>
              <w:rPr>
                <w:color w:val="000000"/>
                <w:sz w:val="24"/>
              </w:rPr>
              <w:t>0.31</w:t>
            </w:r>
          </w:p>
        </w:tc>
      </w:tr>
      <w:tr>
        <w:tc>
          <w:tcPr>
            <w:vAlign w:val="center"/>
          </w:tcPr>
          <w:p>
            <w:pPr>
              <w:jc w:val="center"/>
            </w:pPr>
            <w:r>
              <w:rPr>
                <w:color w:val="000000"/>
                <w:sz w:val="24"/>
              </w:rPr>
              <w:t>21</w:t>
            </w:r>
          </w:p>
        </w:tc>
        <w:tc>
          <w:tcPr>
            <w:vAlign w:val="center"/>
          </w:tcPr>
          <w:p>
            <w:pPr>
              <w:jc w:val="center"/>
            </w:pPr>
            <w:r>
              <w:rPr>
                <w:color w:val="000000"/>
                <w:sz w:val="24"/>
              </w:rPr>
              <w:t>110055</w:t>
            </w:r>
          </w:p>
        </w:tc>
        <w:tc>
          <w:tcPr>
            <w:vAlign w:val="center"/>
          </w:tcPr>
          <w:p>
            <w:pPr>
              <w:jc w:val="center"/>
            </w:pPr>
            <w:r>
              <w:rPr>
                <w:color w:val="000000"/>
                <w:sz w:val="24"/>
              </w:rPr>
              <w:t>伊力转债</w:t>
            </w:r>
          </w:p>
        </w:tc>
        <w:tc>
          <w:tcPr>
            <w:vAlign w:val="center"/>
          </w:tcPr>
          <w:p>
            <w:pPr>
              <w:jc w:val="right"/>
            </w:pPr>
            <w:r>
              <w:rPr>
                <w:color w:val="000000"/>
                <w:sz w:val="24"/>
              </w:rPr>
              <w:t>361,593.20</w:t>
            </w:r>
          </w:p>
        </w:tc>
        <w:tc>
          <w:tcPr>
            <w:vAlign w:val="center"/>
          </w:tcPr>
          <w:p>
            <w:pPr>
              <w:jc w:val="right"/>
            </w:pPr>
            <w:r>
              <w:rPr>
                <w:color w:val="000000"/>
                <w:sz w:val="24"/>
              </w:rPr>
              <w:t>0.30</w:t>
            </w:r>
          </w:p>
        </w:tc>
      </w:tr>
      <w:tr>
        <w:tc>
          <w:tcPr>
            <w:vAlign w:val="center"/>
          </w:tcPr>
          <w:p>
            <w:pPr>
              <w:jc w:val="center"/>
            </w:pPr>
            <w:r>
              <w:rPr>
                <w:color w:val="000000"/>
                <w:sz w:val="24"/>
              </w:rPr>
              <w:t>22</w:t>
            </w:r>
          </w:p>
        </w:tc>
        <w:tc>
          <w:tcPr>
            <w:vAlign w:val="center"/>
          </w:tcPr>
          <w:p>
            <w:pPr>
              <w:jc w:val="center"/>
            </w:pPr>
            <w:r>
              <w:rPr>
                <w:color w:val="000000"/>
                <w:sz w:val="24"/>
              </w:rPr>
              <w:t>113029</w:t>
            </w:r>
          </w:p>
        </w:tc>
        <w:tc>
          <w:tcPr>
            <w:vAlign w:val="center"/>
          </w:tcPr>
          <w:p>
            <w:pPr>
              <w:jc w:val="center"/>
            </w:pPr>
            <w:r>
              <w:rPr>
                <w:color w:val="000000"/>
                <w:sz w:val="24"/>
              </w:rPr>
              <w:t>明阳转债</w:t>
            </w:r>
          </w:p>
        </w:tc>
        <w:tc>
          <w:tcPr>
            <w:vAlign w:val="center"/>
          </w:tcPr>
          <w:p>
            <w:pPr>
              <w:jc w:val="right"/>
            </w:pPr>
            <w:r>
              <w:rPr>
                <w:color w:val="000000"/>
                <w:sz w:val="24"/>
              </w:rPr>
              <w:t>360,580.50</w:t>
            </w:r>
          </w:p>
        </w:tc>
        <w:tc>
          <w:tcPr>
            <w:vAlign w:val="center"/>
          </w:tcPr>
          <w:p>
            <w:pPr>
              <w:jc w:val="right"/>
            </w:pPr>
            <w:r>
              <w:rPr>
                <w:color w:val="000000"/>
                <w:sz w:val="24"/>
              </w:rPr>
              <w:t>0.30</w:t>
            </w:r>
          </w:p>
        </w:tc>
      </w:tr>
      <w:tr>
        <w:tc>
          <w:tcPr>
            <w:vAlign w:val="center"/>
          </w:tcPr>
          <w:p>
            <w:pPr>
              <w:jc w:val="center"/>
            </w:pPr>
            <w:r>
              <w:rPr>
                <w:color w:val="000000"/>
                <w:sz w:val="24"/>
              </w:rPr>
              <w:t>23</w:t>
            </w:r>
          </w:p>
        </w:tc>
        <w:tc>
          <w:tcPr>
            <w:vAlign w:val="center"/>
          </w:tcPr>
          <w:p>
            <w:pPr>
              <w:jc w:val="center"/>
            </w:pPr>
            <w:r>
              <w:rPr>
                <w:color w:val="000000"/>
                <w:sz w:val="24"/>
              </w:rPr>
              <w:t>128086</w:t>
            </w:r>
          </w:p>
        </w:tc>
        <w:tc>
          <w:tcPr>
            <w:vAlign w:val="center"/>
          </w:tcPr>
          <w:p>
            <w:pPr>
              <w:jc w:val="center"/>
            </w:pPr>
            <w:r>
              <w:rPr>
                <w:color w:val="000000"/>
                <w:sz w:val="24"/>
              </w:rPr>
              <w:t>国轩转债</w:t>
            </w:r>
          </w:p>
        </w:tc>
        <w:tc>
          <w:tcPr>
            <w:vAlign w:val="center"/>
          </w:tcPr>
          <w:p>
            <w:pPr>
              <w:jc w:val="right"/>
            </w:pPr>
            <w:r>
              <w:rPr>
                <w:color w:val="000000"/>
                <w:sz w:val="24"/>
              </w:rPr>
              <w:t>357,996.90</w:t>
            </w:r>
          </w:p>
        </w:tc>
        <w:tc>
          <w:tcPr>
            <w:vAlign w:val="center"/>
          </w:tcPr>
          <w:p>
            <w:pPr>
              <w:jc w:val="right"/>
            </w:pPr>
            <w:r>
              <w:rPr>
                <w:color w:val="000000"/>
                <w:sz w:val="24"/>
              </w:rPr>
              <w:t>0.30</w:t>
            </w:r>
          </w:p>
        </w:tc>
      </w:tr>
      <w:tr>
        <w:tc>
          <w:tcPr>
            <w:vAlign w:val="center"/>
          </w:tcPr>
          <w:p>
            <w:pPr>
              <w:jc w:val="center"/>
            </w:pPr>
            <w:r>
              <w:rPr>
                <w:color w:val="000000"/>
                <w:sz w:val="24"/>
              </w:rPr>
              <w:t>24</w:t>
            </w:r>
          </w:p>
        </w:tc>
        <w:tc>
          <w:tcPr>
            <w:vAlign w:val="center"/>
          </w:tcPr>
          <w:p>
            <w:pPr>
              <w:jc w:val="center"/>
            </w:pPr>
            <w:r>
              <w:rPr>
                <w:color w:val="000000"/>
                <w:sz w:val="24"/>
              </w:rPr>
              <w:t>128018</w:t>
            </w:r>
          </w:p>
        </w:tc>
        <w:tc>
          <w:tcPr>
            <w:vAlign w:val="center"/>
          </w:tcPr>
          <w:p>
            <w:pPr>
              <w:jc w:val="center"/>
            </w:pPr>
            <w:r>
              <w:rPr>
                <w:color w:val="000000"/>
                <w:sz w:val="24"/>
              </w:rPr>
              <w:t>时达转债</w:t>
            </w:r>
          </w:p>
        </w:tc>
        <w:tc>
          <w:tcPr>
            <w:vAlign w:val="center"/>
          </w:tcPr>
          <w:p>
            <w:pPr>
              <w:jc w:val="right"/>
            </w:pPr>
            <w:r>
              <w:rPr>
                <w:color w:val="000000"/>
                <w:sz w:val="24"/>
              </w:rPr>
              <w:t>353,543.20</w:t>
            </w:r>
          </w:p>
        </w:tc>
        <w:tc>
          <w:tcPr>
            <w:vAlign w:val="center"/>
          </w:tcPr>
          <w:p>
            <w:pPr>
              <w:jc w:val="right"/>
            </w:pPr>
            <w:r>
              <w:rPr>
                <w:color w:val="000000"/>
                <w:sz w:val="24"/>
              </w:rPr>
              <w:t>0.29</w:t>
            </w:r>
          </w:p>
        </w:tc>
      </w:tr>
      <w:tr>
        <w:tc>
          <w:tcPr>
            <w:vAlign w:val="center"/>
          </w:tcPr>
          <w:p>
            <w:pPr>
              <w:jc w:val="center"/>
            </w:pPr>
            <w:r>
              <w:rPr>
                <w:color w:val="000000"/>
                <w:sz w:val="24"/>
              </w:rPr>
              <w:t>25</w:t>
            </w:r>
          </w:p>
        </w:tc>
        <w:tc>
          <w:tcPr>
            <w:vAlign w:val="center"/>
          </w:tcPr>
          <w:p>
            <w:pPr>
              <w:jc w:val="center"/>
            </w:pPr>
            <w:r>
              <w:rPr>
                <w:color w:val="000000"/>
                <w:sz w:val="24"/>
              </w:rPr>
              <w:t>123029</w:t>
            </w:r>
          </w:p>
        </w:tc>
        <w:tc>
          <w:tcPr>
            <w:vAlign w:val="center"/>
          </w:tcPr>
          <w:p>
            <w:pPr>
              <w:jc w:val="center"/>
            </w:pPr>
            <w:r>
              <w:rPr>
                <w:color w:val="000000"/>
                <w:sz w:val="24"/>
              </w:rPr>
              <w:t>英科转债</w:t>
            </w:r>
          </w:p>
        </w:tc>
        <w:tc>
          <w:tcPr>
            <w:vAlign w:val="center"/>
          </w:tcPr>
          <w:p>
            <w:pPr>
              <w:jc w:val="right"/>
            </w:pPr>
            <w:r>
              <w:rPr>
                <w:color w:val="000000"/>
                <w:sz w:val="24"/>
              </w:rPr>
              <w:t>295,870.50</w:t>
            </w:r>
          </w:p>
        </w:tc>
        <w:tc>
          <w:tcPr>
            <w:vAlign w:val="center"/>
          </w:tcPr>
          <w:p>
            <w:pPr>
              <w:jc w:val="right"/>
            </w:pPr>
            <w:r>
              <w:rPr>
                <w:color w:val="000000"/>
                <w:sz w:val="24"/>
              </w:rPr>
              <w:t>0.25</w:t>
            </w:r>
          </w:p>
        </w:tc>
      </w:tr>
      <w:tr>
        <w:tc>
          <w:tcPr>
            <w:vAlign w:val="center"/>
          </w:tcPr>
          <w:p>
            <w:pPr>
              <w:jc w:val="center"/>
            </w:pPr>
            <w:r>
              <w:rPr>
                <w:color w:val="000000"/>
                <w:sz w:val="24"/>
              </w:rPr>
              <w:t>26</w:t>
            </w:r>
          </w:p>
        </w:tc>
        <w:tc>
          <w:tcPr>
            <w:vAlign w:val="center"/>
          </w:tcPr>
          <w:p>
            <w:pPr>
              <w:jc w:val="center"/>
            </w:pPr>
            <w:r>
              <w:rPr>
                <w:color w:val="000000"/>
                <w:sz w:val="24"/>
              </w:rPr>
              <w:t>128074</w:t>
            </w:r>
          </w:p>
        </w:tc>
        <w:tc>
          <w:tcPr>
            <w:vAlign w:val="center"/>
          </w:tcPr>
          <w:p>
            <w:pPr>
              <w:jc w:val="center"/>
            </w:pPr>
            <w:r>
              <w:rPr>
                <w:color w:val="000000"/>
                <w:sz w:val="24"/>
              </w:rPr>
              <w:t>游族转债</w:t>
            </w:r>
          </w:p>
        </w:tc>
        <w:tc>
          <w:tcPr>
            <w:vAlign w:val="center"/>
          </w:tcPr>
          <w:p>
            <w:pPr>
              <w:jc w:val="right"/>
            </w:pPr>
            <w:r>
              <w:rPr>
                <w:color w:val="000000"/>
                <w:sz w:val="24"/>
              </w:rPr>
              <w:t>270,471.00</w:t>
            </w:r>
          </w:p>
        </w:tc>
        <w:tc>
          <w:tcPr>
            <w:vAlign w:val="center"/>
          </w:tcPr>
          <w:p>
            <w:pPr>
              <w:jc w:val="right"/>
            </w:pPr>
            <w:r>
              <w:rPr>
                <w:color w:val="000000"/>
                <w:sz w:val="24"/>
              </w:rPr>
              <w:t>0.23</w:t>
            </w:r>
          </w:p>
        </w:tc>
      </w:tr>
      <w:tr>
        <w:tc>
          <w:tcPr>
            <w:vAlign w:val="center"/>
          </w:tcPr>
          <w:p>
            <w:pPr>
              <w:jc w:val="center"/>
            </w:pPr>
            <w:r>
              <w:rPr>
                <w:color w:val="000000"/>
                <w:sz w:val="24"/>
              </w:rPr>
              <w:t>27</w:t>
            </w:r>
          </w:p>
        </w:tc>
        <w:tc>
          <w:tcPr>
            <w:vAlign w:val="center"/>
          </w:tcPr>
          <w:p>
            <w:pPr>
              <w:jc w:val="center"/>
            </w:pPr>
            <w:r>
              <w:rPr>
                <w:color w:val="000000"/>
                <w:sz w:val="24"/>
              </w:rPr>
              <w:t>128017</w:t>
            </w:r>
          </w:p>
        </w:tc>
        <w:tc>
          <w:tcPr>
            <w:vAlign w:val="center"/>
          </w:tcPr>
          <w:p>
            <w:pPr>
              <w:jc w:val="center"/>
            </w:pPr>
            <w:r>
              <w:rPr>
                <w:color w:val="000000"/>
                <w:sz w:val="24"/>
              </w:rPr>
              <w:t>金禾转债</w:t>
            </w:r>
          </w:p>
        </w:tc>
        <w:tc>
          <w:tcPr>
            <w:vAlign w:val="center"/>
          </w:tcPr>
          <w:p>
            <w:pPr>
              <w:jc w:val="right"/>
            </w:pPr>
            <w:r>
              <w:rPr>
                <w:color w:val="000000"/>
                <w:sz w:val="24"/>
              </w:rPr>
              <w:t>234,981.60</w:t>
            </w:r>
          </w:p>
        </w:tc>
        <w:tc>
          <w:tcPr>
            <w:vAlign w:val="center"/>
          </w:tcPr>
          <w:p>
            <w:pPr>
              <w:jc w:val="right"/>
            </w:pPr>
            <w:r>
              <w:rPr>
                <w:color w:val="000000"/>
                <w:sz w:val="24"/>
              </w:rPr>
              <w:t>0.20</w:t>
            </w:r>
          </w:p>
        </w:tc>
      </w:tr>
      <w:tr>
        <w:tc>
          <w:tcPr>
            <w:vAlign w:val="center"/>
          </w:tcPr>
          <w:p>
            <w:pPr>
              <w:jc w:val="center"/>
            </w:pPr>
            <w:r>
              <w:rPr>
                <w:color w:val="000000"/>
                <w:sz w:val="24"/>
              </w:rPr>
              <w:t>28</w:t>
            </w:r>
          </w:p>
        </w:tc>
        <w:tc>
          <w:tcPr>
            <w:vAlign w:val="center"/>
          </w:tcPr>
          <w:p>
            <w:pPr>
              <w:jc w:val="center"/>
            </w:pPr>
            <w:r>
              <w:rPr>
                <w:color w:val="000000"/>
                <w:sz w:val="24"/>
              </w:rPr>
              <w:t>110031</w:t>
            </w:r>
          </w:p>
        </w:tc>
        <w:tc>
          <w:tcPr>
            <w:vAlign w:val="center"/>
          </w:tcPr>
          <w:p>
            <w:pPr>
              <w:jc w:val="center"/>
            </w:pPr>
            <w:r>
              <w:rPr>
                <w:color w:val="000000"/>
                <w:sz w:val="24"/>
              </w:rPr>
              <w:t>航信转债</w:t>
            </w:r>
          </w:p>
        </w:tc>
        <w:tc>
          <w:tcPr>
            <w:vAlign w:val="center"/>
          </w:tcPr>
          <w:p>
            <w:pPr>
              <w:jc w:val="right"/>
            </w:pPr>
            <w:r>
              <w:rPr>
                <w:color w:val="000000"/>
                <w:sz w:val="24"/>
              </w:rPr>
              <w:t>231,920.50</w:t>
            </w:r>
          </w:p>
        </w:tc>
        <w:tc>
          <w:tcPr>
            <w:vAlign w:val="center"/>
          </w:tcPr>
          <w:p>
            <w:pPr>
              <w:jc w:val="right"/>
            </w:pPr>
            <w:r>
              <w:rPr>
                <w:color w:val="000000"/>
                <w:sz w:val="24"/>
              </w:rPr>
              <w:t>0.19</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易方达裕鑫债券A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易方达裕鑫债券C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17,634,765.16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81,359,741.77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9,490,327.83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1,113,915.05</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4,344,138.33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6,667,021.27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22,780,954.66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75,806,635.55</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50,373,642.31</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50,373,642.31</w:t>
            </w:r>
          </w:p>
        </w:tc>
        <w:tc>
          <w:tcPr>
            <w:vAlign w:val="center"/>
          </w:tcPr>
          <w:p>
            <w:pPr>
              <w:jc w:val="center"/>
            </w:pPr>
            <w:r>
              <w:rPr>
                <w:sz w:val="24"/>
              </w:rPr>
              <w:t>51.10%</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1.中国证监会准予易方达裕鑫债券型证券投资基金注册的文件；</w:t>
      </w:r>
    </w:p>
    <w:p>
      <w:pPr>
        <w:spacing w:line="360" w:lineRule="auto"/>
        <w:ind w:firstLine="480" w:firstLineChars="200"/>
        <w:rPr>
          <w:color w:val="000000"/>
          <w:sz w:val="24"/>
        </w:rPr>
      </w:pPr>
      <w:r>
        <w:rPr>
          <w:color w:val="000000"/>
          <w:sz w:val="24"/>
        </w:rPr>
        <w:t>2.《易方达裕鑫债券型证券投资基金基金合同》；</w:t>
      </w:r>
    </w:p>
    <w:p>
      <w:pPr>
        <w:spacing w:line="360" w:lineRule="auto"/>
        <w:ind w:firstLine="480" w:firstLineChars="200"/>
        <w:rPr>
          <w:color w:val="000000"/>
          <w:sz w:val="24"/>
        </w:rPr>
      </w:pPr>
      <w:r>
        <w:rPr>
          <w:color w:val="000000"/>
          <w:sz w:val="24"/>
        </w:rPr>
        <w:t>3.《易方达裕鑫债券型证券投资基金托管协议》；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易方达裕鑫债券型证券投资基金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