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易方达供给改革灵活配置混合型证券投资基金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易方达供给改革混合</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002910</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002910</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2017年1月25日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65,297,330.60</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本基金在控制风险的前提下，追求超越业绩比较基准的投资回报。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基于定量与定性相结合的宏观及市场分析，确定组合中股票、债券等资产类别的配置比例。在行业配置方面，本基金将自上而下地综合考虑经济周期、产业发展规律、产业政策等因素，进行股票资产在与供给改革主题相关或受益的行业间的配置。在个股选择方面，本基金将精选与供给改革主题相关的受益于创新红利、制度红利和落后产能淘汰、产能优化重组的相关上市公司。在债券投资方面，本基金将通过类属配置与券种选择两个层次进行投资管理。</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沪深300 指数收益率×65%+中债新综合财富指数收益率×35%</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本基金为混合型基金，理论上其预期风险与预期收益水平低于股票型基金，高于债券型基金和货币市场基金。</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5,223,179.64</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15,443,731.95</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0.2169</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82,056,977.43</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1.2567</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21.44%</w:t>
            </w:r>
          </w:p>
        </w:tc>
        <w:tc>
          <w:tcPr>
            <w:vAlign w:val="center"/>
          </w:tcPr>
          <w:p>
            <w:pPr>
              <w:jc w:val="center"/>
            </w:pPr>
            <w:r>
              <w:rPr>
                <w:color w:val="000000"/>
                <w:kern w:val="0"/>
                <w:sz w:val="24"/>
                <w:szCs w:val="24"/>
              </w:rPr>
              <w:t>0.95%</w:t>
            </w:r>
          </w:p>
        </w:tc>
        <w:tc>
          <w:tcPr>
            <w:vAlign w:val="center"/>
          </w:tcPr>
          <w:p>
            <w:pPr>
              <w:jc w:val="center"/>
            </w:pPr>
            <w:r>
              <w:rPr>
                <w:color w:val="000000"/>
                <w:kern w:val="0"/>
                <w:sz w:val="24"/>
                <w:szCs w:val="24"/>
              </w:rPr>
              <w:t>8.35%</w:t>
            </w:r>
          </w:p>
        </w:tc>
        <w:tc>
          <w:tcPr>
            <w:vAlign w:val="center"/>
          </w:tcPr>
          <w:p>
            <w:pPr>
              <w:jc w:val="center"/>
            </w:pPr>
            <w:r>
              <w:rPr>
                <w:color w:val="000000"/>
                <w:kern w:val="0"/>
                <w:sz w:val="24"/>
                <w:szCs w:val="24"/>
              </w:rPr>
              <w:t>0.58%</w:t>
            </w:r>
          </w:p>
        </w:tc>
        <w:tc>
          <w:tcPr>
            <w:vAlign w:val="center"/>
          </w:tcPr>
          <w:p>
            <w:pPr>
              <w:jc w:val="center"/>
            </w:pPr>
            <w:r>
              <w:rPr>
                <w:color w:val="000000"/>
                <w:kern w:val="0"/>
                <w:sz w:val="24"/>
                <w:szCs w:val="24"/>
              </w:rPr>
              <w:t>13.09%</w:t>
            </w:r>
          </w:p>
        </w:tc>
        <w:tc>
          <w:tcPr>
            <w:vAlign w:val="center"/>
          </w:tcPr>
          <w:p>
            <w:pPr>
              <w:jc w:val="center"/>
            </w:pPr>
            <w:r>
              <w:rPr>
                <w:color w:val="000000"/>
                <w:kern w:val="0"/>
                <w:sz w:val="24"/>
                <w:szCs w:val="24"/>
              </w:rPr>
              <w:t>0.37%</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30.50%</w:t>
            </w:r>
          </w:p>
        </w:tc>
        <w:tc>
          <w:tcPr>
            <w:vAlign w:val="center"/>
          </w:tcPr>
          <w:p>
            <w:pPr>
              <w:jc w:val="center"/>
            </w:pPr>
            <w:r>
              <w:rPr>
                <w:color w:val="000000"/>
                <w:kern w:val="0"/>
                <w:sz w:val="24"/>
                <w:szCs w:val="24"/>
              </w:rPr>
              <w:t>1.60%</w:t>
            </w:r>
          </w:p>
        </w:tc>
        <w:tc>
          <w:tcPr>
            <w:vAlign w:val="center"/>
          </w:tcPr>
          <w:p>
            <w:pPr>
              <w:jc w:val="center"/>
            </w:pPr>
            <w:r>
              <w:rPr>
                <w:color w:val="000000"/>
                <w:kern w:val="0"/>
                <w:sz w:val="24"/>
                <w:szCs w:val="24"/>
              </w:rPr>
              <w:t>1.89%</w:t>
            </w:r>
          </w:p>
        </w:tc>
        <w:tc>
          <w:tcPr>
            <w:vAlign w:val="center"/>
          </w:tcPr>
          <w:p>
            <w:pPr>
              <w:jc w:val="center"/>
            </w:pPr>
            <w:r>
              <w:rPr>
                <w:color w:val="000000"/>
                <w:kern w:val="0"/>
                <w:sz w:val="24"/>
                <w:szCs w:val="24"/>
              </w:rPr>
              <w:t>0.97%</w:t>
            </w:r>
          </w:p>
        </w:tc>
        <w:tc>
          <w:tcPr>
            <w:vAlign w:val="center"/>
          </w:tcPr>
          <w:p>
            <w:pPr>
              <w:jc w:val="center"/>
            </w:pPr>
            <w:r>
              <w:rPr>
                <w:color w:val="000000"/>
                <w:kern w:val="0"/>
                <w:sz w:val="24"/>
                <w:szCs w:val="24"/>
              </w:rPr>
              <w:t>28.61%</w:t>
            </w:r>
          </w:p>
        </w:tc>
        <w:tc>
          <w:tcPr>
            <w:vAlign w:val="center"/>
          </w:tcPr>
          <w:p>
            <w:pPr>
              <w:jc w:val="center"/>
            </w:pPr>
            <w:r>
              <w:rPr>
                <w:color w:val="000000"/>
                <w:kern w:val="0"/>
                <w:sz w:val="24"/>
                <w:szCs w:val="24"/>
              </w:rPr>
              <w:t>0.63%</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53.67%</w:t>
            </w:r>
          </w:p>
        </w:tc>
        <w:tc>
          <w:tcPr>
            <w:vAlign w:val="center"/>
          </w:tcPr>
          <w:p>
            <w:pPr>
              <w:jc w:val="center"/>
            </w:pPr>
            <w:r>
              <w:rPr>
                <w:color w:val="000000"/>
                <w:kern w:val="0"/>
                <w:sz w:val="24"/>
                <w:szCs w:val="24"/>
              </w:rPr>
              <w:t>1.31%</w:t>
            </w:r>
          </w:p>
        </w:tc>
        <w:tc>
          <w:tcPr>
            <w:vAlign w:val="center"/>
          </w:tcPr>
          <w:p>
            <w:pPr>
              <w:jc w:val="center"/>
            </w:pPr>
            <w:r>
              <w:rPr>
                <w:color w:val="000000"/>
                <w:kern w:val="0"/>
                <w:sz w:val="24"/>
                <w:szCs w:val="24"/>
              </w:rPr>
              <w:t>7.54%</w:t>
            </w:r>
          </w:p>
        </w:tc>
        <w:tc>
          <w:tcPr>
            <w:vAlign w:val="center"/>
          </w:tcPr>
          <w:p>
            <w:pPr>
              <w:jc w:val="center"/>
            </w:pPr>
            <w:r>
              <w:rPr>
                <w:color w:val="000000"/>
                <w:kern w:val="0"/>
                <w:sz w:val="24"/>
                <w:szCs w:val="24"/>
              </w:rPr>
              <w:t>0.78%</w:t>
            </w:r>
          </w:p>
        </w:tc>
        <w:tc>
          <w:tcPr>
            <w:vAlign w:val="center"/>
          </w:tcPr>
          <w:p>
            <w:pPr>
              <w:jc w:val="center"/>
            </w:pPr>
            <w:r>
              <w:rPr>
                <w:color w:val="000000"/>
                <w:kern w:val="0"/>
                <w:sz w:val="24"/>
                <w:szCs w:val="24"/>
              </w:rPr>
              <w:t>46.13%</w:t>
            </w:r>
          </w:p>
        </w:tc>
        <w:tc>
          <w:tcPr>
            <w:vAlign w:val="center"/>
          </w:tcPr>
          <w:p>
            <w:pPr>
              <w:jc w:val="center"/>
            </w:pPr>
            <w:r>
              <w:rPr>
                <w:color w:val="000000"/>
                <w:kern w:val="0"/>
                <w:sz w:val="24"/>
                <w:szCs w:val="24"/>
              </w:rPr>
              <w:t>0.53%</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32.27%</w:t>
            </w:r>
          </w:p>
        </w:tc>
        <w:tc>
          <w:tcPr>
            <w:vAlign w:val="center"/>
          </w:tcPr>
          <w:p>
            <w:pPr>
              <w:jc w:val="center"/>
            </w:pPr>
            <w:r>
              <w:rPr>
                <w:color w:val="000000"/>
                <w:kern w:val="0"/>
                <w:sz w:val="24"/>
                <w:szCs w:val="24"/>
              </w:rPr>
              <w:t>1.46%</w:t>
            </w:r>
          </w:p>
        </w:tc>
        <w:tc>
          <w:tcPr>
            <w:vAlign w:val="center"/>
          </w:tcPr>
          <w:p>
            <w:pPr>
              <w:jc w:val="center"/>
            </w:pPr>
            <w:r>
              <w:rPr>
                <w:color w:val="000000"/>
                <w:kern w:val="0"/>
                <w:sz w:val="24"/>
                <w:szCs w:val="24"/>
              </w:rPr>
              <w:t>14.50%</w:t>
            </w:r>
          </w:p>
        </w:tc>
        <w:tc>
          <w:tcPr>
            <w:vAlign w:val="center"/>
          </w:tcPr>
          <w:p>
            <w:pPr>
              <w:jc w:val="center"/>
            </w:pPr>
            <w:r>
              <w:rPr>
                <w:color w:val="000000"/>
                <w:kern w:val="0"/>
                <w:sz w:val="24"/>
                <w:szCs w:val="24"/>
              </w:rPr>
              <w:t>0.81%</w:t>
            </w:r>
          </w:p>
        </w:tc>
        <w:tc>
          <w:tcPr>
            <w:vAlign w:val="center"/>
          </w:tcPr>
          <w:p>
            <w:pPr>
              <w:jc w:val="center"/>
            </w:pPr>
            <w:r>
              <w:rPr>
                <w:color w:val="000000"/>
                <w:kern w:val="0"/>
                <w:sz w:val="24"/>
                <w:szCs w:val="24"/>
              </w:rPr>
              <w:t>17.77%</w:t>
            </w:r>
          </w:p>
        </w:tc>
        <w:tc>
          <w:tcPr>
            <w:vAlign w:val="center"/>
          </w:tcPr>
          <w:p>
            <w:pPr>
              <w:jc w:val="center"/>
            </w:pPr>
            <w:r>
              <w:rPr>
                <w:color w:val="000000"/>
                <w:kern w:val="0"/>
                <w:sz w:val="24"/>
                <w:szCs w:val="24"/>
              </w:rPr>
              <w:t>0.65%</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25.67%</w:t>
            </w:r>
          </w:p>
        </w:tc>
        <w:tc>
          <w:tcPr>
            <w:vAlign w:val="center"/>
          </w:tcPr>
          <w:p>
            <w:pPr>
              <w:jc w:val="center"/>
            </w:pPr>
            <w:r>
              <w:rPr>
                <w:color w:val="000000"/>
                <w:kern w:val="0"/>
                <w:sz w:val="24"/>
                <w:szCs w:val="24"/>
              </w:rPr>
              <w:t>1.39%</w:t>
            </w:r>
          </w:p>
        </w:tc>
        <w:tc>
          <w:tcPr>
            <w:vAlign w:val="center"/>
          </w:tcPr>
          <w:p>
            <w:pPr>
              <w:jc w:val="center"/>
            </w:pPr>
            <w:r>
              <w:rPr>
                <w:color w:val="000000"/>
                <w:kern w:val="0"/>
                <w:sz w:val="24"/>
                <w:szCs w:val="24"/>
              </w:rPr>
              <w:t>21.15%</w:t>
            </w:r>
          </w:p>
        </w:tc>
        <w:tc>
          <w:tcPr>
            <w:vAlign w:val="center"/>
          </w:tcPr>
          <w:p>
            <w:pPr>
              <w:jc w:val="center"/>
            </w:pPr>
            <w:r>
              <w:rPr>
                <w:color w:val="000000"/>
                <w:kern w:val="0"/>
                <w:sz w:val="24"/>
                <w:szCs w:val="24"/>
              </w:rPr>
              <w:t>0.77%</w:t>
            </w:r>
          </w:p>
        </w:tc>
        <w:tc>
          <w:tcPr>
            <w:vAlign w:val="center"/>
          </w:tcPr>
          <w:p>
            <w:pPr>
              <w:jc w:val="center"/>
            </w:pPr>
            <w:r>
              <w:rPr>
                <w:color w:val="000000"/>
                <w:kern w:val="0"/>
                <w:sz w:val="24"/>
                <w:szCs w:val="24"/>
              </w:rPr>
              <w:t>4.52%</w:t>
            </w:r>
          </w:p>
        </w:tc>
        <w:tc>
          <w:tcPr>
            <w:vAlign w:val="center"/>
          </w:tcPr>
          <w:p>
            <w:pPr>
              <w:jc w:val="center"/>
            </w:pPr>
            <w:r>
              <w:rPr>
                <w:color w:val="000000"/>
                <w:kern w:val="0"/>
                <w:sz w:val="24"/>
                <w:szCs w:val="24"/>
              </w:rPr>
              <w:t>0.62%</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易方达供给改革灵活配置混合型证券投资基金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2017年1月25日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注：自基金合同生效至报告期末，基金份额净值增长率为25.67% ，同期业绩比较基准收益率为21.15%。</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兰传杰</w:t>
            </w:r>
          </w:p>
        </w:tc>
        <w:tc>
          <w:tcPr>
            <w:vAlign w:val="center"/>
          </w:tcPr>
          <w:p>
            <w:pPr>
              <w:jc w:val="left"/>
            </w:pPr>
            <w:r>
              <w:rPr>
                <w:color w:val="000000"/>
                <w:sz w:val="24"/>
              </w:rPr>
              <w:t>本基金的基金经理、易方达资源行业混合型证券投资基金的基金经理、宏观策略研究员</w:t>
            </w:r>
          </w:p>
        </w:tc>
        <w:tc>
          <w:tcPr>
            <w:vAlign w:val="center"/>
          </w:tcPr>
          <w:p>
            <w:pPr>
              <w:jc w:val="center"/>
            </w:pPr>
            <w:r>
              <w:rPr>
                <w:color w:val="000000"/>
                <w:sz w:val="24"/>
              </w:rPr>
              <w:t>2018-12-25</w:t>
            </w:r>
          </w:p>
        </w:tc>
        <w:tc>
          <w:tcPr>
            <w:vAlign w:val="center"/>
          </w:tcPr>
          <w:p>
            <w:pPr>
              <w:jc w:val="center"/>
            </w:pPr>
            <w:r>
              <w:rPr>
                <w:color w:val="000000"/>
                <w:sz w:val="24"/>
              </w:rPr>
              <w:t>-</w:t>
            </w:r>
          </w:p>
        </w:tc>
        <w:tc>
          <w:tcPr>
            <w:vAlign w:val="center"/>
          </w:tcPr>
          <w:p>
            <w:pPr>
              <w:jc w:val="center"/>
            </w:pPr>
            <w:r>
              <w:rPr>
                <w:color w:val="000000"/>
                <w:sz w:val="24"/>
              </w:rPr>
              <w:t>7年</w:t>
            </w:r>
          </w:p>
        </w:tc>
        <w:tc>
          <w:tcPr>
            <w:vAlign w:val="center"/>
          </w:tcPr>
          <w:p>
            <w:pPr>
              <w:jc w:val="both"/>
            </w:pPr>
            <w:r>
              <w:rPr>
                <w:color w:val="000000"/>
                <w:sz w:val="24"/>
              </w:rPr>
              <w:t>硕士研究生，具有基金从业资格。曾任北京市星石投资管理有限公司周期投资部研究员。</w:t>
            </w:r>
          </w:p>
        </w:tc>
      </w:tr>
      <w:tr>
        <w:tc>
          <w:tcPr>
            <w:vAlign w:val="center"/>
          </w:tcPr>
          <w:p>
            <w:pPr>
              <w:jc w:val="center"/>
            </w:pPr>
            <w:r>
              <w:rPr>
                <w:color w:val="000000"/>
                <w:sz w:val="24"/>
              </w:rPr>
              <w:t>杨宗昌</w:t>
            </w:r>
          </w:p>
        </w:tc>
        <w:tc>
          <w:tcPr>
            <w:vAlign w:val="center"/>
          </w:tcPr>
          <w:p>
            <w:pPr>
              <w:jc w:val="left"/>
            </w:pPr>
            <w:r>
              <w:rPr>
                <w:color w:val="000000"/>
                <w:sz w:val="24"/>
              </w:rPr>
              <w:t>本基金的基金经理、易方达新丝路灵活配置混合型证券投资基金的基金经理助理、行业研究员</w:t>
            </w:r>
          </w:p>
        </w:tc>
        <w:tc>
          <w:tcPr>
            <w:vAlign w:val="center"/>
          </w:tcPr>
          <w:p>
            <w:pPr>
              <w:jc w:val="center"/>
            </w:pPr>
            <w:r>
              <w:rPr>
                <w:color w:val="000000"/>
                <w:sz w:val="24"/>
              </w:rPr>
              <w:t>2019-04-23</w:t>
            </w:r>
          </w:p>
        </w:tc>
        <w:tc>
          <w:tcPr>
            <w:vAlign w:val="center"/>
          </w:tcPr>
          <w:p>
            <w:pPr>
              <w:jc w:val="center"/>
            </w:pPr>
            <w:r>
              <w:rPr>
                <w:color w:val="000000"/>
                <w:sz w:val="24"/>
              </w:rPr>
              <w:t>-</w:t>
            </w:r>
          </w:p>
        </w:tc>
        <w:tc>
          <w:tcPr>
            <w:vAlign w:val="center"/>
          </w:tcPr>
          <w:p>
            <w:pPr>
              <w:jc w:val="center"/>
            </w:pPr>
            <w:r>
              <w:rPr>
                <w:color w:val="000000"/>
                <w:sz w:val="24"/>
              </w:rPr>
              <w:t>6年</w:t>
            </w:r>
          </w:p>
        </w:tc>
        <w:tc>
          <w:tcPr>
            <w:vAlign w:val="center"/>
          </w:tcPr>
          <w:p>
            <w:pPr>
              <w:jc w:val="both"/>
            </w:pPr>
            <w:r>
              <w:rPr>
                <w:color w:val="000000"/>
                <w:sz w:val="24"/>
              </w:rPr>
              <w:t>博士研究生，具有基金从业资格。</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 年二季度，随着全球主要国家政府的救市政策见效，宏观经济预期有所改善，国内疫情逐渐受到控制，市场二季度实现单边上涨，上证指数涨幅8.52%，深证成指涨幅20.38%，创业板指上涨30.25%。</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虽然疫情存在反复可能，宏观经济等外部环境时有波动，但供给侧优化一直在进行。本基金持续关注供给侧有竞争优势、估值合理的标的。本基金股票仓位在二季度逐步恢复至此前水平，并保持相对稳定。配置上，在坚定持有竞争优势明确、估值合理的个股基础上，在二季度末逐渐加大了对估值较低的周期板块的配置。个股配置比例上，坚持持有优势企业，并根据基本面变化调整了个股的持仓比例。</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截至报告期末，本基金份额净值为1.2567元，本报告期份额净值增长率为21.44%，同期业绩比较基准收益率为8.35%。</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75,484,693.46</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88.47</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75,484,693.46</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88.47</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8,306,003.34</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9.73</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1,535,041.27</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1.80</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85,325,738.07</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773,946.00</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0.94</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74,685,883.57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91.02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12,766.32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12,097.57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75,484,693.46</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91.99</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600486</w:t>
            </w:r>
          </w:p>
        </w:tc>
        <w:tc>
          <w:tcPr>
            <w:vAlign w:val="center"/>
          </w:tcPr>
          <w:p>
            <w:pPr>
              <w:jc w:val="center"/>
            </w:pPr>
            <w:r>
              <w:rPr>
                <w:color w:val="000000"/>
                <w:kern w:val="0"/>
                <w:sz w:val="24"/>
                <w:szCs w:val="24"/>
              </w:rPr>
              <w:t>扬农化工</w:t>
            </w:r>
          </w:p>
        </w:tc>
        <w:tc>
          <w:tcPr>
            <w:vAlign w:val="center"/>
          </w:tcPr>
          <w:p>
            <w:pPr>
              <w:jc w:val="right"/>
            </w:pPr>
            <w:r>
              <w:rPr>
                <w:color w:val="000000"/>
                <w:kern w:val="0"/>
                <w:sz w:val="24"/>
                <w:szCs w:val="24"/>
              </w:rPr>
              <w:t>77,275</w:t>
            </w:r>
          </w:p>
        </w:tc>
        <w:tc>
          <w:tcPr>
            <w:vAlign w:val="center"/>
          </w:tcPr>
          <w:p>
            <w:pPr>
              <w:jc w:val="right"/>
            </w:pPr>
            <w:r>
              <w:rPr>
                <w:color w:val="000000"/>
                <w:kern w:val="0"/>
                <w:sz w:val="24"/>
                <w:szCs w:val="24"/>
              </w:rPr>
              <w:t>6,375,187.50</w:t>
            </w:r>
          </w:p>
        </w:tc>
        <w:tc>
          <w:tcPr>
            <w:vAlign w:val="center"/>
          </w:tcPr>
          <w:p>
            <w:pPr>
              <w:jc w:val="right"/>
            </w:pPr>
            <w:r>
              <w:rPr>
                <w:color w:val="000000"/>
                <w:kern w:val="0"/>
                <w:sz w:val="24"/>
                <w:szCs w:val="24"/>
              </w:rPr>
              <w:t>7.77</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002597</w:t>
            </w:r>
          </w:p>
        </w:tc>
        <w:tc>
          <w:tcPr>
            <w:vAlign w:val="center"/>
          </w:tcPr>
          <w:p>
            <w:pPr>
              <w:jc w:val="center"/>
            </w:pPr>
            <w:r>
              <w:rPr>
                <w:color w:val="000000"/>
                <w:kern w:val="0"/>
                <w:sz w:val="24"/>
                <w:szCs w:val="24"/>
              </w:rPr>
              <w:t>金禾实业</w:t>
            </w:r>
          </w:p>
        </w:tc>
        <w:tc>
          <w:tcPr>
            <w:vAlign w:val="center"/>
          </w:tcPr>
          <w:p>
            <w:pPr>
              <w:jc w:val="right"/>
            </w:pPr>
            <w:r>
              <w:rPr>
                <w:color w:val="000000"/>
                <w:kern w:val="0"/>
                <w:sz w:val="24"/>
                <w:szCs w:val="24"/>
              </w:rPr>
              <w:t>215,700</w:t>
            </w:r>
          </w:p>
        </w:tc>
        <w:tc>
          <w:tcPr>
            <w:vAlign w:val="center"/>
          </w:tcPr>
          <w:p>
            <w:pPr>
              <w:jc w:val="right"/>
            </w:pPr>
            <w:r>
              <w:rPr>
                <w:color w:val="000000"/>
                <w:kern w:val="0"/>
                <w:sz w:val="24"/>
                <w:szCs w:val="24"/>
              </w:rPr>
              <w:t>4,954,629.00</w:t>
            </w:r>
          </w:p>
        </w:tc>
        <w:tc>
          <w:tcPr>
            <w:vAlign w:val="center"/>
          </w:tcPr>
          <w:p>
            <w:pPr>
              <w:jc w:val="right"/>
            </w:pPr>
            <w:r>
              <w:rPr>
                <w:color w:val="000000"/>
                <w:kern w:val="0"/>
                <w:sz w:val="24"/>
                <w:szCs w:val="24"/>
              </w:rPr>
              <w:t>6.04</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002648</w:t>
            </w:r>
          </w:p>
        </w:tc>
        <w:tc>
          <w:tcPr>
            <w:vAlign w:val="center"/>
          </w:tcPr>
          <w:p>
            <w:pPr>
              <w:jc w:val="center"/>
            </w:pPr>
            <w:r>
              <w:rPr>
                <w:color w:val="000000"/>
                <w:kern w:val="0"/>
                <w:sz w:val="24"/>
                <w:szCs w:val="24"/>
              </w:rPr>
              <w:t>卫星石化</w:t>
            </w:r>
          </w:p>
        </w:tc>
        <w:tc>
          <w:tcPr>
            <w:vAlign w:val="center"/>
          </w:tcPr>
          <w:p>
            <w:pPr>
              <w:jc w:val="right"/>
            </w:pPr>
            <w:r>
              <w:rPr>
                <w:color w:val="000000"/>
                <w:kern w:val="0"/>
                <w:sz w:val="24"/>
                <w:szCs w:val="24"/>
              </w:rPr>
              <w:t>297,200</w:t>
            </w:r>
          </w:p>
        </w:tc>
        <w:tc>
          <w:tcPr>
            <w:vAlign w:val="center"/>
          </w:tcPr>
          <w:p>
            <w:pPr>
              <w:jc w:val="right"/>
            </w:pPr>
            <w:r>
              <w:rPr>
                <w:color w:val="000000"/>
                <w:kern w:val="0"/>
                <w:sz w:val="24"/>
                <w:szCs w:val="24"/>
              </w:rPr>
              <w:t>4,835,444.00</w:t>
            </w:r>
          </w:p>
        </w:tc>
        <w:tc>
          <w:tcPr>
            <w:vAlign w:val="center"/>
          </w:tcPr>
          <w:p>
            <w:pPr>
              <w:jc w:val="right"/>
            </w:pPr>
            <w:r>
              <w:rPr>
                <w:color w:val="000000"/>
                <w:kern w:val="0"/>
                <w:sz w:val="24"/>
                <w:szCs w:val="24"/>
              </w:rPr>
              <w:t>5.89</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002258</w:t>
            </w:r>
          </w:p>
        </w:tc>
        <w:tc>
          <w:tcPr>
            <w:vAlign w:val="center"/>
          </w:tcPr>
          <w:p>
            <w:pPr>
              <w:jc w:val="center"/>
            </w:pPr>
            <w:r>
              <w:rPr>
                <w:color w:val="000000"/>
                <w:kern w:val="0"/>
                <w:sz w:val="24"/>
                <w:szCs w:val="24"/>
              </w:rPr>
              <w:t>利尔化学</w:t>
            </w:r>
          </w:p>
        </w:tc>
        <w:tc>
          <w:tcPr>
            <w:vAlign w:val="center"/>
          </w:tcPr>
          <w:p>
            <w:pPr>
              <w:jc w:val="right"/>
            </w:pPr>
            <w:r>
              <w:rPr>
                <w:color w:val="000000"/>
                <w:kern w:val="0"/>
                <w:sz w:val="24"/>
                <w:szCs w:val="24"/>
              </w:rPr>
              <w:t>267,600</w:t>
            </w:r>
          </w:p>
        </w:tc>
        <w:tc>
          <w:tcPr>
            <w:vAlign w:val="center"/>
          </w:tcPr>
          <w:p>
            <w:pPr>
              <w:jc w:val="right"/>
            </w:pPr>
            <w:r>
              <w:rPr>
                <w:color w:val="000000"/>
                <w:kern w:val="0"/>
                <w:sz w:val="24"/>
                <w:szCs w:val="24"/>
              </w:rPr>
              <w:t>4,771,308.00</w:t>
            </w:r>
          </w:p>
        </w:tc>
        <w:tc>
          <w:tcPr>
            <w:vAlign w:val="center"/>
          </w:tcPr>
          <w:p>
            <w:pPr>
              <w:jc w:val="right"/>
            </w:pPr>
            <w:r>
              <w:rPr>
                <w:color w:val="000000"/>
                <w:kern w:val="0"/>
                <w:sz w:val="24"/>
                <w:szCs w:val="24"/>
              </w:rPr>
              <w:t>5.81</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000902</w:t>
            </w:r>
          </w:p>
        </w:tc>
        <w:tc>
          <w:tcPr>
            <w:vAlign w:val="center"/>
          </w:tcPr>
          <w:p>
            <w:pPr>
              <w:jc w:val="center"/>
            </w:pPr>
            <w:r>
              <w:rPr>
                <w:color w:val="000000"/>
                <w:kern w:val="0"/>
                <w:sz w:val="24"/>
                <w:szCs w:val="24"/>
              </w:rPr>
              <w:t>新洋丰</w:t>
            </w:r>
          </w:p>
        </w:tc>
        <w:tc>
          <w:tcPr>
            <w:vAlign w:val="center"/>
          </w:tcPr>
          <w:p>
            <w:pPr>
              <w:jc w:val="right"/>
            </w:pPr>
            <w:r>
              <w:rPr>
                <w:color w:val="000000"/>
                <w:kern w:val="0"/>
                <w:sz w:val="24"/>
                <w:szCs w:val="24"/>
              </w:rPr>
              <w:t>509,457</w:t>
            </w:r>
          </w:p>
        </w:tc>
        <w:tc>
          <w:tcPr>
            <w:vAlign w:val="center"/>
          </w:tcPr>
          <w:p>
            <w:pPr>
              <w:jc w:val="right"/>
            </w:pPr>
            <w:r>
              <w:rPr>
                <w:color w:val="000000"/>
                <w:kern w:val="0"/>
                <w:sz w:val="24"/>
                <w:szCs w:val="24"/>
              </w:rPr>
              <w:t>4,503,599.88</w:t>
            </w:r>
          </w:p>
        </w:tc>
        <w:tc>
          <w:tcPr>
            <w:vAlign w:val="center"/>
          </w:tcPr>
          <w:p>
            <w:pPr>
              <w:jc w:val="right"/>
            </w:pPr>
            <w:r>
              <w:rPr>
                <w:color w:val="000000"/>
                <w:kern w:val="0"/>
                <w:sz w:val="24"/>
                <w:szCs w:val="24"/>
              </w:rPr>
              <w:t>5.49</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600409</w:t>
            </w:r>
          </w:p>
        </w:tc>
        <w:tc>
          <w:tcPr>
            <w:vAlign w:val="center"/>
          </w:tcPr>
          <w:p>
            <w:pPr>
              <w:jc w:val="center"/>
            </w:pPr>
            <w:r>
              <w:rPr>
                <w:color w:val="000000"/>
                <w:kern w:val="0"/>
                <w:sz w:val="24"/>
                <w:szCs w:val="24"/>
              </w:rPr>
              <w:t>三友化工</w:t>
            </w:r>
          </w:p>
        </w:tc>
        <w:tc>
          <w:tcPr>
            <w:vAlign w:val="center"/>
          </w:tcPr>
          <w:p>
            <w:pPr>
              <w:jc w:val="right"/>
            </w:pPr>
            <w:r>
              <w:rPr>
                <w:color w:val="000000"/>
                <w:kern w:val="0"/>
                <w:sz w:val="24"/>
                <w:szCs w:val="24"/>
              </w:rPr>
              <w:t>894,900</w:t>
            </w:r>
          </w:p>
        </w:tc>
        <w:tc>
          <w:tcPr>
            <w:vAlign w:val="center"/>
          </w:tcPr>
          <w:p>
            <w:pPr>
              <w:jc w:val="right"/>
            </w:pPr>
            <w:r>
              <w:rPr>
                <w:color w:val="000000"/>
                <w:kern w:val="0"/>
                <w:sz w:val="24"/>
                <w:szCs w:val="24"/>
              </w:rPr>
              <w:t>4,170,234.00</w:t>
            </w:r>
          </w:p>
        </w:tc>
        <w:tc>
          <w:tcPr>
            <w:vAlign w:val="center"/>
          </w:tcPr>
          <w:p>
            <w:pPr>
              <w:jc w:val="right"/>
            </w:pPr>
            <w:r>
              <w:rPr>
                <w:color w:val="000000"/>
                <w:kern w:val="0"/>
                <w:sz w:val="24"/>
                <w:szCs w:val="24"/>
              </w:rPr>
              <w:t>5.08</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002734</w:t>
            </w:r>
          </w:p>
        </w:tc>
        <w:tc>
          <w:tcPr>
            <w:vAlign w:val="center"/>
          </w:tcPr>
          <w:p>
            <w:pPr>
              <w:jc w:val="center"/>
            </w:pPr>
            <w:r>
              <w:rPr>
                <w:color w:val="000000"/>
                <w:kern w:val="0"/>
                <w:sz w:val="24"/>
                <w:szCs w:val="24"/>
              </w:rPr>
              <w:t>利民股份</w:t>
            </w:r>
          </w:p>
        </w:tc>
        <w:tc>
          <w:tcPr>
            <w:vAlign w:val="center"/>
          </w:tcPr>
          <w:p>
            <w:pPr>
              <w:jc w:val="right"/>
            </w:pPr>
            <w:r>
              <w:rPr>
                <w:color w:val="000000"/>
                <w:kern w:val="0"/>
                <w:sz w:val="24"/>
                <w:szCs w:val="24"/>
              </w:rPr>
              <w:t>266,620</w:t>
            </w:r>
          </w:p>
        </w:tc>
        <w:tc>
          <w:tcPr>
            <w:vAlign w:val="center"/>
          </w:tcPr>
          <w:p>
            <w:pPr>
              <w:jc w:val="right"/>
            </w:pPr>
            <w:r>
              <w:rPr>
                <w:color w:val="000000"/>
                <w:kern w:val="0"/>
                <w:sz w:val="24"/>
                <w:szCs w:val="24"/>
              </w:rPr>
              <w:t>3,991,301.40</w:t>
            </w:r>
          </w:p>
        </w:tc>
        <w:tc>
          <w:tcPr>
            <w:vAlign w:val="center"/>
          </w:tcPr>
          <w:p>
            <w:pPr>
              <w:jc w:val="right"/>
            </w:pPr>
            <w:r>
              <w:rPr>
                <w:color w:val="000000"/>
                <w:kern w:val="0"/>
                <w:sz w:val="24"/>
                <w:szCs w:val="24"/>
              </w:rPr>
              <w:t>4.86</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603378</w:t>
            </w:r>
          </w:p>
        </w:tc>
        <w:tc>
          <w:tcPr>
            <w:vAlign w:val="center"/>
          </w:tcPr>
          <w:p>
            <w:pPr>
              <w:jc w:val="center"/>
            </w:pPr>
            <w:r>
              <w:rPr>
                <w:color w:val="000000"/>
                <w:kern w:val="0"/>
                <w:sz w:val="24"/>
                <w:szCs w:val="24"/>
              </w:rPr>
              <w:t>亚士创能</w:t>
            </w:r>
          </w:p>
        </w:tc>
        <w:tc>
          <w:tcPr>
            <w:vAlign w:val="center"/>
          </w:tcPr>
          <w:p>
            <w:pPr>
              <w:jc w:val="right"/>
            </w:pPr>
            <w:r>
              <w:rPr>
                <w:color w:val="000000"/>
                <w:kern w:val="0"/>
                <w:sz w:val="24"/>
                <w:szCs w:val="24"/>
              </w:rPr>
              <w:t>81,400</w:t>
            </w:r>
          </w:p>
        </w:tc>
        <w:tc>
          <w:tcPr>
            <w:vAlign w:val="center"/>
          </w:tcPr>
          <w:p>
            <w:pPr>
              <w:jc w:val="right"/>
            </w:pPr>
            <w:r>
              <w:rPr>
                <w:color w:val="000000"/>
                <w:kern w:val="0"/>
                <w:sz w:val="24"/>
                <w:szCs w:val="24"/>
              </w:rPr>
              <w:t>3,561,250.00</w:t>
            </w:r>
          </w:p>
        </w:tc>
        <w:tc>
          <w:tcPr>
            <w:vAlign w:val="center"/>
          </w:tcPr>
          <w:p>
            <w:pPr>
              <w:jc w:val="right"/>
            </w:pPr>
            <w:r>
              <w:rPr>
                <w:color w:val="000000"/>
                <w:kern w:val="0"/>
                <w:sz w:val="24"/>
                <w:szCs w:val="24"/>
              </w:rPr>
              <w:t>4.34</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600309</w:t>
            </w:r>
          </w:p>
        </w:tc>
        <w:tc>
          <w:tcPr>
            <w:vAlign w:val="center"/>
          </w:tcPr>
          <w:p>
            <w:pPr>
              <w:jc w:val="center"/>
            </w:pPr>
            <w:r>
              <w:rPr>
                <w:color w:val="000000"/>
                <w:kern w:val="0"/>
                <w:sz w:val="24"/>
                <w:szCs w:val="24"/>
              </w:rPr>
              <w:t>万华化学</w:t>
            </w:r>
          </w:p>
        </w:tc>
        <w:tc>
          <w:tcPr>
            <w:vAlign w:val="center"/>
          </w:tcPr>
          <w:p>
            <w:pPr>
              <w:jc w:val="right"/>
            </w:pPr>
            <w:r>
              <w:rPr>
                <w:color w:val="000000"/>
                <w:kern w:val="0"/>
                <w:sz w:val="24"/>
                <w:szCs w:val="24"/>
              </w:rPr>
              <w:t>68,500</w:t>
            </w:r>
          </w:p>
        </w:tc>
        <w:tc>
          <w:tcPr>
            <w:vAlign w:val="center"/>
          </w:tcPr>
          <w:p>
            <w:pPr>
              <w:jc w:val="right"/>
            </w:pPr>
            <w:r>
              <w:rPr>
                <w:color w:val="000000"/>
                <w:kern w:val="0"/>
                <w:sz w:val="24"/>
                <w:szCs w:val="24"/>
              </w:rPr>
              <w:t>3,424,315.00</w:t>
            </w:r>
          </w:p>
        </w:tc>
        <w:tc>
          <w:tcPr>
            <w:vAlign w:val="center"/>
          </w:tcPr>
          <w:p>
            <w:pPr>
              <w:jc w:val="right"/>
            </w:pPr>
            <w:r>
              <w:rPr>
                <w:color w:val="000000"/>
                <w:kern w:val="0"/>
                <w:sz w:val="24"/>
                <w:szCs w:val="24"/>
              </w:rPr>
              <w:t>4.17</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002250</w:t>
            </w:r>
          </w:p>
        </w:tc>
        <w:tc>
          <w:tcPr>
            <w:vAlign w:val="center"/>
          </w:tcPr>
          <w:p>
            <w:pPr>
              <w:jc w:val="center"/>
            </w:pPr>
            <w:r>
              <w:rPr>
                <w:color w:val="000000"/>
                <w:kern w:val="0"/>
                <w:sz w:val="24"/>
                <w:szCs w:val="24"/>
              </w:rPr>
              <w:t>联化科技</w:t>
            </w:r>
          </w:p>
        </w:tc>
        <w:tc>
          <w:tcPr>
            <w:vAlign w:val="center"/>
          </w:tcPr>
          <w:p>
            <w:pPr>
              <w:jc w:val="right"/>
            </w:pPr>
            <w:r>
              <w:rPr>
                <w:color w:val="000000"/>
                <w:kern w:val="0"/>
                <w:sz w:val="24"/>
                <w:szCs w:val="24"/>
              </w:rPr>
              <w:t>105,600</w:t>
            </w:r>
          </w:p>
        </w:tc>
        <w:tc>
          <w:tcPr>
            <w:vAlign w:val="center"/>
          </w:tcPr>
          <w:p>
            <w:pPr>
              <w:jc w:val="right"/>
            </w:pPr>
            <w:r>
              <w:rPr>
                <w:color w:val="000000"/>
                <w:kern w:val="0"/>
                <w:sz w:val="24"/>
                <w:szCs w:val="24"/>
              </w:rPr>
              <w:t>2,302,080.00</w:t>
            </w:r>
          </w:p>
        </w:tc>
        <w:tc>
          <w:tcPr>
            <w:vAlign w:val="center"/>
          </w:tcPr>
          <w:p>
            <w:pPr>
              <w:jc w:val="right"/>
            </w:pPr>
            <w:r>
              <w:rPr>
                <w:color w:val="000000"/>
                <w:kern w:val="0"/>
                <w:sz w:val="24"/>
                <w:szCs w:val="24"/>
              </w:rPr>
              <w:t>2.81</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p w:rsidP="00403A06" w:rsidR="00750D48" w:rsidRDefault="00CA4677"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16,057.23</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414,427.32</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1,084.97</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1,103,471.75</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1,535,041.27</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66,199,621.33</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41,508,972.65</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42,411,263.38</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65,297,330.60</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1.中国证监会准予易方达供给改革灵活配置混合型证券投资基金注册的文件；</w:t>
      </w:r>
    </w:p>
    <w:p>
      <w:pPr>
        <w:spacing w:line="360" w:lineRule="auto"/>
        <w:ind w:firstLine="480" w:firstLineChars="200"/>
        <w:rPr>
          <w:color w:val="000000"/>
          <w:sz w:val="24"/>
          <w:szCs w:val="24"/>
        </w:rPr>
      </w:pPr>
      <w:r>
        <w:rPr>
          <w:color w:val="000000"/>
          <w:sz w:val="24"/>
          <w:szCs w:val="24"/>
        </w:rPr>
        <w:t>2.《易方达供给改革灵活配置混合型证券投资基金基金合同》；</w:t>
      </w:r>
    </w:p>
    <w:p>
      <w:pPr>
        <w:spacing w:line="360" w:lineRule="auto"/>
        <w:ind w:firstLine="480" w:firstLineChars="200"/>
        <w:rPr>
          <w:color w:val="000000"/>
          <w:sz w:val="24"/>
          <w:szCs w:val="24"/>
        </w:rPr>
      </w:pPr>
      <w:r>
        <w:rPr>
          <w:color w:val="000000"/>
          <w:sz w:val="24"/>
          <w:szCs w:val="24"/>
        </w:rPr>
        <w:t>3.《易方达供给改革灵活配置混合型证券投资基金托管协议》；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易方达供给改革灵活配置混合型证券投资基金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