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易方达丰惠混合型证券投资基金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易方达丰惠混合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002602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002602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2017年3月24日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696,674,789.45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本基金主要投资于固定收益类资产，并通过较灵活的资产配置，通过积极主动的投资管理，力争实现基金资产的长期稳健增值。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密切关注宏观经济走势，深入分析货币和财政政策、国家产业政策以及资本市场资金环境、证券市场走势等，综合考量各类资产的市场容量、市场流动性和风险收益特征等因素，在固定收益类资产和权益类资产等资产类别之间进行动态配置，确定资产的最优配置比例。本基金在债券投资上主要通过久期配置、类属配置、期限结构配置和个券选择四个层次进行投资管理。本基金将适度参与股票资产投资。本基金股票投资部分主要采取“自下而上”的投资策略，精选优质企业进行投资。本基金将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沪深300指数收益率×25%+中债新综合指数收益率×70%+金融机构人民币活期存款基准利率（税后）×5%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1,476,357.24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116,680.43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0.0005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737,947,033.64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1.059</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0.28%</w:t>
            </w:r>
          </w:p>
        </w:tc>
        <w:tc>
          <w:tcPr>
            <w:vAlign w:val="center"/>
          </w:tcPr>
          <w:p>
            <w:pPr>
              <w:jc w:val="center"/>
            </w:pPr>
            <w:r>
              <w:rPr>
                <w:color w:val="000000"/>
                <w:kern w:val="0"/>
                <w:sz w:val="24"/>
                <w:szCs w:val="24"/>
              </w:rPr>
              <w:t>0.35%</w:t>
            </w:r>
          </w:p>
        </w:tc>
        <w:tc>
          <w:tcPr>
            <w:vAlign w:val="center"/>
          </w:tcPr>
          <w:p>
            <w:pPr>
              <w:jc w:val="center"/>
            </w:pPr>
            <w:r>
              <w:rPr>
                <w:color w:val="000000"/>
                <w:kern w:val="0"/>
                <w:sz w:val="24"/>
                <w:szCs w:val="24"/>
              </w:rPr>
              <w:t>2.98%</w:t>
            </w:r>
          </w:p>
        </w:tc>
        <w:tc>
          <w:tcPr>
            <w:vAlign w:val="center"/>
          </w:tcPr>
          <w:p>
            <w:pPr>
              <w:jc w:val="center"/>
            </w:pPr>
            <w:r>
              <w:rPr>
                <w:color w:val="000000"/>
                <w:kern w:val="0"/>
                <w:sz w:val="24"/>
                <w:szCs w:val="24"/>
              </w:rPr>
              <w:t>0.24%</w:t>
            </w:r>
          </w:p>
        </w:tc>
        <w:tc>
          <w:tcPr>
            <w:vAlign w:val="center"/>
          </w:tcPr>
          <w:p>
            <w:pPr>
              <w:jc w:val="center"/>
            </w:pPr>
            <w:r>
              <w:rPr>
                <w:color w:val="000000"/>
                <w:kern w:val="0"/>
                <w:sz w:val="24"/>
                <w:szCs w:val="24"/>
              </w:rPr>
              <w:t>-2.70%</w:t>
            </w:r>
          </w:p>
        </w:tc>
        <w:tc>
          <w:tcPr>
            <w:vAlign w:val="center"/>
          </w:tcPr>
          <w:p>
            <w:pPr>
              <w:jc w:val="center"/>
            </w:pPr>
            <w:r>
              <w:rPr>
                <w:color w:val="000000"/>
                <w:kern w:val="0"/>
                <w:sz w:val="24"/>
                <w:szCs w:val="24"/>
              </w:rPr>
              <w:t>0.11%</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-7.02%</w:t>
            </w:r>
          </w:p>
        </w:tc>
        <w:tc>
          <w:tcPr>
            <w:vAlign w:val="center"/>
          </w:tcPr>
          <w:p>
            <w:pPr>
              <w:jc w:val="center"/>
            </w:pPr>
            <w:r>
              <w:rPr>
                <w:color w:val="000000"/>
                <w:kern w:val="0"/>
                <w:sz w:val="24"/>
                <w:szCs w:val="24"/>
              </w:rPr>
              <w:t>0.81%</w:t>
            </w:r>
          </w:p>
        </w:tc>
        <w:tc>
          <w:tcPr>
            <w:vAlign w:val="center"/>
          </w:tcPr>
          <w:p>
            <w:pPr>
              <w:jc w:val="center"/>
            </w:pPr>
            <w:r>
              <w:rPr>
                <w:color w:val="000000"/>
                <w:kern w:val="0"/>
                <w:sz w:val="24"/>
                <w:szCs w:val="24"/>
              </w:rPr>
              <w:t>2.33%</w:t>
            </w:r>
          </w:p>
        </w:tc>
        <w:tc>
          <w:tcPr>
            <w:vAlign w:val="center"/>
          </w:tcPr>
          <w:p>
            <w:pPr>
              <w:jc w:val="center"/>
            </w:pPr>
            <w:r>
              <w:rPr>
                <w:color w:val="000000"/>
                <w:kern w:val="0"/>
                <w:sz w:val="24"/>
                <w:szCs w:val="24"/>
              </w:rPr>
              <w:t>0.36%</w:t>
            </w:r>
          </w:p>
        </w:tc>
        <w:tc>
          <w:tcPr>
            <w:vAlign w:val="center"/>
          </w:tcPr>
          <w:p>
            <w:pPr>
              <w:jc w:val="center"/>
            </w:pPr>
            <w:r>
              <w:rPr>
                <w:color w:val="000000"/>
                <w:kern w:val="0"/>
                <w:sz w:val="24"/>
                <w:szCs w:val="24"/>
              </w:rPr>
              <w:t>-9.35%</w:t>
            </w:r>
          </w:p>
        </w:tc>
        <w:tc>
          <w:tcPr>
            <w:vAlign w:val="center"/>
          </w:tcPr>
          <w:p>
            <w:pPr>
              <w:jc w:val="center"/>
            </w:pPr>
            <w:r>
              <w:rPr>
                <w:color w:val="000000"/>
                <w:kern w:val="0"/>
                <w:sz w:val="24"/>
                <w:szCs w:val="24"/>
              </w:rPr>
              <w:t>0.45%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5.27%</w:t>
            </w:r>
          </w:p>
        </w:tc>
        <w:tc>
          <w:tcPr>
            <w:vAlign w:val="center"/>
          </w:tcPr>
          <w:p>
            <w:pPr>
              <w:jc w:val="center"/>
            </w:pPr>
            <w:r>
              <w:rPr>
                <w:color w:val="000000"/>
                <w:kern w:val="0"/>
                <w:sz w:val="24"/>
                <w:szCs w:val="24"/>
              </w:rPr>
              <w:t>0.70%</w:t>
            </w:r>
          </w:p>
        </w:tc>
        <w:tc>
          <w:tcPr>
            <w:vAlign w:val="center"/>
          </w:tcPr>
          <w:p>
            <w:pPr>
              <w:jc w:val="center"/>
            </w:pPr>
            <w:r>
              <w:rPr>
                <w:color w:val="000000"/>
                <w:kern w:val="0"/>
                <w:sz w:val="24"/>
                <w:szCs w:val="24"/>
              </w:rPr>
              <w:t>6.17%</w:t>
            </w:r>
          </w:p>
        </w:tc>
        <w:tc>
          <w:tcPr>
            <w:vAlign w:val="center"/>
          </w:tcPr>
          <w:p>
            <w:pPr>
              <w:jc w:val="center"/>
            </w:pPr>
            <w:r>
              <w:rPr>
                <w:color w:val="000000"/>
                <w:kern w:val="0"/>
                <w:sz w:val="24"/>
                <w:szCs w:val="24"/>
              </w:rPr>
              <w:t>0.29%</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0.41%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4.75%</w:t>
            </w:r>
          </w:p>
        </w:tc>
        <w:tc>
          <w:tcPr>
            <w:vAlign w:val="center"/>
          </w:tcPr>
          <w:p>
            <w:pPr>
              <w:jc w:val="center"/>
            </w:pPr>
            <w:r>
              <w:rPr>
                <w:color w:val="000000"/>
                <w:kern w:val="0"/>
                <w:sz w:val="24"/>
                <w:szCs w:val="24"/>
              </w:rPr>
              <w:t>0.68%</w:t>
            </w:r>
          </w:p>
        </w:tc>
        <w:tc>
          <w:tcPr>
            <w:vAlign w:val="center"/>
          </w:tcPr>
          <w:p>
            <w:pPr>
              <w:jc w:val="center"/>
            </w:pPr>
            <w:r>
              <w:rPr>
                <w:color w:val="000000"/>
                <w:kern w:val="0"/>
                <w:sz w:val="24"/>
                <w:szCs w:val="24"/>
              </w:rPr>
              <w:t>16.06%</w:t>
            </w:r>
          </w:p>
        </w:tc>
        <w:tc>
          <w:tcPr>
            <w:vAlign w:val="center"/>
          </w:tcPr>
          <w:p>
            <w:pPr>
              <w:jc w:val="center"/>
            </w:pPr>
            <w:r>
              <w:rPr>
                <w:color w:val="000000"/>
                <w:kern w:val="0"/>
                <w:sz w:val="24"/>
                <w:szCs w:val="24"/>
              </w:rPr>
              <w:t>0.30%</w:t>
            </w:r>
          </w:p>
        </w:tc>
        <w:tc>
          <w:tcPr>
            <w:vAlign w:val="center"/>
          </w:tcPr>
          <w:p>
            <w:pPr>
              <w:jc w:val="center"/>
            </w:pPr>
            <w:r>
              <w:rPr>
                <w:color w:val="000000"/>
                <w:kern w:val="0"/>
                <w:sz w:val="24"/>
                <w:szCs w:val="24"/>
              </w:rPr>
              <w:t>-11.31%</w:t>
            </w:r>
          </w:p>
        </w:tc>
        <w:tc>
          <w:tcPr>
            <w:vAlign w:val="center"/>
          </w:tcPr>
          <w:p>
            <w:pPr>
              <w:jc w:val="center"/>
            </w:pPr>
            <w:r>
              <w:rPr>
                <w:color w:val="000000"/>
                <w:kern w:val="0"/>
                <w:sz w:val="24"/>
                <w:szCs w:val="24"/>
              </w:rPr>
              <w:t>0.38%</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5.90%</w:t>
            </w:r>
          </w:p>
        </w:tc>
        <w:tc>
          <w:tcPr>
            <w:vAlign w:val="center"/>
          </w:tcPr>
          <w:p>
            <w:pPr>
              <w:jc w:val="center"/>
            </w:pPr>
            <w:r>
              <w:rPr>
                <w:color w:val="000000"/>
                <w:kern w:val="0"/>
                <w:sz w:val="24"/>
                <w:szCs w:val="24"/>
              </w:rPr>
              <w:t>0.65%</w:t>
            </w:r>
          </w:p>
        </w:tc>
        <w:tc>
          <w:tcPr>
            <w:vAlign w:val="center"/>
          </w:tcPr>
          <w:p>
            <w:pPr>
              <w:jc w:val="center"/>
            </w:pPr>
            <w:r>
              <w:rPr>
                <w:color w:val="000000"/>
                <w:kern w:val="0"/>
                <w:sz w:val="24"/>
                <w:szCs w:val="24"/>
              </w:rPr>
              <w:t>18.17%</w:t>
            </w:r>
          </w:p>
        </w:tc>
        <w:tc>
          <w:tcPr>
            <w:vAlign w:val="center"/>
          </w:tcPr>
          <w:p>
            <w:pPr>
              <w:jc w:val="center"/>
            </w:pPr>
            <w:r>
              <w:rPr>
                <w:color w:val="000000"/>
                <w:kern w:val="0"/>
                <w:sz w:val="24"/>
                <w:szCs w:val="24"/>
              </w:rPr>
              <w:t>0.30%</w:t>
            </w:r>
          </w:p>
        </w:tc>
        <w:tc>
          <w:tcPr>
            <w:vAlign w:val="center"/>
          </w:tcPr>
          <w:p>
            <w:pPr>
              <w:jc w:val="center"/>
            </w:pPr>
            <w:r>
              <w:rPr>
                <w:color w:val="000000"/>
                <w:kern w:val="0"/>
                <w:sz w:val="24"/>
                <w:szCs w:val="24"/>
              </w:rPr>
              <w:t>-12.27%</w:t>
            </w:r>
          </w:p>
        </w:tc>
        <w:tc>
          <w:tcPr>
            <w:vAlign w:val="center"/>
          </w:tcPr>
          <w:p>
            <w:pPr>
              <w:jc w:val="center"/>
            </w:pPr>
            <w:r>
              <w:rPr>
                <w:color w:val="000000"/>
                <w:kern w:val="0"/>
                <w:sz w:val="24"/>
                <w:szCs w:val="24"/>
              </w:rPr>
              <w:t>0.35%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易方达丰惠混合型证券投资基金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2017年3月24日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注：自基金合同生效至报告期末，基金份额净值增长率为5.90%，同期业绩比较基准收益率为18.17%。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裕惠回报定期开放式混合型发起式证券投资基金的基金经理、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3-5年期国债指数证券投资基金的基金经理、易方达中债7-10年期国开行债券指数证券投资基金的基金经理、固定收益研究部总经理、固定收益投资部总经理</w:t>
            </w:r>
          </w:p>
        </w:tc>
        <w:tc>
          <w:tcPr>
            <w:vAlign w:val="center"/>
          </w:tcPr>
          <w:p>
            <w:pPr>
              <w:jc w:val="center"/>
            </w:pPr>
            <w:r>
              <w:rPr>
                <w:color w:val="000000"/>
                <w:sz w:val="24"/>
              </w:rPr>
              <w:t>2017-03-24</w:t>
            </w:r>
          </w:p>
        </w:tc>
        <w:tc>
          <w:tcPr>
            <w:vAlign w:val="center"/>
          </w:tcPr>
          <w:p>
            <w:pPr>
              <w:jc w:val="center"/>
            </w:pPr>
            <w:r>
              <w:rPr>
                <w:color w:val="000000"/>
                <w:sz w:val="24"/>
              </w:rPr>
              <w:t>2020-06-09</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瑞兴灵活配置混合型证券投资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祥灵活配置混合型证券投资基金的基金经理、易方达瑞智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新收益灵活配置混合型证券投资基金的基金经理助理</w:t>
            </w:r>
          </w:p>
        </w:tc>
        <w:tc>
          <w:tcPr>
            <w:vAlign w:val="center"/>
          </w:tcPr>
          <w:p>
            <w:pPr>
              <w:jc w:val="center"/>
            </w:pPr>
            <w:r>
              <w:rPr>
                <w:color w:val="000000"/>
                <w:sz w:val="24"/>
              </w:rPr>
              <w:t>2020-05-28</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无损害基金份额持有人利益的行为。在本报告期内，本基金因市场波动出现过持有一家公司发行的流通受限证券超过基金资产净值的10%的情况，后已及时调整。</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组合二季度规模有较大增长。操作上，债券方面，组合增加信用债配置，维持较高的杠杆和中性的久期水平，整体按照票息策略的偏绝对收益操作思路为主。权益方面，大幅降低转债仓位水平，维持股票仓位水平，持仓以高分红、低估值、较高ROE的优质个股为主。</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截至报告期末，本基金份额净值为1.059元，本报告期份额净值增长率为0.28%，同期业绩比较基准收益率为2.98%。</w:t>
      </w:r>
    </w:p>
    <w:p w:rsidP="00D62BEE" w:rsidR="00D62BEE" w:rsidRDefault="00D62BEE" w:rsidRPr="00701A03">
      <w:pPr>
        <w:autoSpaceDE w:val="0"/>
        <w:autoSpaceDN w:val="0"/>
        <w:adjustRightInd w:val="0"/>
        <w:spacing w:line="360" w:lineRule="auto"/>
        <w:jc w:val="left"/>
        <w:rPr>
          <w:rFonts w:ascii="宋体" w:cs="Arial" w:hAnsi="宋体"/>
          <w:b/>
          <w:color w:val="000000"/>
          <w:kern w:val="0"/>
          <w:sz w:val="24"/>
        </w:rPr>
      </w:pPr>
      <w:r w:rsidRPr="00701A03">
        <w:rPr>
          <w:rFonts w:ascii="宋体" w:cs="Arial" w:hAnsi="宋体"/>
          <w:b/>
          <w:color w:val="000000"/>
          <w:kern w:val="0"/>
          <w:sz w:val="24"/>
        </w:rPr>
        <w:t/>
      </w:r>
      <w:proofErr w:type="spellStart"/>
      <w:r w:rsidRPr="00701A03">
        <w:rPr>
          <w:rFonts w:ascii="宋体" w:cs="Arial" w:hAnsi="宋体"/>
          <w:b/>
          <w:color w:val="000000"/>
          <w:kern w:val="0"/>
          <w:sz w:val="24"/>
        </w:rPr>
        <w:t/>
      </w:r>
      <w:proofErr w:type="spellEnd"/>
      <w:r w:rsidRPr="00701A03">
        <w:rPr>
          <w:rFonts w:ascii="宋体" w:cs="Arial" w:hAnsi="宋体"/>
          <w:b/>
          <w:color w:val="000000"/>
          <w:kern w:val="0"/>
          <w:sz w:val="24"/>
        </w:rPr>
        <w:t>4</w:t>
      </w:r>
      <w:r w:rsidRPr="00701A03">
        <w:rPr>
          <w:rFonts w:ascii="宋体" w:cs="Arial" w:hAnsi="宋体" w:hint="eastAsia"/>
          <w:b/>
          <w:color w:val="000000"/>
          <w:kern w:val="0"/>
          <w:sz w:val="24"/>
        </w:rPr>
        <w:t>.</w:t>
      </w:r>
      <w:r w:rsidR="004A4D5B">
        <w:rPr>
          <w:rFonts w:ascii="宋体" w:cs="Arial" w:hAnsi="宋体" w:hint="eastAsia"/>
          <w:b/>
          <w:color w:val="000000"/>
          <w:kern w:val="0"/>
          <w:sz w:val="24"/>
        </w:rPr>
        <w:t/>
      </w:r>
      <w:r w:rsidRPr="00701A03">
        <w:rPr>
          <w:rFonts w:ascii="宋体" w:cs="Arial" w:hAnsi="宋体" w:hint="eastAsia"/>
          <w:b/>
          <w:color w:val="000000"/>
          <w:kern w:val="0"/>
          <w:sz w:val="24"/>
        </w:rPr>
        <w:t>5报告期内基金持有人数或基金资产净值预警说明</w:t>
      </w:r>
    </w:p>
    <w:p>
      <w:pPr>
        <w:spacing w:line="360" w:lineRule="auto"/>
        <w:ind w:firstLine="480" w:firstLineChars="200"/>
        <w:rPr>
          <w:color w:val="000000"/>
          <w:sz w:val="24"/>
          <w:szCs w:val="24"/>
        </w:rPr>
      </w:pPr>
      <w:r>
        <w:rPr>
          <w:color w:val="000000"/>
          <w:sz w:val="24"/>
          <w:szCs w:val="24"/>
        </w:rPr>
        <w:t>自本报告期初至2020年5月29日，本基金均存在连续二十个工作日基金资产净值低于五千万元的情形。</w:t>
      </w:r>
    </w:p>
    <w:p w:rsidP="00D62BEE" w:rsidR="00D62BEE" w:rsidRDefault="00D62BEE" w:rsidRPr="006C56AA">
      <w:pPr>
        <w:spacing w:line="360" w:lineRule="auto"/>
        <w:ind w:firstLine="480" w:firstLineChars="200"/>
        <w:rPr>
          <w:color w:val="000000"/>
          <w:sz w:val="24"/>
          <w:szCs w:val="24"/>
        </w:rPr>
      </w:pPr>
      <w:r w:rsidRPr="0006661F">
        <w:rPr>
          <w:color w:val="000000"/>
          <w:sz w:val="24"/>
          <w:szCs w:val="24"/>
        </w:rPr>
        <w:t>自2020年4月16日至2020年5月29日，本基金均存在连续六十个工作日基金资产净值低于五千万元的情形。鉴于基金资产净值的下滑主要受市场环境影响，本基金将继续运作。</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126,515,743.51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13.63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126,515,743.51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13.63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709,132,346.12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76.40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680,132,346.12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73.28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29,000,000.00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3.12</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3,062,007.09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0.33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89,414,340.15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9.63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928,124,436.87</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6,537,464.00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0.89</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68,576,735.94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7,942,624.00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1.08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2,341,593.00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10,154,195.00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1.38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1,581,511.57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0.21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14,809,066.00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13,390,934.00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1,181,620.00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126,515,743.51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17.14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2,910</w:t>
            </w:r>
          </w:p>
        </w:tc>
        <w:tc>
          <w:tcPr>
            <w:vAlign w:val="center"/>
          </w:tcPr>
          <w:p>
            <w:pPr>
              <w:jc w:val="right"/>
            </w:pPr>
            <w:r>
              <w:rPr>
                <w:color w:val="000000"/>
                <w:kern w:val="0"/>
                <w:sz w:val="24"/>
                <w:szCs w:val="24"/>
              </w:rPr>
              <w:t>4,256,980.80</w:t>
            </w:r>
          </w:p>
        </w:tc>
        <w:tc>
          <w:tcPr>
            <w:vAlign w:val="center"/>
          </w:tcPr>
          <w:p>
            <w:pPr>
              <w:jc w:val="right"/>
            </w:pPr>
            <w:r>
              <w:rPr>
                <w:color w:val="000000"/>
                <w:kern w:val="0"/>
                <w:sz w:val="24"/>
                <w:szCs w:val="24"/>
              </w:rPr>
              <w:t>0.58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603806</w:t>
            </w:r>
          </w:p>
        </w:tc>
        <w:tc>
          <w:tcPr>
            <w:vAlign w:val="center"/>
          </w:tcPr>
          <w:p>
            <w:pPr>
              <w:jc w:val="center"/>
            </w:pPr>
            <w:r>
              <w:rPr>
                <w:color w:val="000000"/>
                <w:kern w:val="0"/>
                <w:sz w:val="24"/>
                <w:szCs w:val="24"/>
              </w:rPr>
              <w:t>福斯特</w:t>
            </w:r>
          </w:p>
        </w:tc>
        <w:tc>
          <w:tcPr>
            <w:vAlign w:val="center"/>
          </w:tcPr>
          <w:p>
            <w:pPr>
              <w:jc w:val="right"/>
            </w:pPr>
            <w:r>
              <w:rPr>
                <w:color w:val="000000"/>
                <w:kern w:val="0"/>
                <w:sz w:val="24"/>
                <w:szCs w:val="24"/>
              </w:rPr>
              <w:t>78,424</w:t>
            </w:r>
          </w:p>
        </w:tc>
        <w:tc>
          <w:tcPr>
            <w:vAlign w:val="center"/>
          </w:tcPr>
          <w:p>
            <w:pPr>
              <w:jc w:val="right"/>
            </w:pPr>
            <w:r>
              <w:rPr>
                <w:color w:val="000000"/>
                <w:kern w:val="0"/>
                <w:sz w:val="24"/>
                <w:szCs w:val="24"/>
              </w:rPr>
              <w:t>3,914,141.84</w:t>
            </w:r>
          </w:p>
        </w:tc>
        <w:tc>
          <w:tcPr>
            <w:vAlign w:val="center"/>
          </w:tcPr>
          <w:p>
            <w:pPr>
              <w:jc w:val="right"/>
            </w:pPr>
            <w:r>
              <w:rPr>
                <w:color w:val="000000"/>
                <w:kern w:val="0"/>
                <w:sz w:val="24"/>
                <w:szCs w:val="24"/>
              </w:rPr>
              <w:t>0.53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19,100</w:t>
            </w:r>
          </w:p>
        </w:tc>
        <w:tc>
          <w:tcPr>
            <w:vAlign w:val="center"/>
          </w:tcPr>
          <w:p>
            <w:pPr>
              <w:jc w:val="right"/>
            </w:pPr>
            <w:r>
              <w:rPr>
                <w:color w:val="000000"/>
                <w:kern w:val="0"/>
                <w:sz w:val="24"/>
                <w:szCs w:val="24"/>
              </w:rPr>
              <w:t>3,268,392.00</w:t>
            </w:r>
          </w:p>
        </w:tc>
        <w:tc>
          <w:tcPr>
            <w:vAlign w:val="center"/>
          </w:tcPr>
          <w:p>
            <w:pPr>
              <w:jc w:val="right"/>
            </w:pPr>
            <w:r>
              <w:rPr>
                <w:color w:val="000000"/>
                <w:kern w:val="0"/>
                <w:sz w:val="24"/>
                <w:szCs w:val="24"/>
              </w:rPr>
              <w:t>0.44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56,800</w:t>
            </w:r>
          </w:p>
        </w:tc>
        <w:tc>
          <w:tcPr>
            <w:vAlign w:val="center"/>
          </w:tcPr>
          <w:p>
            <w:pPr>
              <w:jc w:val="right"/>
            </w:pPr>
            <w:r>
              <w:rPr>
                <w:color w:val="000000"/>
                <w:kern w:val="0"/>
                <w:sz w:val="24"/>
                <w:szCs w:val="24"/>
              </w:rPr>
              <w:t>3,213,176.00</w:t>
            </w:r>
          </w:p>
        </w:tc>
        <w:tc>
          <w:tcPr>
            <w:vAlign w:val="center"/>
          </w:tcPr>
          <w:p>
            <w:pPr>
              <w:jc w:val="right"/>
            </w:pPr>
            <w:r>
              <w:rPr>
                <w:color w:val="000000"/>
                <w:kern w:val="0"/>
                <w:sz w:val="24"/>
                <w:szCs w:val="24"/>
              </w:rPr>
              <w:t>0.44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600900</w:t>
            </w:r>
          </w:p>
        </w:tc>
        <w:tc>
          <w:tcPr>
            <w:vAlign w:val="center"/>
          </w:tcPr>
          <w:p>
            <w:pPr>
              <w:jc w:val="center"/>
            </w:pPr>
            <w:r>
              <w:rPr>
                <w:color w:val="000000"/>
                <w:kern w:val="0"/>
                <w:sz w:val="24"/>
                <w:szCs w:val="24"/>
              </w:rPr>
              <w:t>长江电力</w:t>
            </w:r>
          </w:p>
        </w:tc>
        <w:tc>
          <w:tcPr>
            <w:vAlign w:val="center"/>
          </w:tcPr>
          <w:p>
            <w:pPr>
              <w:jc w:val="right"/>
            </w:pPr>
            <w:r>
              <w:rPr>
                <w:color w:val="000000"/>
                <w:kern w:val="0"/>
                <w:sz w:val="24"/>
                <w:szCs w:val="24"/>
              </w:rPr>
              <w:t>167,100</w:t>
            </w:r>
          </w:p>
        </w:tc>
        <w:tc>
          <w:tcPr>
            <w:vAlign w:val="center"/>
          </w:tcPr>
          <w:p>
            <w:pPr>
              <w:jc w:val="right"/>
            </w:pPr>
            <w:r>
              <w:rPr>
                <w:color w:val="000000"/>
                <w:kern w:val="0"/>
                <w:sz w:val="24"/>
                <w:szCs w:val="24"/>
              </w:rPr>
              <w:t>3,164,874.00</w:t>
            </w:r>
          </w:p>
        </w:tc>
        <w:tc>
          <w:tcPr>
            <w:vAlign w:val="center"/>
          </w:tcPr>
          <w:p>
            <w:pPr>
              <w:jc w:val="right"/>
            </w:pPr>
            <w:r>
              <w:rPr>
                <w:color w:val="000000"/>
                <w:kern w:val="0"/>
                <w:sz w:val="24"/>
                <w:szCs w:val="24"/>
              </w:rPr>
              <w:t>0.43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601688</w:t>
            </w:r>
          </w:p>
        </w:tc>
        <w:tc>
          <w:tcPr>
            <w:vAlign w:val="center"/>
          </w:tcPr>
          <w:p>
            <w:pPr>
              <w:jc w:val="center"/>
            </w:pPr>
            <w:r>
              <w:rPr>
                <w:color w:val="000000"/>
                <w:kern w:val="0"/>
                <w:sz w:val="24"/>
                <w:szCs w:val="24"/>
              </w:rPr>
              <w:t>华泰证券</w:t>
            </w:r>
          </w:p>
        </w:tc>
        <w:tc>
          <w:tcPr>
            <w:vAlign w:val="center"/>
          </w:tcPr>
          <w:p>
            <w:pPr>
              <w:jc w:val="right"/>
            </w:pPr>
            <w:r>
              <w:rPr>
                <w:color w:val="000000"/>
                <w:kern w:val="0"/>
                <w:sz w:val="24"/>
                <w:szCs w:val="24"/>
              </w:rPr>
              <w:t>166,900</w:t>
            </w:r>
          </w:p>
        </w:tc>
        <w:tc>
          <w:tcPr>
            <w:vAlign w:val="center"/>
          </w:tcPr>
          <w:p>
            <w:pPr>
              <w:jc w:val="right"/>
            </w:pPr>
            <w:r>
              <w:rPr>
                <w:color w:val="000000"/>
                <w:kern w:val="0"/>
                <w:sz w:val="24"/>
                <w:szCs w:val="24"/>
              </w:rPr>
              <w:t>3,137,720.00</w:t>
            </w:r>
          </w:p>
        </w:tc>
        <w:tc>
          <w:tcPr>
            <w:vAlign w:val="center"/>
          </w:tcPr>
          <w:p>
            <w:pPr>
              <w:jc w:val="right"/>
            </w:pPr>
            <w:r>
              <w:rPr>
                <w:color w:val="000000"/>
                <w:kern w:val="0"/>
                <w:sz w:val="24"/>
                <w:szCs w:val="24"/>
              </w:rPr>
              <w:t>0.43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000002</w:t>
            </w:r>
          </w:p>
        </w:tc>
        <w:tc>
          <w:tcPr>
            <w:vAlign w:val="center"/>
          </w:tcPr>
          <w:p>
            <w:pPr>
              <w:jc w:val="center"/>
            </w:pPr>
            <w:r>
              <w:rPr>
                <w:color w:val="000000"/>
                <w:kern w:val="0"/>
                <w:sz w:val="24"/>
                <w:szCs w:val="24"/>
              </w:rPr>
              <w:t>万科A</w:t>
            </w:r>
          </w:p>
        </w:tc>
        <w:tc>
          <w:tcPr>
            <w:vAlign w:val="center"/>
          </w:tcPr>
          <w:p>
            <w:pPr>
              <w:jc w:val="right"/>
            </w:pPr>
            <w:r>
              <w:rPr>
                <w:color w:val="000000"/>
                <w:kern w:val="0"/>
                <w:sz w:val="24"/>
                <w:szCs w:val="24"/>
              </w:rPr>
              <w:t>119,000</w:t>
            </w:r>
          </w:p>
        </w:tc>
        <w:tc>
          <w:tcPr>
            <w:vAlign w:val="center"/>
          </w:tcPr>
          <w:p>
            <w:pPr>
              <w:jc w:val="right"/>
            </w:pPr>
            <w:r>
              <w:rPr>
                <w:color w:val="000000"/>
                <w:kern w:val="0"/>
                <w:sz w:val="24"/>
                <w:szCs w:val="24"/>
              </w:rPr>
              <w:t>3,110,660.00</w:t>
            </w:r>
          </w:p>
        </w:tc>
        <w:tc>
          <w:tcPr>
            <w:vAlign w:val="center"/>
          </w:tcPr>
          <w:p>
            <w:pPr>
              <w:jc w:val="right"/>
            </w:pPr>
            <w:r>
              <w:rPr>
                <w:color w:val="000000"/>
                <w:kern w:val="0"/>
                <w:sz w:val="24"/>
                <w:szCs w:val="24"/>
              </w:rPr>
              <w:t>0.42</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600066</w:t>
            </w:r>
          </w:p>
        </w:tc>
        <w:tc>
          <w:tcPr>
            <w:vAlign w:val="center"/>
          </w:tcPr>
          <w:p>
            <w:pPr>
              <w:jc w:val="center"/>
            </w:pPr>
            <w:r>
              <w:rPr>
                <w:color w:val="000000"/>
                <w:kern w:val="0"/>
                <w:sz w:val="24"/>
                <w:szCs w:val="24"/>
              </w:rPr>
              <w:t>宇通客车</w:t>
            </w:r>
          </w:p>
        </w:tc>
        <w:tc>
          <w:tcPr>
            <w:vAlign w:val="center"/>
          </w:tcPr>
          <w:p>
            <w:pPr>
              <w:jc w:val="right"/>
            </w:pPr>
            <w:r>
              <w:rPr>
                <w:color w:val="000000"/>
                <w:kern w:val="0"/>
                <w:sz w:val="24"/>
                <w:szCs w:val="24"/>
              </w:rPr>
              <w:t>250,739</w:t>
            </w:r>
          </w:p>
        </w:tc>
        <w:tc>
          <w:tcPr>
            <w:vAlign w:val="center"/>
          </w:tcPr>
          <w:p>
            <w:pPr>
              <w:jc w:val="right"/>
            </w:pPr>
            <w:r>
              <w:rPr>
                <w:color w:val="000000"/>
                <w:kern w:val="0"/>
                <w:sz w:val="24"/>
                <w:szCs w:val="24"/>
              </w:rPr>
              <w:t>3,059,015.80</w:t>
            </w:r>
          </w:p>
        </w:tc>
        <w:tc>
          <w:tcPr>
            <w:vAlign w:val="center"/>
          </w:tcPr>
          <w:p>
            <w:pPr>
              <w:jc w:val="right"/>
            </w:pPr>
            <w:r>
              <w:rPr>
                <w:color w:val="000000"/>
                <w:kern w:val="0"/>
                <w:sz w:val="24"/>
                <w:szCs w:val="24"/>
              </w:rPr>
              <w:t>0.41</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002597</w:t>
            </w:r>
          </w:p>
        </w:tc>
        <w:tc>
          <w:tcPr>
            <w:vAlign w:val="center"/>
          </w:tcPr>
          <w:p>
            <w:pPr>
              <w:jc w:val="center"/>
            </w:pPr>
            <w:r>
              <w:rPr>
                <w:color w:val="000000"/>
                <w:kern w:val="0"/>
                <w:sz w:val="24"/>
                <w:szCs w:val="24"/>
              </w:rPr>
              <w:t>金禾实业</w:t>
            </w:r>
          </w:p>
        </w:tc>
        <w:tc>
          <w:tcPr>
            <w:vAlign w:val="center"/>
          </w:tcPr>
          <w:p>
            <w:pPr>
              <w:jc w:val="right"/>
            </w:pPr>
            <w:r>
              <w:rPr>
                <w:color w:val="000000"/>
                <w:kern w:val="0"/>
                <w:sz w:val="24"/>
                <w:szCs w:val="24"/>
              </w:rPr>
              <w:t>132,100</w:t>
            </w:r>
          </w:p>
        </w:tc>
        <w:tc>
          <w:tcPr>
            <w:vAlign w:val="center"/>
          </w:tcPr>
          <w:p>
            <w:pPr>
              <w:jc w:val="right"/>
            </w:pPr>
            <w:r>
              <w:rPr>
                <w:color w:val="000000"/>
                <w:kern w:val="0"/>
                <w:sz w:val="24"/>
                <w:szCs w:val="24"/>
              </w:rPr>
              <w:t>3,034,337.00</w:t>
            </w:r>
          </w:p>
        </w:tc>
        <w:tc>
          <w:tcPr>
            <w:vAlign w:val="center"/>
          </w:tcPr>
          <w:p>
            <w:pPr>
              <w:jc w:val="right"/>
            </w:pPr>
            <w:r>
              <w:rPr>
                <w:color w:val="000000"/>
                <w:kern w:val="0"/>
                <w:sz w:val="24"/>
                <w:szCs w:val="24"/>
              </w:rPr>
              <w:t>0.41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50,400</w:t>
            </w:r>
          </w:p>
        </w:tc>
        <w:tc>
          <w:tcPr>
            <w:vAlign w:val="center"/>
          </w:tcPr>
          <w:p>
            <w:pPr>
              <w:jc w:val="right"/>
            </w:pPr>
            <w:r>
              <w:rPr>
                <w:color w:val="000000"/>
                <w:kern w:val="0"/>
                <w:sz w:val="24"/>
                <w:szCs w:val="24"/>
              </w:rPr>
              <w:t>3,013,416.00</w:t>
            </w:r>
          </w:p>
        </w:tc>
        <w:tc>
          <w:tcPr>
            <w:vAlign w:val="center"/>
          </w:tcPr>
          <w:p>
            <w:pPr>
              <w:jc w:val="right"/>
            </w:pPr>
            <w:r>
              <w:rPr>
                <w:color w:val="000000"/>
                <w:kern w:val="0"/>
                <w:sz w:val="24"/>
                <w:szCs w:val="24"/>
              </w:rPr>
              <w:t>0.41</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37,544,500.00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5.09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37,544,500.00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5.09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272,503,000.00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36.93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29,971,000.00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4.06</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337,133,000.00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45.69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2,980,846.12</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0.40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680,132,346.12</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92.17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155520</w:t>
            </w:r>
          </w:p>
        </w:tc>
        <w:tc>
          <w:tcPr>
            <w:vAlign w:val="center"/>
          </w:tcPr>
          <w:p>
            <w:pPr>
              <w:jc w:val="center"/>
            </w:pPr>
            <w:r>
              <w:rPr>
                <w:color w:val="000000"/>
                <w:kern w:val="0"/>
                <w:sz w:val="24"/>
                <w:szCs w:val="24"/>
              </w:rPr>
              <w:t>19龙湖03</w:t>
            </w:r>
          </w:p>
        </w:tc>
        <w:tc>
          <w:tcPr>
            <w:vAlign w:val="center"/>
          </w:tcPr>
          <w:p>
            <w:pPr>
              <w:jc w:val="right"/>
            </w:pPr>
            <w:r>
              <w:rPr>
                <w:color w:val="000000"/>
                <w:kern w:val="0"/>
                <w:sz w:val="24"/>
                <w:szCs w:val="24"/>
              </w:rPr>
              <w:t>400,000</w:t>
            </w:r>
          </w:p>
        </w:tc>
        <w:tc>
          <w:tcPr>
            <w:vAlign w:val="center"/>
          </w:tcPr>
          <w:p>
            <w:pPr>
              <w:jc w:val="right"/>
            </w:pPr>
            <w:r>
              <w:rPr>
                <w:color w:val="000000"/>
                <w:kern w:val="0"/>
                <w:sz w:val="24"/>
                <w:szCs w:val="24"/>
              </w:rPr>
              <w:t>40,356,000.00</w:t>
            </w:r>
          </w:p>
        </w:tc>
        <w:tc>
          <w:tcPr>
            <w:vAlign w:val="center"/>
          </w:tcPr>
          <w:p>
            <w:pPr>
              <w:jc w:val="right"/>
            </w:pPr>
            <w:r>
              <w:rPr>
                <w:color w:val="000000"/>
                <w:kern w:val="0"/>
                <w:sz w:val="24"/>
                <w:szCs w:val="24"/>
              </w:rPr>
              <w:t>5.47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101754088</w:t>
            </w:r>
          </w:p>
        </w:tc>
        <w:tc>
          <w:tcPr>
            <w:vAlign w:val="center"/>
          </w:tcPr>
          <w:p>
            <w:pPr>
              <w:jc w:val="center"/>
            </w:pPr>
            <w:r>
              <w:rPr>
                <w:color w:val="000000"/>
                <w:kern w:val="0"/>
                <w:sz w:val="24"/>
                <w:szCs w:val="24"/>
              </w:rPr>
              <w:t>17华侨城MTN003</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31,278,000.00</w:t>
            </w:r>
          </w:p>
        </w:tc>
        <w:tc>
          <w:tcPr>
            <w:vAlign w:val="center"/>
          </w:tcPr>
          <w:p>
            <w:pPr>
              <w:jc w:val="right"/>
            </w:pPr>
            <w:r>
              <w:rPr>
                <w:color w:val="000000"/>
                <w:kern w:val="0"/>
                <w:sz w:val="24"/>
                <w:szCs w:val="24"/>
              </w:rPr>
              <w:t>4.24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101900073</w:t>
            </w:r>
          </w:p>
        </w:tc>
        <w:tc>
          <w:tcPr>
            <w:vAlign w:val="center"/>
          </w:tcPr>
          <w:p>
            <w:pPr>
              <w:jc w:val="center"/>
            </w:pPr>
            <w:r>
              <w:rPr>
                <w:color w:val="000000"/>
                <w:kern w:val="0"/>
                <w:sz w:val="24"/>
                <w:szCs w:val="24"/>
              </w:rPr>
              <w:t>19华菱集团MTN001</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30,681,000.00</w:t>
            </w:r>
          </w:p>
        </w:tc>
        <w:tc>
          <w:tcPr>
            <w:vAlign w:val="center"/>
          </w:tcPr>
          <w:p>
            <w:pPr>
              <w:jc w:val="right"/>
            </w:pPr>
            <w:r>
              <w:rPr>
                <w:color w:val="000000"/>
                <w:kern w:val="0"/>
                <w:sz w:val="24"/>
                <w:szCs w:val="24"/>
              </w:rPr>
              <w:t>4.16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101801382</w:t>
            </w:r>
          </w:p>
        </w:tc>
        <w:tc>
          <w:tcPr>
            <w:vAlign w:val="center"/>
          </w:tcPr>
          <w:p>
            <w:pPr>
              <w:jc w:val="center"/>
            </w:pPr>
            <w:r>
              <w:rPr>
                <w:color w:val="000000"/>
                <w:kern w:val="0"/>
                <w:sz w:val="24"/>
                <w:szCs w:val="24"/>
              </w:rPr>
              <w:t>18徐州高铁MTN001</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30,633,000.00</w:t>
            </w:r>
          </w:p>
        </w:tc>
        <w:tc>
          <w:tcPr>
            <w:vAlign w:val="center"/>
          </w:tcPr>
          <w:p>
            <w:pPr>
              <w:jc w:val="right"/>
            </w:pPr>
            <w:r>
              <w:rPr>
                <w:color w:val="000000"/>
                <w:kern w:val="0"/>
                <w:sz w:val="24"/>
                <w:szCs w:val="24"/>
              </w:rPr>
              <w:t>4.15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136337</w:t>
            </w:r>
          </w:p>
        </w:tc>
        <w:tc>
          <w:tcPr>
            <w:vAlign w:val="center"/>
          </w:tcPr>
          <w:p>
            <w:pPr>
              <w:jc w:val="center"/>
            </w:pPr>
            <w:r>
              <w:rPr>
                <w:color w:val="000000"/>
                <w:kern w:val="0"/>
                <w:sz w:val="24"/>
                <w:szCs w:val="24"/>
              </w:rPr>
              <w:t>16乌房01</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30,510,000.00</w:t>
            </w:r>
          </w:p>
        </w:tc>
        <w:tc>
          <w:tcPr>
            <w:vAlign w:val="center"/>
          </w:tcPr>
          <w:p>
            <w:pPr>
              <w:jc w:val="right"/>
            </w:pPr>
            <w:r>
              <w:rPr>
                <w:color w:val="000000"/>
                <w:kern w:val="0"/>
                <w:sz w:val="24"/>
                <w:szCs w:val="24"/>
              </w:rPr>
              <w:t>4.13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168613</w:t>
            </w:r>
          </w:p>
        </w:tc>
        <w:tc>
          <w:tcPr>
            <w:vAlign w:val="center"/>
          </w:tcPr>
          <w:p>
            <w:pPr>
              <w:jc w:val="center"/>
            </w:pPr>
            <w:r>
              <w:rPr>
                <w:color w:val="000000"/>
                <w:kern w:val="0"/>
                <w:sz w:val="24"/>
                <w:szCs w:val="24"/>
              </w:rPr>
              <w:t>智禾01A</w:t>
            </w:r>
          </w:p>
        </w:tc>
        <w:tc>
          <w:tcPr>
            <w:vAlign w:val="center"/>
          </w:tcPr>
          <w:p>
            <w:pPr>
              <w:jc w:val="right"/>
            </w:pPr>
            <w:r>
              <w:rPr>
                <w:color w:val="000000"/>
                <w:kern w:val="0"/>
                <w:sz w:val="24"/>
                <w:szCs w:val="24"/>
              </w:rPr>
              <w:t>190,000</w:t>
            </w:r>
          </w:p>
        </w:tc>
        <w:tc>
          <w:tcPr>
            <w:vAlign w:val="center"/>
          </w:tcPr>
          <w:p>
            <w:pPr>
              <w:jc w:val="right"/>
            </w:pPr>
            <w:r>
              <w:rPr>
                <w:color w:val="000000"/>
                <w:kern w:val="0"/>
                <w:sz w:val="24"/>
                <w:szCs w:val="24"/>
              </w:rPr>
              <w:t>19,000,000.00</w:t>
            </w:r>
          </w:p>
        </w:tc>
        <w:tc>
          <w:tcPr>
            <w:vAlign w:val="center"/>
          </w:tcPr>
          <w:p>
            <w:pPr>
              <w:jc w:val="right"/>
            </w:pPr>
            <w:r>
              <w:rPr>
                <w:color w:val="000000"/>
                <w:kern w:val="0"/>
                <w:sz w:val="24"/>
                <w:szCs w:val="24"/>
              </w:rPr>
              <w:t>2.57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168589</w:t>
            </w:r>
          </w:p>
        </w:tc>
        <w:tc>
          <w:tcPr>
            <w:vAlign w:val="center"/>
          </w:tcPr>
          <w:p>
            <w:pPr>
              <w:jc w:val="center"/>
            </w:pPr>
            <w:r>
              <w:rPr>
                <w:color w:val="000000"/>
                <w:kern w:val="0"/>
                <w:sz w:val="24"/>
                <w:szCs w:val="24"/>
              </w:rPr>
              <w:t>天信7A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1.36</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2019年12月17日，国家外汇管理局深圳市分局对华侨城集团有限公司违反“《国家外汇管理局关于进一步简化和改进直接投资外汇管理政策的通知》第二条第三项”的行为作出“警告、罚款3万元”的行政处罚决定。</w:t>
      </w:r>
    </w:p>
    <w:p>
      <w:pPr>
        <w:spacing w:line="360" w:lineRule="auto"/>
        <w:rPr>
          <w:rFonts w:ascii="宋体" w:hAnsi="宋体"/>
          <w:color w:val="000000"/>
          <w:sz w:val="24"/>
          <w:szCs w:val="24"/>
        </w:rPr>
      </w:pPr>
      <w:r>
        <w:rPr>
          <w:rFonts w:ascii="宋体" w:hAnsi="宋体"/>
          <w:color w:val="000000"/>
          <w:sz w:val="24"/>
          <w:szCs w:val="24"/>
        </w:rPr>
        <w:t>本基金投资17华侨城MTN003的投资决策程序符合公司投资制度的规定。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除17华侨城MTN003外，本基金投资的前十名证券的发行主体本期没有出现被监管部门立案调查，或在报告编制日前一年内受到公开谴责、处罚的情形。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10,464.60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79,000,000.00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10,363,612.48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40,263.07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89,414,340.15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113559</w:t>
            </w:r>
          </w:p>
        </w:tc>
        <w:tc>
          <w:tcPr>
            <w:vAlign w:val="center"/>
          </w:tcPr>
          <w:p>
            <w:pPr>
              <w:jc w:val="center"/>
            </w:pPr>
            <w:r>
              <w:rPr>
                <w:color w:val="000000"/>
                <w:kern w:val="0"/>
                <w:sz w:val="24"/>
                <w:szCs w:val="24"/>
              </w:rPr>
              <w:t>永创转债</w:t>
            </w:r>
          </w:p>
        </w:tc>
        <w:tc>
          <w:tcPr>
            <w:vAlign w:val="center"/>
          </w:tcPr>
          <w:p>
            <w:pPr>
              <w:jc w:val="right"/>
            </w:pPr>
            <w:r>
              <w:rPr>
                <w:color w:val="000000"/>
                <w:kern w:val="0"/>
                <w:sz w:val="24"/>
                <w:szCs w:val="24"/>
              </w:rPr>
              <w:t>524,412.10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128085</w:t>
            </w:r>
          </w:p>
        </w:tc>
        <w:tc>
          <w:tcPr>
            <w:vAlign w:val="center"/>
          </w:tcPr>
          <w:p>
            <w:pPr>
              <w:jc w:val="center"/>
            </w:pPr>
            <w:r>
              <w:rPr>
                <w:color w:val="000000"/>
                <w:kern w:val="0"/>
                <w:sz w:val="24"/>
                <w:szCs w:val="24"/>
              </w:rPr>
              <w:t>鸿达转债</w:t>
            </w:r>
          </w:p>
        </w:tc>
        <w:tc>
          <w:tcPr>
            <w:vAlign w:val="center"/>
          </w:tcPr>
          <w:p>
            <w:pPr>
              <w:jc w:val="right"/>
            </w:pPr>
            <w:r>
              <w:rPr>
                <w:color w:val="000000"/>
                <w:kern w:val="0"/>
                <w:sz w:val="24"/>
                <w:szCs w:val="24"/>
              </w:rPr>
              <w:t>516,433.50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113008</w:t>
            </w:r>
          </w:p>
        </w:tc>
        <w:tc>
          <w:tcPr>
            <w:vAlign w:val="center"/>
          </w:tcPr>
          <w:p>
            <w:pPr>
              <w:jc w:val="center"/>
            </w:pPr>
            <w:r>
              <w:rPr>
                <w:color w:val="000000"/>
                <w:kern w:val="0"/>
                <w:sz w:val="24"/>
                <w:szCs w:val="24"/>
              </w:rPr>
              <w:t>电气转债</w:t>
            </w:r>
          </w:p>
        </w:tc>
        <w:tc>
          <w:tcPr>
            <w:vAlign w:val="center"/>
          </w:tcPr>
          <w:p>
            <w:pPr>
              <w:jc w:val="right"/>
            </w:pPr>
            <w:r>
              <w:rPr>
                <w:color w:val="000000"/>
                <w:kern w:val="0"/>
                <w:sz w:val="24"/>
                <w:szCs w:val="24"/>
              </w:rPr>
              <w:t>515,002.40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128018</w:t>
            </w:r>
          </w:p>
        </w:tc>
        <w:tc>
          <w:tcPr>
            <w:vAlign w:val="center"/>
          </w:tcPr>
          <w:p>
            <w:pPr>
              <w:jc w:val="center"/>
            </w:pPr>
            <w:r>
              <w:rPr>
                <w:color w:val="000000"/>
                <w:kern w:val="0"/>
                <w:sz w:val="24"/>
                <w:szCs w:val="24"/>
              </w:rPr>
              <w:t>时达转债</w:t>
            </w:r>
          </w:p>
        </w:tc>
        <w:tc>
          <w:tcPr>
            <w:vAlign w:val="center"/>
          </w:tcPr>
          <w:p>
            <w:pPr>
              <w:jc w:val="right"/>
            </w:pPr>
            <w:r>
              <w:rPr>
                <w:color w:val="000000"/>
                <w:kern w:val="0"/>
                <w:sz w:val="24"/>
                <w:szCs w:val="24"/>
              </w:rPr>
              <w:t>480,582.40</w:t>
            </w:r>
          </w:p>
        </w:tc>
        <w:tc>
          <w:tcPr>
            <w:vAlign w:val="center"/>
          </w:tcPr>
          <w:p>
            <w:pPr>
              <w:jc w:val="right"/>
            </w:pPr>
            <w:r>
              <w:rPr>
                <w:color w:val="000000"/>
                <w:kern w:val="0"/>
                <w:sz w:val="24"/>
                <w:szCs w:val="24"/>
              </w:rPr>
              <w:t>0.07</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128073</w:t>
            </w:r>
          </w:p>
        </w:tc>
        <w:tc>
          <w:tcPr>
            <w:vAlign w:val="center"/>
          </w:tcPr>
          <w:p>
            <w:pPr>
              <w:jc w:val="center"/>
            </w:pPr>
            <w:r>
              <w:rPr>
                <w:color w:val="000000"/>
                <w:kern w:val="0"/>
                <w:sz w:val="24"/>
                <w:szCs w:val="24"/>
              </w:rPr>
              <w:t>哈尔转债</w:t>
            </w:r>
          </w:p>
        </w:tc>
        <w:tc>
          <w:tcPr>
            <w:vAlign w:val="center"/>
          </w:tcPr>
          <w:p>
            <w:pPr>
              <w:jc w:val="right"/>
            </w:pPr>
            <w:r>
              <w:rPr>
                <w:color w:val="000000"/>
                <w:kern w:val="0"/>
                <w:sz w:val="24"/>
                <w:szCs w:val="24"/>
              </w:rPr>
              <w:t>464,839.90</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128067</w:t>
            </w:r>
          </w:p>
        </w:tc>
        <w:tc>
          <w:tcPr>
            <w:vAlign w:val="center"/>
          </w:tcPr>
          <w:p>
            <w:pPr>
              <w:jc w:val="center"/>
            </w:pPr>
            <w:r>
              <w:rPr>
                <w:color w:val="000000"/>
                <w:kern w:val="0"/>
                <w:sz w:val="24"/>
                <w:szCs w:val="24"/>
              </w:rPr>
              <w:t>一心转债</w:t>
            </w:r>
          </w:p>
        </w:tc>
        <w:tc>
          <w:tcPr>
            <w:vAlign w:val="center"/>
          </w:tcPr>
          <w:p>
            <w:pPr>
              <w:jc w:val="right"/>
            </w:pPr>
            <w:r>
              <w:rPr>
                <w:color w:val="000000"/>
                <w:kern w:val="0"/>
                <w:sz w:val="24"/>
                <w:szCs w:val="24"/>
              </w:rPr>
              <w:t>8,705.42</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27,913,948.52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677,770,559.46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9,009,718.53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696,674,789.45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8.1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2020年06月01日~2020年06月03日</w:t>
            </w:r>
          </w:p>
        </w:tc>
        <w:tc>
          <w:tcPr>
            <w:vAlign w:val="center"/>
          </w:tcPr>
          <w:p>
            <w:pPr>
              <w:jc w:val="center"/>
            </w:pPr>
            <w:r>
              <w:rPr>
                <w:sz w:val="24"/>
                <w:szCs w:val="24"/>
              </w:rPr>
              <w:t>-</w:t>
            </w:r>
          </w:p>
        </w:tc>
        <w:tc>
          <w:tcPr>
            <w:vAlign w:val="center"/>
          </w:tcPr>
          <w:p>
            <w:pPr>
              <w:jc w:val="center"/>
            </w:pPr>
            <w:r>
              <w:rPr>
                <w:sz w:val="24"/>
                <w:szCs w:val="24"/>
              </w:rPr>
              <w:t>94,248,821.86</w:t>
            </w:r>
          </w:p>
        </w:tc>
        <w:tc>
          <w:tcPr>
            <w:vAlign w:val="center"/>
          </w:tcPr>
          <w:p>
            <w:pPr>
              <w:jc w:val="center"/>
            </w:pPr>
            <w:r>
              <w:rPr>
                <w:sz w:val="24"/>
                <w:szCs w:val="24"/>
              </w:rPr>
              <w:t>-</w:t>
            </w:r>
          </w:p>
        </w:tc>
        <w:tc>
          <w:tcPr>
            <w:vAlign w:val="center"/>
          </w:tcPr>
          <w:p>
            <w:pPr>
              <w:jc w:val="center"/>
            </w:pPr>
            <w:r>
              <w:rPr>
                <w:sz w:val="24"/>
                <w:szCs w:val="24"/>
              </w:rPr>
              <w:t>94,248,821.86</w:t>
            </w:r>
          </w:p>
        </w:tc>
        <w:tc>
          <w:tcPr>
            <w:vAlign w:val="center"/>
          </w:tcPr>
          <w:p>
            <w:pPr>
              <w:jc w:val="center"/>
            </w:pPr>
            <w:r>
              <w:rPr>
                <w:sz w:val="24"/>
                <w:szCs w:val="24"/>
              </w:rPr>
              <w:t>13.53%</w:t>
            </w:r>
          </w:p>
        </w:tc>
      </w:tr>
      <w:tr>
        <w:tc>
          <w:tcPr>
            <w:vMerge/>
          </w:tcPr>
          <w:p/>
        </w:tc>
        <w:tc>
          <w:tcPr>
            <w:vAlign w:val="center"/>
          </w:tcPr>
          <w:p>
            <w:pPr>
              <w:jc w:val="center"/>
            </w:pPr>
            <w:r>
              <w:rPr>
                <w:sz w:val="24"/>
                <w:szCs w:val="24"/>
              </w:rPr>
              <w:t>2</w:t>
            </w:r>
          </w:p>
        </w:tc>
        <w:tc>
          <w:tcPr>
            <w:vAlign w:val="center"/>
          </w:tcPr>
          <w:p>
            <w:pPr>
              <w:jc w:val="center"/>
            </w:pPr>
            <w:r>
              <w:rPr>
                <w:sz w:val="24"/>
                <w:szCs w:val="24"/>
              </w:rPr>
              <w:t>2020年05月29日~2020年05月31日</w:t>
            </w:r>
          </w:p>
        </w:tc>
        <w:tc>
          <w:tcPr>
            <w:vAlign w:val="center"/>
          </w:tcPr>
          <w:p>
            <w:pPr>
              <w:jc w:val="center"/>
            </w:pPr>
            <w:r>
              <w:rPr>
                <w:sz w:val="24"/>
                <w:szCs w:val="24"/>
              </w:rPr>
              <w:t>-</w:t>
            </w:r>
          </w:p>
        </w:tc>
        <w:tc>
          <w:tcPr>
            <w:vAlign w:val="center"/>
          </w:tcPr>
          <w:p>
            <w:pPr>
              <w:jc w:val="center"/>
            </w:pPr>
            <w:r>
              <w:rPr>
                <w:sz w:val="24"/>
                <w:szCs w:val="24"/>
              </w:rPr>
              <w:t>8,308,781.87</w:t>
            </w:r>
          </w:p>
        </w:tc>
        <w:tc>
          <w:tcPr>
            <w:vAlign w:val="center"/>
          </w:tcPr>
          <w:p>
            <w:pPr>
              <w:jc w:val="center"/>
            </w:pPr>
            <w:r>
              <w:rPr>
                <w:sz w:val="24"/>
                <w:szCs w:val="24"/>
              </w:rPr>
              <w:t>-</w:t>
            </w:r>
          </w:p>
        </w:tc>
        <w:tc>
          <w:tcPr>
            <w:vAlign w:val="center"/>
          </w:tcPr>
          <w:p>
            <w:pPr>
              <w:jc w:val="center"/>
            </w:pPr>
            <w:r>
              <w:rPr>
                <w:sz w:val="24"/>
                <w:szCs w:val="24"/>
              </w:rPr>
              <w:t>8,308,781.87</w:t>
            </w:r>
          </w:p>
        </w:tc>
        <w:tc>
          <w:tcPr>
            <w:vAlign w:val="center"/>
          </w:tcPr>
          <w:p>
            <w:pPr>
              <w:jc w:val="center"/>
            </w:pPr>
            <w:r>
              <w:rPr>
                <w:sz w:val="24"/>
                <w:szCs w:val="24"/>
              </w:rPr>
              <w:t>1.19%</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1.中国证监会准予易方达丰惠混合型证券投资基金注册的文件；</w:t>
      </w:r>
    </w:p>
    <w:p>
      <w:pPr>
        <w:spacing w:line="360" w:lineRule="auto"/>
        <w:ind w:firstLine="480" w:firstLineChars="200"/>
        <w:rPr>
          <w:color w:val="000000"/>
          <w:sz w:val="24"/>
          <w:szCs w:val="24"/>
        </w:rPr>
      </w:pPr>
      <w:r>
        <w:rPr>
          <w:color w:val="000000"/>
          <w:sz w:val="24"/>
          <w:szCs w:val="24"/>
        </w:rPr>
        <w:t>2.《易方达丰惠混合型证券投资基金基金合同》；</w:t>
      </w:r>
    </w:p>
    <w:p>
      <w:pPr>
        <w:spacing w:line="360" w:lineRule="auto"/>
        <w:ind w:firstLine="480" w:firstLineChars="200"/>
        <w:rPr>
          <w:color w:val="000000"/>
          <w:sz w:val="24"/>
          <w:szCs w:val="24"/>
        </w:rPr>
      </w:pPr>
      <w:r>
        <w:rPr>
          <w:color w:val="000000"/>
          <w:sz w:val="24"/>
          <w:szCs w:val="24"/>
        </w:rPr>
        <w:t>3.《易方达丰惠混合型证券投资基金托管协议》；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易方达丰惠混合型证券投资基金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