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9A2283" w:rsidR="00F016DD" w:rsidRDefault="00F016DD" w:rsidRPr="0078105B">
      <w:pPr>
        <w:autoSpaceDE w:val="0"/>
        <w:autoSpaceDN w:val="0"/>
        <w:adjustRightInd w:val="0"/>
        <w:spacing w:line="360" w:lineRule="auto"/>
        <w:jc w:val="left"/>
        <w:rPr>
          <w:rFonts w:ascii="宋体" w:cs="Arial"/>
          <w:color w:val="000000"/>
          <w:kern w:val="0"/>
          <w:sz w:val="24"/>
        </w:rPr>
      </w:pPr>
    </w:p>
    <w:p w:rsidP="00FC13C8" w:rsidR="00F016DD" w:rsidRDefault="00F016DD" w:rsidRPr="0078105B">
      <w:pPr>
        <w:spacing w:line="360" w:lineRule="auto"/>
        <w:jc w:val="center"/>
        <w:rPr>
          <w:rFonts w:ascii="宋体" w:hAnsi="宋体"/>
          <w:b/>
          <w:sz w:val="36"/>
          <w:szCs w:val="36"/>
        </w:rPr>
      </w:pPr>
      <w:r w:rsidRPr="0078105B">
        <w:rPr>
          <w:rFonts w:ascii="宋体"/>
          <w:b/>
          <w:sz w:val="36"/>
          <w:szCs w:val="36"/>
        </w:rPr>
        <w:t/>
      </w:r>
      <w:proofErr w:type="spellStart"/>
      <w:proofErr w:type="gramStart"/>
      <w:r w:rsidRPr="0078105B">
        <w:rPr>
          <w:rFonts w:ascii="宋体" w:hAnsi="宋体"/>
          <w:b/>
          <w:sz w:val="36"/>
          <w:szCs w:val="36"/>
        </w:rPr>
        <w:t/>
      </w:r>
      <w:proofErr w:type="spellEnd"/>
      <w:proofErr w:type="gramEnd"/>
      <w:r w:rsidRPr="0078105B">
        <w:rPr>
          <w:rFonts w:ascii="宋体" w:hAnsi="宋体"/>
          <w:b/>
          <w:sz w:val="36"/>
          <w:szCs w:val="36"/>
        </w:rPr>
        <w:t>易方达量化策略精选灵活配置混合型证券投资基金</w:t>
      </w:r>
    </w:p>
    <w:p w:rsidP="00FC13C8" w:rsidR="00F016DD" w:rsidRDefault="00F016DD" w:rsidRPr="0078105B">
      <w:pPr>
        <w:spacing w:line="360" w:lineRule="auto"/>
        <w:jc w:val="center"/>
        <w:rPr>
          <w:rFonts w:ascii="宋体" w:hAnsi="宋体"/>
          <w:b/>
          <w:sz w:val="36"/>
          <w:szCs w:val="36"/>
        </w:rPr>
      </w:pPr>
      <w:r w:rsidRPr="0078105B">
        <w:rPr>
          <w:rFonts w:ascii="宋体" w:hAnsi="宋体"/>
          <w:b/>
          <w:sz w:val="36"/>
          <w:szCs w:val="36"/>
        </w:rPr>
        <w:t/>
      </w:r>
      <w:proofErr w:type="spellStart"/>
      <w:r w:rsidRPr="0078105B">
        <w:rPr>
          <w:rFonts w:ascii="宋体" w:hAnsi="宋体"/>
          <w:b/>
          <w:sz w:val="36"/>
          <w:szCs w:val="36"/>
        </w:rPr>
        <w:t/>
      </w:r>
      <w:proofErr w:type="spellEnd"/>
      <w:r w:rsidRPr="0078105B">
        <w:rPr>
          <w:rFonts w:ascii="宋体" w:hAnsi="宋体"/>
          <w:b/>
          <w:sz w:val="36"/>
          <w:szCs w:val="36"/>
        </w:rPr>
        <w:t>2020年第2季度报告</w:t>
      </w:r>
    </w:p>
    <w:p w:rsidP="00FC13C8" w:rsidR="00F016DD" w:rsidRDefault="00F016DD" w:rsidRPr="00DA451D">
      <w:pPr>
        <w:spacing w:line="360" w:lineRule="auto"/>
        <w:jc w:val="center"/>
        <w:rPr>
          <w:rFonts w:ascii="宋体" w:hAnsi="宋体"/>
          <w:b/>
          <w:sz w:val="24"/>
        </w:rPr>
      </w:pPr>
      <w:r w:rsidRPr="00DA451D">
        <w:rPr>
          <w:rFonts w:ascii="宋体"/>
          <w:b/>
          <w:sz w:val="24"/>
        </w:rPr>
        <w:t/>
      </w:r>
      <w:proofErr w:type="spellStart"/>
      <w:proofErr w:type="gramStart"/>
      <w:r w:rsidRPr="00DA451D">
        <w:rPr>
          <w:rFonts w:ascii="宋体" w:hAnsi="宋体"/>
          <w:b/>
          <w:sz w:val="24"/>
        </w:rPr>
        <w:t/>
      </w:r>
      <w:proofErr w:type="spellEnd"/>
      <w:proofErr w:type="gramEnd"/>
      <w:r w:rsidRPr="00DA451D">
        <w:rPr>
          <w:rFonts w:ascii="宋体" w:hAnsi="宋体"/>
          <w:b/>
          <w:sz w:val="24"/>
        </w:rPr>
        <w:t>2020年6月30日</w:t>
      </w: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E27360"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jc w:val="center"/>
        <w:rPr>
          <w:rFonts w:ascii="宋体"/>
          <w:b/>
          <w:color w:val="000000"/>
          <w:sz w:val="24"/>
        </w:rPr>
      </w:pPr>
    </w:p>
    <w:p w:rsidP="009A2283" w:rsidR="00F016DD" w:rsidRDefault="00F016DD" w:rsidRPr="0078105B">
      <w:pPr>
        <w:spacing w:line="360" w:lineRule="auto"/>
        <w:rPr>
          <w:rFonts w:ascii="宋体"/>
          <w:b/>
          <w:color w:val="000000"/>
          <w:sz w:val="24"/>
        </w:rPr>
      </w:pP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基金管理人：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易方达基金管理有限公司</w:t>
      </w:r>
    </w:p>
    <w:p w:rsidP="00174038" w:rsidR="00F016DD" w:rsidRDefault="00F016DD" w:rsidRPr="0078105B">
      <w:pPr>
        <w:spacing w:line="360" w:lineRule="auto"/>
        <w:ind w:firstLine="2168" w:firstLineChars="900"/>
        <w:rPr>
          <w:rFonts w:ascii="宋体" w:hAnsi="宋体"/>
          <w:b/>
          <w:color w:val="000000"/>
          <w:sz w:val="24"/>
        </w:rPr>
      </w:pPr>
      <w:r w:rsidRPr="0078105B">
        <w:rPr>
          <w:rFonts w:ascii="宋体" w:hAnsi="宋体" w:hint="eastAsia"/>
          <w:b/>
          <w:color w:val="000000"/>
          <w:sz w:val="24"/>
        </w:rPr>
        <w:t>基金托管人：</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中国建设银行股份有限公司</w:t>
      </w:r>
    </w:p>
    <w:p w:rsidP="00174038" w:rsidR="00F016DD" w:rsidRDefault="00F016DD" w:rsidRPr="0078105B">
      <w:pPr>
        <w:spacing w:line="360" w:lineRule="auto"/>
        <w:ind w:firstLine="2168" w:firstLineChars="900"/>
        <w:rPr>
          <w:rFonts w:ascii="宋体"/>
          <w:sz w:val="24"/>
        </w:rPr>
        <w:sectPr w:rsidR="00F016DD" w:rsidRPr="0078105B" w:rsidSect="00F7094A">
          <w:headerReference r:id="rId8" w:type="default"/>
          <w:footerReference r:id="rId9" w:type="default"/>
          <w:pgSz w:h="15840" w:w="11926"/>
          <w:pgMar w:bottom="851" w:footer="992" w:gutter="0" w:header="851" w:left="1418" w:right="1418" w:top="1418"/>
          <w:cols w:space="720"/>
          <w:noEndnote/>
        </w:sectPr>
      </w:pPr>
      <w:r w:rsidRPr="0078105B">
        <w:rPr>
          <w:rFonts w:ascii="宋体" w:hAnsi="宋体" w:hint="eastAsia"/>
          <w:b/>
          <w:color w:val="000000"/>
          <w:sz w:val="24"/>
        </w:rPr>
        <w:t>报告送出日期：</w:t>
      </w:r>
      <w:r w:rsidRPr="0078105B">
        <w:rPr>
          <w:rFonts w:ascii="宋体"/>
          <w:b/>
          <w:color w:val="000000"/>
          <w:sz w:val="24"/>
        </w:rPr>
        <w:t/>
      </w:r>
      <w:proofErr w:type="spellStart"/>
      <w:proofErr w:type="gramStart"/>
      <w:r w:rsidRPr="0078105B">
        <w:rPr>
          <w:rFonts w:ascii="宋体" w:hAnsi="宋体"/>
          <w:b/>
          <w:color w:val="000000"/>
          <w:sz w:val="24"/>
        </w:rPr>
        <w:t/>
      </w:r>
      <w:proofErr w:type="spellEnd"/>
      <w:proofErr w:type="gramEnd"/>
      <w:r w:rsidRPr="0078105B">
        <w:rPr>
          <w:rFonts w:ascii="宋体" w:hAnsi="宋体"/>
          <w:b/>
          <w:color w:val="000000"/>
          <w:sz w:val="24"/>
        </w:rPr>
        <w:t>二〇二〇年七月二十一日</w:t>
      </w:r>
    </w:p>
    <w:p w:rsidP="00B54884" w:rsidR="00F016DD" w:rsidRDefault="00F016DD" w:rsidRPr="0078105B">
      <w:pPr>
        <w:pStyle w:val="1"/>
        <w:spacing w:after="312" w:afterLines="100" w:before="312" w:beforeLines="100" w:line="360" w:lineRule="auto"/>
        <w:jc w:val="center"/>
        <w:rPr>
          <w:rFonts w:ascii="宋体" w:cs="Arial"/>
          <w:b w:val="0"/>
          <w:color w:val="000000"/>
          <w:kern w:val="0"/>
          <w:sz w:val="24"/>
          <w:szCs w:val="24"/>
        </w:rPr>
      </w:pPr>
      <w:r w:rsidRPr="0078105B">
        <w:rPr>
          <w:rFonts w:ascii="宋体" w:cs="Arial" w:hAnsi="宋体" w:hint="eastAsia"/>
          <w:color w:val="000000"/>
          <w:kern w:val="0"/>
          <w:sz w:val="24"/>
          <w:szCs w:val="24"/>
        </w:rPr>
        <w:lastRenderedPageBreak/>
        <w:t>§</w:t>
      </w:r>
      <w:r w:rsidRPr="0078105B">
        <w:rPr>
          <w:rFonts w:ascii="宋体" w:cs="Arial" w:hAnsi="宋体"/>
          <w:color w:val="000000"/>
          <w:kern w:val="0"/>
          <w:sz w:val="24"/>
          <w:szCs w:val="24"/>
        </w:rPr>
        <w:t xml:space="preserve">1  </w:t>
      </w:r>
      <w:r w:rsidRPr="0078105B">
        <w:rPr>
          <w:rFonts w:ascii="宋体" w:cs="Arial" w:hAnsi="宋体" w:hint="eastAsia"/>
          <w:color w:val="000000"/>
          <w:kern w:val="0"/>
          <w:sz w:val="24"/>
          <w:szCs w:val="24"/>
        </w:rPr>
        <w:t>重要提示</w:t>
      </w:r>
    </w:p>
    <w:p>
      <w:pPr>
        <w:spacing w:line="360" w:lineRule="auto"/>
        <w:ind w:firstLine="480" w:firstLineChars="200"/>
        <w:rPr>
          <w:color w:val="000000"/>
          <w:sz w:val="24"/>
        </w:rPr>
      </w:pPr>
      <w:r>
        <w:rPr>
          <w:color w:val="000000"/>
          <w:sz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rPr>
      </w:pPr>
      <w:r>
        <w:rPr>
          <w:color w:val="000000"/>
          <w:sz w:val="24"/>
        </w:rPr>
        <w:t xml:space="preserve">基金托管人中国建设银行股份有限公司根据本基金合同规定，于2020年7月17日复核了本报告中的财务指标、净值表现和投资组合报告等内容，保证复核内容不存在虚假记载、误导性陈述或者重大遗漏。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rPr>
      </w:pPr>
      <w:r>
        <w:rPr>
          <w:color w:val="000000"/>
          <w:sz w:val="24"/>
        </w:rPr>
        <w:t xml:space="preserve">基金管理人承诺以诚实信用、勤勉尽责的原则管理和运用基金资产，但不保证基金一定盈利。 </w:t>
      </w:r>
    </w:p>
    <w:p>
      <w:pPr>
        <w:spacing w:line="360" w:lineRule="auto"/>
        <w:ind w:firstLine="480" w:firstLineChars="200"/>
        <w:rPr>
          <w:color w:val="000000"/>
          <w:sz w:val="24"/>
        </w:rPr>
      </w:pPr>
      <w:r>
        <w:rPr>
          <w:color w:val="000000"/>
          <w:sz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rPr>
      </w:pPr>
      <w:r>
        <w:rPr>
          <w:color w:val="000000"/>
          <w:sz w:val="24"/>
        </w:rPr>
        <w:t>本报告中财务资料未经审计。</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本报告期自2020年4月1日起至6月30日止。</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2  </w:t>
      </w:r>
      <w:r w:rsidRPr="0078105B">
        <w:rPr>
          <w:rFonts w:ascii="宋体" w:cs="Arial"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90"/>
      </w:tblGrid>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基金简称</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易方达量化策略精选混合</w:t>
            </w:r>
          </w:p>
        </w:tc>
      </w:tr>
      <w:tr w:rsidR="00F016DD" w:rsidRPr="0078105B" w:rsidTr="00414367">
        <w:tc>
          <w:tcPr>
            <w:tcW w:type="dxa" w:w="2835"/>
          </w:tcPr>
          <w:p w:rsidP="00E205AA" w:rsidR="00F016DD" w:rsidRDefault="00F016DD" w:rsidRPr="00C30CFF">
            <w:pPr>
              <w:adjustRightInd w:val="0"/>
              <w:spacing w:before="29" w:line="360" w:lineRule="auto"/>
              <w:ind w:left="17"/>
              <w:jc w:val="left"/>
              <w:rPr>
                <w:kern w:val="0"/>
                <w:sz w:val="24"/>
              </w:rPr>
            </w:pPr>
            <w:r w:rsidRPr="00C30CFF">
              <w:rPr>
                <w:kern w:val="0"/>
                <w:sz w:val="24"/>
              </w:rPr>
              <w:t>基金主代码</w:t>
            </w:r>
          </w:p>
        </w:tc>
        <w:tc>
          <w:tcPr>
            <w:tcW w:type="dxa" w:w="5529"/>
            <w:gridSpan w:val="2"/>
          </w:tcPr>
          <w:p w:rsidP="00E205AA"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002216</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基金运作方式</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契约型开放式</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基金合同生效日</w:t>
            </w:r>
          </w:p>
        </w:tc>
        <w:tc>
          <w:tcPr>
            <w:tcW w:type="dxa" w:w="5529"/>
            <w:gridSpan w:val="2"/>
          </w:tcPr>
          <w:p w:rsidP="00121533" w:rsidR="00F016DD" w:rsidRDefault="00F016DD" w:rsidRPr="00C30CFF">
            <w:pPr>
              <w:adjustRightInd w:val="0"/>
              <w:spacing w:before="29" w:line="360" w:lineRule="auto"/>
              <w:ind w:left="17"/>
              <w:jc w:val="left"/>
              <w:rPr>
                <w:color w:val="000000"/>
                <w:kern w:val="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2017年12月19日</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报告期末基金份额总额</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108,325,837.98</w:t>
            </w:r>
            <w:r w:rsidRPr="00C30CFF">
              <w:rPr>
                <w:color w:val="000000"/>
                <w:kern w:val="0"/>
                <w:sz w:val="24"/>
              </w:rPr>
              <w:t>份</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投资目标</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本基金采用量化策略进行投资组合管理，追求基金资产的长期稳健增值。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投资策略</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量化策略是指根据金融市场历史数据，借助量化模型，进行金融市场的分析、判断和交易的策略。本基金基于不同市场情况，精选多种量化模型进行投资，运用的量化模型包括但不限于量化资产配置模型、多因子量化模型、行业轮动模型、事件超额收益模型。精选多种量化模型进行投资的原因，一是建立多种量化策略可以弥补单一量化策略失效的可能，并形成互补，保证整体投资业绩的持续性；二是精选多种量化策略进行投资，量化策略之间相关性越低，组合的整体风险越分散，有利于追求基金资产的长期稳健增值。</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业绩比较基准</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沪深300指数收益率×60% +上证国债指数收益率×40%</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风险收益特征</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本基金为混合型基金，理论上其预期风险与预期收益水平低于股票型基金，高于债券型基金和货币市场基金。</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基金管理人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易方达基金管理有限公司</w:t>
            </w:r>
          </w:p>
        </w:tc>
      </w:tr>
      <w:tr w:rsidR="00F016DD" w:rsidRPr="0078105B" w:rsidTr="00414367">
        <w:tc>
          <w:tcPr>
            <w:tcW w:type="dxa" w:w="2835"/>
          </w:tcPr>
          <w:p w:rsidP="00E205AA" w:rsidR="00F016DD" w:rsidRDefault="00F016DD" w:rsidRPr="00C30CFF">
            <w:pPr>
              <w:adjustRightInd w:val="0"/>
              <w:spacing w:before="29" w:line="360" w:lineRule="auto"/>
              <w:ind w:left="17"/>
              <w:jc w:val="left"/>
              <w:rPr>
                <w:sz w:val="24"/>
              </w:rPr>
            </w:pPr>
            <w:r w:rsidRPr="00C30CFF">
              <w:rPr>
                <w:kern w:val="0"/>
                <w:sz w:val="24"/>
              </w:rPr>
              <w:t>基金托管人</w:t>
            </w:r>
          </w:p>
        </w:tc>
        <w:tc>
          <w:tcPr>
            <w:tcW w:type="dxa" w:w="5529"/>
            <w:gridSpan w:val="2"/>
          </w:tcPr>
          <w:p w:rsidP="00E205AA" w:rsidR="00F016DD" w:rsidRDefault="00F016DD" w:rsidRPr="00C30CFF">
            <w:pPr>
              <w:adjustRightInd w:val="0"/>
              <w:spacing w:before="29" w:line="360" w:lineRule="auto"/>
              <w:ind w:left="17"/>
              <w:jc w:val="left"/>
              <w:rPr>
                <w:color w:val="000000"/>
                <w:sz w:val="24"/>
              </w:rPr>
            </w:pPr>
            <w:r w:rsidRPr="00C30CFF">
              <w:rPr>
                <w:color w:val="000000"/>
                <w:kern w:val="0"/>
                <w:sz w:val="24"/>
              </w:rPr>
              <w:t/>
            </w:r>
            <w:proofErr w:type="spellStart"/>
            <w:r w:rsidRPr="00C30CFF">
              <w:rPr>
                <w:color w:val="000000"/>
                <w:kern w:val="0"/>
                <w:sz w:val="24"/>
              </w:rPr>
              <w:t/>
            </w:r>
            <w:proofErr w:type="spellEnd"/>
            <w:r w:rsidRPr="00C30CFF">
              <w:rPr>
                <w:color w:val="000000"/>
                <w:kern w:val="0"/>
                <w:sz w:val="24"/>
              </w:rPr>
              <w:t>中国建设银行股份有限公司</w:t>
            </w:r>
          </w:p>
        </w:tc>
      </w:tr>
      <w:tr w:rsidR="00F016DD" w:rsidRPr="0078105B" w:rsidTr="00414367">
        <w:tc>
          <w:tcPr>
            <w:tcW w:type="dxa" w:w="2835"/>
          </w:tcPr>
          <w:p w:rsidP="003F13CD" w:rsidR="00F016DD" w:rsidRDefault="00F016DD" w:rsidRPr="00C30CFF">
            <w:pPr>
              <w:adjustRightInd w:val="0"/>
              <w:spacing w:before="29" w:line="360" w:lineRule="auto"/>
              <w:ind w:left="17"/>
              <w:jc w:val="left"/>
              <w:rPr>
                <w:kern w:val="0"/>
                <w:sz w:val="24"/>
              </w:rPr>
            </w:pPr>
            <w:r w:rsidRPr="00C30CFF">
              <w:rPr>
                <w:color w:val="000000"/>
                <w:sz w:val="24"/>
              </w:rPr>
              <w:t>下属</w:t>
            </w:r>
            <w:r w:rsidR="003F13CD" w:rsidRPr="00C30CFF">
              <w:rPr>
                <w:color w:val="000000"/>
                <w:sz w:val="24"/>
              </w:rPr>
              <w:t>分</w:t>
            </w:r>
            <w:r w:rsidRPr="00C30CFF">
              <w:rPr>
                <w:color w:val="000000"/>
                <w:sz w:val="24"/>
              </w:rPr>
              <w:t>级基金的基金简称</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易方达量化策略精选混合A</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易方达量化策略精选混合C</w:t>
            </w:r>
          </w:p>
        </w:tc>
      </w:tr>
      <w:tr w:rsidR="00F016DD" w:rsidRPr="004D29A9" w:rsidTr="00414367">
        <w:tc>
          <w:tcPr>
            <w:tcW w:type="dxa" w:w="2835"/>
          </w:tcPr>
          <w:p w:rsidP="003F13CD" w:rsidR="00F016DD" w:rsidRDefault="00F016DD" w:rsidRPr="00C30CFF">
            <w:pPr>
              <w:adjustRightInd w:val="0"/>
              <w:spacing w:before="29" w:line="360" w:lineRule="auto"/>
              <w:ind w:left="17"/>
              <w:jc w:val="left"/>
              <w:rPr>
                <w:color w:val="000000"/>
                <w:sz w:val="24"/>
              </w:rPr>
            </w:pPr>
            <w:r w:rsidRPr="00C30CFF">
              <w:rPr>
                <w:color w:val="000000"/>
                <w:sz w:val="24"/>
              </w:rPr>
              <w:t>下属</w:t>
            </w:r>
            <w:r w:rsidR="003F13CD" w:rsidRPr="00C30CFF">
              <w:rPr>
                <w:color w:val="000000"/>
                <w:sz w:val="24"/>
              </w:rPr>
              <w:t>分</w:t>
            </w:r>
            <w:r w:rsidRPr="00C30CFF">
              <w:rPr>
                <w:color w:val="000000"/>
                <w:sz w:val="24"/>
              </w:rPr>
              <w:t>级基金的交易代</w:t>
            </w:r>
            <w:r w:rsidRPr="00C30CFF">
              <w:rPr>
                <w:color w:val="000000"/>
                <w:sz w:val="24"/>
              </w:rPr>
              <w:lastRenderedPageBreak/>
              <w:t>码</w:t>
            </w:r>
            <w:r w:rsidRPr="00C30CFF">
              <w:rPr>
                <w:color w:val="000000"/>
                <w:sz w:val="24"/>
              </w:rPr>
              <w:t/>
            </w:r>
            <w:proofErr w:type="spellStart"/>
            <w:r w:rsidRPr="00C30CFF">
              <w:rPr>
                <w:color w:val="000000"/>
              </w:rPr>
              <w:t/>
            </w:r>
            <w:proofErr w:type="spellEnd"/>
            <w:r w:rsidRPr="00C30CFF">
              <w:rPr>
                <w:color w:val="000000"/>
                <w:sz w:val="24"/>
              </w:rPr>
              <w:t/>
            </w:r>
          </w:p>
        </w:tc>
        <w:tc>
          <w:tcPr>
            <w:tcW w:type="dxa" w:w="2739"/>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proofErr w:type="spellStart"/>
            <w:r w:rsidRPr="00C30CFF">
              <w:rPr>
                <w:color w:val="000000"/>
                <w:sz w:val="24"/>
              </w:rPr>
              <w:t/>
            </w:r>
            <w:proofErr w:type="spellEnd"/>
            <w:r w:rsidRPr="00C30CFF">
              <w:rPr>
                <w:color w:val="000000"/>
                <w:sz w:val="24"/>
              </w:rPr>
              <w:t/>
            </w:r>
            <w:r w:rsidRPr="00C30CFF">
              <w:rPr>
                <w:color w:val="000000"/>
                <w:sz w:val="24"/>
              </w:rPr>
              <w:lastRenderedPageBreak/>
              <w:t>002216</w:t>
            </w:r>
          </w:p>
        </w:tc>
        <w:tc>
          <w:tcPr>
            <w:tcW w:type="dxa" w:w="2790"/>
            <w:vAlign w:val="center"/>
          </w:tcPr>
          <w:p w:rsidP="00950413" w:rsidR="00F016DD" w:rsidRDefault="00F016DD" w:rsidRPr="00C30CFF">
            <w:pPr>
              <w:jc w:val="left"/>
              <w:rPr>
                <w:color w:val="000000"/>
                <w:sz w:val="24"/>
              </w:rPr>
            </w:pPr>
            <w:r w:rsidRPr="00C30CFF">
              <w:rPr>
                <w:color w:val="000000"/>
                <w:kern w:val="0"/>
                <w:sz w:val="24"/>
              </w:rPr>
              <w:lastRenderedPageBreak/>
              <w:t/>
            </w:r>
            <w:proofErr w:type="spellStart"/>
            <w:r w:rsidRPr="00C30CFF">
              <w:rPr>
                <w:color w:val="000000"/>
                <w:kern w:val="0"/>
                <w:sz w:val="24"/>
              </w:rPr>
              <w:t/>
            </w:r>
            <w:proofErr w:type="spellEnd"/>
            <w:r w:rsidRPr="00C30CFF">
              <w:rPr>
                <w:color w:val="000000"/>
                <w:kern w:val="0"/>
                <w:sz w:val="24"/>
              </w:rPr>
              <w:t/>
            </w:r>
            <w:r w:rsidRPr="00C30CFF">
              <w:rPr>
                <w:color w:val="000000"/>
                <w:sz w:val="24"/>
              </w:rPr>
              <w:t>002217</w:t>
            </w:r>
          </w:p>
        </w:tc>
      </w:tr>
      <w:tr w:rsidR="00F016DD" w:rsidRPr="0078105B" w:rsidTr="00414367">
        <w:tc>
          <w:tcPr>
            <w:tcW w:type="dxa" w:w="2835"/>
          </w:tcPr>
          <w:p w:rsidP="00162D92" w:rsidR="00F016DD" w:rsidRDefault="00F016DD" w:rsidRPr="00C30CFF">
            <w:pPr>
              <w:adjustRightInd w:val="0"/>
              <w:spacing w:before="29" w:line="360" w:lineRule="auto"/>
              <w:ind w:left="17"/>
              <w:jc w:val="left"/>
              <w:rPr>
                <w:color w:val="000000"/>
                <w:sz w:val="24"/>
              </w:rPr>
            </w:pPr>
            <w:r w:rsidRPr="00C30CFF">
              <w:rPr>
                <w:color w:val="000000"/>
                <w:sz w:val="24"/>
              </w:rPr>
              <w:t>报告期末下属</w:t>
            </w:r>
            <w:r w:rsidR="00162D92" w:rsidRPr="00C30CFF">
              <w:rPr>
                <w:color w:val="000000"/>
                <w:sz w:val="24"/>
              </w:rPr>
              <w:t>分</w:t>
            </w:r>
            <w:r w:rsidRPr="00C30CFF">
              <w:rPr>
                <w:color w:val="000000"/>
                <w:sz w:val="24"/>
              </w:rPr>
              <w:t>级基金的份额总额</w:t>
            </w:r>
          </w:p>
        </w:tc>
        <w:tc>
          <w:tcPr>
            <w:tcW w:type="dxa" w:w="2739"/>
            <w:vAlign w:val="center"/>
          </w:tcPr>
          <w:p w:rsidP="00950413" w:rsidR="00F016DD" w:rsidRDefault="00F016DD" w:rsidRPr="00C30CFF">
            <w:pPr>
              <w:jc w:val="left"/>
              <w:rPr>
                <w:sz w:val="24"/>
              </w:rPr>
            </w:pPr>
            <w:r w:rsidRPr="00C30CFF">
              <w:rPr>
                <w:color w:val="000000"/>
                <w:kern w:val="0"/>
                <w:sz w:val="24"/>
              </w:rPr>
              <w:t/>
            </w:r>
            <w:proofErr w:type="spellStart"/>
            <w:r w:rsidRPr="00C30CFF">
              <w:rPr>
                <w:color w:val="000000"/>
                <w:kern w:val="0"/>
                <w:sz w:val="24"/>
              </w:rPr>
              <w:t/>
            </w:r>
            <w:proofErr w:type="spellEnd"/>
            <w:r w:rsidRPr="00C30CFF">
              <w:rPr>
                <w:sz w:val="24"/>
              </w:rPr>
              <w:t>68,236,952.80</w:t>
            </w:r>
            <w:r w:rsidRPr="00C30CFF">
              <w:rPr>
                <w:color w:val="000000"/>
                <w:kern w:val="0"/>
                <w:sz w:val="24"/>
              </w:rPr>
              <w:t>份</w:t>
            </w:r>
          </w:p>
        </w:tc>
        <w:tc>
          <w:tcPr>
            <w:tcW w:type="dxa" w:w="2790"/>
            <w:vAlign w:val="center"/>
          </w:tcPr>
          <w:p w:rsidP="00950413" w:rsidR="00F016DD" w:rsidRDefault="00F016DD" w:rsidRPr="00C30CFF">
            <w:pPr>
              <w:jc w:val="left"/>
              <w:rPr>
                <w:sz w:val="24"/>
              </w:rPr>
            </w:pPr>
            <w:r w:rsidRPr="00C30CFF">
              <w:rPr>
                <w:color w:val="000000"/>
                <w:kern w:val="0"/>
                <w:sz w:val="24"/>
              </w:rPr>
              <w:t/>
            </w:r>
            <w:r w:rsidRPr="00C30CFF">
              <w:rPr>
                <w:sz w:val="24"/>
              </w:rPr>
              <w:t>40,088,885.18</w:t>
            </w:r>
            <w:r w:rsidRPr="00C30CFF">
              <w:rPr>
                <w:color w:val="000000"/>
                <w:kern w:val="0"/>
                <w:sz w:val="24"/>
              </w:rPr>
              <w:t>份</w:t>
            </w:r>
          </w:p>
        </w:tc>
      </w:tr>
    </w:tbl>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3  </w:t>
      </w:r>
      <w:r w:rsidRPr="0078105B">
        <w:rPr>
          <w:rFonts w:ascii="宋体" w:cs="Arial" w:hAnsi="宋体" w:hint="eastAsia"/>
          <w:color w:val="000000"/>
          <w:kern w:val="0"/>
          <w:sz w:val="24"/>
          <w:szCs w:val="24"/>
        </w:rPr>
        <w:t>主要财务指标和基金净值表现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3.1 </w:t>
      </w:r>
      <w:r w:rsidRPr="0078105B">
        <w:rPr>
          <w:rFonts w:ascii="宋体" w:cs="Arial" w:hAnsi="宋体" w:hint="eastAsia"/>
          <w:b/>
          <w:color w:val="000000"/>
          <w:kern w:val="0"/>
          <w:sz w:val="24"/>
        </w:rPr>
        <w:t>主要财务指标</w:t>
      </w:r>
    </w:p>
    <w:p w:rsidP="00E27360"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单位：人民币元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481"/>
        <w:gridCol w:w="2481"/>
      </w:tblGrid>
      <w:tr w:rsidR="00F016DD" w:rsidRPr="00FA472B" w:rsidTr="008B5312">
        <w:tc>
          <w:tcPr>
            <w:tcW w:type="dxa" w:w="3402"/>
            <w:vMerge w:val="restart"/>
            <w:vAlign w:val="center"/>
          </w:tcPr>
          <w:p w:rsidP="00E205AA" w:rsidR="00F016DD" w:rsidRDefault="00F016DD" w:rsidRPr="00FA472B">
            <w:pPr>
              <w:adjustRightInd w:val="0"/>
              <w:spacing w:before="29" w:line="360" w:lineRule="auto"/>
              <w:ind w:left="17"/>
              <w:jc w:val="center"/>
              <w:rPr>
                <w:kern w:val="0"/>
                <w:sz w:val="24"/>
              </w:rPr>
            </w:pPr>
            <w:r w:rsidRPr="00FA472B">
              <w:rPr>
                <w:kern w:val="0"/>
                <w:sz w:val="24"/>
              </w:rPr>
              <w:t>主要财务指标</w:t>
            </w:r>
          </w:p>
        </w:tc>
        <w:tc>
          <w:tcPr>
            <w:tcW w:type="dxa" w:w="4962"/>
            <w:gridSpan w:val="2"/>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sz w:val="24"/>
              </w:rPr>
              <w:t>报告期</w:t>
            </w:r>
          </w:p>
          <w:p w:rsidP="00E205AA" w:rsidR="00F016DD" w:rsidRDefault="00F016DD" w:rsidRPr="00FA472B">
            <w:pPr>
              <w:adjustRightInd w:val="0"/>
              <w:spacing w:before="29" w:line="360" w:lineRule="auto"/>
              <w:ind w:left="17"/>
              <w:jc w:val="center"/>
              <w:rPr>
                <w:color w:val="000000"/>
                <w:sz w:val="24"/>
              </w:rPr>
            </w:pPr>
            <w:r w:rsidRPr="00FA472B">
              <w:rPr>
                <w:color w:val="000000"/>
                <w:sz w:val="24"/>
              </w:rPr>
              <w:t>(</w:t>
            </w:r>
            <w:proofErr w:type="spellStart"/>
            <w:r w:rsidRPr="00FA472B">
              <w:rPr>
                <w:color w:val="000000"/>
                <w:sz w:val="24"/>
              </w:rPr>
              <w:t/>
            </w:r>
            <w:proofErr w:type="spellEnd"/>
            <w:r w:rsidRPr="00FA472B">
              <w:rPr>
                <w:color w:val="000000"/>
                <w:sz w:val="24"/>
              </w:rPr>
              <w:t>2020年4月1日-</w:t>
            </w:r>
            <w:proofErr w:type="spellStart"/>
            <w:r w:rsidRPr="00FA472B">
              <w:rPr>
                <w:color w:val="000000"/>
                <w:sz w:val="24"/>
              </w:rPr>
              <w:t/>
            </w:r>
            <w:proofErr w:type="spellEnd"/>
            <w:r w:rsidRPr="00FA472B">
              <w:rPr>
                <w:color w:val="000000"/>
                <w:sz w:val="24"/>
              </w:rPr>
              <w:t>2020年6月30日)</w:t>
            </w:r>
          </w:p>
        </w:tc>
      </w:tr>
      <w:tr w:rsidR="00F016DD" w:rsidRPr="00FA472B" w:rsidTr="008B5312">
        <w:tc>
          <w:tcPr>
            <w:tcW w:type="dxa" w:w="3402"/>
            <w:vMerge/>
            <w:vAlign w:val="center"/>
          </w:tcPr>
          <w:p w:rsidP="00E205AA" w:rsidR="00F016DD" w:rsidRDefault="00F016DD" w:rsidRPr="00FA472B">
            <w:pPr>
              <w:adjustRightInd w:val="0"/>
              <w:spacing w:before="29" w:line="360" w:lineRule="auto"/>
              <w:ind w:left="17"/>
              <w:jc w:val="center"/>
              <w:rPr>
                <w:kern w:val="0"/>
                <w:sz w:val="24"/>
              </w:rPr>
            </w:pP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proofErr w:type="spellStart"/>
            <w:r w:rsidRPr="00FA472B">
              <w:rPr>
                <w:sz w:val="24"/>
              </w:rPr>
              <w:t/>
            </w:r>
            <w:proofErr w:type="spellEnd"/>
            <w:r w:rsidRPr="00FA472B">
              <w:rPr>
                <w:sz w:val="24"/>
              </w:rPr>
              <w:t>易方达量化策略精选混合A</w:t>
            </w:r>
          </w:p>
        </w:tc>
        <w:tc>
          <w:tcPr>
            <w:tcW w:type="dxa" w:w="2481"/>
            <w:vAlign w:val="center"/>
          </w:tcPr>
          <w:p w:rsidP="00E205AA" w:rsidR="00F016DD" w:rsidRDefault="00F016DD" w:rsidRPr="00FA472B">
            <w:pPr>
              <w:adjustRightInd w:val="0"/>
              <w:spacing w:before="29" w:line="360" w:lineRule="auto"/>
              <w:ind w:left="17"/>
              <w:jc w:val="center"/>
              <w:rPr>
                <w:color w:val="000000"/>
                <w:sz w:val="24"/>
              </w:rPr>
            </w:pPr>
            <w:r w:rsidRPr="00FA472B">
              <w:rPr>
                <w:color w:val="000000"/>
                <w:kern w:val="0"/>
                <w:sz w:val="24"/>
              </w:rPr>
              <w:t/>
            </w:r>
            <w:r w:rsidRPr="00FA472B">
              <w:rPr>
                <w:sz w:val="24"/>
              </w:rPr>
              <w:t>易方达量化策略精选混合C</w:t>
            </w:r>
          </w:p>
        </w:tc>
      </w:tr>
      <w:tr w:rsidR="00F016DD" w:rsidRPr="00FA472B" w:rsidTr="00973B57">
        <w:tc>
          <w:tcPr>
            <w:tcW w:type="dxa" w:w="3402"/>
          </w:tcPr>
          <w:p w:rsidP="00973B57" w:rsidR="00F016DD" w:rsidRDefault="00F016DD" w:rsidRPr="00FA472B">
            <w:pPr>
              <w:adjustRightInd w:val="0"/>
              <w:spacing w:before="29" w:line="360" w:lineRule="auto"/>
              <w:ind w:left="17"/>
              <w:rPr>
                <w:kern w:val="0"/>
                <w:sz w:val="24"/>
              </w:rPr>
            </w:pPr>
            <w:r w:rsidRPr="00FA472B">
              <w:rPr>
                <w:kern w:val="0"/>
                <w:sz w:val="24"/>
              </w:rPr>
              <w:t>1.</w:t>
            </w:r>
            <w:r w:rsidRPr="00FA472B">
              <w:rPr>
                <w:kern w:val="0"/>
                <w:sz w:val="24"/>
              </w:rPr>
              <w:t>本期已实现收益</w:t>
            </w:r>
          </w:p>
        </w:tc>
        <w:tc>
          <w:tcPr>
            <w:tcW w:type="dxa" w:w="2481"/>
            <w:vAlign w:val="bottom"/>
          </w:tcPr>
          <w:p w:rsidP="00973B57" w:rsidR="00F016DD" w:rsidRDefault="00F016DD" w:rsidRPr="00FA472B">
            <w:pPr>
              <w:adjustRightInd w:val="0"/>
              <w:spacing w:before="29" w:line="360" w:lineRule="auto"/>
              <w:ind w:left="17"/>
              <w:jc w:val="right"/>
              <w:rPr>
                <w:color w:val="000000"/>
                <w:sz w:val="24"/>
              </w:rPr>
            </w:pPr>
            <w:r w:rsidRPr="00FA472B">
              <w:rPr>
                <w:color w:val="000000"/>
                <w:sz w:val="24"/>
              </w:rPr>
              <w:t>6,839,415.80</w:t>
            </w:r>
          </w:p>
        </w:tc>
        <w:tc>
          <w:tcPr>
            <w:tcW w:type="dxa" w:w="2481"/>
            <w:vAlign w:val="bottom"/>
          </w:tcPr>
          <w:p w:rsidP="0037768B" w:rsidR="00F016DD" w:rsidRDefault="00F016DD" w:rsidRPr="00FA472B">
            <w:pPr>
              <w:adjustRightInd w:val="0"/>
              <w:spacing w:before="29" w:line="360" w:lineRule="auto"/>
              <w:ind w:left="17"/>
              <w:jc w:val="right"/>
              <w:rPr>
                <w:color w:val="000000"/>
                <w:sz w:val="24"/>
              </w:rPr>
            </w:pPr>
            <w:r w:rsidRPr="00FA472B">
              <w:rPr>
                <w:color w:val="000000"/>
                <w:sz w:val="24"/>
              </w:rPr>
              <w:t>2,659,509.11</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2.</w:t>
            </w:r>
            <w:r w:rsidRPr="00FA472B">
              <w:rPr>
                <w:kern w:val="0"/>
                <w:sz w:val="24"/>
              </w:rPr>
              <w:t>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21,130,079.94</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9,351,916.40</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3.</w:t>
            </w:r>
            <w:r w:rsidRPr="00FA472B">
              <w:rPr>
                <w:kern w:val="0"/>
                <w:sz w:val="24"/>
              </w:rPr>
              <w:t>加权平均基金份额本期利润</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0.2975</w:t>
            </w:r>
          </w:p>
        </w:tc>
        <w:tc>
          <w:tcPr>
            <w:tcW w:type="dxa" w:w="2481"/>
            <w:vAlign w:val="bottom"/>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0.3124</w:t>
            </w:r>
          </w:p>
        </w:tc>
      </w:tr>
      <w:tr w:rsidR="00F016DD" w:rsidRPr="00FA472B" w:rsidTr="009A5C1D">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t>4.</w:t>
            </w:r>
            <w:r w:rsidRPr="00FA472B">
              <w:rPr>
                <w:kern w:val="0"/>
                <w:sz w:val="24"/>
              </w:rPr>
              <w:t>期末基金资产净值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92,895,007.77</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53,888,732.89</w:t>
            </w:r>
          </w:p>
        </w:tc>
      </w:tr>
      <w:tr w:rsidR="00F016DD" w:rsidRPr="00FA472B" w:rsidTr="009A5C1D">
        <w:trPr>
          <w:trHeight w:val="158"/>
        </w:trPr>
        <w:tc>
          <w:tcPr>
            <w:tcW w:type="dxa" w:w="3402"/>
          </w:tcPr>
          <w:p w:rsidP="00E205AA" w:rsidR="00F016DD" w:rsidRDefault="00F016DD" w:rsidRPr="00FA472B">
            <w:pPr>
              <w:adjustRightInd w:val="0"/>
              <w:spacing w:before="29" w:line="360" w:lineRule="auto"/>
              <w:ind w:left="17"/>
              <w:rPr>
                <w:kern w:val="0"/>
                <w:sz w:val="24"/>
              </w:rPr>
            </w:pPr>
            <w:r w:rsidRPr="00FA472B">
              <w:rPr>
                <w:kern w:val="0"/>
                <w:sz w:val="24"/>
              </w:rPr>
              <w:lastRenderedPageBreak/>
              <w:t>5.</w:t>
            </w:r>
            <w:r w:rsidRPr="00FA472B">
              <w:rPr>
                <w:kern w:val="0"/>
                <w:sz w:val="24"/>
              </w:rPr>
              <w:t>期末基金份额净值</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1.361</w:t>
            </w:r>
          </w:p>
        </w:tc>
        <w:tc>
          <w:tcPr>
            <w:tcW w:type="dxa" w:w="2481"/>
          </w:tcPr>
          <w:p w:rsidP="004A67B0" w:rsidR="00F016DD" w:rsidRDefault="00F016DD" w:rsidRPr="00FA472B">
            <w:pPr>
              <w:adjustRightInd w:val="0"/>
              <w:spacing w:before="29" w:line="360" w:lineRule="auto"/>
              <w:ind w:left="17"/>
              <w:jc w:val="right"/>
              <w:rPr>
                <w:color w:val="000000"/>
                <w:sz w:val="24"/>
              </w:rPr>
            </w:pPr>
            <w:r w:rsidRPr="00FA472B">
              <w:rPr>
                <w:color w:val="000000"/>
                <w:sz w:val="24"/>
              </w:rPr>
              <w:t>1.344</w:t>
            </w:r>
          </w:p>
        </w:tc>
      </w:tr>
    </w:tbl>
    <w:p>
      <w:pPr>
        <w:spacing w:line="360" w:lineRule="auto"/>
        <w:ind w:firstLine="480" w:firstLineChars="200"/>
        <w:rPr>
          <w:color w:val="000000"/>
          <w:sz w:val="24"/>
        </w:rPr>
      </w:pPr>
      <w:r>
        <w:rPr>
          <w:color w:val="000000"/>
          <w:sz w:val="24"/>
        </w:rPr>
        <w:t>注：1.所述基金业绩指标不包括持有人认购或交易基金的各项费用，计入费用后实际收益水平要低于所列数字。</w:t>
      </w:r>
    </w:p>
    <w:p w:rsidP="00C30CFF" w:rsidR="00F016DD" w:rsidRDefault="00F016DD" w:rsidRPr="00C30CFF">
      <w:pPr>
        <w:spacing w:line="360" w:lineRule="auto"/>
        <w:ind w:firstLine="480" w:firstLineChars="200"/>
        <w:rPr>
          <w:color w:val="000000"/>
          <w:sz w:val="24"/>
        </w:rPr>
      </w:pPr>
      <w:r w:rsidRPr="00C30CFF">
        <w:rPr>
          <w:color w:val="000000"/>
          <w:sz w:val="24"/>
        </w:rPr>
        <w:t/>
      </w:r>
      <w:proofErr w:type="spellStart"/>
      <w:proofErr w:type="gramStart"/>
      <w:r w:rsidRPr="00C30CFF">
        <w:rPr>
          <w:color w:val="000000"/>
          <w:sz w:val="24"/>
        </w:rPr>
        <w:t/>
      </w:r>
      <w:proofErr w:type="spellEnd"/>
      <w:proofErr w:type="gramEnd"/>
      <w:r w:rsidRPr="00C30CFF">
        <w:rPr>
          <w:color w:val="000000"/>
          <w:sz w:val="24"/>
        </w:rPr>
        <w:t>2.本期已实现收益指基金本期利息收入、投资收益、其他收入（不含公允价值变动收益）扣除相关费用后的余额，本期利润为本期已实现收益加上本期公允价值变动收益。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3.2 </w:t>
      </w:r>
      <w:r w:rsidRPr="0078105B">
        <w:rPr>
          <w:rFonts w:ascii="宋体" w:cs="Arial" w:hAnsi="宋体" w:hint="eastAsia"/>
          <w:b/>
          <w:color w:val="000000"/>
          <w:kern w:val="0"/>
          <w:sz w:val="24"/>
        </w:rPr>
        <w:t>基金净值表现</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3.2.1</w:t>
      </w:r>
      <w:r w:rsidRPr="0078105B">
        <w:rPr>
          <w:rFonts w:ascii="宋体" w:cs="Arial" w:hAnsi="宋体" w:hint="eastAsia"/>
          <w:b/>
          <w:color w:val="000000"/>
          <w:kern w:val="0"/>
          <w:sz w:val="24"/>
        </w:rPr>
        <w:t>本报告</w:t>
      </w:r>
      <w:proofErr w:type="gramStart"/>
      <w:r w:rsidRPr="0078105B">
        <w:rPr>
          <w:rFonts w:ascii="宋体" w:cs="Arial" w:hAnsi="宋体" w:hint="eastAsia"/>
          <w:b/>
          <w:color w:val="000000"/>
          <w:kern w:val="0"/>
          <w:sz w:val="24"/>
        </w:rPr>
        <w:t>期基金</w:t>
      </w:r>
      <w:proofErr w:type="gramEnd"/>
      <w:r w:rsidRPr="0078105B">
        <w:rPr>
          <w:rFonts w:ascii="宋体" w:cs="Arial" w:hAnsi="宋体" w:hint="eastAsia"/>
          <w:b/>
          <w:color w:val="000000"/>
          <w:kern w:val="0"/>
          <w:sz w:val="24"/>
        </w:rPr>
        <w:t>份额净值增长率及其与同期业绩比较基准收益率的比较</w:t>
      </w:r>
    </w:p>
    <w:p w:rsidP="00174038" w:rsidR="00F016DD" w:rsidRDefault="00F016DD" w:rsidRPr="0078105B">
      <w:pPr>
        <w:spacing w:line="360" w:lineRule="auto"/>
        <w:ind w:firstLine="361" w:firstLineChars="150"/>
        <w:rPr>
          <w:rFonts w:ascii="宋体"/>
          <w:b/>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spellStart"/>
      <w:r w:rsidRPr="0078105B">
        <w:rPr>
          <w:rFonts w:ascii="宋体" w:cs="Arial" w:hAnsi="宋体"/>
          <w:b/>
          <w:color w:val="000000"/>
          <w:kern w:val="0"/>
          <w:sz w:val="24"/>
        </w:rPr>
        <w:t/>
      </w:r>
      <w:proofErr w:type="spellEnd"/>
      <w:r w:rsidRPr="0078105B">
        <w:rPr>
          <w:rFonts w:ascii="宋体" w:cs="Arial" w:hAnsi="宋体"/>
          <w:b/>
          <w:color w:val="000000"/>
          <w:kern w:val="0"/>
          <w:sz w:val="24"/>
        </w:rPr>
        <w:t/>
      </w:r>
      <w:proofErr w:type="gramEnd"/>
      <w:r w:rsidRPr="0078105B">
        <w:rPr>
          <w:rFonts w:ascii="宋体" w:cs="Arial" w:hAnsi="宋体"/>
          <w:b/>
          <w:color w:val="000000"/>
          <w:kern w:val="0"/>
          <w:sz w:val="24"/>
        </w:rPr>
        <w:t>易方达量化策略精选混合A</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414367">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28.28%</w:t>
            </w:r>
          </w:p>
        </w:tc>
        <w:tc>
          <w:tcPr>
            <w:vAlign w:val="center"/>
          </w:tcPr>
          <w:p>
            <w:pPr>
              <w:jc w:val="center"/>
            </w:pPr>
            <w:r>
              <w:rPr>
                <w:color w:val="000000"/>
                <w:sz w:val="24"/>
              </w:rPr>
              <w:t>1.13%</w:t>
            </w:r>
          </w:p>
        </w:tc>
        <w:tc>
          <w:tcPr>
            <w:vAlign w:val="center"/>
          </w:tcPr>
          <w:p>
            <w:pPr>
              <w:jc w:val="center"/>
            </w:pPr>
            <w:r>
              <w:rPr>
                <w:color w:val="000000"/>
                <w:sz w:val="24"/>
              </w:rPr>
              <w:t>7.91%</w:t>
            </w:r>
          </w:p>
        </w:tc>
        <w:tc>
          <w:tcPr>
            <w:vAlign w:val="center"/>
          </w:tcPr>
          <w:p>
            <w:pPr>
              <w:jc w:val="center"/>
            </w:pPr>
            <w:r>
              <w:rPr>
                <w:color w:val="000000"/>
                <w:sz w:val="24"/>
              </w:rPr>
              <w:t>0.54%</w:t>
            </w:r>
          </w:p>
        </w:tc>
        <w:tc>
          <w:tcPr>
            <w:vAlign w:val="center"/>
          </w:tcPr>
          <w:p>
            <w:pPr>
              <w:jc w:val="center"/>
            </w:pPr>
            <w:r>
              <w:rPr>
                <w:color w:val="000000"/>
                <w:sz w:val="24"/>
              </w:rPr>
              <w:t>20.37%</w:t>
            </w:r>
          </w:p>
        </w:tc>
        <w:tc>
          <w:tcPr>
            <w:vAlign w:val="center"/>
          </w:tcPr>
          <w:p>
            <w:pPr>
              <w:jc w:val="center"/>
            </w:pPr>
            <w:r>
              <w:rPr>
                <w:color w:val="000000"/>
                <w:sz w:val="24"/>
              </w:rPr>
              <w:t>0.59%</w:t>
            </w:r>
          </w:p>
        </w:tc>
      </w:tr>
      <w:tr>
        <w:tc>
          <w:tcPr>
            <w:vAlign w:val="center"/>
          </w:tcPr>
          <w:p>
            <w:pPr>
              <w:jc w:val="left"/>
            </w:pPr>
            <w:r>
              <w:rPr>
                <w:color w:val="000000"/>
                <w:sz w:val="24"/>
              </w:rPr>
              <w:t>过去六个月</w:t>
            </w:r>
          </w:p>
        </w:tc>
        <w:tc>
          <w:tcPr>
            <w:vAlign w:val="center"/>
          </w:tcPr>
          <w:p>
            <w:pPr>
              <w:jc w:val="center"/>
            </w:pPr>
            <w:r>
              <w:rPr>
                <w:color w:val="000000"/>
                <w:sz w:val="24"/>
              </w:rPr>
              <w:t>27.43%</w:t>
            </w:r>
          </w:p>
        </w:tc>
        <w:tc>
          <w:tcPr>
            <w:vAlign w:val="center"/>
          </w:tcPr>
          <w:p>
            <w:pPr>
              <w:jc w:val="center"/>
            </w:pPr>
            <w:r>
              <w:rPr>
                <w:color w:val="000000"/>
                <w:sz w:val="24"/>
              </w:rPr>
              <w:t>1.66%</w:t>
            </w:r>
          </w:p>
        </w:tc>
        <w:tc>
          <w:tcPr>
            <w:vAlign w:val="center"/>
          </w:tcPr>
          <w:p>
            <w:pPr>
              <w:jc w:val="center"/>
            </w:pPr>
            <w:r>
              <w:rPr>
                <w:color w:val="000000"/>
                <w:sz w:val="24"/>
              </w:rPr>
              <w:t>2.50%</w:t>
            </w:r>
          </w:p>
        </w:tc>
        <w:tc>
          <w:tcPr>
            <w:vAlign w:val="center"/>
          </w:tcPr>
          <w:p>
            <w:pPr>
              <w:jc w:val="center"/>
            </w:pPr>
            <w:r>
              <w:rPr>
                <w:color w:val="000000"/>
                <w:sz w:val="24"/>
              </w:rPr>
              <w:t>0.90%</w:t>
            </w:r>
          </w:p>
        </w:tc>
        <w:tc>
          <w:tcPr>
            <w:vAlign w:val="center"/>
          </w:tcPr>
          <w:p>
            <w:pPr>
              <w:jc w:val="center"/>
            </w:pPr>
            <w:r>
              <w:rPr>
                <w:color w:val="000000"/>
                <w:sz w:val="24"/>
              </w:rPr>
              <w:t>24.93%</w:t>
            </w:r>
          </w:p>
        </w:tc>
        <w:tc>
          <w:tcPr>
            <w:vAlign w:val="center"/>
          </w:tcPr>
          <w:p>
            <w:pPr>
              <w:jc w:val="center"/>
            </w:pPr>
            <w:r>
              <w:rPr>
                <w:color w:val="000000"/>
                <w:sz w:val="24"/>
              </w:rPr>
              <w:t>0.76%</w:t>
            </w:r>
          </w:p>
        </w:tc>
      </w:tr>
      <w:tr>
        <w:tc>
          <w:tcPr>
            <w:vAlign w:val="center"/>
          </w:tcPr>
          <w:p>
            <w:pPr>
              <w:jc w:val="left"/>
            </w:pPr>
            <w:r>
              <w:rPr>
                <w:color w:val="000000"/>
                <w:sz w:val="24"/>
              </w:rPr>
              <w:t>过去一年</w:t>
            </w:r>
          </w:p>
        </w:tc>
        <w:tc>
          <w:tcPr>
            <w:vAlign w:val="center"/>
          </w:tcPr>
          <w:p>
            <w:pPr>
              <w:jc w:val="center"/>
            </w:pPr>
            <w:r>
              <w:rPr>
                <w:color w:val="000000"/>
                <w:sz w:val="24"/>
              </w:rPr>
              <w:t>49.40%</w:t>
            </w:r>
          </w:p>
        </w:tc>
        <w:tc>
          <w:tcPr>
            <w:vAlign w:val="center"/>
          </w:tcPr>
          <w:p>
            <w:pPr>
              <w:jc w:val="center"/>
            </w:pPr>
            <w:r>
              <w:rPr>
                <w:color w:val="000000"/>
                <w:sz w:val="24"/>
              </w:rPr>
              <w:t>1.31%</w:t>
            </w:r>
          </w:p>
        </w:tc>
        <w:tc>
          <w:tcPr>
            <w:vAlign w:val="center"/>
          </w:tcPr>
          <w:p>
            <w:pPr>
              <w:jc w:val="center"/>
            </w:pPr>
            <w:r>
              <w:rPr>
                <w:color w:val="000000"/>
                <w:sz w:val="24"/>
              </w:rPr>
              <w:t>7.88%</w:t>
            </w:r>
          </w:p>
        </w:tc>
        <w:tc>
          <w:tcPr>
            <w:vAlign w:val="center"/>
          </w:tcPr>
          <w:p>
            <w:pPr>
              <w:jc w:val="center"/>
            </w:pPr>
            <w:r>
              <w:rPr>
                <w:color w:val="000000"/>
                <w:sz w:val="24"/>
              </w:rPr>
              <w:t>0.73%</w:t>
            </w:r>
          </w:p>
        </w:tc>
        <w:tc>
          <w:tcPr>
            <w:vAlign w:val="center"/>
          </w:tcPr>
          <w:p>
            <w:pPr>
              <w:jc w:val="center"/>
            </w:pPr>
            <w:r>
              <w:rPr>
                <w:color w:val="000000"/>
                <w:sz w:val="24"/>
              </w:rPr>
              <w:t>41.52%</w:t>
            </w:r>
          </w:p>
        </w:tc>
        <w:tc>
          <w:tcPr>
            <w:vAlign w:val="center"/>
          </w:tcPr>
          <w:p>
            <w:pPr>
              <w:jc w:val="center"/>
            </w:pPr>
            <w:r>
              <w:rPr>
                <w:color w:val="000000"/>
                <w:sz w:val="24"/>
              </w:rPr>
              <w:t>0.58%</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36.10%</w:t>
            </w:r>
          </w:p>
        </w:tc>
        <w:tc>
          <w:tcPr>
            <w:vAlign w:val="center"/>
          </w:tcPr>
          <w:p>
            <w:pPr>
              <w:jc w:val="center"/>
            </w:pPr>
            <w:r>
              <w:rPr>
                <w:color w:val="000000"/>
                <w:sz w:val="24"/>
              </w:rPr>
              <w:t>1.34%</w:t>
            </w:r>
          </w:p>
        </w:tc>
        <w:tc>
          <w:tcPr>
            <w:vAlign w:val="center"/>
          </w:tcPr>
          <w:p>
            <w:pPr>
              <w:jc w:val="center"/>
            </w:pPr>
            <w:r>
              <w:rPr>
                <w:color w:val="000000"/>
                <w:sz w:val="24"/>
              </w:rPr>
              <w:t>9.39%</w:t>
            </w:r>
          </w:p>
        </w:tc>
        <w:tc>
          <w:tcPr>
            <w:vAlign w:val="center"/>
          </w:tcPr>
          <w:p>
            <w:pPr>
              <w:jc w:val="center"/>
            </w:pPr>
            <w:r>
              <w:rPr>
                <w:color w:val="000000"/>
                <w:sz w:val="24"/>
              </w:rPr>
              <w:t>0.80%</w:t>
            </w:r>
          </w:p>
        </w:tc>
        <w:tc>
          <w:tcPr>
            <w:vAlign w:val="center"/>
          </w:tcPr>
          <w:p>
            <w:pPr>
              <w:jc w:val="center"/>
            </w:pPr>
            <w:r>
              <w:rPr>
                <w:color w:val="000000"/>
                <w:sz w:val="24"/>
              </w:rPr>
              <w:t>26.71%</w:t>
            </w:r>
          </w:p>
        </w:tc>
        <w:tc>
          <w:tcPr>
            <w:vAlign w:val="center"/>
          </w:tcPr>
          <w:p>
            <w:pPr>
              <w:jc w:val="center"/>
            </w:pPr>
            <w:r>
              <w:rPr>
                <w:color w:val="000000"/>
                <w:sz w:val="24"/>
              </w:rPr>
              <w:t>0.54%</w:t>
            </w:r>
          </w:p>
        </w:tc>
      </w:tr>
    </w:tbl>
    <w:p w:rsidP="00174038" w:rsidR="00F016DD" w:rsidRDefault="00F016DD" w:rsidRPr="0078105B">
      <w:pPr>
        <w:adjustRightInd w:val="0"/>
        <w:spacing w:line="360" w:lineRule="auto"/>
        <w:ind w:firstLine="361" w:firstLineChars="150"/>
        <w:rPr>
          <w:rFonts w:ascii="宋体" w:cs="Arial"/>
          <w:b/>
          <w:color w:val="000000"/>
          <w:kern w:val="0"/>
          <w:sz w:val="24"/>
        </w:rPr>
      </w:pPr>
      <w:r w:rsidRPr="0078105B">
        <w:rPr>
          <w:rFonts w:ascii="宋体" w:cs="Arial"/>
          <w:b/>
          <w:color w:val="000000"/>
          <w:kern w:val="0"/>
          <w:sz w:val="24"/>
        </w:rPr>
        <w:t/>
      </w:r>
      <w:proofErr w:type="gramStart"/>
      <w:r w:rsidRPr="0078105B">
        <w:rPr>
          <w:rFonts w:ascii="宋体" w:cs="Arial" w:hAnsi="宋体"/>
          <w:b/>
          <w:color w:val="000000"/>
          <w:kern w:val="0"/>
          <w:sz w:val="24"/>
        </w:rPr>
        <w:t/>
      </w:r>
      <w:proofErr w:type="gramEnd"/>
      <w:r w:rsidRPr="0078105B">
        <w:rPr>
          <w:rFonts w:ascii="宋体" w:cs="Arial" w:hAnsi="宋体"/>
          <w:b/>
          <w:color w:val="000000"/>
          <w:kern w:val="0"/>
          <w:sz w:val="24"/>
        </w:rPr>
        <w:t>易方达量化策略精选混合C</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290"/>
        <w:gridCol w:w="1291"/>
        <w:gridCol w:w="1291"/>
        <w:gridCol w:w="1291"/>
        <w:gridCol w:w="1291"/>
        <w:gridCol w:w="1291"/>
        <w:gridCol w:w="1291"/>
      </w:tblGrid>
      <w:tr w:rsidR="00F016DD" w:rsidRPr="0078105B" w:rsidTr="00F4518C">
        <w:tc>
          <w:tcPr>
            <w:tcW w:type="dxa" w:w="1290"/>
            <w:vAlign w:val="center"/>
          </w:tcPr>
          <w:p w:rsidP="00F4518C" w:rsidR="00F016DD" w:rsidRDefault="00F016DD" w:rsidRPr="00FA472B">
            <w:pPr>
              <w:snapToGrid w:val="0"/>
              <w:spacing w:line="288" w:lineRule="auto"/>
              <w:jc w:val="center"/>
              <w:rPr>
                <w:color w:val="000000"/>
                <w:sz w:val="24"/>
              </w:rPr>
            </w:pPr>
            <w:r w:rsidRPr="00FA472B">
              <w:rPr>
                <w:color w:val="000000"/>
                <w:sz w:val="24"/>
              </w:rPr>
              <w:t>阶段</w:t>
            </w:r>
            <w:r w:rsidRPr="00FA472B">
              <w:rPr>
                <w:color w:val="000000"/>
                <w:sz w:val="24"/>
              </w:rPr>
              <w:t/>
            </w:r>
            <w:proofErr w:type="spellStart"/>
            <w:r w:rsidRPr="00FA472B">
              <w:rPr>
                <w:color w:val="000000"/>
                <w:sz w:val="24"/>
              </w:rPr>
              <w:t/>
            </w:r>
            <w:proofErr w:type="spellEnd"/>
            <w:r w:rsidRPr="00FA472B">
              <w:rPr>
                <w:color w:val="000000"/>
                <w:sz w:val="24"/>
              </w:rPr>
              <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w:t>
            </w:r>
            <w:r w:rsidRPr="00414367">
              <w:rPr>
                <w:rFonts w:ascii="宋体" w:cs="宋体" w:hAnsi="宋体" w:hint="eastAsia"/>
                <w:color w:val="000000"/>
                <w:sz w:val="24"/>
              </w:rPr>
              <w:t>①</w:t>
            </w:r>
          </w:p>
        </w:tc>
        <w:tc>
          <w:tcPr>
            <w:tcW w:type="dxa" w:w="1291"/>
            <w:vAlign w:val="center"/>
          </w:tcPr>
          <w:p w:rsidP="00F4518C" w:rsidR="00F016DD" w:rsidRDefault="00F016DD" w:rsidRPr="00FA472B">
            <w:pPr>
              <w:snapToGrid w:val="0"/>
              <w:spacing w:line="288" w:lineRule="auto"/>
              <w:jc w:val="center"/>
              <w:rPr>
                <w:color w:val="000000"/>
                <w:sz w:val="24"/>
                <w:highlight w:val="green"/>
              </w:rPr>
            </w:pPr>
            <w:r w:rsidRPr="00FA472B">
              <w:rPr>
                <w:color w:val="000000"/>
                <w:sz w:val="24"/>
              </w:rPr>
              <w:t>净值增长率标准差</w:t>
            </w:r>
            <w:r w:rsidRPr="00414367">
              <w:rPr>
                <w:rFonts w:ascii="宋体" w:cs="宋体" w:hAnsi="宋体" w:hint="eastAsia"/>
                <w:color w:val="000000"/>
                <w:sz w:val="24"/>
              </w:rPr>
              <w:t>②</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FA472B">
              <w:rPr>
                <w:color w:val="000000"/>
                <w:sz w:val="24"/>
              </w:rPr>
              <w:t>业绩比较基准收益率标准差</w:t>
            </w:r>
            <w:r w:rsidRPr="00414367">
              <w:rPr>
                <w:rFonts w:ascii="宋体" w:cs="宋体" w:hAnsi="宋体" w:hint="eastAsia"/>
                <w:color w:val="000000"/>
                <w:sz w:val="24"/>
              </w:rPr>
              <w:t>④</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①</w:t>
            </w:r>
            <w:r w:rsidRPr="00FA472B">
              <w:rPr>
                <w:color w:val="000000"/>
                <w:sz w:val="24"/>
              </w:rPr>
              <w:t>－</w:t>
            </w:r>
            <w:r w:rsidRPr="00414367">
              <w:rPr>
                <w:rFonts w:ascii="宋体" w:cs="宋体" w:hAnsi="宋体" w:hint="eastAsia"/>
                <w:color w:val="000000"/>
                <w:sz w:val="24"/>
              </w:rPr>
              <w:t>③</w:t>
            </w:r>
          </w:p>
        </w:tc>
        <w:tc>
          <w:tcPr>
            <w:tcW w:type="dxa" w:w="1291"/>
            <w:vAlign w:val="center"/>
          </w:tcPr>
          <w:p w:rsidP="00F4518C" w:rsidR="00F016DD" w:rsidRDefault="00F016DD" w:rsidRPr="00FA472B">
            <w:pPr>
              <w:snapToGrid w:val="0"/>
              <w:spacing w:line="288" w:lineRule="auto"/>
              <w:jc w:val="center"/>
              <w:rPr>
                <w:color w:val="000000"/>
                <w:sz w:val="24"/>
              </w:rPr>
            </w:pPr>
            <w:r w:rsidRPr="00414367">
              <w:rPr>
                <w:rFonts w:ascii="宋体" w:cs="宋体" w:hAnsi="宋体" w:hint="eastAsia"/>
                <w:color w:val="000000"/>
                <w:sz w:val="24"/>
              </w:rPr>
              <w:t>②</w:t>
            </w:r>
            <w:r w:rsidRPr="00FA472B">
              <w:rPr>
                <w:color w:val="000000"/>
                <w:sz w:val="24"/>
              </w:rPr>
              <w:t>－</w:t>
            </w:r>
            <w:r w:rsidRPr="00414367">
              <w:rPr>
                <w:rFonts w:ascii="宋体" w:cs="宋体" w:hAnsi="宋体" w:hint="eastAsia"/>
                <w:color w:val="000000"/>
                <w:sz w:val="24"/>
              </w:rPr>
              <w:t>④</w:t>
            </w:r>
          </w:p>
        </w:tc>
      </w:tr>
      <w:tr>
        <w:tc>
          <w:tcPr>
            <w:vAlign w:val="center"/>
          </w:tcPr>
          <w:p>
            <w:pPr>
              <w:jc w:val="left"/>
            </w:pPr>
            <w:r>
              <w:rPr>
                <w:color w:val="000000"/>
                <w:sz w:val="24"/>
              </w:rPr>
              <w:t>过去三个月</w:t>
            </w:r>
          </w:p>
        </w:tc>
        <w:tc>
          <w:tcPr>
            <w:vAlign w:val="center"/>
          </w:tcPr>
          <w:p>
            <w:pPr>
              <w:jc w:val="center"/>
            </w:pPr>
            <w:r>
              <w:rPr>
                <w:color w:val="000000"/>
                <w:sz w:val="24"/>
              </w:rPr>
              <w:t>28.12%</w:t>
            </w:r>
          </w:p>
        </w:tc>
        <w:tc>
          <w:tcPr>
            <w:vAlign w:val="center"/>
          </w:tcPr>
          <w:p>
            <w:pPr>
              <w:jc w:val="center"/>
            </w:pPr>
            <w:r>
              <w:rPr>
                <w:color w:val="000000"/>
                <w:sz w:val="24"/>
              </w:rPr>
              <w:t>1.13%</w:t>
            </w:r>
          </w:p>
        </w:tc>
        <w:tc>
          <w:tcPr>
            <w:vAlign w:val="center"/>
          </w:tcPr>
          <w:p>
            <w:pPr>
              <w:jc w:val="center"/>
            </w:pPr>
            <w:r>
              <w:rPr>
                <w:color w:val="000000"/>
                <w:sz w:val="24"/>
              </w:rPr>
              <w:t>7.91%</w:t>
            </w:r>
          </w:p>
        </w:tc>
        <w:tc>
          <w:tcPr>
            <w:vAlign w:val="center"/>
          </w:tcPr>
          <w:p>
            <w:pPr>
              <w:jc w:val="center"/>
            </w:pPr>
            <w:r>
              <w:rPr>
                <w:color w:val="000000"/>
                <w:sz w:val="24"/>
              </w:rPr>
              <w:t>0.54%</w:t>
            </w:r>
          </w:p>
        </w:tc>
        <w:tc>
          <w:tcPr>
            <w:vAlign w:val="center"/>
          </w:tcPr>
          <w:p>
            <w:pPr>
              <w:jc w:val="center"/>
            </w:pPr>
            <w:r>
              <w:rPr>
                <w:color w:val="000000"/>
                <w:sz w:val="24"/>
              </w:rPr>
              <w:t>20.21%</w:t>
            </w:r>
          </w:p>
        </w:tc>
        <w:tc>
          <w:tcPr>
            <w:vAlign w:val="center"/>
          </w:tcPr>
          <w:p>
            <w:pPr>
              <w:jc w:val="center"/>
            </w:pPr>
            <w:r>
              <w:rPr>
                <w:color w:val="000000"/>
                <w:sz w:val="24"/>
              </w:rPr>
              <w:t>0.59%</w:t>
            </w:r>
          </w:p>
        </w:tc>
      </w:tr>
      <w:tr>
        <w:tc>
          <w:tcPr>
            <w:vAlign w:val="center"/>
          </w:tcPr>
          <w:p>
            <w:pPr>
              <w:jc w:val="left"/>
            </w:pPr>
            <w:r>
              <w:rPr>
                <w:color w:val="000000"/>
                <w:sz w:val="24"/>
              </w:rPr>
              <w:t>过去六个月</w:t>
            </w:r>
          </w:p>
        </w:tc>
        <w:tc>
          <w:tcPr>
            <w:vAlign w:val="center"/>
          </w:tcPr>
          <w:p>
            <w:pPr>
              <w:jc w:val="center"/>
            </w:pPr>
            <w:r>
              <w:rPr>
                <w:color w:val="000000"/>
                <w:sz w:val="24"/>
              </w:rPr>
              <w:t>27.15%</w:t>
            </w:r>
          </w:p>
        </w:tc>
        <w:tc>
          <w:tcPr>
            <w:vAlign w:val="center"/>
          </w:tcPr>
          <w:p>
            <w:pPr>
              <w:jc w:val="center"/>
            </w:pPr>
            <w:r>
              <w:rPr>
                <w:color w:val="000000"/>
                <w:sz w:val="24"/>
              </w:rPr>
              <w:t>1.66%</w:t>
            </w:r>
          </w:p>
        </w:tc>
        <w:tc>
          <w:tcPr>
            <w:vAlign w:val="center"/>
          </w:tcPr>
          <w:p>
            <w:pPr>
              <w:jc w:val="center"/>
            </w:pPr>
            <w:r>
              <w:rPr>
                <w:color w:val="000000"/>
                <w:sz w:val="24"/>
              </w:rPr>
              <w:t>2.50%</w:t>
            </w:r>
          </w:p>
        </w:tc>
        <w:tc>
          <w:tcPr>
            <w:vAlign w:val="center"/>
          </w:tcPr>
          <w:p>
            <w:pPr>
              <w:jc w:val="center"/>
            </w:pPr>
            <w:r>
              <w:rPr>
                <w:color w:val="000000"/>
                <w:sz w:val="24"/>
              </w:rPr>
              <w:t>0.90%</w:t>
            </w:r>
          </w:p>
        </w:tc>
        <w:tc>
          <w:tcPr>
            <w:vAlign w:val="center"/>
          </w:tcPr>
          <w:p>
            <w:pPr>
              <w:jc w:val="center"/>
            </w:pPr>
            <w:r>
              <w:rPr>
                <w:color w:val="000000"/>
                <w:sz w:val="24"/>
              </w:rPr>
              <w:t>24.65%</w:t>
            </w:r>
          </w:p>
        </w:tc>
        <w:tc>
          <w:tcPr>
            <w:vAlign w:val="center"/>
          </w:tcPr>
          <w:p>
            <w:pPr>
              <w:jc w:val="center"/>
            </w:pPr>
            <w:r>
              <w:rPr>
                <w:color w:val="000000"/>
                <w:sz w:val="24"/>
              </w:rPr>
              <w:t>0.76%</w:t>
            </w:r>
          </w:p>
        </w:tc>
      </w:tr>
      <w:tr>
        <w:tc>
          <w:tcPr>
            <w:vAlign w:val="center"/>
          </w:tcPr>
          <w:p>
            <w:pPr>
              <w:jc w:val="left"/>
            </w:pPr>
            <w:r>
              <w:rPr>
                <w:color w:val="000000"/>
                <w:sz w:val="24"/>
              </w:rPr>
              <w:t>过去一年</w:t>
            </w:r>
          </w:p>
        </w:tc>
        <w:tc>
          <w:tcPr>
            <w:vAlign w:val="center"/>
          </w:tcPr>
          <w:p>
            <w:pPr>
              <w:jc w:val="center"/>
            </w:pPr>
            <w:r>
              <w:rPr>
                <w:color w:val="000000"/>
                <w:sz w:val="24"/>
              </w:rPr>
              <w:t>48.67%</w:t>
            </w:r>
          </w:p>
        </w:tc>
        <w:tc>
          <w:tcPr>
            <w:vAlign w:val="center"/>
          </w:tcPr>
          <w:p>
            <w:pPr>
              <w:jc w:val="center"/>
            </w:pPr>
            <w:r>
              <w:rPr>
                <w:color w:val="000000"/>
                <w:sz w:val="24"/>
              </w:rPr>
              <w:t>1.31%</w:t>
            </w:r>
          </w:p>
        </w:tc>
        <w:tc>
          <w:tcPr>
            <w:vAlign w:val="center"/>
          </w:tcPr>
          <w:p>
            <w:pPr>
              <w:jc w:val="center"/>
            </w:pPr>
            <w:r>
              <w:rPr>
                <w:color w:val="000000"/>
                <w:sz w:val="24"/>
              </w:rPr>
              <w:t>7.88%</w:t>
            </w:r>
          </w:p>
        </w:tc>
        <w:tc>
          <w:tcPr>
            <w:vAlign w:val="center"/>
          </w:tcPr>
          <w:p>
            <w:pPr>
              <w:jc w:val="center"/>
            </w:pPr>
            <w:r>
              <w:rPr>
                <w:color w:val="000000"/>
                <w:sz w:val="24"/>
              </w:rPr>
              <w:t>0.73%</w:t>
            </w:r>
          </w:p>
        </w:tc>
        <w:tc>
          <w:tcPr>
            <w:vAlign w:val="center"/>
          </w:tcPr>
          <w:p>
            <w:pPr>
              <w:jc w:val="center"/>
            </w:pPr>
            <w:r>
              <w:rPr>
                <w:color w:val="000000"/>
                <w:sz w:val="24"/>
              </w:rPr>
              <w:t>40.79%</w:t>
            </w:r>
          </w:p>
        </w:tc>
        <w:tc>
          <w:tcPr>
            <w:vAlign w:val="center"/>
          </w:tcPr>
          <w:p>
            <w:pPr>
              <w:jc w:val="center"/>
            </w:pPr>
            <w:r>
              <w:rPr>
                <w:color w:val="000000"/>
                <w:sz w:val="24"/>
              </w:rPr>
              <w:t>0.58%</w:t>
            </w:r>
          </w:p>
        </w:tc>
      </w:tr>
      <w:tr>
        <w:tc>
          <w:tcPr>
            <w:vAlign w:val="center"/>
          </w:tcPr>
          <w:p>
            <w:pPr>
              <w:jc w:val="left"/>
            </w:pPr>
            <w:r>
              <w:rPr>
                <w:color w:val="000000"/>
                <w:sz w:val="24"/>
              </w:rPr>
              <w:t>过去三年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过去五年</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c>
          <w:tcPr>
            <w:vAlign w:val="center"/>
          </w:tcPr>
          <w:p>
            <w:pPr>
              <w:jc w:val="center"/>
            </w:pPr>
            <w:r>
              <w:rPr>
                <w:color w:val="000000"/>
                <w:sz w:val="24"/>
              </w:rPr>
              <w:t>-</w:t>
            </w:r>
          </w:p>
        </w:tc>
      </w:tr>
      <w:tr>
        <w:tc>
          <w:tcPr>
            <w:vAlign w:val="center"/>
          </w:tcPr>
          <w:p>
            <w:pPr>
              <w:jc w:val="left"/>
            </w:pPr>
            <w:r>
              <w:rPr>
                <w:color w:val="000000"/>
                <w:sz w:val="24"/>
              </w:rPr>
              <w:t>自基金合同生效起至今</w:t>
            </w:r>
          </w:p>
        </w:tc>
        <w:tc>
          <w:tcPr>
            <w:vAlign w:val="center"/>
          </w:tcPr>
          <w:p>
            <w:pPr>
              <w:jc w:val="center"/>
            </w:pPr>
            <w:r>
              <w:rPr>
                <w:color w:val="000000"/>
                <w:sz w:val="24"/>
              </w:rPr>
              <w:t>34.40%</w:t>
            </w:r>
          </w:p>
        </w:tc>
        <w:tc>
          <w:tcPr>
            <w:vAlign w:val="center"/>
          </w:tcPr>
          <w:p>
            <w:pPr>
              <w:jc w:val="center"/>
            </w:pPr>
            <w:r>
              <w:rPr>
                <w:color w:val="000000"/>
                <w:sz w:val="24"/>
              </w:rPr>
              <w:t>1.34%</w:t>
            </w:r>
          </w:p>
        </w:tc>
        <w:tc>
          <w:tcPr>
            <w:vAlign w:val="center"/>
          </w:tcPr>
          <w:p>
            <w:pPr>
              <w:jc w:val="center"/>
            </w:pPr>
            <w:r>
              <w:rPr>
                <w:color w:val="000000"/>
                <w:sz w:val="24"/>
              </w:rPr>
              <w:t>9.39%</w:t>
            </w:r>
          </w:p>
        </w:tc>
        <w:tc>
          <w:tcPr>
            <w:vAlign w:val="center"/>
          </w:tcPr>
          <w:p>
            <w:pPr>
              <w:jc w:val="center"/>
            </w:pPr>
            <w:r>
              <w:rPr>
                <w:color w:val="000000"/>
                <w:sz w:val="24"/>
              </w:rPr>
              <w:t>0.80%</w:t>
            </w:r>
          </w:p>
        </w:tc>
        <w:tc>
          <w:tcPr>
            <w:vAlign w:val="center"/>
          </w:tcPr>
          <w:p>
            <w:pPr>
              <w:jc w:val="center"/>
            </w:pPr>
            <w:r>
              <w:rPr>
                <w:color w:val="000000"/>
                <w:sz w:val="24"/>
              </w:rPr>
              <w:t>25.01%</w:t>
            </w:r>
          </w:p>
        </w:tc>
        <w:tc>
          <w:tcPr>
            <w:vAlign w:val="center"/>
          </w:tcPr>
          <w:p>
            <w:pPr>
              <w:jc w:val="center"/>
            </w:pPr>
            <w:r>
              <w:rPr>
                <w:color w:val="000000"/>
                <w:sz w:val="24"/>
              </w:rPr>
              <w:t>0.54%</w:t>
            </w:r>
          </w:p>
        </w:tc>
      </w:tr>
    </w:tbl>
    <w:p w:rsidP="00FC13C8" w:rsidR="00F016DD" w:rsidRDefault="00F016DD" w:rsidRPr="0078105B">
      <w:pPr>
        <w:spacing w:line="360" w:lineRule="auto"/>
        <w:rPr>
          <w:rFonts w:ascii="宋体" w:cs="Arial"/>
          <w:b/>
          <w:color w:val="000000"/>
          <w:kern w:val="0"/>
          <w:sz w:val="24"/>
        </w:rPr>
      </w:pPr>
      <w:r w:rsidRPr="0078105B">
        <w:rPr>
          <w:rFonts w:ascii="宋体" w:cs="Arial" w:hAnsi="宋体"/>
          <w:b/>
          <w:color w:val="000000"/>
          <w:kern w:val="0"/>
          <w:sz w:val="24"/>
        </w:rPr>
        <w:t>3.2.2</w:t>
      </w:r>
      <w:r w:rsidRPr="0078105B">
        <w:rPr>
          <w:rFonts w:ascii="宋体" w:cs="Arial" w:hAnsi="宋体" w:hint="eastAsia"/>
          <w:b/>
          <w:color w:val="000000"/>
          <w:kern w:val="0"/>
          <w:sz w:val="24"/>
        </w:rPr>
        <w:t xml:space="preserve">　</w:t>
      </w:r>
      <w:r w:rsidR="00AE2480" w:rsidRPr="00370BEA">
        <w:rPr>
          <w:rStyle w:val="af6"/>
          <w:rFonts w:hint="eastAsia"/>
          <w:color w:val="000000"/>
          <w:sz w:val="24"/>
          <w:shd w:color="auto" w:fill="FFFFFF" w:val="clear"/>
        </w:rPr>
        <w:t/>
      </w:r>
      <w:proofErr w:type="spellStart"/>
      <w:r w:rsidR="00AE2480" w:rsidRPr="00370BEA">
        <w:rPr>
          <w:rStyle w:val="af6"/>
          <w:rFonts w:hint="eastAsia"/>
          <w:color w:val="000000"/>
          <w:sz w:val="24"/>
          <w:shd w:color="auto" w:fill="FFFFFF" w:val="clear"/>
        </w:rPr>
        <w:t/>
      </w:r>
      <w:proofErr w:type="spellEnd"/>
      <w:r w:rsidR="00AE2480" w:rsidRPr="00370BEA">
        <w:rPr>
          <w:rStyle w:val="af6"/>
          <w:rFonts w:hint="eastAsia"/>
          <w:color w:val="000000"/>
          <w:sz w:val="24"/>
          <w:shd w:color="auto" w:fill="FFFFFF" w:val="clear"/>
        </w:rPr>
        <w:t>自基金合同生效以来</w:t>
      </w:r>
      <w:r w:rsidRPr="0078105B">
        <w:rPr>
          <w:rFonts w:ascii="宋体" w:hAnsi="宋体" w:hint="eastAsia"/>
          <w:b/>
          <w:color w:val="000000"/>
          <w:sz w:val="24"/>
        </w:rPr>
        <w:t>基金累计净值增长率变动及其与同期业绩比较基准收益率变动的比较</w:t>
      </w:r>
    </w:p>
    <w:p w:rsidP="00FC13C8" w:rsidR="00F016DD" w:rsidRDefault="00F016DD" w:rsidRPr="00FA472B">
      <w:pPr>
        <w:spacing w:line="360" w:lineRule="auto"/>
        <w:jc w:val="center"/>
        <w:rPr>
          <w:color w:val="000000"/>
          <w:sz w:val="24"/>
        </w:rPr>
      </w:pPr>
      <w:r w:rsidRPr="00FA472B">
        <w:rPr>
          <w:color w:val="000000"/>
          <w:sz w:val="24"/>
        </w:rPr>
        <w:t/>
      </w:r>
      <w:proofErr w:type="spellStart"/>
      <w:proofErr w:type="gramStart"/>
      <w:r w:rsidRPr="00FA472B">
        <w:rPr>
          <w:color w:val="000000"/>
          <w:sz w:val="24"/>
        </w:rPr>
        <w:t/>
      </w:r>
      <w:proofErr w:type="spellEnd"/>
      <w:proofErr w:type="gramEnd"/>
      <w:r w:rsidRPr="00FA472B">
        <w:rPr>
          <w:color w:val="000000"/>
          <w:sz w:val="24"/>
        </w:rPr>
        <w:t>易方达量化策略精选灵活配置混合型证券投资基金</w:t>
      </w:r>
    </w:p>
    <w:p w:rsidP="00526282" w:rsidR="00526282" w:rsidRDefault="00F016DD">
      <w:pPr>
        <w:pStyle w:val="a5"/>
        <w:snapToGrid w:val="0"/>
        <w:spacing w:line="360" w:lineRule="auto"/>
        <w:jc w:val="center"/>
        <w:rPr>
          <w:rFonts w:ascii="Times New Roman" w:eastAsiaTheme="minorEastAsia" w:hAnsi="Times New Roman"/>
          <w:color w:themeColor="text1" w:val="000000"/>
          <w:sz w:val="24"/>
          <w:szCs w:val="24"/>
        </w:rPr>
      </w:pPr>
      <w:r w:rsidRPr="00FA472B">
        <w:rPr>
          <w:rFonts w:ascii="Times New Roman" w:hAnsi="Times New Roman"/>
          <w:color w:val="000000"/>
          <w:sz w:val="24"/>
          <w:szCs w:val="24"/>
        </w:rPr>
        <w:t>累计净值增长率与业绩比较基准收益率的历史走势对比图</w:t>
      </w:r>
    </w:p>
    <w:p w:rsidP="00D477DB" w:rsidR="00F016DD" w:rsidRDefault="00526282" w:rsidRPr="00FA472B">
      <w:pPr>
        <w:pStyle w:val="a5"/>
        <w:snapToGrid w:val="0"/>
        <w:spacing w:line="360" w:lineRule="auto"/>
        <w:jc w:val="center"/>
        <w:rPr>
          <w:rFonts w:ascii="Times New Roman" w:hAnsi="Times New Roman"/>
          <w:sz w:val="24"/>
          <w:szCs w:val="24"/>
        </w:rPr>
      </w:pPr>
      <w:r w:rsidRPr="00526282">
        <w:rPr>
          <w:rFonts w:ascii="Times New Roman" w:hAnsi="Times New Roman"/>
          <w:sz w:val="24"/>
          <w:szCs w:val="24"/>
        </w:rPr>
        <w:t/>
      </w:r>
      <w:proofErr w:type="spellStart"/>
      <w:proofErr w:type="gramStart"/>
      <w:r w:rsidRPr="00526282">
        <w:rPr>
          <w:rFonts w:ascii="Times New Roman" w:hAnsi="Times New Roman"/>
          <w:sz w:val="24"/>
          <w:szCs w:val="24"/>
        </w:rPr>
        <w:t/>
      </w:r>
      <w:proofErr w:type="spellEnd"/>
      <w:r w:rsidRPr="00526282">
        <w:rPr>
          <w:rFonts w:ascii="Times New Roman" w:hAnsi="Times New Roman"/>
          <w:sz w:val="24"/>
          <w:szCs w:val="24"/>
        </w:rPr>
        <w:t/>
      </w:r>
      <w:proofErr w:type="gramEnd"/>
      <w:r w:rsidRPr="00526282">
        <w:rPr>
          <w:rFonts w:ascii="Times New Roman" w:hAnsi="Times New Roman"/>
          <w:sz w:val="24"/>
          <w:szCs w:val="24"/>
        </w:rPr>
        <w:t>（2017年12月19日至2020年6月30日）</w:t>
      </w:r>
    </w:p>
    <w:p w:rsidP="00526282" w:rsidR="00526282" w:rsidRDefault="00F016DD">
      <w:pPr>
        <w:snapToGrid w:val="0"/>
        <w:spacing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spellStart"/>
      <w:r w:rsidRPr="00611CB2">
        <w:rPr>
          <w:color w:val="000000"/>
          <w:sz w:val="24"/>
        </w:rPr>
        <w:t/>
      </w:r>
      <w:proofErr w:type="spellEnd"/>
      <w:r w:rsidRPr="00611CB2">
        <w:rPr>
          <w:color w:val="000000"/>
          <w:sz w:val="24"/>
        </w:rPr>
        <w:t/>
      </w:r>
      <w:proofErr w:type="gramEnd"/>
      <w:r w:rsidRPr="00611CB2">
        <w:rPr>
          <w:color w:val="000000"/>
          <w:sz w:val="24"/>
        </w:rPr>
        <w:t>易方达量化策略精选混合A</w:t>
      </w:r>
    </w:p>
    <w:p w:rsidP="00FC7F43" w:rsidR="00F016DD" w:rsidRDefault="0001612A" w:rsidRPr="0078105B">
      <w:pPr>
        <w:pStyle w:val="20"/>
        <w:spacing w:line="288" w:lineRule="auto"/>
        <w:ind w:firstLine="0" w:firstLineChars="0"/>
        <w:jc w:val="center"/>
        <w:rPr>
          <w:color w:val="000000"/>
        </w:rPr>
      </w:pPr>
      <w:r>
        <w:rPr>
          <w:noProof/>
          <w:color w:val="000000"/>
        </w:rPr>
        <w:lastRenderedPageBreak/>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2" o:spid="_x0000_i1025" style="width:435.75pt;height:258pt;visibility:visible" type="#_x0000_t75">
            <v:imagedata o:title="" r:id="rId10"/>
          </v:shape>
        </w:pict>
      </w:r>
    </w:p>
    <w:p w:rsidP="00526282" w:rsidR="00526282" w:rsidRDefault="00F016DD">
      <w:pPr>
        <w:snapToGrid w:val="0"/>
        <w:spacing w:before="312" w:beforeLines="100" w:line="360" w:lineRule="auto"/>
        <w:rPr>
          <w:rFonts w:eastAsiaTheme="minorEastAsia" w:hAnsiTheme="minorEastAsia"/>
          <w:color w:themeColor="text1" w:val="000000"/>
          <w:sz w:val="24"/>
        </w:rPr>
      </w:pPr>
      <w:r w:rsidRPr="00611CB2">
        <w:rPr>
          <w:color w:val="000000"/>
          <w:sz w:val="24"/>
        </w:rPr>
        <w:t/>
      </w:r>
      <w:proofErr w:type="gramStart"/>
      <w:r w:rsidRPr="00611CB2">
        <w:rPr>
          <w:color w:val="000000"/>
          <w:sz w:val="24"/>
        </w:rPr>
        <w:t/>
      </w:r>
      <w:proofErr w:type="gramEnd"/>
      <w:r w:rsidRPr="00611CB2">
        <w:rPr>
          <w:color w:val="000000"/>
          <w:sz w:val="24"/>
        </w:rPr>
        <w:t>易方达量化策略精选混合C</w:t>
      </w:r>
    </w:p>
    <w:p w:rsidP="00FC7F43" w:rsidR="00F016DD" w:rsidRDefault="0001612A" w:rsidRPr="0078105B">
      <w:pPr>
        <w:pStyle w:val="20"/>
        <w:spacing w:line="288" w:lineRule="auto"/>
        <w:ind w:firstLine="0" w:firstLineChars="0"/>
        <w:jc w:val="center"/>
        <w:rPr>
          <w:color w:val="000000"/>
        </w:rPr>
      </w:pPr>
      <w:r>
        <w:rPr>
          <w:noProof/>
          <w:color w:val="000000"/>
        </w:rPr>
        <w:pict>
          <v:shape id="图片 3" o:spid="_x0000_i1026" style="width:435.75pt;height:258pt;visibility:visible" type="#_x0000_t75">
            <v:imagedata o:title="" r:id="rId11"/>
          </v:shape>
        </w:pic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注：自基金合同生效至报告期末，A类基金份额净值增长率为36.10%，C类基金份额净值增长率为34.40%，同期业绩比较基准收益率为9.39%。</w:t>
      </w:r>
    </w:p>
    <w:p w:rsidP="006C5BC9" w:rsidR="00F016DD" w:rsidRDefault="00F016DD" w:rsidRPr="00FA472B">
      <w:pPr>
        <w:tabs>
          <w:tab w:pos="1800" w:val="left"/>
        </w:tabs>
        <w:spacing w:line="288" w:lineRule="auto"/>
        <w:rPr>
          <w:color w:val="000000"/>
          <w:sz w:val="24"/>
        </w:rPr>
      </w:pP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4  </w:t>
      </w:r>
      <w:r w:rsidRPr="0078105B">
        <w:rPr>
          <w:rFonts w:ascii="宋体" w:cs="Arial" w:hAnsi="宋体" w:hint="eastAsia"/>
          <w:color w:val="000000"/>
          <w:kern w:val="0"/>
          <w:sz w:val="24"/>
          <w:szCs w:val="24"/>
        </w:rPr>
        <w:t>管理人报告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4.1 </w:t>
      </w:r>
      <w:r w:rsidRPr="0078105B">
        <w:rPr>
          <w:rFonts w:ascii="宋体" w:cs="Arial" w:hAnsi="宋体" w:hint="eastAsia"/>
          <w:b/>
          <w:color w:val="000000"/>
          <w:kern w:val="0"/>
          <w:sz w:val="24"/>
        </w:rPr>
        <w:t>基金经理（或基金经理小组）简介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F016DD" w:rsidRPr="0078105B" w:rsidTr="00B54884">
        <w:trPr>
          <w:cantSplit/>
        </w:trPr>
        <w:tc>
          <w:tcPr>
            <w:tcW w:type="dxa" w:w="56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58694E" w:rsidR="00F016DD" w:rsidRDefault="00F016DD" w:rsidRPr="00FA472B">
            <w:pPr>
              <w:autoSpaceDE w:val="0"/>
              <w:autoSpaceDN w:val="0"/>
              <w:adjustRightInd w:val="0"/>
              <w:spacing w:before="29" w:line="288" w:lineRule="auto"/>
              <w:ind w:left="15"/>
              <w:jc w:val="center"/>
              <w:rPr>
                <w:color w:val="000000"/>
                <w:kern w:val="0"/>
                <w:sz w:val="24"/>
              </w:rPr>
            </w:pPr>
            <w:proofErr w:type="gramStart"/>
            <w:r w:rsidRPr="00FA472B">
              <w:rPr>
                <w:color w:val="000000"/>
                <w:kern w:val="0"/>
                <w:sz w:val="24"/>
              </w:rPr>
              <w:t>任本基金</w:t>
            </w:r>
            <w:proofErr w:type="gramEnd"/>
            <w:r w:rsidRPr="00FA472B">
              <w:rPr>
                <w:color w:val="000000"/>
                <w:kern w:val="0"/>
                <w:sz w:val="24"/>
              </w:rPr>
              <w:t>的基金经理期限</w:t>
            </w:r>
          </w:p>
        </w:tc>
        <w:tc>
          <w:tcPr>
            <w:tcW w:type="dxa" w:w="851"/>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F016DD" w:rsidRPr="0078105B" w:rsidTr="00B54884">
        <w:trPr>
          <w:cantSplit/>
        </w:trPr>
        <w:tc>
          <w:tcPr>
            <w:tcW w:type="dxa" w:w="56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835"/>
            <w:vMerge/>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58694E" w:rsidR="00F016DD" w:rsidRDefault="00F016DD"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官泽帆</w:t>
            </w:r>
          </w:p>
        </w:tc>
        <w:tc>
          <w:tcPr>
            <w:vAlign w:val="center"/>
          </w:tcPr>
          <w:p>
            <w:pPr>
              <w:jc w:val="left"/>
            </w:pPr>
            <w:r>
              <w:rPr>
                <w:color w:val="000000"/>
                <w:sz w:val="24"/>
              </w:rPr>
              <w:t>本基金的基金经理、易方达沪深300量化增强证券投资基金的基金经理、易方达易百智能量化策略灵活配置混合型证券投资基金的基金经理</w:t>
            </w:r>
          </w:p>
        </w:tc>
        <w:tc>
          <w:tcPr>
            <w:vAlign w:val="center"/>
          </w:tcPr>
          <w:p>
            <w:pPr>
              <w:jc w:val="center"/>
            </w:pPr>
            <w:r>
              <w:rPr>
                <w:color w:val="000000"/>
                <w:sz w:val="24"/>
              </w:rPr>
              <w:t>2017-12-19</w:t>
            </w:r>
          </w:p>
        </w:tc>
        <w:tc>
          <w:tcPr>
            <w:vAlign w:val="center"/>
          </w:tcPr>
          <w:p>
            <w:pPr>
              <w:jc w:val="center"/>
            </w:pPr>
            <w:r>
              <w:rPr>
                <w:color w:val="000000"/>
                <w:sz w:val="24"/>
              </w:rPr>
              <w:t>-</w:t>
            </w:r>
          </w:p>
        </w:tc>
        <w:tc>
          <w:tcPr>
            <w:vAlign w:val="center"/>
          </w:tcPr>
          <w:p>
            <w:pPr>
              <w:jc w:val="center"/>
            </w:pPr>
            <w:r>
              <w:rPr>
                <w:color w:val="000000"/>
                <w:sz w:val="24"/>
              </w:rPr>
              <w:t>10年</w:t>
            </w:r>
          </w:p>
        </w:tc>
        <w:tc>
          <w:tcPr>
            <w:vAlign w:val="center"/>
          </w:tcPr>
          <w:p>
            <w:pPr>
              <w:jc w:val="both"/>
            </w:pPr>
            <w:r>
              <w:rPr>
                <w:color w:val="000000"/>
                <w:sz w:val="24"/>
              </w:rPr>
              <w:t>硕士研究生，具有基金从业资格。曾任招商基金管理有限公司投资开发工程师，摩根士丹利华鑫基金管理有限公司数量化研究员、基金经理助理，易方达基金管理有限公司易方达沪深300量化增强证券投资基金基金经理助理。</w:t>
            </w:r>
          </w:p>
        </w:tc>
      </w:tr>
      <w:tr>
        <w:tc>
          <w:tcPr>
            <w:vAlign w:val="center"/>
          </w:tcPr>
          <w:p>
            <w:pPr>
              <w:jc w:val="center"/>
            </w:pPr>
            <w:r>
              <w:rPr>
                <w:color w:val="000000"/>
                <w:sz w:val="24"/>
              </w:rPr>
              <w:t>HUANG JIANSHENG（黄健生）</w:t>
            </w:r>
          </w:p>
        </w:tc>
        <w:tc>
          <w:tcPr>
            <w:vAlign w:val="center"/>
          </w:tcPr>
          <w:p>
            <w:pPr>
              <w:jc w:val="left"/>
            </w:pPr>
            <w:r>
              <w:rPr>
                <w:color w:val="000000"/>
                <w:sz w:val="24"/>
              </w:rPr>
              <w:t>本基金的基金经理、易方达沪深300量化增强证券投资基金的基金经理、量化投资部总经理</w:t>
            </w:r>
          </w:p>
        </w:tc>
        <w:tc>
          <w:tcPr>
            <w:vAlign w:val="center"/>
          </w:tcPr>
          <w:p>
            <w:pPr>
              <w:jc w:val="center"/>
            </w:pPr>
            <w:r>
              <w:rPr>
                <w:color w:val="000000"/>
                <w:sz w:val="24"/>
              </w:rPr>
              <w:t>2020-03-12</w:t>
            </w:r>
          </w:p>
        </w:tc>
        <w:tc>
          <w:tcPr>
            <w:vAlign w:val="center"/>
          </w:tcPr>
          <w:p>
            <w:pPr>
              <w:jc w:val="center"/>
            </w:pPr>
            <w:r>
              <w:rPr>
                <w:color w:val="000000"/>
                <w:sz w:val="24"/>
              </w:rPr>
              <w:t>-</w:t>
            </w:r>
          </w:p>
        </w:tc>
        <w:tc>
          <w:tcPr>
            <w:vAlign w:val="center"/>
          </w:tcPr>
          <w:p>
            <w:pPr>
              <w:jc w:val="center"/>
            </w:pPr>
            <w:r>
              <w:rPr>
                <w:color w:val="000000"/>
                <w:sz w:val="24"/>
              </w:rPr>
              <w:t>9年</w:t>
            </w:r>
          </w:p>
        </w:tc>
        <w:tc>
          <w:tcPr>
            <w:vAlign w:val="center"/>
          </w:tcPr>
          <w:p>
            <w:pPr>
              <w:jc w:val="both"/>
            </w:pPr>
            <w:r>
              <w:rPr>
                <w:color w:val="000000"/>
                <w:sz w:val="24"/>
              </w:rPr>
              <w:t>加拿大籍，硕士研究生，具有基金从业资格。曾任美国Sun Microsystems资深软件工程师，美国GMN Capital/伦敦GSA Capital量化投资研究员，美国巴克莱全球投资者（Barclays Global Investors）量化研究员，加拿大阿尔伯塔投资管理公司副基金经理，华泰柏瑞基金管理有限公司量化投资部门总监、投资经理。</w:t>
            </w:r>
          </w:p>
        </w:tc>
      </w:tr>
    </w:tbl>
    <w:p>
      <w:pPr>
        <w:spacing w:line="360" w:lineRule="auto"/>
        <w:ind w:firstLine="480" w:firstLineChars="200"/>
        <w:rPr>
          <w:color w:val="000000"/>
          <w:sz w:val="24"/>
        </w:rPr>
      </w:pPr>
      <w:r>
        <w:rPr>
          <w:color w:val="000000"/>
          <w:sz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gramStart"/>
      <w:r w:rsidRPr="00DF18FE">
        <w:rPr>
          <w:color w:val="000000"/>
          <w:sz w:val="24"/>
        </w:rPr>
        <w:t/>
      </w:r>
      <w:proofErr w:type="gramEnd"/>
      <w:r w:rsidRPr="00DF18FE">
        <w:rPr>
          <w:color w:val="000000"/>
          <w:sz w:val="24"/>
        </w:rPr>
        <w:t>2.证券从业的含义遵从《证券业从业人员资格管理办法》的相关规定。</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4.2</w:t>
      </w:r>
      <w:r>
        <w:rPr>
          <w:rFonts w:cs="Arial" w:hint="eastAsia"/>
          <w:b/>
          <w:color w:val="000000"/>
          <w:kern w:val="0"/>
          <w:sz w:val="24"/>
        </w:rPr>
        <w:t>管理人对</w:t>
      </w:r>
      <w:r w:rsidRPr="00BB04BF">
        <w:rPr>
          <w:rFonts w:cs="Arial" w:hint="eastAsia"/>
          <w:b/>
          <w:color w:val="000000"/>
          <w:kern w:val="0"/>
          <w:sz w:val="24"/>
        </w:rPr>
        <w:t>报告期内本基金运作遵规守信情况</w:t>
      </w:r>
      <w:r>
        <w:rPr>
          <w:rFonts w:cs="Arial" w:hint="eastAsia"/>
          <w:b/>
          <w:color w:val="000000"/>
          <w:kern w:val="0"/>
          <w:sz w:val="24"/>
        </w:rPr>
        <w:t>的</w:t>
      </w:r>
      <w:r w:rsidRPr="00BB04BF">
        <w:rPr>
          <w:rFonts w:cs="Arial" w:hint="eastAsia"/>
          <w:b/>
          <w:color w:val="000000"/>
          <w:kern w:val="0"/>
          <w:sz w:val="24"/>
        </w:rPr>
        <w:t>说明</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4.3 </w:t>
      </w:r>
      <w:r w:rsidRPr="0078105B">
        <w:rPr>
          <w:rFonts w:ascii="宋体" w:cs="Arial" w:hAnsi="宋体" w:hint="eastAsia"/>
          <w:b/>
          <w:color w:val="000000"/>
          <w:kern w:val="0"/>
          <w:sz w:val="24"/>
        </w:rPr>
        <w:t>公平交易专项说明</w:t>
      </w:r>
    </w:p>
    <w:p w:rsidP="00FC13C8" w:rsidR="00F016DD" w:rsidRDefault="00F016DD" w:rsidRPr="00FA472B">
      <w:pPr>
        <w:spacing w:line="360" w:lineRule="auto"/>
        <w:rPr>
          <w:rFonts w:ascii="宋体" w:hAnsi="宋体"/>
          <w:sz w:val="24"/>
        </w:rPr>
      </w:pPr>
      <w:r w:rsidRPr="00FA472B">
        <w:rPr>
          <w:rFonts w:ascii="宋体" w:hAnsi="宋体"/>
          <w:sz w:val="24"/>
        </w:rPr>
        <w:t xml:space="preserve">4.3.1 </w:t>
      </w:r>
      <w:r w:rsidRPr="00FA472B">
        <w:rPr>
          <w:rFonts w:ascii="宋体" w:hAnsi="宋体" w:hint="eastAsia"/>
          <w:sz w:val="24"/>
        </w:rPr>
        <w:t>公平交易制度的执行情况</w:t>
      </w:r>
    </w:p>
    <w:p w:rsidP="00DF18FE" w:rsidR="00F016DD" w:rsidRDefault="00F016DD" w:rsidRPr="00EA6415">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FC13C8" w:rsidR="00F016DD" w:rsidRDefault="00F016DD" w:rsidRPr="00FA472B">
      <w:pPr>
        <w:spacing w:line="360" w:lineRule="auto"/>
        <w:rPr>
          <w:rFonts w:ascii="宋体" w:hAnsi="宋体"/>
          <w:sz w:val="24"/>
        </w:rPr>
      </w:pPr>
      <w:r w:rsidRPr="00FA472B">
        <w:rPr>
          <w:rFonts w:ascii="宋体" w:hAnsi="宋体"/>
          <w:sz w:val="24"/>
        </w:rPr>
        <w:lastRenderedPageBreak/>
        <w:t xml:space="preserve">4.3.2 </w:t>
      </w:r>
      <w:r w:rsidRPr="00FA472B">
        <w:rPr>
          <w:rFonts w:ascii="宋体" w:hAnsi="宋体" w:hint="eastAsia"/>
          <w:sz w:val="24"/>
        </w:rPr>
        <w:t>异常交易行为的专项说明</w:t>
      </w:r>
    </w:p>
    <w:p>
      <w:pPr>
        <w:spacing w:line="360" w:lineRule="auto"/>
        <w:ind w:firstLine="480" w:firstLineChars="200"/>
        <w:rPr>
          <w:color w:val="000000"/>
          <w:sz w:val="24"/>
        </w:rPr>
      </w:pPr>
      <w:r>
        <w:rPr>
          <w:color w:val="000000"/>
          <w:sz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本报告期内，未发现本基金有可能导致不公平交易和利益输送的异常交易。</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4.4 </w:t>
      </w:r>
      <w:r w:rsidRPr="0078105B">
        <w:rPr>
          <w:rFonts w:ascii="宋体" w:cs="Arial" w:hAnsi="宋体" w:hint="eastAsia"/>
          <w:b/>
          <w:color w:val="000000"/>
          <w:kern w:val="0"/>
          <w:sz w:val="24"/>
        </w:rPr>
        <w:t>报告期内基金的投资策略和业绩表现说明</w:t>
      </w:r>
    </w:p>
    <w:p w:rsidP="00FC13C8" w:rsidR="00F016DD" w:rsidRDefault="00F016DD" w:rsidRPr="0078105B">
      <w:pPr>
        <w:spacing w:line="360" w:lineRule="auto"/>
        <w:rPr>
          <w:rFonts w:ascii="宋体"/>
          <w:sz w:val="24"/>
        </w:rPr>
      </w:pPr>
      <w:r w:rsidRPr="0078105B">
        <w:rPr>
          <w:rFonts w:ascii="宋体" w:hAnsi="宋体"/>
          <w:sz w:val="24"/>
        </w:rPr>
        <w:t>4.4.1</w:t>
      </w:r>
      <w:r w:rsidRPr="0078105B">
        <w:rPr>
          <w:rFonts w:ascii="宋体" w:hAnsi="宋体" w:hint="eastAsia"/>
          <w:sz w:val="24"/>
        </w:rPr>
        <w:t>报告期内基金投资策略和运作分析</w:t>
      </w:r>
    </w:p>
    <w:p>
      <w:pPr>
        <w:spacing w:line="360" w:lineRule="auto"/>
        <w:ind w:firstLine="480" w:firstLineChars="200"/>
        <w:rPr>
          <w:color w:val="000000"/>
          <w:sz w:val="24"/>
        </w:rPr>
      </w:pPr>
      <w:r>
        <w:rPr>
          <w:color w:val="000000"/>
          <w:sz w:val="24"/>
        </w:rPr>
        <w:t>回顾本报告期，国内外疫情有所好转，复工复产与经济重启计划持续推进，国内供需两端环比持续改善：5月工业增加值同比增速上升至4.4%，固定资产投资同比增速上升至3.9%，社会消费品零售额同比增速回升至-2.8%。经济逐渐走出疫情低谷，复苏趋势主导了A股盈利预期，5月份全国规模以上工业企业实现利润由4月份同比下降4.3%转为增长6.0%。流动性方面，本报告期间国内货币政策维持宽松，短端利率下行；海外普遍施行零利率或负利率政策，辅以大规模的量化宽松，美元指数明显回落而人民币汇率稳定，外资持续流入，二季度北上资金净流入1332.60亿元，对A股估值形成支撑。</w:t>
      </w:r>
    </w:p>
    <w:p>
      <w:pPr>
        <w:spacing w:line="360" w:lineRule="auto"/>
        <w:ind w:firstLine="480" w:firstLineChars="200"/>
        <w:rPr>
          <w:color w:val="000000"/>
          <w:sz w:val="24"/>
        </w:rPr>
      </w:pPr>
      <w:r>
        <w:rPr>
          <w:color w:val="000000"/>
          <w:sz w:val="24"/>
        </w:rPr>
        <w:t>二季度上证指数、沪深300、中证500和创业板指分别上涨8.52%、12.96%、16.32%和30.25%，其中创业板指数于6月底成功突破2016年1月以来的阶段高点。风格和行业表现的分化主要由经济复苏斜率的不确定性所主导：行业上体现在消费类稳定增长行业备受青睐，而与经济增长相关度较高的周期、金融地产等行业受到冷落；科技行业在疫情缓和后产销端恢复明显，重拾景气上行，录得较高涨幅；风格上体现为成长与估值表现的分化持续加剧，尤其估值类因子回撤已属于历史较高水平，此外动量类因子表现也相对强势，市场成交量也逐渐放大，6月底A股日均成交量已达7000～8000亿的水平，投资者交易行为逐渐活跃。</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报告期内，本基金在行业方面顺应市场风格趋势均衡配置，在选股方面依托量化选股模型，立足长期投资逻辑，优选经营稳健、盈利质量高的个股。本基金将继续坚持采用基本面量化模型，以长期稳健收益为目标优化策略模型，力争为投资人创造优良的投资回报。</w:t>
      </w:r>
    </w:p>
    <w:p w:rsidP="00FC13C8" w:rsidR="00F016DD" w:rsidRDefault="00F016DD" w:rsidRPr="0078105B">
      <w:pPr>
        <w:spacing w:line="360" w:lineRule="auto"/>
        <w:rPr>
          <w:rFonts w:ascii="宋体"/>
          <w:sz w:val="24"/>
        </w:rPr>
      </w:pPr>
      <w:r w:rsidRPr="0078105B">
        <w:rPr>
          <w:rFonts w:ascii="宋体" w:hAnsi="宋体"/>
          <w:sz w:val="24"/>
        </w:rPr>
        <w:t>4.4.2</w:t>
      </w:r>
      <w:r w:rsidRPr="0078105B">
        <w:rPr>
          <w:rFonts w:ascii="宋体" w:hAnsi="宋体" w:hint="eastAsia"/>
          <w:sz w:val="24"/>
        </w:rPr>
        <w:t>报告期内基金的业绩表现</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截至报告期末，本基金A类基金份额净值为1.361元，本报告期份额净值增长率为28.28%，同期业绩比较基准收益率为7.91%；C类基金份额净值为1.344元，本报告期份额净值增长率为28.12%，同期业绩比较基准收益率为7.91%，各项指标均在合同规定的目标控制范围之内。</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5  </w:t>
      </w:r>
      <w:r w:rsidRPr="0078105B">
        <w:rPr>
          <w:rFonts w:ascii="宋体" w:cs="Arial" w:hAnsi="宋体" w:hint="eastAsia"/>
          <w:color w:val="000000"/>
          <w:kern w:val="0"/>
          <w:sz w:val="24"/>
          <w:szCs w:val="24"/>
        </w:rPr>
        <w:t>投资组合报告</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5.1 </w:t>
      </w:r>
      <w:r w:rsidRPr="0078105B">
        <w:rPr>
          <w:rFonts w:ascii="宋体" w:cs="Arial" w:hAnsi="宋体" w:hint="eastAsia"/>
          <w:b/>
          <w:color w:val="000000"/>
          <w:kern w:val="0"/>
          <w:sz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335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项目</w:t>
            </w:r>
          </w:p>
        </w:tc>
        <w:tc>
          <w:tcPr>
            <w:tcW w:type="dxa" w:w="2977"/>
            <w:vAlign w:val="center"/>
          </w:tcPr>
          <w:p w:rsidP="00F4518C" w:rsidR="00F016DD" w:rsidRDefault="00F016DD" w:rsidRPr="00FA472B">
            <w:pPr>
              <w:spacing w:before="29" w:line="360" w:lineRule="auto"/>
              <w:ind w:left="17"/>
              <w:jc w:val="center"/>
              <w:rPr>
                <w:color w:val="000000"/>
                <w:sz w:val="24"/>
              </w:rPr>
            </w:pPr>
            <w:r w:rsidRPr="00FA472B">
              <w:rPr>
                <w:color w:val="000000"/>
                <w:sz w:val="24"/>
              </w:rPr>
              <w:t>金额</w:t>
            </w:r>
            <w:r w:rsidRPr="00FA472B">
              <w:rPr>
                <w:color w:val="000000"/>
                <w:sz w:val="24"/>
              </w:rPr>
              <w:t>(</w:t>
            </w:r>
            <w:r w:rsidRPr="00FA472B">
              <w:rPr>
                <w:color w:val="000000"/>
                <w:sz w:val="24"/>
              </w:rPr>
              <w:t>元</w:t>
            </w:r>
            <w:r w:rsidRPr="00FA472B">
              <w:rPr>
                <w:color w:val="000000"/>
                <w:sz w:val="24"/>
              </w:rPr>
              <w:t>)</w:t>
            </w:r>
          </w:p>
        </w:tc>
        <w:tc>
          <w:tcPr>
            <w:tcW w:type="dxa" w:w="1843"/>
            <w:vAlign w:val="center"/>
          </w:tcPr>
          <w:p w:rsidP="00F4518C" w:rsidR="00F016DD" w:rsidRDefault="00F016DD" w:rsidRPr="00FA472B">
            <w:pPr>
              <w:spacing w:before="29" w:line="360" w:lineRule="auto"/>
              <w:ind w:left="17"/>
              <w:jc w:val="center"/>
              <w:rPr>
                <w:color w:val="000000"/>
                <w:sz w:val="24"/>
              </w:rPr>
            </w:pPr>
            <w:r w:rsidRPr="00FA472B">
              <w:rPr>
                <w:color w:val="000000"/>
                <w:sz w:val="24"/>
              </w:rPr>
              <w:t>占基金总资产的比例</w:t>
            </w: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1</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权益投资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126,689,337.69</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85.28</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其中：股票</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126,689,337.69</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85.28</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2</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固定收益投资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其中：债券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autoSpaceDE w:val="0"/>
              <w:autoSpaceDN w:val="0"/>
              <w:adjustRightInd w:val="0"/>
              <w:spacing w:before="29" w:line="360" w:lineRule="auto"/>
              <w:ind w:left="17"/>
              <w:jc w:val="left"/>
              <w:rPr>
                <w:color w:val="000000"/>
                <w:sz w:val="24"/>
              </w:rPr>
            </w:pPr>
            <w:r w:rsidRPr="00FA472B">
              <w:rPr>
                <w:color w:val="000000"/>
                <w:sz w:val="24"/>
              </w:rPr>
              <w:t>资产支持证券</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tcPr>
          <w:p w:rsidP="00F4518C" w:rsidR="00F016DD" w:rsidRDefault="00F016DD" w:rsidRPr="00FA472B">
            <w:pPr>
              <w:spacing w:before="29" w:line="360" w:lineRule="auto"/>
              <w:ind w:left="17"/>
              <w:jc w:val="center"/>
              <w:rPr>
                <w:color w:val="000000"/>
                <w:sz w:val="24"/>
              </w:rPr>
            </w:pPr>
            <w:r w:rsidRPr="00FA472B">
              <w:rPr>
                <w:color w:val="000000"/>
                <w:sz w:val="24"/>
              </w:rPr>
              <w:t>3</w:t>
            </w:r>
          </w:p>
        </w:tc>
        <w:tc>
          <w:tcPr>
            <w:tcW w:type="dxa" w:w="3357"/>
          </w:tcPr>
          <w:p w:rsidP="00174038" w:rsidR="00F016DD" w:rsidRDefault="00F016DD" w:rsidRPr="00FA472B">
            <w:pPr>
              <w:spacing w:before="29" w:line="360" w:lineRule="auto"/>
              <w:ind w:left="105" w:leftChars="50"/>
              <w:rPr>
                <w:color w:val="000000"/>
                <w:sz w:val="24"/>
              </w:rPr>
            </w:pPr>
            <w:r w:rsidRPr="00FA472B">
              <w:rPr>
                <w:color w:val="000000"/>
                <w:sz w:val="24"/>
              </w:rPr>
              <w:t>贵金属投资</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4</w:t>
            </w:r>
          </w:p>
        </w:tc>
        <w:tc>
          <w:tcPr>
            <w:tcW w:type="dxa" w:w="3357"/>
            <w:vAlign w:val="center"/>
          </w:tcPr>
          <w:p w:rsidP="00F4518C" w:rsidR="00F016DD" w:rsidRDefault="00F016DD" w:rsidRPr="00FA472B">
            <w:pPr>
              <w:spacing w:before="29" w:line="360" w:lineRule="auto"/>
              <w:ind w:left="17"/>
              <w:jc w:val="left"/>
              <w:rPr>
                <w:color w:val="000000"/>
                <w:sz w:val="24"/>
              </w:rPr>
            </w:pPr>
            <w:r w:rsidRPr="00FA472B">
              <w:rPr>
                <w:color w:val="000000"/>
                <w:sz w:val="24"/>
              </w:rPr>
              <w:t>金融衍生</w:t>
            </w:r>
            <w:proofErr w:type="gramStart"/>
            <w:r w:rsidRPr="00FA472B">
              <w:rPr>
                <w:color w:val="000000"/>
                <w:sz w:val="24"/>
              </w:rPr>
              <w:t>品投资</w:t>
            </w:r>
            <w:proofErr w:type="gramEnd"/>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5</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r w:rsidRPr="00FA472B">
              <w:rPr>
                <w:color w:val="000000"/>
                <w:sz w:val="24"/>
              </w:rPr>
              <w:lastRenderedPageBreak/>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其中：买断式回购的买入返售金融资产</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6</w:t>
            </w:r>
          </w:p>
        </w:tc>
        <w:tc>
          <w:tcPr>
            <w:tcW w:type="dxa" w:w="3357"/>
            <w:vAlign w:val="center"/>
          </w:tcPr>
          <w:p w:rsidP="00F4518C" w:rsidR="00F016DD" w:rsidRDefault="00F016DD" w:rsidRPr="00FA472B">
            <w:pPr>
              <w:spacing w:before="29" w:line="360" w:lineRule="auto"/>
              <w:ind w:left="17"/>
              <w:jc w:val="left"/>
              <w:rPr>
                <w:sz w:val="24"/>
              </w:rPr>
            </w:pPr>
            <w:r w:rsidRPr="00FA472B">
              <w:rPr>
                <w:color w:val="000000"/>
                <w:sz w:val="24"/>
              </w:rPr>
              <w:t>银行存款和结算备付金合计</w:t>
            </w:r>
          </w:p>
        </w:tc>
        <w:tc>
          <w:tcPr>
            <w:tcW w:type="dxa" w:w="2977"/>
            <w:vAlign w:val="center"/>
          </w:tcPr>
          <w:p w:rsidP="00F4518C" w:rsidR="00F016DD" w:rsidRDefault="00F016DD" w:rsidRPr="00FA472B">
            <w:pPr>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20,387,662.60</w:t>
            </w:r>
          </w:p>
        </w:tc>
        <w:tc>
          <w:tcPr>
            <w:tcW w:type="dxa" w:w="1843"/>
            <w:vAlign w:val="center"/>
          </w:tcPr>
          <w:p w:rsidP="00F4518C" w:rsidR="00F016DD" w:rsidRDefault="00F016DD" w:rsidRPr="00FA472B">
            <w:pPr>
              <w:spacing w:before="29" w:line="360" w:lineRule="auto"/>
              <w:ind w:left="17"/>
              <w:jc w:val="right"/>
              <w:rPr>
                <w:color w:val="000000"/>
                <w:sz w:val="24"/>
              </w:rPr>
            </w:pPr>
            <w:r w:rsidRPr="00FA472B">
              <w:rPr>
                <w:color w:val="000000"/>
                <w:sz w:val="24"/>
              </w:rPr>
              <w:t>13.72</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7</w:t>
            </w:r>
          </w:p>
        </w:tc>
        <w:tc>
          <w:tcPr>
            <w:tcW w:type="dxa" w:w="3357"/>
            <w:vAlign w:val="center"/>
          </w:tcPr>
          <w:p w:rsidP="00F4518C" w:rsidR="00F016DD" w:rsidRDefault="00F016DD" w:rsidRPr="00FA472B">
            <w:pPr>
              <w:jc w:val="left"/>
              <w:rPr>
                <w:sz w:val="24"/>
              </w:rPr>
            </w:pPr>
            <w:r w:rsidRPr="00FA472B">
              <w:rPr>
                <w:color w:val="000000"/>
                <w:sz w:val="24"/>
              </w:rPr>
              <w:t>其他资产</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1,476,478.81</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0.99</w:t>
            </w:r>
          </w:p>
        </w:tc>
      </w:tr>
      <w:tr w:rsidR="00F016DD" w:rsidRPr="00264E55" w:rsidTr="00F4518C">
        <w:trPr>
          <w:jc w:val="center"/>
        </w:trPr>
        <w:tc>
          <w:tcPr>
            <w:tcW w:type="dxa" w:w="720"/>
            <w:vAlign w:val="center"/>
          </w:tcPr>
          <w:p w:rsidP="00F4518C" w:rsidR="00F016DD" w:rsidRDefault="00F016DD" w:rsidRPr="00FA472B">
            <w:pPr>
              <w:spacing w:before="29" w:line="360" w:lineRule="auto"/>
              <w:ind w:left="17"/>
              <w:jc w:val="center"/>
              <w:rPr>
                <w:color w:val="000000"/>
                <w:sz w:val="24"/>
              </w:rPr>
            </w:pPr>
            <w:r w:rsidRPr="00FA472B">
              <w:rPr>
                <w:color w:val="000000"/>
                <w:sz w:val="24"/>
              </w:rPr>
              <w:t>8</w:t>
            </w:r>
          </w:p>
        </w:tc>
        <w:tc>
          <w:tcPr>
            <w:tcW w:type="dxa" w:w="3357"/>
            <w:vAlign w:val="center"/>
          </w:tcPr>
          <w:p w:rsidP="00F4518C" w:rsidR="00F016DD" w:rsidRDefault="00F016DD" w:rsidRPr="00FA472B">
            <w:pPr>
              <w:jc w:val="left"/>
              <w:rPr>
                <w:sz w:val="24"/>
              </w:rPr>
            </w:pPr>
            <w:r w:rsidRPr="00FA472B">
              <w:rPr>
                <w:color w:val="000000"/>
                <w:sz w:val="24"/>
              </w:rPr>
              <w:t>合计</w:t>
            </w:r>
          </w:p>
        </w:tc>
        <w:tc>
          <w:tcPr>
            <w:tcW w:type="dxa" w:w="2977"/>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148,553,479.10</w:t>
            </w:r>
          </w:p>
        </w:tc>
        <w:tc>
          <w:tcPr>
            <w:tcW w:type="dxa" w:w="1843"/>
            <w:vAlign w:val="center"/>
          </w:tcPr>
          <w:p w:rsidP="00F4518C" w:rsidR="00F016DD" w:rsidRDefault="00F016DD" w:rsidRPr="00FA472B">
            <w:pPr>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100.00</w:t>
            </w:r>
          </w:p>
        </w:tc>
      </w:tr>
    </w:tbl>
    <w:p w:rsidP="00B54884" w:rsidR="00874AA3" w:rsidRDefault="00874AA3" w:rsidRPr="00C70969">
      <w:pPr>
        <w:autoSpaceDE w:val="0"/>
        <w:autoSpaceDN w:val="0"/>
        <w:adjustRightInd w:val="0"/>
        <w:spacing w:before="312" w:beforeLines="100" w:line="360" w:lineRule="auto"/>
        <w:jc w:val="left"/>
        <w:rPr>
          <w:rFonts w:eastAsiaTheme="minorEastAsia"/>
          <w:b/>
          <w:color w:themeColor="text1" w:val="000000"/>
          <w:kern w:val="0"/>
          <w:sz w:val="24"/>
        </w:rPr>
      </w:pPr>
      <w:r w:rsidRPr="00C70969">
        <w:rPr>
          <w:rFonts w:eastAsiaTheme="minorEastAsia"/>
          <w:b/>
          <w:color w:themeColor="text1" w:val="000000"/>
          <w:kern w:val="0"/>
          <w:sz w:val="24"/>
        </w:rPr>
        <w:t xml:space="preserve">5.2 </w:t>
      </w:r>
      <w:r w:rsidRPr="00C70969">
        <w:rPr>
          <w:rFonts w:eastAsiaTheme="minorEastAsia"/>
          <w:b/>
          <w:color w:themeColor="text1" w:val="000000"/>
          <w:kern w:val="0"/>
          <w:sz w:val="24"/>
        </w:rPr>
        <w:t>报告期末按行业分类的股票投资组合</w:t>
      </w:r>
    </w:p>
    <w:p w:rsidP="00874AA3" w:rsidR="00874AA3" w:rsidRDefault="00874AA3" w:rsidRPr="00C70969">
      <w:pPr>
        <w:rPr>
          <w:b/>
          <w:sz w:val="24"/>
        </w:rPr>
      </w:pPr>
      <w:r w:rsidRPr="00C70969">
        <w:rPr>
          <w:b/>
          <w:sz w:val="24"/>
        </w:rPr>
        <w:t xml:space="preserve"> </w:t>
      </w:r>
      <w:r w:rsidRPr="00C70969">
        <w:rPr>
          <w:b/>
          <w:color w:themeColor="text1" w:val="000000"/>
          <w:sz w:val="24"/>
        </w:rPr>
        <w:t/>
      </w:r>
      <w:proofErr w:type="spellStart"/>
      <w:r w:rsidRPr="00C70969">
        <w:rPr>
          <w:b/>
          <w:color w:themeColor="text1" w:val="000000"/>
          <w:sz w:val="24"/>
        </w:rPr>
        <w:t/>
      </w:r>
      <w:proofErr w:type="spellEnd"/>
      <w:r w:rsidRPr="00C70969">
        <w:rPr>
          <w:b/>
          <w:color w:themeColor="text1" w:val="000000"/>
          <w:sz w:val="24"/>
        </w:rPr>
        <w:t/>
      </w:r>
      <w:r w:rsidRPr="00C70969">
        <w:rPr>
          <w:rFonts w:eastAsiaTheme="minorEastAsia"/>
          <w:b/>
          <w:color w:themeColor="text1" w:val="000000"/>
          <w:kern w:val="0"/>
          <w:sz w:val="24"/>
        </w:rPr>
        <w:t>5.2.1</w:t>
      </w:r>
      <w:r w:rsidRPr="00C70969">
        <w:rPr>
          <w:rFonts w:eastAsiaTheme="minorEastAsia"/>
          <w:b/>
          <w:color w:themeColor="text1" w:val="000000"/>
          <w:kern w:val="0"/>
          <w:sz w:val="24"/>
        </w:rPr>
        <w:t>报告期末按行业分类的境内股票投资组合</w:t>
      </w:r>
    </w:p>
    <w:tbl>
      <w:tblPr>
        <w:tblW w:type="auto" w:w="0"/>
        <w:tblInd w:type="dxa" w:w="108"/>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540"/>
        <w:gridCol w:w="3691"/>
        <w:gridCol w:w="2852"/>
        <w:gridCol w:w="1648"/>
      </w:tblGrid>
      <w:tr w:rsidR="00874AA3" w:rsidRPr="00C70969" w:rsidTr="0001612A">
        <w:trPr>
          <w:trHeight w:val="390"/>
        </w:trPr>
        <w:tc>
          <w:tcPr>
            <w:tcW w:type="dxa" w:w="540"/>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代码</w:t>
            </w: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行业类别</w:t>
            </w:r>
          </w:p>
        </w:tc>
        <w:tc>
          <w:tcPr>
            <w:tcW w:type="dxa" w:w="2852"/>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公允价值（元）</w:t>
            </w:r>
          </w:p>
        </w:tc>
        <w:tc>
          <w:tcPr>
            <w:tcW w:type="dxa" w:w="1648"/>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占基金资产净值比例（％）</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A</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农、林、牧、渔业</w:t>
            </w:r>
          </w:p>
        </w:tc>
        <w:tc>
          <w:tcPr>
            <w:tcW w:type="dxa" w:w="2852"/>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923,010.00</w:t>
            </w:r>
          </w:p>
        </w:tc>
        <w:tc>
          <w:tcPr>
            <w:tcW w:type="dxa" w:w="1648"/>
            <w:tcMar>
              <w:top w:type="dxa" w:w="15"/>
              <w:left w:type="dxa" w:w="15"/>
              <w:bottom w:type="dxa" w:w="0"/>
              <w:right w:type="dxa" w:w="15"/>
            </w:tcMar>
            <w:vAlign w:val="center"/>
          </w:tcPr>
          <w:p w:rsidP="0071134C" w:rsidR="00874AA3" w:rsidRDefault="00874AA3" w:rsidRPr="00C70969">
            <w:pPr>
              <w:autoSpaceDE w:val="0"/>
              <w:autoSpaceDN w:val="0"/>
              <w:adjustRightInd w:val="0"/>
              <w:spacing w:before="29" w:line="360" w:lineRule="auto"/>
              <w:ind w:left="15"/>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0.63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B</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采矿业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1,117,213.00</w:t>
            </w:r>
          </w:p>
          <w:p w:rsidP="0071134C" w:rsidR="00874AA3" w:rsidRDefault="00874AA3" w:rsidRPr="00C70969">
            <w:pPr>
              <w:jc w:val="right"/>
              <w:rPr>
                <w:rFonts w:eastAsiaTheme="minorEastAsia"/>
                <w:color w:themeColor="text1" w:val="000000"/>
                <w:sz w:val="24"/>
              </w:rPr>
            </w:pP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0.76</w:t>
            </w:r>
          </w:p>
          <w:p w:rsidP="0071134C" w:rsidR="00874AA3" w:rsidRDefault="00874AA3" w:rsidRPr="00C70969">
            <w:pPr>
              <w:jc w:val="right"/>
              <w:rPr>
                <w:rFonts w:eastAsiaTheme="minorEastAsia"/>
                <w:color w:themeColor="text1" w:val="000000"/>
                <w:sz w:val="24"/>
              </w:rPr>
            </w:pP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C</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制造业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81,365,958.05</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55.43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D</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电力、热力、燃气及水生产和供应业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2,925,414.32</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1.99</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E</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建筑业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1,321,801.00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0.90</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F</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批发和零售业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5,212,197.60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3.55</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G</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交通运输、仓储和邮政业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747,680.00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r w:rsidRPr="00C70969">
              <w:rPr>
                <w:rFonts w:eastAsiaTheme="minorEastAsia"/>
                <w:color w:themeColor="text1" w:val="000000"/>
                <w:sz w:val="24"/>
              </w:rPr>
              <w:lastRenderedPageBreak/>
              <w:t>0.51</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H</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住宿和餐饮业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I</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信息传输、软件和信息技术服务业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15,229,633.97</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10.38</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J</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金融业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5,846,679.75</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3.98</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K</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房地产业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2,435,628.00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1.66</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L</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租赁和商务服务业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816,359.00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0.56</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M</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科学研究和技术服务业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4,195,304.00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2.86</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N</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水利、环境和公共设施管理业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572,355.00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0.39</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O</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居民服务、修理和其他服务业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P</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教育</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1,370,850.00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r w:rsidRPr="00C70969">
              <w:rPr>
                <w:rFonts w:eastAsiaTheme="minorEastAsia"/>
                <w:color w:themeColor="text1" w:val="000000"/>
                <w:sz w:val="24"/>
              </w:rPr>
              <w:lastRenderedPageBreak/>
              <w:t/>
            </w:r>
            <w:proofErr w:type="spellEnd"/>
            <w:r w:rsidRPr="00C70969">
              <w:rPr>
                <w:rFonts w:eastAsiaTheme="minorEastAsia"/>
                <w:color w:themeColor="text1" w:val="000000"/>
                <w:sz w:val="24"/>
              </w:rPr>
              <w:t>0.93</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lastRenderedPageBreak/>
              <w:t>Q</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卫生和社会工作</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1,272,654.00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0.87</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R</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文化、体育和娱乐业</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1,336,600.00</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0.91</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r w:rsidRPr="00C70969">
              <w:rPr>
                <w:rFonts w:eastAsiaTheme="minorEastAsia"/>
                <w:color w:themeColor="text1" w:val="000000"/>
                <w:sz w:val="24"/>
              </w:rPr>
              <w:t>S</w:t>
            </w: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综合</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w:t>
            </w:r>
          </w:p>
        </w:tc>
      </w:tr>
      <w:tr w:rsidR="00874AA3" w:rsidRPr="00C70969" w:rsidTr="0001612A">
        <w:trPr>
          <w:trHeight w:val="285"/>
        </w:trPr>
        <w:tc>
          <w:tcPr>
            <w:tcW w:type="dxa" w:w="540"/>
            <w:tcMar>
              <w:top w:type="dxa" w:w="15"/>
              <w:left w:type="dxa" w:w="15"/>
              <w:bottom w:type="dxa" w:w="0"/>
              <w:right w:type="dxa" w:w="15"/>
            </w:tcMar>
            <w:vAlign w:val="center"/>
          </w:tcPr>
          <w:p w:rsidP="0071134C" w:rsidR="00874AA3" w:rsidRDefault="00874AA3" w:rsidRPr="00C70969">
            <w:pPr>
              <w:adjustRightInd w:val="0"/>
              <w:snapToGrid w:val="0"/>
              <w:spacing w:line="400" w:lineRule="exact"/>
              <w:jc w:val="center"/>
              <w:rPr>
                <w:rFonts w:eastAsiaTheme="minorEastAsia"/>
                <w:color w:themeColor="text1" w:val="000000"/>
                <w:sz w:val="24"/>
              </w:rPr>
            </w:pPr>
          </w:p>
        </w:tc>
        <w:tc>
          <w:tcPr>
            <w:tcW w:type="dxa" w:w="3691"/>
            <w:tcMar>
              <w:top w:type="dxa" w:w="15"/>
              <w:left w:type="dxa" w:w="15"/>
              <w:bottom w:type="dxa" w:w="0"/>
              <w:right w:type="dxa" w:w="15"/>
            </w:tcMar>
            <w:vAlign w:val="center"/>
          </w:tcPr>
          <w:p w:rsidP="0071134C" w:rsidR="00874AA3" w:rsidRDefault="00874AA3" w:rsidRPr="00C70969">
            <w:pPr>
              <w:adjustRightInd w:val="0"/>
              <w:snapToGrid w:val="0"/>
              <w:spacing w:line="400" w:lineRule="exact"/>
              <w:rPr>
                <w:rFonts w:eastAsiaTheme="minorEastAsia"/>
                <w:color w:themeColor="text1" w:val="000000"/>
                <w:sz w:val="24"/>
              </w:rPr>
            </w:pPr>
            <w:r w:rsidRPr="00C70969">
              <w:rPr>
                <w:rFonts w:eastAsiaTheme="minorEastAsia"/>
                <w:color w:themeColor="text1" w:val="000000"/>
                <w:sz w:val="24"/>
              </w:rPr>
              <w:t>合计</w:t>
            </w:r>
          </w:p>
        </w:tc>
        <w:tc>
          <w:tcPr>
            <w:tcW w:type="dxa" w:w="2852"/>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126,689,337.69</w:t>
            </w:r>
          </w:p>
        </w:tc>
        <w:tc>
          <w:tcPr>
            <w:tcW w:type="dxa" w:w="1648"/>
            <w:tcMar>
              <w:top w:type="dxa" w:w="15"/>
              <w:left w:type="dxa" w:w="15"/>
              <w:bottom w:type="dxa" w:w="0"/>
              <w:right w:type="dxa" w:w="15"/>
            </w:tcMar>
            <w:vAlign w:val="center"/>
          </w:tcPr>
          <w:p w:rsidP="0071134C" w:rsidR="00874AA3" w:rsidRDefault="00874AA3" w:rsidRPr="00C70969">
            <w:pPr>
              <w:jc w:val="right"/>
              <w:rPr>
                <w:rFonts w:eastAsiaTheme="minorEastAsia"/>
                <w:color w:themeColor="text1" w:val="000000"/>
                <w:sz w:val="24"/>
              </w:rPr>
            </w:pPr>
            <w:r w:rsidRPr="00C70969">
              <w:rPr>
                <w:rFonts w:eastAsiaTheme="minorEastAsia"/>
                <w:color w:themeColor="text1" w:val="000000"/>
                <w:sz w:val="24"/>
              </w:rPr>
              <w:t/>
            </w:r>
            <w:proofErr w:type="spellStart"/>
            <w:r w:rsidRPr="00C70969">
              <w:rPr>
                <w:rFonts w:eastAsiaTheme="minorEastAsia"/>
                <w:color w:themeColor="text1" w:val="000000"/>
                <w:sz w:val="24"/>
              </w:rPr>
              <w:t/>
            </w:r>
            <w:proofErr w:type="spellEnd"/>
            <w:r w:rsidRPr="00C70969">
              <w:rPr>
                <w:rFonts w:eastAsiaTheme="minorEastAsia"/>
                <w:color w:themeColor="text1" w:val="000000"/>
                <w:sz w:val="24"/>
              </w:rPr>
              <w:t>86.31</w:t>
            </w:r>
          </w:p>
        </w:tc>
      </w:tr>
    </w:tbl>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5.3 </w:t>
      </w:r>
      <w:r w:rsidRPr="0078105B">
        <w:rPr>
          <w:rFonts w:ascii="宋体" w:cs="Arial" w:hAnsi="宋体" w:hint="eastAsia"/>
          <w:b/>
          <w:color w:val="000000"/>
          <w:kern w:val="0"/>
          <w:sz w:val="24"/>
        </w:rPr>
        <w:t>报告期末按公允价值占基金资产净值比例大小排序的前十名股票投资明细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17"/>
        <w:gridCol w:w="1276"/>
        <w:gridCol w:w="1417"/>
        <w:gridCol w:w="1560"/>
        <w:gridCol w:w="2268"/>
        <w:gridCol w:w="1559"/>
      </w:tblGrid>
      <w:tr w:rsidR="00F016DD" w:rsidRPr="0078105B" w:rsidTr="00174038">
        <w:tc>
          <w:tcPr>
            <w:tcW w:type="dxa" w:w="8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序号</w:t>
            </w:r>
          </w:p>
        </w:tc>
        <w:tc>
          <w:tcPr>
            <w:tcW w:type="dxa" w:w="1276"/>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股票代码</w:t>
            </w:r>
          </w:p>
        </w:tc>
        <w:tc>
          <w:tcPr>
            <w:tcW w:type="dxa" w:w="1417"/>
            <w:vAlign w:val="center"/>
          </w:tcPr>
          <w:p w:rsidP="000871DB" w:rsidR="00F016DD" w:rsidRDefault="00F016DD" w:rsidRPr="00FA472B">
            <w:pPr>
              <w:spacing w:before="29" w:line="360" w:lineRule="auto"/>
              <w:ind w:left="17"/>
              <w:jc w:val="center"/>
              <w:rPr>
                <w:color w:val="000000"/>
                <w:sz w:val="24"/>
              </w:rPr>
            </w:pPr>
            <w:r w:rsidRPr="00FA472B">
              <w:rPr>
                <w:color w:val="000000"/>
                <w:sz w:val="24"/>
              </w:rPr>
              <w:t>股票名称</w:t>
            </w:r>
          </w:p>
        </w:tc>
        <w:tc>
          <w:tcPr>
            <w:tcW w:type="dxa" w:w="1560"/>
            <w:vAlign w:val="center"/>
          </w:tcPr>
          <w:p w:rsidP="000871DB" w:rsidR="00F016DD" w:rsidRDefault="00F016DD" w:rsidRPr="00FA472B">
            <w:pPr>
              <w:spacing w:before="29" w:line="360" w:lineRule="auto"/>
              <w:ind w:left="17"/>
              <w:jc w:val="center"/>
              <w:rPr>
                <w:color w:val="000000"/>
                <w:sz w:val="24"/>
              </w:rPr>
            </w:pPr>
            <w:r w:rsidRPr="00FA472B">
              <w:rPr>
                <w:color w:val="000000"/>
                <w:sz w:val="24"/>
              </w:rPr>
              <w:t>数量</w:t>
            </w:r>
            <w:r w:rsidRPr="00FA472B">
              <w:rPr>
                <w:color w:val="000000"/>
                <w:sz w:val="24"/>
              </w:rPr>
              <w:t>(</w:t>
            </w:r>
            <w:r w:rsidRPr="00FA472B">
              <w:rPr>
                <w:color w:val="000000"/>
                <w:sz w:val="24"/>
              </w:rPr>
              <w:t>股</w:t>
            </w:r>
            <w:r w:rsidRPr="00FA472B">
              <w:rPr>
                <w:color w:val="000000"/>
                <w:sz w:val="24"/>
              </w:rPr>
              <w:t>)</w:t>
            </w:r>
          </w:p>
        </w:tc>
        <w:tc>
          <w:tcPr>
            <w:tcW w:type="dxa" w:w="2268"/>
            <w:vAlign w:val="center"/>
          </w:tcPr>
          <w:p w:rsidP="000871DB" w:rsidR="00F016DD" w:rsidRDefault="00F016DD" w:rsidRPr="00FA472B">
            <w:pPr>
              <w:autoSpaceDE w:val="0"/>
              <w:autoSpaceDN w:val="0"/>
              <w:adjustRightInd w:val="0"/>
              <w:spacing w:before="29" w:line="360" w:lineRule="auto"/>
              <w:ind w:left="17"/>
              <w:jc w:val="center"/>
              <w:rPr>
                <w:color w:val="000000"/>
                <w:sz w:val="24"/>
              </w:rPr>
            </w:pPr>
            <w:r w:rsidRPr="00FA472B">
              <w:rPr>
                <w:color w:val="000000"/>
                <w:sz w:val="24"/>
              </w:rPr>
              <w:t>公允价值</w:t>
            </w:r>
            <w:r w:rsidRPr="00FA472B">
              <w:rPr>
                <w:color w:val="000000"/>
                <w:sz w:val="24"/>
              </w:rPr>
              <w:t>(</w:t>
            </w:r>
            <w:r w:rsidRPr="00FA472B">
              <w:rPr>
                <w:color w:val="000000"/>
                <w:sz w:val="24"/>
              </w:rPr>
              <w:t>元</w:t>
            </w:r>
            <w:r w:rsidRPr="00FA472B">
              <w:rPr>
                <w:color w:val="000000"/>
                <w:sz w:val="24"/>
              </w:rPr>
              <w:t>)</w:t>
            </w:r>
          </w:p>
        </w:tc>
        <w:tc>
          <w:tcPr>
            <w:tcW w:type="dxa" w:w="1559"/>
            <w:vAlign w:val="center"/>
          </w:tcPr>
          <w:p w:rsidP="000871DB" w:rsidR="00F016DD" w:rsidRDefault="00F016DD" w:rsidRPr="00FA472B">
            <w:pPr>
              <w:spacing w:before="29" w:line="360" w:lineRule="auto"/>
              <w:ind w:left="17"/>
              <w:jc w:val="center"/>
              <w:rPr>
                <w:color w:val="000000"/>
                <w:sz w:val="24"/>
              </w:rPr>
            </w:pPr>
            <w:r w:rsidRPr="00FA472B">
              <w:rPr>
                <w:color w:val="000000"/>
                <w:sz w:val="24"/>
              </w:rPr>
              <w:t>占基金资产净值比例</w:t>
            </w:r>
            <w:r w:rsidRPr="00FA472B">
              <w:rPr>
                <w:color w:val="000000"/>
                <w:sz w:val="24"/>
              </w:rPr>
              <w:t>(</w:t>
            </w:r>
            <w:r w:rsidRPr="00FA472B">
              <w:rPr>
                <w:color w:val="000000"/>
                <w:sz w:val="24"/>
              </w:rPr>
              <w:t>％</w:t>
            </w:r>
            <w:r w:rsidRPr="00FA472B">
              <w:rPr>
                <w:color w:val="000000"/>
                <w:sz w:val="24"/>
              </w:rPr>
              <w:t>)</w:t>
            </w:r>
          </w:p>
        </w:tc>
      </w:tr>
      <w:tr>
        <w:tc>
          <w:tcPr>
            <w:vAlign w:val="center"/>
          </w:tcPr>
          <w:p>
            <w:pPr>
              <w:jc w:val="center"/>
            </w:pPr>
            <w:r>
              <w:rPr>
                <w:color w:val="000000"/>
                <w:sz w:val="24"/>
              </w:rPr>
              <w:t>1</w:t>
            </w:r>
          </w:p>
        </w:tc>
        <w:tc>
          <w:tcPr>
            <w:vAlign w:val="center"/>
          </w:tcPr>
          <w:p>
            <w:pPr>
              <w:jc w:val="center"/>
            </w:pPr>
            <w:r>
              <w:rPr>
                <w:color w:val="000000"/>
                <w:sz w:val="24"/>
              </w:rPr>
              <w:t>600519</w:t>
            </w:r>
          </w:p>
        </w:tc>
        <w:tc>
          <w:tcPr>
            <w:vAlign w:val="center"/>
          </w:tcPr>
          <w:p>
            <w:pPr>
              <w:jc w:val="center"/>
            </w:pPr>
            <w:r>
              <w:rPr>
                <w:color w:val="000000"/>
                <w:sz w:val="24"/>
              </w:rPr>
              <w:t>贵州茅台</w:t>
            </w:r>
          </w:p>
        </w:tc>
        <w:tc>
          <w:tcPr>
            <w:vAlign w:val="center"/>
          </w:tcPr>
          <w:p>
            <w:pPr>
              <w:jc w:val="right"/>
            </w:pPr>
            <w:r>
              <w:rPr>
                <w:color w:val="000000"/>
                <w:sz w:val="24"/>
              </w:rPr>
              <w:t>3,500</w:t>
            </w:r>
          </w:p>
        </w:tc>
        <w:tc>
          <w:tcPr>
            <w:vAlign w:val="center"/>
          </w:tcPr>
          <w:p>
            <w:pPr>
              <w:jc w:val="right"/>
            </w:pPr>
            <w:r>
              <w:rPr>
                <w:color w:val="000000"/>
                <w:sz w:val="24"/>
              </w:rPr>
              <w:t>5,120,080.00</w:t>
            </w:r>
          </w:p>
        </w:tc>
        <w:tc>
          <w:tcPr>
            <w:vAlign w:val="center"/>
          </w:tcPr>
          <w:p>
            <w:pPr>
              <w:jc w:val="right"/>
            </w:pPr>
            <w:r>
              <w:rPr>
                <w:color w:val="000000"/>
                <w:sz w:val="24"/>
              </w:rPr>
              <w:t>3.49</w:t>
            </w:r>
          </w:p>
        </w:tc>
      </w:tr>
      <w:tr>
        <w:tc>
          <w:tcPr>
            <w:vAlign w:val="center"/>
          </w:tcPr>
          <w:p>
            <w:pPr>
              <w:jc w:val="center"/>
            </w:pPr>
            <w:r>
              <w:rPr>
                <w:color w:val="000000"/>
                <w:sz w:val="24"/>
              </w:rPr>
              <w:t>2</w:t>
            </w:r>
          </w:p>
        </w:tc>
        <w:tc>
          <w:tcPr>
            <w:vAlign w:val="center"/>
          </w:tcPr>
          <w:p>
            <w:pPr>
              <w:jc w:val="center"/>
            </w:pPr>
            <w:r>
              <w:rPr>
                <w:color w:val="000000"/>
                <w:sz w:val="24"/>
              </w:rPr>
              <w:t>000661</w:t>
            </w:r>
          </w:p>
        </w:tc>
        <w:tc>
          <w:tcPr>
            <w:vAlign w:val="center"/>
          </w:tcPr>
          <w:p>
            <w:pPr>
              <w:jc w:val="center"/>
            </w:pPr>
            <w:r>
              <w:rPr>
                <w:color w:val="000000"/>
                <w:sz w:val="24"/>
              </w:rPr>
              <w:t>长春高新</w:t>
            </w:r>
          </w:p>
        </w:tc>
        <w:tc>
          <w:tcPr>
            <w:vAlign w:val="center"/>
          </w:tcPr>
          <w:p>
            <w:pPr>
              <w:jc w:val="right"/>
            </w:pPr>
            <w:r>
              <w:rPr>
                <w:color w:val="000000"/>
                <w:sz w:val="24"/>
              </w:rPr>
              <w:t>9,600</w:t>
            </w:r>
          </w:p>
        </w:tc>
        <w:tc>
          <w:tcPr>
            <w:vAlign w:val="center"/>
          </w:tcPr>
          <w:p>
            <w:pPr>
              <w:jc w:val="right"/>
            </w:pPr>
            <w:r>
              <w:rPr>
                <w:color w:val="000000"/>
                <w:sz w:val="24"/>
              </w:rPr>
              <w:t>4,178,880.00</w:t>
            </w:r>
          </w:p>
        </w:tc>
        <w:tc>
          <w:tcPr>
            <w:vAlign w:val="center"/>
          </w:tcPr>
          <w:p>
            <w:pPr>
              <w:jc w:val="right"/>
            </w:pPr>
            <w:r>
              <w:rPr>
                <w:color w:val="000000"/>
                <w:sz w:val="24"/>
              </w:rPr>
              <w:t>2.85</w:t>
            </w:r>
          </w:p>
        </w:tc>
      </w:tr>
      <w:tr>
        <w:tc>
          <w:tcPr>
            <w:vAlign w:val="center"/>
          </w:tcPr>
          <w:p>
            <w:pPr>
              <w:jc w:val="center"/>
            </w:pPr>
            <w:r>
              <w:rPr>
                <w:color w:val="000000"/>
                <w:sz w:val="24"/>
              </w:rPr>
              <w:t>3</w:t>
            </w:r>
          </w:p>
        </w:tc>
        <w:tc>
          <w:tcPr>
            <w:vAlign w:val="center"/>
          </w:tcPr>
          <w:p>
            <w:pPr>
              <w:jc w:val="center"/>
            </w:pPr>
            <w:r>
              <w:rPr>
                <w:color w:val="000000"/>
                <w:sz w:val="24"/>
              </w:rPr>
              <w:t>002475</w:t>
            </w:r>
          </w:p>
        </w:tc>
        <w:tc>
          <w:tcPr>
            <w:vAlign w:val="center"/>
          </w:tcPr>
          <w:p>
            <w:pPr>
              <w:jc w:val="center"/>
            </w:pPr>
            <w:r>
              <w:rPr>
                <w:color w:val="000000"/>
                <w:sz w:val="24"/>
              </w:rPr>
              <w:t>立讯精密</w:t>
            </w:r>
          </w:p>
        </w:tc>
        <w:tc>
          <w:tcPr>
            <w:vAlign w:val="center"/>
          </w:tcPr>
          <w:p>
            <w:pPr>
              <w:jc w:val="right"/>
            </w:pPr>
            <w:r>
              <w:rPr>
                <w:color w:val="000000"/>
                <w:sz w:val="24"/>
              </w:rPr>
              <w:t>64,478</w:t>
            </w:r>
          </w:p>
        </w:tc>
        <w:tc>
          <w:tcPr>
            <w:vAlign w:val="center"/>
          </w:tcPr>
          <w:p>
            <w:pPr>
              <w:jc w:val="right"/>
            </w:pPr>
            <w:r>
              <w:rPr>
                <w:color w:val="000000"/>
                <w:sz w:val="24"/>
              </w:rPr>
              <w:t>3,310,945.30</w:t>
            </w:r>
          </w:p>
        </w:tc>
        <w:tc>
          <w:tcPr>
            <w:vAlign w:val="center"/>
          </w:tcPr>
          <w:p>
            <w:pPr>
              <w:jc w:val="right"/>
            </w:pPr>
            <w:r>
              <w:rPr>
                <w:color w:val="000000"/>
                <w:sz w:val="24"/>
              </w:rPr>
              <w:t>2.26</w:t>
            </w:r>
          </w:p>
        </w:tc>
      </w:tr>
      <w:tr>
        <w:tc>
          <w:tcPr>
            <w:vAlign w:val="center"/>
          </w:tcPr>
          <w:p>
            <w:pPr>
              <w:jc w:val="center"/>
            </w:pPr>
            <w:r>
              <w:rPr>
                <w:color w:val="000000"/>
                <w:sz w:val="24"/>
              </w:rPr>
              <w:t>4</w:t>
            </w:r>
          </w:p>
        </w:tc>
        <w:tc>
          <w:tcPr>
            <w:vAlign w:val="center"/>
          </w:tcPr>
          <w:p>
            <w:pPr>
              <w:jc w:val="center"/>
            </w:pPr>
            <w:r>
              <w:rPr>
                <w:color w:val="000000"/>
                <w:sz w:val="24"/>
              </w:rPr>
              <w:t>300760</w:t>
            </w:r>
          </w:p>
        </w:tc>
        <w:tc>
          <w:tcPr>
            <w:vAlign w:val="center"/>
          </w:tcPr>
          <w:p>
            <w:pPr>
              <w:jc w:val="center"/>
            </w:pPr>
            <w:r>
              <w:rPr>
                <w:color w:val="000000"/>
                <w:sz w:val="24"/>
              </w:rPr>
              <w:t>迈瑞医疗</w:t>
            </w:r>
          </w:p>
        </w:tc>
        <w:tc>
          <w:tcPr>
            <w:vAlign w:val="center"/>
          </w:tcPr>
          <w:p>
            <w:pPr>
              <w:jc w:val="right"/>
            </w:pPr>
            <w:r>
              <w:rPr>
                <w:color w:val="000000"/>
                <w:sz w:val="24"/>
              </w:rPr>
              <w:t>8,800</w:t>
            </w:r>
          </w:p>
        </w:tc>
        <w:tc>
          <w:tcPr>
            <w:vAlign w:val="center"/>
          </w:tcPr>
          <w:p>
            <w:pPr>
              <w:jc w:val="right"/>
            </w:pPr>
            <w:r>
              <w:rPr>
                <w:color w:val="000000"/>
                <w:sz w:val="24"/>
              </w:rPr>
              <w:t>2,690,160.00</w:t>
            </w:r>
          </w:p>
        </w:tc>
        <w:tc>
          <w:tcPr>
            <w:vAlign w:val="center"/>
          </w:tcPr>
          <w:p>
            <w:pPr>
              <w:jc w:val="right"/>
            </w:pPr>
            <w:r>
              <w:rPr>
                <w:color w:val="000000"/>
                <w:sz w:val="24"/>
              </w:rPr>
              <w:t>1.83</w:t>
            </w:r>
          </w:p>
        </w:tc>
      </w:tr>
      <w:tr>
        <w:tc>
          <w:tcPr>
            <w:vAlign w:val="center"/>
          </w:tcPr>
          <w:p>
            <w:pPr>
              <w:jc w:val="center"/>
            </w:pPr>
            <w:r>
              <w:rPr>
                <w:color w:val="000000"/>
                <w:sz w:val="24"/>
              </w:rPr>
              <w:t>5</w:t>
            </w:r>
          </w:p>
        </w:tc>
        <w:tc>
          <w:tcPr>
            <w:vAlign w:val="center"/>
          </w:tcPr>
          <w:p>
            <w:pPr>
              <w:jc w:val="center"/>
            </w:pPr>
            <w:r>
              <w:rPr>
                <w:color w:val="000000"/>
                <w:sz w:val="24"/>
              </w:rPr>
              <w:t>600298</w:t>
            </w:r>
          </w:p>
        </w:tc>
        <w:tc>
          <w:tcPr>
            <w:vAlign w:val="center"/>
          </w:tcPr>
          <w:p>
            <w:pPr>
              <w:jc w:val="center"/>
            </w:pPr>
            <w:r>
              <w:rPr>
                <w:color w:val="000000"/>
                <w:sz w:val="24"/>
              </w:rPr>
              <w:t>安琪酵母</w:t>
            </w:r>
          </w:p>
        </w:tc>
        <w:tc>
          <w:tcPr>
            <w:vAlign w:val="center"/>
          </w:tcPr>
          <w:p>
            <w:pPr>
              <w:jc w:val="right"/>
            </w:pPr>
            <w:r>
              <w:rPr>
                <w:color w:val="000000"/>
                <w:sz w:val="24"/>
              </w:rPr>
              <w:t>48,200</w:t>
            </w:r>
          </w:p>
        </w:tc>
        <w:tc>
          <w:tcPr>
            <w:vAlign w:val="center"/>
          </w:tcPr>
          <w:p>
            <w:pPr>
              <w:jc w:val="right"/>
            </w:pPr>
            <w:r>
              <w:rPr>
                <w:color w:val="000000"/>
                <w:sz w:val="24"/>
              </w:rPr>
              <w:t>2,384,936.00</w:t>
            </w:r>
          </w:p>
        </w:tc>
        <w:tc>
          <w:tcPr>
            <w:vAlign w:val="center"/>
          </w:tcPr>
          <w:p>
            <w:pPr>
              <w:jc w:val="right"/>
            </w:pPr>
            <w:r>
              <w:rPr>
                <w:color w:val="000000"/>
                <w:sz w:val="24"/>
              </w:rPr>
              <w:t>1.62</w:t>
            </w:r>
          </w:p>
        </w:tc>
      </w:tr>
      <w:tr>
        <w:tc>
          <w:tcPr>
            <w:vAlign w:val="center"/>
          </w:tcPr>
          <w:p>
            <w:pPr>
              <w:jc w:val="center"/>
            </w:pPr>
            <w:r>
              <w:rPr>
                <w:color w:val="000000"/>
                <w:sz w:val="24"/>
              </w:rPr>
              <w:t>6</w:t>
            </w:r>
          </w:p>
        </w:tc>
        <w:tc>
          <w:tcPr>
            <w:vAlign w:val="center"/>
          </w:tcPr>
          <w:p>
            <w:pPr>
              <w:jc w:val="center"/>
            </w:pPr>
            <w:r>
              <w:rPr>
                <w:color w:val="000000"/>
                <w:sz w:val="24"/>
              </w:rPr>
              <w:t>601012</w:t>
            </w:r>
          </w:p>
        </w:tc>
        <w:tc>
          <w:tcPr>
            <w:vAlign w:val="center"/>
          </w:tcPr>
          <w:p>
            <w:pPr>
              <w:jc w:val="center"/>
            </w:pPr>
            <w:r>
              <w:rPr>
                <w:color w:val="000000"/>
                <w:sz w:val="24"/>
              </w:rPr>
              <w:t>隆基股份</w:t>
            </w:r>
          </w:p>
        </w:tc>
        <w:tc>
          <w:tcPr>
            <w:vAlign w:val="center"/>
          </w:tcPr>
          <w:p>
            <w:pPr>
              <w:jc w:val="right"/>
            </w:pPr>
            <w:r>
              <w:rPr>
                <w:color w:val="000000"/>
                <w:sz w:val="24"/>
              </w:rPr>
              <w:t>53,984</w:t>
            </w:r>
          </w:p>
        </w:tc>
        <w:tc>
          <w:tcPr>
            <w:vAlign w:val="center"/>
          </w:tcPr>
          <w:p>
            <w:pPr>
              <w:jc w:val="right"/>
            </w:pPr>
            <w:r>
              <w:rPr>
                <w:color w:val="000000"/>
                <w:sz w:val="24"/>
              </w:rPr>
              <w:t>2,198,768.32</w:t>
            </w:r>
          </w:p>
        </w:tc>
        <w:tc>
          <w:tcPr>
            <w:vAlign w:val="center"/>
          </w:tcPr>
          <w:p>
            <w:pPr>
              <w:jc w:val="right"/>
            </w:pPr>
            <w:r>
              <w:rPr>
                <w:color w:val="000000"/>
                <w:sz w:val="24"/>
              </w:rPr>
              <w:t>1.50</w:t>
            </w:r>
          </w:p>
        </w:tc>
      </w:tr>
      <w:tr>
        <w:tc>
          <w:tcPr>
            <w:vAlign w:val="center"/>
          </w:tcPr>
          <w:p>
            <w:pPr>
              <w:jc w:val="center"/>
            </w:pPr>
            <w:r>
              <w:rPr>
                <w:color w:val="000000"/>
                <w:sz w:val="24"/>
              </w:rPr>
              <w:t>7</w:t>
            </w:r>
          </w:p>
        </w:tc>
        <w:tc>
          <w:tcPr>
            <w:vAlign w:val="center"/>
          </w:tcPr>
          <w:p>
            <w:pPr>
              <w:jc w:val="center"/>
            </w:pPr>
            <w:r>
              <w:rPr>
                <w:color w:val="000000"/>
                <w:sz w:val="24"/>
              </w:rPr>
              <w:t>603986</w:t>
            </w:r>
          </w:p>
        </w:tc>
        <w:tc>
          <w:tcPr>
            <w:vAlign w:val="center"/>
          </w:tcPr>
          <w:p>
            <w:pPr>
              <w:jc w:val="center"/>
            </w:pPr>
            <w:r>
              <w:rPr>
                <w:color w:val="000000"/>
                <w:sz w:val="24"/>
              </w:rPr>
              <w:t>兆易创新</w:t>
            </w:r>
          </w:p>
        </w:tc>
        <w:tc>
          <w:tcPr>
            <w:vAlign w:val="center"/>
          </w:tcPr>
          <w:p>
            <w:pPr>
              <w:jc w:val="right"/>
            </w:pPr>
            <w:r>
              <w:rPr>
                <w:color w:val="000000"/>
                <w:sz w:val="24"/>
              </w:rPr>
              <w:t>9,260</w:t>
            </w:r>
          </w:p>
        </w:tc>
        <w:tc>
          <w:tcPr>
            <w:vAlign w:val="center"/>
          </w:tcPr>
          <w:p>
            <w:pPr>
              <w:jc w:val="right"/>
            </w:pPr>
            <w:r>
              <w:rPr>
                <w:color w:val="000000"/>
                <w:sz w:val="24"/>
              </w:rPr>
              <w:t>2,184,526.60</w:t>
            </w:r>
          </w:p>
        </w:tc>
        <w:tc>
          <w:tcPr>
            <w:vAlign w:val="center"/>
          </w:tcPr>
          <w:p>
            <w:pPr>
              <w:jc w:val="right"/>
            </w:pPr>
            <w:r>
              <w:rPr>
                <w:color w:val="000000"/>
                <w:sz w:val="24"/>
              </w:rPr>
              <w:t>1.49</w:t>
            </w:r>
          </w:p>
        </w:tc>
      </w:tr>
      <w:tr>
        <w:tc>
          <w:tcPr>
            <w:vAlign w:val="center"/>
          </w:tcPr>
          <w:p>
            <w:pPr>
              <w:jc w:val="center"/>
            </w:pPr>
            <w:r>
              <w:rPr>
                <w:color w:val="000000"/>
                <w:sz w:val="24"/>
              </w:rPr>
              <w:t>8</w:t>
            </w:r>
          </w:p>
        </w:tc>
        <w:tc>
          <w:tcPr>
            <w:vAlign w:val="center"/>
          </w:tcPr>
          <w:p>
            <w:pPr>
              <w:jc w:val="center"/>
            </w:pPr>
            <w:r>
              <w:rPr>
                <w:color w:val="000000"/>
                <w:sz w:val="24"/>
              </w:rPr>
              <w:t>300059</w:t>
            </w:r>
          </w:p>
        </w:tc>
        <w:tc>
          <w:tcPr>
            <w:vAlign w:val="center"/>
          </w:tcPr>
          <w:p>
            <w:pPr>
              <w:jc w:val="center"/>
            </w:pPr>
            <w:r>
              <w:rPr>
                <w:color w:val="000000"/>
                <w:sz w:val="24"/>
              </w:rPr>
              <w:t>东方财富</w:t>
            </w:r>
          </w:p>
        </w:tc>
        <w:tc>
          <w:tcPr>
            <w:vAlign w:val="center"/>
          </w:tcPr>
          <w:p>
            <w:pPr>
              <w:jc w:val="right"/>
            </w:pPr>
            <w:r>
              <w:rPr>
                <w:color w:val="000000"/>
                <w:sz w:val="24"/>
              </w:rPr>
              <w:t>105,960</w:t>
            </w:r>
          </w:p>
        </w:tc>
        <w:tc>
          <w:tcPr>
            <w:vAlign w:val="center"/>
          </w:tcPr>
          <w:p>
            <w:pPr>
              <w:jc w:val="right"/>
            </w:pPr>
            <w:r>
              <w:rPr>
                <w:color w:val="000000"/>
                <w:sz w:val="24"/>
              </w:rPr>
              <w:t>2,140,392.00</w:t>
            </w:r>
          </w:p>
        </w:tc>
        <w:tc>
          <w:tcPr>
            <w:vAlign w:val="center"/>
          </w:tcPr>
          <w:p>
            <w:pPr>
              <w:jc w:val="right"/>
            </w:pPr>
            <w:r>
              <w:rPr>
                <w:color w:val="000000"/>
                <w:sz w:val="24"/>
              </w:rPr>
              <w:t>1.46</w:t>
            </w:r>
          </w:p>
        </w:tc>
      </w:tr>
      <w:tr>
        <w:tc>
          <w:tcPr>
            <w:vAlign w:val="center"/>
          </w:tcPr>
          <w:p>
            <w:pPr>
              <w:jc w:val="center"/>
            </w:pPr>
            <w:r>
              <w:rPr>
                <w:color w:val="000000"/>
                <w:sz w:val="24"/>
              </w:rPr>
              <w:t>9</w:t>
            </w:r>
          </w:p>
        </w:tc>
        <w:tc>
          <w:tcPr>
            <w:vAlign w:val="center"/>
          </w:tcPr>
          <w:p>
            <w:pPr>
              <w:jc w:val="center"/>
            </w:pPr>
            <w:r>
              <w:rPr>
                <w:color w:val="000000"/>
                <w:sz w:val="24"/>
              </w:rPr>
              <w:t>600436</w:t>
            </w:r>
          </w:p>
        </w:tc>
        <w:tc>
          <w:tcPr>
            <w:vAlign w:val="center"/>
          </w:tcPr>
          <w:p>
            <w:pPr>
              <w:jc w:val="center"/>
            </w:pPr>
            <w:r>
              <w:rPr>
                <w:color w:val="000000"/>
                <w:sz w:val="24"/>
              </w:rPr>
              <w:t>片仔癀</w:t>
            </w:r>
          </w:p>
        </w:tc>
        <w:tc>
          <w:tcPr>
            <w:vAlign w:val="center"/>
          </w:tcPr>
          <w:p>
            <w:pPr>
              <w:jc w:val="right"/>
            </w:pPr>
            <w:r>
              <w:rPr>
                <w:color w:val="000000"/>
                <w:sz w:val="24"/>
              </w:rPr>
              <w:t>12,300</w:t>
            </w:r>
          </w:p>
        </w:tc>
        <w:tc>
          <w:tcPr>
            <w:vAlign w:val="center"/>
          </w:tcPr>
          <w:p>
            <w:pPr>
              <w:jc w:val="right"/>
            </w:pPr>
            <w:r>
              <w:rPr>
                <w:color w:val="000000"/>
                <w:sz w:val="24"/>
              </w:rPr>
              <w:t>2,094,075.00</w:t>
            </w:r>
          </w:p>
        </w:tc>
        <w:tc>
          <w:tcPr>
            <w:vAlign w:val="center"/>
          </w:tcPr>
          <w:p>
            <w:pPr>
              <w:jc w:val="right"/>
            </w:pPr>
            <w:r>
              <w:rPr>
                <w:color w:val="000000"/>
                <w:sz w:val="24"/>
              </w:rPr>
              <w:t>1.43</w:t>
            </w:r>
          </w:p>
        </w:tc>
      </w:tr>
      <w:tr>
        <w:tc>
          <w:tcPr>
            <w:vAlign w:val="center"/>
          </w:tcPr>
          <w:p>
            <w:pPr>
              <w:jc w:val="center"/>
            </w:pPr>
            <w:r>
              <w:rPr>
                <w:color w:val="000000"/>
                <w:sz w:val="24"/>
              </w:rPr>
              <w:t>10</w:t>
            </w:r>
          </w:p>
        </w:tc>
        <w:tc>
          <w:tcPr>
            <w:vAlign w:val="center"/>
          </w:tcPr>
          <w:p>
            <w:pPr>
              <w:jc w:val="center"/>
            </w:pPr>
            <w:r>
              <w:rPr>
                <w:color w:val="000000"/>
                <w:sz w:val="24"/>
              </w:rPr>
              <w:t>600809</w:t>
            </w:r>
          </w:p>
        </w:tc>
        <w:tc>
          <w:tcPr>
            <w:vAlign w:val="center"/>
          </w:tcPr>
          <w:p>
            <w:pPr>
              <w:jc w:val="center"/>
            </w:pPr>
            <w:r>
              <w:rPr>
                <w:color w:val="000000"/>
                <w:sz w:val="24"/>
              </w:rPr>
              <w:t>山西汾酒</w:t>
            </w:r>
          </w:p>
        </w:tc>
        <w:tc>
          <w:tcPr>
            <w:vAlign w:val="center"/>
          </w:tcPr>
          <w:p>
            <w:pPr>
              <w:jc w:val="right"/>
            </w:pPr>
            <w:r>
              <w:rPr>
                <w:color w:val="000000"/>
                <w:sz w:val="24"/>
              </w:rPr>
              <w:t>14,400</w:t>
            </w:r>
          </w:p>
        </w:tc>
        <w:tc>
          <w:tcPr>
            <w:vAlign w:val="center"/>
          </w:tcPr>
          <w:p>
            <w:pPr>
              <w:jc w:val="right"/>
            </w:pPr>
            <w:r>
              <w:rPr>
                <w:color w:val="000000"/>
                <w:sz w:val="24"/>
              </w:rPr>
              <w:t>2,088,000.00</w:t>
            </w:r>
          </w:p>
        </w:tc>
        <w:tc>
          <w:tcPr>
            <w:vAlign w:val="center"/>
          </w:tcPr>
          <w:p>
            <w:pPr>
              <w:jc w:val="right"/>
            </w:pPr>
            <w:r>
              <w:rPr>
                <w:color w:val="000000"/>
                <w:sz w:val="24"/>
              </w:rPr>
              <w:t>1.42</w:t>
            </w:r>
          </w:p>
        </w:tc>
      </w:tr>
    </w:tbl>
    <w:p w:rsidP="00B54884" w:rsidR="006A1153" w:rsidRDefault="00F016DD" w:rsidRPr="006A1153">
      <w:pPr>
        <w:autoSpaceDE w:val="0"/>
        <w:autoSpaceDN w:val="0"/>
        <w:adjustRightInd w:val="0"/>
        <w:spacing w:before="312" w:beforeLines="100" w:line="360" w:lineRule="auto"/>
        <w:jc w:val="left"/>
        <w:rPr>
          <w:rFonts w:eastAsiaTheme="minorEastAsia"/>
          <w:b/>
          <w:color w:themeColor="text1" w:val="000000"/>
          <w:kern w:val="0"/>
          <w:sz w:val="24"/>
        </w:rPr>
      </w:pPr>
      <w:r w:rsidRPr="0078105B">
        <w:rPr>
          <w:rFonts w:ascii="宋体" w:cs="Arial" w:hAnsi="宋体"/>
          <w:b/>
          <w:color w:val="000000"/>
          <w:kern w:val="0"/>
          <w:sz w:val="24"/>
        </w:rPr>
        <w:t xml:space="preserve">5.4 </w:t>
      </w:r>
      <w:r w:rsidRPr="0078105B">
        <w:rPr>
          <w:rFonts w:ascii="宋体" w:cs="Arial" w:hAnsi="宋体" w:hint="eastAsia"/>
          <w:b/>
          <w:color w:val="000000"/>
          <w:kern w:val="0"/>
          <w:sz w:val="24"/>
        </w:rPr>
        <w:t>报告期末按债券品种分类的债券投资组合</w:t>
      </w:r>
    </w:p>
    <w:p w:rsidP="006A1153" w:rsidR="00F016DD" w:rsidRDefault="006A1153" w:rsidRPr="00EA6415">
      <w:pPr>
        <w:spacing w:line="360" w:lineRule="auto"/>
        <w:ind w:firstLine="480" w:firstLineChars="200"/>
        <w:rPr>
          <w:color w:val="000000"/>
          <w:sz w:val="24"/>
        </w:rPr>
      </w:pPr>
      <w:r w:rsidRPr="00EA6415">
        <w:rPr>
          <w:color w:val="000000"/>
          <w:sz w:val="24"/>
        </w:rPr>
        <w:lastRenderedPageBreak/>
        <w:t/>
      </w:r>
      <w:proofErr w:type="spellStart"/>
      <w:r w:rsidRPr="00EA6415">
        <w:rPr>
          <w:color w:val="000000"/>
          <w:sz w:val="24"/>
        </w:rPr>
        <w:t/>
      </w:r>
      <w:proofErr w:type="spellEnd"/>
      <w:r w:rsidRPr="00EA6415">
        <w:rPr>
          <w:color w:val="000000"/>
          <w:sz w:val="24"/>
        </w:rPr>
        <w:t/>
      </w:r>
      <w:proofErr w:type="spellStart"/>
      <w:proofErr w:type="gramStart"/>
      <w:r w:rsidRPr="00EA6415">
        <w:rPr>
          <w:color w:val="000000"/>
          <w:sz w:val="24"/>
        </w:rPr>
        <w:t/>
      </w:r>
      <w:proofErr w:type="spellEnd"/>
      <w:proofErr w:type="gramEnd"/>
      <w:r w:rsidRPr="00EA6415">
        <w:rPr>
          <w:color w:val="000000"/>
          <w:sz w:val="24"/>
        </w:rPr>
        <w:t>本基金本报告期末未持有债券。</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 xml:space="preserve">5.5 </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的前五名债券投资明细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本基金本报告期末未持有债券。</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sidRPr="0078105B">
        <w:rPr>
          <w:rFonts w:ascii="宋体" w:cs="Arial" w:hAnsi="宋体"/>
          <w:b/>
          <w:color w:val="000000"/>
          <w:kern w:val="0"/>
          <w:sz w:val="24"/>
        </w:rPr>
        <w:t>5.6</w:t>
      </w:r>
      <w:r w:rsidRPr="0078105B">
        <w:rPr>
          <w:rFonts w:ascii="宋体" w:cs="Arial" w:hAnsi="宋体" w:hint="eastAsia"/>
          <w:b/>
          <w:color w:val="000000"/>
          <w:kern w:val="0"/>
          <w:sz w:val="24"/>
        </w:rPr>
        <w:t xml:space="preserve">　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的前十名资产支持证券投资明细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本基金本报告期末未持有资产支持证券。</w:t>
      </w:r>
    </w:p>
    <w:p w:rsidP="006D462B" w:rsidR="00F016DD" w:rsidRDefault="00F016DD" w:rsidRPr="001D63BB">
      <w:pPr>
        <w:autoSpaceDE w:val="0"/>
        <w:autoSpaceDN w:val="0"/>
        <w:adjustRightInd w:val="0"/>
        <w:spacing w:line="360" w:lineRule="auto"/>
        <w:jc w:val="left"/>
        <w:rPr>
          <w:rFonts w:ascii="宋体"/>
          <w:b/>
          <w:bCs/>
          <w:color w:val="000000"/>
          <w:kern w:val="0"/>
          <w:sz w:val="24"/>
        </w:rPr>
      </w:pPr>
      <w:r w:rsidRPr="001B0A62">
        <w:rPr>
          <w:rFonts w:ascii="宋体"/>
          <w:b/>
          <w:bCs/>
          <w:color w:val="000000"/>
          <w:kern w:val="0"/>
          <w:sz w:val="24"/>
        </w:rPr>
        <w:t/>
      </w:r>
      <w:r w:rsidRPr="001B0A62">
        <w:rPr>
          <w:rFonts w:ascii="宋体" w:hAnsi="宋体"/>
          <w:b/>
          <w:bCs/>
          <w:color w:val="000000"/>
          <w:kern w:val="0"/>
          <w:sz w:val="24"/>
        </w:rPr>
        <w:t>5</w:t>
      </w:r>
      <w:proofErr w:type="gramStart"/>
      <w:r w:rsidRPr="001B0A62">
        <w:rPr>
          <w:rFonts w:ascii="宋体" w:hAnsi="宋体"/>
          <w:b/>
          <w:bCs/>
          <w:color w:val="000000"/>
          <w:kern w:val="0"/>
          <w:sz w:val="24"/>
        </w:rPr>
        <w:t>.</w:t>
      </w:r>
      <w:proofErr w:type="gramEnd"/>
      <w:r w:rsidRPr="001B0A62">
        <w:rPr>
          <w:rFonts w:ascii="宋体" w:hAnsi="宋体"/>
          <w:b/>
          <w:bCs/>
          <w:color w:val="000000"/>
          <w:kern w:val="0"/>
          <w:sz w:val="24"/>
        </w:rPr>
        <w:t/>
      </w:r>
      <w:r>
        <w:rPr>
          <w:rFonts w:ascii="宋体" w:hAnsi="宋体"/>
          <w:b/>
          <w:bCs/>
          <w:color w:val="000000"/>
          <w:kern w:val="0"/>
          <w:sz w:val="24"/>
        </w:rPr>
        <w:t/>
      </w:r>
      <w:r w:rsidRPr="001B0A62">
        <w:rPr>
          <w:rFonts w:ascii="宋体"/>
          <w:b/>
          <w:bCs/>
          <w:color w:val="000000"/>
          <w:kern w:val="0"/>
          <w:sz w:val="24"/>
        </w:rPr>
        <w:t>7</w:t>
      </w:r>
      <w:r w:rsidRPr="001D63BB">
        <w:rPr>
          <w:rFonts w:ascii="宋体" w:hAnsi="宋体" w:hint="eastAsia"/>
          <w:b/>
          <w:bCs/>
          <w:color w:val="000000"/>
          <w:kern w:val="0"/>
          <w:sz w:val="24"/>
        </w:rPr>
        <w:t>报告期末按公允价值占基金资产净值比例大小排序的前五名贵金属投资明细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本基金本报告期末未持有贵金属。</w:t>
      </w:r>
    </w:p>
    <w:p w:rsidP="00FC13C8" w:rsidR="00F016DD" w:rsidRDefault="00F016DD" w:rsidRPr="0078105B">
      <w:pPr>
        <w:autoSpaceDE w:val="0"/>
        <w:autoSpaceDN w:val="0"/>
        <w:adjustRightInd w:val="0"/>
        <w:spacing w:line="360" w:lineRule="auto"/>
        <w:jc w:val="left"/>
        <w:rPr>
          <w:rFonts w:ascii="宋体" w:cs="Arial"/>
          <w:b/>
          <w:color w:val="000000"/>
          <w:kern w:val="0"/>
          <w:sz w:val="24"/>
        </w:rPr>
      </w:pPr>
      <w:r>
        <w:rPr>
          <w:rFonts w:ascii="宋体" w:cs="Arial"/>
          <w:b/>
          <w:color w:val="000000"/>
          <w:kern w:val="0"/>
          <w:sz w:val="24"/>
        </w:rPr>
        <w:t/>
      </w:r>
      <w:proofErr w:type="gramStart"/>
      <w:r>
        <w:rPr>
          <w:rFonts w:ascii="宋体" w:cs="Arial" w:hAnsi="宋体"/>
          <w:b/>
          <w:color w:val="000000"/>
          <w:kern w:val="0"/>
          <w:sz w:val="24"/>
        </w:rPr>
        <w:t/>
      </w:r>
      <w:proofErr w:type="gramEnd"/>
      <w:r>
        <w:rPr>
          <w:rFonts w:ascii="宋体" w:cs="Arial" w:hAnsi="宋体"/>
          <w:b/>
          <w:color w:val="000000"/>
          <w:kern w:val="0"/>
          <w:sz w:val="24"/>
        </w:rPr>
        <w:t>5</w:t>
      </w:r>
      <w:r w:rsidRPr="0078105B">
        <w:rPr>
          <w:rFonts w:ascii="宋体" w:cs="Arial"/>
          <w:b/>
          <w:color w:val="000000"/>
          <w:kern w:val="0"/>
          <w:sz w:val="24"/>
        </w:rPr>
        <w:t>.</w:t>
      </w:r>
      <w:r>
        <w:rPr>
          <w:rFonts w:ascii="宋体" w:cs="Arial"/>
          <w:b/>
          <w:color w:val="000000"/>
          <w:kern w:val="0"/>
          <w:sz w:val="24"/>
        </w:rPr>
        <w:t/>
      </w:r>
      <w:r>
        <w:rPr>
          <w:rFonts w:ascii="宋体" w:cs="Arial" w:hAnsi="宋体"/>
          <w:b/>
          <w:color w:val="000000"/>
          <w:kern w:val="0"/>
          <w:sz w:val="24"/>
        </w:rPr>
        <w:t>8</w:t>
      </w:r>
      <w:r w:rsidRPr="0078105B">
        <w:rPr>
          <w:rFonts w:ascii="宋体" w:cs="Arial" w:hAnsi="宋体" w:hint="eastAsia"/>
          <w:b/>
          <w:color w:val="000000"/>
          <w:kern w:val="0"/>
          <w:sz w:val="24"/>
        </w:rPr>
        <w:t>报告期末按公允价值占基金资产净值比例大小排</w:t>
      </w:r>
      <w:r>
        <w:rPr>
          <w:rFonts w:ascii="宋体" w:cs="Arial" w:hAnsi="宋体" w:hint="eastAsia"/>
          <w:b/>
          <w:color w:val="000000"/>
          <w:kern w:val="0"/>
          <w:sz w:val="24"/>
        </w:rPr>
        <w:t>序</w:t>
      </w:r>
      <w:r w:rsidRPr="0078105B">
        <w:rPr>
          <w:rFonts w:ascii="宋体" w:cs="Arial" w:hAnsi="宋体" w:hint="eastAsia"/>
          <w:b/>
          <w:color w:val="000000"/>
          <w:kern w:val="0"/>
          <w:sz w:val="24"/>
        </w:rPr>
        <w:t>的前五名权证投资明细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本基金本报告期末未持有权证。</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Pr>
          <w:rFonts w:ascii="宋体"/>
          <w:b/>
          <w:sz w:val="24"/>
        </w:rPr>
        <w:t/>
      </w:r>
      <w:proofErr w:type="gramStart"/>
      <w:r>
        <w:rPr>
          <w:rFonts w:ascii="宋体" w:hAnsi="宋体"/>
          <w:b/>
          <w:sz w:val="24"/>
        </w:rPr>
        <w:t/>
      </w:r>
      <w:proofErr w:type="gramEnd"/>
      <w:r>
        <w:rPr>
          <w:rFonts w:ascii="宋体" w:hAnsi="宋体"/>
          <w:b/>
          <w:sz w:val="24"/>
        </w:rPr>
        <w:t>5.</w:t>
      </w:r>
      <w:r w:rsidRPr="00E85E29">
        <w:rPr>
          <w:rFonts w:ascii="宋体"/>
          <w:b/>
          <w:sz w:val="24"/>
        </w:rPr>
        <w:t>9</w:t>
      </w:r>
      <w:r w:rsidRPr="00E85E29">
        <w:rPr>
          <w:rFonts w:ascii="宋体" w:hAnsi="宋体" w:hint="eastAsia"/>
          <w:b/>
          <w:sz w:val="24"/>
        </w:rPr>
        <w:t>报告期末本基金投资的股指期货交易情况说明</w:t>
      </w:r>
    </w:p>
    <w:p w:rsidP="001F60E9" w:rsidR="001F60E9" w:rsidRDefault="001F60E9">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r>
        <w:rPr>
          <w:rFonts w:eastAsiaTheme="minorEastAsia"/>
          <w:color w:themeColor="text1" w:val="000000"/>
          <w:sz w:val="24"/>
        </w:rPr>
        <w:t/>
      </w:r>
      <w:proofErr w:type="spellEnd"/>
      <w:proofErr w:type="gramEnd"/>
      <w:r>
        <w:rPr>
          <w:rFonts w:eastAsiaTheme="minorEastAsia"/>
          <w:color w:themeColor="text1" w:val="000000"/>
          <w:sz w:val="24"/>
        </w:rPr>
        <w:t>本基金本报告期末未投资股指期货。</w:t>
      </w:r>
    </w:p>
    <w:p w:rsidP="001D5CD0" w:rsidR="00F016DD" w:rsidRDefault="00F016DD" w:rsidRPr="00E85E29">
      <w:pPr>
        <w:adjustRightInd w:val="0"/>
        <w:snapToGrid w:val="0"/>
        <w:spacing w:line="360" w:lineRule="auto"/>
        <w:rPr>
          <w:rFonts w:ascii="宋体"/>
          <w:b/>
          <w:sz w:val="24"/>
        </w:rPr>
      </w:pPr>
      <w:r w:rsidRPr="00E85E29">
        <w:rPr>
          <w:rFonts w:ascii="宋体"/>
          <w:b/>
          <w:sz w:val="24"/>
        </w:rPr>
        <w:t/>
      </w:r>
      <w:proofErr w:type="spellStart"/>
      <w:r w:rsidRPr="00E85E29">
        <w:rPr>
          <w:rFonts w:ascii="宋体" w:hAnsi="宋体"/>
          <w:b/>
          <w:sz w:val="24"/>
        </w:rPr>
        <w:t/>
      </w:r>
      <w:proofErr w:type="spellEnd"/>
      <w:r w:rsidRPr="00E85E29">
        <w:rPr>
          <w:rFonts w:ascii="宋体" w:hAnsi="宋体"/>
          <w:b/>
          <w:sz w:val="24"/>
        </w:rPr>
        <w:t/>
      </w:r>
      <w:proofErr w:type="gramStart"/>
      <w:r w:rsidRPr="00E85E29">
        <w:rPr>
          <w:rFonts w:ascii="宋体" w:hAnsi="宋体"/>
          <w:b/>
          <w:sz w:val="24"/>
        </w:rPr>
        <w:t/>
      </w:r>
      <w:proofErr w:type="gramEnd"/>
      <w:r w:rsidRPr="00E85E29">
        <w:rPr>
          <w:rFonts w:ascii="宋体" w:hAnsi="宋体"/>
          <w:b/>
          <w:sz w:val="24"/>
        </w:rPr>
        <w:t>5.10</w:t>
      </w:r>
      <w:r w:rsidRPr="00E85E29">
        <w:rPr>
          <w:rFonts w:ascii="宋体" w:hAnsi="宋体" w:hint="eastAsia"/>
          <w:b/>
          <w:sz w:val="24"/>
        </w:rPr>
        <w:t>报告期末本基金投资的国债期货交易情况说明</w:t>
      </w:r>
    </w:p>
    <w:p w:rsidP="00B249C0" w:rsidR="00B249C0" w:rsidRDefault="00B249C0">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proofErr w:type="gramStart"/>
      <w:r>
        <w:rPr>
          <w:color w:val="000000"/>
          <w:sz w:val="24"/>
        </w:rPr>
        <w:t/>
      </w:r>
      <w:proofErr w:type="spellEnd"/>
      <w:proofErr w:type="gramEnd"/>
      <w:r>
        <w:rPr>
          <w:color w:val="000000"/>
          <w:sz w:val="24"/>
        </w:rPr>
        <w:t>本基金本报告期末未投资国债期货。</w:t>
      </w:r>
    </w:p>
    <w:p w:rsidP="001D5CD0" w:rsidR="00F016DD" w:rsidRDefault="00F016DD" w:rsidRPr="00E85E29">
      <w:pPr>
        <w:autoSpaceDE w:val="0"/>
        <w:autoSpaceDN w:val="0"/>
        <w:adjustRightInd w:val="0"/>
        <w:spacing w:line="360" w:lineRule="auto"/>
        <w:jc w:val="left"/>
        <w:rPr>
          <w:rFonts w:ascii="宋体" w:cs="Arial"/>
          <w:b/>
          <w:kern w:val="0"/>
          <w:sz w:val="24"/>
        </w:rPr>
      </w:pPr>
      <w:r w:rsidRPr="00E85E29">
        <w:rPr>
          <w:rFonts w:ascii="宋体" w:cs="Arial"/>
          <w:b/>
          <w:kern w:val="0"/>
          <w:sz w:val="24"/>
        </w:rPr>
        <w:t/>
      </w:r>
      <w:proofErr w:type="gramStart"/>
      <w:r w:rsidRPr="00E85E29">
        <w:rPr>
          <w:rFonts w:ascii="宋体" w:cs="Arial" w:hAnsi="宋体"/>
          <w:b/>
          <w:kern w:val="0"/>
          <w:sz w:val="24"/>
        </w:rPr>
        <w:t/>
      </w:r>
      <w:proofErr w:type="gramEnd"/>
      <w:r w:rsidRPr="00E85E29">
        <w:rPr>
          <w:rFonts w:ascii="宋体" w:cs="Arial" w:hAnsi="宋体"/>
          <w:b/>
          <w:kern w:val="0"/>
          <w:sz w:val="24"/>
        </w:rPr>
        <w:t>5.11</w:t>
      </w:r>
      <w:r w:rsidRPr="00E85E29">
        <w:rPr>
          <w:rFonts w:ascii="宋体" w:cs="Arial" w:hAnsi="宋体" w:hint="eastAsia"/>
          <w:b/>
          <w:kern w:val="0"/>
          <w:sz w:val="24"/>
        </w:rPr>
        <w:t>投资组合报告附注</w:t>
      </w:r>
    </w:p>
    <w:p w:rsidP="006456D3" w:rsidR="00F016DD" w:rsidRDefault="00B63F2B" w:rsidRPr="00414367">
      <w:pPr>
        <w:widowControl/>
        <w:spacing w:line="360" w:lineRule="auto"/>
        <w:rPr>
          <w:color w:val="000000"/>
          <w:sz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5.11.1</w:t>
      </w:r>
      <w:r w:rsidR="00293065">
        <w:rPr>
          <w:rFonts w:hint="eastAsia"/>
          <w:color w:val="000000"/>
          <w:sz w:val="24"/>
        </w:rPr>
        <w:t xml:space="preserve"> </w:t>
      </w:r>
      <w:r w:rsidR="00F016DD" w:rsidRPr="00414367">
        <w:rPr>
          <w:color w:val="000000"/>
          <w:sz w:val="24"/>
        </w:rPr>
        <w:t>本基金投资的前十名证券的发行主体本期没有出现被监管部门立案调查，或在报告编制日前一年内受到公开谴责、处罚的情形。</w:t>
      </w:r>
    </w:p>
    <w:p w:rsidP="006456D3" w:rsidR="00F016DD" w:rsidRDefault="00B63F2B" w:rsidRPr="00414367">
      <w:pPr>
        <w:widowControl/>
        <w:spacing w:line="360" w:lineRule="auto"/>
        <w:rPr>
          <w:color w:val="000000"/>
          <w:sz w:val="24"/>
        </w:rPr>
      </w:pPr>
      <w:r>
        <w:rPr>
          <w:rFonts w:hint="eastAsia"/>
          <w:color w:val="000000"/>
          <w:sz w:val="24"/>
        </w:rPr>
        <w:t/>
      </w:r>
      <w:r w:rsidR="00F016DD" w:rsidRPr="00414367">
        <w:rPr>
          <w:color w:val="000000"/>
          <w:sz w:val="24"/>
        </w:rPr>
        <w:t/>
      </w:r>
      <w:proofErr w:type="gramStart"/>
      <w:r w:rsidR="00F016DD" w:rsidRPr="00414367">
        <w:rPr>
          <w:color w:val="000000"/>
          <w:sz w:val="24"/>
        </w:rPr>
        <w:t/>
      </w:r>
      <w:proofErr w:type="gramEnd"/>
      <w:r w:rsidR="00F016DD" w:rsidRPr="00414367">
        <w:rPr>
          <w:color w:val="000000"/>
          <w:sz w:val="24"/>
        </w:rPr>
        <w:t>5.11.2</w:t>
      </w:r>
      <w:r w:rsidR="00293065">
        <w:rPr>
          <w:rFonts w:hint="eastAsia"/>
          <w:color w:val="000000"/>
          <w:sz w:val="24"/>
        </w:rPr>
        <w:t xml:space="preserve"> </w:t>
      </w:r>
      <w:r w:rsidR="00F016DD" w:rsidRPr="00414367">
        <w:rPr>
          <w:color w:val="000000"/>
          <w:sz w:val="24"/>
        </w:rPr>
        <w:t>本基金投资的前十名股票没有超出基金合同规定的备选股票库。</w:t>
      </w:r>
    </w:p>
    <w:p w:rsidP="001D5CD0" w:rsidR="00F016DD" w:rsidRDefault="00F016DD" w:rsidRPr="00414367">
      <w:pPr>
        <w:autoSpaceDE w:val="0"/>
        <w:autoSpaceDN w:val="0"/>
        <w:adjustRightInd w:val="0"/>
        <w:spacing w:line="360" w:lineRule="auto"/>
        <w:rPr>
          <w:kern w:val="0"/>
          <w:sz w:val="24"/>
        </w:rPr>
      </w:pPr>
      <w:r w:rsidRPr="00414367">
        <w:rPr>
          <w:kern w:val="0"/>
          <w:sz w:val="24"/>
        </w:rPr>
        <w:t/>
      </w:r>
      <w:proofErr w:type="gramStart"/>
      <w:r w:rsidRPr="00414367">
        <w:rPr>
          <w:kern w:val="0"/>
          <w:sz w:val="24"/>
        </w:rPr>
        <w:t/>
      </w:r>
      <w:proofErr w:type="gramEnd"/>
      <w:r w:rsidRPr="00414367">
        <w:rPr>
          <w:kern w:val="0"/>
          <w:sz w:val="24"/>
        </w:rPr>
        <w:t>5.11.3</w:t>
      </w:r>
      <w:r w:rsidRPr="00414367">
        <w:rPr>
          <w:kern w:val="0"/>
          <w:sz w:val="24"/>
        </w:rPr>
        <w:t>其他资产构成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761"/>
        <w:gridCol w:w="4808"/>
      </w:tblGrid>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序号</w:t>
            </w:r>
          </w:p>
        </w:tc>
        <w:tc>
          <w:tcPr>
            <w:tcW w:type="dxa" w:w="2761"/>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名称</w:t>
            </w:r>
          </w:p>
        </w:tc>
        <w:tc>
          <w:tcPr>
            <w:tcW w:type="dxa" w:w="4808"/>
            <w:vAlign w:val="center"/>
          </w:tcPr>
          <w:p w:rsidP="00F4518C"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金额</w:t>
            </w:r>
            <w:r w:rsidRPr="00FA472B">
              <w:rPr>
                <w:color w:val="000000"/>
                <w:kern w:val="0"/>
                <w:sz w:val="24"/>
              </w:rPr>
              <w:t>(</w:t>
            </w:r>
            <w:r w:rsidRPr="00FA472B">
              <w:rPr>
                <w:color w:val="000000"/>
                <w:kern w:val="0"/>
                <w:sz w:val="24"/>
              </w:rPr>
              <w:t>元</w:t>
            </w:r>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kern w:val="0"/>
                <w:sz w:val="24"/>
              </w:rPr>
            </w:pPr>
            <w:r w:rsidRPr="00FA472B">
              <w:rPr>
                <w:color w:val="000000"/>
                <w:sz w:val="24"/>
              </w:rPr>
              <w:t>1</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存出保证金</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34,094.41</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2</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应收证券清算款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3</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应收股利</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lastRenderedPageBreak/>
              <w:t>4</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应收利息</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2,461.95</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5</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应收申购款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1,439,922.45</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6</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其他应收款</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7</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sz w:val="24"/>
              </w:rPr>
            </w:pPr>
            <w:r w:rsidRPr="00FA472B">
              <w:rPr>
                <w:color w:val="000000"/>
                <w:sz w:val="24"/>
              </w:rPr>
              <w:t>待摊费用</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8</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其他</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w:t>
            </w:r>
          </w:p>
        </w:tc>
      </w:tr>
      <w:tr w:rsidR="00F016DD" w:rsidRPr="00E85E29" w:rsidTr="00F4518C">
        <w:tc>
          <w:tcPr>
            <w:tcW w:type="dxa" w:w="944"/>
            <w:vAlign w:val="center"/>
          </w:tcPr>
          <w:p w:rsidP="00F4518C" w:rsidR="00F016DD" w:rsidRDefault="00F016DD" w:rsidRPr="00FA472B">
            <w:pPr>
              <w:autoSpaceDE w:val="0"/>
              <w:autoSpaceDN w:val="0"/>
              <w:adjustRightInd w:val="0"/>
              <w:spacing w:before="29" w:line="360" w:lineRule="auto"/>
              <w:ind w:left="15"/>
              <w:jc w:val="center"/>
              <w:rPr>
                <w:color w:val="000000"/>
                <w:sz w:val="24"/>
              </w:rPr>
            </w:pPr>
            <w:r w:rsidRPr="00FA472B">
              <w:rPr>
                <w:color w:val="000000"/>
                <w:sz w:val="24"/>
              </w:rPr>
              <w:t>9</w:t>
            </w:r>
          </w:p>
        </w:tc>
        <w:tc>
          <w:tcPr>
            <w:tcW w:type="dxa" w:w="2761"/>
            <w:vAlign w:val="center"/>
          </w:tcPr>
          <w:p w:rsidP="00F4518C" w:rsidR="00F016DD" w:rsidRDefault="00F016DD" w:rsidRPr="00FA472B">
            <w:pPr>
              <w:autoSpaceDE w:val="0"/>
              <w:autoSpaceDN w:val="0"/>
              <w:adjustRightInd w:val="0"/>
              <w:spacing w:before="29" w:line="360" w:lineRule="auto"/>
              <w:ind w:left="15"/>
              <w:jc w:val="left"/>
              <w:rPr>
                <w:color w:val="000000"/>
                <w:kern w:val="0"/>
                <w:sz w:val="24"/>
              </w:rPr>
            </w:pPr>
            <w:r w:rsidRPr="00FA472B">
              <w:rPr>
                <w:color w:val="000000"/>
                <w:kern w:val="0"/>
                <w:sz w:val="24"/>
              </w:rPr>
              <w:t>合计</w:t>
            </w:r>
          </w:p>
        </w:tc>
        <w:tc>
          <w:tcPr>
            <w:tcW w:type="dxa" w:w="4808"/>
            <w:vAlign w:val="center"/>
          </w:tcPr>
          <w:p w:rsidP="00F4518C" w:rsidR="00F016DD" w:rsidRDefault="00F016DD" w:rsidRPr="00FA472B">
            <w:pPr>
              <w:autoSpaceDE w:val="0"/>
              <w:autoSpaceDN w:val="0"/>
              <w:adjustRightInd w:val="0"/>
              <w:spacing w:before="29" w:line="360" w:lineRule="auto"/>
              <w:ind w:left="15"/>
              <w:jc w:val="righ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1,476,478.81</w:t>
            </w:r>
          </w:p>
        </w:tc>
      </w:tr>
    </w:tbl>
    <w:p w:rsidP="001D5CD0" w:rsidR="00F016DD" w:rsidRDefault="00F016DD" w:rsidRPr="00E7356F">
      <w:pPr>
        <w:autoSpaceDE w:val="0"/>
        <w:autoSpaceDN w:val="0"/>
        <w:adjustRightInd w:val="0"/>
        <w:spacing w:line="360" w:lineRule="auto"/>
        <w:jc w:val="left"/>
        <w:rPr>
          <w:rFonts w:ascii="宋体" w:cs="Arial"/>
          <w:kern w:val="0"/>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5.11.4</w:t>
      </w:r>
      <w:r w:rsidRPr="00E7356F">
        <w:rPr>
          <w:rFonts w:ascii="宋体" w:cs="Arial" w:hAnsi="宋体" w:hint="eastAsia"/>
          <w:kern w:val="0"/>
          <w:sz w:val="24"/>
        </w:rPr>
        <w:t>报告期末持有的处于转股期的可转换债券明细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本基金本报告期末未持有处于转股期的可转换债券。</w:t>
      </w:r>
    </w:p>
    <w:p w:rsidP="001D5CD0" w:rsidR="00F016DD" w:rsidRDefault="00F016DD" w:rsidRPr="00E7356F">
      <w:pPr>
        <w:autoSpaceDE w:val="0"/>
        <w:autoSpaceDN w:val="0"/>
        <w:adjustRightInd w:val="0"/>
        <w:spacing w:line="360" w:lineRule="auto"/>
        <w:jc w:val="left"/>
        <w:rPr>
          <w:rFonts w:ascii="宋体"/>
          <w:bCs/>
          <w:sz w:val="24"/>
        </w:rPr>
      </w:pPr>
      <w:r w:rsidRPr="00E7356F">
        <w:rPr>
          <w:rFonts w:ascii="宋体" w:cs="Arial"/>
          <w:kern w:val="0"/>
          <w:sz w:val="24"/>
        </w:rPr>
        <w:t/>
      </w:r>
      <w:proofErr w:type="gramStart"/>
      <w:r w:rsidRPr="00E7356F">
        <w:rPr>
          <w:rFonts w:ascii="宋体" w:cs="Arial" w:hAnsi="宋体"/>
          <w:kern w:val="0"/>
          <w:sz w:val="24"/>
        </w:rPr>
        <w:t/>
      </w:r>
      <w:proofErr w:type="gramEnd"/>
      <w:r w:rsidRPr="00E7356F">
        <w:rPr>
          <w:rFonts w:ascii="宋体" w:cs="Arial" w:hAnsi="宋体"/>
          <w:kern w:val="0"/>
          <w:sz w:val="24"/>
        </w:rPr>
        <w:t>5.11.5</w:t>
      </w:r>
      <w:r w:rsidRPr="00E7356F">
        <w:rPr>
          <w:rFonts w:ascii="宋体" w:hAnsi="宋体" w:hint="eastAsia"/>
          <w:bCs/>
          <w:sz w:val="24"/>
        </w:rPr>
        <w:t>报告期末前十名股票中存在流通受限情况的说明</w:t>
      </w:r>
    </w:p>
    <w:p w:rsidP="00DF18FE" w:rsidR="00F016DD" w:rsidRDefault="00F016DD" w:rsidRPr="00DF18FE">
      <w:pPr>
        <w:spacing w:line="360" w:lineRule="auto"/>
        <w:ind w:firstLine="480" w:firstLineChars="200"/>
        <w:rPr>
          <w:color w:val="000000"/>
          <w:sz w:val="24"/>
        </w:rPr>
      </w:pPr>
      <w:r w:rsidRPr="00DF18FE">
        <w:rPr>
          <w:color w:val="000000"/>
          <w:sz w:val="24"/>
        </w:rPr>
        <w:lastRenderedPageBreak/>
        <w:t/>
      </w:r>
      <w:proofErr w:type="gramStart"/>
      <w:r w:rsidRPr="00DF18FE">
        <w:rPr>
          <w:color w:val="000000"/>
          <w:sz w:val="24"/>
        </w:rPr>
        <w:t/>
      </w:r>
      <w:proofErr w:type="gramEnd"/>
      <w:r w:rsidRPr="00DF18FE">
        <w:rPr>
          <w:color w:val="000000"/>
          <w:sz w:val="24"/>
        </w:rPr>
        <w:t>本基金本报告期末前十名股票中不存在流通受限情况。</w:t>
      </w:r>
    </w:p>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hAnsi="宋体"/>
          <w:color w:val="000000"/>
          <w:kern w:val="0"/>
          <w:sz w:val="24"/>
          <w:szCs w:val="24"/>
        </w:rPr>
        <w:t xml:space="preserve">6  </w:t>
      </w:r>
      <w:r w:rsidRPr="0078105B">
        <w:rPr>
          <w:rFonts w:ascii="宋体" w:cs="Arial" w:hAnsi="宋体" w:hint="eastAsia"/>
          <w:color w:val="000000"/>
          <w:kern w:val="0"/>
          <w:sz w:val="24"/>
          <w:szCs w:val="24"/>
        </w:rPr>
        <w:t>开放式基金份额变动</w:t>
      </w:r>
    </w:p>
    <w:p w:rsidP="00302187" w:rsidR="00F016DD" w:rsidRDefault="00F016DD" w:rsidRPr="00FA472B">
      <w:pPr>
        <w:autoSpaceDE w:val="0"/>
        <w:autoSpaceDN w:val="0"/>
        <w:adjustRightInd w:val="0"/>
        <w:spacing w:before="29" w:line="288" w:lineRule="auto"/>
        <w:ind w:left="15" w:right="480"/>
        <w:jc w:val="right"/>
        <w:rPr>
          <w:rFonts w:ascii="宋体" w:cs="Arial" w:hAnsi="宋体"/>
          <w:color w:val="000000"/>
          <w:kern w:val="0"/>
          <w:sz w:val="24"/>
        </w:rPr>
      </w:pPr>
      <w:r w:rsidRPr="00FA472B">
        <w:rPr>
          <w:rFonts w:ascii="宋体" w:cs="Arial" w:hAnsi="宋体" w:hint="eastAsia"/>
          <w:color w:val="000000"/>
          <w:kern w:val="0"/>
          <w:sz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3900"/>
        <w:gridCol w:w="2367"/>
        <w:gridCol w:w="2367"/>
      </w:tblGrid>
      <w:tr w:rsidR="00F016DD" w:rsidRPr="0078105B" w:rsidTr="0001612A">
        <w:tc>
          <w:tcPr>
            <w:tcW w:type="dxa" w:w="3900"/>
            <w:vAlign w:val="center"/>
          </w:tcPr>
          <w:p w:rsidP="00B84643" w:rsidR="00F016DD" w:rsidRDefault="00F016DD" w:rsidRPr="00FA472B">
            <w:pPr>
              <w:autoSpaceDE w:val="0"/>
              <w:autoSpaceDN w:val="0"/>
              <w:adjustRightInd w:val="0"/>
              <w:spacing w:before="29" w:line="360" w:lineRule="auto"/>
              <w:ind w:left="17"/>
              <w:jc w:val="center"/>
              <w:rPr>
                <w:color w:val="000000"/>
                <w:kern w:val="0"/>
                <w:sz w:val="24"/>
              </w:rPr>
            </w:pPr>
            <w:r w:rsidRPr="00FA472B">
              <w:rPr>
                <w:color w:val="000000"/>
                <w:kern w:val="0"/>
                <w:sz w:val="24"/>
              </w:rPr>
              <w:t>项目</w:t>
            </w:r>
            <w:r w:rsidRPr="00FA472B">
              <w:rPr>
                <w:color w:val="000000"/>
                <w:kern w:val="0"/>
              </w:rPr>
              <w:t/>
            </w:r>
            <w:proofErr w:type="spellStart"/>
            <w:r w:rsidRPr="00FA472B">
              <w:rPr>
                <w:color w:val="000000"/>
                <w:kern w:val="0"/>
              </w:rPr>
              <w:t/>
            </w:r>
            <w:proofErr w:type="spellEnd"/>
            <w:r w:rsidRPr="00FA472B">
              <w:rPr>
                <w:color w:val="000000"/>
                <w:kern w:val="0"/>
              </w:rPr>
              <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proofErr w:type="spellStart"/>
            <w:r w:rsidRPr="00FA472B">
              <w:rPr>
                <w:sz w:val="24"/>
              </w:rPr>
              <w:t/>
            </w:r>
            <w:proofErr w:type="spellEnd"/>
            <w:r w:rsidRPr="00FA472B">
              <w:rPr>
                <w:sz w:val="24"/>
              </w:rPr>
              <w:t>易方达量化策略精选混合A</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kern w:val="0"/>
                <w:sz w:val="24"/>
              </w:rPr>
              <w:t/>
            </w:r>
            <w:r w:rsidRPr="00FA472B">
              <w:rPr>
                <w:sz w:val="24"/>
              </w:rPr>
              <w:t>易方达量化策略精选混合C</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w:t>
            </w:r>
            <w:proofErr w:type="gramStart"/>
            <w:r w:rsidRPr="00FA472B">
              <w:rPr>
                <w:color w:val="000000"/>
                <w:kern w:val="0"/>
                <w:sz w:val="24"/>
              </w:rPr>
              <w:t>初基金</w:t>
            </w:r>
            <w:proofErr w:type="gramEnd"/>
            <w:r w:rsidRPr="00FA472B">
              <w:rPr>
                <w:color w:val="000000"/>
                <w:kern w:val="0"/>
                <w:sz w:val="24"/>
              </w:rPr>
              <w:t>份额总额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72,391,562.65</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29,419,845.66</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基金总申购份额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2,177,763.27</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19,952,321.09</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减：</w:t>
            </w: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基金总赎回份额</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6,332,373.12</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9,283,281.57</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
            </w:r>
            <w:proofErr w:type="spellStart"/>
            <w:r w:rsidRPr="00FA472B">
              <w:rPr>
                <w:color w:val="000000"/>
                <w:kern w:val="0"/>
                <w:sz w:val="24"/>
              </w:rPr>
              <w:t/>
            </w:r>
            <w:proofErr w:type="spellEnd"/>
            <w:r w:rsidRPr="00FA472B">
              <w:rPr>
                <w:color w:val="000000"/>
                <w:kern w:val="0"/>
                <w:sz w:val="24"/>
              </w:rPr>
              <w:t>报告期</w:t>
            </w:r>
            <w:r w:rsidRPr="00FA472B">
              <w:rPr>
                <w:color w:val="000000"/>
                <w:kern w:val="0"/>
                <w:sz w:val="24"/>
              </w:rPr>
              <w:t>基金拆分变动份额</w:t>
            </w:r>
            <w:r w:rsidR="009533AD" w:rsidRPr="009533AD">
              <w:rPr>
                <w:rFonts w:hint="eastAsia"/>
                <w:color w:val="000000"/>
                <w:kern w:val="0"/>
                <w:sz w:val="24"/>
              </w:rPr>
              <w:t>（份额减少以“</w:t>
            </w:r>
            <w:r w:rsidR="009533AD" w:rsidRPr="009533AD">
              <w:rPr>
                <w:rFonts w:hint="eastAsia"/>
                <w:color w:val="000000"/>
                <w:kern w:val="0"/>
                <w:sz w:val="24"/>
              </w:rPr>
              <w:t>-</w:t>
            </w:r>
            <w:r w:rsidR="009533AD" w:rsidRPr="009533AD">
              <w:rPr>
                <w:rFonts w:hint="eastAsia"/>
                <w:color w:val="000000"/>
                <w:kern w:val="0"/>
                <w:sz w:val="24"/>
              </w:rPr>
              <w:t>”填列）</w:t>
            </w:r>
          </w:p>
        </w:tc>
        <w:tc>
          <w:tcPr>
            <w:tcW w:type="dxa" w:w="2367"/>
            <w:vAlign w:val="center"/>
          </w:tcPr>
          <w:p w:rsidP="00A1276C"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proofErr w:type="spellEnd"/>
            <w:r w:rsidRPr="00FA472B">
              <w:rPr>
                <w:color w:val="000000"/>
                <w:sz w:val="24"/>
              </w:rPr>
              <w:t>-</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w:t>
            </w:r>
          </w:p>
        </w:tc>
      </w:tr>
      <w:tr w:rsidR="00F016DD" w:rsidRPr="0078105B" w:rsidTr="0001612A">
        <w:tc>
          <w:tcPr>
            <w:tcW w:type="dxa" w:w="3900"/>
            <w:vAlign w:val="center"/>
          </w:tcPr>
          <w:p w:rsidP="00A1276C" w:rsidR="00F016DD" w:rsidRDefault="00F016DD" w:rsidRPr="00FA472B">
            <w:pPr>
              <w:autoSpaceDE w:val="0"/>
              <w:autoSpaceDN w:val="0"/>
              <w:adjustRightInd w:val="0"/>
              <w:spacing w:before="29" w:line="360" w:lineRule="auto"/>
              <w:ind w:left="17"/>
              <w:jc w:val="left"/>
              <w:rPr>
                <w:color w:val="000000"/>
                <w:kern w:val="0"/>
                <w:sz w:val="24"/>
              </w:rPr>
            </w:pPr>
            <w:r w:rsidRPr="00FA472B">
              <w:rPr>
                <w:color w:val="000000"/>
                <w:kern w:val="0"/>
                <w:sz w:val="24"/>
              </w:rPr>
              <w:t>报告期期末基金份额总额</w:t>
            </w:r>
          </w:p>
        </w:tc>
        <w:tc>
          <w:tcPr>
            <w:tcW w:type="dxa" w:w="2367"/>
            <w:vAlign w:val="center"/>
          </w:tcPr>
          <w:p w:rsidP="00B57BCF"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t/>
            </w:r>
            <w:proofErr w:type="spellStart"/>
            <w:r w:rsidRPr="00FA472B">
              <w:rPr>
                <w:color w:val="000000"/>
                <w:sz w:val="24"/>
              </w:rPr>
              <w:t/>
            </w:r>
            <w:r w:rsidRPr="00FA472B">
              <w:rPr>
                <w:color w:val="000000"/>
                <w:sz w:val="24"/>
              </w:rPr>
              <w:lastRenderedPageBreak/>
              <w:t/>
            </w:r>
            <w:proofErr w:type="spellEnd"/>
            <w:r w:rsidRPr="00FA472B">
              <w:rPr>
                <w:color w:val="000000"/>
                <w:sz w:val="24"/>
              </w:rPr>
              <w:t>68,236,952.80</w:t>
            </w:r>
          </w:p>
        </w:tc>
        <w:tc>
          <w:tcPr>
            <w:tcW w:type="dxa" w:w="2367"/>
            <w:vAlign w:val="center"/>
          </w:tcPr>
          <w:p w:rsidP="00936D40" w:rsidR="00F016DD" w:rsidRDefault="00F016DD" w:rsidRPr="00FA472B">
            <w:pPr>
              <w:autoSpaceDE w:val="0"/>
              <w:autoSpaceDN w:val="0"/>
              <w:adjustRightInd w:val="0"/>
              <w:spacing w:before="29" w:line="360" w:lineRule="auto"/>
              <w:ind w:left="17"/>
              <w:jc w:val="right"/>
              <w:rPr>
                <w:color w:val="000000"/>
                <w:sz w:val="24"/>
              </w:rPr>
            </w:pPr>
            <w:r w:rsidRPr="00FA472B">
              <w:rPr>
                <w:color w:val="000000"/>
                <w:sz w:val="24"/>
              </w:rPr>
              <w:lastRenderedPageBreak/>
              <w:t/>
            </w:r>
            <w:r w:rsidRPr="00FA472B">
              <w:rPr>
                <w:color w:val="000000"/>
                <w:sz w:val="24"/>
              </w:rPr>
              <w:lastRenderedPageBreak/>
              <w:t>40,088,885.18</w:t>
            </w:r>
          </w:p>
        </w:tc>
      </w:tr>
    </w:tbl>
    <w:p w:rsidP="00B54884" w:rsidR="00F016DD" w:rsidRDefault="00F016DD">
      <w:pPr>
        <w:pStyle w:val="1"/>
        <w:tabs>
          <w:tab w:pos="4156" w:val="center"/>
          <w:tab w:pos="8312" w:val="right"/>
        </w:tabs>
        <w:spacing w:after="312" w:afterLines="100" w:before="312" w:beforeLines="100" w:line="360" w:lineRule="auto"/>
        <w:jc w:val="center"/>
        <w:rPr>
          <w:rFonts w:ascii="方正仿宋简体"/>
          <w:sz w:val="24"/>
          <w:szCs w:val="24"/>
        </w:rPr>
      </w:pPr>
      <w:r w:rsidRPr="00AB67DE">
        <w:rPr>
          <w:rFonts w:ascii="宋体"/>
          <w:color w:val="000000"/>
          <w:kern w:val="0"/>
          <w:sz w:val="24"/>
          <w:szCs w:val="24"/>
        </w:rPr>
        <w:t/>
      </w:r>
      <w:proofErr w:type="spellStart"/>
      <w:r w:rsidRPr="00AB67DE">
        <w:rPr>
          <w:rFonts w:ascii="宋体" w:hAnsi="宋体"/>
          <w:color w:val="000000"/>
          <w:kern w:val="0"/>
          <w:sz w:val="24"/>
          <w:szCs w:val="24"/>
        </w:rPr>
        <w:t/>
      </w:r>
      <w:proofErr w:type="spellEnd"/>
      <w:r w:rsidRPr="00AB67DE">
        <w:rPr>
          <w:rFonts w:ascii="宋体" w:hAnsi="宋体"/>
          <w:color w:val="000000"/>
          <w:kern w:val="0"/>
          <w:sz w:val="24"/>
          <w:szCs w:val="24"/>
        </w:rPr>
        <w:t/>
      </w:r>
      <w:r w:rsidRPr="00AB67DE">
        <w:rPr>
          <w:rFonts w:ascii="宋体" w:cs="Arial" w:hAnsi="宋体" w:hint="eastAsia"/>
          <w:color w:val="000000"/>
          <w:kern w:val="0"/>
          <w:sz w:val="24"/>
          <w:szCs w:val="24"/>
        </w:rPr>
        <w:t>§</w:t>
      </w:r>
      <w:r>
        <w:rPr>
          <w:rFonts w:ascii="宋体" w:cs="Arial"/>
          <w:color w:val="000000"/>
          <w:kern w:val="0"/>
          <w:sz w:val="24"/>
          <w:szCs w:val="24"/>
        </w:rPr>
        <w:t/>
      </w:r>
      <w:r>
        <w:rPr>
          <w:rFonts w:ascii="宋体" w:cs="Arial" w:hAnsi="宋体"/>
          <w:color w:val="000000"/>
          <w:kern w:val="0"/>
          <w:sz w:val="24"/>
          <w:szCs w:val="24"/>
        </w:rPr>
        <w:t/>
      </w:r>
      <w:r w:rsidRPr="00AB67DE">
        <w:rPr>
          <w:rFonts w:ascii="宋体" w:cs="Arial"/>
          <w:color w:val="000000"/>
          <w:kern w:val="0"/>
          <w:sz w:val="24"/>
          <w:szCs w:val="24"/>
        </w:rPr>
        <w:t>7</w:t>
      </w:r>
      <w:r w:rsidR="0066098B" w:rsidRPr="0078105B">
        <w:rPr>
          <w:rFonts w:ascii="宋体" w:cs="Arial" w:hAnsi="宋体"/>
          <w:color w:val="000000"/>
          <w:kern w:val="0"/>
          <w:sz w:val="24"/>
          <w:szCs w:val="24"/>
        </w:rPr>
        <w:t xml:space="preserve">  </w:t>
      </w:r>
      <w:r w:rsidRPr="0016464C">
        <w:rPr>
          <w:rFonts w:ascii="方正仿宋简体" w:hint="eastAsia"/>
          <w:sz w:val="24"/>
          <w:szCs w:val="24"/>
        </w:rPr>
        <w:t>基金管理人运用</w:t>
      </w:r>
      <w:proofErr w:type="gramStart"/>
      <w:r w:rsidRPr="0016464C">
        <w:rPr>
          <w:rFonts w:ascii="方正仿宋简体" w:hint="eastAsia"/>
          <w:sz w:val="24"/>
          <w:szCs w:val="24"/>
        </w:rPr>
        <w:t>固有资金</w:t>
      </w:r>
      <w:proofErr w:type="gramEnd"/>
      <w:r w:rsidRPr="0016464C">
        <w:rPr>
          <w:rFonts w:ascii="方正仿宋简体" w:hint="eastAsia"/>
          <w:sz w:val="24"/>
          <w:szCs w:val="24"/>
        </w:rPr>
        <w:t>投资本基金情况</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7.1 </w:t>
      </w:r>
      <w:r>
        <w:rPr>
          <w:rFonts w:hint="eastAsia"/>
          <w:b/>
          <w:sz w:val="24"/>
        </w:rPr>
        <w:t>基</w:t>
      </w:r>
      <w:r w:rsidRPr="00B404F1">
        <w:rPr>
          <w:rFonts w:hint="eastAsia"/>
          <w:b/>
          <w:sz w:val="24"/>
        </w:rPr>
        <w:t>金管理人持有本基金份额变动情况</w:t>
      </w:r>
    </w:p>
    <w:p w:rsidP="00DF18FE" w:rsidR="00F016DD" w:rsidRDefault="00CC78C7" w:rsidRPr="00DF18FE">
      <w:pPr>
        <w:spacing w:line="360" w:lineRule="auto"/>
        <w:ind w:firstLine="480" w:firstLineChars="200"/>
        <w:rPr>
          <w:color w:val="000000"/>
          <w:sz w:val="24"/>
        </w:rPr>
      </w:pPr>
      <w:r w:rsidRPr="00DF18FE">
        <w:rPr>
          <w:color w:val="000000"/>
          <w:sz w:val="24"/>
        </w:rPr>
        <w:t/>
      </w:r>
      <w:r w:rsidRPr="00EA6415">
        <w:rPr>
          <w:color w:val="000000"/>
          <w:sz w:val="24"/>
        </w:rPr>
        <w:t/>
      </w:r>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本报告期内基金管理人未持有本基金份额。</w:t>
      </w:r>
    </w:p>
    <w:p w:rsidP="00935FB1" w:rsidR="00F016DD" w:rsidRDefault="00F016DD" w:rsidRPr="00B76BBB">
      <w:pPr>
        <w:spacing w:line="360" w:lineRule="auto"/>
        <w:jc w:val="left"/>
        <w:rPr>
          <w:sz w:val="24"/>
        </w:rPr>
      </w:pPr>
      <w:r w:rsidRPr="00297260">
        <w:rPr>
          <w:b/>
          <w:sz w:val="24"/>
        </w:rPr>
        <w:t/>
      </w:r>
      <w:proofErr w:type="spellStart"/>
      <w:r w:rsidRPr="00297260">
        <w:rPr>
          <w:b/>
          <w:sz w:val="24"/>
        </w:rPr>
        <w:t/>
      </w:r>
      <w:proofErr w:type="spellEnd"/>
      <w:r w:rsidRPr="00297260">
        <w:rPr>
          <w:b/>
          <w:sz w:val="24"/>
        </w:rPr>
        <w:t/>
      </w:r>
      <w:r>
        <w:rPr>
          <w:b/>
          <w:sz w:val="24"/>
        </w:rPr>
        <w:t/>
      </w:r>
      <w:proofErr w:type="gramStart"/>
      <w:r>
        <w:rPr>
          <w:b/>
          <w:sz w:val="24"/>
        </w:rPr>
        <w:t/>
      </w:r>
      <w:proofErr w:type="gramEnd"/>
      <w:r>
        <w:rPr>
          <w:b/>
          <w:sz w:val="24"/>
        </w:rPr>
        <w:t xml:space="preserve">7.2 </w:t>
      </w:r>
      <w:r>
        <w:rPr>
          <w:rFonts w:hint="eastAsia"/>
          <w:b/>
          <w:sz w:val="24"/>
        </w:rPr>
        <w:t>基</w:t>
      </w:r>
      <w:r w:rsidRPr="00B404F1">
        <w:rPr>
          <w:rFonts w:hint="eastAsia"/>
          <w:b/>
          <w:sz w:val="24"/>
        </w:rPr>
        <w:t>金管理人运用固有资金投资本基金交易明细</w:t>
      </w:r>
    </w:p>
    <w:p w:rsidP="00DF18FE" w:rsidR="00F016DD" w:rsidRDefault="00F016DD" w:rsidRPr="00DF18FE">
      <w:pPr>
        <w:spacing w:line="360" w:lineRule="auto"/>
        <w:ind w:firstLine="480" w:firstLineChars="200"/>
        <w:rPr>
          <w:color w:val="000000"/>
          <w:sz w:val="24"/>
        </w:rPr>
      </w:pPr>
      <w:r w:rsidRPr="00DF18FE">
        <w:rPr>
          <w:color w:val="000000"/>
          <w:sz w:val="24"/>
        </w:rPr>
        <w:t/>
      </w:r>
      <w:proofErr w:type="spellStart"/>
      <w:r w:rsidRPr="00DF18FE">
        <w:rPr>
          <w:color w:val="000000"/>
          <w:sz w:val="24"/>
        </w:rPr>
        <w:t/>
      </w:r>
      <w:proofErr w:type="spellEnd"/>
      <w:r w:rsidRPr="00DF18FE">
        <w:rPr>
          <w:color w:val="000000"/>
          <w:sz w:val="24"/>
        </w:rPr>
        <w:t/>
      </w:r>
      <w:proofErr w:type="spellStart"/>
      <w:proofErr w:type="gramStart"/>
      <w:r w:rsidRPr="00DF18FE">
        <w:rPr>
          <w:color w:val="000000"/>
          <w:sz w:val="24"/>
        </w:rPr>
        <w:t/>
      </w:r>
      <w:proofErr w:type="spellEnd"/>
      <w:proofErr w:type="gramEnd"/>
      <w:r w:rsidRPr="00DF18FE">
        <w:rPr>
          <w:color w:val="000000"/>
          <w:sz w:val="24"/>
        </w:rPr>
        <w:t>本报告期内基金管理人未运用固有资金申购、赎回、买卖本基金份额。</w:t>
      </w:r>
    </w:p>
    <w:p w:rsidP="00997454" w:rsidR="00997454" w:rsidRDefault="00997454" w:rsidRPr="00B75F09">
      <w:pPr>
        <w:pStyle w:val="1"/>
        <w:spacing w:after="312" w:afterLines="100" w:before="312" w:beforeLines="100" w:line="360" w:lineRule="auto"/>
        <w:jc w:val="center"/>
        <w:rPr>
          <w:rFonts w:ascii="宋体" w:cs="Arial" w:hAnsi="宋体"/>
          <w:color w:val="000000"/>
          <w:kern w:val="0"/>
          <w:sz w:val="24"/>
          <w:szCs w:val="24"/>
        </w:rPr>
      </w:pPr>
      <w:r w:rsidRPr="00B75F09">
        <w:rPr>
          <w:rFonts w:ascii="宋体" w:cs="Arial" w:hAnsi="宋体"/>
          <w:color w:val="000000"/>
          <w:kern w:val="0"/>
          <w:sz w:val="24"/>
          <w:szCs w:val="24"/>
        </w:rPr>
        <w:t/>
      </w:r>
      <w:proofErr w:type="spellStart"/>
      <w:r w:rsidRPr="00B75F09">
        <w:rPr>
          <w:rFonts w:ascii="宋体" w:cs="Arial" w:hAnsi="宋体"/>
          <w:color w:val="000000"/>
          <w:kern w:val="0"/>
          <w:sz w:val="24"/>
          <w:szCs w:val="24"/>
        </w:rPr>
        <w:t/>
      </w:r>
      <w:proofErr w:type="spellEnd"/>
      <w:r w:rsidRPr="00B75F09">
        <w:rPr>
          <w:rFonts w:ascii="宋体" w:cs="Arial" w:hAnsi="宋体"/>
          <w:color w:val="000000"/>
          <w:kern w:val="0"/>
          <w:sz w:val="24"/>
          <w:szCs w:val="24"/>
        </w:rPr>
        <w:t>§8</w:t>
      </w:r>
      <w:r w:rsidR="0066098B" w:rsidRPr="0078105B">
        <w:rPr>
          <w:rFonts w:ascii="宋体" w:cs="Arial" w:hAnsi="宋体"/>
          <w:color w:val="000000"/>
          <w:kern w:val="0"/>
          <w:sz w:val="24"/>
          <w:szCs w:val="24"/>
        </w:rPr>
        <w:t xml:space="preserve">  </w:t>
      </w:r>
      <w:r w:rsidRPr="00B75F09">
        <w:rPr>
          <w:rFonts w:ascii="宋体" w:cs="Arial" w:hAnsi="宋体"/>
          <w:color w:val="000000"/>
          <w:kern w:val="0"/>
          <w:sz w:val="24"/>
          <w:szCs w:val="24"/>
        </w:rPr>
        <w:t>影响投资者决策的其他重要信息</w:t>
      </w:r>
    </w:p>
    <w:p w:rsidP="00575C75" w:rsidR="00575C75" w:rsidRDefault="00575C75" w:rsidRPr="001F5F5D">
      <w:pPr>
        <w:autoSpaceDE w:val="0"/>
        <w:autoSpaceDN w:val="0"/>
        <w:adjustRightInd w:val="0"/>
        <w:spacing w:line="360" w:lineRule="auto"/>
        <w:jc w:val="left"/>
        <w:rPr>
          <w:rFonts w:ascii="宋体"/>
          <w:b/>
          <w:bCs/>
          <w:color w:val="000000"/>
          <w:kern w:val="0"/>
          <w:sz w:val="24"/>
        </w:rPr>
      </w:pPr>
      <w:r w:rsidRPr="001F5F5D">
        <w:rPr>
          <w:rFonts w:ascii="宋体"/>
          <w:b/>
          <w:bCs/>
          <w:color w:val="000000"/>
          <w:kern w:val="0"/>
          <w:sz w:val="24"/>
        </w:rPr>
        <w:t/>
      </w:r>
      <w:proofErr w:type="spellStart"/>
      <w:r w:rsidRPr="001F5F5D">
        <w:rPr>
          <w:rFonts w:ascii="宋体"/>
          <w:b/>
          <w:bCs/>
          <w:color w:val="000000"/>
          <w:kern w:val="0"/>
          <w:sz w:val="24"/>
        </w:rPr>
        <w:t/>
      </w:r>
      <w:proofErr w:type="spellEnd"/>
      <w:r w:rsidRPr="001F5F5D">
        <w:rPr>
          <w:rFonts w:ascii="宋体"/>
          <w:b/>
          <w:bCs/>
          <w:color w:val="000000"/>
          <w:kern w:val="0"/>
          <w:sz w:val="24"/>
        </w:rPr>
        <w:t/>
      </w:r>
      <w:proofErr w:type="gramStart"/>
      <w:r w:rsidRPr="001F5F5D">
        <w:rPr>
          <w:rFonts w:ascii="宋体"/>
          <w:b/>
          <w:bCs/>
          <w:color w:val="000000"/>
          <w:kern w:val="0"/>
          <w:sz w:val="24"/>
        </w:rPr>
        <w:t/>
      </w:r>
      <w:proofErr w:type="gramEnd"/>
      <w:r w:rsidRPr="001F5F5D">
        <w:rPr>
          <w:rFonts w:ascii="宋体"/>
          <w:b/>
          <w:bCs/>
          <w:color w:val="000000"/>
          <w:kern w:val="0"/>
          <w:sz w:val="24"/>
        </w:rPr>
        <w:t>8.1 报告期内单一投资者持有基金份额比例达到或超过20%的情况</w:t>
      </w:r>
    </w:p>
    <w:tbl>
      <w:tblPr>
        <w:tblStyle w:val="af2"/>
        <w:tblW w:type="dxa" w:w="9640"/>
        <w:jc w:val="center"/>
        <w:tblLayout w:type="fixed"/>
        <w:tblLook w:firstColumn="1" w:firstRow="1" w:lastColumn="0" w:lastRow="0" w:noHBand="0" w:noVBand="1" w:val="04A0"/>
      </w:tblPr>
      <w:tblGrid>
        <w:gridCol w:w="709"/>
        <w:gridCol w:w="709"/>
        <w:gridCol w:w="2126"/>
        <w:gridCol w:w="1276"/>
        <w:gridCol w:w="1276"/>
        <w:gridCol w:w="1276"/>
        <w:gridCol w:w="1417"/>
        <w:gridCol w:w="851"/>
      </w:tblGrid>
      <w:tr w:rsidR="00575C75" w:rsidRPr="00FC0759" w:rsidTr="00CD72D6">
        <w:trPr>
          <w:jc w:val="center"/>
        </w:trPr>
        <w:tc>
          <w:tcPr>
            <w:tcW w:type="dxa" w:w="709"/>
            <w:vMerge w:val="restart"/>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投资者类别</w:t>
            </w:r>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roofErr w:type="spellStart"/>
            <w:r w:rsidRPr="00FC0759">
              <w:rPr>
                <w:rFonts w:eastAsia="仿宋"/>
                <w:color w:themeColor="text1" w:val="000000"/>
                <w:sz w:val="24"/>
              </w:rPr>
              <w:t/>
            </w:r>
            <w:proofErr w:type="spellEnd"/>
            <w:r w:rsidRPr="00FC0759">
              <w:rPr>
                <w:rFonts w:eastAsia="仿宋"/>
                <w:color w:themeColor="text1" w:val="000000"/>
                <w:sz w:val="24"/>
              </w:rPr>
              <w:t/>
            </w:r>
          </w:p>
        </w:tc>
        <w:tc>
          <w:tcPr>
            <w:tcW w:type="dxa" w:w="6663"/>
            <w:gridSpan w:val="5"/>
            <w:vAlign w:val="center"/>
          </w:tcPr>
          <w:p w:rsidP="00CD72D6" w:rsidR="00575C75" w:rsidRDefault="00575C75" w:rsidRPr="00FC0759">
            <w:pPr>
              <w:autoSpaceDE w:val="0"/>
              <w:autoSpaceDN w:val="0"/>
              <w:adjustRightInd w:val="0"/>
              <w:ind w:firstLine="1126"/>
              <w:jc w:val="center"/>
              <w:rPr>
                <w:rFonts w:eastAsiaTheme="minorEastAsia"/>
                <w:b/>
                <w:bCs/>
                <w:color w:themeColor="text1" w:val="000000"/>
                <w:sz w:val="24"/>
              </w:rPr>
            </w:pPr>
            <w:r w:rsidRPr="00FC0759">
              <w:rPr>
                <w:color w:val="000000"/>
                <w:sz w:val="24"/>
              </w:rPr>
              <w:t>报告期内持有基金份额变化情况</w:t>
            </w:r>
          </w:p>
        </w:tc>
        <w:tc>
          <w:tcPr>
            <w:tcW w:type="dxa" w:w="2268"/>
            <w:gridSpan w:val="2"/>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报告期末持有基金情况</w:t>
            </w:r>
          </w:p>
        </w:tc>
      </w:tr>
      <w:tr w:rsidR="00575C75" w:rsidRPr="00FC0759" w:rsidTr="00CD72D6">
        <w:trPr>
          <w:jc w:val="center"/>
        </w:trPr>
        <w:tc>
          <w:tcPr>
            <w:tcW w:type="dxa" w:w="709"/>
            <w:vMerge/>
            <w:vAlign w:val="center"/>
          </w:tcPr>
          <w:p w:rsidP="00CD72D6" w:rsidR="00575C75" w:rsidRDefault="00575C75" w:rsidRPr="00FC0759">
            <w:pPr>
              <w:autoSpaceDE w:val="0"/>
              <w:autoSpaceDN w:val="0"/>
              <w:adjustRightInd w:val="0"/>
              <w:ind w:firstLine="1234"/>
              <w:jc w:val="center"/>
              <w:rPr>
                <w:rFonts w:eastAsiaTheme="minorEastAsia"/>
                <w:b/>
                <w:bCs/>
                <w:color w:themeColor="text1" w:val="000000"/>
                <w:sz w:val="24"/>
              </w:rPr>
            </w:pPr>
          </w:p>
        </w:tc>
        <w:tc>
          <w:tcPr>
            <w:tcW w:type="dxa" w:w="709"/>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序号</w:t>
            </w:r>
          </w:p>
        </w:tc>
        <w:tc>
          <w:tcPr>
            <w:tcW w:type="dxa" w:w="2126"/>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持有基金份额比例达到或者超过</w:t>
            </w:r>
            <w:r w:rsidRPr="00FC0759">
              <w:rPr>
                <w:color w:val="000000"/>
                <w:sz w:val="24"/>
              </w:rPr>
              <w:t>20%</w:t>
            </w:r>
            <w:r w:rsidRPr="00FC0759">
              <w:rPr>
                <w:color w:val="000000"/>
                <w:sz w:val="24"/>
              </w:rPr>
              <w:t>的时间区间</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期初份额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申购份额</w:t>
            </w:r>
          </w:p>
        </w:tc>
        <w:tc>
          <w:tcPr>
            <w:tcW w:type="dxa" w:w="1276"/>
            <w:vAlign w:val="center"/>
          </w:tcPr>
          <w:p w:rsidP="00CD72D6" w:rsidR="00575C75" w:rsidRDefault="00575C75" w:rsidRPr="00FC0759">
            <w:pPr>
              <w:widowControl/>
              <w:rPr>
                <w:rFonts w:eastAsiaTheme="minorEastAsia"/>
                <w:b/>
                <w:bCs/>
                <w:color w:themeColor="text1" w:val="000000"/>
                <w:sz w:val="24"/>
              </w:rPr>
            </w:pPr>
            <w:r w:rsidRPr="00FC0759">
              <w:rPr>
                <w:color w:val="000000"/>
                <w:sz w:val="24"/>
              </w:rPr>
              <w:t>赎回份额</w:t>
            </w:r>
          </w:p>
        </w:tc>
        <w:tc>
          <w:tcPr>
            <w:tcW w:type="dxa" w:w="1417"/>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持有份额</w:t>
            </w:r>
          </w:p>
        </w:tc>
        <w:tc>
          <w:tcPr>
            <w:tcW w:type="dxa" w:w="851"/>
            <w:vAlign w:val="center"/>
          </w:tcPr>
          <w:p w:rsidP="00CD72D6" w:rsidR="00575C75" w:rsidRDefault="00575C75" w:rsidRPr="00FC0759">
            <w:pPr>
              <w:autoSpaceDE w:val="0"/>
              <w:autoSpaceDN w:val="0"/>
              <w:adjustRightInd w:val="0"/>
              <w:jc w:val="center"/>
              <w:rPr>
                <w:rFonts w:eastAsiaTheme="minorEastAsia"/>
                <w:b/>
                <w:bCs/>
                <w:color w:themeColor="text1" w:val="000000"/>
                <w:sz w:val="24"/>
              </w:rPr>
            </w:pPr>
            <w:r w:rsidRPr="00FC0759">
              <w:rPr>
                <w:color w:val="000000"/>
                <w:sz w:val="24"/>
              </w:rPr>
              <w:t>份额占比</w:t>
            </w:r>
          </w:p>
        </w:tc>
      </w:tr>
      <w:tr>
        <w:tc>
          <w:tcPr>
            <w:vMerge w:val="restart"/>
            <w:vAlign w:val="center"/>
          </w:tcPr>
          <w:p>
            <w:r>
              <w:rPr>
                <w:rFonts w:eastAsiaTheme="minorEastAsia"/>
                <w:bCs/>
                <w:color w:themeColor="text1" w:val="000000"/>
                <w:sz w:val="24"/>
              </w:rPr>
              <w:t>机构</w:t>
            </w:r>
          </w:p>
        </w:tc>
        <w:tc>
          <w:tcPr>
            <w:vAlign w:val="center"/>
          </w:tcPr>
          <w:p>
            <w:pPr>
              <w:jc w:val="center"/>
            </w:pPr>
            <w:r>
              <w:rPr>
                <w:sz w:val="24"/>
              </w:rPr>
              <w:t>1</w:t>
            </w:r>
          </w:p>
        </w:tc>
        <w:tc>
          <w:tcPr>
            <w:vAlign w:val="center"/>
          </w:tcPr>
          <w:p>
            <w:pPr>
              <w:jc w:val="center"/>
            </w:pPr>
            <w:r>
              <w:rPr>
                <w:sz w:val="24"/>
              </w:rPr>
              <w:t>2020年04月01日~2020年06月30日</w:t>
            </w:r>
          </w:p>
        </w:tc>
        <w:tc>
          <w:tcPr>
            <w:vAlign w:val="center"/>
          </w:tcPr>
          <w:p>
            <w:pPr>
              <w:jc w:val="center"/>
            </w:pPr>
            <w:r>
              <w:rPr>
                <w:sz w:val="24"/>
              </w:rPr>
              <w:t>49,999,000.00</w:t>
            </w:r>
          </w:p>
        </w:tc>
        <w:tc>
          <w:tcPr>
            <w:vAlign w:val="center"/>
          </w:tcPr>
          <w:p>
            <w:pPr>
              <w:jc w:val="center"/>
            </w:pPr>
            <w:r>
              <w:rPr>
                <w:sz w:val="24"/>
              </w:rPr>
              <w:t>-</w:t>
            </w:r>
          </w:p>
        </w:tc>
        <w:tc>
          <w:tcPr>
            <w:vAlign w:val="center"/>
          </w:tcPr>
          <w:p>
            <w:pPr>
              <w:jc w:val="center"/>
            </w:pPr>
            <w:r>
              <w:rPr>
                <w:sz w:val="24"/>
              </w:rPr>
              <w:t>-</w:t>
            </w:r>
          </w:p>
        </w:tc>
        <w:tc>
          <w:tcPr>
            <w:vAlign w:val="center"/>
          </w:tcPr>
          <w:p>
            <w:pPr>
              <w:jc w:val="center"/>
            </w:pPr>
            <w:r>
              <w:rPr>
                <w:sz w:val="24"/>
              </w:rPr>
              <w:t>49,999,000.00</w:t>
            </w:r>
          </w:p>
        </w:tc>
        <w:tc>
          <w:tcPr>
            <w:vAlign w:val="center"/>
          </w:tcPr>
          <w:p>
            <w:pPr>
              <w:jc w:val="center"/>
            </w:pPr>
            <w:r>
              <w:rPr>
                <w:sz w:val="24"/>
              </w:rPr>
              <w:t>46.16%</w:t>
            </w:r>
          </w:p>
        </w:tc>
      </w:tr>
    </w:tbl>
    <w:tbl>
      <w:tblPr>
        <w:tblStyle w:val="af2"/>
        <w:tblW w:type="dxa" w:w="9637"/>
        <w:jc w:val="center"/>
        <w:tblLayout w:type="fixed"/>
        <w:tblLook w:firstColumn="1" w:firstRow="1" w:lastColumn="0" w:lastRow="0" w:noHBand="0" w:noVBand="1" w:val="04A0"/>
      </w:tblPr>
      <w:tblGrid>
        <w:gridCol w:w="9637"/>
      </w:tblGrid>
      <w:tr w:rsidR="00575C75" w:rsidRPr="00FC0759" w:rsidTr="00CD72D6">
        <w:trPr>
          <w:jc w:val="center"/>
        </w:trPr>
        <w:tc>
          <w:tcPr>
            <w:tcW w:type="dxa" w:w="9637"/>
            <w:vAlign w:val="center"/>
          </w:tcPr>
          <w:p w:rsidP="00BF07C4" w:rsidR="00575C75" w:rsidRDefault="00575C75" w:rsidRPr="00FC0759">
            <w:pPr>
              <w:autoSpaceDE w:val="0"/>
              <w:autoSpaceDN w:val="0"/>
              <w:adjustRightInd w:val="0"/>
              <w:jc w:val="center"/>
              <w:rPr>
                <w:sz w:val="24"/>
              </w:rPr>
            </w:pPr>
            <w:bookmarkStart w:id="2" w:name="_GoBack"/>
            <w:r w:rsidRPr="00FC0759">
              <w:rPr>
                <w:color w:val="000000"/>
                <w:sz w:val="24"/>
              </w:rPr>
              <w:t>产品特有风险</w:t>
            </w:r>
            <w:r w:rsidRPr="00FC0759">
              <w:rPr>
                <w:sz w:val="24"/>
              </w:rPr>
              <w:t/>
            </w:r>
            <w:proofErr w:type="spellStart"/>
            <w:r w:rsidRPr="00FC0759">
              <w:rPr>
                <w:sz w:val="24"/>
              </w:rPr>
              <w:t/>
            </w:r>
            <w:proofErr w:type="spellEnd"/>
            <w:r w:rsidRPr="00FC0759">
              <w:rPr>
                <w:sz w:val="24"/>
              </w:rPr>
              <w:t/>
            </w:r>
          </w:p>
        </w:tc>
      </w:tr>
      <w:tr w:rsidR="00575C75" w:rsidRPr="00FC0759" w:rsidTr="00CD72D6">
        <w:trPr>
          <w:jc w:val="center"/>
        </w:trPr>
        <w:tc>
          <w:tcPr>
            <w:tcW w:type="dxa" w:w="9637"/>
            <w:vAlign w:val="center"/>
          </w:tcPr>
          <w:p w:rsidP="00CD72D6" w:rsidR="00575C75" w:rsidRDefault="00575C75" w:rsidRPr="00FC0759">
            <w:pPr>
              <w:autoSpaceDE w:val="0"/>
              <w:autoSpaceDN w:val="0"/>
              <w:adjustRightInd w:val="0"/>
              <w:jc w:val="left"/>
              <w:rPr>
                <w:sz w:val="24"/>
              </w:rPr>
            </w:pPr>
            <w:r w:rsidRPr="00FC0759">
              <w:rPr>
                <w:sz w:val="24"/>
              </w:rPr>
              <w:t>报告期内，本基金存在单一投资者持有份额比例达到或超过20%的情况，由此可能导致的特有风险主要包括：当投资者持有份额占比较为集中时，个别投资者的大额赎回可能会对基金资产运作及净值表现产生较大影响；极端情况下基金管理人可能无法以合理价格及时变现基金资产以应对投资者的赎回申请，可能带来流动性风险；如个别投资者大额赎回引发巨额赎回，基金管理人可能根据基金合同约定决定部分延期赎回或暂停接受基金的赎回申请，可能影响投资者赎回业务办理；若个别投资者大额赎回后本基金出现连续六十个工作日基金资产净值低于5000万元，基金还可能面临转换运作方式、与其他基金合并或者终止基金合同等情形；持有基金份额占比较高的投资者在召开持有人大会并对审议事项进行投票表决时可能拥有较大话语权。</w:t>
            </w:r>
          </w:p>
        </w:tc>
      </w:tr>
    </w:tbl>
    <w:bookmarkEnd w:id="2"/>
    <w:p w:rsidP="00B54884" w:rsidR="00F016DD" w:rsidRDefault="00F016DD" w:rsidRPr="0078105B">
      <w:pPr>
        <w:pStyle w:val="1"/>
        <w:spacing w:after="312" w:afterLines="100" w:before="312" w:beforeLines="100" w:line="360" w:lineRule="auto"/>
        <w:jc w:val="center"/>
        <w:rPr>
          <w:rFonts w:ascii="宋体" w:cs="Arial"/>
          <w:color w:val="000000"/>
          <w:kern w:val="0"/>
          <w:sz w:val="24"/>
          <w:szCs w:val="24"/>
        </w:rPr>
      </w:pPr>
      <w:r w:rsidRPr="0078105B">
        <w:rPr>
          <w:rFonts w:ascii="宋体" w:cs="Arial" w:hAnsi="宋体" w:hint="eastAsia"/>
          <w:color w:val="000000"/>
          <w:kern w:val="0"/>
          <w:sz w:val="24"/>
          <w:szCs w:val="24"/>
        </w:rPr>
        <w:t>§</w:t>
      </w:r>
      <w:r w:rsidRPr="0078105B">
        <w:rPr>
          <w:rFonts w:ascii="宋体" w:cs="Arial"/>
          <w:color w:val="000000"/>
          <w:kern w:val="0"/>
          <w:sz w:val="24"/>
          <w:szCs w:val="24"/>
        </w:rPr>
        <w:t/>
      </w:r>
      <w:r w:rsidRPr="0078105B">
        <w:rPr>
          <w:rFonts w:ascii="宋体" w:cs="Arial" w:hAnsi="宋体"/>
          <w:color w:val="000000"/>
          <w:kern w:val="0"/>
          <w:sz w:val="24"/>
          <w:szCs w:val="24"/>
        </w:rPr>
        <w:t>9</w:t>
      </w:r>
      <w:r w:rsidR="0066098B" w:rsidRPr="0078105B">
        <w:rPr>
          <w:rFonts w:ascii="宋体" w:cs="Arial" w:hAnsi="宋体"/>
          <w:color w:val="000000"/>
          <w:kern w:val="0"/>
          <w:sz w:val="24"/>
          <w:szCs w:val="24"/>
        </w:rPr>
        <w:t xml:space="preserve">  </w:t>
      </w:r>
      <w:r w:rsidRPr="0078105B">
        <w:rPr>
          <w:rFonts w:ascii="宋体" w:cs="Arial" w:hAnsi="宋体" w:hint="eastAsia"/>
          <w:color w:val="000000"/>
          <w:kern w:val="0"/>
          <w:sz w:val="24"/>
          <w:szCs w:val="24"/>
        </w:rPr>
        <w:t>备查文件目录</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9.1</w:t>
      </w:r>
      <w:r w:rsidRPr="00E8153C">
        <w:rPr>
          <w:color w:val="000000"/>
          <w:kern w:val="0"/>
          <w:sz w:val="24"/>
        </w:rPr>
        <w:t>备查文件目录</w:t>
      </w:r>
    </w:p>
    <w:p>
      <w:pPr>
        <w:spacing w:line="360" w:lineRule="auto"/>
        <w:ind w:firstLine="480" w:firstLineChars="200"/>
        <w:rPr>
          <w:color w:val="000000"/>
          <w:sz w:val="24"/>
        </w:rPr>
      </w:pPr>
      <w:r>
        <w:rPr>
          <w:color w:val="000000"/>
          <w:sz w:val="24"/>
        </w:rPr>
        <w:t>1. 中国证监会准予易方达量化策略精选灵活配置混合型证券投资基金注册的文件；</w:t>
      </w:r>
    </w:p>
    <w:p>
      <w:pPr>
        <w:spacing w:line="360" w:lineRule="auto"/>
        <w:ind w:firstLine="480" w:firstLineChars="200"/>
        <w:rPr>
          <w:color w:val="000000"/>
          <w:sz w:val="24"/>
        </w:rPr>
      </w:pPr>
      <w:r>
        <w:rPr>
          <w:color w:val="000000"/>
          <w:sz w:val="24"/>
        </w:rPr>
        <w:t>2. 《易方达量化策略精选灵活配置混合型证券投资基金基金合同》；</w:t>
      </w:r>
    </w:p>
    <w:p>
      <w:pPr>
        <w:spacing w:line="360" w:lineRule="auto"/>
        <w:ind w:firstLine="480" w:firstLineChars="200"/>
        <w:rPr>
          <w:color w:val="000000"/>
          <w:sz w:val="24"/>
        </w:rPr>
      </w:pPr>
      <w:r>
        <w:rPr>
          <w:color w:val="000000"/>
          <w:sz w:val="24"/>
        </w:rPr>
        <w:t>3. 《易方达量化策略精选灵活配置混合型证券投资基金托管协议》；</w:t>
      </w:r>
    </w:p>
    <w:p>
      <w:pPr>
        <w:spacing w:line="360" w:lineRule="auto"/>
        <w:ind w:firstLine="480" w:firstLineChars="200"/>
        <w:rPr>
          <w:color w:val="000000"/>
          <w:sz w:val="24"/>
        </w:rPr>
      </w:pPr>
      <w:r>
        <w:rPr>
          <w:color w:val="000000"/>
          <w:sz w:val="24"/>
        </w:rPr>
        <w:t>4. 《易方达基金管理有限公司开放式基金业务规则》；</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5. 基金管理人业务资格批件、营业执照。</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9.2</w:t>
      </w:r>
      <w:r w:rsidRPr="00E8153C">
        <w:rPr>
          <w:color w:val="000000"/>
          <w:kern w:val="0"/>
          <w:sz w:val="24"/>
        </w:rPr>
        <w:t>存放地点</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广州市天河区珠江新城珠江东路30号广州银行大厦40-43楼。</w:t>
      </w:r>
    </w:p>
    <w:p w:rsidP="00FC13C8" w:rsidR="00F016DD" w:rsidRDefault="00F016DD" w:rsidRPr="00E8153C">
      <w:pPr>
        <w:autoSpaceDE w:val="0"/>
        <w:autoSpaceDN w:val="0"/>
        <w:adjustRightInd w:val="0"/>
        <w:spacing w:line="360" w:lineRule="auto"/>
        <w:jc w:val="left"/>
        <w:rPr>
          <w:color w:val="000000"/>
          <w:kern w:val="0"/>
          <w:sz w:val="24"/>
        </w:rPr>
      </w:pPr>
      <w:r w:rsidRPr="00E8153C">
        <w:rPr>
          <w:color w:val="000000"/>
          <w:kern w:val="0"/>
          <w:sz w:val="24"/>
        </w:rPr>
        <w:t/>
      </w:r>
      <w:proofErr w:type="gramStart"/>
      <w:r w:rsidRPr="00E8153C">
        <w:rPr>
          <w:color w:val="000000"/>
          <w:kern w:val="0"/>
          <w:sz w:val="24"/>
        </w:rPr>
        <w:t/>
      </w:r>
      <w:proofErr w:type="gramEnd"/>
      <w:r w:rsidRPr="00E8153C">
        <w:rPr>
          <w:color w:val="000000"/>
          <w:kern w:val="0"/>
          <w:sz w:val="24"/>
        </w:rPr>
        <w:t>9.3</w:t>
      </w:r>
      <w:r w:rsidRPr="00E8153C">
        <w:rPr>
          <w:color w:val="000000"/>
          <w:kern w:val="0"/>
          <w:sz w:val="24"/>
        </w:rPr>
        <w:t>查阅方式</w:t>
      </w:r>
    </w:p>
    <w:p w:rsidP="00DF18FE" w:rsidR="00F016DD" w:rsidRDefault="00F016DD" w:rsidRPr="00E8153C">
      <w:pPr>
        <w:spacing w:line="360" w:lineRule="auto"/>
        <w:ind w:firstLine="480" w:firstLineChars="200"/>
        <w:rPr>
          <w:color w:val="000000"/>
          <w:sz w:val="24"/>
        </w:rPr>
      </w:pPr>
      <w:r w:rsidRPr="00E8153C">
        <w:rPr>
          <w:color w:val="000000"/>
          <w:sz w:val="24"/>
        </w:rPr>
        <w:t/>
      </w:r>
      <w:proofErr w:type="spellStart"/>
      <w:proofErr w:type="gramStart"/>
      <w:r w:rsidRPr="00E8153C">
        <w:rPr>
          <w:color w:val="000000"/>
          <w:sz w:val="24"/>
        </w:rPr>
        <w:t/>
      </w:r>
      <w:proofErr w:type="spellEnd"/>
      <w:proofErr w:type="gramEnd"/>
      <w:r w:rsidRPr="00E8153C">
        <w:rPr>
          <w:color w:val="000000"/>
          <w:sz w:val="24"/>
        </w:rPr>
        <w:t>投资者可在营业时间免费查阅，也可按工本费购买复印件。</w:t>
      </w:r>
    </w:p>
    <w:p w:rsidP="00FB3C94" w:rsidR="00F016DD" w:rsidRDefault="00F016DD" w:rsidRPr="0078105B">
      <w:pPr>
        <w:spacing w:line="360" w:lineRule="auto"/>
        <w:ind w:left="840"/>
        <w:jc w:val="right"/>
        <w:rPr>
          <w:rFonts w:ascii="宋体"/>
          <w:color w:val="000000"/>
          <w:sz w:val="24"/>
        </w:rPr>
      </w:pPr>
    </w:p>
    <w:p w:rsidP="00053FFD" w:rsidR="00F016DD" w:rsidRDefault="00F016DD" w:rsidRPr="0078105B">
      <w:pPr>
        <w:spacing w:line="360" w:lineRule="auto"/>
        <w:ind w:left="840"/>
        <w:jc w:val="center"/>
        <w:rPr>
          <w:rFonts w:ascii="宋体"/>
          <w:b/>
          <w:color w:val="000000"/>
          <w:sz w:val="24"/>
        </w:rPr>
      </w:pPr>
    </w:p>
    <w:p w:rsidP="00B1493B" w:rsidR="00F016DD" w:rsidRDefault="00F016DD" w:rsidRPr="0078105B">
      <w:pPr>
        <w:spacing w:line="360" w:lineRule="auto"/>
        <w:jc w:val="right"/>
        <w:rPr>
          <w:rFonts w:ascii="宋体" w:hAnsi="宋体"/>
          <w:b/>
          <w:bCs/>
          <w:sz w:val="24"/>
        </w:rPr>
      </w:pPr>
      <w:r w:rsidRPr="0078105B">
        <w:rPr>
          <w:rFonts w:asci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易方达基金管理有限公司</w:t>
      </w:r>
    </w:p>
    <w:p w:rsidP="00B1493B" w:rsidR="00F016DD" w:rsidRDefault="00F016DD" w:rsidRPr="0078105B">
      <w:pPr>
        <w:spacing w:line="360" w:lineRule="auto"/>
        <w:jc w:val="right"/>
        <w:rPr>
          <w:rFonts w:ascii="宋体" w:hAnsi="宋体"/>
          <w:b/>
          <w:bCs/>
          <w:sz w:val="24"/>
        </w:rPr>
      </w:pPr>
      <w:r w:rsidRPr="0078105B">
        <w:rPr>
          <w:rFonts w:ascii="宋体" w:hAnsi="宋体"/>
          <w:b/>
          <w:bCs/>
          <w:sz w:val="24"/>
        </w:rPr>
        <w:t/>
      </w:r>
      <w:proofErr w:type="spellStart"/>
      <w:proofErr w:type="gramStart"/>
      <w:r w:rsidRPr="0078105B">
        <w:rPr>
          <w:rFonts w:ascii="宋体" w:hAnsi="宋体"/>
          <w:b/>
          <w:bCs/>
          <w:sz w:val="24"/>
        </w:rPr>
        <w:t/>
      </w:r>
      <w:proofErr w:type="spellEnd"/>
      <w:proofErr w:type="gramEnd"/>
      <w:r w:rsidRPr="0078105B">
        <w:rPr>
          <w:rFonts w:ascii="宋体" w:hAnsi="宋体"/>
          <w:b/>
          <w:bCs/>
          <w:sz w:val="24"/>
        </w:rPr>
        <w:t>二〇二〇年七月二十一日</w:t>
      </w:r>
    </w:p>
    <w:sectPr w:rsidR="00F016DD" w:rsidRPr="0078105B" w:rsidSect="00A8324F">
      <w:footerReference r:id="rId12" w:type="even"/>
      <w:footerReference r:id="rId13" w:type="default"/>
      <w:pgSz w:h="16838" w:w="11906"/>
      <w:pgMar w:bottom="1440" w:footer="992" w:gutter="0" w:header="851" w:left="1800" w:right="1286"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1041" w:rsidRDefault="00901041">
      <w:r>
        <w:separator/>
      </w:r>
    </w:p>
  </w:endnote>
  <w:endnote w:type="continuationSeparator" w:id="0">
    <w:p w:rsidR="00901041" w:rsidRDefault="0090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FangSong">
    <w:altName w:val="Arial"/>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F7094A" w:rsidR="00611CB2" w:rsidRDefault="00611CB2" w:rsidRPr="001D0DB0">
    <w:pPr>
      <w:pStyle w:val="a6"/>
      <w:jc w:val="center"/>
    </w:pPr>
    <w:r>
      <w:rPr>
        <w:rFonts w:hint="eastAsia"/>
        <w:szCs w:val="21"/>
      </w:rPr>
      <w:t>第</w:t>
    </w:r>
    <w:r w:rsidR="00F85FCB">
      <w:rPr>
        <w:szCs w:val="21"/>
      </w:rPr>
      <w:fldChar w:fldCharType="begin"/>
    </w:r>
    <w:r>
      <w:rPr>
        <w:szCs w:val="21"/>
      </w:rPr>
      <w:instrText xml:space="preserve"> PAGE </w:instrText>
    </w:r>
    <w:r w:rsidR="00F85FCB">
      <w:rPr>
        <w:szCs w:val="21"/>
      </w:rPr>
      <w:fldChar w:fldCharType="separate"/>
    </w:r>
    <w:r w:rsidR="0001612A">
      <w:rPr>
        <w:noProof/>
        <w:szCs w:val="21"/>
      </w:rPr>
      <w:t>1</w:t>
    </w:r>
    <w:r w:rsidR="00F85FCB">
      <w:rPr>
        <w:szCs w:val="21"/>
      </w:rPr>
      <w:fldChar w:fldCharType="end"/>
    </w:r>
    <w:proofErr w:type="gramStart"/>
    <w:r>
      <w:rPr>
        <w:rFonts w:hint="eastAsia"/>
        <w:szCs w:val="21"/>
      </w:rPr>
      <w:t>页共</w:t>
    </w:r>
    <w:proofErr w:type="gramEnd"/>
    <w:r w:rsidR="00F85FCB">
      <w:rPr>
        <w:szCs w:val="21"/>
      </w:rPr>
      <w:fldChar w:fldCharType="begin"/>
    </w:r>
    <w:r>
      <w:rPr>
        <w:szCs w:val="21"/>
      </w:rPr>
      <w:instrText xml:space="preserve"> NUMPAGES </w:instrText>
    </w:r>
    <w:r w:rsidR="00F85FCB">
      <w:rPr>
        <w:szCs w:val="21"/>
      </w:rPr>
      <w:fldChar w:fldCharType="separate"/>
    </w:r>
    <w:r w:rsidR="0001612A">
      <w:rPr>
        <w:noProof/>
        <w:szCs w:val="21"/>
      </w:rPr>
      <w:t>1</w:t>
    </w:r>
    <w:r w:rsidR="00F85FCB">
      <w:rPr>
        <w:szCs w:val="21"/>
      </w:rPr>
      <w:fldChar w:fldCharType="end"/>
    </w:r>
    <w:r>
      <w:rPr>
        <w:rFonts w:hint="eastAsia"/>
        <w:szCs w:val="21"/>
      </w:rPr>
      <w:t>页</w:t>
    </w: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end"/>
    </w:r>
  </w:p>
  <w:p w:rsidR="00611CB2" w:rsidRDefault="00611CB2">
    <w:pPr>
      <w:pStyle w:val="a6"/>
    </w:pPr>
  </w:p>
</w:ftr>
</file>

<file path=word/footer3.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611CB2" w:rsidRDefault="00F85FCB">
    <w:pPr>
      <w:pStyle w:val="a6"/>
      <w:framePr w:hAnchor="margin" w:vAnchor="text" w:wrap="around" w:xAlign="center" w:y="1"/>
      <w:rPr>
        <w:rStyle w:val="a7"/>
      </w:rPr>
    </w:pPr>
    <w:r>
      <w:rPr>
        <w:rStyle w:val="a7"/>
      </w:rPr>
      <w:fldChar w:fldCharType="begin"/>
    </w:r>
    <w:r w:rsidR="00611CB2">
      <w:rPr>
        <w:rStyle w:val="a7"/>
      </w:rPr>
      <w:instrText xml:space="preserve">PAGE  </w:instrText>
    </w:r>
    <w:r>
      <w:rPr>
        <w:rStyle w:val="a7"/>
      </w:rPr>
      <w:fldChar w:fldCharType="separate"/>
    </w:r>
    <w:r w:rsidR="0001612A">
      <w:rPr>
        <w:rStyle w:val="a7"/>
        <w:noProof/>
      </w:rPr>
      <w:t>29</w:t>
    </w:r>
    <w:r>
      <w:rPr>
        <w:rStyle w:val="a7"/>
      </w:rPr>
      <w:fldChar w:fldCharType="end"/>
    </w:r>
  </w:p>
  <w:p w:rsidR="00611CB2" w:rsidRDefault="00611CB2">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R="00901041" w:rsidRDefault="00901041">
      <w:r>
        <w:separator/>
      </w:r>
    </w:p>
  </w:footnote>
  <w:footnote w:id="0" w:type="continuationSeparator">
    <w:p w:rsidR="00901041" w:rsidRDefault="00901041">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1207F2" w:rsidR="00611CB2" w:rsidRDefault="00611CB2" w:rsidRPr="00DA451D">
    <w:pPr>
      <w:pStyle w:val="a9"/>
      <w:pBdr>
        <w:bottom w:color="auto" w:space="0" w:sz="6" w:val="single"/>
      </w:pBdr>
      <w:jc w:val="right"/>
    </w:pPr>
    <w:r w:rsidRPr="00DA451D">
      <w:t/>
    </w:r>
    <w:proofErr w:type="spellStart"/>
    <w:proofErr w:type="gramStart"/>
    <w:r w:rsidRPr="00DA451D">
      <w:t/>
    </w:r>
    <w:proofErr w:type="spellEnd"/>
    <w:proofErr w:type="gramEnd"/>
    <w:r w:rsidRPr="00DA451D">
      <w:t>易方达量化策略精选灵活配置混合型证券投资基金</w:t>
    </w:r>
    <w:proofErr w:type="spellStart"/>
    <w:r w:rsidRPr="00DA451D">
      <w:t/>
    </w:r>
    <w:proofErr w:type="spellEnd"/>
    <w:r w:rsidRPr="00DA451D">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entative="1" w:tplc="04090003">
      <w:start w:val="1"/>
      <w:numFmt w:val="bullet"/>
      <w:lvlText w:val=""/>
      <w:lvlJc w:val="left"/>
      <w:pPr>
        <w:tabs>
          <w:tab w:pos="1260" w:val="num"/>
        </w:tabs>
        <w:ind w:hanging="420" w:left="1260"/>
      </w:pPr>
      <w:rPr>
        <w:rFonts w:ascii="Wingdings" w:hAnsi="Wingdings" w:hint="default"/>
      </w:rPr>
    </w:lvl>
    <w:lvl w:ilvl="2" w:tentative="1" w:tplc="04090005">
      <w:start w:val="1"/>
      <w:numFmt w:val="bullet"/>
      <w:lvlText w:val=""/>
      <w:lvlJc w:val="left"/>
      <w:pPr>
        <w:tabs>
          <w:tab w:pos="1680" w:val="num"/>
        </w:tabs>
        <w:ind w:hanging="420" w:left="1680"/>
      </w:pPr>
      <w:rPr>
        <w:rFonts w:ascii="Wingdings" w:hAnsi="Wingdings" w:hint="default"/>
      </w:rPr>
    </w:lvl>
    <w:lvl w:ilvl="3" w:tentative="1" w:tplc="04090001">
      <w:start w:val="1"/>
      <w:numFmt w:val="bullet"/>
      <w:lvlText w:val=""/>
      <w:lvlJc w:val="left"/>
      <w:pPr>
        <w:tabs>
          <w:tab w:pos="2100" w:val="num"/>
        </w:tabs>
        <w:ind w:hanging="420" w:left="2100"/>
      </w:pPr>
      <w:rPr>
        <w:rFonts w:ascii="Wingdings" w:hAnsi="Wingdings" w:hint="default"/>
      </w:rPr>
    </w:lvl>
    <w:lvl w:ilvl="4" w:tentative="1" w:tplc="04090003">
      <w:start w:val="1"/>
      <w:numFmt w:val="bullet"/>
      <w:lvlText w:val=""/>
      <w:lvlJc w:val="left"/>
      <w:pPr>
        <w:tabs>
          <w:tab w:pos="2520" w:val="num"/>
        </w:tabs>
        <w:ind w:hanging="420" w:left="2520"/>
      </w:pPr>
      <w:rPr>
        <w:rFonts w:ascii="Wingdings" w:hAnsi="Wingdings" w:hint="default"/>
      </w:rPr>
    </w:lvl>
    <w:lvl w:ilvl="5" w:tentative="1" w:tplc="04090005">
      <w:start w:val="1"/>
      <w:numFmt w:val="bullet"/>
      <w:lvlText w:val=""/>
      <w:lvlJc w:val="left"/>
      <w:pPr>
        <w:tabs>
          <w:tab w:pos="2940" w:val="num"/>
        </w:tabs>
        <w:ind w:hanging="420" w:left="2940"/>
      </w:pPr>
      <w:rPr>
        <w:rFonts w:ascii="Wingdings" w:hAnsi="Wingdings" w:hint="default"/>
      </w:rPr>
    </w:lvl>
    <w:lvl w:ilvl="6" w:tentative="1" w:tplc="04090001">
      <w:start w:val="1"/>
      <w:numFmt w:val="bullet"/>
      <w:lvlText w:val=""/>
      <w:lvlJc w:val="left"/>
      <w:pPr>
        <w:tabs>
          <w:tab w:pos="3360" w:val="num"/>
        </w:tabs>
        <w:ind w:hanging="420" w:left="3360"/>
      </w:pPr>
      <w:rPr>
        <w:rFonts w:ascii="Wingdings" w:hAnsi="Wingdings" w:hint="default"/>
      </w:rPr>
    </w:lvl>
    <w:lvl w:ilvl="7" w:tentative="1" w:tplc="04090003">
      <w:start w:val="1"/>
      <w:numFmt w:val="bullet"/>
      <w:lvlText w:val=""/>
      <w:lvlJc w:val="left"/>
      <w:pPr>
        <w:tabs>
          <w:tab w:pos="3780" w:val="num"/>
        </w:tabs>
        <w:ind w:hanging="420" w:left="3780"/>
      </w:pPr>
      <w:rPr>
        <w:rFonts w:ascii="Wingdings" w:hAnsi="Wingdings" w:hint="default"/>
      </w:rPr>
    </w:lvl>
    <w:lvl w:ilvl="8" w:tentative="1" w:tplc="04090005">
      <w:start w:val="1"/>
      <w:numFmt w:val="bullet"/>
      <w:lvlText w:val=""/>
      <w:lvlJc w:val="left"/>
      <w:pPr>
        <w:tabs>
          <w:tab w:pos="4200" w:val="num"/>
        </w:tabs>
        <w:ind w:hanging="420" w:left="4200"/>
      </w:pPr>
      <w:rPr>
        <w:rFonts w:ascii="Wingdings" w:hAnsi="Wingdings" w:hint="default"/>
      </w:rPr>
    </w:lvl>
  </w:abstractNum>
  <w:abstractNum w:abstractNumId="1">
    <w:nsid w:val="2A93165E"/>
    <w:multiLevelType w:val="hybridMultilevel"/>
    <w:tmpl w:val="8F54F77E"/>
    <w:lvl w:ilvl="0" w:tplc="8996D53A">
      <w:start w:val="1"/>
      <w:numFmt w:val="japaneseCounting"/>
      <w:lvlText w:val="（%1）"/>
      <w:lvlJc w:val="left"/>
      <w:pPr>
        <w:tabs>
          <w:tab w:pos="1200" w:val="num"/>
        </w:tabs>
        <w:ind w:hanging="720" w:left="1200"/>
      </w:pPr>
      <w:rPr>
        <w:rFonts w:cs="Times New Roman" w:hAnsi="宋体" w:hint="default"/>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2">
    <w:nsid w:val="32C43FA3"/>
    <w:multiLevelType w:val="hybridMultilevel"/>
    <w:tmpl w:val="2658615A"/>
    <w:lvl w:ilvl="0" w:tplc="04090001">
      <w:start w:val="1"/>
      <w:numFmt w:val="bullet"/>
      <w:lvlText w:val=""/>
      <w:lvlJc w:val="left"/>
      <w:pPr>
        <w:tabs>
          <w:tab w:pos="420" w:val="num"/>
        </w:tabs>
        <w:ind w:hanging="420" w:left="420"/>
      </w:pPr>
      <w:rPr>
        <w:rFonts w:ascii="Wingdings" w:hAnsi="Wingdings" w:hint="default"/>
      </w:rPr>
    </w:lvl>
    <w:lvl w:ilvl="1" w:tentative="1" w:tplc="04090003">
      <w:start w:val="1"/>
      <w:numFmt w:val="bullet"/>
      <w:lvlText w:val=""/>
      <w:lvlJc w:val="left"/>
      <w:pPr>
        <w:tabs>
          <w:tab w:pos="840" w:val="num"/>
        </w:tabs>
        <w:ind w:hanging="420" w:left="840"/>
      </w:pPr>
      <w:rPr>
        <w:rFonts w:ascii="Wingdings" w:hAnsi="Wingdings" w:hint="default"/>
      </w:rPr>
    </w:lvl>
    <w:lvl w:ilvl="2" w:tentative="1" w:tplc="04090005">
      <w:start w:val="1"/>
      <w:numFmt w:val="bullet"/>
      <w:lvlText w:val=""/>
      <w:lvlJc w:val="left"/>
      <w:pPr>
        <w:tabs>
          <w:tab w:pos="1260" w:val="num"/>
        </w:tabs>
        <w:ind w:hanging="420" w:left="1260"/>
      </w:pPr>
      <w:rPr>
        <w:rFonts w:ascii="Wingdings" w:hAnsi="Wingdings" w:hint="default"/>
      </w:rPr>
    </w:lvl>
    <w:lvl w:ilvl="3" w:tentative="1" w:tplc="04090001">
      <w:start w:val="1"/>
      <w:numFmt w:val="bullet"/>
      <w:lvlText w:val=""/>
      <w:lvlJc w:val="left"/>
      <w:pPr>
        <w:tabs>
          <w:tab w:pos="1680" w:val="num"/>
        </w:tabs>
        <w:ind w:hanging="420" w:left="1680"/>
      </w:pPr>
      <w:rPr>
        <w:rFonts w:ascii="Wingdings" w:hAnsi="Wingdings" w:hint="default"/>
      </w:rPr>
    </w:lvl>
    <w:lvl w:ilvl="4" w:tentative="1" w:tplc="04090003">
      <w:start w:val="1"/>
      <w:numFmt w:val="bullet"/>
      <w:lvlText w:val=""/>
      <w:lvlJc w:val="left"/>
      <w:pPr>
        <w:tabs>
          <w:tab w:pos="2100" w:val="num"/>
        </w:tabs>
        <w:ind w:hanging="420" w:left="2100"/>
      </w:pPr>
      <w:rPr>
        <w:rFonts w:ascii="Wingdings" w:hAnsi="Wingdings" w:hint="default"/>
      </w:rPr>
    </w:lvl>
    <w:lvl w:ilvl="5" w:tentative="1" w:tplc="04090005">
      <w:start w:val="1"/>
      <w:numFmt w:val="bullet"/>
      <w:lvlText w:val=""/>
      <w:lvlJc w:val="left"/>
      <w:pPr>
        <w:tabs>
          <w:tab w:pos="2520" w:val="num"/>
        </w:tabs>
        <w:ind w:hanging="420" w:left="2520"/>
      </w:pPr>
      <w:rPr>
        <w:rFonts w:ascii="Wingdings" w:hAnsi="Wingdings" w:hint="default"/>
      </w:rPr>
    </w:lvl>
    <w:lvl w:ilvl="6" w:tentative="1" w:tplc="04090001">
      <w:start w:val="1"/>
      <w:numFmt w:val="bullet"/>
      <w:lvlText w:val=""/>
      <w:lvlJc w:val="left"/>
      <w:pPr>
        <w:tabs>
          <w:tab w:pos="2940" w:val="num"/>
        </w:tabs>
        <w:ind w:hanging="420" w:left="2940"/>
      </w:pPr>
      <w:rPr>
        <w:rFonts w:ascii="Wingdings" w:hAnsi="Wingdings" w:hint="default"/>
      </w:rPr>
    </w:lvl>
    <w:lvl w:ilvl="7" w:tentative="1" w:tplc="04090003">
      <w:start w:val="1"/>
      <w:numFmt w:val="bullet"/>
      <w:lvlText w:val=""/>
      <w:lvlJc w:val="left"/>
      <w:pPr>
        <w:tabs>
          <w:tab w:pos="3360" w:val="num"/>
        </w:tabs>
        <w:ind w:hanging="420" w:left="3360"/>
      </w:pPr>
      <w:rPr>
        <w:rFonts w:ascii="Wingdings" w:hAnsi="Wingdings" w:hint="default"/>
      </w:rPr>
    </w:lvl>
    <w:lvl w:ilvl="8" w:tentative="1" w:tplc="04090005">
      <w:start w:val="1"/>
      <w:numFmt w:val="bullet"/>
      <w:lvlText w:val=""/>
      <w:lvlJc w:val="left"/>
      <w:pPr>
        <w:tabs>
          <w:tab w:pos="3780" w:val="num"/>
        </w:tabs>
        <w:ind w:hanging="420" w:left="3780"/>
      </w:pPr>
      <w:rPr>
        <w:rFonts w:ascii="Wingdings" w:hAnsi="Wingdings" w:hint="default"/>
      </w:rPr>
    </w:lvl>
  </w:abstractNum>
  <w:abstractNum w:abstractNumId="3">
    <w:nsid w:val="45342383"/>
    <w:multiLevelType w:val="multilevel"/>
    <w:tmpl w:val="0409001D"/>
    <w:styleLink w:val="5"/>
    <w:lvl w:ilvl="0">
      <w:start w:val="1"/>
      <w:numFmt w:val="decimal"/>
      <w:lvlText w:val="%1"/>
      <w:lvlJc w:val="left"/>
      <w:pPr>
        <w:tabs>
          <w:tab w:pos="425" w:val="num"/>
        </w:tabs>
        <w:ind w:hanging="425" w:left="425"/>
      </w:pPr>
      <w:rPr>
        <w:rFonts w:cs="Times New Roman"/>
      </w:rPr>
    </w:lvl>
    <w:lvl w:ilvl="1">
      <w:start w:val="1"/>
      <w:numFmt w:val="decimal"/>
      <w:lvlText w:val="%1.%2"/>
      <w:lvlJc w:val="left"/>
      <w:pPr>
        <w:tabs>
          <w:tab w:pos="992" w:val="num"/>
        </w:tabs>
        <w:ind w:hanging="567" w:left="992"/>
      </w:pPr>
      <w:rPr>
        <w:rFonts w:cs="Times New Roman"/>
      </w:rPr>
    </w:lvl>
    <w:lvl w:ilvl="2">
      <w:start w:val="1"/>
      <w:numFmt w:val="decimal"/>
      <w:lvlText w:val="%1.%2.%3"/>
      <w:lvlJc w:val="left"/>
      <w:pPr>
        <w:tabs>
          <w:tab w:pos="1418" w:val="num"/>
        </w:tabs>
        <w:ind w:hanging="567" w:left="1418"/>
      </w:pPr>
      <w:rPr>
        <w:rFonts w:cs="Times New Roman"/>
      </w:rPr>
    </w:lvl>
    <w:lvl w:ilvl="3">
      <w:start w:val="1"/>
      <w:numFmt w:val="decimal"/>
      <w:lvlText w:val="%1.%2.%3.%4"/>
      <w:lvlJc w:val="left"/>
      <w:pPr>
        <w:tabs>
          <w:tab w:pos="1984" w:val="num"/>
        </w:tabs>
        <w:ind w:hanging="708" w:left="1984"/>
      </w:pPr>
      <w:rPr>
        <w:rFonts w:cs="Times New Roman"/>
      </w:rPr>
    </w:lvl>
    <w:lvl w:ilvl="4">
      <w:start w:val="1"/>
      <w:numFmt w:val="decimal"/>
      <w:lvlText w:val="%1.%2.%3.%4.%5"/>
      <w:lvlJc w:val="left"/>
      <w:pPr>
        <w:tabs>
          <w:tab w:pos="2551" w:val="num"/>
        </w:tabs>
        <w:ind w:hanging="850" w:left="2551"/>
      </w:pPr>
      <w:rPr>
        <w:rFonts w:cs="Times New Roman"/>
      </w:rPr>
    </w:lvl>
    <w:lvl w:ilvl="5">
      <w:start w:val="1"/>
      <w:numFmt w:val="decimal"/>
      <w:lvlText w:val="%1.%2.%3.%4.%5.%6"/>
      <w:lvlJc w:val="left"/>
      <w:pPr>
        <w:tabs>
          <w:tab w:pos="3260" w:val="num"/>
        </w:tabs>
        <w:ind w:hanging="1134" w:left="3260"/>
      </w:pPr>
      <w:rPr>
        <w:rFonts w:cs="Times New Roman"/>
      </w:rPr>
    </w:lvl>
    <w:lvl w:ilvl="6">
      <w:start w:val="1"/>
      <w:numFmt w:val="decimal"/>
      <w:lvlText w:val="%1.%2.%3.%4.%5.%6.%7"/>
      <w:lvlJc w:val="left"/>
      <w:pPr>
        <w:tabs>
          <w:tab w:pos="3827" w:val="num"/>
        </w:tabs>
        <w:ind w:hanging="1276" w:left="3827"/>
      </w:pPr>
      <w:rPr>
        <w:rFonts w:cs="Times New Roman"/>
      </w:rPr>
    </w:lvl>
    <w:lvl w:ilvl="7">
      <w:start w:val="1"/>
      <w:numFmt w:val="decimal"/>
      <w:lvlText w:val="%1.%2.%3.%4.%5.%6.%7.%8"/>
      <w:lvlJc w:val="left"/>
      <w:pPr>
        <w:tabs>
          <w:tab w:pos="4394" w:val="num"/>
        </w:tabs>
        <w:ind w:hanging="1418" w:left="4394"/>
      </w:pPr>
      <w:rPr>
        <w:rFonts w:cs="Times New Roman"/>
      </w:rPr>
    </w:lvl>
    <w:lvl w:ilvl="8">
      <w:start w:val="1"/>
      <w:numFmt w:val="decimal"/>
      <w:lvlText w:val="%1.%2.%3.%4.%5.%6.%7.%8.%9"/>
      <w:lvlJc w:val="left"/>
      <w:pPr>
        <w:tabs>
          <w:tab w:pos="5102" w:val="num"/>
        </w:tabs>
        <w:ind w:hanging="1700" w:left="5102"/>
      </w:pPr>
      <w:rPr>
        <w:rFonts w:cs="Times New Roman"/>
      </w:rPr>
    </w:lvl>
  </w:abstractNum>
  <w:abstractNum w:abstractNumId="4">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rPr>
    </w:lvl>
    <w:lvl w:ilvl="1" w:tentative="1" w:tplc="04090019">
      <w:start w:val="1"/>
      <w:numFmt w:val="lowerLetter"/>
      <w:lvlText w:val="%2)"/>
      <w:lvlJc w:val="left"/>
      <w:pPr>
        <w:tabs>
          <w:tab w:pos="1320" w:val="num"/>
        </w:tabs>
        <w:ind w:hanging="420" w:left="1320"/>
      </w:pPr>
      <w:rPr>
        <w:rFonts w:cs="Times New Roman"/>
      </w:rPr>
    </w:lvl>
    <w:lvl w:ilvl="2" w:tentative="1" w:tplc="0409001B">
      <w:start w:val="1"/>
      <w:numFmt w:val="lowerRoman"/>
      <w:lvlText w:val="%3."/>
      <w:lvlJc w:val="right"/>
      <w:pPr>
        <w:tabs>
          <w:tab w:pos="1740" w:val="num"/>
        </w:tabs>
        <w:ind w:hanging="420" w:left="1740"/>
      </w:pPr>
      <w:rPr>
        <w:rFonts w:cs="Times New Roman"/>
      </w:rPr>
    </w:lvl>
    <w:lvl w:ilvl="3" w:tentative="1" w:tplc="0409000F">
      <w:start w:val="1"/>
      <w:numFmt w:val="decimal"/>
      <w:lvlText w:val="%4."/>
      <w:lvlJc w:val="left"/>
      <w:pPr>
        <w:tabs>
          <w:tab w:pos="2160" w:val="num"/>
        </w:tabs>
        <w:ind w:hanging="420" w:left="2160"/>
      </w:pPr>
      <w:rPr>
        <w:rFonts w:cs="Times New Roman"/>
      </w:rPr>
    </w:lvl>
    <w:lvl w:ilvl="4" w:tentative="1" w:tplc="04090019">
      <w:start w:val="1"/>
      <w:numFmt w:val="lowerLetter"/>
      <w:lvlText w:val="%5)"/>
      <w:lvlJc w:val="left"/>
      <w:pPr>
        <w:tabs>
          <w:tab w:pos="2580" w:val="num"/>
        </w:tabs>
        <w:ind w:hanging="420" w:left="2580"/>
      </w:pPr>
      <w:rPr>
        <w:rFonts w:cs="Times New Roman"/>
      </w:rPr>
    </w:lvl>
    <w:lvl w:ilvl="5" w:tentative="1" w:tplc="0409001B">
      <w:start w:val="1"/>
      <w:numFmt w:val="lowerRoman"/>
      <w:lvlText w:val="%6."/>
      <w:lvlJc w:val="right"/>
      <w:pPr>
        <w:tabs>
          <w:tab w:pos="3000" w:val="num"/>
        </w:tabs>
        <w:ind w:hanging="420" w:left="3000"/>
      </w:pPr>
      <w:rPr>
        <w:rFonts w:cs="Times New Roman"/>
      </w:rPr>
    </w:lvl>
    <w:lvl w:ilvl="6" w:tentative="1" w:tplc="0409000F">
      <w:start w:val="1"/>
      <w:numFmt w:val="decimal"/>
      <w:lvlText w:val="%7."/>
      <w:lvlJc w:val="left"/>
      <w:pPr>
        <w:tabs>
          <w:tab w:pos="3420" w:val="num"/>
        </w:tabs>
        <w:ind w:hanging="420" w:left="3420"/>
      </w:pPr>
      <w:rPr>
        <w:rFonts w:cs="Times New Roman"/>
      </w:rPr>
    </w:lvl>
    <w:lvl w:ilvl="7" w:tentative="1" w:tplc="04090019">
      <w:start w:val="1"/>
      <w:numFmt w:val="lowerLetter"/>
      <w:lvlText w:val="%8)"/>
      <w:lvlJc w:val="left"/>
      <w:pPr>
        <w:tabs>
          <w:tab w:pos="3840" w:val="num"/>
        </w:tabs>
        <w:ind w:hanging="420" w:left="3840"/>
      </w:pPr>
      <w:rPr>
        <w:rFonts w:cs="Times New Roman"/>
      </w:rPr>
    </w:lvl>
    <w:lvl w:ilvl="8" w:tentative="1" w:tplc="0409001B">
      <w:start w:val="1"/>
      <w:numFmt w:val="lowerRoman"/>
      <w:lvlText w:val="%9."/>
      <w:lvlJc w:val="right"/>
      <w:pPr>
        <w:tabs>
          <w:tab w:pos="4260" w:val="num"/>
        </w:tabs>
        <w:ind w:hanging="420" w:left="4260"/>
      </w:pPr>
      <w:rPr>
        <w:rFonts w:cs="Times New Roman"/>
      </w:rPr>
    </w:lvl>
  </w:abstractNum>
  <w:abstractNum w:abstractNumId="5">
    <w:nsid w:val="64C22724"/>
    <w:multiLevelType w:val="multilevel"/>
    <w:tmpl w:val="0409001D"/>
    <w:numStyleLink w:val="5"/>
  </w:abstractNum>
  <w:abstractNum w:abstractNumId="6">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entative="1" w:tplc="0409000F">
      <w:start w:val="1"/>
      <w:numFmt w:val="decimal"/>
      <w:lvlText w:val="%4."/>
      <w:lvlJc w:val="left"/>
      <w:pPr>
        <w:tabs>
          <w:tab w:pos="1680" w:val="num"/>
        </w:tabs>
        <w:ind w:hanging="420" w:left="1680"/>
      </w:pPr>
      <w:rPr>
        <w:rFonts w:cs="Times New Roman"/>
      </w:rPr>
    </w:lvl>
    <w:lvl w:ilvl="4" w:tentative="1" w:tplc="04090019">
      <w:start w:val="1"/>
      <w:numFmt w:val="lowerLetter"/>
      <w:lvlText w:val="%5)"/>
      <w:lvlJc w:val="left"/>
      <w:pPr>
        <w:tabs>
          <w:tab w:pos="2100" w:val="num"/>
        </w:tabs>
        <w:ind w:hanging="420" w:left="2100"/>
      </w:pPr>
      <w:rPr>
        <w:rFonts w:cs="Times New Roman"/>
      </w:rPr>
    </w:lvl>
    <w:lvl w:ilvl="5" w:tentative="1" w:tplc="0409001B">
      <w:start w:val="1"/>
      <w:numFmt w:val="lowerRoman"/>
      <w:lvlText w:val="%6."/>
      <w:lvlJc w:val="right"/>
      <w:pPr>
        <w:tabs>
          <w:tab w:pos="2520" w:val="num"/>
        </w:tabs>
        <w:ind w:hanging="420" w:left="2520"/>
      </w:pPr>
      <w:rPr>
        <w:rFonts w:cs="Times New Roman"/>
      </w:rPr>
    </w:lvl>
    <w:lvl w:ilvl="6" w:tentative="1" w:tplc="0409000F">
      <w:start w:val="1"/>
      <w:numFmt w:val="decimal"/>
      <w:lvlText w:val="%7."/>
      <w:lvlJc w:val="left"/>
      <w:pPr>
        <w:tabs>
          <w:tab w:pos="2940" w:val="num"/>
        </w:tabs>
        <w:ind w:hanging="420" w:left="2940"/>
      </w:pPr>
      <w:rPr>
        <w:rFonts w:cs="Times New Roman"/>
      </w:rPr>
    </w:lvl>
    <w:lvl w:ilvl="7" w:tentative="1" w:tplc="04090019">
      <w:start w:val="1"/>
      <w:numFmt w:val="lowerLetter"/>
      <w:lvlText w:val="%8)"/>
      <w:lvlJc w:val="left"/>
      <w:pPr>
        <w:tabs>
          <w:tab w:pos="3360" w:val="num"/>
        </w:tabs>
        <w:ind w:hanging="420" w:left="3360"/>
      </w:pPr>
      <w:rPr>
        <w:rFonts w:cs="Times New Roman"/>
      </w:rPr>
    </w:lvl>
    <w:lvl w:ilvl="8" w:tentative="1" w:tplc="0409001B">
      <w:start w:val="1"/>
      <w:numFmt w:val="lowerRoman"/>
      <w:lvlText w:val="%9."/>
      <w:lvlJc w:val="right"/>
      <w:pPr>
        <w:tabs>
          <w:tab w:pos="3780" w:val="num"/>
        </w:tabs>
        <w:ind w:hanging="420" w:left="3780"/>
      </w:pPr>
      <w:rPr>
        <w:rFonts w:cs="Times New Roman"/>
      </w:rPr>
    </w:lvl>
  </w:abstractNum>
  <w:num w:numId="1">
    <w:abstractNumId w:val="6"/>
  </w:num>
  <w:num w:numId="2">
    <w:abstractNumId w:val="4"/>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lvlOverride w:ilvl="0">
      <w:lvl w:ilvl="0">
        <w:numFmt w:val="decimal"/>
        <w:lvlText w:val=""/>
        <w:lvlJc w:val="left"/>
        <w:rPr>
          <w:rFonts w:cs="Times New Roman"/>
        </w:rPr>
      </w:lvl>
    </w:lvlOverride>
    <w:lvlOverride w:ilvl="1">
      <w:lvl w:ilvl="1">
        <w:start w:val="1"/>
        <w:numFmt w:val="decimal"/>
        <w:lvlText w:val="%1.%2"/>
        <w:lvlJc w:val="left"/>
        <w:pPr>
          <w:tabs>
            <w:tab w:pos="992" w:val="num"/>
          </w:tabs>
          <w:ind w:hanging="567" w:left="992"/>
        </w:pPr>
        <w:rPr>
          <w:rFonts w:cs="Times New Roman"/>
        </w:rPr>
      </w:lvl>
    </w:lvlOverride>
    <w:lvlOverride w:ilvl="2">
      <w:lvl w:ilvl="2">
        <w:start w:val="1"/>
        <w:numFmt w:val="decimal"/>
        <w:lvlText w:val="%1.%2.%3"/>
        <w:lvlJc w:val="left"/>
        <w:pPr>
          <w:tabs>
            <w:tab w:pos="1418" w:val="num"/>
          </w:tabs>
          <w:ind w:hanging="567" w:left="1418"/>
        </w:pPr>
        <w:rPr>
          <w:rFonts w:cs="Times New Roman"/>
        </w:rPr>
      </w:lvl>
    </w:lvlOverride>
  </w:num>
  <w:num w:numId="8">
    <w:abstractNumId w:val="3"/>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printPostScriptOverText/>
  <w:bordersDoNotSurroundHeader/>
  <w:bordersDoNotSurroundFooter/>
  <w:proofState w:grammar="clean" w:spelling="clean"/>
  <w:attachedTemplate r:id="rId1"/>
  <w:stylePaneFormatFilter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al="3F01" w:visibleStyles="0"/>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02187"/>
    <w:rsid w:val="0000059C"/>
    <w:rsid w:val="000008B1"/>
    <w:rsid w:val="0000403B"/>
    <w:rsid w:val="00007441"/>
    <w:rsid w:val="00007F1F"/>
    <w:rsid w:val="000108A5"/>
    <w:rsid w:val="00010A83"/>
    <w:rsid w:val="000137C1"/>
    <w:rsid w:val="0001579C"/>
    <w:rsid w:val="0001612A"/>
    <w:rsid w:val="00016551"/>
    <w:rsid w:val="00020737"/>
    <w:rsid w:val="00020C27"/>
    <w:rsid w:val="000219D5"/>
    <w:rsid w:val="00022396"/>
    <w:rsid w:val="00023073"/>
    <w:rsid w:val="00023B86"/>
    <w:rsid w:val="00023B97"/>
    <w:rsid w:val="00024836"/>
    <w:rsid w:val="000252D8"/>
    <w:rsid w:val="0003338D"/>
    <w:rsid w:val="0003564A"/>
    <w:rsid w:val="00037B55"/>
    <w:rsid w:val="00037C73"/>
    <w:rsid w:val="00041CC8"/>
    <w:rsid w:val="00042065"/>
    <w:rsid w:val="00043FD2"/>
    <w:rsid w:val="00045558"/>
    <w:rsid w:val="00045BA9"/>
    <w:rsid w:val="00047D87"/>
    <w:rsid w:val="000510AB"/>
    <w:rsid w:val="00053FFD"/>
    <w:rsid w:val="00056D5C"/>
    <w:rsid w:val="00061B0B"/>
    <w:rsid w:val="00061E09"/>
    <w:rsid w:val="00062C69"/>
    <w:rsid w:val="00062E1F"/>
    <w:rsid w:val="00064601"/>
    <w:rsid w:val="00064AE3"/>
    <w:rsid w:val="00064F4B"/>
    <w:rsid w:val="00065ABE"/>
    <w:rsid w:val="0006750A"/>
    <w:rsid w:val="000776C0"/>
    <w:rsid w:val="00077849"/>
    <w:rsid w:val="000803AD"/>
    <w:rsid w:val="000813D6"/>
    <w:rsid w:val="00081D05"/>
    <w:rsid w:val="000827CC"/>
    <w:rsid w:val="000871DB"/>
    <w:rsid w:val="000922C5"/>
    <w:rsid w:val="0009314F"/>
    <w:rsid w:val="00093A23"/>
    <w:rsid w:val="00097169"/>
    <w:rsid w:val="000A08FC"/>
    <w:rsid w:val="000A15F1"/>
    <w:rsid w:val="000A1617"/>
    <w:rsid w:val="000A40A5"/>
    <w:rsid w:val="000A457E"/>
    <w:rsid w:val="000A549A"/>
    <w:rsid w:val="000A5A81"/>
    <w:rsid w:val="000A6D8C"/>
    <w:rsid w:val="000A72F2"/>
    <w:rsid w:val="000A7BFD"/>
    <w:rsid w:val="000B000E"/>
    <w:rsid w:val="000B1CB9"/>
    <w:rsid w:val="000B24AF"/>
    <w:rsid w:val="000B251E"/>
    <w:rsid w:val="000B3E43"/>
    <w:rsid w:val="000B4E99"/>
    <w:rsid w:val="000B5B16"/>
    <w:rsid w:val="000B648A"/>
    <w:rsid w:val="000C45E7"/>
    <w:rsid w:val="000C5956"/>
    <w:rsid w:val="000C757F"/>
    <w:rsid w:val="000C7DD4"/>
    <w:rsid w:val="000D1164"/>
    <w:rsid w:val="000D1BBE"/>
    <w:rsid w:val="000D3773"/>
    <w:rsid w:val="000D4DE9"/>
    <w:rsid w:val="000D58E0"/>
    <w:rsid w:val="000D6660"/>
    <w:rsid w:val="000D6BA0"/>
    <w:rsid w:val="000D7ECA"/>
    <w:rsid w:val="000E2F81"/>
    <w:rsid w:val="000E3726"/>
    <w:rsid w:val="000E39DB"/>
    <w:rsid w:val="000F0558"/>
    <w:rsid w:val="000F0AC3"/>
    <w:rsid w:val="000F1611"/>
    <w:rsid w:val="000F175F"/>
    <w:rsid w:val="000F17D1"/>
    <w:rsid w:val="000F1CC9"/>
    <w:rsid w:val="000F5ABD"/>
    <w:rsid w:val="000F60FF"/>
    <w:rsid w:val="000F6F7C"/>
    <w:rsid w:val="001005BB"/>
    <w:rsid w:val="00103B0E"/>
    <w:rsid w:val="001040EA"/>
    <w:rsid w:val="00112BCF"/>
    <w:rsid w:val="00114E7E"/>
    <w:rsid w:val="00117465"/>
    <w:rsid w:val="00117F22"/>
    <w:rsid w:val="00120280"/>
    <w:rsid w:val="001207F2"/>
    <w:rsid w:val="00121533"/>
    <w:rsid w:val="0012304E"/>
    <w:rsid w:val="00123051"/>
    <w:rsid w:val="0012558C"/>
    <w:rsid w:val="001257C7"/>
    <w:rsid w:val="00125E66"/>
    <w:rsid w:val="001262F4"/>
    <w:rsid w:val="001263E1"/>
    <w:rsid w:val="00126AC0"/>
    <w:rsid w:val="00126C2B"/>
    <w:rsid w:val="00127A01"/>
    <w:rsid w:val="00130D77"/>
    <w:rsid w:val="00131EF6"/>
    <w:rsid w:val="0013251D"/>
    <w:rsid w:val="00134734"/>
    <w:rsid w:val="00134CBE"/>
    <w:rsid w:val="00140C30"/>
    <w:rsid w:val="001427AE"/>
    <w:rsid w:val="00142C74"/>
    <w:rsid w:val="001453EF"/>
    <w:rsid w:val="00145E5B"/>
    <w:rsid w:val="00147319"/>
    <w:rsid w:val="00147551"/>
    <w:rsid w:val="0015012F"/>
    <w:rsid w:val="00150C2E"/>
    <w:rsid w:val="0015170D"/>
    <w:rsid w:val="001517AE"/>
    <w:rsid w:val="00154FA5"/>
    <w:rsid w:val="0015531A"/>
    <w:rsid w:val="00156F9D"/>
    <w:rsid w:val="001602E3"/>
    <w:rsid w:val="00160539"/>
    <w:rsid w:val="00161548"/>
    <w:rsid w:val="00162D92"/>
    <w:rsid w:val="0016464C"/>
    <w:rsid w:val="0017176A"/>
    <w:rsid w:val="00172B54"/>
    <w:rsid w:val="00174038"/>
    <w:rsid w:val="00174D16"/>
    <w:rsid w:val="00176874"/>
    <w:rsid w:val="0017725A"/>
    <w:rsid w:val="0018052A"/>
    <w:rsid w:val="00180952"/>
    <w:rsid w:val="0018191A"/>
    <w:rsid w:val="00185B68"/>
    <w:rsid w:val="00186199"/>
    <w:rsid w:val="001874E3"/>
    <w:rsid w:val="001878B0"/>
    <w:rsid w:val="00194155"/>
    <w:rsid w:val="001A0417"/>
    <w:rsid w:val="001A0B71"/>
    <w:rsid w:val="001A1389"/>
    <w:rsid w:val="001A3016"/>
    <w:rsid w:val="001A3914"/>
    <w:rsid w:val="001A5FA6"/>
    <w:rsid w:val="001B053A"/>
    <w:rsid w:val="001B08B3"/>
    <w:rsid w:val="001B0A62"/>
    <w:rsid w:val="001B0C78"/>
    <w:rsid w:val="001B151C"/>
    <w:rsid w:val="001B1A13"/>
    <w:rsid w:val="001B22BA"/>
    <w:rsid w:val="001B3C1C"/>
    <w:rsid w:val="001B4983"/>
    <w:rsid w:val="001C2045"/>
    <w:rsid w:val="001C5040"/>
    <w:rsid w:val="001C715A"/>
    <w:rsid w:val="001D0DB0"/>
    <w:rsid w:val="001D0F6A"/>
    <w:rsid w:val="001D2FA5"/>
    <w:rsid w:val="001D3394"/>
    <w:rsid w:val="001D3D57"/>
    <w:rsid w:val="001D4980"/>
    <w:rsid w:val="001D5045"/>
    <w:rsid w:val="001D5A44"/>
    <w:rsid w:val="001D5CD0"/>
    <w:rsid w:val="001D63BB"/>
    <w:rsid w:val="001D724B"/>
    <w:rsid w:val="001E023C"/>
    <w:rsid w:val="001E0BA5"/>
    <w:rsid w:val="001F03E1"/>
    <w:rsid w:val="001F1F19"/>
    <w:rsid w:val="001F2BD1"/>
    <w:rsid w:val="001F3080"/>
    <w:rsid w:val="001F3CC6"/>
    <w:rsid w:val="001F5F5F"/>
    <w:rsid w:val="001F60E9"/>
    <w:rsid w:val="002035B9"/>
    <w:rsid w:val="00205064"/>
    <w:rsid w:val="0020548A"/>
    <w:rsid w:val="002079FA"/>
    <w:rsid w:val="00211668"/>
    <w:rsid w:val="002118A6"/>
    <w:rsid w:val="002122FF"/>
    <w:rsid w:val="002125F7"/>
    <w:rsid w:val="0021288A"/>
    <w:rsid w:val="002150AC"/>
    <w:rsid w:val="0021650B"/>
    <w:rsid w:val="00221938"/>
    <w:rsid w:val="00222262"/>
    <w:rsid w:val="00222ABD"/>
    <w:rsid w:val="002230A8"/>
    <w:rsid w:val="00227D20"/>
    <w:rsid w:val="00231BCE"/>
    <w:rsid w:val="0023336A"/>
    <w:rsid w:val="002359EB"/>
    <w:rsid w:val="0023649E"/>
    <w:rsid w:val="00236926"/>
    <w:rsid w:val="00241740"/>
    <w:rsid w:val="002424E4"/>
    <w:rsid w:val="00243122"/>
    <w:rsid w:val="002437F5"/>
    <w:rsid w:val="00244DB1"/>
    <w:rsid w:val="00244FDA"/>
    <w:rsid w:val="00245012"/>
    <w:rsid w:val="0024504E"/>
    <w:rsid w:val="0024651F"/>
    <w:rsid w:val="00246874"/>
    <w:rsid w:val="00246D81"/>
    <w:rsid w:val="00250869"/>
    <w:rsid w:val="00251920"/>
    <w:rsid w:val="00253D3C"/>
    <w:rsid w:val="00254A7E"/>
    <w:rsid w:val="00255292"/>
    <w:rsid w:val="00256047"/>
    <w:rsid w:val="0025722F"/>
    <w:rsid w:val="00257E84"/>
    <w:rsid w:val="00260200"/>
    <w:rsid w:val="00263106"/>
    <w:rsid w:val="002642F2"/>
    <w:rsid w:val="00264AE1"/>
    <w:rsid w:val="00264E55"/>
    <w:rsid w:val="00266645"/>
    <w:rsid w:val="00267386"/>
    <w:rsid w:val="00267C2E"/>
    <w:rsid w:val="00267DA9"/>
    <w:rsid w:val="00273E5C"/>
    <w:rsid w:val="0027576B"/>
    <w:rsid w:val="00275FD0"/>
    <w:rsid w:val="00280514"/>
    <w:rsid w:val="002810D8"/>
    <w:rsid w:val="002819E7"/>
    <w:rsid w:val="00282FF2"/>
    <w:rsid w:val="00283483"/>
    <w:rsid w:val="002844B5"/>
    <w:rsid w:val="0028459B"/>
    <w:rsid w:val="00285618"/>
    <w:rsid w:val="002872F8"/>
    <w:rsid w:val="00293065"/>
    <w:rsid w:val="002953E8"/>
    <w:rsid w:val="00296E4A"/>
    <w:rsid w:val="00297260"/>
    <w:rsid w:val="002976E5"/>
    <w:rsid w:val="002A1F14"/>
    <w:rsid w:val="002A2678"/>
    <w:rsid w:val="002A3369"/>
    <w:rsid w:val="002A3965"/>
    <w:rsid w:val="002A4B8A"/>
    <w:rsid w:val="002A5161"/>
    <w:rsid w:val="002A5C0F"/>
    <w:rsid w:val="002A6385"/>
    <w:rsid w:val="002A7929"/>
    <w:rsid w:val="002B41D7"/>
    <w:rsid w:val="002B5240"/>
    <w:rsid w:val="002B6A13"/>
    <w:rsid w:val="002C0904"/>
    <w:rsid w:val="002C0F67"/>
    <w:rsid w:val="002C1E84"/>
    <w:rsid w:val="002C36C3"/>
    <w:rsid w:val="002C77CC"/>
    <w:rsid w:val="002D2A00"/>
    <w:rsid w:val="002D5199"/>
    <w:rsid w:val="002E2862"/>
    <w:rsid w:val="002E2BEF"/>
    <w:rsid w:val="002E356A"/>
    <w:rsid w:val="002E4C01"/>
    <w:rsid w:val="002F0516"/>
    <w:rsid w:val="002F22D2"/>
    <w:rsid w:val="002F778A"/>
    <w:rsid w:val="00302187"/>
    <w:rsid w:val="003028D8"/>
    <w:rsid w:val="0030290F"/>
    <w:rsid w:val="00302DE9"/>
    <w:rsid w:val="00302FAB"/>
    <w:rsid w:val="00303869"/>
    <w:rsid w:val="00303F1D"/>
    <w:rsid w:val="00305084"/>
    <w:rsid w:val="00305153"/>
    <w:rsid w:val="00311ABF"/>
    <w:rsid w:val="00314A81"/>
    <w:rsid w:val="00314DD2"/>
    <w:rsid w:val="00315A7C"/>
    <w:rsid w:val="00317705"/>
    <w:rsid w:val="00320453"/>
    <w:rsid w:val="003204E9"/>
    <w:rsid w:val="003232AA"/>
    <w:rsid w:val="00323A10"/>
    <w:rsid w:val="00323E6A"/>
    <w:rsid w:val="00323F25"/>
    <w:rsid w:val="00324A71"/>
    <w:rsid w:val="003303E3"/>
    <w:rsid w:val="00334656"/>
    <w:rsid w:val="00337A86"/>
    <w:rsid w:val="0034147B"/>
    <w:rsid w:val="00341889"/>
    <w:rsid w:val="003426CE"/>
    <w:rsid w:val="00343016"/>
    <w:rsid w:val="0034447B"/>
    <w:rsid w:val="00351704"/>
    <w:rsid w:val="003570C8"/>
    <w:rsid w:val="00367770"/>
    <w:rsid w:val="00371424"/>
    <w:rsid w:val="00371FF4"/>
    <w:rsid w:val="00372209"/>
    <w:rsid w:val="003771ED"/>
    <w:rsid w:val="0037768B"/>
    <w:rsid w:val="00381791"/>
    <w:rsid w:val="00382E6F"/>
    <w:rsid w:val="00387C00"/>
    <w:rsid w:val="00397960"/>
    <w:rsid w:val="00397F75"/>
    <w:rsid w:val="003A2008"/>
    <w:rsid w:val="003A3BC4"/>
    <w:rsid w:val="003A4AA3"/>
    <w:rsid w:val="003B405E"/>
    <w:rsid w:val="003B4843"/>
    <w:rsid w:val="003B494E"/>
    <w:rsid w:val="003C6E9E"/>
    <w:rsid w:val="003C792F"/>
    <w:rsid w:val="003D117A"/>
    <w:rsid w:val="003D36B2"/>
    <w:rsid w:val="003D42D5"/>
    <w:rsid w:val="003D656E"/>
    <w:rsid w:val="003D7783"/>
    <w:rsid w:val="003D78B5"/>
    <w:rsid w:val="003E0BD4"/>
    <w:rsid w:val="003E45B9"/>
    <w:rsid w:val="003E654C"/>
    <w:rsid w:val="003F0DE5"/>
    <w:rsid w:val="003F0E22"/>
    <w:rsid w:val="003F1058"/>
    <w:rsid w:val="003F13CD"/>
    <w:rsid w:val="003F46FC"/>
    <w:rsid w:val="003F4AA5"/>
    <w:rsid w:val="003F697D"/>
    <w:rsid w:val="003F7C45"/>
    <w:rsid w:val="00400500"/>
    <w:rsid w:val="0040132C"/>
    <w:rsid w:val="00404257"/>
    <w:rsid w:val="00407F66"/>
    <w:rsid w:val="004113B4"/>
    <w:rsid w:val="0041220A"/>
    <w:rsid w:val="00413B96"/>
    <w:rsid w:val="00413C2C"/>
    <w:rsid w:val="00414367"/>
    <w:rsid w:val="00415168"/>
    <w:rsid w:val="00415A8A"/>
    <w:rsid w:val="00415B04"/>
    <w:rsid w:val="00416A6B"/>
    <w:rsid w:val="0042044C"/>
    <w:rsid w:val="00421624"/>
    <w:rsid w:val="00424151"/>
    <w:rsid w:val="00425208"/>
    <w:rsid w:val="00425A5A"/>
    <w:rsid w:val="00425FB6"/>
    <w:rsid w:val="004268BB"/>
    <w:rsid w:val="0042785F"/>
    <w:rsid w:val="004314FF"/>
    <w:rsid w:val="004408EC"/>
    <w:rsid w:val="00440F74"/>
    <w:rsid w:val="00441816"/>
    <w:rsid w:val="00441FEC"/>
    <w:rsid w:val="004425E8"/>
    <w:rsid w:val="00443C8F"/>
    <w:rsid w:val="00447BC6"/>
    <w:rsid w:val="004501CE"/>
    <w:rsid w:val="00452481"/>
    <w:rsid w:val="00454A0F"/>
    <w:rsid w:val="0046335D"/>
    <w:rsid w:val="00463C2C"/>
    <w:rsid w:val="00471D81"/>
    <w:rsid w:val="004733AC"/>
    <w:rsid w:val="00483271"/>
    <w:rsid w:val="00490F85"/>
    <w:rsid w:val="0049210E"/>
    <w:rsid w:val="0049297D"/>
    <w:rsid w:val="0049327D"/>
    <w:rsid w:val="0049405D"/>
    <w:rsid w:val="0049455C"/>
    <w:rsid w:val="00495A03"/>
    <w:rsid w:val="004A135B"/>
    <w:rsid w:val="004A1BE1"/>
    <w:rsid w:val="004A3251"/>
    <w:rsid w:val="004A4980"/>
    <w:rsid w:val="004A4F68"/>
    <w:rsid w:val="004A63CB"/>
    <w:rsid w:val="004A67B0"/>
    <w:rsid w:val="004A6FB2"/>
    <w:rsid w:val="004B0847"/>
    <w:rsid w:val="004B0E6D"/>
    <w:rsid w:val="004B16E8"/>
    <w:rsid w:val="004B67DB"/>
    <w:rsid w:val="004C0541"/>
    <w:rsid w:val="004C3A16"/>
    <w:rsid w:val="004C634A"/>
    <w:rsid w:val="004C660B"/>
    <w:rsid w:val="004D050C"/>
    <w:rsid w:val="004D23D9"/>
    <w:rsid w:val="004D29A9"/>
    <w:rsid w:val="004D3537"/>
    <w:rsid w:val="004D4D4E"/>
    <w:rsid w:val="004D614E"/>
    <w:rsid w:val="004D650F"/>
    <w:rsid w:val="004E2133"/>
    <w:rsid w:val="004E4E04"/>
    <w:rsid w:val="004E6CBA"/>
    <w:rsid w:val="004F521C"/>
    <w:rsid w:val="00502CD8"/>
    <w:rsid w:val="0050361C"/>
    <w:rsid w:val="00503BF4"/>
    <w:rsid w:val="00506A40"/>
    <w:rsid w:val="0051064F"/>
    <w:rsid w:val="00513461"/>
    <w:rsid w:val="00513A0E"/>
    <w:rsid w:val="00515D7B"/>
    <w:rsid w:val="00515F29"/>
    <w:rsid w:val="0052009E"/>
    <w:rsid w:val="00523F04"/>
    <w:rsid w:val="00524368"/>
    <w:rsid w:val="0052438C"/>
    <w:rsid w:val="00526282"/>
    <w:rsid w:val="00530161"/>
    <w:rsid w:val="00532DB7"/>
    <w:rsid w:val="00536F71"/>
    <w:rsid w:val="00544342"/>
    <w:rsid w:val="005450F7"/>
    <w:rsid w:val="00545A0B"/>
    <w:rsid w:val="0054672F"/>
    <w:rsid w:val="00547FA4"/>
    <w:rsid w:val="005536D4"/>
    <w:rsid w:val="00553EC8"/>
    <w:rsid w:val="005564EE"/>
    <w:rsid w:val="00557D4A"/>
    <w:rsid w:val="0056176B"/>
    <w:rsid w:val="00561889"/>
    <w:rsid w:val="005621F6"/>
    <w:rsid w:val="0056291C"/>
    <w:rsid w:val="005668D3"/>
    <w:rsid w:val="00566EBD"/>
    <w:rsid w:val="00571535"/>
    <w:rsid w:val="0057154B"/>
    <w:rsid w:val="0057278A"/>
    <w:rsid w:val="005742DB"/>
    <w:rsid w:val="00575C75"/>
    <w:rsid w:val="00577209"/>
    <w:rsid w:val="005800A9"/>
    <w:rsid w:val="00581139"/>
    <w:rsid w:val="00581645"/>
    <w:rsid w:val="0058694E"/>
    <w:rsid w:val="005875F9"/>
    <w:rsid w:val="00593A35"/>
    <w:rsid w:val="00593C74"/>
    <w:rsid w:val="00594934"/>
    <w:rsid w:val="005954CF"/>
    <w:rsid w:val="00597D8B"/>
    <w:rsid w:val="005A46FF"/>
    <w:rsid w:val="005A557E"/>
    <w:rsid w:val="005A63FD"/>
    <w:rsid w:val="005B462A"/>
    <w:rsid w:val="005B5137"/>
    <w:rsid w:val="005B6047"/>
    <w:rsid w:val="005C0ED7"/>
    <w:rsid w:val="005C5409"/>
    <w:rsid w:val="005C62A5"/>
    <w:rsid w:val="005C6FF7"/>
    <w:rsid w:val="005C7D00"/>
    <w:rsid w:val="005D01A4"/>
    <w:rsid w:val="005D0BAB"/>
    <w:rsid w:val="005D1893"/>
    <w:rsid w:val="005D26E9"/>
    <w:rsid w:val="005D2CAA"/>
    <w:rsid w:val="005D4B66"/>
    <w:rsid w:val="005D4CBA"/>
    <w:rsid w:val="005E01A3"/>
    <w:rsid w:val="005E0354"/>
    <w:rsid w:val="005E6C62"/>
    <w:rsid w:val="005E6F13"/>
    <w:rsid w:val="005E726C"/>
    <w:rsid w:val="005F293E"/>
    <w:rsid w:val="005F43B9"/>
    <w:rsid w:val="005F458B"/>
    <w:rsid w:val="005F4A6A"/>
    <w:rsid w:val="005F4E28"/>
    <w:rsid w:val="005F56BA"/>
    <w:rsid w:val="0060008E"/>
    <w:rsid w:val="00602321"/>
    <w:rsid w:val="006033E3"/>
    <w:rsid w:val="00606B29"/>
    <w:rsid w:val="0060758A"/>
    <w:rsid w:val="00607D0E"/>
    <w:rsid w:val="006101F5"/>
    <w:rsid w:val="00610DA5"/>
    <w:rsid w:val="00611663"/>
    <w:rsid w:val="00611CB2"/>
    <w:rsid w:val="0061321C"/>
    <w:rsid w:val="00613F44"/>
    <w:rsid w:val="006160BD"/>
    <w:rsid w:val="00620EDB"/>
    <w:rsid w:val="0062386E"/>
    <w:rsid w:val="00624C10"/>
    <w:rsid w:val="006253EF"/>
    <w:rsid w:val="00626075"/>
    <w:rsid w:val="0062680E"/>
    <w:rsid w:val="00630C47"/>
    <w:rsid w:val="00631158"/>
    <w:rsid w:val="00632923"/>
    <w:rsid w:val="006341E6"/>
    <w:rsid w:val="00634439"/>
    <w:rsid w:val="006366C6"/>
    <w:rsid w:val="00636B55"/>
    <w:rsid w:val="00636EB1"/>
    <w:rsid w:val="006373D6"/>
    <w:rsid w:val="006403D4"/>
    <w:rsid w:val="00642CBC"/>
    <w:rsid w:val="0064454A"/>
    <w:rsid w:val="00645293"/>
    <w:rsid w:val="006456D3"/>
    <w:rsid w:val="00651B78"/>
    <w:rsid w:val="0065237A"/>
    <w:rsid w:val="00652FF5"/>
    <w:rsid w:val="0065303C"/>
    <w:rsid w:val="00653246"/>
    <w:rsid w:val="00654382"/>
    <w:rsid w:val="006548FA"/>
    <w:rsid w:val="0066098B"/>
    <w:rsid w:val="00661244"/>
    <w:rsid w:val="006640DF"/>
    <w:rsid w:val="00666A3C"/>
    <w:rsid w:val="00667519"/>
    <w:rsid w:val="006676A0"/>
    <w:rsid w:val="00670857"/>
    <w:rsid w:val="00670868"/>
    <w:rsid w:val="00673D69"/>
    <w:rsid w:val="00676431"/>
    <w:rsid w:val="00677A9C"/>
    <w:rsid w:val="0068050D"/>
    <w:rsid w:val="00684C6B"/>
    <w:rsid w:val="00685FFC"/>
    <w:rsid w:val="00686943"/>
    <w:rsid w:val="00686EDE"/>
    <w:rsid w:val="00687AD5"/>
    <w:rsid w:val="00690A31"/>
    <w:rsid w:val="006911CE"/>
    <w:rsid w:val="00692002"/>
    <w:rsid w:val="00695251"/>
    <w:rsid w:val="00695B58"/>
    <w:rsid w:val="006A1153"/>
    <w:rsid w:val="006A4828"/>
    <w:rsid w:val="006A7C09"/>
    <w:rsid w:val="006B046C"/>
    <w:rsid w:val="006B252F"/>
    <w:rsid w:val="006B3940"/>
    <w:rsid w:val="006B4B1E"/>
    <w:rsid w:val="006B7FA5"/>
    <w:rsid w:val="006C168D"/>
    <w:rsid w:val="006C21E6"/>
    <w:rsid w:val="006C4033"/>
    <w:rsid w:val="006C5BC9"/>
    <w:rsid w:val="006C642C"/>
    <w:rsid w:val="006C7247"/>
    <w:rsid w:val="006D462B"/>
    <w:rsid w:val="006D7386"/>
    <w:rsid w:val="006E0DAD"/>
    <w:rsid w:val="006E313F"/>
    <w:rsid w:val="006E6CA2"/>
    <w:rsid w:val="006F1F1A"/>
    <w:rsid w:val="006F5AC2"/>
    <w:rsid w:val="006F6C28"/>
    <w:rsid w:val="007007EB"/>
    <w:rsid w:val="00701109"/>
    <w:rsid w:val="00701F57"/>
    <w:rsid w:val="00701FD8"/>
    <w:rsid w:val="00703E8A"/>
    <w:rsid w:val="00706046"/>
    <w:rsid w:val="007112F0"/>
    <w:rsid w:val="00711343"/>
    <w:rsid w:val="00714309"/>
    <w:rsid w:val="0071450F"/>
    <w:rsid w:val="00717772"/>
    <w:rsid w:val="00720B42"/>
    <w:rsid w:val="00721DBE"/>
    <w:rsid w:val="007226EC"/>
    <w:rsid w:val="00722B5E"/>
    <w:rsid w:val="00724F6D"/>
    <w:rsid w:val="0072678C"/>
    <w:rsid w:val="00732D1D"/>
    <w:rsid w:val="00734119"/>
    <w:rsid w:val="007350D4"/>
    <w:rsid w:val="00736034"/>
    <w:rsid w:val="00736D15"/>
    <w:rsid w:val="00740707"/>
    <w:rsid w:val="0074120F"/>
    <w:rsid w:val="00743764"/>
    <w:rsid w:val="00743B2D"/>
    <w:rsid w:val="00747930"/>
    <w:rsid w:val="0075060E"/>
    <w:rsid w:val="00752E8B"/>
    <w:rsid w:val="007541BB"/>
    <w:rsid w:val="00754D62"/>
    <w:rsid w:val="00756CFF"/>
    <w:rsid w:val="00757FD7"/>
    <w:rsid w:val="00761B7A"/>
    <w:rsid w:val="007651E5"/>
    <w:rsid w:val="00765256"/>
    <w:rsid w:val="007661D4"/>
    <w:rsid w:val="007661FD"/>
    <w:rsid w:val="00766A7C"/>
    <w:rsid w:val="00767A27"/>
    <w:rsid w:val="0077111A"/>
    <w:rsid w:val="00775419"/>
    <w:rsid w:val="007763A5"/>
    <w:rsid w:val="0078105B"/>
    <w:rsid w:val="00782B50"/>
    <w:rsid w:val="007836C2"/>
    <w:rsid w:val="00784FE0"/>
    <w:rsid w:val="007858B1"/>
    <w:rsid w:val="0078648E"/>
    <w:rsid w:val="00790803"/>
    <w:rsid w:val="00791A3A"/>
    <w:rsid w:val="00791D9C"/>
    <w:rsid w:val="007A391B"/>
    <w:rsid w:val="007A4409"/>
    <w:rsid w:val="007A4F37"/>
    <w:rsid w:val="007A5241"/>
    <w:rsid w:val="007A59B8"/>
    <w:rsid w:val="007B06C7"/>
    <w:rsid w:val="007B3D06"/>
    <w:rsid w:val="007B42F5"/>
    <w:rsid w:val="007B5157"/>
    <w:rsid w:val="007B5CD8"/>
    <w:rsid w:val="007C1122"/>
    <w:rsid w:val="007C19EC"/>
    <w:rsid w:val="007C364E"/>
    <w:rsid w:val="007C5359"/>
    <w:rsid w:val="007C6701"/>
    <w:rsid w:val="007D16ED"/>
    <w:rsid w:val="007D2398"/>
    <w:rsid w:val="007D440B"/>
    <w:rsid w:val="007D62F9"/>
    <w:rsid w:val="007D63A4"/>
    <w:rsid w:val="007D732D"/>
    <w:rsid w:val="007D7C43"/>
    <w:rsid w:val="007E0F19"/>
    <w:rsid w:val="007E2A84"/>
    <w:rsid w:val="007E5ECB"/>
    <w:rsid w:val="007F063D"/>
    <w:rsid w:val="007F0D73"/>
    <w:rsid w:val="007F153F"/>
    <w:rsid w:val="007F3137"/>
    <w:rsid w:val="007F432A"/>
    <w:rsid w:val="007F63AA"/>
    <w:rsid w:val="008006B7"/>
    <w:rsid w:val="008032FD"/>
    <w:rsid w:val="00806461"/>
    <w:rsid w:val="008064CE"/>
    <w:rsid w:val="0080673A"/>
    <w:rsid w:val="00807A94"/>
    <w:rsid w:val="00810B79"/>
    <w:rsid w:val="00810EAD"/>
    <w:rsid w:val="00814530"/>
    <w:rsid w:val="00815386"/>
    <w:rsid w:val="00821F9C"/>
    <w:rsid w:val="00825570"/>
    <w:rsid w:val="00826403"/>
    <w:rsid w:val="00827990"/>
    <w:rsid w:val="00834CA6"/>
    <w:rsid w:val="00835146"/>
    <w:rsid w:val="0083623B"/>
    <w:rsid w:val="00836C5A"/>
    <w:rsid w:val="00837E59"/>
    <w:rsid w:val="00840AC0"/>
    <w:rsid w:val="00842100"/>
    <w:rsid w:val="008428A9"/>
    <w:rsid w:val="0084308F"/>
    <w:rsid w:val="00846C2B"/>
    <w:rsid w:val="0085139A"/>
    <w:rsid w:val="008524F6"/>
    <w:rsid w:val="008532F3"/>
    <w:rsid w:val="00854B3F"/>
    <w:rsid w:val="00861C2C"/>
    <w:rsid w:val="00863744"/>
    <w:rsid w:val="00865CFA"/>
    <w:rsid w:val="008668B8"/>
    <w:rsid w:val="0086748F"/>
    <w:rsid w:val="00867B4D"/>
    <w:rsid w:val="00867CF3"/>
    <w:rsid w:val="00874AA3"/>
    <w:rsid w:val="00874AB5"/>
    <w:rsid w:val="00877671"/>
    <w:rsid w:val="00877A13"/>
    <w:rsid w:val="008811F8"/>
    <w:rsid w:val="008869BC"/>
    <w:rsid w:val="00887DDD"/>
    <w:rsid w:val="00887DE6"/>
    <w:rsid w:val="00887E9F"/>
    <w:rsid w:val="008908AA"/>
    <w:rsid w:val="00890E08"/>
    <w:rsid w:val="008927F0"/>
    <w:rsid w:val="00894DCA"/>
    <w:rsid w:val="00896602"/>
    <w:rsid w:val="00897D88"/>
    <w:rsid w:val="008A00BE"/>
    <w:rsid w:val="008A1539"/>
    <w:rsid w:val="008A2C5D"/>
    <w:rsid w:val="008A3BE2"/>
    <w:rsid w:val="008A6957"/>
    <w:rsid w:val="008A6B30"/>
    <w:rsid w:val="008B05E7"/>
    <w:rsid w:val="008B0758"/>
    <w:rsid w:val="008B1875"/>
    <w:rsid w:val="008B4146"/>
    <w:rsid w:val="008B5312"/>
    <w:rsid w:val="008B59CE"/>
    <w:rsid w:val="008B6078"/>
    <w:rsid w:val="008B6085"/>
    <w:rsid w:val="008B7110"/>
    <w:rsid w:val="008B7F4A"/>
    <w:rsid w:val="008C04E1"/>
    <w:rsid w:val="008C04FE"/>
    <w:rsid w:val="008C2F50"/>
    <w:rsid w:val="008C3109"/>
    <w:rsid w:val="008C32F7"/>
    <w:rsid w:val="008C383A"/>
    <w:rsid w:val="008C5312"/>
    <w:rsid w:val="008C5DBD"/>
    <w:rsid w:val="008C61D6"/>
    <w:rsid w:val="008C7498"/>
    <w:rsid w:val="008D49AF"/>
    <w:rsid w:val="008D4A2B"/>
    <w:rsid w:val="008D4A9F"/>
    <w:rsid w:val="008D6294"/>
    <w:rsid w:val="008E1FE0"/>
    <w:rsid w:val="008E3939"/>
    <w:rsid w:val="008E3DDD"/>
    <w:rsid w:val="008F23F4"/>
    <w:rsid w:val="008F61C4"/>
    <w:rsid w:val="008F7763"/>
    <w:rsid w:val="009007CB"/>
    <w:rsid w:val="00901041"/>
    <w:rsid w:val="009010F0"/>
    <w:rsid w:val="00901162"/>
    <w:rsid w:val="00901C2E"/>
    <w:rsid w:val="00901D46"/>
    <w:rsid w:val="009028E2"/>
    <w:rsid w:val="00903692"/>
    <w:rsid w:val="00904E07"/>
    <w:rsid w:val="00906059"/>
    <w:rsid w:val="00912BAF"/>
    <w:rsid w:val="0091311E"/>
    <w:rsid w:val="00914EAB"/>
    <w:rsid w:val="0091541F"/>
    <w:rsid w:val="00920D98"/>
    <w:rsid w:val="0092108C"/>
    <w:rsid w:val="00922D49"/>
    <w:rsid w:val="009238DB"/>
    <w:rsid w:val="00925E37"/>
    <w:rsid w:val="00925EDD"/>
    <w:rsid w:val="0092665C"/>
    <w:rsid w:val="00930079"/>
    <w:rsid w:val="00930966"/>
    <w:rsid w:val="00932F64"/>
    <w:rsid w:val="00935FB1"/>
    <w:rsid w:val="00936075"/>
    <w:rsid w:val="00936D40"/>
    <w:rsid w:val="00937ABF"/>
    <w:rsid w:val="00937DB1"/>
    <w:rsid w:val="009463CC"/>
    <w:rsid w:val="0094687A"/>
    <w:rsid w:val="00950413"/>
    <w:rsid w:val="0095078E"/>
    <w:rsid w:val="00952404"/>
    <w:rsid w:val="00952A72"/>
    <w:rsid w:val="009533AD"/>
    <w:rsid w:val="009542B3"/>
    <w:rsid w:val="009550A8"/>
    <w:rsid w:val="00955FF2"/>
    <w:rsid w:val="0095693D"/>
    <w:rsid w:val="00956B0D"/>
    <w:rsid w:val="0096224F"/>
    <w:rsid w:val="0096260B"/>
    <w:rsid w:val="009631C1"/>
    <w:rsid w:val="00970C69"/>
    <w:rsid w:val="00973B57"/>
    <w:rsid w:val="00973E0D"/>
    <w:rsid w:val="0097403F"/>
    <w:rsid w:val="00976797"/>
    <w:rsid w:val="00980C0C"/>
    <w:rsid w:val="00982E47"/>
    <w:rsid w:val="00983E7D"/>
    <w:rsid w:val="00991642"/>
    <w:rsid w:val="0099260C"/>
    <w:rsid w:val="009942F4"/>
    <w:rsid w:val="00995B3C"/>
    <w:rsid w:val="00996BCA"/>
    <w:rsid w:val="00997454"/>
    <w:rsid w:val="009A045B"/>
    <w:rsid w:val="009A0513"/>
    <w:rsid w:val="009A1119"/>
    <w:rsid w:val="009A2283"/>
    <w:rsid w:val="009A31AF"/>
    <w:rsid w:val="009A3507"/>
    <w:rsid w:val="009A529F"/>
    <w:rsid w:val="009A5C1D"/>
    <w:rsid w:val="009A6018"/>
    <w:rsid w:val="009A7C28"/>
    <w:rsid w:val="009B0273"/>
    <w:rsid w:val="009B4286"/>
    <w:rsid w:val="009B5BF9"/>
    <w:rsid w:val="009B5DAF"/>
    <w:rsid w:val="009B5F83"/>
    <w:rsid w:val="009B61C5"/>
    <w:rsid w:val="009B769E"/>
    <w:rsid w:val="009C03E5"/>
    <w:rsid w:val="009C3F17"/>
    <w:rsid w:val="009C4D19"/>
    <w:rsid w:val="009C5FDB"/>
    <w:rsid w:val="009C65AF"/>
    <w:rsid w:val="009C70CB"/>
    <w:rsid w:val="009C74DD"/>
    <w:rsid w:val="009D0312"/>
    <w:rsid w:val="009D27AA"/>
    <w:rsid w:val="009D2AD9"/>
    <w:rsid w:val="009D514E"/>
    <w:rsid w:val="009D5A40"/>
    <w:rsid w:val="009D5C39"/>
    <w:rsid w:val="009D6FED"/>
    <w:rsid w:val="009E0A95"/>
    <w:rsid w:val="009E0D47"/>
    <w:rsid w:val="009E549D"/>
    <w:rsid w:val="009E54AF"/>
    <w:rsid w:val="009E5C59"/>
    <w:rsid w:val="009E6BB8"/>
    <w:rsid w:val="009F0FB1"/>
    <w:rsid w:val="009F1CC3"/>
    <w:rsid w:val="009F26F2"/>
    <w:rsid w:val="009F3E1E"/>
    <w:rsid w:val="009F4CC5"/>
    <w:rsid w:val="009F6550"/>
    <w:rsid w:val="00A003BE"/>
    <w:rsid w:val="00A02F51"/>
    <w:rsid w:val="00A0520F"/>
    <w:rsid w:val="00A05ACE"/>
    <w:rsid w:val="00A06788"/>
    <w:rsid w:val="00A104A4"/>
    <w:rsid w:val="00A10D63"/>
    <w:rsid w:val="00A115BC"/>
    <w:rsid w:val="00A11776"/>
    <w:rsid w:val="00A1276C"/>
    <w:rsid w:val="00A14098"/>
    <w:rsid w:val="00A14304"/>
    <w:rsid w:val="00A14399"/>
    <w:rsid w:val="00A14C46"/>
    <w:rsid w:val="00A15524"/>
    <w:rsid w:val="00A15EE9"/>
    <w:rsid w:val="00A16675"/>
    <w:rsid w:val="00A1724E"/>
    <w:rsid w:val="00A17E5B"/>
    <w:rsid w:val="00A20263"/>
    <w:rsid w:val="00A2168F"/>
    <w:rsid w:val="00A248B1"/>
    <w:rsid w:val="00A26437"/>
    <w:rsid w:val="00A30E4D"/>
    <w:rsid w:val="00A32410"/>
    <w:rsid w:val="00A32B48"/>
    <w:rsid w:val="00A35D6F"/>
    <w:rsid w:val="00A36D00"/>
    <w:rsid w:val="00A42462"/>
    <w:rsid w:val="00A43389"/>
    <w:rsid w:val="00A4642E"/>
    <w:rsid w:val="00A47AF8"/>
    <w:rsid w:val="00A52D75"/>
    <w:rsid w:val="00A53013"/>
    <w:rsid w:val="00A54BD6"/>
    <w:rsid w:val="00A5643A"/>
    <w:rsid w:val="00A57678"/>
    <w:rsid w:val="00A6090C"/>
    <w:rsid w:val="00A6200E"/>
    <w:rsid w:val="00A62D1E"/>
    <w:rsid w:val="00A65C6D"/>
    <w:rsid w:val="00A670C7"/>
    <w:rsid w:val="00A716B9"/>
    <w:rsid w:val="00A720D8"/>
    <w:rsid w:val="00A72216"/>
    <w:rsid w:val="00A733F2"/>
    <w:rsid w:val="00A75705"/>
    <w:rsid w:val="00A75BE1"/>
    <w:rsid w:val="00A8187C"/>
    <w:rsid w:val="00A82C9E"/>
    <w:rsid w:val="00A8324F"/>
    <w:rsid w:val="00A84193"/>
    <w:rsid w:val="00A85142"/>
    <w:rsid w:val="00A875B4"/>
    <w:rsid w:val="00A95B37"/>
    <w:rsid w:val="00A96B6F"/>
    <w:rsid w:val="00AA0CE8"/>
    <w:rsid w:val="00AA35FD"/>
    <w:rsid w:val="00AA3DB7"/>
    <w:rsid w:val="00AA5EF2"/>
    <w:rsid w:val="00AA5F63"/>
    <w:rsid w:val="00AA7EBD"/>
    <w:rsid w:val="00AB0590"/>
    <w:rsid w:val="00AB1112"/>
    <w:rsid w:val="00AB67DE"/>
    <w:rsid w:val="00AB69EF"/>
    <w:rsid w:val="00AC11DC"/>
    <w:rsid w:val="00AC23B0"/>
    <w:rsid w:val="00AC3E87"/>
    <w:rsid w:val="00AC469F"/>
    <w:rsid w:val="00AD0611"/>
    <w:rsid w:val="00AD0E4F"/>
    <w:rsid w:val="00AD26D7"/>
    <w:rsid w:val="00AD3905"/>
    <w:rsid w:val="00AD4555"/>
    <w:rsid w:val="00AD4A31"/>
    <w:rsid w:val="00AD5638"/>
    <w:rsid w:val="00AD7214"/>
    <w:rsid w:val="00AE1066"/>
    <w:rsid w:val="00AE12A4"/>
    <w:rsid w:val="00AE2480"/>
    <w:rsid w:val="00AE2E1B"/>
    <w:rsid w:val="00AE5129"/>
    <w:rsid w:val="00AE5645"/>
    <w:rsid w:val="00AE68BC"/>
    <w:rsid w:val="00AF1D6B"/>
    <w:rsid w:val="00AF24AA"/>
    <w:rsid w:val="00AF3AF9"/>
    <w:rsid w:val="00AF3E5F"/>
    <w:rsid w:val="00AF44C1"/>
    <w:rsid w:val="00AF4F09"/>
    <w:rsid w:val="00AF643E"/>
    <w:rsid w:val="00AF79C8"/>
    <w:rsid w:val="00B00FA8"/>
    <w:rsid w:val="00B011B0"/>
    <w:rsid w:val="00B0391C"/>
    <w:rsid w:val="00B047F6"/>
    <w:rsid w:val="00B06019"/>
    <w:rsid w:val="00B06246"/>
    <w:rsid w:val="00B0700F"/>
    <w:rsid w:val="00B1493B"/>
    <w:rsid w:val="00B15119"/>
    <w:rsid w:val="00B17169"/>
    <w:rsid w:val="00B23996"/>
    <w:rsid w:val="00B23CB2"/>
    <w:rsid w:val="00B249C0"/>
    <w:rsid w:val="00B24A18"/>
    <w:rsid w:val="00B255C5"/>
    <w:rsid w:val="00B25807"/>
    <w:rsid w:val="00B268DD"/>
    <w:rsid w:val="00B32AE1"/>
    <w:rsid w:val="00B35FEC"/>
    <w:rsid w:val="00B37780"/>
    <w:rsid w:val="00B37813"/>
    <w:rsid w:val="00B37EEF"/>
    <w:rsid w:val="00B404F1"/>
    <w:rsid w:val="00B41C1D"/>
    <w:rsid w:val="00B43917"/>
    <w:rsid w:val="00B4515C"/>
    <w:rsid w:val="00B46220"/>
    <w:rsid w:val="00B464EA"/>
    <w:rsid w:val="00B47574"/>
    <w:rsid w:val="00B5430C"/>
    <w:rsid w:val="00B54884"/>
    <w:rsid w:val="00B56A90"/>
    <w:rsid w:val="00B5711C"/>
    <w:rsid w:val="00B57BCF"/>
    <w:rsid w:val="00B57E36"/>
    <w:rsid w:val="00B60209"/>
    <w:rsid w:val="00B606A3"/>
    <w:rsid w:val="00B625CB"/>
    <w:rsid w:val="00B63F2B"/>
    <w:rsid w:val="00B64D3A"/>
    <w:rsid w:val="00B65D6F"/>
    <w:rsid w:val="00B673F3"/>
    <w:rsid w:val="00B67A25"/>
    <w:rsid w:val="00B7354A"/>
    <w:rsid w:val="00B7435B"/>
    <w:rsid w:val="00B74446"/>
    <w:rsid w:val="00B74B59"/>
    <w:rsid w:val="00B75F09"/>
    <w:rsid w:val="00B76BBB"/>
    <w:rsid w:val="00B77142"/>
    <w:rsid w:val="00B8024E"/>
    <w:rsid w:val="00B80C3A"/>
    <w:rsid w:val="00B84643"/>
    <w:rsid w:val="00B90452"/>
    <w:rsid w:val="00B90780"/>
    <w:rsid w:val="00B916D6"/>
    <w:rsid w:val="00B91AD8"/>
    <w:rsid w:val="00B9209B"/>
    <w:rsid w:val="00B9240D"/>
    <w:rsid w:val="00B95753"/>
    <w:rsid w:val="00B97E42"/>
    <w:rsid w:val="00BA0425"/>
    <w:rsid w:val="00BA0C05"/>
    <w:rsid w:val="00BA54D0"/>
    <w:rsid w:val="00BA7E30"/>
    <w:rsid w:val="00BB04BF"/>
    <w:rsid w:val="00BB1013"/>
    <w:rsid w:val="00BB4515"/>
    <w:rsid w:val="00BB7B89"/>
    <w:rsid w:val="00BC1A9B"/>
    <w:rsid w:val="00BC2A22"/>
    <w:rsid w:val="00BC4986"/>
    <w:rsid w:val="00BC5E2E"/>
    <w:rsid w:val="00BC6379"/>
    <w:rsid w:val="00BC6C3E"/>
    <w:rsid w:val="00BC7EEF"/>
    <w:rsid w:val="00BD2308"/>
    <w:rsid w:val="00BD43BB"/>
    <w:rsid w:val="00BD72C1"/>
    <w:rsid w:val="00BD7ADE"/>
    <w:rsid w:val="00BE1A85"/>
    <w:rsid w:val="00BE46ED"/>
    <w:rsid w:val="00BE4FD1"/>
    <w:rsid w:val="00BE642D"/>
    <w:rsid w:val="00BE6D7A"/>
    <w:rsid w:val="00BF07C4"/>
    <w:rsid w:val="00BF2511"/>
    <w:rsid w:val="00BF377F"/>
    <w:rsid w:val="00BF3F88"/>
    <w:rsid w:val="00BF416F"/>
    <w:rsid w:val="00BF57BE"/>
    <w:rsid w:val="00C0042B"/>
    <w:rsid w:val="00C02E58"/>
    <w:rsid w:val="00C030B6"/>
    <w:rsid w:val="00C04B38"/>
    <w:rsid w:val="00C067B7"/>
    <w:rsid w:val="00C10A09"/>
    <w:rsid w:val="00C121BC"/>
    <w:rsid w:val="00C12FA4"/>
    <w:rsid w:val="00C14D92"/>
    <w:rsid w:val="00C16739"/>
    <w:rsid w:val="00C17F3F"/>
    <w:rsid w:val="00C23BA2"/>
    <w:rsid w:val="00C260A2"/>
    <w:rsid w:val="00C30CFF"/>
    <w:rsid w:val="00C30DEC"/>
    <w:rsid w:val="00C31142"/>
    <w:rsid w:val="00C31DEF"/>
    <w:rsid w:val="00C338EB"/>
    <w:rsid w:val="00C35BB7"/>
    <w:rsid w:val="00C36B35"/>
    <w:rsid w:val="00C400CD"/>
    <w:rsid w:val="00C41617"/>
    <w:rsid w:val="00C4309A"/>
    <w:rsid w:val="00C43F23"/>
    <w:rsid w:val="00C43FF1"/>
    <w:rsid w:val="00C45494"/>
    <w:rsid w:val="00C52D18"/>
    <w:rsid w:val="00C559CE"/>
    <w:rsid w:val="00C55E19"/>
    <w:rsid w:val="00C563AD"/>
    <w:rsid w:val="00C563BF"/>
    <w:rsid w:val="00C56EF8"/>
    <w:rsid w:val="00C57512"/>
    <w:rsid w:val="00C57607"/>
    <w:rsid w:val="00C61133"/>
    <w:rsid w:val="00C64009"/>
    <w:rsid w:val="00C7016D"/>
    <w:rsid w:val="00C754C7"/>
    <w:rsid w:val="00C767B3"/>
    <w:rsid w:val="00C76C07"/>
    <w:rsid w:val="00C80F23"/>
    <w:rsid w:val="00C850A3"/>
    <w:rsid w:val="00C87568"/>
    <w:rsid w:val="00C9167A"/>
    <w:rsid w:val="00C92451"/>
    <w:rsid w:val="00C9272C"/>
    <w:rsid w:val="00C97764"/>
    <w:rsid w:val="00C97C9B"/>
    <w:rsid w:val="00CA2211"/>
    <w:rsid w:val="00CA28FE"/>
    <w:rsid w:val="00CA344C"/>
    <w:rsid w:val="00CA7FF7"/>
    <w:rsid w:val="00CB142D"/>
    <w:rsid w:val="00CB29F6"/>
    <w:rsid w:val="00CB2BBF"/>
    <w:rsid w:val="00CB481C"/>
    <w:rsid w:val="00CB4C8C"/>
    <w:rsid w:val="00CB62E1"/>
    <w:rsid w:val="00CB6EFE"/>
    <w:rsid w:val="00CC16F9"/>
    <w:rsid w:val="00CC28A9"/>
    <w:rsid w:val="00CC4183"/>
    <w:rsid w:val="00CC70A4"/>
    <w:rsid w:val="00CC78C7"/>
    <w:rsid w:val="00CD4A0C"/>
    <w:rsid w:val="00CD5CEF"/>
    <w:rsid w:val="00CE06EC"/>
    <w:rsid w:val="00CE592E"/>
    <w:rsid w:val="00CE5BB5"/>
    <w:rsid w:val="00CE5BC5"/>
    <w:rsid w:val="00CF16A4"/>
    <w:rsid w:val="00CF299F"/>
    <w:rsid w:val="00CF3357"/>
    <w:rsid w:val="00CF58DF"/>
    <w:rsid w:val="00D00BC3"/>
    <w:rsid w:val="00D03538"/>
    <w:rsid w:val="00D04410"/>
    <w:rsid w:val="00D05EE7"/>
    <w:rsid w:val="00D06394"/>
    <w:rsid w:val="00D06A9D"/>
    <w:rsid w:val="00D07C15"/>
    <w:rsid w:val="00D11D4F"/>
    <w:rsid w:val="00D13A01"/>
    <w:rsid w:val="00D15733"/>
    <w:rsid w:val="00D20364"/>
    <w:rsid w:val="00D207B2"/>
    <w:rsid w:val="00D2130C"/>
    <w:rsid w:val="00D26746"/>
    <w:rsid w:val="00D26DDD"/>
    <w:rsid w:val="00D27BDC"/>
    <w:rsid w:val="00D3194F"/>
    <w:rsid w:val="00D33751"/>
    <w:rsid w:val="00D36169"/>
    <w:rsid w:val="00D37343"/>
    <w:rsid w:val="00D37495"/>
    <w:rsid w:val="00D41727"/>
    <w:rsid w:val="00D427E4"/>
    <w:rsid w:val="00D45F1B"/>
    <w:rsid w:val="00D477DB"/>
    <w:rsid w:val="00D47A9E"/>
    <w:rsid w:val="00D52289"/>
    <w:rsid w:val="00D55A37"/>
    <w:rsid w:val="00D55B7E"/>
    <w:rsid w:val="00D564C7"/>
    <w:rsid w:val="00D64354"/>
    <w:rsid w:val="00D66685"/>
    <w:rsid w:val="00D70D35"/>
    <w:rsid w:val="00D71351"/>
    <w:rsid w:val="00D71997"/>
    <w:rsid w:val="00D753E9"/>
    <w:rsid w:val="00D777B9"/>
    <w:rsid w:val="00D82273"/>
    <w:rsid w:val="00D82FA5"/>
    <w:rsid w:val="00D84A4B"/>
    <w:rsid w:val="00D84B45"/>
    <w:rsid w:val="00D857AE"/>
    <w:rsid w:val="00D8623D"/>
    <w:rsid w:val="00D867FB"/>
    <w:rsid w:val="00D873C4"/>
    <w:rsid w:val="00D90E11"/>
    <w:rsid w:val="00D9110D"/>
    <w:rsid w:val="00D91124"/>
    <w:rsid w:val="00D91987"/>
    <w:rsid w:val="00D92168"/>
    <w:rsid w:val="00D93426"/>
    <w:rsid w:val="00D94B22"/>
    <w:rsid w:val="00D958D3"/>
    <w:rsid w:val="00D9594F"/>
    <w:rsid w:val="00D97213"/>
    <w:rsid w:val="00DA134E"/>
    <w:rsid w:val="00DA13F3"/>
    <w:rsid w:val="00DA2DE3"/>
    <w:rsid w:val="00DA451D"/>
    <w:rsid w:val="00DA64AF"/>
    <w:rsid w:val="00DB1F4F"/>
    <w:rsid w:val="00DB2AC7"/>
    <w:rsid w:val="00DB704C"/>
    <w:rsid w:val="00DC693B"/>
    <w:rsid w:val="00DC7C77"/>
    <w:rsid w:val="00DD0F5D"/>
    <w:rsid w:val="00DD426D"/>
    <w:rsid w:val="00DD74FC"/>
    <w:rsid w:val="00DE117F"/>
    <w:rsid w:val="00DE1769"/>
    <w:rsid w:val="00DE1A17"/>
    <w:rsid w:val="00DE44C8"/>
    <w:rsid w:val="00DE64CC"/>
    <w:rsid w:val="00DE6AA9"/>
    <w:rsid w:val="00DE7B30"/>
    <w:rsid w:val="00DF0C0B"/>
    <w:rsid w:val="00DF18FE"/>
    <w:rsid w:val="00DF20C7"/>
    <w:rsid w:val="00DF4D0C"/>
    <w:rsid w:val="00DF5C20"/>
    <w:rsid w:val="00DF7D81"/>
    <w:rsid w:val="00E02DEB"/>
    <w:rsid w:val="00E042A1"/>
    <w:rsid w:val="00E0476C"/>
    <w:rsid w:val="00E0576B"/>
    <w:rsid w:val="00E067EA"/>
    <w:rsid w:val="00E06D18"/>
    <w:rsid w:val="00E104FA"/>
    <w:rsid w:val="00E12F1F"/>
    <w:rsid w:val="00E1320D"/>
    <w:rsid w:val="00E139F8"/>
    <w:rsid w:val="00E16022"/>
    <w:rsid w:val="00E1738C"/>
    <w:rsid w:val="00E174FF"/>
    <w:rsid w:val="00E205AA"/>
    <w:rsid w:val="00E22296"/>
    <w:rsid w:val="00E270C6"/>
    <w:rsid w:val="00E27360"/>
    <w:rsid w:val="00E27C04"/>
    <w:rsid w:val="00E27C82"/>
    <w:rsid w:val="00E30713"/>
    <w:rsid w:val="00E30EDF"/>
    <w:rsid w:val="00E312D7"/>
    <w:rsid w:val="00E316AF"/>
    <w:rsid w:val="00E31FBA"/>
    <w:rsid w:val="00E328E2"/>
    <w:rsid w:val="00E336BB"/>
    <w:rsid w:val="00E3384E"/>
    <w:rsid w:val="00E34B63"/>
    <w:rsid w:val="00E374C8"/>
    <w:rsid w:val="00E40156"/>
    <w:rsid w:val="00E4042D"/>
    <w:rsid w:val="00E4135D"/>
    <w:rsid w:val="00E43750"/>
    <w:rsid w:val="00E508EB"/>
    <w:rsid w:val="00E521E3"/>
    <w:rsid w:val="00E53B7A"/>
    <w:rsid w:val="00E550C9"/>
    <w:rsid w:val="00E55405"/>
    <w:rsid w:val="00E5645D"/>
    <w:rsid w:val="00E627A4"/>
    <w:rsid w:val="00E6280E"/>
    <w:rsid w:val="00E62C9C"/>
    <w:rsid w:val="00E630EE"/>
    <w:rsid w:val="00E67A61"/>
    <w:rsid w:val="00E70455"/>
    <w:rsid w:val="00E73221"/>
    <w:rsid w:val="00E7356F"/>
    <w:rsid w:val="00E75116"/>
    <w:rsid w:val="00E763EB"/>
    <w:rsid w:val="00E80A5B"/>
    <w:rsid w:val="00E8153C"/>
    <w:rsid w:val="00E8342F"/>
    <w:rsid w:val="00E84632"/>
    <w:rsid w:val="00E847EE"/>
    <w:rsid w:val="00E85E29"/>
    <w:rsid w:val="00E876F9"/>
    <w:rsid w:val="00E90508"/>
    <w:rsid w:val="00E90B39"/>
    <w:rsid w:val="00E94FFB"/>
    <w:rsid w:val="00E96A72"/>
    <w:rsid w:val="00E96B52"/>
    <w:rsid w:val="00EA01F7"/>
    <w:rsid w:val="00EA083F"/>
    <w:rsid w:val="00EA1D33"/>
    <w:rsid w:val="00EA1F5A"/>
    <w:rsid w:val="00EA375F"/>
    <w:rsid w:val="00EA6415"/>
    <w:rsid w:val="00EA7104"/>
    <w:rsid w:val="00EA7533"/>
    <w:rsid w:val="00EB067F"/>
    <w:rsid w:val="00EB2419"/>
    <w:rsid w:val="00EB45F5"/>
    <w:rsid w:val="00EB58F5"/>
    <w:rsid w:val="00EB6E6B"/>
    <w:rsid w:val="00EC010F"/>
    <w:rsid w:val="00EC224D"/>
    <w:rsid w:val="00EC2E3A"/>
    <w:rsid w:val="00EC3CCB"/>
    <w:rsid w:val="00EC54CD"/>
    <w:rsid w:val="00EC5A74"/>
    <w:rsid w:val="00EC737D"/>
    <w:rsid w:val="00ED2154"/>
    <w:rsid w:val="00ED4277"/>
    <w:rsid w:val="00ED576D"/>
    <w:rsid w:val="00ED7C8C"/>
    <w:rsid w:val="00ED7DDB"/>
    <w:rsid w:val="00ED7FDD"/>
    <w:rsid w:val="00EE0DEA"/>
    <w:rsid w:val="00EE431B"/>
    <w:rsid w:val="00EE4874"/>
    <w:rsid w:val="00EE53E5"/>
    <w:rsid w:val="00EE6654"/>
    <w:rsid w:val="00EE73FB"/>
    <w:rsid w:val="00EE7BF0"/>
    <w:rsid w:val="00EF2674"/>
    <w:rsid w:val="00EF556F"/>
    <w:rsid w:val="00EF7BE0"/>
    <w:rsid w:val="00EF7D07"/>
    <w:rsid w:val="00F016DD"/>
    <w:rsid w:val="00F0181C"/>
    <w:rsid w:val="00F03512"/>
    <w:rsid w:val="00F0433A"/>
    <w:rsid w:val="00F0519B"/>
    <w:rsid w:val="00F059D4"/>
    <w:rsid w:val="00F11783"/>
    <w:rsid w:val="00F119AF"/>
    <w:rsid w:val="00F1480B"/>
    <w:rsid w:val="00F1498D"/>
    <w:rsid w:val="00F20065"/>
    <w:rsid w:val="00F22211"/>
    <w:rsid w:val="00F22341"/>
    <w:rsid w:val="00F22F1D"/>
    <w:rsid w:val="00F22F9F"/>
    <w:rsid w:val="00F24039"/>
    <w:rsid w:val="00F24E0E"/>
    <w:rsid w:val="00F26693"/>
    <w:rsid w:val="00F33991"/>
    <w:rsid w:val="00F3477D"/>
    <w:rsid w:val="00F347FE"/>
    <w:rsid w:val="00F34859"/>
    <w:rsid w:val="00F356F7"/>
    <w:rsid w:val="00F40055"/>
    <w:rsid w:val="00F40868"/>
    <w:rsid w:val="00F44FDE"/>
    <w:rsid w:val="00F4518C"/>
    <w:rsid w:val="00F46467"/>
    <w:rsid w:val="00F4715C"/>
    <w:rsid w:val="00F47FF8"/>
    <w:rsid w:val="00F50707"/>
    <w:rsid w:val="00F529B5"/>
    <w:rsid w:val="00F52AA4"/>
    <w:rsid w:val="00F56162"/>
    <w:rsid w:val="00F56B7E"/>
    <w:rsid w:val="00F6052F"/>
    <w:rsid w:val="00F60F44"/>
    <w:rsid w:val="00F62FDE"/>
    <w:rsid w:val="00F645D2"/>
    <w:rsid w:val="00F654E6"/>
    <w:rsid w:val="00F662CD"/>
    <w:rsid w:val="00F67E39"/>
    <w:rsid w:val="00F703A8"/>
    <w:rsid w:val="00F707F1"/>
    <w:rsid w:val="00F7094A"/>
    <w:rsid w:val="00F710BE"/>
    <w:rsid w:val="00F72579"/>
    <w:rsid w:val="00F804B9"/>
    <w:rsid w:val="00F80AE2"/>
    <w:rsid w:val="00F8265F"/>
    <w:rsid w:val="00F83FF9"/>
    <w:rsid w:val="00F85FCB"/>
    <w:rsid w:val="00F870C3"/>
    <w:rsid w:val="00F91B52"/>
    <w:rsid w:val="00F97478"/>
    <w:rsid w:val="00F97B71"/>
    <w:rsid w:val="00F97B9E"/>
    <w:rsid w:val="00FA0527"/>
    <w:rsid w:val="00FA085E"/>
    <w:rsid w:val="00FA0947"/>
    <w:rsid w:val="00FA2D49"/>
    <w:rsid w:val="00FA472B"/>
    <w:rsid w:val="00FA4B52"/>
    <w:rsid w:val="00FA4D4F"/>
    <w:rsid w:val="00FA4D5B"/>
    <w:rsid w:val="00FA54E8"/>
    <w:rsid w:val="00FA6245"/>
    <w:rsid w:val="00FA786F"/>
    <w:rsid w:val="00FA7D19"/>
    <w:rsid w:val="00FA7EB3"/>
    <w:rsid w:val="00FB058F"/>
    <w:rsid w:val="00FB387C"/>
    <w:rsid w:val="00FB3C94"/>
    <w:rsid w:val="00FB48C1"/>
    <w:rsid w:val="00FB6808"/>
    <w:rsid w:val="00FB6CD0"/>
    <w:rsid w:val="00FB723C"/>
    <w:rsid w:val="00FB72B4"/>
    <w:rsid w:val="00FC0A2D"/>
    <w:rsid w:val="00FC13C8"/>
    <w:rsid w:val="00FC39F9"/>
    <w:rsid w:val="00FC59F8"/>
    <w:rsid w:val="00FC60F6"/>
    <w:rsid w:val="00FC7F43"/>
    <w:rsid w:val="00FD7D41"/>
    <w:rsid w:val="00FE0072"/>
    <w:rsid w:val="00FE0C71"/>
    <w:rsid w:val="00FE1E47"/>
    <w:rsid w:val="00FE275D"/>
    <w:rsid w:val="00FE4F1A"/>
    <w:rsid w:val="00FE65AC"/>
    <w:rsid w:val="00FE7FBD"/>
    <w:rsid w:val="00FF10BC"/>
    <w:rsid w:val="00FF5DCF"/>
    <w:rsid w:val="00FF6ADB"/>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cs="Times New Roman" w:eastAsia="宋体" w:hAnsi="Times New Roman"/>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Normal Indent" w:semiHidden="0" w:uiPriority="0" w:unhideWhenUsed="0"/>
    <w:lsdException w:name="annotation text" w:uiPriority="0"/>
    <w:lsdException w:locked="1" w:name="header" w:semiHidden="0" w:uiPriority="0" w:unhideWhenUsed="0"/>
    <w:lsdException w:locked="1" w:name="caption" w:qFormat="1" w:uiPriority="0"/>
    <w:lsdException w:name="annotation reference"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22" w:unhideWhenUsed="0"/>
    <w:lsdException w:locked="1" w:name="Emphasis" w:qFormat="1" w:semiHidden="0" w:uiPriority="0" w:unhideWhenUsed="0"/>
    <w:lsdException w:locked="1" w:name="Plain Text" w:semiHidden="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6A4828"/>
    <w:pPr>
      <w:widowControl w:val="0"/>
      <w:jc w:val="both"/>
    </w:pPr>
    <w:rPr>
      <w:kern w:val="2"/>
      <w:sz w:val="21"/>
      <w:szCs w:val="24"/>
    </w:rPr>
  </w:style>
  <w:style w:styleId="1" w:type="paragraph">
    <w:name w:val="heading 1"/>
    <w:basedOn w:val="a"/>
    <w:next w:val="a"/>
    <w:link w:val="1Char"/>
    <w:uiPriority w:val="99"/>
    <w:qFormat/>
    <w:rsid w:val="00180952"/>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6A4828"/>
    <w:pPr>
      <w:keepNext/>
      <w:keepLines/>
      <w:spacing w:after="260" w:before="260" w:line="360" w:lineRule="auto"/>
      <w:outlineLvl w:val="1"/>
    </w:pPr>
    <w:rPr>
      <w:rFonts w:ascii="Cambria" w:hAnsi="Cambria"/>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180952"/>
    <w:rPr>
      <w:b/>
      <w:kern w:val="44"/>
      <w:sz w:val="44"/>
    </w:rPr>
  </w:style>
  <w:style w:customStyle="1" w:styleId="2Char" w:type="character">
    <w:name w:val="标题 2 Char"/>
    <w:link w:val="2"/>
    <w:uiPriority w:val="99"/>
    <w:semiHidden/>
    <w:locked/>
    <w:rsid w:val="00AB1112"/>
    <w:rPr>
      <w:rFonts w:ascii="Cambria" w:eastAsia="宋体" w:hAnsi="Cambria"/>
      <w:b/>
      <w:sz w:val="32"/>
    </w:rPr>
  </w:style>
  <w:style w:styleId="a0" w:type="paragraph">
    <w:name w:val="Normal Indent"/>
    <w:basedOn w:val="a"/>
    <w:uiPriority w:val="99"/>
    <w:rsid w:val="006A4828"/>
    <w:pPr>
      <w:ind w:firstLine="420" w:firstLineChars="200"/>
    </w:pPr>
  </w:style>
  <w:style w:styleId="a4" w:type="paragraph">
    <w:name w:val="Body Text Indent"/>
    <w:basedOn w:val="a"/>
    <w:link w:val="Char"/>
    <w:uiPriority w:val="99"/>
    <w:rsid w:val="006A4828"/>
    <w:pPr>
      <w:widowControl/>
      <w:spacing w:after="100" w:afterAutospacing="1" w:before="100" w:beforeAutospacing="1"/>
      <w:jc w:val="left"/>
    </w:pPr>
    <w:rPr>
      <w:kern w:val="0"/>
      <w:sz w:val="24"/>
    </w:rPr>
  </w:style>
  <w:style w:customStyle="1" w:styleId="Char" w:type="character">
    <w:name w:val="正文文本缩进 Char"/>
    <w:link w:val="a4"/>
    <w:uiPriority w:val="99"/>
    <w:semiHidden/>
    <w:locked/>
    <w:rsid w:val="00AB1112"/>
    <w:rPr>
      <w:sz w:val="24"/>
    </w:rPr>
  </w:style>
  <w:style w:styleId="a5" w:type="paragraph">
    <w:name w:val="Plain Text"/>
    <w:basedOn w:val="a"/>
    <w:link w:val="Char0"/>
    <w:uiPriority w:val="99"/>
    <w:rsid w:val="006A4828"/>
    <w:rPr>
      <w:rFonts w:ascii="宋体" w:hAnsi="Courier New"/>
      <w:szCs w:val="21"/>
    </w:rPr>
  </w:style>
  <w:style w:customStyle="1" w:styleId="Char0" w:type="character">
    <w:name w:val="纯文本 Char"/>
    <w:link w:val="a5"/>
    <w:uiPriority w:val="99"/>
    <w:locked/>
    <w:rsid w:val="009A045B"/>
    <w:rPr>
      <w:rFonts w:ascii="宋体" w:hAnsi="Courier New"/>
      <w:kern w:val="2"/>
      <w:sz w:val="21"/>
    </w:rPr>
  </w:style>
  <w:style w:styleId="20" w:type="paragraph">
    <w:name w:val="Body Text Indent 2"/>
    <w:basedOn w:val="a"/>
    <w:link w:val="2Char0"/>
    <w:uiPriority w:val="99"/>
    <w:rsid w:val="006A4828"/>
    <w:pPr>
      <w:spacing w:line="560" w:lineRule="exact"/>
      <w:ind w:firstLine="480" w:firstLineChars="200"/>
    </w:pPr>
    <w:rPr>
      <w:kern w:val="0"/>
      <w:sz w:val="24"/>
    </w:rPr>
  </w:style>
  <w:style w:customStyle="1" w:styleId="2Char0" w:type="character">
    <w:name w:val="正文文本缩进 2 Char"/>
    <w:link w:val="20"/>
    <w:uiPriority w:val="99"/>
    <w:semiHidden/>
    <w:locked/>
    <w:rsid w:val="00AB1112"/>
    <w:rPr>
      <w:sz w:val="24"/>
    </w:rPr>
  </w:style>
  <w:style w:styleId="a6" w:type="paragraph">
    <w:name w:val="footer"/>
    <w:basedOn w:val="a"/>
    <w:link w:val="Char1"/>
    <w:uiPriority w:val="99"/>
    <w:rsid w:val="006A4828"/>
    <w:pPr>
      <w:tabs>
        <w:tab w:pos="4153" w:val="center"/>
        <w:tab w:pos="8306" w:val="right"/>
      </w:tabs>
      <w:snapToGrid w:val="0"/>
      <w:jc w:val="left"/>
    </w:pPr>
    <w:rPr>
      <w:kern w:val="0"/>
      <w:sz w:val="18"/>
      <w:szCs w:val="18"/>
    </w:rPr>
  </w:style>
  <w:style w:customStyle="1" w:styleId="Char1" w:type="character">
    <w:name w:val="页脚 Char"/>
    <w:link w:val="a6"/>
    <w:uiPriority w:val="99"/>
    <w:semiHidden/>
    <w:locked/>
    <w:rsid w:val="00AB1112"/>
    <w:rPr>
      <w:sz w:val="18"/>
    </w:rPr>
  </w:style>
  <w:style w:styleId="a7" w:type="character">
    <w:name w:val="page number"/>
    <w:uiPriority w:val="99"/>
    <w:rsid w:val="006A4828"/>
    <w:rPr>
      <w:rFonts w:cs="Times New Roman"/>
    </w:rPr>
  </w:style>
  <w:style w:styleId="a8" w:type="character">
    <w:name w:val="Hyperlink"/>
    <w:uiPriority w:val="99"/>
    <w:rsid w:val="006A4828"/>
    <w:rPr>
      <w:rFonts w:cs="Times New Roman"/>
      <w:color w:val="0000FF"/>
      <w:u w:val="single"/>
    </w:rPr>
  </w:style>
  <w:style w:styleId="3" w:type="paragraph">
    <w:name w:val="Body Text Indent 3"/>
    <w:basedOn w:val="a"/>
    <w:link w:val="3Char"/>
    <w:uiPriority w:val="99"/>
    <w:rsid w:val="006A4828"/>
    <w:pPr>
      <w:spacing w:line="560" w:lineRule="exact"/>
      <w:ind w:firstLine="420" w:firstLineChars="200"/>
    </w:pPr>
    <w:rPr>
      <w:kern w:val="0"/>
      <w:sz w:val="16"/>
      <w:szCs w:val="16"/>
    </w:rPr>
  </w:style>
  <w:style w:customStyle="1" w:styleId="3Char" w:type="character">
    <w:name w:val="正文文本缩进 3 Char"/>
    <w:link w:val="3"/>
    <w:uiPriority w:val="99"/>
    <w:semiHidden/>
    <w:locked/>
    <w:rsid w:val="00AB1112"/>
    <w:rPr>
      <w:sz w:val="16"/>
    </w:rPr>
  </w:style>
  <w:style w:styleId="a9" w:type="paragraph">
    <w:name w:val="header"/>
    <w:basedOn w:val="a"/>
    <w:link w:val="Char2"/>
    <w:uiPriority w:val="99"/>
    <w:rsid w:val="006A4828"/>
    <w:pPr>
      <w:pBdr>
        <w:bottom w:color="auto" w:space="1" w:sz="6" w:val="single"/>
      </w:pBdr>
      <w:tabs>
        <w:tab w:pos="4153" w:val="center"/>
        <w:tab w:pos="8306" w:val="right"/>
      </w:tabs>
      <w:snapToGrid w:val="0"/>
      <w:jc w:val="center"/>
    </w:pPr>
    <w:rPr>
      <w:sz w:val="18"/>
      <w:szCs w:val="18"/>
    </w:rPr>
  </w:style>
  <w:style w:customStyle="1" w:styleId="Char2" w:type="character">
    <w:name w:val="页眉 Char"/>
    <w:link w:val="a9"/>
    <w:uiPriority w:val="99"/>
    <w:locked/>
    <w:rsid w:val="001207F2"/>
    <w:rPr>
      <w:kern w:val="2"/>
      <w:sz w:val="18"/>
    </w:rPr>
  </w:style>
  <w:style w:customStyle="1" w:styleId="10" w:type="character">
    <w:name w:val="已访问的超链接1"/>
    <w:uiPriority w:val="99"/>
    <w:rsid w:val="006A4828"/>
    <w:rPr>
      <w:color w:val="800080"/>
      <w:u w:val="single"/>
    </w:rPr>
  </w:style>
  <w:style w:styleId="aa" w:type="paragraph">
    <w:name w:val="List"/>
    <w:basedOn w:val="ab"/>
    <w:uiPriority w:val="99"/>
    <w:rsid w:val="006A4828"/>
    <w:pPr>
      <w:spacing w:after="220" w:line="220" w:lineRule="atLeast"/>
      <w:ind w:hanging="360" w:left="1440"/>
    </w:pPr>
    <w:rPr>
      <w:szCs w:val="20"/>
    </w:rPr>
  </w:style>
  <w:style w:styleId="ab" w:type="paragraph">
    <w:name w:val="Body Text"/>
    <w:basedOn w:val="a"/>
    <w:link w:val="Char3"/>
    <w:uiPriority w:val="99"/>
    <w:rsid w:val="006A4828"/>
    <w:pPr>
      <w:spacing w:after="120"/>
    </w:pPr>
    <w:rPr>
      <w:kern w:val="0"/>
      <w:sz w:val="24"/>
    </w:rPr>
  </w:style>
  <w:style w:customStyle="1" w:styleId="Char3" w:type="character">
    <w:name w:val="正文文本 Char"/>
    <w:link w:val="ab"/>
    <w:uiPriority w:val="99"/>
    <w:semiHidden/>
    <w:locked/>
    <w:rsid w:val="00AB1112"/>
    <w:rPr>
      <w:sz w:val="24"/>
    </w:rPr>
  </w:style>
  <w:style w:styleId="ac" w:type="paragraph">
    <w:name w:val="Date"/>
    <w:basedOn w:val="a"/>
    <w:next w:val="a"/>
    <w:link w:val="Char4"/>
    <w:uiPriority w:val="99"/>
    <w:rsid w:val="006A4828"/>
    <w:rPr>
      <w:sz w:val="24"/>
      <w:szCs w:val="20"/>
    </w:rPr>
  </w:style>
  <w:style w:customStyle="1" w:styleId="Char4" w:type="character">
    <w:name w:val="日期 Char"/>
    <w:link w:val="ac"/>
    <w:uiPriority w:val="99"/>
    <w:locked/>
    <w:rsid w:val="00D66685"/>
    <w:rPr>
      <w:kern w:val="2"/>
      <w:sz w:val="24"/>
    </w:rPr>
  </w:style>
  <w:style w:customStyle="1" w:styleId="c1" w:type="character">
    <w:name w:val="c1"/>
    <w:uiPriority w:val="99"/>
    <w:rsid w:val="006A4828"/>
    <w:rPr>
      <w:color w:val="000000"/>
      <w:sz w:val="18"/>
    </w:rPr>
  </w:style>
  <w:style w:styleId="11" w:type="paragraph">
    <w:name w:val="index 1"/>
    <w:basedOn w:val="a"/>
    <w:next w:val="a"/>
    <w:autoRedefine/>
    <w:uiPriority w:val="99"/>
    <w:semiHidden/>
    <w:rsid w:val="006A4828"/>
    <w:pPr>
      <w:jc w:val="right"/>
    </w:pPr>
    <w:rPr>
      <w:color w:val="008000"/>
    </w:rPr>
  </w:style>
  <w:style w:customStyle="1" w:styleId="font5" w:type="paragraph">
    <w:name w:val="font5"/>
    <w:basedOn w:val="a"/>
    <w:uiPriority w:val="99"/>
    <w:rsid w:val="006A4828"/>
    <w:pPr>
      <w:widowControl/>
      <w:spacing w:after="100" w:afterAutospacing="1" w:before="100" w:beforeAutospacing="1"/>
      <w:jc w:val="left"/>
    </w:pPr>
    <w:rPr>
      <w:rFonts w:ascii="宋体" w:cs="Arial Unicode MS" w:hAnsi="宋体"/>
      <w:kern w:val="0"/>
      <w:sz w:val="18"/>
      <w:szCs w:val="18"/>
    </w:rPr>
  </w:style>
  <w:style w:customStyle="1" w:styleId="xl24" w:type="paragraph">
    <w:name w:val="xl24"/>
    <w:basedOn w:val="a"/>
    <w:uiPriority w:val="99"/>
    <w:rsid w:val="006A4828"/>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rPr>
  </w:style>
  <w:style w:customStyle="1" w:styleId="xl26" w:type="paragraph">
    <w:name w:val="xl2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7" w:type="paragraph">
    <w:name w:val="xl2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29" w:type="paragraph">
    <w:name w:val="xl29"/>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0" w:type="paragraph">
    <w:name w:val="xl30"/>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rPr>
  </w:style>
  <w:style w:customStyle="1" w:styleId="xl31" w:type="paragraph">
    <w:name w:val="xl31"/>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6A4828"/>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6A4828"/>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6A4828"/>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d" w:type="paragraph">
    <w:name w:val="Balloon Text"/>
    <w:basedOn w:val="a"/>
    <w:link w:val="Char5"/>
    <w:uiPriority w:val="99"/>
    <w:semiHidden/>
    <w:rsid w:val="006A4828"/>
    <w:rPr>
      <w:kern w:val="0"/>
      <w:sz w:val="2"/>
      <w:szCs w:val="20"/>
    </w:rPr>
  </w:style>
  <w:style w:customStyle="1" w:styleId="Char5" w:type="character">
    <w:name w:val="批注框文本 Char"/>
    <w:link w:val="ad"/>
    <w:uiPriority w:val="99"/>
    <w:semiHidden/>
    <w:locked/>
    <w:rsid w:val="00AB1112"/>
    <w:rPr>
      <w:sz w:val="2"/>
    </w:rPr>
  </w:style>
  <w:style w:styleId="ae" w:type="character">
    <w:name w:val="annotation reference"/>
    <w:semiHidden/>
    <w:rsid w:val="006A4828"/>
    <w:rPr>
      <w:rFonts w:cs="Times New Roman"/>
      <w:sz w:val="21"/>
    </w:rPr>
  </w:style>
  <w:style w:styleId="af" w:type="paragraph">
    <w:name w:val="annotation text"/>
    <w:basedOn w:val="a"/>
    <w:link w:val="Char6"/>
    <w:semiHidden/>
    <w:rsid w:val="006A4828"/>
    <w:pPr>
      <w:jc w:val="left"/>
    </w:pPr>
    <w:rPr>
      <w:kern w:val="0"/>
      <w:sz w:val="24"/>
    </w:rPr>
  </w:style>
  <w:style w:customStyle="1" w:styleId="Char6" w:type="character">
    <w:name w:val="批注文字 Char"/>
    <w:link w:val="af"/>
    <w:uiPriority w:val="99"/>
    <w:semiHidden/>
    <w:locked/>
    <w:rsid w:val="00AB1112"/>
    <w:rPr>
      <w:sz w:val="24"/>
    </w:rPr>
  </w:style>
  <w:style w:styleId="af0" w:type="paragraph">
    <w:name w:val="annotation subject"/>
    <w:basedOn w:val="af"/>
    <w:next w:val="af"/>
    <w:link w:val="Char7"/>
    <w:uiPriority w:val="99"/>
    <w:semiHidden/>
    <w:rsid w:val="006A4828"/>
    <w:rPr>
      <w:b/>
      <w:bCs/>
    </w:rPr>
  </w:style>
  <w:style w:customStyle="1" w:styleId="Char7" w:type="character">
    <w:name w:val="批注主题 Char"/>
    <w:link w:val="af0"/>
    <w:uiPriority w:val="99"/>
    <w:semiHidden/>
    <w:locked/>
    <w:rsid w:val="00AB1112"/>
    <w:rPr>
      <w:b/>
      <w:sz w:val="24"/>
    </w:rPr>
  </w:style>
  <w:style w:customStyle="1" w:styleId="Char8" w:type="paragraph">
    <w:name w:val="Char"/>
    <w:basedOn w:val="a"/>
    <w:uiPriority w:val="99"/>
    <w:rsid w:val="006A4828"/>
  </w:style>
  <w:style w:styleId="af1" w:type="paragraph">
    <w:name w:val="Document Map"/>
    <w:basedOn w:val="a"/>
    <w:link w:val="Char9"/>
    <w:uiPriority w:val="99"/>
    <w:semiHidden/>
    <w:rsid w:val="000A549A"/>
    <w:pPr>
      <w:shd w:color="auto" w:fill="000080" w:val="clear"/>
    </w:pPr>
    <w:rPr>
      <w:kern w:val="0"/>
      <w:sz w:val="2"/>
      <w:szCs w:val="20"/>
    </w:rPr>
  </w:style>
  <w:style w:customStyle="1" w:styleId="Char9" w:type="character">
    <w:name w:val="文档结构图 Char"/>
    <w:link w:val="af1"/>
    <w:uiPriority w:val="99"/>
    <w:semiHidden/>
    <w:locked/>
    <w:rsid w:val="00AB1112"/>
    <w:rPr>
      <w:sz w:val="2"/>
    </w:rPr>
  </w:style>
  <w:style w:styleId="af2" w:type="table">
    <w:name w:val="Table Grid"/>
    <w:basedOn w:val="a2"/>
    <w:qFormat/>
    <w:rsid w:val="009A31AF"/>
    <w:pPr>
      <w:widowControl w:val="0"/>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af3" w:type="paragraph">
    <w:name w:val="footnote text"/>
    <w:basedOn w:val="a"/>
    <w:link w:val="Chara"/>
    <w:uiPriority w:val="99"/>
    <w:rsid w:val="000B251E"/>
    <w:pPr>
      <w:snapToGrid w:val="0"/>
      <w:jc w:val="left"/>
    </w:pPr>
    <w:rPr>
      <w:sz w:val="18"/>
      <w:szCs w:val="18"/>
    </w:rPr>
  </w:style>
  <w:style w:customStyle="1" w:styleId="Chara" w:type="character">
    <w:name w:val="脚注文本 Char"/>
    <w:link w:val="af3"/>
    <w:uiPriority w:val="99"/>
    <w:locked/>
    <w:rsid w:val="00CB481C"/>
    <w:rPr>
      <w:kern w:val="2"/>
      <w:sz w:val="18"/>
    </w:rPr>
  </w:style>
  <w:style w:styleId="af4" w:type="character">
    <w:name w:val="footnote reference"/>
    <w:uiPriority w:val="99"/>
    <w:rsid w:val="000B251E"/>
    <w:rPr>
      <w:rFonts w:cs="Times New Roman"/>
      <w:vertAlign w:val="superscript"/>
    </w:rPr>
  </w:style>
  <w:style w:styleId="af5" w:type="paragraph">
    <w:name w:val="Normal (Web)"/>
    <w:basedOn w:val="a"/>
    <w:uiPriority w:val="99"/>
    <w:rsid w:val="00B25807"/>
    <w:pPr>
      <w:widowControl/>
      <w:spacing w:after="100" w:afterAutospacing="1" w:before="100" w:beforeAutospacing="1"/>
      <w:jc w:val="left"/>
    </w:pPr>
    <w:rPr>
      <w:rFonts w:ascii="宋体" w:hAnsi="宋体"/>
      <w:kern w:val="0"/>
      <w:sz w:val="24"/>
    </w:rPr>
  </w:style>
  <w:style w:customStyle="1" w:styleId="Char10" w:type="paragraph">
    <w:name w:val="Char1"/>
    <w:basedOn w:val="a"/>
    <w:uiPriority w:val="99"/>
    <w:rsid w:val="00D97213"/>
  </w:style>
  <w:style w:customStyle="1" w:styleId="t1" w:type="character">
    <w:name w:val="t1"/>
    <w:uiPriority w:val="99"/>
    <w:rsid w:val="002D2A00"/>
    <w:rPr>
      <w:color w:val="990000"/>
    </w:rPr>
  </w:style>
  <w:style w:customStyle="1" w:styleId="Default" w:type="paragraph">
    <w:name w:val="Default"/>
    <w:uiPriority w:val="99"/>
    <w:rsid w:val="00CB481C"/>
    <w:pPr>
      <w:widowControl w:val="0"/>
      <w:autoSpaceDE w:val="0"/>
      <w:autoSpaceDN w:val="0"/>
      <w:adjustRightInd w:val="0"/>
    </w:pPr>
    <w:rPr>
      <w:rFonts w:ascii="FangSong" w:cs="FangSong" w:hAnsi="FangSong"/>
      <w:color w:val="000000"/>
      <w:sz w:val="24"/>
      <w:szCs w:val="24"/>
    </w:rPr>
  </w:style>
  <w:style w:customStyle="1" w:styleId="5" w:type="numbering">
    <w:name w:val="样式5"/>
    <w:rsid w:val="00C00FED"/>
    <w:pPr>
      <w:numPr>
        <w:numId w:val="8"/>
      </w:numPr>
    </w:pPr>
  </w:style>
  <w:style w:styleId="af6" w:type="character">
    <w:name w:val="Strong"/>
    <w:uiPriority w:val="22"/>
    <w:qFormat/>
    <w:locked/>
    <w:rsid w:val="00AE248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1Char">
    <w:name w:val="5"/>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021212">
      <w:bodyDiv w:val="1"/>
      <w:marLeft w:val="0"/>
      <w:marRight w:val="0"/>
      <w:marTop w:val="0"/>
      <w:marBottom w:val="0"/>
      <w:divBdr>
        <w:top w:val="none" w:sz="0" w:space="0" w:color="auto"/>
        <w:left w:val="none" w:sz="0" w:space="0" w:color="auto"/>
        <w:bottom w:val="none" w:sz="0" w:space="0" w:color="auto"/>
        <w:right w:val="none" w:sz="0" w:space="0" w:color="auto"/>
      </w:divBdr>
    </w:div>
    <w:div w:id="888423083">
      <w:marLeft w:val="0"/>
      <w:marRight w:val="0"/>
      <w:marTop w:val="0"/>
      <w:marBottom w:val="0"/>
      <w:divBdr>
        <w:top w:val="none" w:sz="0" w:space="0" w:color="auto"/>
        <w:left w:val="none" w:sz="0" w:space="0" w:color="auto"/>
        <w:bottom w:val="none" w:sz="0" w:space="0" w:color="auto"/>
        <w:right w:val="none" w:sz="0" w:space="0" w:color="auto"/>
      </w:divBdr>
    </w:div>
    <w:div w:id="888423084">
      <w:marLeft w:val="0"/>
      <w:marRight w:val="0"/>
      <w:marTop w:val="0"/>
      <w:marBottom w:val="0"/>
      <w:divBdr>
        <w:top w:val="none" w:sz="0" w:space="0" w:color="auto"/>
        <w:left w:val="none" w:sz="0" w:space="0" w:color="auto"/>
        <w:bottom w:val="none" w:sz="0" w:space="0" w:color="auto"/>
        <w:right w:val="none" w:sz="0" w:space="0" w:color="auto"/>
      </w:divBdr>
    </w:div>
    <w:div w:id="888423085">
      <w:marLeft w:val="0"/>
      <w:marRight w:val="0"/>
      <w:marTop w:val="0"/>
      <w:marBottom w:val="0"/>
      <w:divBdr>
        <w:top w:val="none" w:sz="0" w:space="0" w:color="auto"/>
        <w:left w:val="none" w:sz="0" w:space="0" w:color="auto"/>
        <w:bottom w:val="none" w:sz="0" w:space="0" w:color="auto"/>
        <w:right w:val="none" w:sz="0" w:space="0" w:color="auto"/>
      </w:divBdr>
    </w:div>
    <w:div w:id="888423086">
      <w:marLeft w:val="0"/>
      <w:marRight w:val="0"/>
      <w:marTop w:val="0"/>
      <w:marBottom w:val="0"/>
      <w:divBdr>
        <w:top w:val="none" w:sz="0" w:space="0" w:color="auto"/>
        <w:left w:val="none" w:sz="0" w:space="0" w:color="auto"/>
        <w:bottom w:val="none" w:sz="0" w:space="0" w:color="auto"/>
        <w:right w:val="none" w:sz="0" w:space="0" w:color="auto"/>
      </w:divBdr>
    </w:div>
    <w:div w:id="888423087">
      <w:marLeft w:val="0"/>
      <w:marRight w:val="0"/>
      <w:marTop w:val="0"/>
      <w:marBottom w:val="0"/>
      <w:divBdr>
        <w:top w:val="none" w:sz="0" w:space="0" w:color="auto"/>
        <w:left w:val="none" w:sz="0" w:space="0" w:color="auto"/>
        <w:bottom w:val="none" w:sz="0" w:space="0" w:color="auto"/>
        <w:right w:val="none" w:sz="0" w:space="0" w:color="auto"/>
      </w:divBdr>
    </w:div>
    <w:div w:id="888423088">
      <w:marLeft w:val="0"/>
      <w:marRight w:val="0"/>
      <w:marTop w:val="0"/>
      <w:marBottom w:val="0"/>
      <w:divBdr>
        <w:top w:val="none" w:sz="0" w:space="0" w:color="auto"/>
        <w:left w:val="none" w:sz="0" w:space="0" w:color="auto"/>
        <w:bottom w:val="none" w:sz="0" w:space="0" w:color="auto"/>
        <w:right w:val="none" w:sz="0" w:space="0" w:color="auto"/>
      </w:divBdr>
    </w:div>
    <w:div w:id="888423089">
      <w:marLeft w:val="0"/>
      <w:marRight w:val="0"/>
      <w:marTop w:val="0"/>
      <w:marBottom w:val="0"/>
      <w:divBdr>
        <w:top w:val="none" w:sz="0" w:space="0" w:color="auto"/>
        <w:left w:val="none" w:sz="0" w:space="0" w:color="auto"/>
        <w:bottom w:val="none" w:sz="0" w:space="0" w:color="auto"/>
        <w:right w:val="none" w:sz="0" w:space="0" w:color="auto"/>
      </w:divBdr>
    </w:div>
    <w:div w:id="888423090">
      <w:marLeft w:val="0"/>
      <w:marRight w:val="0"/>
      <w:marTop w:val="0"/>
      <w:marBottom w:val="0"/>
      <w:divBdr>
        <w:top w:val="none" w:sz="0" w:space="0" w:color="auto"/>
        <w:left w:val="none" w:sz="0" w:space="0" w:color="auto"/>
        <w:bottom w:val="none" w:sz="0" w:space="0" w:color="auto"/>
        <w:right w:val="none" w:sz="0" w:space="0" w:color="auto"/>
      </w:divBdr>
    </w:div>
    <w:div w:id="888423091">
      <w:marLeft w:val="0"/>
      <w:marRight w:val="0"/>
      <w:marTop w:val="0"/>
      <w:marBottom w:val="0"/>
      <w:divBdr>
        <w:top w:val="none" w:sz="0" w:space="0" w:color="auto"/>
        <w:left w:val="none" w:sz="0" w:space="0" w:color="auto"/>
        <w:bottom w:val="none" w:sz="0" w:space="0" w:color="auto"/>
        <w:right w:val="none" w:sz="0" w:space="0" w:color="auto"/>
      </w:divBdr>
    </w:div>
    <w:div w:id="888423092">
      <w:marLeft w:val="0"/>
      <w:marRight w:val="0"/>
      <w:marTop w:val="0"/>
      <w:marBottom w:val="0"/>
      <w:divBdr>
        <w:top w:val="none" w:sz="0" w:space="0" w:color="auto"/>
        <w:left w:val="none" w:sz="0" w:space="0" w:color="auto"/>
        <w:bottom w:val="none" w:sz="0" w:space="0" w:color="auto"/>
        <w:right w:val="none" w:sz="0" w:space="0" w:color="auto"/>
      </w:divBdr>
    </w:div>
    <w:div w:id="888423093">
      <w:marLeft w:val="0"/>
      <w:marRight w:val="0"/>
      <w:marTop w:val="0"/>
      <w:marBottom w:val="0"/>
      <w:divBdr>
        <w:top w:val="none" w:sz="0" w:space="0" w:color="auto"/>
        <w:left w:val="none" w:sz="0" w:space="0" w:color="auto"/>
        <w:bottom w:val="none" w:sz="0" w:space="0" w:color="auto"/>
        <w:right w:val="none" w:sz="0" w:space="0" w:color="auto"/>
      </w:divBdr>
    </w:div>
    <w:div w:id="888423095">
      <w:marLeft w:val="0"/>
      <w:marRight w:val="0"/>
      <w:marTop w:val="0"/>
      <w:marBottom w:val="0"/>
      <w:divBdr>
        <w:top w:val="none" w:sz="0" w:space="0" w:color="auto"/>
        <w:left w:val="none" w:sz="0" w:space="0" w:color="auto"/>
        <w:bottom w:val="none" w:sz="0" w:space="0" w:color="auto"/>
        <w:right w:val="none" w:sz="0" w:space="0" w:color="auto"/>
      </w:divBdr>
    </w:div>
    <w:div w:id="888423096">
      <w:marLeft w:val="0"/>
      <w:marRight w:val="0"/>
      <w:marTop w:val="0"/>
      <w:marBottom w:val="0"/>
      <w:divBdr>
        <w:top w:val="none" w:sz="0" w:space="0" w:color="auto"/>
        <w:left w:val="none" w:sz="0" w:space="0" w:color="auto"/>
        <w:bottom w:val="none" w:sz="0" w:space="0" w:color="auto"/>
        <w:right w:val="none" w:sz="0" w:space="0" w:color="auto"/>
      </w:divBdr>
    </w:div>
    <w:div w:id="888423097">
      <w:marLeft w:val="0"/>
      <w:marRight w:val="0"/>
      <w:marTop w:val="0"/>
      <w:marBottom w:val="0"/>
      <w:divBdr>
        <w:top w:val="none" w:sz="0" w:space="0" w:color="auto"/>
        <w:left w:val="none" w:sz="0" w:space="0" w:color="auto"/>
        <w:bottom w:val="none" w:sz="0" w:space="0" w:color="auto"/>
        <w:right w:val="none" w:sz="0" w:space="0" w:color="auto"/>
      </w:divBdr>
    </w:div>
    <w:div w:id="888423098">
      <w:marLeft w:val="0"/>
      <w:marRight w:val="0"/>
      <w:marTop w:val="0"/>
      <w:marBottom w:val="0"/>
      <w:divBdr>
        <w:top w:val="none" w:sz="0" w:space="0" w:color="auto"/>
        <w:left w:val="none" w:sz="0" w:space="0" w:color="auto"/>
        <w:bottom w:val="none" w:sz="0" w:space="0" w:color="auto"/>
        <w:right w:val="none" w:sz="0" w:space="0" w:color="auto"/>
      </w:divBdr>
    </w:div>
    <w:div w:id="888423099">
      <w:marLeft w:val="0"/>
      <w:marRight w:val="0"/>
      <w:marTop w:val="0"/>
      <w:marBottom w:val="0"/>
      <w:divBdr>
        <w:top w:val="none" w:sz="0" w:space="0" w:color="auto"/>
        <w:left w:val="none" w:sz="0" w:space="0" w:color="auto"/>
        <w:bottom w:val="none" w:sz="0" w:space="0" w:color="auto"/>
        <w:right w:val="none" w:sz="0" w:space="0" w:color="auto"/>
      </w:divBdr>
    </w:div>
    <w:div w:id="888423100">
      <w:marLeft w:val="150"/>
      <w:marRight w:val="150"/>
      <w:marTop w:val="150"/>
      <w:marBottom w:val="150"/>
      <w:divBdr>
        <w:top w:val="none" w:sz="0" w:space="0" w:color="auto"/>
        <w:left w:val="none" w:sz="0" w:space="0" w:color="auto"/>
        <w:bottom w:val="none" w:sz="0" w:space="0" w:color="auto"/>
        <w:right w:val="none" w:sz="0" w:space="0" w:color="auto"/>
      </w:divBdr>
      <w:divsChild>
        <w:div w:id="888423094">
          <w:marLeft w:val="0"/>
          <w:marRight w:val="0"/>
          <w:marTop w:val="0"/>
          <w:marBottom w:val="0"/>
          <w:divBdr>
            <w:top w:val="none" w:sz="0" w:space="0" w:color="auto"/>
            <w:left w:val="none" w:sz="0" w:space="0" w:color="auto"/>
            <w:bottom w:val="none" w:sz="0" w:space="0" w:color="auto"/>
            <w:right w:val="none" w:sz="0" w:space="0" w:color="auto"/>
          </w:divBdr>
        </w:div>
      </w:divsChild>
    </w:div>
    <w:div w:id="1691950885">
      <w:bodyDiv w:val="1"/>
      <w:marLeft w:val="0"/>
      <w:marRight w:val="0"/>
      <w:marTop w:val="0"/>
      <w:marBottom w:val="0"/>
      <w:divBdr>
        <w:top w:val="none" w:sz="0" w:space="0" w:color="auto"/>
        <w:left w:val="none" w:sz="0" w:space="0" w:color="auto"/>
        <w:bottom w:val="none" w:sz="0" w:space="0" w:color="auto"/>
        <w:right w:val="none" w:sz="0" w:space="0" w:color="auto"/>
      </w:divBdr>
    </w:div>
    <w:div w:id="1704014345">
      <w:bodyDiv w:val="1"/>
      <w:marLeft w:val="0"/>
      <w:marRight w:val="0"/>
      <w:marTop w:val="0"/>
      <w:marBottom w:val="0"/>
      <w:divBdr>
        <w:top w:val="none" w:sz="0" w:space="0" w:color="auto"/>
        <w:left w:val="none" w:sz="0" w:space="0" w:color="auto"/>
        <w:bottom w:val="none" w:sz="0" w:space="0" w:color="auto"/>
        <w:right w:val="none" w:sz="0" w:space="0" w:color="auto"/>
      </w:divBdr>
    </w:div>
    <w:div w:id="1712071077">
      <w:bodyDiv w:val="1"/>
      <w:marLeft w:val="0"/>
      <w:marRight w:val="0"/>
      <w:marTop w:val="0"/>
      <w:marBottom w:val="0"/>
      <w:divBdr>
        <w:top w:val="none" w:sz="0" w:space="0" w:color="auto"/>
        <w:left w:val="none" w:sz="0" w:space="0" w:color="auto"/>
        <w:bottom w:val="none" w:sz="0" w:space="0" w:color="auto"/>
        <w:right w:val="none" w:sz="0" w:space="0" w:color="auto"/>
      </w:divBdr>
    </w:div>
    <w:div w:id="179405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media/image1.jpeg" Type="http://schemas.openxmlformats.org/officeDocument/2006/relationships/image"/>
<Relationship Id="rId11" Target="media/image2.jpeg" Type="http://schemas.openxmlformats.org/officeDocument/2006/relationships/image"/>
<Relationship Id="rId12" Target="footer2.xml" Type="http://schemas.openxmlformats.org/officeDocument/2006/relationships/footer"/>
<Relationship Id="rId13" Target="footer3.xml" Type="http://schemas.openxmlformats.org/officeDocument/2006/relationships/footer"/>
<Relationship Id="rId14" Target="fontTable.xml" Type="http://schemas.openxmlformats.org/officeDocument/2006/relationships/fontTable"/>
<Relationship Id="rId15" Target="theme/theme1.xml" Type="http://schemas.openxmlformats.org/officeDocument/2006/relationships/theme"/>
<Relationship Id="rId2" Target="styles.xml" Type="http://schemas.openxmlformats.org/officeDocument/2006/relationships/styles"/>
<Relationship Id="rId3" Target="stylesWithEffects.xml" Type="http://schemas.microsoft.com/office/2007/relationships/stylesWithEffect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settings.xml.rels><?xml version="1.0" encoding="UTF-8" standalone="no"?>
<Relationships xmlns="http://schemas.openxmlformats.org/package/2006/relationships">
<Relationship Id="rId1" Target="file:///C:/Users/Administrator/Desktop/abc&#23395;&#25253;.dot" TargetMode="External" Type="http://schemas.openxmlformats.org/officeDocument/2006/relationships/attachedTemplat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abc季报.dot</Template>
  <TotalTime>407</TotalTime>
  <Pages>29</Pages>
  <Words>4352</Words>
  <Characters>24809</Characters>
  <Application>Microsoft Office Word</Application>
  <DocSecurity>0</DocSecurity>
  <Lines>206</Lines>
  <Paragraphs>58</Paragraphs>
  <ScaleCrop>false</ScaleCrop>
  <Company>TRT. Ltd. Co.</Company>
  <LinksUpToDate>false</LinksUpToDate>
  <CharactersWithSpaces>29103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2013-06-21T06:56:00Z</dcterms:created>
  <dc:creator>bonnieliu</dc:creator>
  <cp:lastModifiedBy>swinghan</cp:lastModifiedBy>
  <cp:lastPrinted>2007-07-19T00:46:00Z</cp:lastPrinted>
  <dcterms:modified xsi:type="dcterms:W3CDTF">2020-06-21T03:01:00Z</dcterms:modified>
  <cp:revision>173</cp:revision>
</cp:coreProperties>
</file>