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易方达大健康主题灵活配置混合型证券投资基金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中国建设银行股份有限公司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易方达大健康主题混合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001898</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001898</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2017年9月27日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395,495,259.69</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本基金主要投资于与大健康主题相关的资产，在严格控制风险的前提下，追求超越业绩比较基准的投资回报。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基于定量与定性相结合的宏观及市场分析，考虑宏观经济走势和市场估值与流动性进行资产配置。股票投资方面，本基金界定的“大健康”范畴涉及各类与大健康相关的信息、产品和服务，本基金将综合考虑行业景气度及可持续性、行业竞争格局、政策变化等因素，注重公司基本面评价及估值水平分析，对股票组合适时进行调整。在债券投资方面，本基金将主要通过类属配置与券种选择两个层次进行投资管理。</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65%×中证800 指数收益率＋35%×一年期人民币定期存款利率（税后）</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本基金为混合型基金，理论上其预期风险与预期收益水平低于股票型基金，高于债券型基金和货币市场基金。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中国建设银行股份有限公司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28,848,796.76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157,853,585.71</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0.4032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702,228,094.61</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1.776</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29.45%</w:t>
            </w:r>
          </w:p>
        </w:tc>
        <w:tc>
          <w:tcPr>
            <w:vAlign w:val="center"/>
          </w:tcPr>
          <w:p>
            <w:pPr>
              <w:jc w:val="center"/>
            </w:pPr>
            <w:r>
              <w:rPr>
                <w:color w:val="000000"/>
                <w:kern w:val="0"/>
                <w:sz w:val="24"/>
                <w:szCs w:val="24"/>
              </w:rPr>
              <w:t>1.12%</w:t>
            </w:r>
          </w:p>
        </w:tc>
        <w:tc>
          <w:tcPr>
            <w:vAlign w:val="center"/>
          </w:tcPr>
          <w:p>
            <w:pPr>
              <w:jc w:val="center"/>
            </w:pPr>
            <w:r>
              <w:rPr>
                <w:color w:val="000000"/>
                <w:kern w:val="0"/>
                <w:sz w:val="24"/>
                <w:szCs w:val="24"/>
              </w:rPr>
              <w:t>8.97%</w:t>
            </w:r>
          </w:p>
        </w:tc>
        <w:tc>
          <w:tcPr>
            <w:vAlign w:val="center"/>
          </w:tcPr>
          <w:p>
            <w:pPr>
              <w:jc w:val="center"/>
            </w:pPr>
            <w:r>
              <w:rPr>
                <w:color w:val="000000"/>
                <w:kern w:val="0"/>
                <w:sz w:val="24"/>
                <w:szCs w:val="24"/>
              </w:rPr>
              <w:t>0.60%</w:t>
            </w:r>
          </w:p>
        </w:tc>
        <w:tc>
          <w:tcPr>
            <w:vAlign w:val="center"/>
          </w:tcPr>
          <w:p>
            <w:pPr>
              <w:jc w:val="center"/>
            </w:pPr>
            <w:r>
              <w:rPr>
                <w:color w:val="000000"/>
                <w:kern w:val="0"/>
                <w:sz w:val="24"/>
                <w:szCs w:val="24"/>
              </w:rPr>
              <w:t>20.48%</w:t>
            </w:r>
          </w:p>
        </w:tc>
        <w:tc>
          <w:tcPr>
            <w:vAlign w:val="center"/>
          </w:tcPr>
          <w:p>
            <w:pPr>
              <w:jc w:val="center"/>
            </w:pPr>
            <w:r>
              <w:rPr>
                <w:color w:val="000000"/>
                <w:kern w:val="0"/>
                <w:sz w:val="24"/>
                <w:szCs w:val="24"/>
              </w:rPr>
              <w:t>0.52%</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27.13%</w:t>
            </w:r>
          </w:p>
        </w:tc>
        <w:tc>
          <w:tcPr>
            <w:vAlign w:val="center"/>
          </w:tcPr>
          <w:p>
            <w:pPr>
              <w:jc w:val="center"/>
            </w:pPr>
            <w:r>
              <w:rPr>
                <w:color w:val="000000"/>
                <w:kern w:val="0"/>
                <w:sz w:val="24"/>
                <w:szCs w:val="24"/>
              </w:rPr>
              <w:t>1.53%</w:t>
            </w:r>
          </w:p>
        </w:tc>
        <w:tc>
          <w:tcPr>
            <w:vAlign w:val="center"/>
          </w:tcPr>
          <w:p>
            <w:pPr>
              <w:jc w:val="center"/>
            </w:pPr>
            <w:r>
              <w:rPr>
                <w:color w:val="000000"/>
                <w:kern w:val="0"/>
                <w:sz w:val="24"/>
                <w:szCs w:val="24"/>
              </w:rPr>
              <w:t>3.16%</w:t>
            </w:r>
          </w:p>
        </w:tc>
        <w:tc>
          <w:tcPr>
            <w:vAlign w:val="center"/>
          </w:tcPr>
          <w:p>
            <w:pPr>
              <w:jc w:val="center"/>
            </w:pPr>
            <w:r>
              <w:rPr>
                <w:color w:val="000000"/>
                <w:kern w:val="0"/>
                <w:sz w:val="24"/>
                <w:szCs w:val="24"/>
              </w:rPr>
              <w:t>1.01%</w:t>
            </w:r>
          </w:p>
        </w:tc>
        <w:tc>
          <w:tcPr>
            <w:vAlign w:val="center"/>
          </w:tcPr>
          <w:p>
            <w:pPr>
              <w:jc w:val="center"/>
            </w:pPr>
            <w:r>
              <w:rPr>
                <w:color w:val="000000"/>
                <w:kern w:val="0"/>
                <w:sz w:val="24"/>
                <w:szCs w:val="24"/>
              </w:rPr>
              <w:t>23.97%</w:t>
            </w:r>
          </w:p>
        </w:tc>
        <w:tc>
          <w:tcPr>
            <w:vAlign w:val="center"/>
          </w:tcPr>
          <w:p>
            <w:pPr>
              <w:jc w:val="center"/>
            </w:pPr>
            <w:r>
              <w:rPr>
                <w:color w:val="000000"/>
                <w:kern w:val="0"/>
                <w:sz w:val="24"/>
                <w:szCs w:val="24"/>
              </w:rPr>
              <w:t>0.52%</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48.62%</w:t>
            </w:r>
          </w:p>
        </w:tc>
        <w:tc>
          <w:tcPr>
            <w:vAlign w:val="center"/>
          </w:tcPr>
          <w:p>
            <w:pPr>
              <w:jc w:val="center"/>
            </w:pPr>
            <w:r>
              <w:rPr>
                <w:color w:val="000000"/>
                <w:kern w:val="0"/>
                <w:sz w:val="24"/>
                <w:szCs w:val="24"/>
              </w:rPr>
              <w:t>1.28%</w:t>
            </w:r>
          </w:p>
        </w:tc>
        <w:tc>
          <w:tcPr>
            <w:vAlign w:val="center"/>
          </w:tcPr>
          <w:p>
            <w:pPr>
              <w:jc w:val="center"/>
            </w:pPr>
            <w:r>
              <w:rPr>
                <w:color w:val="000000"/>
                <w:kern w:val="0"/>
                <w:sz w:val="24"/>
                <w:szCs w:val="24"/>
              </w:rPr>
              <w:t>8.16%</w:t>
            </w:r>
          </w:p>
        </w:tc>
        <w:tc>
          <w:tcPr>
            <w:vAlign w:val="center"/>
          </w:tcPr>
          <w:p>
            <w:pPr>
              <w:jc w:val="center"/>
            </w:pPr>
            <w:r>
              <w:rPr>
                <w:color w:val="000000"/>
                <w:kern w:val="0"/>
                <w:sz w:val="24"/>
                <w:szCs w:val="24"/>
              </w:rPr>
              <w:t>0.81%</w:t>
            </w:r>
          </w:p>
        </w:tc>
        <w:tc>
          <w:tcPr>
            <w:vAlign w:val="center"/>
          </w:tcPr>
          <w:p>
            <w:pPr>
              <w:jc w:val="center"/>
            </w:pPr>
            <w:r>
              <w:rPr>
                <w:color w:val="000000"/>
                <w:kern w:val="0"/>
                <w:sz w:val="24"/>
                <w:szCs w:val="24"/>
              </w:rPr>
              <w:t>40.46%</w:t>
            </w:r>
          </w:p>
        </w:tc>
        <w:tc>
          <w:tcPr>
            <w:vAlign w:val="center"/>
          </w:tcPr>
          <w:p>
            <w:pPr>
              <w:jc w:val="center"/>
            </w:pPr>
            <w:r>
              <w:rPr>
                <w:color w:val="000000"/>
                <w:kern w:val="0"/>
                <w:sz w:val="24"/>
                <w:szCs w:val="24"/>
              </w:rPr>
              <w:t>0.47%</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77.60%</w:t>
            </w:r>
          </w:p>
        </w:tc>
        <w:tc>
          <w:tcPr>
            <w:vAlign w:val="center"/>
          </w:tcPr>
          <w:p>
            <w:pPr>
              <w:jc w:val="center"/>
            </w:pPr>
            <w:r>
              <w:rPr>
                <w:color w:val="000000"/>
                <w:kern w:val="0"/>
                <w:sz w:val="24"/>
                <w:szCs w:val="24"/>
              </w:rPr>
              <w:t>1.40%</w:t>
            </w:r>
          </w:p>
        </w:tc>
        <w:tc>
          <w:tcPr>
            <w:vAlign w:val="center"/>
          </w:tcPr>
          <w:p>
            <w:pPr>
              <w:jc w:val="center"/>
            </w:pPr>
            <w:r>
              <w:rPr>
                <w:color w:val="000000"/>
                <w:kern w:val="0"/>
                <w:sz w:val="24"/>
                <w:szCs w:val="24"/>
              </w:rPr>
              <w:t>5.32%</w:t>
            </w:r>
          </w:p>
        </w:tc>
        <w:tc>
          <w:tcPr>
            <w:vAlign w:val="center"/>
          </w:tcPr>
          <w:p>
            <w:pPr>
              <w:jc w:val="center"/>
            </w:pPr>
            <w:r>
              <w:rPr>
                <w:color w:val="000000"/>
                <w:kern w:val="0"/>
                <w:sz w:val="24"/>
                <w:szCs w:val="24"/>
              </w:rPr>
              <w:t>0.85%</w:t>
            </w:r>
          </w:p>
        </w:tc>
        <w:tc>
          <w:tcPr>
            <w:vAlign w:val="center"/>
          </w:tcPr>
          <w:p>
            <w:pPr>
              <w:jc w:val="center"/>
            </w:pPr>
            <w:r>
              <w:rPr>
                <w:color w:val="000000"/>
                <w:kern w:val="0"/>
                <w:sz w:val="24"/>
                <w:szCs w:val="24"/>
              </w:rPr>
              <w:t>72.28%</w:t>
            </w:r>
          </w:p>
        </w:tc>
        <w:tc>
          <w:tcPr>
            <w:vAlign w:val="center"/>
          </w:tcPr>
          <w:p>
            <w:pPr>
              <w:jc w:val="center"/>
            </w:pPr>
            <w:r>
              <w:rPr>
                <w:color w:val="000000"/>
                <w:kern w:val="0"/>
                <w:sz w:val="24"/>
                <w:szCs w:val="24"/>
              </w:rPr>
              <w:t>0.55%</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易方达大健康主题灵活配置混合型证券投资基金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2017年9月27日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注：自基金合同生效至报告期末，基金份额净值增长率为77.60%，同期业绩比较基准收益率为5.32%。</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杨桢霄</w:t>
            </w:r>
          </w:p>
        </w:tc>
        <w:tc>
          <w:tcPr>
            <w:vAlign w:val="center"/>
          </w:tcPr>
          <w:p>
            <w:pPr>
              <w:jc w:val="left"/>
            </w:pPr>
            <w:r>
              <w:rPr>
                <w:color w:val="000000"/>
                <w:sz w:val="24"/>
              </w:rPr>
              <w:t>本基金的基金经理、易方达医疗保健行业混合型证券投资基金的基金经理、易方达全球医药行业混合型发起式证券投资基金（QDII）的基金经理、行业研究员</w:t>
            </w:r>
          </w:p>
        </w:tc>
        <w:tc>
          <w:tcPr>
            <w:vAlign w:val="center"/>
          </w:tcPr>
          <w:p>
            <w:pPr>
              <w:jc w:val="center"/>
            </w:pPr>
            <w:r>
              <w:rPr>
                <w:color w:val="000000"/>
                <w:sz w:val="24"/>
              </w:rPr>
              <w:t>2017-09-27</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博士研究生，具有基金从业资格。曾任易方达基金管理有限公司投资经理、易方达新兴成长灵活配置混合型证券投资基金基金经理助理、易方达科讯混合型证券投资基金基金经理助理。</w:t>
            </w:r>
          </w:p>
        </w:tc>
      </w:tr>
      <w:tr>
        <w:tc>
          <w:tcPr>
            <w:vAlign w:val="center"/>
          </w:tcPr>
          <w:p>
            <w:pPr>
              <w:jc w:val="center"/>
            </w:pPr>
            <w:r>
              <w:rPr>
                <w:color w:val="000000"/>
                <w:sz w:val="24"/>
              </w:rPr>
              <w:t>萧楠</w:t>
            </w:r>
          </w:p>
        </w:tc>
        <w:tc>
          <w:tcPr>
            <w:vAlign w:val="center"/>
          </w:tcPr>
          <w:p>
            <w:pPr>
              <w:jc w:val="left"/>
            </w:pPr>
            <w:r>
              <w:rPr>
                <w:color w:val="000000"/>
                <w:sz w:val="24"/>
              </w:rPr>
              <w:t>本基金的基金经理、易方达消费行业股票型证券投资基金的基金经理、易方达现代服务业灵活配置混合型证券投资基金的基金经理（自2017年11月22日至2020年06月05日）、易方达瑞恒灵活配置混合型证券投资基金的基金经理、易方达科顺定期开放灵活配置混合型证券投资基金的基金经理、易方达消费精选股票型证券投资基金的基金经理、投资三部总经理、研究部副总经理</w:t>
            </w:r>
          </w:p>
        </w:tc>
        <w:tc>
          <w:tcPr>
            <w:vAlign w:val="center"/>
          </w:tcPr>
          <w:p>
            <w:pPr>
              <w:jc w:val="center"/>
            </w:pPr>
            <w:r>
              <w:rPr>
                <w:color w:val="000000"/>
                <w:sz w:val="24"/>
              </w:rPr>
              <w:t>2017-09-27</w:t>
            </w:r>
          </w:p>
        </w:tc>
        <w:tc>
          <w:tcPr>
            <w:vAlign w:val="center"/>
          </w:tcPr>
          <w:p>
            <w:pPr>
              <w:jc w:val="center"/>
            </w:pPr>
            <w:r>
              <w:rPr>
                <w:color w:val="000000"/>
                <w:sz w:val="24"/>
              </w:rPr>
              <w:t>-</w:t>
            </w:r>
          </w:p>
        </w:tc>
        <w:tc>
          <w:tcPr>
            <w:vAlign w:val="center"/>
          </w:tcPr>
          <w:p>
            <w:pPr>
              <w:jc w:val="center"/>
            </w:pPr>
            <w:r>
              <w:rPr>
                <w:color w:val="000000"/>
                <w:sz w:val="24"/>
              </w:rPr>
              <w:t>14年</w:t>
            </w:r>
          </w:p>
        </w:tc>
        <w:tc>
          <w:tcPr>
            <w:vAlign w:val="center"/>
          </w:tcPr>
          <w:p>
            <w:pPr>
              <w:jc w:val="both"/>
            </w:pPr>
            <w:r>
              <w:rPr>
                <w:color w:val="000000"/>
                <w:sz w:val="24"/>
              </w:rPr>
              <w:t>硕士研究生，具有基金从业资格。曾任易方达基金管理有限公司研究部行业研究员、基金投资部基金经理助理、投资经理、易方达裕如灵活配置混合型证券投资基金基金经理、易方达新享灵活配置混合型证券投资基金基金经理、易方达瑞和灵活配置混合型证券投资基金基金经理、易方达价值成长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流动性持续推升股市，市场风险偏好有较明显的提升，上证综指上涨8.52%，上证50指数上涨9.40%，创业板指数上涨30.25%，申万医药行业指数上涨29.42%，中证内地消费指数上涨20.73%，整体都表现较好。其中，医疗器械、免税、白酒、体外诊断、医疗服务等子行业排在前列。</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报告期内根据国内疫情的发展变化在持仓结构上做了一定调整。在兑现了部分一季度涨幅较大的疫情受益公司的同时，加仓了前期受疫情影响有一定调整的标的。同时，由于医药行业估值普遍不低，我们在调仓过程中更加注重公司长期的空间以及壁垒，自下而上选择公司，继续超配创新药，创新医疗器械，医疗服务等子行业。此外，我们适度减持了受损于低利率环境的个股，增持了未来会受益于经济复苏但短期估值较低的消费股。</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截至报告期末，本基金份额净值为1.776元，本报告期份额净值增长率为29.45%，同期业绩比较基准收益率为8.97%。</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580,121,555.22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81.83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580,121,555.22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81.83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2,003,913.90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0.28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2,003,913.90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0.28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116,405,547.73</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16.42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10,416,548.60</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708,947,565.45</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478,522,810.41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68.14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5,593,327.12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0.80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370,481.77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7,323,712.20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38,205,300.00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5.44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50,093,157.40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7.13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580,121,555.22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82.61</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000661</w:t>
            </w:r>
          </w:p>
        </w:tc>
        <w:tc>
          <w:tcPr>
            <w:vAlign w:val="center"/>
          </w:tcPr>
          <w:p>
            <w:pPr>
              <w:jc w:val="center"/>
            </w:pPr>
            <w:r>
              <w:rPr>
                <w:color w:val="000000"/>
                <w:kern w:val="0"/>
                <w:sz w:val="24"/>
                <w:szCs w:val="24"/>
              </w:rPr>
              <w:t>长春高新</w:t>
            </w:r>
          </w:p>
        </w:tc>
        <w:tc>
          <w:tcPr>
            <w:vAlign w:val="center"/>
          </w:tcPr>
          <w:p>
            <w:pPr>
              <w:jc w:val="right"/>
            </w:pPr>
            <w:r>
              <w:rPr>
                <w:color w:val="000000"/>
                <w:kern w:val="0"/>
                <w:sz w:val="24"/>
                <w:szCs w:val="24"/>
              </w:rPr>
              <w:t>165,324</w:t>
            </w:r>
          </w:p>
        </w:tc>
        <w:tc>
          <w:tcPr>
            <w:vAlign w:val="center"/>
          </w:tcPr>
          <w:p>
            <w:pPr>
              <w:jc w:val="right"/>
            </w:pPr>
            <w:r>
              <w:rPr>
                <w:color w:val="000000"/>
                <w:kern w:val="0"/>
                <w:sz w:val="24"/>
                <w:szCs w:val="24"/>
              </w:rPr>
              <w:t>71,965,537.20</w:t>
            </w:r>
          </w:p>
        </w:tc>
        <w:tc>
          <w:tcPr>
            <w:vAlign w:val="center"/>
          </w:tcPr>
          <w:p>
            <w:pPr>
              <w:jc w:val="right"/>
            </w:pPr>
            <w:r>
              <w:rPr>
                <w:color w:val="000000"/>
                <w:kern w:val="0"/>
                <w:sz w:val="24"/>
                <w:szCs w:val="24"/>
              </w:rPr>
              <w:t>10.25</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600276</w:t>
            </w:r>
          </w:p>
        </w:tc>
        <w:tc>
          <w:tcPr>
            <w:vAlign w:val="center"/>
          </w:tcPr>
          <w:p>
            <w:pPr>
              <w:jc w:val="center"/>
            </w:pPr>
            <w:r>
              <w:rPr>
                <w:color w:val="000000"/>
                <w:kern w:val="0"/>
                <w:sz w:val="24"/>
                <w:szCs w:val="24"/>
              </w:rPr>
              <w:t>恒瑞医药</w:t>
            </w:r>
          </w:p>
        </w:tc>
        <w:tc>
          <w:tcPr>
            <w:vAlign w:val="center"/>
          </w:tcPr>
          <w:p>
            <w:pPr>
              <w:jc w:val="right"/>
            </w:pPr>
            <w:r>
              <w:rPr>
                <w:color w:val="000000"/>
                <w:kern w:val="0"/>
                <w:sz w:val="24"/>
                <w:szCs w:val="24"/>
              </w:rPr>
              <w:t>695,400</w:t>
            </w:r>
          </w:p>
        </w:tc>
        <w:tc>
          <w:tcPr>
            <w:vAlign w:val="center"/>
          </w:tcPr>
          <w:p>
            <w:pPr>
              <w:jc w:val="right"/>
            </w:pPr>
            <w:r>
              <w:rPr>
                <w:color w:val="000000"/>
                <w:kern w:val="0"/>
                <w:sz w:val="24"/>
                <w:szCs w:val="24"/>
              </w:rPr>
              <w:t>64,185,420.00</w:t>
            </w:r>
          </w:p>
        </w:tc>
        <w:tc>
          <w:tcPr>
            <w:vAlign w:val="center"/>
          </w:tcPr>
          <w:p>
            <w:pPr>
              <w:jc w:val="right"/>
            </w:pPr>
            <w:r>
              <w:rPr>
                <w:color w:val="000000"/>
                <w:kern w:val="0"/>
                <w:sz w:val="24"/>
                <w:szCs w:val="24"/>
              </w:rPr>
              <w:t>9.14</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43,035</w:t>
            </w:r>
          </w:p>
        </w:tc>
        <w:tc>
          <w:tcPr>
            <w:vAlign w:val="center"/>
          </w:tcPr>
          <w:p>
            <w:pPr>
              <w:jc w:val="right"/>
            </w:pPr>
            <w:r>
              <w:rPr>
                <w:color w:val="000000"/>
                <w:kern w:val="0"/>
                <w:sz w:val="24"/>
                <w:szCs w:val="24"/>
              </w:rPr>
              <w:t>62,955,040.80</w:t>
            </w:r>
          </w:p>
        </w:tc>
        <w:tc>
          <w:tcPr>
            <w:vAlign w:val="center"/>
          </w:tcPr>
          <w:p>
            <w:pPr>
              <w:jc w:val="right"/>
            </w:pPr>
            <w:r>
              <w:rPr>
                <w:color w:val="000000"/>
                <w:kern w:val="0"/>
                <w:sz w:val="24"/>
                <w:szCs w:val="24"/>
              </w:rPr>
              <w:t>8.97</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000333</w:t>
            </w:r>
          </w:p>
        </w:tc>
        <w:tc>
          <w:tcPr>
            <w:vAlign w:val="center"/>
          </w:tcPr>
          <w:p>
            <w:pPr>
              <w:jc w:val="center"/>
            </w:pPr>
            <w:r>
              <w:rPr>
                <w:color w:val="000000"/>
                <w:kern w:val="0"/>
                <w:sz w:val="24"/>
                <w:szCs w:val="24"/>
              </w:rPr>
              <w:t>美的集团</w:t>
            </w:r>
          </w:p>
        </w:tc>
        <w:tc>
          <w:tcPr>
            <w:vAlign w:val="center"/>
          </w:tcPr>
          <w:p>
            <w:pPr>
              <w:jc w:val="right"/>
            </w:pPr>
            <w:r>
              <w:rPr>
                <w:color w:val="000000"/>
                <w:kern w:val="0"/>
                <w:sz w:val="24"/>
                <w:szCs w:val="24"/>
              </w:rPr>
              <w:t>869,385</w:t>
            </w:r>
          </w:p>
        </w:tc>
        <w:tc>
          <w:tcPr>
            <w:vAlign w:val="center"/>
          </w:tcPr>
          <w:p>
            <w:pPr>
              <w:jc w:val="right"/>
            </w:pPr>
            <w:r>
              <w:rPr>
                <w:color w:val="000000"/>
                <w:kern w:val="0"/>
                <w:sz w:val="24"/>
                <w:szCs w:val="24"/>
              </w:rPr>
              <w:t>51,980,529.15</w:t>
            </w:r>
          </w:p>
        </w:tc>
        <w:tc>
          <w:tcPr>
            <w:vAlign w:val="center"/>
          </w:tcPr>
          <w:p>
            <w:pPr>
              <w:jc w:val="right"/>
            </w:pPr>
            <w:r>
              <w:rPr>
                <w:color w:val="000000"/>
                <w:kern w:val="0"/>
                <w:sz w:val="24"/>
                <w:szCs w:val="24"/>
              </w:rPr>
              <w:t>7.40</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300015</w:t>
            </w:r>
          </w:p>
        </w:tc>
        <w:tc>
          <w:tcPr>
            <w:vAlign w:val="center"/>
          </w:tcPr>
          <w:p>
            <w:pPr>
              <w:jc w:val="center"/>
            </w:pPr>
            <w:r>
              <w:rPr>
                <w:color w:val="000000"/>
                <w:kern w:val="0"/>
                <w:sz w:val="24"/>
                <w:szCs w:val="24"/>
              </w:rPr>
              <w:t>爱尔眼科</w:t>
            </w:r>
          </w:p>
        </w:tc>
        <w:tc>
          <w:tcPr>
            <w:vAlign w:val="center"/>
          </w:tcPr>
          <w:p>
            <w:pPr>
              <w:jc w:val="right"/>
            </w:pPr>
            <w:r>
              <w:rPr>
                <w:color w:val="000000"/>
                <w:kern w:val="0"/>
                <w:sz w:val="24"/>
                <w:szCs w:val="24"/>
              </w:rPr>
              <w:t>1,152,892</w:t>
            </w:r>
          </w:p>
        </w:tc>
        <w:tc>
          <w:tcPr>
            <w:vAlign w:val="center"/>
          </w:tcPr>
          <w:p>
            <w:pPr>
              <w:jc w:val="right"/>
            </w:pPr>
            <w:r>
              <w:rPr>
                <w:color w:val="000000"/>
                <w:kern w:val="0"/>
                <w:sz w:val="24"/>
                <w:szCs w:val="24"/>
              </w:rPr>
              <w:t>50,093,157.40</w:t>
            </w:r>
          </w:p>
        </w:tc>
        <w:tc>
          <w:tcPr>
            <w:vAlign w:val="center"/>
          </w:tcPr>
          <w:p>
            <w:pPr>
              <w:jc w:val="right"/>
            </w:pPr>
            <w:r>
              <w:rPr>
                <w:color w:val="000000"/>
                <w:kern w:val="0"/>
                <w:sz w:val="24"/>
                <w:szCs w:val="24"/>
              </w:rPr>
              <w:t>7.13</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603259</w:t>
            </w:r>
          </w:p>
        </w:tc>
        <w:tc>
          <w:tcPr>
            <w:vAlign w:val="center"/>
          </w:tcPr>
          <w:p>
            <w:pPr>
              <w:jc w:val="center"/>
            </w:pPr>
            <w:r>
              <w:rPr>
                <w:color w:val="000000"/>
                <w:kern w:val="0"/>
                <w:sz w:val="24"/>
                <w:szCs w:val="24"/>
              </w:rPr>
              <w:t>药明康德</w:t>
            </w:r>
          </w:p>
        </w:tc>
        <w:tc>
          <w:tcPr>
            <w:vAlign w:val="center"/>
          </w:tcPr>
          <w:p>
            <w:pPr>
              <w:jc w:val="right"/>
            </w:pPr>
            <w:r>
              <w:rPr>
                <w:color w:val="000000"/>
                <w:kern w:val="0"/>
                <w:sz w:val="24"/>
                <w:szCs w:val="24"/>
              </w:rPr>
              <w:t>395,500</w:t>
            </w:r>
          </w:p>
        </w:tc>
        <w:tc>
          <w:tcPr>
            <w:vAlign w:val="center"/>
          </w:tcPr>
          <w:p>
            <w:pPr>
              <w:jc w:val="right"/>
            </w:pPr>
            <w:r>
              <w:rPr>
                <w:color w:val="000000"/>
                <w:kern w:val="0"/>
                <w:sz w:val="24"/>
                <w:szCs w:val="24"/>
              </w:rPr>
              <w:t>38,205,300.00</w:t>
            </w:r>
          </w:p>
        </w:tc>
        <w:tc>
          <w:tcPr>
            <w:vAlign w:val="center"/>
          </w:tcPr>
          <w:p>
            <w:pPr>
              <w:jc w:val="right"/>
            </w:pPr>
            <w:r>
              <w:rPr>
                <w:color w:val="000000"/>
                <w:kern w:val="0"/>
                <w:sz w:val="24"/>
                <w:szCs w:val="24"/>
              </w:rPr>
              <w:t>5.44</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163,710</w:t>
            </w:r>
          </w:p>
        </w:tc>
        <w:tc>
          <w:tcPr>
            <w:vAlign w:val="center"/>
          </w:tcPr>
          <w:p>
            <w:pPr>
              <w:jc w:val="right"/>
            </w:pPr>
            <w:r>
              <w:rPr>
                <w:color w:val="000000"/>
                <w:kern w:val="0"/>
                <w:sz w:val="24"/>
                <w:szCs w:val="24"/>
              </w:rPr>
              <w:t>28,014,055.20</w:t>
            </w:r>
          </w:p>
        </w:tc>
        <w:tc>
          <w:tcPr>
            <w:vAlign w:val="center"/>
          </w:tcPr>
          <w:p>
            <w:pPr>
              <w:jc w:val="right"/>
            </w:pPr>
            <w:r>
              <w:rPr>
                <w:color w:val="000000"/>
                <w:kern w:val="0"/>
                <w:sz w:val="24"/>
                <w:szCs w:val="24"/>
              </w:rPr>
              <w:t>3.99</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688029</w:t>
            </w:r>
          </w:p>
        </w:tc>
        <w:tc>
          <w:tcPr>
            <w:vAlign w:val="center"/>
          </w:tcPr>
          <w:p>
            <w:pPr>
              <w:jc w:val="center"/>
            </w:pPr>
            <w:r>
              <w:rPr>
                <w:color w:val="000000"/>
                <w:kern w:val="0"/>
                <w:sz w:val="24"/>
                <w:szCs w:val="24"/>
              </w:rPr>
              <w:t>南微医学</w:t>
            </w:r>
          </w:p>
        </w:tc>
        <w:tc>
          <w:tcPr>
            <w:vAlign w:val="center"/>
          </w:tcPr>
          <w:p>
            <w:pPr>
              <w:jc w:val="right"/>
            </w:pPr>
            <w:r>
              <w:rPr>
                <w:color w:val="000000"/>
                <w:kern w:val="0"/>
                <w:sz w:val="24"/>
                <w:szCs w:val="24"/>
              </w:rPr>
              <w:t>107,436</w:t>
            </w:r>
          </w:p>
        </w:tc>
        <w:tc>
          <w:tcPr>
            <w:vAlign w:val="center"/>
          </w:tcPr>
          <w:p>
            <w:pPr>
              <w:jc w:val="right"/>
            </w:pPr>
            <w:r>
              <w:rPr>
                <w:color w:val="000000"/>
                <w:kern w:val="0"/>
                <w:sz w:val="24"/>
                <w:szCs w:val="24"/>
              </w:rPr>
              <w:t>26,057,527.44</w:t>
            </w:r>
          </w:p>
        </w:tc>
        <w:tc>
          <w:tcPr>
            <w:vAlign w:val="center"/>
          </w:tcPr>
          <w:p>
            <w:pPr>
              <w:jc w:val="right"/>
            </w:pPr>
            <w:r>
              <w:rPr>
                <w:color w:val="000000"/>
                <w:kern w:val="0"/>
                <w:sz w:val="24"/>
                <w:szCs w:val="24"/>
              </w:rPr>
              <w:t>3.71</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000596</w:t>
            </w:r>
          </w:p>
        </w:tc>
        <w:tc>
          <w:tcPr>
            <w:vAlign w:val="center"/>
          </w:tcPr>
          <w:p>
            <w:pPr>
              <w:jc w:val="center"/>
            </w:pPr>
            <w:r>
              <w:rPr>
                <w:color w:val="000000"/>
                <w:kern w:val="0"/>
                <w:sz w:val="24"/>
                <w:szCs w:val="24"/>
              </w:rPr>
              <w:t>古井贡酒</w:t>
            </w:r>
          </w:p>
        </w:tc>
        <w:tc>
          <w:tcPr>
            <w:vAlign w:val="center"/>
          </w:tcPr>
          <w:p>
            <w:pPr>
              <w:jc w:val="right"/>
            </w:pPr>
            <w:r>
              <w:rPr>
                <w:color w:val="000000"/>
                <w:kern w:val="0"/>
                <w:sz w:val="24"/>
                <w:szCs w:val="24"/>
              </w:rPr>
              <w:t>172,963</w:t>
            </w:r>
          </w:p>
        </w:tc>
        <w:tc>
          <w:tcPr>
            <w:vAlign w:val="center"/>
          </w:tcPr>
          <w:p>
            <w:pPr>
              <w:jc w:val="right"/>
            </w:pPr>
            <w:r>
              <w:rPr>
                <w:color w:val="000000"/>
                <w:kern w:val="0"/>
                <w:sz w:val="24"/>
                <w:szCs w:val="24"/>
              </w:rPr>
              <w:t>25,985,961.12</w:t>
            </w:r>
          </w:p>
        </w:tc>
        <w:tc>
          <w:tcPr>
            <w:vAlign w:val="center"/>
          </w:tcPr>
          <w:p>
            <w:pPr>
              <w:jc w:val="right"/>
            </w:pPr>
            <w:r>
              <w:rPr>
                <w:color w:val="000000"/>
                <w:kern w:val="0"/>
                <w:sz w:val="24"/>
                <w:szCs w:val="24"/>
              </w:rPr>
              <w:t>3.70</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000651</w:t>
            </w:r>
          </w:p>
        </w:tc>
        <w:tc>
          <w:tcPr>
            <w:vAlign w:val="center"/>
          </w:tcPr>
          <w:p>
            <w:pPr>
              <w:jc w:val="center"/>
            </w:pPr>
            <w:r>
              <w:rPr>
                <w:color w:val="000000"/>
                <w:kern w:val="0"/>
                <w:sz w:val="24"/>
                <w:szCs w:val="24"/>
              </w:rPr>
              <w:t>格力电器</w:t>
            </w:r>
          </w:p>
        </w:tc>
        <w:tc>
          <w:tcPr>
            <w:vAlign w:val="center"/>
          </w:tcPr>
          <w:p>
            <w:pPr>
              <w:jc w:val="right"/>
            </w:pPr>
            <w:r>
              <w:rPr>
                <w:color w:val="000000"/>
                <w:kern w:val="0"/>
                <w:sz w:val="24"/>
                <w:szCs w:val="24"/>
              </w:rPr>
              <w:t>456,800</w:t>
            </w:r>
          </w:p>
        </w:tc>
        <w:tc>
          <w:tcPr>
            <w:vAlign w:val="center"/>
          </w:tcPr>
          <w:p>
            <w:pPr>
              <w:jc w:val="right"/>
            </w:pPr>
            <w:r>
              <w:rPr>
                <w:color w:val="000000"/>
                <w:kern w:val="0"/>
                <w:sz w:val="24"/>
                <w:szCs w:val="24"/>
              </w:rPr>
              <w:t>25,841,176.00</w:t>
            </w:r>
          </w:p>
        </w:tc>
        <w:tc>
          <w:tcPr>
            <w:vAlign w:val="center"/>
          </w:tcPr>
          <w:p>
            <w:pPr>
              <w:jc w:val="right"/>
            </w:pPr>
            <w:r>
              <w:rPr>
                <w:color w:val="000000"/>
                <w:kern w:val="0"/>
                <w:sz w:val="24"/>
                <w:szCs w:val="24"/>
              </w:rPr>
              <w:t>3.68</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注：本报告期末本基金投资长春高新占基金资产净值比例超过10%，属于被动超标。</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2,003,913.90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0.29</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2,003,913.90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0.29</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128045</w:t>
            </w:r>
          </w:p>
        </w:tc>
        <w:tc>
          <w:tcPr>
            <w:vAlign w:val="center"/>
          </w:tcPr>
          <w:p>
            <w:pPr>
              <w:jc w:val="center"/>
            </w:pPr>
            <w:r>
              <w:rPr>
                <w:color w:val="000000"/>
                <w:kern w:val="0"/>
                <w:sz w:val="24"/>
                <w:szCs w:val="24"/>
              </w:rPr>
              <w:t>机电转债</w:t>
            </w:r>
          </w:p>
        </w:tc>
        <w:tc>
          <w:tcPr>
            <w:vAlign w:val="center"/>
          </w:tcPr>
          <w:p>
            <w:pPr>
              <w:jc w:val="right"/>
            </w:pPr>
            <w:r>
              <w:rPr>
                <w:color w:val="000000"/>
                <w:kern w:val="0"/>
                <w:sz w:val="24"/>
                <w:szCs w:val="24"/>
              </w:rPr>
              <w:t>7,170</w:t>
            </w:r>
          </w:p>
        </w:tc>
        <w:tc>
          <w:tcPr>
            <w:vAlign w:val="center"/>
          </w:tcPr>
          <w:p>
            <w:pPr>
              <w:jc w:val="right"/>
            </w:pPr>
            <w:r>
              <w:rPr>
                <w:color w:val="000000"/>
                <w:kern w:val="0"/>
                <w:sz w:val="24"/>
                <w:szCs w:val="24"/>
              </w:rPr>
              <w:t>852,943.20</w:t>
            </w:r>
          </w:p>
        </w:tc>
        <w:tc>
          <w:tcPr>
            <w:vAlign w:val="center"/>
          </w:tcPr>
          <w:p>
            <w:pPr>
              <w:jc w:val="right"/>
            </w:pPr>
            <w:r>
              <w:rPr>
                <w:color w:val="000000"/>
                <w:kern w:val="0"/>
                <w:sz w:val="24"/>
                <w:szCs w:val="24"/>
              </w:rPr>
              <w:t>0.12</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113543</w:t>
            </w:r>
          </w:p>
        </w:tc>
        <w:tc>
          <w:tcPr>
            <w:vAlign w:val="center"/>
          </w:tcPr>
          <w:p>
            <w:pPr>
              <w:jc w:val="center"/>
            </w:pPr>
            <w:r>
              <w:rPr>
                <w:color w:val="000000"/>
                <w:kern w:val="0"/>
                <w:sz w:val="24"/>
                <w:szCs w:val="24"/>
              </w:rPr>
              <w:t>欧派转债</w:t>
            </w:r>
          </w:p>
        </w:tc>
        <w:tc>
          <w:tcPr>
            <w:vAlign w:val="center"/>
          </w:tcPr>
          <w:p>
            <w:pPr>
              <w:jc w:val="right"/>
            </w:pPr>
            <w:r>
              <w:rPr>
                <w:color w:val="000000"/>
                <w:kern w:val="0"/>
                <w:sz w:val="24"/>
                <w:szCs w:val="24"/>
              </w:rPr>
              <w:t>3,260</w:t>
            </w:r>
          </w:p>
        </w:tc>
        <w:tc>
          <w:tcPr>
            <w:vAlign w:val="center"/>
          </w:tcPr>
          <w:p>
            <w:pPr>
              <w:jc w:val="right"/>
            </w:pPr>
            <w:r>
              <w:rPr>
                <w:color w:val="000000"/>
                <w:kern w:val="0"/>
                <w:sz w:val="24"/>
                <w:szCs w:val="24"/>
              </w:rPr>
              <w:t>405,511.40</w:t>
            </w:r>
          </w:p>
        </w:tc>
        <w:tc>
          <w:tcPr>
            <w:vAlign w:val="center"/>
          </w:tcPr>
          <w:p>
            <w:pPr>
              <w:jc w:val="right"/>
            </w:pPr>
            <w:r>
              <w:rPr>
                <w:color w:val="000000"/>
                <w:kern w:val="0"/>
                <w:sz w:val="24"/>
                <w:szCs w:val="24"/>
              </w:rPr>
              <w:t>0.06</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113544</w:t>
            </w:r>
          </w:p>
        </w:tc>
        <w:tc>
          <w:tcPr>
            <w:vAlign w:val="center"/>
          </w:tcPr>
          <w:p>
            <w:pPr>
              <w:jc w:val="center"/>
            </w:pPr>
            <w:r>
              <w:rPr>
                <w:color w:val="000000"/>
                <w:kern w:val="0"/>
                <w:sz w:val="24"/>
                <w:szCs w:val="24"/>
              </w:rPr>
              <w:t>桃李转债</w:t>
            </w:r>
          </w:p>
        </w:tc>
        <w:tc>
          <w:tcPr>
            <w:vAlign w:val="center"/>
          </w:tcPr>
          <w:p>
            <w:pPr>
              <w:jc w:val="right"/>
            </w:pPr>
            <w:r>
              <w:rPr>
                <w:color w:val="000000"/>
                <w:kern w:val="0"/>
                <w:sz w:val="24"/>
                <w:szCs w:val="24"/>
              </w:rPr>
              <w:t>2,140</w:t>
            </w:r>
          </w:p>
        </w:tc>
        <w:tc>
          <w:tcPr>
            <w:vAlign w:val="center"/>
          </w:tcPr>
          <w:p>
            <w:pPr>
              <w:jc w:val="right"/>
            </w:pPr>
            <w:r>
              <w:rPr>
                <w:color w:val="000000"/>
                <w:kern w:val="0"/>
                <w:sz w:val="24"/>
                <w:szCs w:val="24"/>
              </w:rPr>
              <w:t>268,698.40</w:t>
            </w:r>
          </w:p>
        </w:tc>
        <w:tc>
          <w:tcPr>
            <w:vAlign w:val="center"/>
          </w:tcPr>
          <w:p>
            <w:pPr>
              <w:jc w:val="right"/>
            </w:pPr>
            <w:r>
              <w:rPr>
                <w:color w:val="000000"/>
                <w:kern w:val="0"/>
                <w:sz w:val="24"/>
                <w:szCs w:val="24"/>
              </w:rPr>
              <w:t>0.04</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110057</w:t>
            </w:r>
          </w:p>
        </w:tc>
        <w:tc>
          <w:tcPr>
            <w:vAlign w:val="center"/>
          </w:tcPr>
          <w:p>
            <w:pPr>
              <w:jc w:val="center"/>
            </w:pPr>
            <w:r>
              <w:rPr>
                <w:color w:val="000000"/>
                <w:kern w:val="0"/>
                <w:sz w:val="24"/>
                <w:szCs w:val="24"/>
              </w:rPr>
              <w:t>现代转债</w:t>
            </w:r>
          </w:p>
        </w:tc>
        <w:tc>
          <w:tcPr>
            <w:vAlign w:val="center"/>
          </w:tcPr>
          <w:p>
            <w:pPr>
              <w:jc w:val="right"/>
            </w:pPr>
            <w:r>
              <w:rPr>
                <w:color w:val="000000"/>
                <w:kern w:val="0"/>
                <w:sz w:val="24"/>
                <w:szCs w:val="24"/>
              </w:rPr>
              <w:t>2,070</w:t>
            </w:r>
          </w:p>
        </w:tc>
        <w:tc>
          <w:tcPr>
            <w:vAlign w:val="center"/>
          </w:tcPr>
          <w:p>
            <w:pPr>
              <w:jc w:val="right"/>
            </w:pPr>
            <w:r>
              <w:rPr>
                <w:color w:val="000000"/>
                <w:kern w:val="0"/>
                <w:sz w:val="24"/>
                <w:szCs w:val="24"/>
              </w:rPr>
              <w:t>229,211.10</w:t>
            </w:r>
          </w:p>
        </w:tc>
        <w:tc>
          <w:tcPr>
            <w:vAlign w:val="center"/>
          </w:tcPr>
          <w:p>
            <w:pPr>
              <w:jc w:val="right"/>
            </w:pPr>
            <w:r>
              <w:rPr>
                <w:color w:val="000000"/>
                <w:kern w:val="0"/>
                <w:sz w:val="24"/>
                <w:szCs w:val="24"/>
              </w:rPr>
              <w:t>0.03</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113024</w:t>
            </w:r>
          </w:p>
        </w:tc>
        <w:tc>
          <w:tcPr>
            <w:vAlign w:val="center"/>
          </w:tcPr>
          <w:p>
            <w:pPr>
              <w:jc w:val="center"/>
            </w:pPr>
            <w:r>
              <w:rPr>
                <w:color w:val="000000"/>
                <w:kern w:val="0"/>
                <w:sz w:val="24"/>
                <w:szCs w:val="24"/>
              </w:rPr>
              <w:t>核建转债</w:t>
            </w:r>
          </w:p>
        </w:tc>
        <w:tc>
          <w:tcPr>
            <w:vAlign w:val="center"/>
          </w:tcPr>
          <w:p>
            <w:pPr>
              <w:jc w:val="right"/>
            </w:pPr>
            <w:r>
              <w:rPr>
                <w:color w:val="000000"/>
                <w:kern w:val="0"/>
                <w:sz w:val="24"/>
                <w:szCs w:val="24"/>
              </w:rPr>
              <w:t>1,250</w:t>
            </w:r>
          </w:p>
        </w:tc>
        <w:tc>
          <w:tcPr>
            <w:vAlign w:val="center"/>
          </w:tcPr>
          <w:p>
            <w:pPr>
              <w:jc w:val="right"/>
            </w:pPr>
            <w:r>
              <w:rPr>
                <w:color w:val="000000"/>
                <w:kern w:val="0"/>
                <w:sz w:val="24"/>
                <w:szCs w:val="24"/>
              </w:rPr>
              <w:t>125,062.50</w:t>
            </w:r>
          </w:p>
        </w:tc>
        <w:tc>
          <w:tcPr>
            <w:vAlign w:val="center"/>
          </w:tcPr>
          <w:p>
            <w:pPr>
              <w:jc w:val="right"/>
            </w:pPr>
            <w:r>
              <w:rPr>
                <w:color w:val="000000"/>
                <w:kern w:val="0"/>
                <w:sz w:val="24"/>
                <w:szCs w:val="24"/>
              </w:rPr>
              <w:t>0.02</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11月18日，珠海市交通运输局对珠海格力电器股份有限公司违反《超限运输车辆行驶公路管理规定》第四十三条的行为作出“罚款4000元”的行政处罚决定。2019年12月4日，珠海市交通运输局对珠海格力电器股份有限公司违反《超限运输车辆行驶公路管理规定》第四十三条的行为作出“罚款4000元”的行政处罚决定。</w:t>
      </w:r>
    </w:p>
    <w:p>
      <w:pPr>
        <w:spacing w:line="360" w:lineRule="auto"/>
        <w:rPr>
          <w:rFonts w:ascii="宋体" w:hAnsi="宋体"/>
          <w:color w:val="000000"/>
          <w:sz w:val="24"/>
          <w:szCs w:val="24"/>
        </w:rPr>
      </w:pPr>
      <w:r>
        <w:rPr>
          <w:rFonts w:ascii="宋体" w:hAnsi="宋体"/>
          <w:color w:val="000000"/>
          <w:sz w:val="24"/>
          <w:szCs w:val="24"/>
        </w:rPr>
        <w:t>本基金投资格力电器的投资决策程序符合公司投资制度的规定。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除格力电器外，本基金投资的前十名证券的发行主体本期没有出现被监管部门立案调查，或在报告编制日前一年内受到公开谴责、处罚的情形。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44,152.52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24,076.13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10,348,319.95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10,416,548.60</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808"/>
        <w:gridCol w:w="1729"/>
        <w:gridCol w:w="1658"/>
        <w:gridCol w:w="1697"/>
        <w:gridCol w:w="1621"/>
      </w:tblGrid>
      <w:tr w:rsidR="00750D48" w:rsidRPr="00264E55" w:rsidTr="00B05049">
        <w:tc>
          <w:tcPr>
            <w:tcW w:type="dxa" w:w="180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729"/>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债券代码</w:t>
            </w:r>
          </w:p>
        </w:tc>
        <w:tc>
          <w:tcPr>
            <w:tcW w:type="dxa" w:w="165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债券名称</w:t>
            </w:r>
          </w:p>
        </w:tc>
        <w:tc>
          <w:tcPr>
            <w:tcW w:type="dxa" w:w="1697"/>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type="dxa" w:w="1621"/>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128045</w:t>
            </w:r>
          </w:p>
        </w:tc>
        <w:tc>
          <w:tcPr>
            <w:vAlign w:val="center"/>
          </w:tcPr>
          <w:p>
            <w:pPr>
              <w:jc w:val="center"/>
            </w:pPr>
            <w:r>
              <w:rPr>
                <w:color w:val="000000"/>
                <w:kern w:val="0"/>
                <w:sz w:val="24"/>
                <w:szCs w:val="24"/>
              </w:rPr>
              <w:t>机电转债</w:t>
            </w:r>
          </w:p>
        </w:tc>
        <w:tc>
          <w:tcPr>
            <w:vAlign w:val="center"/>
          </w:tcPr>
          <w:p>
            <w:pPr>
              <w:jc w:val="right"/>
            </w:pPr>
            <w:r>
              <w:rPr>
                <w:color w:val="000000"/>
                <w:kern w:val="0"/>
                <w:sz w:val="24"/>
                <w:szCs w:val="24"/>
              </w:rPr>
              <w:t>852,943.20</w:t>
            </w:r>
          </w:p>
        </w:tc>
        <w:tc>
          <w:tcPr>
            <w:vAlign w:val="center"/>
          </w:tcPr>
          <w:p>
            <w:pPr>
              <w:jc w:val="right"/>
            </w:pPr>
            <w:r>
              <w:rPr>
                <w:color w:val="000000"/>
                <w:kern w:val="0"/>
                <w:sz w:val="24"/>
                <w:szCs w:val="24"/>
              </w:rPr>
              <w:t>0.12</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113543</w:t>
            </w:r>
          </w:p>
        </w:tc>
        <w:tc>
          <w:tcPr>
            <w:vAlign w:val="center"/>
          </w:tcPr>
          <w:p>
            <w:pPr>
              <w:jc w:val="center"/>
            </w:pPr>
            <w:r>
              <w:rPr>
                <w:color w:val="000000"/>
                <w:kern w:val="0"/>
                <w:sz w:val="24"/>
                <w:szCs w:val="24"/>
              </w:rPr>
              <w:t>欧派转债</w:t>
            </w:r>
          </w:p>
        </w:tc>
        <w:tc>
          <w:tcPr>
            <w:vAlign w:val="center"/>
          </w:tcPr>
          <w:p>
            <w:pPr>
              <w:jc w:val="right"/>
            </w:pPr>
            <w:r>
              <w:rPr>
                <w:color w:val="000000"/>
                <w:kern w:val="0"/>
                <w:sz w:val="24"/>
                <w:szCs w:val="24"/>
              </w:rPr>
              <w:t>405,511.40</w:t>
            </w:r>
          </w:p>
        </w:tc>
        <w:tc>
          <w:tcPr>
            <w:vAlign w:val="center"/>
          </w:tcPr>
          <w:p>
            <w:pPr>
              <w:jc w:val="right"/>
            </w:pPr>
            <w:r>
              <w:rPr>
                <w:color w:val="000000"/>
                <w:kern w:val="0"/>
                <w:sz w:val="24"/>
                <w:szCs w:val="24"/>
              </w:rPr>
              <w:t>0.06</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113544</w:t>
            </w:r>
          </w:p>
        </w:tc>
        <w:tc>
          <w:tcPr>
            <w:vAlign w:val="center"/>
          </w:tcPr>
          <w:p>
            <w:pPr>
              <w:jc w:val="center"/>
            </w:pPr>
            <w:r>
              <w:rPr>
                <w:color w:val="000000"/>
                <w:kern w:val="0"/>
                <w:sz w:val="24"/>
                <w:szCs w:val="24"/>
              </w:rPr>
              <w:t>桃李转债</w:t>
            </w:r>
          </w:p>
        </w:tc>
        <w:tc>
          <w:tcPr>
            <w:vAlign w:val="center"/>
          </w:tcPr>
          <w:p>
            <w:pPr>
              <w:jc w:val="right"/>
            </w:pPr>
            <w:r>
              <w:rPr>
                <w:color w:val="000000"/>
                <w:kern w:val="0"/>
                <w:sz w:val="24"/>
                <w:szCs w:val="24"/>
              </w:rPr>
              <w:t>268,698.40</w:t>
            </w:r>
          </w:p>
        </w:tc>
        <w:tc>
          <w:tcPr>
            <w:vAlign w:val="center"/>
          </w:tcPr>
          <w:p>
            <w:pPr>
              <w:jc w:val="right"/>
            </w:pPr>
            <w:r>
              <w:rPr>
                <w:color w:val="000000"/>
                <w:kern w:val="0"/>
                <w:sz w:val="24"/>
                <w:szCs w:val="24"/>
              </w:rPr>
              <w:t>0.04</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110057</w:t>
            </w:r>
          </w:p>
        </w:tc>
        <w:tc>
          <w:tcPr>
            <w:vAlign w:val="center"/>
          </w:tcPr>
          <w:p>
            <w:pPr>
              <w:jc w:val="center"/>
            </w:pPr>
            <w:r>
              <w:rPr>
                <w:color w:val="000000"/>
                <w:kern w:val="0"/>
                <w:sz w:val="24"/>
                <w:szCs w:val="24"/>
              </w:rPr>
              <w:t>现代转债</w:t>
            </w:r>
          </w:p>
        </w:tc>
        <w:tc>
          <w:tcPr>
            <w:vAlign w:val="center"/>
          </w:tcPr>
          <w:p>
            <w:pPr>
              <w:jc w:val="right"/>
            </w:pPr>
            <w:r>
              <w:rPr>
                <w:color w:val="000000"/>
                <w:kern w:val="0"/>
                <w:sz w:val="24"/>
                <w:szCs w:val="24"/>
              </w:rPr>
              <w:t>229,211.10</w:t>
            </w:r>
          </w:p>
        </w:tc>
        <w:tc>
          <w:tcPr>
            <w:vAlign w:val="center"/>
          </w:tcPr>
          <w:p>
            <w:pPr>
              <w:jc w:val="right"/>
            </w:pPr>
            <w:r>
              <w:rPr>
                <w:color w:val="000000"/>
                <w:kern w:val="0"/>
                <w:sz w:val="24"/>
                <w:szCs w:val="24"/>
              </w:rPr>
              <w:t>0.03</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113024</w:t>
            </w:r>
          </w:p>
        </w:tc>
        <w:tc>
          <w:tcPr>
            <w:vAlign w:val="center"/>
          </w:tcPr>
          <w:p>
            <w:pPr>
              <w:jc w:val="center"/>
            </w:pPr>
            <w:r>
              <w:rPr>
                <w:color w:val="000000"/>
                <w:kern w:val="0"/>
                <w:sz w:val="24"/>
                <w:szCs w:val="24"/>
              </w:rPr>
              <w:t>核建转债</w:t>
            </w:r>
          </w:p>
        </w:tc>
        <w:tc>
          <w:tcPr>
            <w:vAlign w:val="center"/>
          </w:tcPr>
          <w:p>
            <w:pPr>
              <w:jc w:val="right"/>
            </w:pPr>
            <w:r>
              <w:rPr>
                <w:color w:val="000000"/>
                <w:kern w:val="0"/>
                <w:sz w:val="24"/>
                <w:szCs w:val="24"/>
              </w:rPr>
              <w:t>125,062.50</w:t>
            </w:r>
          </w:p>
        </w:tc>
        <w:tc>
          <w:tcPr>
            <w:vAlign w:val="center"/>
          </w:tcPr>
          <w:p>
            <w:pPr>
              <w:jc w:val="right"/>
            </w:pPr>
            <w:r>
              <w:rPr>
                <w:color w:val="000000"/>
                <w:kern w:val="0"/>
                <w:sz w:val="24"/>
                <w:szCs w:val="24"/>
              </w:rPr>
              <w:t>0.02</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113021</w:t>
            </w:r>
          </w:p>
        </w:tc>
        <w:tc>
          <w:tcPr>
            <w:vAlign w:val="center"/>
          </w:tcPr>
          <w:p>
            <w:pPr>
              <w:jc w:val="center"/>
            </w:pPr>
            <w:r>
              <w:rPr>
                <w:color w:val="000000"/>
                <w:kern w:val="0"/>
                <w:sz w:val="24"/>
                <w:szCs w:val="24"/>
              </w:rPr>
              <w:t>中信转债</w:t>
            </w:r>
          </w:p>
        </w:tc>
        <w:tc>
          <w:tcPr>
            <w:vAlign w:val="center"/>
          </w:tcPr>
          <w:p>
            <w:pPr>
              <w:jc w:val="right"/>
            </w:pPr>
            <w:r>
              <w:rPr>
                <w:color w:val="000000"/>
                <w:kern w:val="0"/>
                <w:sz w:val="24"/>
                <w:szCs w:val="24"/>
              </w:rPr>
              <w:t>122,487.30</w:t>
            </w:r>
          </w:p>
        </w:tc>
        <w:tc>
          <w:tcPr>
            <w:vAlign w:val="center"/>
          </w:tcPr>
          <w:p>
            <w:pPr>
              <w:jc w:val="right"/>
            </w:pPr>
            <w:r>
              <w:rPr>
                <w:color w:val="000000"/>
                <w:kern w:val="0"/>
                <w:sz w:val="24"/>
                <w:szCs w:val="24"/>
              </w:rPr>
              <w:t>0.02</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403,085,604.81</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95,477,026.66</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103,067,371.78</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395,495,259.69</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1.中国证监会准予易方达大健康主题灵活配置混合型证券投资基金注册的文件；</w:t>
      </w:r>
    </w:p>
    <w:p>
      <w:pPr>
        <w:spacing w:line="360" w:lineRule="auto"/>
        <w:ind w:firstLine="480" w:firstLineChars="200"/>
        <w:rPr>
          <w:color w:val="000000"/>
          <w:sz w:val="24"/>
          <w:szCs w:val="24"/>
        </w:rPr>
      </w:pPr>
      <w:r>
        <w:rPr>
          <w:color w:val="000000"/>
          <w:sz w:val="24"/>
          <w:szCs w:val="24"/>
        </w:rPr>
        <w:t>2.《易方达大健康主题灵活配置混合型证券投资基金基金合同》；</w:t>
      </w:r>
    </w:p>
    <w:p>
      <w:pPr>
        <w:spacing w:line="360" w:lineRule="auto"/>
        <w:ind w:firstLine="480" w:firstLineChars="200"/>
        <w:rPr>
          <w:color w:val="000000"/>
          <w:sz w:val="24"/>
          <w:szCs w:val="24"/>
        </w:rPr>
      </w:pPr>
      <w:r>
        <w:rPr>
          <w:color w:val="000000"/>
          <w:sz w:val="24"/>
          <w:szCs w:val="24"/>
        </w:rPr>
        <w:t>3.《易方达大健康主题灵活配置混合型证券投资基金托管协议》；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易方达大健康主题灵活配置混合型证券投资基金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