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易方达现代服务业灵活配置混合型证券投资基金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中国建设银行股份有限公司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B83ED6" w:rsidRDefault="0082705B">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B83ED6" w:rsidRDefault="0082705B">
      <w:pPr>
        <w:spacing w:line="360" w:lineRule="auto"/>
        <w:ind w:firstLineChars="200" w:firstLine="480"/>
        <w:rPr>
          <w:color w:val="000000"/>
          <w:sz w:val="24"/>
          <w:szCs w:val="24"/>
        </w:rPr>
      </w:pPr>
      <w:r>
        <w:rPr>
          <w:color w:val="000000"/>
          <w:sz w:val="24"/>
          <w:szCs w:val="24"/>
        </w:rPr>
        <w:t>基金托管人中国建设银行股份有限公司根据本基金合同规定，于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B83ED6" w:rsidRDefault="0082705B">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B83ED6" w:rsidRDefault="0082705B">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B83ED6" w:rsidRDefault="0082705B">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易方达现代服务业混合</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001857</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001857</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2017</w:t>
            </w:r>
            <w:r w:rsidRPr="00232B03">
              <w:rPr>
                <w:color w:val="000000"/>
                <w:kern w:val="0"/>
                <w:sz w:val="24"/>
                <w:szCs w:val="24"/>
              </w:rPr>
              <w:t>年</w:t>
            </w:r>
            <w:r w:rsidRPr="00232B03">
              <w:rPr>
                <w:color w:val="000000"/>
                <w:kern w:val="0"/>
                <w:sz w:val="24"/>
                <w:szCs w:val="24"/>
              </w:rPr>
              <w:t>11</w:t>
            </w:r>
            <w:r w:rsidRPr="00232B03">
              <w:rPr>
                <w:color w:val="000000"/>
                <w:kern w:val="0"/>
                <w:sz w:val="24"/>
                <w:szCs w:val="24"/>
              </w:rPr>
              <w:t>月</w:t>
            </w:r>
            <w:r w:rsidRPr="00232B03">
              <w:rPr>
                <w:color w:val="000000"/>
                <w:kern w:val="0"/>
                <w:sz w:val="24"/>
                <w:szCs w:val="24"/>
              </w:rPr>
              <w:t>22</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343,147,380.56</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在严格控制风险的前提下，追求超越业绩比较基准的投资回报。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基于定量与定性相结合的宏观及市场分析，考虑宏观经济走势和市场估值与流动性进行资产配置。股票投资方面，本基金综合考虑行业景气度及可持续性、行业竞争格局、技术水平及其发展趋势、政策变化等因素在现代服务产业中进行子行业</w:t>
            </w:r>
            <w:r w:rsidRPr="00232B03">
              <w:rPr>
                <w:color w:val="000000"/>
                <w:kern w:val="0"/>
                <w:sz w:val="24"/>
                <w:szCs w:val="24"/>
              </w:rPr>
              <w:lastRenderedPageBreak/>
              <w:t>配置，同时在公司基本面评价、估值水平分析等基础上进行股票组合的构建。在债券投资方面，本基金将主要通过类属配置与券种选择两个层次进行投资管理。</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65%×</w:t>
            </w:r>
            <w:r w:rsidRPr="00232B03">
              <w:rPr>
                <w:color w:val="000000"/>
                <w:kern w:val="0"/>
                <w:sz w:val="24"/>
                <w:szCs w:val="24"/>
              </w:rPr>
              <w:t>中证</w:t>
            </w:r>
            <w:r w:rsidRPr="00232B03">
              <w:rPr>
                <w:color w:val="000000"/>
                <w:kern w:val="0"/>
                <w:sz w:val="24"/>
                <w:szCs w:val="24"/>
              </w:rPr>
              <w:t xml:space="preserve">800 </w:t>
            </w:r>
            <w:r w:rsidRPr="00232B03">
              <w:rPr>
                <w:color w:val="000000"/>
                <w:kern w:val="0"/>
                <w:sz w:val="24"/>
                <w:szCs w:val="24"/>
              </w:rPr>
              <w:t>指数收益率＋</w:t>
            </w:r>
            <w:r w:rsidRPr="00232B03">
              <w:rPr>
                <w:color w:val="000000"/>
                <w:kern w:val="0"/>
                <w:sz w:val="24"/>
                <w:szCs w:val="24"/>
              </w:rPr>
              <w:t>35%×</w:t>
            </w:r>
            <w:r w:rsidRPr="00232B03">
              <w:rPr>
                <w:color w:val="000000"/>
                <w:kern w:val="0"/>
                <w:sz w:val="24"/>
                <w:szCs w:val="24"/>
              </w:rPr>
              <w:t>一年期人民币定期存款利率（税后）</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中国建设银行股份有限公司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8C68D9" w:rsidRPr="006506EF" w:rsidTr="008C68D9">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8C68D9" w:rsidRPr="006506EF" w:rsidTr="008C68D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77,563,353.60</w:t>
            </w:r>
          </w:p>
        </w:tc>
      </w:tr>
      <w:tr w:rsidR="008C68D9" w:rsidRPr="006506EF" w:rsidTr="008C68D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124,492,440.28</w:t>
            </w:r>
          </w:p>
        </w:tc>
      </w:tr>
      <w:tr w:rsidR="008C68D9" w:rsidRPr="006506EF" w:rsidTr="008C68D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0.3176</w:t>
            </w:r>
          </w:p>
        </w:tc>
      </w:tr>
      <w:tr w:rsidR="008C68D9" w:rsidRPr="006506EF" w:rsidTr="008C68D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506,313,621.19</w:t>
            </w:r>
          </w:p>
        </w:tc>
      </w:tr>
      <w:tr w:rsidR="008C68D9" w:rsidRPr="006506EF" w:rsidTr="008C68D9">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1.475</w:t>
            </w:r>
          </w:p>
        </w:tc>
      </w:tr>
    </w:tbl>
    <w:p w:rsidR="00B83ED6" w:rsidRDefault="0082705B">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lastRenderedPageBreak/>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B83ED6">
        <w:tc>
          <w:tcPr>
            <w:tcW w:w="1395" w:type="dxa"/>
            <w:vAlign w:val="center"/>
          </w:tcPr>
          <w:p w:rsidR="00B83ED6" w:rsidRDefault="0082705B">
            <w:pPr>
              <w:jc w:val="left"/>
            </w:pPr>
            <w:r>
              <w:rPr>
                <w:color w:val="000000"/>
                <w:kern w:val="0"/>
                <w:sz w:val="24"/>
                <w:szCs w:val="24"/>
              </w:rPr>
              <w:t>过去三个月</w:t>
            </w:r>
          </w:p>
        </w:tc>
        <w:tc>
          <w:tcPr>
            <w:tcW w:w="1092" w:type="dxa"/>
            <w:vAlign w:val="center"/>
          </w:tcPr>
          <w:p w:rsidR="00B83ED6" w:rsidRDefault="0082705B">
            <w:pPr>
              <w:jc w:val="center"/>
            </w:pPr>
            <w:r>
              <w:rPr>
                <w:color w:val="000000"/>
                <w:kern w:val="0"/>
                <w:sz w:val="24"/>
                <w:szCs w:val="24"/>
              </w:rPr>
              <w:t>27.48%</w:t>
            </w:r>
          </w:p>
        </w:tc>
        <w:tc>
          <w:tcPr>
            <w:tcW w:w="1161" w:type="dxa"/>
            <w:vAlign w:val="center"/>
          </w:tcPr>
          <w:p w:rsidR="00B83ED6" w:rsidRDefault="0082705B">
            <w:pPr>
              <w:jc w:val="center"/>
            </w:pPr>
            <w:r>
              <w:rPr>
                <w:color w:val="000000"/>
                <w:kern w:val="0"/>
                <w:sz w:val="24"/>
                <w:szCs w:val="24"/>
              </w:rPr>
              <w:t>1.11%</w:t>
            </w:r>
          </w:p>
        </w:tc>
        <w:tc>
          <w:tcPr>
            <w:tcW w:w="1181" w:type="dxa"/>
            <w:vAlign w:val="center"/>
          </w:tcPr>
          <w:p w:rsidR="00B83ED6" w:rsidRDefault="0082705B">
            <w:pPr>
              <w:jc w:val="center"/>
            </w:pPr>
            <w:r>
              <w:rPr>
                <w:color w:val="000000"/>
                <w:kern w:val="0"/>
                <w:sz w:val="24"/>
                <w:szCs w:val="24"/>
              </w:rPr>
              <w:t>8.97%</w:t>
            </w:r>
          </w:p>
        </w:tc>
        <w:tc>
          <w:tcPr>
            <w:tcW w:w="1188" w:type="dxa"/>
            <w:vAlign w:val="center"/>
          </w:tcPr>
          <w:p w:rsidR="00B83ED6" w:rsidRDefault="0082705B">
            <w:pPr>
              <w:jc w:val="center"/>
            </w:pPr>
            <w:r>
              <w:rPr>
                <w:color w:val="000000"/>
                <w:kern w:val="0"/>
                <w:sz w:val="24"/>
                <w:szCs w:val="24"/>
              </w:rPr>
              <w:t>0.60%</w:t>
            </w:r>
          </w:p>
        </w:tc>
        <w:tc>
          <w:tcPr>
            <w:tcW w:w="1199" w:type="dxa"/>
            <w:vAlign w:val="center"/>
          </w:tcPr>
          <w:p w:rsidR="00B83ED6" w:rsidRDefault="0082705B">
            <w:pPr>
              <w:jc w:val="center"/>
            </w:pPr>
            <w:r>
              <w:rPr>
                <w:color w:val="000000"/>
                <w:kern w:val="0"/>
                <w:sz w:val="24"/>
                <w:szCs w:val="24"/>
              </w:rPr>
              <w:t>18.51%</w:t>
            </w:r>
          </w:p>
        </w:tc>
        <w:tc>
          <w:tcPr>
            <w:tcW w:w="1204" w:type="dxa"/>
            <w:vAlign w:val="center"/>
          </w:tcPr>
          <w:p w:rsidR="00B83ED6" w:rsidRDefault="0082705B">
            <w:pPr>
              <w:jc w:val="center"/>
            </w:pPr>
            <w:r>
              <w:rPr>
                <w:color w:val="000000"/>
                <w:kern w:val="0"/>
                <w:sz w:val="24"/>
                <w:szCs w:val="24"/>
              </w:rPr>
              <w:t>0.51%</w:t>
            </w:r>
          </w:p>
        </w:tc>
      </w:tr>
      <w:tr w:rsidR="00B83ED6">
        <w:tc>
          <w:tcPr>
            <w:tcW w:w="1395" w:type="dxa"/>
            <w:vAlign w:val="center"/>
          </w:tcPr>
          <w:p w:rsidR="00B83ED6" w:rsidRDefault="0082705B">
            <w:pPr>
              <w:jc w:val="left"/>
            </w:pPr>
            <w:r>
              <w:rPr>
                <w:color w:val="000000"/>
                <w:kern w:val="0"/>
                <w:sz w:val="24"/>
                <w:szCs w:val="24"/>
              </w:rPr>
              <w:t>过去六个月</w:t>
            </w:r>
          </w:p>
        </w:tc>
        <w:tc>
          <w:tcPr>
            <w:tcW w:w="1092" w:type="dxa"/>
            <w:vAlign w:val="center"/>
          </w:tcPr>
          <w:p w:rsidR="00B83ED6" w:rsidRDefault="0082705B">
            <w:pPr>
              <w:jc w:val="center"/>
            </w:pPr>
            <w:r>
              <w:rPr>
                <w:color w:val="000000"/>
                <w:kern w:val="0"/>
                <w:sz w:val="24"/>
                <w:szCs w:val="24"/>
              </w:rPr>
              <w:t>16.60%</w:t>
            </w:r>
          </w:p>
        </w:tc>
        <w:tc>
          <w:tcPr>
            <w:tcW w:w="1161" w:type="dxa"/>
            <w:vAlign w:val="center"/>
          </w:tcPr>
          <w:p w:rsidR="00B83ED6" w:rsidRDefault="0082705B">
            <w:pPr>
              <w:jc w:val="center"/>
            </w:pPr>
            <w:r>
              <w:rPr>
                <w:color w:val="000000"/>
                <w:kern w:val="0"/>
                <w:sz w:val="24"/>
                <w:szCs w:val="24"/>
              </w:rPr>
              <w:t>1.73%</w:t>
            </w:r>
          </w:p>
        </w:tc>
        <w:tc>
          <w:tcPr>
            <w:tcW w:w="1181" w:type="dxa"/>
            <w:vAlign w:val="center"/>
          </w:tcPr>
          <w:p w:rsidR="00B83ED6" w:rsidRDefault="0082705B">
            <w:pPr>
              <w:jc w:val="center"/>
            </w:pPr>
            <w:r>
              <w:rPr>
                <w:color w:val="000000"/>
                <w:kern w:val="0"/>
                <w:sz w:val="24"/>
                <w:szCs w:val="24"/>
              </w:rPr>
              <w:t>3.16%</w:t>
            </w:r>
          </w:p>
        </w:tc>
        <w:tc>
          <w:tcPr>
            <w:tcW w:w="1188" w:type="dxa"/>
            <w:vAlign w:val="center"/>
          </w:tcPr>
          <w:p w:rsidR="00B83ED6" w:rsidRDefault="0082705B">
            <w:pPr>
              <w:jc w:val="center"/>
            </w:pPr>
            <w:r>
              <w:rPr>
                <w:color w:val="000000"/>
                <w:kern w:val="0"/>
                <w:sz w:val="24"/>
                <w:szCs w:val="24"/>
              </w:rPr>
              <w:t>1.01%</w:t>
            </w:r>
          </w:p>
        </w:tc>
        <w:tc>
          <w:tcPr>
            <w:tcW w:w="1199" w:type="dxa"/>
            <w:vAlign w:val="center"/>
          </w:tcPr>
          <w:p w:rsidR="00B83ED6" w:rsidRDefault="0082705B">
            <w:pPr>
              <w:jc w:val="center"/>
            </w:pPr>
            <w:r>
              <w:rPr>
                <w:color w:val="000000"/>
                <w:kern w:val="0"/>
                <w:sz w:val="24"/>
                <w:szCs w:val="24"/>
              </w:rPr>
              <w:t>13.44%</w:t>
            </w:r>
          </w:p>
        </w:tc>
        <w:tc>
          <w:tcPr>
            <w:tcW w:w="1204" w:type="dxa"/>
            <w:vAlign w:val="center"/>
          </w:tcPr>
          <w:p w:rsidR="00B83ED6" w:rsidRDefault="0082705B">
            <w:pPr>
              <w:jc w:val="center"/>
            </w:pPr>
            <w:r>
              <w:rPr>
                <w:color w:val="000000"/>
                <w:kern w:val="0"/>
                <w:sz w:val="24"/>
                <w:szCs w:val="24"/>
              </w:rPr>
              <w:t>0.72%</w:t>
            </w:r>
          </w:p>
        </w:tc>
      </w:tr>
      <w:tr w:rsidR="00B83ED6">
        <w:tc>
          <w:tcPr>
            <w:tcW w:w="1395" w:type="dxa"/>
            <w:vAlign w:val="center"/>
          </w:tcPr>
          <w:p w:rsidR="00B83ED6" w:rsidRDefault="0082705B">
            <w:pPr>
              <w:jc w:val="left"/>
            </w:pPr>
            <w:r>
              <w:rPr>
                <w:color w:val="000000"/>
                <w:kern w:val="0"/>
                <w:sz w:val="24"/>
                <w:szCs w:val="24"/>
              </w:rPr>
              <w:t>过去一年</w:t>
            </w:r>
          </w:p>
        </w:tc>
        <w:tc>
          <w:tcPr>
            <w:tcW w:w="1092" w:type="dxa"/>
            <w:vAlign w:val="center"/>
          </w:tcPr>
          <w:p w:rsidR="00B83ED6" w:rsidRDefault="0082705B">
            <w:pPr>
              <w:jc w:val="center"/>
            </w:pPr>
            <w:r>
              <w:rPr>
                <w:color w:val="000000"/>
                <w:kern w:val="0"/>
                <w:sz w:val="24"/>
                <w:szCs w:val="24"/>
              </w:rPr>
              <w:t>28.48%</w:t>
            </w:r>
          </w:p>
        </w:tc>
        <w:tc>
          <w:tcPr>
            <w:tcW w:w="1161" w:type="dxa"/>
            <w:vAlign w:val="center"/>
          </w:tcPr>
          <w:p w:rsidR="00B83ED6" w:rsidRDefault="0082705B">
            <w:pPr>
              <w:jc w:val="center"/>
            </w:pPr>
            <w:r>
              <w:rPr>
                <w:color w:val="000000"/>
                <w:kern w:val="0"/>
                <w:sz w:val="24"/>
                <w:szCs w:val="24"/>
              </w:rPr>
              <w:t>1.43%</w:t>
            </w:r>
          </w:p>
        </w:tc>
        <w:tc>
          <w:tcPr>
            <w:tcW w:w="1181" w:type="dxa"/>
            <w:vAlign w:val="center"/>
          </w:tcPr>
          <w:p w:rsidR="00B83ED6" w:rsidRDefault="0082705B">
            <w:pPr>
              <w:jc w:val="center"/>
            </w:pPr>
            <w:r>
              <w:rPr>
                <w:color w:val="000000"/>
                <w:kern w:val="0"/>
                <w:sz w:val="24"/>
                <w:szCs w:val="24"/>
              </w:rPr>
              <w:t>8.16%</w:t>
            </w:r>
          </w:p>
        </w:tc>
        <w:tc>
          <w:tcPr>
            <w:tcW w:w="1188" w:type="dxa"/>
            <w:vAlign w:val="center"/>
          </w:tcPr>
          <w:p w:rsidR="00B83ED6" w:rsidRDefault="0082705B">
            <w:pPr>
              <w:jc w:val="center"/>
            </w:pPr>
            <w:r>
              <w:rPr>
                <w:color w:val="000000"/>
                <w:kern w:val="0"/>
                <w:sz w:val="24"/>
                <w:szCs w:val="24"/>
              </w:rPr>
              <w:t>0.81%</w:t>
            </w:r>
          </w:p>
        </w:tc>
        <w:tc>
          <w:tcPr>
            <w:tcW w:w="1199" w:type="dxa"/>
            <w:vAlign w:val="center"/>
          </w:tcPr>
          <w:p w:rsidR="00B83ED6" w:rsidRDefault="0082705B">
            <w:pPr>
              <w:jc w:val="center"/>
            </w:pPr>
            <w:r>
              <w:rPr>
                <w:color w:val="000000"/>
                <w:kern w:val="0"/>
                <w:sz w:val="24"/>
                <w:szCs w:val="24"/>
              </w:rPr>
              <w:t>20.32%</w:t>
            </w:r>
          </w:p>
        </w:tc>
        <w:tc>
          <w:tcPr>
            <w:tcW w:w="1204" w:type="dxa"/>
            <w:vAlign w:val="center"/>
          </w:tcPr>
          <w:p w:rsidR="00B83ED6" w:rsidRDefault="0082705B">
            <w:pPr>
              <w:jc w:val="center"/>
            </w:pPr>
            <w:r>
              <w:rPr>
                <w:color w:val="000000"/>
                <w:kern w:val="0"/>
                <w:sz w:val="24"/>
                <w:szCs w:val="24"/>
              </w:rPr>
              <w:t>0.62%</w:t>
            </w:r>
          </w:p>
        </w:tc>
      </w:tr>
      <w:tr w:rsidR="00B83ED6">
        <w:tc>
          <w:tcPr>
            <w:tcW w:w="1395" w:type="dxa"/>
            <w:vAlign w:val="center"/>
          </w:tcPr>
          <w:p w:rsidR="00B83ED6" w:rsidRDefault="0082705B">
            <w:pPr>
              <w:jc w:val="left"/>
            </w:pPr>
            <w:r>
              <w:rPr>
                <w:color w:val="000000"/>
                <w:kern w:val="0"/>
                <w:sz w:val="24"/>
                <w:szCs w:val="24"/>
              </w:rPr>
              <w:t>过去三年</w:t>
            </w:r>
          </w:p>
        </w:tc>
        <w:tc>
          <w:tcPr>
            <w:tcW w:w="1092" w:type="dxa"/>
            <w:vAlign w:val="center"/>
          </w:tcPr>
          <w:p w:rsidR="00B83ED6" w:rsidRDefault="0082705B">
            <w:pPr>
              <w:jc w:val="center"/>
            </w:pPr>
            <w:r>
              <w:rPr>
                <w:color w:val="000000"/>
                <w:kern w:val="0"/>
                <w:sz w:val="24"/>
                <w:szCs w:val="24"/>
              </w:rPr>
              <w:t>-</w:t>
            </w:r>
          </w:p>
        </w:tc>
        <w:tc>
          <w:tcPr>
            <w:tcW w:w="1161" w:type="dxa"/>
            <w:vAlign w:val="center"/>
          </w:tcPr>
          <w:p w:rsidR="00B83ED6" w:rsidRDefault="0082705B">
            <w:pPr>
              <w:jc w:val="center"/>
            </w:pPr>
            <w:r>
              <w:rPr>
                <w:color w:val="000000"/>
                <w:kern w:val="0"/>
                <w:sz w:val="24"/>
                <w:szCs w:val="24"/>
              </w:rPr>
              <w:t>-</w:t>
            </w:r>
          </w:p>
        </w:tc>
        <w:tc>
          <w:tcPr>
            <w:tcW w:w="1181" w:type="dxa"/>
            <w:vAlign w:val="center"/>
          </w:tcPr>
          <w:p w:rsidR="00B83ED6" w:rsidRDefault="0082705B">
            <w:pPr>
              <w:jc w:val="center"/>
            </w:pPr>
            <w:r>
              <w:rPr>
                <w:color w:val="000000"/>
                <w:kern w:val="0"/>
                <w:sz w:val="24"/>
                <w:szCs w:val="24"/>
              </w:rPr>
              <w:t>-</w:t>
            </w:r>
          </w:p>
        </w:tc>
        <w:tc>
          <w:tcPr>
            <w:tcW w:w="1188" w:type="dxa"/>
            <w:vAlign w:val="center"/>
          </w:tcPr>
          <w:p w:rsidR="00B83ED6" w:rsidRDefault="0082705B">
            <w:pPr>
              <w:jc w:val="center"/>
            </w:pPr>
            <w:r>
              <w:rPr>
                <w:color w:val="000000"/>
                <w:kern w:val="0"/>
                <w:sz w:val="24"/>
                <w:szCs w:val="24"/>
              </w:rPr>
              <w:t>-</w:t>
            </w:r>
          </w:p>
        </w:tc>
        <w:tc>
          <w:tcPr>
            <w:tcW w:w="1199" w:type="dxa"/>
            <w:vAlign w:val="center"/>
          </w:tcPr>
          <w:p w:rsidR="00B83ED6" w:rsidRDefault="0082705B">
            <w:pPr>
              <w:jc w:val="center"/>
            </w:pPr>
            <w:r>
              <w:rPr>
                <w:color w:val="000000"/>
                <w:kern w:val="0"/>
                <w:sz w:val="24"/>
                <w:szCs w:val="24"/>
              </w:rPr>
              <w:t>-</w:t>
            </w:r>
          </w:p>
        </w:tc>
        <w:tc>
          <w:tcPr>
            <w:tcW w:w="1204" w:type="dxa"/>
            <w:vAlign w:val="center"/>
          </w:tcPr>
          <w:p w:rsidR="00B83ED6" w:rsidRDefault="0082705B">
            <w:pPr>
              <w:jc w:val="center"/>
            </w:pPr>
            <w:r>
              <w:rPr>
                <w:color w:val="000000"/>
                <w:kern w:val="0"/>
                <w:sz w:val="24"/>
                <w:szCs w:val="24"/>
              </w:rPr>
              <w:t>-</w:t>
            </w:r>
          </w:p>
        </w:tc>
      </w:tr>
      <w:tr w:rsidR="00B83ED6">
        <w:tc>
          <w:tcPr>
            <w:tcW w:w="1395" w:type="dxa"/>
            <w:vAlign w:val="center"/>
          </w:tcPr>
          <w:p w:rsidR="00B83ED6" w:rsidRDefault="0082705B">
            <w:pPr>
              <w:jc w:val="left"/>
            </w:pPr>
            <w:r>
              <w:rPr>
                <w:color w:val="000000"/>
                <w:kern w:val="0"/>
                <w:sz w:val="24"/>
                <w:szCs w:val="24"/>
              </w:rPr>
              <w:t>过去五年</w:t>
            </w:r>
          </w:p>
        </w:tc>
        <w:tc>
          <w:tcPr>
            <w:tcW w:w="1092" w:type="dxa"/>
            <w:vAlign w:val="center"/>
          </w:tcPr>
          <w:p w:rsidR="00B83ED6" w:rsidRDefault="0082705B">
            <w:pPr>
              <w:jc w:val="center"/>
            </w:pPr>
            <w:r>
              <w:rPr>
                <w:color w:val="000000"/>
                <w:kern w:val="0"/>
                <w:sz w:val="24"/>
                <w:szCs w:val="24"/>
              </w:rPr>
              <w:t>-</w:t>
            </w:r>
          </w:p>
        </w:tc>
        <w:tc>
          <w:tcPr>
            <w:tcW w:w="1161" w:type="dxa"/>
            <w:vAlign w:val="center"/>
          </w:tcPr>
          <w:p w:rsidR="00B83ED6" w:rsidRDefault="0082705B">
            <w:pPr>
              <w:jc w:val="center"/>
            </w:pPr>
            <w:r>
              <w:rPr>
                <w:color w:val="000000"/>
                <w:kern w:val="0"/>
                <w:sz w:val="24"/>
                <w:szCs w:val="24"/>
              </w:rPr>
              <w:t>-</w:t>
            </w:r>
          </w:p>
        </w:tc>
        <w:tc>
          <w:tcPr>
            <w:tcW w:w="1181" w:type="dxa"/>
            <w:vAlign w:val="center"/>
          </w:tcPr>
          <w:p w:rsidR="00B83ED6" w:rsidRDefault="0082705B">
            <w:pPr>
              <w:jc w:val="center"/>
            </w:pPr>
            <w:r>
              <w:rPr>
                <w:color w:val="000000"/>
                <w:kern w:val="0"/>
                <w:sz w:val="24"/>
                <w:szCs w:val="24"/>
              </w:rPr>
              <w:t>-</w:t>
            </w:r>
          </w:p>
        </w:tc>
        <w:tc>
          <w:tcPr>
            <w:tcW w:w="1188" w:type="dxa"/>
            <w:vAlign w:val="center"/>
          </w:tcPr>
          <w:p w:rsidR="00B83ED6" w:rsidRDefault="0082705B">
            <w:pPr>
              <w:jc w:val="center"/>
            </w:pPr>
            <w:r>
              <w:rPr>
                <w:color w:val="000000"/>
                <w:kern w:val="0"/>
                <w:sz w:val="24"/>
                <w:szCs w:val="24"/>
              </w:rPr>
              <w:t>-</w:t>
            </w:r>
          </w:p>
        </w:tc>
        <w:tc>
          <w:tcPr>
            <w:tcW w:w="1199" w:type="dxa"/>
            <w:vAlign w:val="center"/>
          </w:tcPr>
          <w:p w:rsidR="00B83ED6" w:rsidRDefault="0082705B">
            <w:pPr>
              <w:jc w:val="center"/>
            </w:pPr>
            <w:r>
              <w:rPr>
                <w:color w:val="000000"/>
                <w:kern w:val="0"/>
                <w:sz w:val="24"/>
                <w:szCs w:val="24"/>
              </w:rPr>
              <w:t>-</w:t>
            </w:r>
          </w:p>
        </w:tc>
        <w:tc>
          <w:tcPr>
            <w:tcW w:w="1204" w:type="dxa"/>
            <w:vAlign w:val="center"/>
          </w:tcPr>
          <w:p w:rsidR="00B83ED6" w:rsidRDefault="0082705B">
            <w:pPr>
              <w:jc w:val="center"/>
            </w:pPr>
            <w:r>
              <w:rPr>
                <w:color w:val="000000"/>
                <w:kern w:val="0"/>
                <w:sz w:val="24"/>
                <w:szCs w:val="24"/>
              </w:rPr>
              <w:t>-</w:t>
            </w:r>
          </w:p>
        </w:tc>
      </w:tr>
      <w:tr w:rsidR="00B83ED6">
        <w:tc>
          <w:tcPr>
            <w:tcW w:w="1395" w:type="dxa"/>
            <w:vAlign w:val="center"/>
          </w:tcPr>
          <w:p w:rsidR="00B83ED6" w:rsidRDefault="0082705B">
            <w:pPr>
              <w:jc w:val="left"/>
            </w:pPr>
            <w:r>
              <w:rPr>
                <w:color w:val="000000"/>
                <w:kern w:val="0"/>
                <w:sz w:val="24"/>
                <w:szCs w:val="24"/>
              </w:rPr>
              <w:t>自基金合同生效起至今</w:t>
            </w:r>
          </w:p>
        </w:tc>
        <w:tc>
          <w:tcPr>
            <w:tcW w:w="1092" w:type="dxa"/>
            <w:vAlign w:val="center"/>
          </w:tcPr>
          <w:p w:rsidR="00B83ED6" w:rsidRDefault="0082705B">
            <w:pPr>
              <w:jc w:val="center"/>
            </w:pPr>
            <w:r>
              <w:rPr>
                <w:color w:val="000000"/>
                <w:kern w:val="0"/>
                <w:sz w:val="24"/>
                <w:szCs w:val="24"/>
              </w:rPr>
              <w:t>47.50%</w:t>
            </w:r>
          </w:p>
        </w:tc>
        <w:tc>
          <w:tcPr>
            <w:tcW w:w="1161" w:type="dxa"/>
            <w:vAlign w:val="center"/>
          </w:tcPr>
          <w:p w:rsidR="00B83ED6" w:rsidRDefault="0082705B">
            <w:pPr>
              <w:jc w:val="center"/>
            </w:pPr>
            <w:r>
              <w:rPr>
                <w:color w:val="000000"/>
                <w:kern w:val="0"/>
                <w:sz w:val="24"/>
                <w:szCs w:val="24"/>
              </w:rPr>
              <w:t>1.57%</w:t>
            </w:r>
          </w:p>
        </w:tc>
        <w:tc>
          <w:tcPr>
            <w:tcW w:w="1181" w:type="dxa"/>
            <w:vAlign w:val="center"/>
          </w:tcPr>
          <w:p w:rsidR="00B83ED6" w:rsidRDefault="0082705B">
            <w:pPr>
              <w:jc w:val="center"/>
            </w:pPr>
            <w:r>
              <w:rPr>
                <w:color w:val="000000"/>
                <w:kern w:val="0"/>
                <w:sz w:val="24"/>
                <w:szCs w:val="24"/>
              </w:rPr>
              <w:t>0.58%</w:t>
            </w:r>
          </w:p>
        </w:tc>
        <w:tc>
          <w:tcPr>
            <w:tcW w:w="1188" w:type="dxa"/>
            <w:vAlign w:val="center"/>
          </w:tcPr>
          <w:p w:rsidR="00B83ED6" w:rsidRDefault="0082705B">
            <w:pPr>
              <w:jc w:val="center"/>
            </w:pPr>
            <w:r>
              <w:rPr>
                <w:color w:val="000000"/>
                <w:kern w:val="0"/>
                <w:sz w:val="24"/>
                <w:szCs w:val="24"/>
              </w:rPr>
              <w:t>0.87%</w:t>
            </w:r>
          </w:p>
        </w:tc>
        <w:tc>
          <w:tcPr>
            <w:tcW w:w="1199" w:type="dxa"/>
            <w:vAlign w:val="center"/>
          </w:tcPr>
          <w:p w:rsidR="00B83ED6" w:rsidRDefault="0082705B">
            <w:pPr>
              <w:jc w:val="center"/>
            </w:pPr>
            <w:r>
              <w:rPr>
                <w:color w:val="000000"/>
                <w:kern w:val="0"/>
                <w:sz w:val="24"/>
                <w:szCs w:val="24"/>
              </w:rPr>
              <w:t>46.92%</w:t>
            </w:r>
          </w:p>
        </w:tc>
        <w:tc>
          <w:tcPr>
            <w:tcW w:w="1204" w:type="dxa"/>
            <w:vAlign w:val="center"/>
          </w:tcPr>
          <w:p w:rsidR="00B83ED6" w:rsidRDefault="0082705B">
            <w:pPr>
              <w:jc w:val="center"/>
            </w:pPr>
            <w:r>
              <w:rPr>
                <w:color w:val="000000"/>
                <w:kern w:val="0"/>
                <w:sz w:val="24"/>
                <w:szCs w:val="24"/>
              </w:rPr>
              <w:t>0.70%</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易方达现代服务业灵活配置混合型证券投资基金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2017</w:t>
      </w:r>
      <w:r w:rsidRPr="0074694E">
        <w:rPr>
          <w:rFonts w:ascii="Times New Roman" w:hAnsi="Times New Roman"/>
          <w:sz w:val="24"/>
          <w:szCs w:val="24"/>
        </w:rPr>
        <w:t>年</w:t>
      </w:r>
      <w:r w:rsidRPr="0074694E">
        <w:rPr>
          <w:rFonts w:ascii="Times New Roman" w:hAnsi="Times New Roman"/>
          <w:sz w:val="24"/>
          <w:szCs w:val="24"/>
        </w:rPr>
        <w:t>11</w:t>
      </w:r>
      <w:r w:rsidRPr="0074694E">
        <w:rPr>
          <w:rFonts w:ascii="Times New Roman" w:hAnsi="Times New Roman"/>
          <w:sz w:val="24"/>
          <w:szCs w:val="24"/>
        </w:rPr>
        <w:t>月</w:t>
      </w:r>
      <w:r w:rsidRPr="0074694E">
        <w:rPr>
          <w:rFonts w:ascii="Times New Roman" w:hAnsi="Times New Roman"/>
          <w:sz w:val="24"/>
          <w:szCs w:val="24"/>
        </w:rPr>
        <w:t>22</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8C68D9" w:rsidP="004061AC">
      <w:pPr>
        <w:pStyle w:val="a5"/>
        <w:snapToGrid w:val="0"/>
        <w:spacing w:before="120" w:line="360" w:lineRule="auto"/>
        <w:jc w:val="center"/>
        <w:rPr>
          <w:rFonts w:hAnsi="宋体"/>
          <w:color w:val="000000"/>
          <w:sz w:val="24"/>
          <w:szCs w:val="24"/>
        </w:rPr>
      </w:pPr>
      <w:r>
        <w:rPr>
          <w:rFonts w:hAnsi="宋体"/>
          <w:noProof/>
          <w:color w:val="000000"/>
          <w:sz w:val="24"/>
          <w:szCs w:val="24"/>
        </w:rPr>
        <w:drawing>
          <wp:inline distT="0" distB="0" distL="0" distR="0">
            <wp:extent cx="5234940" cy="3064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4940" cy="3064510"/>
                    </a:xfrm>
                    <a:prstGeom prst="rect">
                      <a:avLst/>
                    </a:prstGeom>
                    <a:noFill/>
                    <a:ln>
                      <a:noFill/>
                    </a:ln>
                  </pic:spPr>
                </pic:pic>
              </a:graphicData>
            </a:graphic>
          </wp:inline>
        </w:drawing>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47.50%</w:t>
      </w:r>
      <w:r w:rsidRPr="006C56AA">
        <w:rPr>
          <w:color w:val="000000"/>
          <w:sz w:val="24"/>
          <w:szCs w:val="24"/>
        </w:rPr>
        <w:t>，同期业</w:t>
      </w:r>
      <w:r w:rsidRPr="006C56AA">
        <w:rPr>
          <w:color w:val="000000"/>
          <w:sz w:val="24"/>
          <w:szCs w:val="24"/>
        </w:rPr>
        <w:lastRenderedPageBreak/>
        <w:t>绩比较基准收益率为</w:t>
      </w:r>
      <w:r w:rsidRPr="006C56AA">
        <w:rPr>
          <w:color w:val="000000"/>
          <w:sz w:val="24"/>
          <w:szCs w:val="24"/>
        </w:rPr>
        <w:t>0.58%</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B83ED6">
        <w:tc>
          <w:tcPr>
            <w:tcW w:w="567" w:type="dxa"/>
            <w:vAlign w:val="center"/>
          </w:tcPr>
          <w:p w:rsidR="00B83ED6" w:rsidRDefault="0082705B">
            <w:pPr>
              <w:jc w:val="center"/>
            </w:pPr>
            <w:r>
              <w:rPr>
                <w:color w:val="000000"/>
                <w:sz w:val="24"/>
              </w:rPr>
              <w:t>萧楠</w:t>
            </w:r>
          </w:p>
        </w:tc>
        <w:tc>
          <w:tcPr>
            <w:tcW w:w="2835" w:type="dxa"/>
            <w:vAlign w:val="center"/>
          </w:tcPr>
          <w:p w:rsidR="00B83ED6" w:rsidRDefault="0082705B">
            <w:pPr>
              <w:jc w:val="left"/>
            </w:pPr>
            <w:r>
              <w:rPr>
                <w:color w:val="000000"/>
                <w:sz w:val="24"/>
              </w:rPr>
              <w:t>本基金的基金经理、易方达消费行业股票型证券投资基金的基金经理、易方达大健康主题灵活配置混合型证券投资基金的基金经理、易方达瑞恒灵活配置混合型证券投资基金的基金经理、易方达科顺定期开放灵活配置混合型证券投资基金的基金经理、易方达消费精选股票型证券投资基金的基金经理、投资三部总经理、研究部副总经理</w:t>
            </w:r>
          </w:p>
        </w:tc>
        <w:tc>
          <w:tcPr>
            <w:tcW w:w="851" w:type="dxa"/>
            <w:vAlign w:val="center"/>
          </w:tcPr>
          <w:p w:rsidR="00B83ED6" w:rsidRDefault="0082705B">
            <w:pPr>
              <w:jc w:val="center"/>
            </w:pPr>
            <w:r>
              <w:rPr>
                <w:color w:val="000000"/>
                <w:sz w:val="24"/>
              </w:rPr>
              <w:t>2017-11-22</w:t>
            </w:r>
          </w:p>
        </w:tc>
        <w:tc>
          <w:tcPr>
            <w:tcW w:w="850" w:type="dxa"/>
            <w:vAlign w:val="center"/>
          </w:tcPr>
          <w:p w:rsidR="00B83ED6" w:rsidRDefault="0082705B">
            <w:pPr>
              <w:jc w:val="center"/>
            </w:pPr>
            <w:r>
              <w:rPr>
                <w:color w:val="000000"/>
                <w:sz w:val="24"/>
              </w:rPr>
              <w:t>2020-06-06</w:t>
            </w:r>
          </w:p>
        </w:tc>
        <w:tc>
          <w:tcPr>
            <w:tcW w:w="851" w:type="dxa"/>
            <w:vAlign w:val="center"/>
          </w:tcPr>
          <w:p w:rsidR="00B83ED6" w:rsidRDefault="0082705B">
            <w:pPr>
              <w:jc w:val="center"/>
            </w:pPr>
            <w:r>
              <w:rPr>
                <w:color w:val="000000"/>
                <w:sz w:val="24"/>
              </w:rPr>
              <w:t>14</w:t>
            </w:r>
            <w:r>
              <w:rPr>
                <w:color w:val="000000"/>
                <w:sz w:val="24"/>
              </w:rPr>
              <w:t>年</w:t>
            </w:r>
          </w:p>
        </w:tc>
        <w:tc>
          <w:tcPr>
            <w:tcW w:w="2977" w:type="dxa"/>
            <w:vAlign w:val="center"/>
          </w:tcPr>
          <w:p w:rsidR="00B83ED6" w:rsidRDefault="0082705B">
            <w:r>
              <w:rPr>
                <w:color w:val="000000"/>
                <w:sz w:val="24"/>
              </w:rPr>
              <w:t>硕士研究生，具有基金从业资格。曾任易方达基金管理有限公司研究部行业研究员、基金投资部基金经理助理、投资经理、易方达裕如灵活配置混合型证券投资基金基金经理、易方达新享</w:t>
            </w:r>
            <w:r>
              <w:rPr>
                <w:color w:val="000000"/>
                <w:sz w:val="24"/>
              </w:rPr>
              <w:t>灵活配置混合型证券投资基金基金经理、易方达瑞和灵活配置混合型证券投资基金基金经理、易方达价值成长混合型证券投资基金基金经理助理。</w:t>
            </w:r>
          </w:p>
        </w:tc>
      </w:tr>
      <w:tr w:rsidR="00B83ED6">
        <w:tc>
          <w:tcPr>
            <w:tcW w:w="567" w:type="dxa"/>
            <w:vAlign w:val="center"/>
          </w:tcPr>
          <w:p w:rsidR="00B83ED6" w:rsidRDefault="0082705B">
            <w:pPr>
              <w:jc w:val="center"/>
            </w:pPr>
            <w:r>
              <w:rPr>
                <w:color w:val="000000"/>
                <w:sz w:val="24"/>
              </w:rPr>
              <w:t>王元春</w:t>
            </w:r>
          </w:p>
        </w:tc>
        <w:tc>
          <w:tcPr>
            <w:tcW w:w="2835" w:type="dxa"/>
            <w:vAlign w:val="center"/>
          </w:tcPr>
          <w:p w:rsidR="00B83ED6" w:rsidRDefault="0082705B">
            <w:pPr>
              <w:jc w:val="left"/>
            </w:pPr>
            <w:r>
              <w:rPr>
                <w:color w:val="000000"/>
                <w:sz w:val="24"/>
              </w:rPr>
              <w:t>本基金的基金经理、易方达瑞恒灵活配置混合型证券投资基金的基金经理、易方达消费行业股票型证券投资基金的基金经理助理</w:t>
            </w:r>
          </w:p>
        </w:tc>
        <w:tc>
          <w:tcPr>
            <w:tcW w:w="851" w:type="dxa"/>
            <w:vAlign w:val="center"/>
          </w:tcPr>
          <w:p w:rsidR="00B83ED6" w:rsidRDefault="0082705B">
            <w:pPr>
              <w:jc w:val="center"/>
            </w:pPr>
            <w:r>
              <w:rPr>
                <w:color w:val="000000"/>
                <w:sz w:val="24"/>
              </w:rPr>
              <w:t>2018-12-08</w:t>
            </w:r>
          </w:p>
        </w:tc>
        <w:tc>
          <w:tcPr>
            <w:tcW w:w="850" w:type="dxa"/>
            <w:vAlign w:val="center"/>
          </w:tcPr>
          <w:p w:rsidR="00B83ED6" w:rsidRDefault="0082705B">
            <w:pPr>
              <w:jc w:val="center"/>
            </w:pPr>
            <w:r>
              <w:rPr>
                <w:color w:val="000000"/>
                <w:sz w:val="24"/>
              </w:rPr>
              <w:t>-</w:t>
            </w:r>
          </w:p>
        </w:tc>
        <w:tc>
          <w:tcPr>
            <w:tcW w:w="851" w:type="dxa"/>
            <w:vAlign w:val="center"/>
          </w:tcPr>
          <w:p w:rsidR="00B83ED6" w:rsidRDefault="0082705B">
            <w:pPr>
              <w:jc w:val="center"/>
            </w:pPr>
            <w:r>
              <w:rPr>
                <w:color w:val="000000"/>
                <w:sz w:val="24"/>
              </w:rPr>
              <w:t>9</w:t>
            </w:r>
            <w:r>
              <w:rPr>
                <w:color w:val="000000"/>
                <w:sz w:val="24"/>
              </w:rPr>
              <w:t>年</w:t>
            </w:r>
          </w:p>
        </w:tc>
        <w:tc>
          <w:tcPr>
            <w:tcW w:w="2977" w:type="dxa"/>
            <w:vAlign w:val="center"/>
          </w:tcPr>
          <w:p w:rsidR="00B83ED6" w:rsidRDefault="0082705B">
            <w:r>
              <w:rPr>
                <w:color w:val="000000"/>
                <w:sz w:val="24"/>
              </w:rPr>
              <w:t>硕士研究生，具有基金从业资格。曾任广东新价值投资有限公司研究部行业研究员，光大永明资产管理股份有限公司研究部行业研究员，易方达基金管理有限公司研究部行业研究员、易方达现代服务业灵活配置混合型证券投资基金基金经理助理。</w:t>
            </w:r>
          </w:p>
        </w:tc>
      </w:tr>
    </w:tbl>
    <w:p w:rsidR="00B83ED6" w:rsidRDefault="0082705B">
      <w:pPr>
        <w:spacing w:line="360" w:lineRule="auto"/>
        <w:ind w:firstLineChars="200" w:firstLine="480"/>
        <w:rPr>
          <w:color w:val="000000"/>
          <w:sz w:val="24"/>
          <w:szCs w:val="24"/>
        </w:rPr>
      </w:pPr>
      <w:r>
        <w:rPr>
          <w:color w:val="000000"/>
          <w:sz w:val="24"/>
          <w:szCs w:val="24"/>
        </w:rPr>
        <w:t>注：</w:t>
      </w:r>
      <w:r>
        <w:rPr>
          <w:color w:val="000000"/>
          <w:sz w:val="24"/>
          <w:szCs w:val="24"/>
        </w:rPr>
        <w:t>1.</w:t>
      </w:r>
      <w:r>
        <w:rPr>
          <w:color w:val="000000"/>
          <w:sz w:val="24"/>
          <w:szCs w:val="24"/>
        </w:rPr>
        <w:t>对基金的首任基金经理，其</w:t>
      </w:r>
      <w:r>
        <w:rPr>
          <w:color w:val="000000"/>
          <w:sz w:val="24"/>
          <w:szCs w:val="24"/>
        </w:rPr>
        <w:t>“</w:t>
      </w:r>
      <w:r>
        <w:rPr>
          <w:color w:val="000000"/>
          <w:sz w:val="24"/>
          <w:szCs w:val="24"/>
        </w:rPr>
        <w:t>任职日期</w:t>
      </w:r>
      <w:r>
        <w:rPr>
          <w:color w:val="000000"/>
          <w:sz w:val="24"/>
          <w:szCs w:val="24"/>
        </w:rPr>
        <w:t>”</w:t>
      </w:r>
      <w:r>
        <w:rPr>
          <w:color w:val="000000"/>
          <w:sz w:val="24"/>
          <w:szCs w:val="24"/>
        </w:rPr>
        <w:t>为基金合同生效日，</w:t>
      </w:r>
      <w:r>
        <w:rPr>
          <w:color w:val="000000"/>
          <w:sz w:val="24"/>
          <w:szCs w:val="24"/>
        </w:rPr>
        <w:t>“</w:t>
      </w:r>
      <w:r>
        <w:rPr>
          <w:color w:val="000000"/>
          <w:sz w:val="24"/>
          <w:szCs w:val="24"/>
        </w:rPr>
        <w:t>离任日期</w:t>
      </w:r>
      <w:r>
        <w:rPr>
          <w:color w:val="000000"/>
          <w:sz w:val="24"/>
          <w:szCs w:val="24"/>
        </w:rPr>
        <w:t>”</w:t>
      </w:r>
      <w:r>
        <w:rPr>
          <w:color w:val="000000"/>
          <w:sz w:val="24"/>
          <w:szCs w:val="24"/>
        </w:rPr>
        <w:t>为根据公司决定确定的解聘日期；对此后的非首任基金经理，</w:t>
      </w:r>
      <w:r>
        <w:rPr>
          <w:color w:val="000000"/>
          <w:sz w:val="24"/>
          <w:szCs w:val="24"/>
        </w:rPr>
        <w:t>“</w:t>
      </w:r>
      <w:r>
        <w:rPr>
          <w:color w:val="000000"/>
          <w:sz w:val="24"/>
          <w:szCs w:val="24"/>
        </w:rPr>
        <w:t>任职日期</w:t>
      </w:r>
      <w:r>
        <w:rPr>
          <w:color w:val="000000"/>
          <w:sz w:val="24"/>
          <w:szCs w:val="24"/>
        </w:rPr>
        <w:t>”</w:t>
      </w:r>
      <w:r>
        <w:rPr>
          <w:color w:val="000000"/>
          <w:sz w:val="24"/>
          <w:szCs w:val="24"/>
        </w:rPr>
        <w:t>和</w:t>
      </w:r>
      <w:r>
        <w:rPr>
          <w:color w:val="000000"/>
          <w:sz w:val="24"/>
          <w:szCs w:val="24"/>
        </w:rPr>
        <w:t>“</w:t>
      </w:r>
      <w:r>
        <w:rPr>
          <w:color w:val="000000"/>
          <w:sz w:val="24"/>
          <w:szCs w:val="24"/>
        </w:rPr>
        <w:t>离任日期</w:t>
      </w:r>
      <w:r>
        <w:rPr>
          <w:color w:val="000000"/>
          <w:sz w:val="24"/>
          <w:szCs w:val="24"/>
        </w:rPr>
        <w:t>”</w:t>
      </w:r>
      <w:r>
        <w:rPr>
          <w:color w:val="000000"/>
          <w:sz w:val="24"/>
          <w:szCs w:val="24"/>
        </w:rPr>
        <w:t>分别指根据公司决定确定的聘任日期和解聘日期。</w:t>
      </w:r>
    </w:p>
    <w:p w:rsidR="00750D48" w:rsidRPr="00232B03" w:rsidRDefault="004D28A3" w:rsidP="004D28A3">
      <w:pPr>
        <w:spacing w:line="360" w:lineRule="auto"/>
        <w:ind w:firstLineChars="200" w:firstLine="480"/>
        <w:rPr>
          <w:color w:val="000000"/>
          <w:sz w:val="24"/>
          <w:szCs w:val="24"/>
        </w:rPr>
      </w:pPr>
      <w:r w:rsidRPr="004D28A3">
        <w:rPr>
          <w:color w:val="000000"/>
          <w:sz w:val="24"/>
          <w:szCs w:val="24"/>
        </w:rPr>
        <w:t>2.</w:t>
      </w:r>
      <w:r w:rsidRPr="004D28A3">
        <w:rPr>
          <w:color w:val="000000"/>
          <w:sz w:val="24"/>
          <w:szCs w:val="24"/>
        </w:rPr>
        <w:t>证券从业的含义遵从《证券业从业人员资格管理办法》的相关规定。</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lastRenderedPageBreak/>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Year" w:val="1899"/>
          <w:attr w:name="Month" w:val="12"/>
          <w:attr w:name="Day" w:val="30"/>
          <w:attr w:name="IsLunarDate" w:val="False"/>
          <w:attr w:name="IsROCDate" w:val="False"/>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Year" w:val="1899"/>
          <w:attr w:name="Month" w:val="12"/>
          <w:attr w:name="Day" w:val="30"/>
          <w:attr w:name="IsLunarDate" w:val="False"/>
          <w:attr w:name="IsROCDate" w:val="False"/>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B83ED6" w:rsidRDefault="0082705B">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B83ED6" w:rsidRDefault="0082705B">
      <w:pPr>
        <w:spacing w:line="360" w:lineRule="auto"/>
        <w:ind w:firstLineChars="200" w:firstLine="480"/>
        <w:rPr>
          <w:color w:val="000000"/>
          <w:sz w:val="24"/>
          <w:szCs w:val="24"/>
        </w:rPr>
      </w:pPr>
      <w:r>
        <w:rPr>
          <w:color w:val="000000"/>
          <w:sz w:val="24"/>
          <w:szCs w:val="24"/>
        </w:rPr>
        <w:t>在一季度疫情冲击全球经济以及市场之后，全球出现普遍的政策宽松，二季度</w:t>
      </w:r>
      <w:r>
        <w:rPr>
          <w:color w:val="000000"/>
          <w:sz w:val="24"/>
          <w:szCs w:val="24"/>
        </w:rPr>
        <w:t>A</w:t>
      </w:r>
      <w:r>
        <w:rPr>
          <w:color w:val="000000"/>
          <w:sz w:val="24"/>
          <w:szCs w:val="24"/>
        </w:rPr>
        <w:t>股市场有所上涨，但仍出现明显的结构分化，上证</w:t>
      </w:r>
      <w:r>
        <w:rPr>
          <w:color w:val="000000"/>
          <w:sz w:val="24"/>
          <w:szCs w:val="24"/>
        </w:rPr>
        <w:t>50</w:t>
      </w:r>
      <w:r>
        <w:rPr>
          <w:color w:val="000000"/>
          <w:sz w:val="24"/>
          <w:szCs w:val="24"/>
        </w:rPr>
        <w:t>在一季度下跌较多之后单季度上涨</w:t>
      </w:r>
      <w:r>
        <w:rPr>
          <w:color w:val="000000"/>
          <w:sz w:val="24"/>
          <w:szCs w:val="24"/>
        </w:rPr>
        <w:t>9.40%</w:t>
      </w:r>
      <w:r>
        <w:rPr>
          <w:color w:val="000000"/>
          <w:sz w:val="24"/>
          <w:szCs w:val="24"/>
        </w:rPr>
        <w:t>，创业板指数则继续大幅上涨</w:t>
      </w:r>
      <w:r>
        <w:rPr>
          <w:color w:val="000000"/>
          <w:sz w:val="24"/>
          <w:szCs w:val="24"/>
        </w:rPr>
        <w:t>30.25%</w:t>
      </w:r>
      <w:r>
        <w:rPr>
          <w:color w:val="000000"/>
          <w:sz w:val="24"/>
          <w:szCs w:val="24"/>
        </w:rPr>
        <w:t>。</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二季度表现较好，不过短期的业绩并不是我们最关心的话题，我们希望能够通过深度研究为投资人实现长期的回报，因此需要不断审视组合持仓以及市场上的其他投资机会。具体到二季度的运作上，除了坚守配置估值合理的生活性服务行业标的之外，我们发现原来投资的个别行业由于疫情影响和政策变化，行业内企业的竞争地位发生了逆转，因此我们减持了竞争优势被削弱的个股，转向投资了竞争优势被增强的企业。另外，我们注意到部分行业虽然面临各种负面</w:t>
      </w:r>
      <w:r w:rsidRPr="006C56AA">
        <w:rPr>
          <w:color w:val="000000"/>
          <w:sz w:val="24"/>
          <w:szCs w:val="24"/>
        </w:rPr>
        <w:lastRenderedPageBreak/>
        <w:t>因素，但较低的估值也隐含了较好的赔率，因此我们在二季度也增加了这些行业中具有深厚护城河的龙头企业的投资。</w:t>
      </w:r>
    </w:p>
    <w:p w:rsidR="00750D48" w:rsidRPr="00264E55" w:rsidRDefault="00750D48" w:rsidP="009E7C6A">
      <w:pPr>
        <w:spacing w:line="360" w:lineRule="auto"/>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1.475</w:t>
      </w:r>
      <w:r w:rsidRPr="006C56AA">
        <w:rPr>
          <w:color w:val="000000"/>
          <w:sz w:val="24"/>
          <w:szCs w:val="24"/>
        </w:rPr>
        <w:t>元，本报告期份额净值增长率为</w:t>
      </w:r>
      <w:r w:rsidRPr="006C56AA">
        <w:rPr>
          <w:color w:val="000000"/>
          <w:sz w:val="24"/>
          <w:szCs w:val="24"/>
        </w:rPr>
        <w:t>27.48%</w:t>
      </w:r>
      <w:r w:rsidRPr="006C56AA">
        <w:rPr>
          <w:color w:val="000000"/>
          <w:sz w:val="24"/>
          <w:szCs w:val="24"/>
        </w:rPr>
        <w:t>，同期业绩比较基准收益率为</w:t>
      </w:r>
      <w:r w:rsidRPr="006C56AA">
        <w:rPr>
          <w:color w:val="000000"/>
          <w:sz w:val="24"/>
          <w:szCs w:val="24"/>
        </w:rPr>
        <w:t>8.97%</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473,539,372.28</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92.37</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473,539,372.28</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92.37</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2,618,989.40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0.51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2,618,989.40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0.51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34,858,983.44</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6.80</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1,628,289.02</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0.32</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512,645,634.14</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lastRenderedPageBreak/>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334,211,577.68</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66.01</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12,766.32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980,523.15</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0.19</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105,125,637.13</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20.76</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33,208,868.00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6.56</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473,539,372.28</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93.53</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B83ED6">
        <w:tc>
          <w:tcPr>
            <w:tcW w:w="851" w:type="dxa"/>
            <w:vAlign w:val="center"/>
          </w:tcPr>
          <w:p w:rsidR="00B83ED6" w:rsidRDefault="0082705B">
            <w:pPr>
              <w:jc w:val="center"/>
            </w:pPr>
            <w:r>
              <w:rPr>
                <w:color w:val="000000"/>
                <w:kern w:val="0"/>
                <w:sz w:val="24"/>
                <w:szCs w:val="24"/>
              </w:rPr>
              <w:t>1</w:t>
            </w:r>
          </w:p>
        </w:tc>
        <w:tc>
          <w:tcPr>
            <w:tcW w:w="1276" w:type="dxa"/>
            <w:vAlign w:val="center"/>
          </w:tcPr>
          <w:p w:rsidR="00B83ED6" w:rsidRDefault="0082705B">
            <w:pPr>
              <w:jc w:val="center"/>
            </w:pPr>
            <w:r>
              <w:rPr>
                <w:color w:val="000000"/>
                <w:kern w:val="0"/>
                <w:sz w:val="24"/>
                <w:szCs w:val="24"/>
              </w:rPr>
              <w:t>600036</w:t>
            </w:r>
          </w:p>
        </w:tc>
        <w:tc>
          <w:tcPr>
            <w:tcW w:w="1418" w:type="dxa"/>
            <w:vAlign w:val="center"/>
          </w:tcPr>
          <w:p w:rsidR="00B83ED6" w:rsidRDefault="0082705B">
            <w:pPr>
              <w:jc w:val="center"/>
            </w:pPr>
            <w:r>
              <w:rPr>
                <w:color w:val="000000"/>
                <w:kern w:val="0"/>
                <w:sz w:val="24"/>
                <w:szCs w:val="24"/>
              </w:rPr>
              <w:t>招商银行</w:t>
            </w:r>
          </w:p>
        </w:tc>
        <w:tc>
          <w:tcPr>
            <w:tcW w:w="1701" w:type="dxa"/>
            <w:vAlign w:val="center"/>
          </w:tcPr>
          <w:p w:rsidR="00B83ED6" w:rsidRDefault="0082705B">
            <w:pPr>
              <w:jc w:val="right"/>
            </w:pPr>
            <w:r>
              <w:rPr>
                <w:color w:val="000000"/>
                <w:kern w:val="0"/>
                <w:sz w:val="24"/>
                <w:szCs w:val="24"/>
              </w:rPr>
              <w:t>1,400,401</w:t>
            </w:r>
          </w:p>
        </w:tc>
        <w:tc>
          <w:tcPr>
            <w:tcW w:w="1984" w:type="dxa"/>
            <w:vAlign w:val="center"/>
          </w:tcPr>
          <w:p w:rsidR="00B83ED6" w:rsidRDefault="0082705B">
            <w:pPr>
              <w:jc w:val="right"/>
            </w:pPr>
            <w:r>
              <w:rPr>
                <w:color w:val="000000"/>
                <w:kern w:val="0"/>
                <w:sz w:val="24"/>
                <w:szCs w:val="24"/>
              </w:rPr>
              <w:t>47,221,521.72</w:t>
            </w:r>
          </w:p>
        </w:tc>
        <w:tc>
          <w:tcPr>
            <w:tcW w:w="1559" w:type="dxa"/>
            <w:vAlign w:val="center"/>
          </w:tcPr>
          <w:p w:rsidR="00B83ED6" w:rsidRDefault="0082705B">
            <w:pPr>
              <w:jc w:val="right"/>
            </w:pPr>
            <w:r>
              <w:rPr>
                <w:color w:val="000000"/>
                <w:kern w:val="0"/>
                <w:sz w:val="24"/>
                <w:szCs w:val="24"/>
              </w:rPr>
              <w:t>9.33</w:t>
            </w:r>
          </w:p>
        </w:tc>
      </w:tr>
      <w:tr w:rsidR="00B83ED6">
        <w:tc>
          <w:tcPr>
            <w:tcW w:w="851" w:type="dxa"/>
            <w:vAlign w:val="center"/>
          </w:tcPr>
          <w:p w:rsidR="00B83ED6" w:rsidRDefault="0082705B">
            <w:pPr>
              <w:jc w:val="center"/>
            </w:pPr>
            <w:r>
              <w:rPr>
                <w:color w:val="000000"/>
                <w:kern w:val="0"/>
                <w:sz w:val="24"/>
                <w:szCs w:val="24"/>
              </w:rPr>
              <w:t>2</w:t>
            </w:r>
          </w:p>
        </w:tc>
        <w:tc>
          <w:tcPr>
            <w:tcW w:w="1276" w:type="dxa"/>
            <w:vAlign w:val="center"/>
          </w:tcPr>
          <w:p w:rsidR="00B83ED6" w:rsidRDefault="0082705B">
            <w:pPr>
              <w:jc w:val="center"/>
            </w:pPr>
            <w:r>
              <w:rPr>
                <w:color w:val="000000"/>
                <w:kern w:val="0"/>
                <w:sz w:val="24"/>
                <w:szCs w:val="24"/>
              </w:rPr>
              <w:t>600519</w:t>
            </w:r>
          </w:p>
        </w:tc>
        <w:tc>
          <w:tcPr>
            <w:tcW w:w="1418" w:type="dxa"/>
            <w:vAlign w:val="center"/>
          </w:tcPr>
          <w:p w:rsidR="00B83ED6" w:rsidRDefault="0082705B">
            <w:pPr>
              <w:jc w:val="center"/>
            </w:pPr>
            <w:r>
              <w:rPr>
                <w:color w:val="000000"/>
                <w:kern w:val="0"/>
                <w:sz w:val="24"/>
                <w:szCs w:val="24"/>
              </w:rPr>
              <w:t>贵州茅台</w:t>
            </w:r>
          </w:p>
        </w:tc>
        <w:tc>
          <w:tcPr>
            <w:tcW w:w="1701" w:type="dxa"/>
            <w:vAlign w:val="center"/>
          </w:tcPr>
          <w:p w:rsidR="00B83ED6" w:rsidRDefault="0082705B">
            <w:pPr>
              <w:jc w:val="right"/>
            </w:pPr>
            <w:r>
              <w:rPr>
                <w:color w:val="000000"/>
                <w:kern w:val="0"/>
                <w:sz w:val="24"/>
                <w:szCs w:val="24"/>
              </w:rPr>
              <w:t>31,819</w:t>
            </w:r>
          </w:p>
        </w:tc>
        <w:tc>
          <w:tcPr>
            <w:tcW w:w="1984" w:type="dxa"/>
            <w:vAlign w:val="center"/>
          </w:tcPr>
          <w:p w:rsidR="00B83ED6" w:rsidRDefault="0082705B">
            <w:pPr>
              <w:jc w:val="right"/>
            </w:pPr>
            <w:r>
              <w:rPr>
                <w:color w:val="000000"/>
                <w:kern w:val="0"/>
                <w:sz w:val="24"/>
                <w:szCs w:val="24"/>
              </w:rPr>
              <w:t>46,547,378.72</w:t>
            </w:r>
          </w:p>
        </w:tc>
        <w:tc>
          <w:tcPr>
            <w:tcW w:w="1559" w:type="dxa"/>
            <w:vAlign w:val="center"/>
          </w:tcPr>
          <w:p w:rsidR="00B83ED6" w:rsidRDefault="0082705B">
            <w:pPr>
              <w:jc w:val="right"/>
            </w:pPr>
            <w:r>
              <w:rPr>
                <w:color w:val="000000"/>
                <w:kern w:val="0"/>
                <w:sz w:val="24"/>
                <w:szCs w:val="24"/>
              </w:rPr>
              <w:t>9.19</w:t>
            </w:r>
          </w:p>
        </w:tc>
      </w:tr>
      <w:tr w:rsidR="00B83ED6">
        <w:tc>
          <w:tcPr>
            <w:tcW w:w="851" w:type="dxa"/>
            <w:vAlign w:val="center"/>
          </w:tcPr>
          <w:p w:rsidR="00B83ED6" w:rsidRDefault="0082705B">
            <w:pPr>
              <w:jc w:val="center"/>
            </w:pPr>
            <w:r>
              <w:rPr>
                <w:color w:val="000000"/>
                <w:kern w:val="0"/>
                <w:sz w:val="24"/>
                <w:szCs w:val="24"/>
              </w:rPr>
              <w:t>3</w:t>
            </w:r>
          </w:p>
        </w:tc>
        <w:tc>
          <w:tcPr>
            <w:tcW w:w="1276" w:type="dxa"/>
            <w:vAlign w:val="center"/>
          </w:tcPr>
          <w:p w:rsidR="00B83ED6" w:rsidRDefault="0082705B">
            <w:pPr>
              <w:jc w:val="center"/>
            </w:pPr>
            <w:r>
              <w:rPr>
                <w:color w:val="000000"/>
                <w:kern w:val="0"/>
                <w:sz w:val="24"/>
                <w:szCs w:val="24"/>
              </w:rPr>
              <w:t>000858</w:t>
            </w:r>
          </w:p>
        </w:tc>
        <w:tc>
          <w:tcPr>
            <w:tcW w:w="1418" w:type="dxa"/>
            <w:vAlign w:val="center"/>
          </w:tcPr>
          <w:p w:rsidR="00B83ED6" w:rsidRDefault="0082705B">
            <w:pPr>
              <w:jc w:val="center"/>
            </w:pPr>
            <w:r>
              <w:rPr>
                <w:color w:val="000000"/>
                <w:kern w:val="0"/>
                <w:sz w:val="24"/>
                <w:szCs w:val="24"/>
              </w:rPr>
              <w:t>五粮液</w:t>
            </w:r>
          </w:p>
        </w:tc>
        <w:tc>
          <w:tcPr>
            <w:tcW w:w="1701" w:type="dxa"/>
            <w:vAlign w:val="center"/>
          </w:tcPr>
          <w:p w:rsidR="00B83ED6" w:rsidRDefault="0082705B">
            <w:pPr>
              <w:jc w:val="right"/>
            </w:pPr>
            <w:r>
              <w:rPr>
                <w:color w:val="000000"/>
                <w:kern w:val="0"/>
                <w:sz w:val="24"/>
                <w:szCs w:val="24"/>
              </w:rPr>
              <w:t>254,747</w:t>
            </w:r>
          </w:p>
        </w:tc>
        <w:tc>
          <w:tcPr>
            <w:tcW w:w="1984" w:type="dxa"/>
            <w:vAlign w:val="center"/>
          </w:tcPr>
          <w:p w:rsidR="00B83ED6" w:rsidRDefault="0082705B">
            <w:pPr>
              <w:jc w:val="right"/>
            </w:pPr>
            <w:r>
              <w:rPr>
                <w:color w:val="000000"/>
                <w:kern w:val="0"/>
                <w:sz w:val="24"/>
                <w:szCs w:val="24"/>
              </w:rPr>
              <w:t>43,592,306.64</w:t>
            </w:r>
          </w:p>
        </w:tc>
        <w:tc>
          <w:tcPr>
            <w:tcW w:w="1559" w:type="dxa"/>
            <w:vAlign w:val="center"/>
          </w:tcPr>
          <w:p w:rsidR="00B83ED6" w:rsidRDefault="0082705B">
            <w:pPr>
              <w:jc w:val="right"/>
            </w:pPr>
            <w:r>
              <w:rPr>
                <w:color w:val="000000"/>
                <w:kern w:val="0"/>
                <w:sz w:val="24"/>
                <w:szCs w:val="24"/>
              </w:rPr>
              <w:t>8.61</w:t>
            </w:r>
          </w:p>
        </w:tc>
      </w:tr>
      <w:tr w:rsidR="00B83ED6">
        <w:tc>
          <w:tcPr>
            <w:tcW w:w="851" w:type="dxa"/>
            <w:vAlign w:val="center"/>
          </w:tcPr>
          <w:p w:rsidR="00B83ED6" w:rsidRDefault="0082705B">
            <w:pPr>
              <w:jc w:val="center"/>
            </w:pPr>
            <w:r>
              <w:rPr>
                <w:color w:val="000000"/>
                <w:kern w:val="0"/>
                <w:sz w:val="24"/>
                <w:szCs w:val="24"/>
              </w:rPr>
              <w:t>4</w:t>
            </w:r>
          </w:p>
        </w:tc>
        <w:tc>
          <w:tcPr>
            <w:tcW w:w="1276" w:type="dxa"/>
            <w:vAlign w:val="center"/>
          </w:tcPr>
          <w:p w:rsidR="00B83ED6" w:rsidRDefault="0082705B">
            <w:pPr>
              <w:jc w:val="center"/>
            </w:pPr>
            <w:r>
              <w:rPr>
                <w:color w:val="000000"/>
                <w:kern w:val="0"/>
                <w:sz w:val="24"/>
                <w:szCs w:val="24"/>
              </w:rPr>
              <w:t>000333</w:t>
            </w:r>
          </w:p>
        </w:tc>
        <w:tc>
          <w:tcPr>
            <w:tcW w:w="1418" w:type="dxa"/>
            <w:vAlign w:val="center"/>
          </w:tcPr>
          <w:p w:rsidR="00B83ED6" w:rsidRDefault="0082705B">
            <w:pPr>
              <w:jc w:val="center"/>
            </w:pPr>
            <w:r>
              <w:rPr>
                <w:color w:val="000000"/>
                <w:kern w:val="0"/>
                <w:sz w:val="24"/>
                <w:szCs w:val="24"/>
              </w:rPr>
              <w:t>美的集团</w:t>
            </w:r>
          </w:p>
        </w:tc>
        <w:tc>
          <w:tcPr>
            <w:tcW w:w="1701" w:type="dxa"/>
            <w:vAlign w:val="center"/>
          </w:tcPr>
          <w:p w:rsidR="00B83ED6" w:rsidRDefault="0082705B">
            <w:pPr>
              <w:jc w:val="right"/>
            </w:pPr>
            <w:r>
              <w:rPr>
                <w:color w:val="000000"/>
                <w:kern w:val="0"/>
                <w:sz w:val="24"/>
                <w:szCs w:val="24"/>
              </w:rPr>
              <w:t>717,693</w:t>
            </w:r>
          </w:p>
        </w:tc>
        <w:tc>
          <w:tcPr>
            <w:tcW w:w="1984" w:type="dxa"/>
            <w:vAlign w:val="center"/>
          </w:tcPr>
          <w:p w:rsidR="00B83ED6" w:rsidRDefault="0082705B">
            <w:pPr>
              <w:jc w:val="right"/>
            </w:pPr>
            <w:r>
              <w:rPr>
                <w:color w:val="000000"/>
                <w:kern w:val="0"/>
                <w:sz w:val="24"/>
                <w:szCs w:val="24"/>
              </w:rPr>
              <w:t>42,910,864.47</w:t>
            </w:r>
          </w:p>
        </w:tc>
        <w:tc>
          <w:tcPr>
            <w:tcW w:w="1559" w:type="dxa"/>
            <w:vAlign w:val="center"/>
          </w:tcPr>
          <w:p w:rsidR="00B83ED6" w:rsidRDefault="0082705B">
            <w:pPr>
              <w:jc w:val="right"/>
            </w:pPr>
            <w:r>
              <w:rPr>
                <w:color w:val="000000"/>
                <w:kern w:val="0"/>
                <w:sz w:val="24"/>
                <w:szCs w:val="24"/>
              </w:rPr>
              <w:t>8.48</w:t>
            </w:r>
          </w:p>
        </w:tc>
      </w:tr>
      <w:tr w:rsidR="00B83ED6">
        <w:tc>
          <w:tcPr>
            <w:tcW w:w="851" w:type="dxa"/>
            <w:vAlign w:val="center"/>
          </w:tcPr>
          <w:p w:rsidR="00B83ED6" w:rsidRDefault="0082705B">
            <w:pPr>
              <w:jc w:val="center"/>
            </w:pPr>
            <w:r>
              <w:rPr>
                <w:color w:val="000000"/>
                <w:kern w:val="0"/>
                <w:sz w:val="24"/>
                <w:szCs w:val="24"/>
              </w:rPr>
              <w:t>5</w:t>
            </w:r>
          </w:p>
        </w:tc>
        <w:tc>
          <w:tcPr>
            <w:tcW w:w="1276" w:type="dxa"/>
            <w:vAlign w:val="center"/>
          </w:tcPr>
          <w:p w:rsidR="00B83ED6" w:rsidRDefault="0082705B">
            <w:pPr>
              <w:jc w:val="center"/>
            </w:pPr>
            <w:r>
              <w:rPr>
                <w:color w:val="000000"/>
                <w:kern w:val="0"/>
                <w:sz w:val="24"/>
                <w:szCs w:val="24"/>
              </w:rPr>
              <w:t>000568</w:t>
            </w:r>
          </w:p>
        </w:tc>
        <w:tc>
          <w:tcPr>
            <w:tcW w:w="1418" w:type="dxa"/>
            <w:vAlign w:val="center"/>
          </w:tcPr>
          <w:p w:rsidR="00B83ED6" w:rsidRDefault="0082705B">
            <w:pPr>
              <w:jc w:val="center"/>
            </w:pPr>
            <w:r>
              <w:rPr>
                <w:color w:val="000000"/>
                <w:kern w:val="0"/>
                <w:sz w:val="24"/>
                <w:szCs w:val="24"/>
              </w:rPr>
              <w:t>泸州老窖</w:t>
            </w:r>
          </w:p>
        </w:tc>
        <w:tc>
          <w:tcPr>
            <w:tcW w:w="1701" w:type="dxa"/>
            <w:vAlign w:val="center"/>
          </w:tcPr>
          <w:p w:rsidR="00B83ED6" w:rsidRDefault="0082705B">
            <w:pPr>
              <w:jc w:val="right"/>
            </w:pPr>
            <w:r>
              <w:rPr>
                <w:color w:val="000000"/>
                <w:kern w:val="0"/>
                <w:sz w:val="24"/>
                <w:szCs w:val="24"/>
              </w:rPr>
              <w:t>446,580</w:t>
            </w:r>
          </w:p>
        </w:tc>
        <w:tc>
          <w:tcPr>
            <w:tcW w:w="1984" w:type="dxa"/>
            <w:vAlign w:val="center"/>
          </w:tcPr>
          <w:p w:rsidR="00B83ED6" w:rsidRDefault="0082705B">
            <w:pPr>
              <w:jc w:val="right"/>
            </w:pPr>
            <w:r>
              <w:rPr>
                <w:color w:val="000000"/>
                <w:kern w:val="0"/>
                <w:sz w:val="24"/>
                <w:szCs w:val="24"/>
              </w:rPr>
              <w:t>40,692,369.60</w:t>
            </w:r>
          </w:p>
        </w:tc>
        <w:tc>
          <w:tcPr>
            <w:tcW w:w="1559" w:type="dxa"/>
            <w:vAlign w:val="center"/>
          </w:tcPr>
          <w:p w:rsidR="00B83ED6" w:rsidRDefault="0082705B">
            <w:pPr>
              <w:jc w:val="right"/>
            </w:pPr>
            <w:r>
              <w:rPr>
                <w:color w:val="000000"/>
                <w:kern w:val="0"/>
                <w:sz w:val="24"/>
                <w:szCs w:val="24"/>
              </w:rPr>
              <w:t>8.04</w:t>
            </w:r>
          </w:p>
        </w:tc>
      </w:tr>
      <w:tr w:rsidR="00B83ED6">
        <w:tc>
          <w:tcPr>
            <w:tcW w:w="851" w:type="dxa"/>
            <w:vAlign w:val="center"/>
          </w:tcPr>
          <w:p w:rsidR="00B83ED6" w:rsidRDefault="0082705B">
            <w:pPr>
              <w:jc w:val="center"/>
            </w:pPr>
            <w:r>
              <w:rPr>
                <w:color w:val="000000"/>
                <w:kern w:val="0"/>
                <w:sz w:val="24"/>
                <w:szCs w:val="24"/>
              </w:rPr>
              <w:t>6</w:t>
            </w:r>
          </w:p>
        </w:tc>
        <w:tc>
          <w:tcPr>
            <w:tcW w:w="1276" w:type="dxa"/>
            <w:vAlign w:val="center"/>
          </w:tcPr>
          <w:p w:rsidR="00B83ED6" w:rsidRDefault="0082705B">
            <w:pPr>
              <w:jc w:val="center"/>
            </w:pPr>
            <w:r>
              <w:rPr>
                <w:color w:val="000000"/>
                <w:kern w:val="0"/>
                <w:sz w:val="24"/>
                <w:szCs w:val="24"/>
              </w:rPr>
              <w:t>000651</w:t>
            </w:r>
          </w:p>
        </w:tc>
        <w:tc>
          <w:tcPr>
            <w:tcW w:w="1418" w:type="dxa"/>
            <w:vAlign w:val="center"/>
          </w:tcPr>
          <w:p w:rsidR="00B83ED6" w:rsidRDefault="0082705B">
            <w:pPr>
              <w:jc w:val="center"/>
            </w:pPr>
            <w:r>
              <w:rPr>
                <w:color w:val="000000"/>
                <w:kern w:val="0"/>
                <w:sz w:val="24"/>
                <w:szCs w:val="24"/>
              </w:rPr>
              <w:t>格力电器</w:t>
            </w:r>
          </w:p>
        </w:tc>
        <w:tc>
          <w:tcPr>
            <w:tcW w:w="1701" w:type="dxa"/>
            <w:vAlign w:val="center"/>
          </w:tcPr>
          <w:p w:rsidR="00B83ED6" w:rsidRDefault="0082705B">
            <w:pPr>
              <w:jc w:val="right"/>
            </w:pPr>
            <w:r>
              <w:rPr>
                <w:color w:val="000000"/>
                <w:kern w:val="0"/>
                <w:sz w:val="24"/>
                <w:szCs w:val="24"/>
              </w:rPr>
              <w:t>664,028</w:t>
            </w:r>
          </w:p>
        </w:tc>
        <w:tc>
          <w:tcPr>
            <w:tcW w:w="1984" w:type="dxa"/>
            <w:vAlign w:val="center"/>
          </w:tcPr>
          <w:p w:rsidR="00B83ED6" w:rsidRDefault="0082705B">
            <w:pPr>
              <w:jc w:val="right"/>
            </w:pPr>
            <w:r>
              <w:rPr>
                <w:color w:val="000000"/>
                <w:kern w:val="0"/>
                <w:sz w:val="24"/>
                <w:szCs w:val="24"/>
              </w:rPr>
              <w:t>37,564,063.96</w:t>
            </w:r>
          </w:p>
        </w:tc>
        <w:tc>
          <w:tcPr>
            <w:tcW w:w="1559" w:type="dxa"/>
            <w:vAlign w:val="center"/>
          </w:tcPr>
          <w:p w:rsidR="00B83ED6" w:rsidRDefault="0082705B">
            <w:pPr>
              <w:jc w:val="right"/>
            </w:pPr>
            <w:r>
              <w:rPr>
                <w:color w:val="000000"/>
                <w:kern w:val="0"/>
                <w:sz w:val="24"/>
                <w:szCs w:val="24"/>
              </w:rPr>
              <w:t>7.42</w:t>
            </w:r>
          </w:p>
        </w:tc>
      </w:tr>
      <w:tr w:rsidR="00B83ED6">
        <w:tc>
          <w:tcPr>
            <w:tcW w:w="851" w:type="dxa"/>
            <w:vAlign w:val="center"/>
          </w:tcPr>
          <w:p w:rsidR="00B83ED6" w:rsidRDefault="0082705B">
            <w:pPr>
              <w:jc w:val="center"/>
            </w:pPr>
            <w:r>
              <w:rPr>
                <w:color w:val="000000"/>
                <w:kern w:val="0"/>
                <w:sz w:val="24"/>
                <w:szCs w:val="24"/>
              </w:rPr>
              <w:t>7</w:t>
            </w:r>
          </w:p>
        </w:tc>
        <w:tc>
          <w:tcPr>
            <w:tcW w:w="1276" w:type="dxa"/>
            <w:vAlign w:val="center"/>
          </w:tcPr>
          <w:p w:rsidR="00B83ED6" w:rsidRDefault="0082705B">
            <w:pPr>
              <w:jc w:val="center"/>
            </w:pPr>
            <w:r>
              <w:rPr>
                <w:color w:val="000000"/>
                <w:kern w:val="0"/>
                <w:sz w:val="24"/>
                <w:szCs w:val="24"/>
              </w:rPr>
              <w:t>000661</w:t>
            </w:r>
          </w:p>
        </w:tc>
        <w:tc>
          <w:tcPr>
            <w:tcW w:w="1418" w:type="dxa"/>
            <w:vAlign w:val="center"/>
          </w:tcPr>
          <w:p w:rsidR="00B83ED6" w:rsidRDefault="0082705B">
            <w:pPr>
              <w:jc w:val="center"/>
            </w:pPr>
            <w:r>
              <w:rPr>
                <w:color w:val="000000"/>
                <w:kern w:val="0"/>
                <w:sz w:val="24"/>
                <w:szCs w:val="24"/>
              </w:rPr>
              <w:t>长春高新</w:t>
            </w:r>
          </w:p>
        </w:tc>
        <w:tc>
          <w:tcPr>
            <w:tcW w:w="1701" w:type="dxa"/>
            <w:vAlign w:val="center"/>
          </w:tcPr>
          <w:p w:rsidR="00B83ED6" w:rsidRDefault="0082705B">
            <w:pPr>
              <w:jc w:val="right"/>
            </w:pPr>
            <w:r>
              <w:rPr>
                <w:color w:val="000000"/>
                <w:kern w:val="0"/>
                <w:sz w:val="24"/>
                <w:szCs w:val="24"/>
              </w:rPr>
              <w:t>78,752</w:t>
            </w:r>
          </w:p>
        </w:tc>
        <w:tc>
          <w:tcPr>
            <w:tcW w:w="1984" w:type="dxa"/>
            <w:vAlign w:val="center"/>
          </w:tcPr>
          <w:p w:rsidR="00B83ED6" w:rsidRDefault="0082705B">
            <w:pPr>
              <w:jc w:val="right"/>
            </w:pPr>
            <w:r>
              <w:rPr>
                <w:color w:val="000000"/>
                <w:kern w:val="0"/>
                <w:sz w:val="24"/>
                <w:szCs w:val="24"/>
              </w:rPr>
              <w:t>34,280,745.60</w:t>
            </w:r>
          </w:p>
        </w:tc>
        <w:tc>
          <w:tcPr>
            <w:tcW w:w="1559" w:type="dxa"/>
            <w:vAlign w:val="center"/>
          </w:tcPr>
          <w:p w:rsidR="00B83ED6" w:rsidRDefault="0082705B">
            <w:pPr>
              <w:jc w:val="right"/>
            </w:pPr>
            <w:r>
              <w:rPr>
                <w:color w:val="000000"/>
                <w:kern w:val="0"/>
                <w:sz w:val="24"/>
                <w:szCs w:val="24"/>
              </w:rPr>
              <w:t>6.77</w:t>
            </w:r>
          </w:p>
        </w:tc>
      </w:tr>
      <w:tr w:rsidR="00B83ED6">
        <w:tc>
          <w:tcPr>
            <w:tcW w:w="851" w:type="dxa"/>
            <w:vAlign w:val="center"/>
          </w:tcPr>
          <w:p w:rsidR="00B83ED6" w:rsidRDefault="0082705B">
            <w:pPr>
              <w:jc w:val="center"/>
            </w:pPr>
            <w:r>
              <w:rPr>
                <w:color w:val="000000"/>
                <w:kern w:val="0"/>
                <w:sz w:val="24"/>
                <w:szCs w:val="24"/>
              </w:rPr>
              <w:t>8</w:t>
            </w:r>
          </w:p>
        </w:tc>
        <w:tc>
          <w:tcPr>
            <w:tcW w:w="1276" w:type="dxa"/>
            <w:vAlign w:val="center"/>
          </w:tcPr>
          <w:p w:rsidR="00B83ED6" w:rsidRDefault="0082705B">
            <w:pPr>
              <w:jc w:val="center"/>
            </w:pPr>
            <w:r>
              <w:rPr>
                <w:color w:val="000000"/>
                <w:kern w:val="0"/>
                <w:sz w:val="24"/>
                <w:szCs w:val="24"/>
              </w:rPr>
              <w:t>601888</w:t>
            </w:r>
          </w:p>
        </w:tc>
        <w:tc>
          <w:tcPr>
            <w:tcW w:w="1418" w:type="dxa"/>
            <w:vAlign w:val="center"/>
          </w:tcPr>
          <w:p w:rsidR="00B83ED6" w:rsidRDefault="0082705B">
            <w:pPr>
              <w:jc w:val="center"/>
            </w:pPr>
            <w:r>
              <w:rPr>
                <w:color w:val="000000"/>
                <w:kern w:val="0"/>
                <w:sz w:val="24"/>
                <w:szCs w:val="24"/>
              </w:rPr>
              <w:t>中国中免</w:t>
            </w:r>
          </w:p>
        </w:tc>
        <w:tc>
          <w:tcPr>
            <w:tcW w:w="1701" w:type="dxa"/>
            <w:vAlign w:val="center"/>
          </w:tcPr>
          <w:p w:rsidR="00B83ED6" w:rsidRDefault="0082705B">
            <w:pPr>
              <w:jc w:val="right"/>
            </w:pPr>
            <w:r>
              <w:rPr>
                <w:color w:val="000000"/>
                <w:kern w:val="0"/>
                <w:sz w:val="24"/>
                <w:szCs w:val="24"/>
              </w:rPr>
              <w:t>215,600</w:t>
            </w:r>
          </w:p>
        </w:tc>
        <w:tc>
          <w:tcPr>
            <w:tcW w:w="1984" w:type="dxa"/>
            <w:vAlign w:val="center"/>
          </w:tcPr>
          <w:p w:rsidR="00B83ED6" w:rsidRDefault="0082705B">
            <w:pPr>
              <w:jc w:val="right"/>
            </w:pPr>
            <w:r>
              <w:rPr>
                <w:color w:val="000000"/>
                <w:kern w:val="0"/>
                <w:sz w:val="24"/>
                <w:szCs w:val="24"/>
              </w:rPr>
              <w:t>33,208,868.00</w:t>
            </w:r>
          </w:p>
        </w:tc>
        <w:tc>
          <w:tcPr>
            <w:tcW w:w="1559" w:type="dxa"/>
            <w:vAlign w:val="center"/>
          </w:tcPr>
          <w:p w:rsidR="00B83ED6" w:rsidRDefault="0082705B">
            <w:pPr>
              <w:jc w:val="right"/>
            </w:pPr>
            <w:r>
              <w:rPr>
                <w:color w:val="000000"/>
                <w:kern w:val="0"/>
                <w:sz w:val="24"/>
                <w:szCs w:val="24"/>
              </w:rPr>
              <w:t>6.56</w:t>
            </w:r>
          </w:p>
        </w:tc>
      </w:tr>
      <w:tr w:rsidR="00B83ED6">
        <w:tc>
          <w:tcPr>
            <w:tcW w:w="851" w:type="dxa"/>
            <w:vAlign w:val="center"/>
          </w:tcPr>
          <w:p w:rsidR="00B83ED6" w:rsidRDefault="0082705B">
            <w:pPr>
              <w:jc w:val="center"/>
            </w:pPr>
            <w:r>
              <w:rPr>
                <w:color w:val="000000"/>
                <w:kern w:val="0"/>
                <w:sz w:val="24"/>
                <w:szCs w:val="24"/>
              </w:rPr>
              <w:t>9</w:t>
            </w:r>
          </w:p>
        </w:tc>
        <w:tc>
          <w:tcPr>
            <w:tcW w:w="1276" w:type="dxa"/>
            <w:vAlign w:val="center"/>
          </w:tcPr>
          <w:p w:rsidR="00B83ED6" w:rsidRDefault="0082705B">
            <w:pPr>
              <w:jc w:val="center"/>
            </w:pPr>
            <w:r>
              <w:rPr>
                <w:color w:val="000000"/>
                <w:kern w:val="0"/>
                <w:sz w:val="24"/>
                <w:szCs w:val="24"/>
              </w:rPr>
              <w:t>002142</w:t>
            </w:r>
          </w:p>
        </w:tc>
        <w:tc>
          <w:tcPr>
            <w:tcW w:w="1418" w:type="dxa"/>
            <w:vAlign w:val="center"/>
          </w:tcPr>
          <w:p w:rsidR="00B83ED6" w:rsidRDefault="0082705B">
            <w:pPr>
              <w:jc w:val="center"/>
            </w:pPr>
            <w:r>
              <w:rPr>
                <w:color w:val="000000"/>
                <w:kern w:val="0"/>
                <w:sz w:val="24"/>
                <w:szCs w:val="24"/>
              </w:rPr>
              <w:t>宁波银行</w:t>
            </w:r>
          </w:p>
        </w:tc>
        <w:tc>
          <w:tcPr>
            <w:tcW w:w="1701" w:type="dxa"/>
            <w:vAlign w:val="center"/>
          </w:tcPr>
          <w:p w:rsidR="00B83ED6" w:rsidRDefault="0082705B">
            <w:pPr>
              <w:jc w:val="right"/>
            </w:pPr>
            <w:r>
              <w:rPr>
                <w:color w:val="000000"/>
                <w:kern w:val="0"/>
                <w:sz w:val="24"/>
                <w:szCs w:val="24"/>
              </w:rPr>
              <w:t>1,156,343</w:t>
            </w:r>
          </w:p>
        </w:tc>
        <w:tc>
          <w:tcPr>
            <w:tcW w:w="1984" w:type="dxa"/>
            <w:vAlign w:val="center"/>
          </w:tcPr>
          <w:p w:rsidR="00B83ED6" w:rsidRDefault="0082705B">
            <w:pPr>
              <w:jc w:val="right"/>
            </w:pPr>
            <w:r>
              <w:rPr>
                <w:color w:val="000000"/>
                <w:kern w:val="0"/>
                <w:sz w:val="24"/>
                <w:szCs w:val="24"/>
              </w:rPr>
              <w:t>30,377,130.61</w:t>
            </w:r>
          </w:p>
        </w:tc>
        <w:tc>
          <w:tcPr>
            <w:tcW w:w="1559" w:type="dxa"/>
            <w:vAlign w:val="center"/>
          </w:tcPr>
          <w:p w:rsidR="00B83ED6" w:rsidRDefault="0082705B">
            <w:pPr>
              <w:jc w:val="right"/>
            </w:pPr>
            <w:r>
              <w:rPr>
                <w:color w:val="000000"/>
                <w:kern w:val="0"/>
                <w:sz w:val="24"/>
                <w:szCs w:val="24"/>
              </w:rPr>
              <w:t>6.00</w:t>
            </w:r>
          </w:p>
        </w:tc>
      </w:tr>
      <w:tr w:rsidR="00B83ED6">
        <w:tc>
          <w:tcPr>
            <w:tcW w:w="851" w:type="dxa"/>
            <w:vAlign w:val="center"/>
          </w:tcPr>
          <w:p w:rsidR="00B83ED6" w:rsidRDefault="0082705B">
            <w:pPr>
              <w:jc w:val="center"/>
            </w:pPr>
            <w:r>
              <w:rPr>
                <w:color w:val="000000"/>
                <w:kern w:val="0"/>
                <w:sz w:val="24"/>
                <w:szCs w:val="24"/>
              </w:rPr>
              <w:t>10</w:t>
            </w:r>
          </w:p>
        </w:tc>
        <w:tc>
          <w:tcPr>
            <w:tcW w:w="1276" w:type="dxa"/>
            <w:vAlign w:val="center"/>
          </w:tcPr>
          <w:p w:rsidR="00B83ED6" w:rsidRDefault="0082705B">
            <w:pPr>
              <w:jc w:val="center"/>
            </w:pPr>
            <w:r>
              <w:rPr>
                <w:color w:val="000000"/>
                <w:kern w:val="0"/>
                <w:sz w:val="24"/>
                <w:szCs w:val="24"/>
              </w:rPr>
              <w:t>601318</w:t>
            </w:r>
          </w:p>
        </w:tc>
        <w:tc>
          <w:tcPr>
            <w:tcW w:w="1418" w:type="dxa"/>
            <w:vAlign w:val="center"/>
          </w:tcPr>
          <w:p w:rsidR="00B83ED6" w:rsidRDefault="0082705B">
            <w:pPr>
              <w:jc w:val="center"/>
            </w:pPr>
            <w:r>
              <w:rPr>
                <w:color w:val="000000"/>
                <w:kern w:val="0"/>
                <w:sz w:val="24"/>
                <w:szCs w:val="24"/>
              </w:rPr>
              <w:t>中国平安</w:t>
            </w:r>
          </w:p>
        </w:tc>
        <w:tc>
          <w:tcPr>
            <w:tcW w:w="1701" w:type="dxa"/>
            <w:vAlign w:val="center"/>
          </w:tcPr>
          <w:p w:rsidR="00B83ED6" w:rsidRDefault="0082705B">
            <w:pPr>
              <w:jc w:val="right"/>
            </w:pPr>
            <w:r>
              <w:rPr>
                <w:color w:val="000000"/>
                <w:kern w:val="0"/>
                <w:sz w:val="24"/>
                <w:szCs w:val="24"/>
              </w:rPr>
              <w:t>385,532</w:t>
            </w:r>
          </w:p>
        </w:tc>
        <w:tc>
          <w:tcPr>
            <w:tcW w:w="1984" w:type="dxa"/>
            <w:vAlign w:val="center"/>
          </w:tcPr>
          <w:p w:rsidR="00B83ED6" w:rsidRDefault="0082705B">
            <w:pPr>
              <w:jc w:val="right"/>
            </w:pPr>
            <w:r>
              <w:rPr>
                <w:color w:val="000000"/>
                <w:kern w:val="0"/>
                <w:sz w:val="24"/>
                <w:szCs w:val="24"/>
              </w:rPr>
              <w:t>27,526,984.80</w:t>
            </w:r>
          </w:p>
        </w:tc>
        <w:tc>
          <w:tcPr>
            <w:tcW w:w="1559" w:type="dxa"/>
            <w:vAlign w:val="center"/>
          </w:tcPr>
          <w:p w:rsidR="00B83ED6" w:rsidRDefault="0082705B">
            <w:pPr>
              <w:jc w:val="right"/>
            </w:pPr>
            <w:r>
              <w:rPr>
                <w:color w:val="000000"/>
                <w:kern w:val="0"/>
                <w:sz w:val="24"/>
                <w:szCs w:val="24"/>
              </w:rPr>
              <w:t>5.44</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lastRenderedPageBreak/>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2,618,989.40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0.52</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2,618,989.40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0.52</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B83ED6">
        <w:tc>
          <w:tcPr>
            <w:tcW w:w="959" w:type="dxa"/>
            <w:vAlign w:val="center"/>
          </w:tcPr>
          <w:p w:rsidR="00B83ED6" w:rsidRDefault="0082705B">
            <w:pPr>
              <w:jc w:val="center"/>
            </w:pPr>
            <w:r>
              <w:rPr>
                <w:color w:val="000000"/>
                <w:kern w:val="0"/>
                <w:sz w:val="24"/>
                <w:szCs w:val="24"/>
              </w:rPr>
              <w:t>1</w:t>
            </w:r>
          </w:p>
        </w:tc>
        <w:tc>
          <w:tcPr>
            <w:tcW w:w="1276" w:type="dxa"/>
            <w:vAlign w:val="center"/>
          </w:tcPr>
          <w:p w:rsidR="00B83ED6" w:rsidRDefault="0082705B">
            <w:pPr>
              <w:jc w:val="center"/>
            </w:pPr>
            <w:r>
              <w:rPr>
                <w:color w:val="000000"/>
                <w:kern w:val="0"/>
                <w:sz w:val="24"/>
                <w:szCs w:val="24"/>
              </w:rPr>
              <w:t>128045</w:t>
            </w:r>
          </w:p>
        </w:tc>
        <w:tc>
          <w:tcPr>
            <w:tcW w:w="1275" w:type="dxa"/>
            <w:vAlign w:val="center"/>
          </w:tcPr>
          <w:p w:rsidR="00B83ED6" w:rsidRDefault="0082705B">
            <w:pPr>
              <w:jc w:val="center"/>
            </w:pPr>
            <w:r>
              <w:rPr>
                <w:color w:val="000000"/>
                <w:kern w:val="0"/>
                <w:sz w:val="24"/>
                <w:szCs w:val="24"/>
              </w:rPr>
              <w:t>机电转债</w:t>
            </w:r>
          </w:p>
        </w:tc>
        <w:tc>
          <w:tcPr>
            <w:tcW w:w="1560" w:type="dxa"/>
            <w:vAlign w:val="center"/>
          </w:tcPr>
          <w:p w:rsidR="00B83ED6" w:rsidRDefault="0082705B">
            <w:pPr>
              <w:jc w:val="right"/>
            </w:pPr>
            <w:r>
              <w:rPr>
                <w:color w:val="000000"/>
                <w:kern w:val="0"/>
                <w:sz w:val="24"/>
                <w:szCs w:val="24"/>
              </w:rPr>
              <w:t>19,710</w:t>
            </w:r>
          </w:p>
        </w:tc>
        <w:tc>
          <w:tcPr>
            <w:tcW w:w="1984" w:type="dxa"/>
            <w:vAlign w:val="center"/>
          </w:tcPr>
          <w:p w:rsidR="00B83ED6" w:rsidRDefault="0082705B">
            <w:pPr>
              <w:jc w:val="right"/>
            </w:pPr>
            <w:r>
              <w:rPr>
                <w:color w:val="000000"/>
                <w:kern w:val="0"/>
                <w:sz w:val="24"/>
                <w:szCs w:val="24"/>
              </w:rPr>
              <w:t>2,344,701.60</w:t>
            </w:r>
          </w:p>
        </w:tc>
        <w:tc>
          <w:tcPr>
            <w:tcW w:w="1474" w:type="dxa"/>
            <w:vAlign w:val="center"/>
          </w:tcPr>
          <w:p w:rsidR="00B83ED6" w:rsidRDefault="0082705B">
            <w:pPr>
              <w:jc w:val="right"/>
            </w:pPr>
            <w:r>
              <w:rPr>
                <w:color w:val="000000"/>
                <w:kern w:val="0"/>
                <w:sz w:val="24"/>
                <w:szCs w:val="24"/>
              </w:rPr>
              <w:t>0.46</w:t>
            </w:r>
          </w:p>
        </w:tc>
      </w:tr>
      <w:tr w:rsidR="00B83ED6">
        <w:tc>
          <w:tcPr>
            <w:tcW w:w="959" w:type="dxa"/>
            <w:vAlign w:val="center"/>
          </w:tcPr>
          <w:p w:rsidR="00B83ED6" w:rsidRDefault="0082705B">
            <w:pPr>
              <w:jc w:val="center"/>
            </w:pPr>
            <w:r>
              <w:rPr>
                <w:color w:val="000000"/>
                <w:kern w:val="0"/>
                <w:sz w:val="24"/>
                <w:szCs w:val="24"/>
              </w:rPr>
              <w:t>2</w:t>
            </w:r>
          </w:p>
        </w:tc>
        <w:tc>
          <w:tcPr>
            <w:tcW w:w="1276" w:type="dxa"/>
            <w:vAlign w:val="center"/>
          </w:tcPr>
          <w:p w:rsidR="00B83ED6" w:rsidRDefault="0082705B">
            <w:pPr>
              <w:jc w:val="center"/>
            </w:pPr>
            <w:r>
              <w:rPr>
                <w:color w:val="000000"/>
                <w:kern w:val="0"/>
                <w:sz w:val="24"/>
                <w:szCs w:val="24"/>
              </w:rPr>
              <w:t>113021</w:t>
            </w:r>
          </w:p>
        </w:tc>
        <w:tc>
          <w:tcPr>
            <w:tcW w:w="1275" w:type="dxa"/>
            <w:vAlign w:val="center"/>
          </w:tcPr>
          <w:p w:rsidR="00B83ED6" w:rsidRDefault="0082705B">
            <w:pPr>
              <w:jc w:val="center"/>
            </w:pPr>
            <w:r>
              <w:rPr>
                <w:color w:val="000000"/>
                <w:kern w:val="0"/>
                <w:sz w:val="24"/>
                <w:szCs w:val="24"/>
              </w:rPr>
              <w:t>中信转债</w:t>
            </w:r>
          </w:p>
        </w:tc>
        <w:tc>
          <w:tcPr>
            <w:tcW w:w="1560" w:type="dxa"/>
            <w:vAlign w:val="center"/>
          </w:tcPr>
          <w:p w:rsidR="00B83ED6" w:rsidRDefault="0082705B">
            <w:pPr>
              <w:jc w:val="right"/>
            </w:pPr>
            <w:r>
              <w:rPr>
                <w:color w:val="000000"/>
                <w:kern w:val="0"/>
                <w:sz w:val="24"/>
                <w:szCs w:val="24"/>
              </w:rPr>
              <w:t>2,620</w:t>
            </w:r>
          </w:p>
        </w:tc>
        <w:tc>
          <w:tcPr>
            <w:tcW w:w="1984" w:type="dxa"/>
            <w:vAlign w:val="center"/>
          </w:tcPr>
          <w:p w:rsidR="00B83ED6" w:rsidRDefault="0082705B">
            <w:pPr>
              <w:jc w:val="right"/>
            </w:pPr>
            <w:r>
              <w:rPr>
                <w:color w:val="000000"/>
                <w:kern w:val="0"/>
                <w:sz w:val="24"/>
                <w:szCs w:val="24"/>
              </w:rPr>
              <w:t>274,287.80</w:t>
            </w:r>
          </w:p>
        </w:tc>
        <w:tc>
          <w:tcPr>
            <w:tcW w:w="1474" w:type="dxa"/>
            <w:vAlign w:val="center"/>
          </w:tcPr>
          <w:p w:rsidR="00B83ED6" w:rsidRDefault="0082705B">
            <w:pPr>
              <w:jc w:val="right"/>
            </w:pPr>
            <w:r>
              <w:rPr>
                <w:color w:val="000000"/>
                <w:kern w:val="0"/>
                <w:sz w:val="24"/>
                <w:szCs w:val="24"/>
              </w:rPr>
              <w:t>0.05</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本基金本报告期末未持有资产支持证券。</w:t>
      </w:r>
    </w:p>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lastRenderedPageBreak/>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2019年12月5日，宁波银保监局对宁波银行作出“罚款人民币40万元，并责令该行对相关直接责任人给予纪律处分”的行政处罚。违法违规事由：设立时点性规模考核指标，股权质押管理不合规。</w:t>
      </w:r>
    </w:p>
    <w:p w:rsidR="00B83ED6" w:rsidRDefault="0082705B">
      <w:pPr>
        <w:spacing w:line="360" w:lineRule="auto"/>
        <w:rPr>
          <w:rFonts w:ascii="宋体" w:hAnsi="宋体"/>
          <w:color w:val="000000"/>
          <w:sz w:val="24"/>
          <w:szCs w:val="24"/>
        </w:rPr>
      </w:pPr>
      <w:r>
        <w:rPr>
          <w:rFonts w:ascii="宋体" w:hAnsi="宋体"/>
          <w:color w:val="000000"/>
          <w:sz w:val="24"/>
          <w:szCs w:val="24"/>
        </w:rPr>
        <w:t>2019</w:t>
      </w:r>
      <w:r>
        <w:rPr>
          <w:rFonts w:ascii="宋体" w:hAnsi="宋体"/>
          <w:color w:val="000000"/>
          <w:sz w:val="24"/>
          <w:szCs w:val="24"/>
        </w:rPr>
        <w:t>年</w:t>
      </w:r>
      <w:r>
        <w:rPr>
          <w:rFonts w:ascii="宋体" w:hAnsi="宋体"/>
          <w:color w:val="000000"/>
          <w:sz w:val="24"/>
          <w:szCs w:val="24"/>
        </w:rPr>
        <w:t>7</w:t>
      </w:r>
      <w:r>
        <w:rPr>
          <w:rFonts w:ascii="宋体" w:hAnsi="宋体"/>
          <w:color w:val="000000"/>
          <w:sz w:val="24"/>
          <w:szCs w:val="24"/>
        </w:rPr>
        <w:t>月</w:t>
      </w:r>
      <w:r>
        <w:rPr>
          <w:rFonts w:ascii="宋体" w:hAnsi="宋体"/>
          <w:color w:val="000000"/>
          <w:sz w:val="24"/>
          <w:szCs w:val="24"/>
        </w:rPr>
        <w:t>8</w:t>
      </w:r>
      <w:r>
        <w:rPr>
          <w:rFonts w:ascii="宋体" w:hAnsi="宋体"/>
          <w:color w:val="000000"/>
          <w:sz w:val="24"/>
          <w:szCs w:val="24"/>
        </w:rPr>
        <w:t>日，中国银行保险监督管理委员会上海监管局对招商银行股份有限公司信用卡中心</w:t>
      </w:r>
      <w:r>
        <w:rPr>
          <w:rFonts w:ascii="宋体" w:hAnsi="宋体"/>
          <w:color w:val="000000"/>
          <w:sz w:val="24"/>
          <w:szCs w:val="24"/>
        </w:rPr>
        <w:t>2016</w:t>
      </w:r>
      <w:r>
        <w:rPr>
          <w:rFonts w:ascii="宋体" w:hAnsi="宋体"/>
          <w:color w:val="000000"/>
          <w:sz w:val="24"/>
          <w:szCs w:val="24"/>
        </w:rPr>
        <w:t>年</w:t>
      </w:r>
      <w:r>
        <w:rPr>
          <w:rFonts w:ascii="宋体" w:hAnsi="宋体"/>
          <w:color w:val="000000"/>
          <w:sz w:val="24"/>
          <w:szCs w:val="24"/>
        </w:rPr>
        <w:t>9</w:t>
      </w:r>
      <w:r>
        <w:rPr>
          <w:rFonts w:ascii="宋体" w:hAnsi="宋体"/>
          <w:color w:val="000000"/>
          <w:sz w:val="24"/>
          <w:szCs w:val="24"/>
        </w:rPr>
        <w:t>月至</w:t>
      </w:r>
      <w:r>
        <w:rPr>
          <w:rFonts w:ascii="宋体" w:hAnsi="宋体"/>
          <w:color w:val="000000"/>
          <w:sz w:val="24"/>
          <w:szCs w:val="24"/>
        </w:rPr>
        <w:t>2018</w:t>
      </w:r>
      <w:r>
        <w:rPr>
          <w:rFonts w:ascii="宋体" w:hAnsi="宋体"/>
          <w:color w:val="000000"/>
          <w:sz w:val="24"/>
          <w:szCs w:val="24"/>
        </w:rPr>
        <w:t>年</w:t>
      </w:r>
      <w:r>
        <w:rPr>
          <w:rFonts w:ascii="宋体" w:hAnsi="宋体"/>
          <w:color w:val="000000"/>
          <w:sz w:val="24"/>
          <w:szCs w:val="24"/>
        </w:rPr>
        <w:t>6</w:t>
      </w:r>
      <w:r>
        <w:rPr>
          <w:rFonts w:ascii="宋体" w:hAnsi="宋体"/>
          <w:color w:val="000000"/>
          <w:sz w:val="24"/>
          <w:szCs w:val="24"/>
        </w:rPr>
        <w:t>月在为部分客户办理信用卡业务时，未遵守总授信额度管理制度的违法违规事实，处以责令改正，并处罚款</w:t>
      </w:r>
      <w:r>
        <w:rPr>
          <w:rFonts w:ascii="宋体" w:hAnsi="宋体"/>
          <w:color w:val="000000"/>
          <w:sz w:val="24"/>
          <w:szCs w:val="24"/>
        </w:rPr>
        <w:t>20</w:t>
      </w:r>
      <w:r>
        <w:rPr>
          <w:rFonts w:ascii="宋体" w:hAnsi="宋体"/>
          <w:color w:val="000000"/>
          <w:sz w:val="24"/>
          <w:szCs w:val="24"/>
        </w:rPr>
        <w:t>万元的行政处罚。</w:t>
      </w:r>
    </w:p>
    <w:p w:rsidR="00B83ED6" w:rsidRDefault="0082705B">
      <w:pPr>
        <w:spacing w:line="360" w:lineRule="auto"/>
        <w:rPr>
          <w:rFonts w:ascii="宋体" w:hAnsi="宋体"/>
          <w:color w:val="000000"/>
          <w:sz w:val="24"/>
          <w:szCs w:val="24"/>
        </w:rPr>
      </w:pPr>
      <w:r>
        <w:rPr>
          <w:rFonts w:ascii="宋体" w:hAnsi="宋体"/>
          <w:color w:val="000000"/>
          <w:sz w:val="24"/>
          <w:szCs w:val="24"/>
        </w:rPr>
        <w:t>2019</w:t>
      </w:r>
      <w:r>
        <w:rPr>
          <w:rFonts w:ascii="宋体" w:hAnsi="宋体"/>
          <w:color w:val="000000"/>
          <w:sz w:val="24"/>
          <w:szCs w:val="24"/>
        </w:rPr>
        <w:t>年</w:t>
      </w:r>
      <w:r>
        <w:rPr>
          <w:rFonts w:ascii="宋体" w:hAnsi="宋体"/>
          <w:color w:val="000000"/>
          <w:sz w:val="24"/>
          <w:szCs w:val="24"/>
        </w:rPr>
        <w:t>11</w:t>
      </w:r>
      <w:r>
        <w:rPr>
          <w:rFonts w:ascii="宋体" w:hAnsi="宋体"/>
          <w:color w:val="000000"/>
          <w:sz w:val="24"/>
          <w:szCs w:val="24"/>
        </w:rPr>
        <w:t>月</w:t>
      </w:r>
      <w:r>
        <w:rPr>
          <w:rFonts w:ascii="宋体" w:hAnsi="宋体"/>
          <w:color w:val="000000"/>
          <w:sz w:val="24"/>
          <w:szCs w:val="24"/>
        </w:rPr>
        <w:t>18</w:t>
      </w:r>
      <w:r>
        <w:rPr>
          <w:rFonts w:ascii="宋体" w:hAnsi="宋体"/>
          <w:color w:val="000000"/>
          <w:sz w:val="24"/>
          <w:szCs w:val="24"/>
        </w:rPr>
        <w:t>日，珠海市交通运输局对珠海格力电器股份有限公司违反《超限运输车辆行驶公路管理规</w:t>
      </w:r>
      <w:r>
        <w:rPr>
          <w:rFonts w:ascii="宋体" w:hAnsi="宋体"/>
          <w:color w:val="000000"/>
          <w:sz w:val="24"/>
          <w:szCs w:val="24"/>
        </w:rPr>
        <w:t>定》第四十三条的行为作出</w:t>
      </w:r>
      <w:r>
        <w:rPr>
          <w:rFonts w:ascii="宋体" w:hAnsi="宋体"/>
          <w:color w:val="000000"/>
          <w:sz w:val="24"/>
          <w:szCs w:val="24"/>
        </w:rPr>
        <w:t>“</w:t>
      </w:r>
      <w:r>
        <w:rPr>
          <w:rFonts w:ascii="宋体" w:hAnsi="宋体"/>
          <w:color w:val="000000"/>
          <w:sz w:val="24"/>
          <w:szCs w:val="24"/>
        </w:rPr>
        <w:t>罚款</w:t>
      </w:r>
      <w:r>
        <w:rPr>
          <w:rFonts w:ascii="宋体" w:hAnsi="宋体"/>
          <w:color w:val="000000"/>
          <w:sz w:val="24"/>
          <w:szCs w:val="24"/>
        </w:rPr>
        <w:t>4000</w:t>
      </w:r>
      <w:r>
        <w:rPr>
          <w:rFonts w:ascii="宋体" w:hAnsi="宋体"/>
          <w:color w:val="000000"/>
          <w:sz w:val="24"/>
          <w:szCs w:val="24"/>
        </w:rPr>
        <w:t>元</w:t>
      </w:r>
      <w:r>
        <w:rPr>
          <w:rFonts w:ascii="宋体" w:hAnsi="宋体"/>
          <w:color w:val="000000"/>
          <w:sz w:val="24"/>
          <w:szCs w:val="24"/>
        </w:rPr>
        <w:t>”</w:t>
      </w:r>
      <w:r>
        <w:rPr>
          <w:rFonts w:ascii="宋体" w:hAnsi="宋体"/>
          <w:color w:val="000000"/>
          <w:sz w:val="24"/>
          <w:szCs w:val="24"/>
        </w:rPr>
        <w:t>的行政处罚决定。</w:t>
      </w:r>
      <w:r>
        <w:rPr>
          <w:rFonts w:ascii="宋体" w:hAnsi="宋体"/>
          <w:color w:val="000000"/>
          <w:sz w:val="24"/>
          <w:szCs w:val="24"/>
        </w:rPr>
        <w:t>2019</w:t>
      </w:r>
      <w:r>
        <w:rPr>
          <w:rFonts w:ascii="宋体" w:hAnsi="宋体"/>
          <w:color w:val="000000"/>
          <w:sz w:val="24"/>
          <w:szCs w:val="24"/>
        </w:rPr>
        <w:t>年</w:t>
      </w:r>
      <w:r>
        <w:rPr>
          <w:rFonts w:ascii="宋体" w:hAnsi="宋体"/>
          <w:color w:val="000000"/>
          <w:sz w:val="24"/>
          <w:szCs w:val="24"/>
        </w:rPr>
        <w:t>12</w:t>
      </w:r>
      <w:r>
        <w:rPr>
          <w:rFonts w:ascii="宋体" w:hAnsi="宋体"/>
          <w:color w:val="000000"/>
          <w:sz w:val="24"/>
          <w:szCs w:val="24"/>
        </w:rPr>
        <w:t>月</w:t>
      </w:r>
      <w:r>
        <w:rPr>
          <w:rFonts w:ascii="宋体" w:hAnsi="宋体"/>
          <w:color w:val="000000"/>
          <w:sz w:val="24"/>
          <w:szCs w:val="24"/>
        </w:rPr>
        <w:t>4</w:t>
      </w:r>
      <w:r>
        <w:rPr>
          <w:rFonts w:ascii="宋体" w:hAnsi="宋体"/>
          <w:color w:val="000000"/>
          <w:sz w:val="24"/>
          <w:szCs w:val="24"/>
        </w:rPr>
        <w:t>日，珠海市交通运输局对珠海格力电器股份有限公司违反《超限运输车辆行驶公路管理规定》第四十三条的行为作出</w:t>
      </w:r>
      <w:r>
        <w:rPr>
          <w:rFonts w:ascii="宋体" w:hAnsi="宋体"/>
          <w:color w:val="000000"/>
          <w:sz w:val="24"/>
          <w:szCs w:val="24"/>
        </w:rPr>
        <w:t>“</w:t>
      </w:r>
      <w:r>
        <w:rPr>
          <w:rFonts w:ascii="宋体" w:hAnsi="宋体"/>
          <w:color w:val="000000"/>
          <w:sz w:val="24"/>
          <w:szCs w:val="24"/>
        </w:rPr>
        <w:t>罚款</w:t>
      </w:r>
      <w:r>
        <w:rPr>
          <w:rFonts w:ascii="宋体" w:hAnsi="宋体"/>
          <w:color w:val="000000"/>
          <w:sz w:val="24"/>
          <w:szCs w:val="24"/>
        </w:rPr>
        <w:t>4000</w:t>
      </w:r>
      <w:r>
        <w:rPr>
          <w:rFonts w:ascii="宋体" w:hAnsi="宋体"/>
          <w:color w:val="000000"/>
          <w:sz w:val="24"/>
          <w:szCs w:val="24"/>
        </w:rPr>
        <w:t>元</w:t>
      </w:r>
      <w:r>
        <w:rPr>
          <w:rFonts w:ascii="宋体" w:hAnsi="宋体"/>
          <w:color w:val="000000"/>
          <w:sz w:val="24"/>
          <w:szCs w:val="24"/>
        </w:rPr>
        <w:t>”</w:t>
      </w:r>
      <w:r>
        <w:rPr>
          <w:rFonts w:ascii="宋体" w:hAnsi="宋体"/>
          <w:color w:val="000000"/>
          <w:sz w:val="24"/>
          <w:szCs w:val="24"/>
        </w:rPr>
        <w:t>的行政处罚决定。</w:t>
      </w:r>
    </w:p>
    <w:p w:rsidR="00B83ED6" w:rsidRDefault="0082705B">
      <w:pPr>
        <w:spacing w:line="360" w:lineRule="auto"/>
        <w:rPr>
          <w:rFonts w:ascii="宋体" w:hAnsi="宋体"/>
          <w:color w:val="000000"/>
          <w:sz w:val="24"/>
          <w:szCs w:val="24"/>
        </w:rPr>
      </w:pPr>
      <w:r>
        <w:rPr>
          <w:rFonts w:ascii="宋体" w:hAnsi="宋体"/>
          <w:color w:val="000000"/>
          <w:sz w:val="24"/>
          <w:szCs w:val="24"/>
        </w:rPr>
        <w:t>本基金投资</w:t>
      </w:r>
      <w:r w:rsidR="008C68D9">
        <w:rPr>
          <w:rFonts w:ascii="宋体" w:hAnsi="宋体" w:hint="eastAsia"/>
          <w:color w:val="000000"/>
          <w:sz w:val="24"/>
          <w:szCs w:val="24"/>
        </w:rPr>
        <w:t>宁</w:t>
      </w:r>
      <w:bookmarkStart w:id="0" w:name="_GoBack"/>
      <w:bookmarkEnd w:id="0"/>
      <w:r>
        <w:rPr>
          <w:rFonts w:ascii="宋体" w:hAnsi="宋体"/>
          <w:color w:val="000000"/>
          <w:sz w:val="24"/>
          <w:szCs w:val="24"/>
        </w:rPr>
        <w:t>波银行、招商银行、格力电器的投资决策程序符合公司投资制度的规定。</w:t>
      </w:r>
    </w:p>
    <w:p w:rsidR="00B83ED6" w:rsidRDefault="0082705B">
      <w:pPr>
        <w:spacing w:line="360" w:lineRule="auto"/>
        <w:rPr>
          <w:rFonts w:ascii="宋体" w:hAnsi="宋体"/>
          <w:color w:val="000000"/>
          <w:sz w:val="24"/>
          <w:szCs w:val="24"/>
        </w:rPr>
      </w:pPr>
      <w:r>
        <w:rPr>
          <w:rFonts w:ascii="宋体" w:hAnsi="宋体"/>
          <w:color w:val="000000"/>
          <w:sz w:val="24"/>
          <w:szCs w:val="24"/>
        </w:rPr>
        <w:t>除宁波银行、招商银行、格力电器外，本基金投资的前十名证券的发行主体本期没有出现被监管部门立案调查，或在报告编制日前一年内受到公开谴责、处罚的情形。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101,357.26</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15,580.48</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1,511,351.28</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1,628,289.02</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697"/>
        <w:gridCol w:w="1621"/>
      </w:tblGrid>
      <w:tr w:rsidR="00750D48" w:rsidRPr="00264E55" w:rsidTr="00B05049">
        <w:tc>
          <w:tcPr>
            <w:tcW w:w="180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729"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债券代码</w:t>
            </w:r>
          </w:p>
        </w:tc>
        <w:tc>
          <w:tcPr>
            <w:tcW w:w="165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债券名称</w:t>
            </w:r>
          </w:p>
        </w:tc>
        <w:tc>
          <w:tcPr>
            <w:tcW w:w="1697"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w="1621"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rsidR="00B83ED6">
        <w:tc>
          <w:tcPr>
            <w:tcW w:w="1808" w:type="dxa"/>
            <w:vAlign w:val="center"/>
          </w:tcPr>
          <w:p w:rsidR="00B83ED6" w:rsidRDefault="0082705B">
            <w:pPr>
              <w:jc w:val="center"/>
            </w:pPr>
            <w:r>
              <w:rPr>
                <w:color w:val="000000"/>
                <w:kern w:val="0"/>
                <w:sz w:val="24"/>
                <w:szCs w:val="24"/>
              </w:rPr>
              <w:t>1</w:t>
            </w:r>
          </w:p>
        </w:tc>
        <w:tc>
          <w:tcPr>
            <w:tcW w:w="1729" w:type="dxa"/>
            <w:vAlign w:val="center"/>
          </w:tcPr>
          <w:p w:rsidR="00B83ED6" w:rsidRDefault="0082705B">
            <w:pPr>
              <w:jc w:val="center"/>
            </w:pPr>
            <w:r>
              <w:rPr>
                <w:color w:val="000000"/>
                <w:kern w:val="0"/>
                <w:sz w:val="24"/>
                <w:szCs w:val="24"/>
              </w:rPr>
              <w:t>128045</w:t>
            </w:r>
          </w:p>
        </w:tc>
        <w:tc>
          <w:tcPr>
            <w:tcW w:w="1658" w:type="dxa"/>
            <w:vAlign w:val="center"/>
          </w:tcPr>
          <w:p w:rsidR="00B83ED6" w:rsidRDefault="0082705B">
            <w:pPr>
              <w:jc w:val="center"/>
            </w:pPr>
            <w:r>
              <w:rPr>
                <w:color w:val="000000"/>
                <w:kern w:val="0"/>
                <w:sz w:val="24"/>
                <w:szCs w:val="24"/>
              </w:rPr>
              <w:t>机电转债</w:t>
            </w:r>
          </w:p>
        </w:tc>
        <w:tc>
          <w:tcPr>
            <w:tcW w:w="1697" w:type="dxa"/>
            <w:vAlign w:val="center"/>
          </w:tcPr>
          <w:p w:rsidR="00B83ED6" w:rsidRDefault="0082705B">
            <w:pPr>
              <w:jc w:val="right"/>
            </w:pPr>
            <w:r>
              <w:rPr>
                <w:color w:val="000000"/>
                <w:kern w:val="0"/>
                <w:sz w:val="24"/>
                <w:szCs w:val="24"/>
              </w:rPr>
              <w:t>2,344,701.60</w:t>
            </w:r>
          </w:p>
        </w:tc>
        <w:tc>
          <w:tcPr>
            <w:tcW w:w="1621" w:type="dxa"/>
            <w:vAlign w:val="center"/>
          </w:tcPr>
          <w:p w:rsidR="00B83ED6" w:rsidRDefault="0082705B">
            <w:pPr>
              <w:jc w:val="right"/>
            </w:pPr>
            <w:r>
              <w:rPr>
                <w:color w:val="000000"/>
                <w:kern w:val="0"/>
                <w:sz w:val="24"/>
                <w:szCs w:val="24"/>
              </w:rPr>
              <w:t>0.46</w:t>
            </w:r>
          </w:p>
        </w:tc>
      </w:tr>
      <w:tr w:rsidR="00B83ED6">
        <w:tc>
          <w:tcPr>
            <w:tcW w:w="1808" w:type="dxa"/>
            <w:vAlign w:val="center"/>
          </w:tcPr>
          <w:p w:rsidR="00B83ED6" w:rsidRDefault="0082705B">
            <w:pPr>
              <w:jc w:val="center"/>
            </w:pPr>
            <w:r>
              <w:rPr>
                <w:color w:val="000000"/>
                <w:kern w:val="0"/>
                <w:sz w:val="24"/>
                <w:szCs w:val="24"/>
              </w:rPr>
              <w:t>2</w:t>
            </w:r>
          </w:p>
        </w:tc>
        <w:tc>
          <w:tcPr>
            <w:tcW w:w="1729" w:type="dxa"/>
            <w:vAlign w:val="center"/>
          </w:tcPr>
          <w:p w:rsidR="00B83ED6" w:rsidRDefault="0082705B">
            <w:pPr>
              <w:jc w:val="center"/>
            </w:pPr>
            <w:r>
              <w:rPr>
                <w:color w:val="000000"/>
                <w:kern w:val="0"/>
                <w:sz w:val="24"/>
                <w:szCs w:val="24"/>
              </w:rPr>
              <w:t>113021</w:t>
            </w:r>
          </w:p>
        </w:tc>
        <w:tc>
          <w:tcPr>
            <w:tcW w:w="1658" w:type="dxa"/>
            <w:vAlign w:val="center"/>
          </w:tcPr>
          <w:p w:rsidR="00B83ED6" w:rsidRDefault="0082705B">
            <w:pPr>
              <w:jc w:val="center"/>
            </w:pPr>
            <w:r>
              <w:rPr>
                <w:color w:val="000000"/>
                <w:kern w:val="0"/>
                <w:sz w:val="24"/>
                <w:szCs w:val="24"/>
              </w:rPr>
              <w:t>中信转债</w:t>
            </w:r>
          </w:p>
        </w:tc>
        <w:tc>
          <w:tcPr>
            <w:tcW w:w="1697" w:type="dxa"/>
            <w:vAlign w:val="center"/>
          </w:tcPr>
          <w:p w:rsidR="00B83ED6" w:rsidRDefault="0082705B">
            <w:pPr>
              <w:jc w:val="right"/>
            </w:pPr>
            <w:r>
              <w:rPr>
                <w:color w:val="000000"/>
                <w:kern w:val="0"/>
                <w:sz w:val="24"/>
                <w:szCs w:val="24"/>
              </w:rPr>
              <w:t>274,287.80</w:t>
            </w:r>
          </w:p>
        </w:tc>
        <w:tc>
          <w:tcPr>
            <w:tcW w:w="1621" w:type="dxa"/>
            <w:vAlign w:val="center"/>
          </w:tcPr>
          <w:p w:rsidR="00B83ED6" w:rsidRDefault="0082705B">
            <w:pPr>
              <w:jc w:val="right"/>
            </w:pPr>
            <w:r>
              <w:rPr>
                <w:color w:val="000000"/>
                <w:kern w:val="0"/>
                <w:sz w:val="24"/>
                <w:szCs w:val="24"/>
              </w:rPr>
              <w:t>0.05</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本基金本报告期末前十名股票中不存在流通受限情况。</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426,094,644.35</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44,236,935.73</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127,184,199.52</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343,147,380.56</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rsidR="00B83ED6" w:rsidRDefault="0082705B">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中国证监会准予易方达现代服务业灵活配置混合型证券投资基金注册的文件；</w:t>
      </w:r>
    </w:p>
    <w:p w:rsidR="00B83ED6" w:rsidRDefault="0082705B">
      <w:pPr>
        <w:spacing w:line="360" w:lineRule="auto"/>
        <w:ind w:firstLineChars="200" w:firstLine="480"/>
        <w:rPr>
          <w:color w:val="000000"/>
          <w:sz w:val="24"/>
          <w:szCs w:val="24"/>
        </w:rPr>
      </w:pPr>
      <w:r>
        <w:rPr>
          <w:color w:val="000000"/>
          <w:sz w:val="24"/>
          <w:szCs w:val="24"/>
        </w:rPr>
        <w:t>2.</w:t>
      </w:r>
      <w:r>
        <w:rPr>
          <w:color w:val="000000"/>
          <w:sz w:val="24"/>
          <w:szCs w:val="24"/>
        </w:rPr>
        <w:t>《易方达现代服务业灵活配置混合型证券投资基金基金合同》；</w:t>
      </w:r>
    </w:p>
    <w:p w:rsidR="00B83ED6" w:rsidRDefault="0082705B">
      <w:pPr>
        <w:spacing w:line="360" w:lineRule="auto"/>
        <w:ind w:firstLineChars="200" w:firstLine="480"/>
        <w:rPr>
          <w:color w:val="000000"/>
          <w:sz w:val="24"/>
          <w:szCs w:val="24"/>
        </w:rPr>
      </w:pPr>
      <w:r>
        <w:rPr>
          <w:color w:val="000000"/>
          <w:sz w:val="24"/>
          <w:szCs w:val="24"/>
        </w:rPr>
        <w:t>3.</w:t>
      </w:r>
      <w:r>
        <w:rPr>
          <w:color w:val="000000"/>
          <w:sz w:val="24"/>
          <w:szCs w:val="24"/>
        </w:rPr>
        <w:t>《易方达现代服务业灵活配置混合型证券投资基金托管协议》；</w:t>
      </w:r>
    </w:p>
    <w:p w:rsidR="00B83ED6" w:rsidRDefault="0082705B">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1"/>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05B" w:rsidRDefault="0082705B" w:rsidP="00876D65">
      <w:r>
        <w:separator/>
      </w:r>
    </w:p>
  </w:endnote>
  <w:endnote w:type="continuationSeparator" w:id="0">
    <w:p w:rsidR="0082705B" w:rsidRDefault="0082705B"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8C68D9">
      <w:rPr>
        <w:rStyle w:val="a7"/>
        <w:noProof/>
      </w:rPr>
      <w:t>1</w:t>
    </w:r>
    <w:r>
      <w:rPr>
        <w:rStyle w:val="a7"/>
      </w:rPr>
      <w:fldChar w:fldCharType="end"/>
    </w:r>
    <w:r>
      <w:rPr>
        <w:rStyle w:val="a7"/>
        <w:rFonts w:hint="eastAsia"/>
      </w:rPr>
      <w:t>页共</w:t>
    </w:r>
    <w:fldSimple w:instr=" NUMPAGES  \* Arabic  \* MERGEFORMAT ">
      <w:r w:rsidR="008C68D9" w:rsidRPr="008C68D9">
        <w:rPr>
          <w:rStyle w:val="a7"/>
          <w:noProof/>
        </w:rPr>
        <w:t>12</w:t>
      </w:r>
    </w:fldSimple>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8C68D9">
      <w:rPr>
        <w:rStyle w:val="a7"/>
        <w:noProof/>
      </w:rPr>
      <w:t>10</w:t>
    </w:r>
    <w:r>
      <w:rPr>
        <w:rStyle w:val="a7"/>
      </w:rPr>
      <w:fldChar w:fldCharType="end"/>
    </w:r>
    <w:r>
      <w:rPr>
        <w:rStyle w:val="a7"/>
        <w:rFonts w:hint="eastAsia"/>
      </w:rPr>
      <w:t>页共</w:t>
    </w:r>
    <w:r w:rsidR="0082705B">
      <w:fldChar w:fldCharType="begin"/>
    </w:r>
    <w:r w:rsidR="0082705B">
      <w:instrText xml:space="preserve"> NUMPAGES  \* Arabic  \* MERGEFORMAT </w:instrText>
    </w:r>
    <w:r w:rsidR="0082705B">
      <w:fldChar w:fldCharType="separate"/>
    </w:r>
    <w:r w:rsidR="008C68D9" w:rsidRPr="008C68D9">
      <w:rPr>
        <w:rStyle w:val="a7"/>
        <w:noProof/>
      </w:rPr>
      <w:t>12</w:t>
    </w:r>
    <w:r w:rsidR="0082705B">
      <w:rPr>
        <w:rStyle w:val="a7"/>
        <w:noProof/>
      </w:rPr>
      <w:fldChar w:fldCharType="end"/>
    </w:r>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05B" w:rsidRDefault="0082705B" w:rsidP="00876D65">
      <w:r>
        <w:separator/>
      </w:r>
    </w:p>
  </w:footnote>
  <w:footnote w:type="continuationSeparator" w:id="0">
    <w:p w:rsidR="0082705B" w:rsidRDefault="0082705B"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易方达现代服务业灵活配置混合型证券投资基金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05B"/>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68D9"/>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3ED6"/>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4A5EA081-36C8-4DD1-8B35-EC88DD8A3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CE1BB-57A3-45C1-B677-3EE957B6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1020</Words>
  <Characters>5816</Characters>
  <Application>Microsoft Office Word</Application>
  <DocSecurity>0</DocSecurity>
  <Lines>48</Lines>
  <Paragraphs>13</Paragraphs>
  <ScaleCrop>false</ScaleCrop>
  <Company/>
  <LinksUpToDate>false</LinksUpToDate>
  <CharactersWithSpaces>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杜洲驰</dc:creator>
  <cp:lastModifiedBy>杜洲驰</cp:lastModifiedBy>
  <cp:revision>2</cp:revision>
  <dcterms:created xsi:type="dcterms:W3CDTF">2020-07-16T03:15:00Z</dcterms:created>
  <dcterms:modified xsi:type="dcterms:W3CDTF">2020-07-16T03:15:00Z</dcterms:modified>
</cp:coreProperties>
</file>