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易方达环保主题灵活配置混合型证券投资基金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易方达环保主题混合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001856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001856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2017年6月2日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145,047,323.05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界定的环保主题指的是广义的环保概念，囊括了新能源或新材料的获取、清洁能源、自然环境改造等源头活动，生产环节的清洁生产、节能改造等中间活动，以及环境监测、污染治理为主的末端活动。在股票投资方面，本基金将采取自上而下的产业政策跟踪和分析，结合自下而上的上市公司市场需求空间、技术水平、经营管理状况分析及估值评价，筛选具备竞争优势和成长性且估值相对合理的上市公司股票，进行股票组合的构建并适时进行调整。在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65%×中证环保产业指数收益率＋35%×一年期人民币定期存款利率（税后）</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25,669,688.34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77,354,689.72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0.5197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286,718,361.99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1.977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36.06%</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9.60%</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26.46%</w:t>
            </w:r>
          </w:p>
        </w:tc>
        <w:tc>
          <w:tcPr>
            <w:vAlign w:val="center"/>
          </w:tcPr>
          <w:p>
            <w:pPr>
              <w:jc w:val="center"/>
            </w:pPr>
            <w:r>
              <w:rPr>
                <w:color w:val="000000"/>
                <w:kern w:val="0"/>
                <w:sz w:val="24"/>
                <w:szCs w:val="24"/>
              </w:rPr>
              <w:t>0.40%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30.84%</w:t>
            </w:r>
          </w:p>
        </w:tc>
        <w:tc>
          <w:tcPr>
            <w:vAlign w:val="center"/>
          </w:tcPr>
          <w:p>
            <w:pPr>
              <w:jc w:val="center"/>
            </w:pPr>
            <w:r>
              <w:rPr>
                <w:color w:val="000000"/>
                <w:kern w:val="0"/>
                <w:sz w:val="24"/>
                <w:szCs w:val="24"/>
              </w:rPr>
              <w:t>1.88%</w:t>
            </w:r>
          </w:p>
        </w:tc>
        <w:tc>
          <w:tcPr>
            <w:vAlign w:val="center"/>
          </w:tcPr>
          <w:p>
            <w:pPr>
              <w:jc w:val="center"/>
            </w:pPr>
            <w:r>
              <w:rPr>
                <w:color w:val="000000"/>
                <w:kern w:val="0"/>
                <w:sz w:val="24"/>
                <w:szCs w:val="24"/>
              </w:rPr>
              <w:t>5.24%</w:t>
            </w:r>
          </w:p>
        </w:tc>
        <w:tc>
          <w:tcPr>
            <w:vAlign w:val="center"/>
          </w:tcPr>
          <w:p>
            <w:pPr>
              <w:jc w:val="center"/>
            </w:pPr>
            <w:r>
              <w:rPr>
                <w:color w:val="000000"/>
                <w:kern w:val="0"/>
                <w:sz w:val="24"/>
                <w:szCs w:val="24"/>
              </w:rPr>
              <w:t>1.23%</w:t>
            </w:r>
          </w:p>
        </w:tc>
        <w:tc>
          <w:tcPr>
            <w:vAlign w:val="center"/>
          </w:tcPr>
          <w:p>
            <w:pPr>
              <w:jc w:val="center"/>
            </w:pPr>
            <w:r>
              <w:rPr>
                <w:color w:val="000000"/>
                <w:kern w:val="0"/>
                <w:sz w:val="24"/>
                <w:szCs w:val="24"/>
              </w:rPr>
              <w:t>25.60%</w:t>
            </w:r>
          </w:p>
        </w:tc>
        <w:tc>
          <w:tcPr>
            <w:vAlign w:val="center"/>
          </w:tcPr>
          <w:p>
            <w:pPr>
              <w:jc w:val="center"/>
            </w:pPr>
            <w:r>
              <w:rPr>
                <w:color w:val="000000"/>
                <w:kern w:val="0"/>
                <w:sz w:val="24"/>
                <w:szCs w:val="24"/>
              </w:rPr>
              <w:t>0.65%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61.92%</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9.37%</w:t>
            </w:r>
          </w:p>
        </w:tc>
        <w:tc>
          <w:tcPr>
            <w:vAlign w:val="center"/>
          </w:tcPr>
          <w:p>
            <w:pPr>
              <w:jc w:val="center"/>
            </w:pPr>
            <w:r>
              <w:rPr>
                <w:color w:val="000000"/>
                <w:kern w:val="0"/>
                <w:sz w:val="24"/>
                <w:szCs w:val="24"/>
              </w:rPr>
              <w:t>0.99%</w:t>
            </w:r>
          </w:p>
        </w:tc>
        <w:tc>
          <w:tcPr>
            <w:vAlign w:val="center"/>
          </w:tcPr>
          <w:p>
            <w:pPr>
              <w:jc w:val="center"/>
            </w:pPr>
            <w:r>
              <w:rPr>
                <w:color w:val="000000"/>
                <w:kern w:val="0"/>
                <w:sz w:val="24"/>
                <w:szCs w:val="24"/>
              </w:rPr>
              <w:t>52.55%</w:t>
            </w:r>
          </w:p>
        </w:tc>
        <w:tc>
          <w:tcPr>
            <w:vAlign w:val="center"/>
          </w:tcPr>
          <w:p>
            <w:pPr>
              <w:jc w:val="center"/>
            </w:pPr>
            <w:r>
              <w:rPr>
                <w:color w:val="000000"/>
                <w:kern w:val="0"/>
                <w:sz w:val="24"/>
                <w:szCs w:val="24"/>
              </w:rPr>
              <w:t>0.53%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97.31%</w:t>
            </w:r>
          </w:p>
        </w:tc>
        <w:tc>
          <w:tcPr>
            <w:vAlign w:val="center"/>
          </w:tcPr>
          <w:p>
            <w:pPr>
              <w:jc w:val="center"/>
            </w:pPr>
            <w:r>
              <w:rPr>
                <w:color w:val="000000"/>
                <w:kern w:val="0"/>
                <w:sz w:val="24"/>
                <w:szCs w:val="24"/>
              </w:rPr>
              <w:t>1.19%</w:t>
            </w:r>
          </w:p>
        </w:tc>
        <w:tc>
          <w:tcPr>
            <w:vAlign w:val="center"/>
          </w:tcPr>
          <w:p>
            <w:pPr>
              <w:jc w:val="center"/>
            </w:pPr>
            <w:r>
              <w:rPr>
                <w:color w:val="000000"/>
                <w:kern w:val="0"/>
                <w:sz w:val="24"/>
                <w:szCs w:val="24"/>
              </w:rPr>
              <w:t>-11.38%</w:t>
            </w:r>
          </w:p>
        </w:tc>
        <w:tc>
          <w:tcPr>
            <w:vAlign w:val="center"/>
          </w:tcPr>
          <w:p>
            <w:pPr>
              <w:jc w:val="center"/>
            </w:pPr>
            <w:r>
              <w:rPr>
                <w:color w:val="000000"/>
                <w:kern w:val="0"/>
                <w:sz w:val="24"/>
                <w:szCs w:val="24"/>
              </w:rPr>
              <w:t>0.96%</w:t>
            </w:r>
          </w:p>
        </w:tc>
        <w:tc>
          <w:tcPr>
            <w:vAlign w:val="center"/>
          </w:tcPr>
          <w:p>
            <w:pPr>
              <w:jc w:val="center"/>
            </w:pPr>
            <w:r>
              <w:rPr>
                <w:color w:val="000000"/>
                <w:kern w:val="0"/>
                <w:sz w:val="24"/>
                <w:szCs w:val="24"/>
              </w:rPr>
              <w:t>108.69%</w:t>
            </w:r>
          </w:p>
        </w:tc>
        <w:tc>
          <w:tcPr>
            <w:vAlign w:val="center"/>
          </w:tcPr>
          <w:p>
            <w:pPr>
              <w:jc w:val="center"/>
            </w:pPr>
            <w:r>
              <w:rPr>
                <w:color w:val="000000"/>
                <w:kern w:val="0"/>
                <w:sz w:val="24"/>
                <w:szCs w:val="24"/>
              </w:rPr>
              <w:t>0.23%</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97.70%</w:t>
            </w:r>
          </w:p>
        </w:tc>
        <w:tc>
          <w:tcPr>
            <w:vAlign w:val="center"/>
          </w:tcPr>
          <w:p>
            <w:pPr>
              <w:jc w:val="center"/>
            </w:pPr>
            <w:r>
              <w:rPr>
                <w:color w:val="000000"/>
                <w:kern w:val="0"/>
                <w:sz w:val="24"/>
                <w:szCs w:val="24"/>
              </w:rPr>
              <w:t>1.17%</w:t>
            </w:r>
          </w:p>
        </w:tc>
        <w:tc>
          <w:tcPr>
            <w:vAlign w:val="center"/>
          </w:tcPr>
          <w:p>
            <w:pPr>
              <w:jc w:val="center"/>
            </w:pPr>
            <w:r>
              <w:rPr>
                <w:color w:val="000000"/>
                <w:kern w:val="0"/>
                <w:sz w:val="24"/>
                <w:szCs w:val="24"/>
              </w:rPr>
              <w:t>-7.77%</w:t>
            </w:r>
          </w:p>
        </w:tc>
        <w:tc>
          <w:tcPr>
            <w:vAlign w:val="center"/>
          </w:tcPr>
          <w:p>
            <w:pPr>
              <w:jc w:val="center"/>
            </w:pPr>
            <w:r>
              <w:rPr>
                <w:color w:val="000000"/>
                <w:kern w:val="0"/>
                <w:sz w:val="24"/>
                <w:szCs w:val="24"/>
              </w:rPr>
              <w:t>0.95%</w:t>
            </w:r>
          </w:p>
        </w:tc>
        <w:tc>
          <w:tcPr>
            <w:vAlign w:val="center"/>
          </w:tcPr>
          <w:p>
            <w:pPr>
              <w:jc w:val="center"/>
            </w:pPr>
            <w:r>
              <w:rPr>
                <w:color w:val="000000"/>
                <w:kern w:val="0"/>
                <w:sz w:val="24"/>
                <w:szCs w:val="24"/>
              </w:rPr>
              <w:t>105.47%</w:t>
            </w:r>
          </w:p>
        </w:tc>
        <w:tc>
          <w:tcPr>
            <w:vAlign w:val="center"/>
          </w:tcPr>
          <w:p>
            <w:pPr>
              <w:jc w:val="center"/>
            </w:pPr>
            <w:r>
              <w:rPr>
                <w:color w:val="000000"/>
                <w:kern w:val="0"/>
                <w:sz w:val="24"/>
                <w:szCs w:val="24"/>
              </w:rPr>
              <w:t>0.22%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易方达环保主题灵活配置混合型证券投资基金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2017年6月2日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注：自基金合同生效至报告期末，基金份额净值增长率为97.70%，同期业绩比较基准收益率为-7.77%。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祁禾</w:t>
            </w:r>
          </w:p>
        </w:tc>
        <w:tc>
          <w:tcPr>
            <w:vAlign w:val="center"/>
          </w:tcPr>
          <w:p>
            <w:pPr>
              <w:jc w:val="left"/>
            </w:pPr>
            <w:r>
              <w:rPr>
                <w:color w:val="000000"/>
                <w:sz w:val="24"/>
              </w:rPr>
              <w:t>本基金的基金经理、易方达新丝路灵活配置混合型证券投资基金的基金经理、易方达创新驱动灵活配置混合型证券投资基金的基金经理、易方达高端制造混合型发起式证券投资基金的基金经理、行业研究员</w:t>
            </w:r>
          </w:p>
        </w:tc>
        <w:tc>
          <w:tcPr>
            <w:vAlign w:val="center"/>
          </w:tcPr>
          <w:p>
            <w:pPr>
              <w:jc w:val="center"/>
            </w:pPr>
            <w:r>
              <w:rPr>
                <w:color w:val="000000"/>
                <w:sz w:val="24"/>
              </w:rPr>
              <w:t>2017-12-27</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2020年二季度沪深300指数上涨12.96%，创业板指数上涨30.25%。疫情后的流动性宽松环境和优势企业在该背景下扩张份额的利好，驱动市场出现结构性行情。</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报告期内的配置没有发生重大改变，维持了此前增加的受益于环保供给侧改革和经济复苏的偏周期标的，这些标的虽然在前期承受了一定下跌压力，但随着国内疫情得到控制，已经能明显能看到复苏趋势。此外，本基金配置较多的光伏、风电和新能源车板块，受海外疫情影响之前出现阶段性的回调，但由于行业发展的大逻辑并没有受到破坏，并且后续出台的财政刺激政策普遍有利于光该类行业，相关企业的股价在二季度表现较好。</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截至报告期末，本基金份额净值为1.977元，本报告期份额净值增长率为36.06%，同期业绩比较基准收益率为9.60%。</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256,474,588.42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256,474,588.42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33,794,831.54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11.43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5,357,419.74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295,626,839.70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236,952,460.73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82.64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13,782,727.35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4.81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1.95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146,073.22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256,474,588.42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89.45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541,164</w:t>
            </w:r>
          </w:p>
        </w:tc>
        <w:tc>
          <w:tcPr>
            <w:vAlign w:val="center"/>
          </w:tcPr>
          <w:p>
            <w:pPr>
              <w:jc w:val="right"/>
            </w:pPr>
            <w:r>
              <w:rPr>
                <w:color w:val="000000"/>
                <w:kern w:val="0"/>
                <w:sz w:val="24"/>
                <w:szCs w:val="24"/>
              </w:rPr>
              <w:t>27,009,495.24</w:t>
            </w:r>
          </w:p>
        </w:tc>
        <w:tc>
          <w:tcPr>
            <w:vAlign w:val="center"/>
          </w:tcPr>
          <w:p>
            <w:pPr>
              <w:jc w:val="right"/>
            </w:pPr>
            <w:r>
              <w:rPr>
                <w:color w:val="000000"/>
                <w:kern w:val="0"/>
                <w:sz w:val="24"/>
                <w:szCs w:val="24"/>
              </w:rPr>
              <w:t>9.42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862,700</w:t>
            </w:r>
          </w:p>
        </w:tc>
        <w:tc>
          <w:tcPr>
            <w:vAlign w:val="center"/>
          </w:tcPr>
          <w:p>
            <w:pPr>
              <w:jc w:val="right"/>
            </w:pPr>
            <w:r>
              <w:rPr>
                <w:color w:val="000000"/>
                <w:kern w:val="0"/>
                <w:sz w:val="24"/>
                <w:szCs w:val="24"/>
              </w:rPr>
              <w:t>25,837,865.00</w:t>
            </w:r>
          </w:p>
        </w:tc>
        <w:tc>
          <w:tcPr>
            <w:vAlign w:val="center"/>
          </w:tcPr>
          <w:p>
            <w:pPr>
              <w:jc w:val="right"/>
            </w:pPr>
            <w:r>
              <w:rPr>
                <w:color w:val="000000"/>
                <w:kern w:val="0"/>
                <w:sz w:val="24"/>
                <w:szCs w:val="24"/>
              </w:rPr>
              <w:t>9.01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002080</w:t>
            </w:r>
          </w:p>
        </w:tc>
        <w:tc>
          <w:tcPr>
            <w:vAlign w:val="center"/>
          </w:tcPr>
          <w:p>
            <w:pPr>
              <w:jc w:val="center"/>
            </w:pPr>
            <w:r>
              <w:rPr>
                <w:color w:val="000000"/>
                <w:kern w:val="0"/>
                <w:sz w:val="24"/>
                <w:szCs w:val="24"/>
              </w:rPr>
              <w:t>中材科技</w:t>
            </w:r>
          </w:p>
        </w:tc>
        <w:tc>
          <w:tcPr>
            <w:vAlign w:val="center"/>
          </w:tcPr>
          <w:p>
            <w:pPr>
              <w:jc w:val="right"/>
            </w:pPr>
            <w:r>
              <w:rPr>
                <w:color w:val="000000"/>
                <w:kern w:val="0"/>
                <w:sz w:val="24"/>
                <w:szCs w:val="24"/>
              </w:rPr>
              <w:t>990,962</w:t>
            </w:r>
          </w:p>
        </w:tc>
        <w:tc>
          <w:tcPr>
            <w:vAlign w:val="center"/>
          </w:tcPr>
          <w:p>
            <w:pPr>
              <w:jc w:val="right"/>
            </w:pPr>
            <w:r>
              <w:rPr>
                <w:color w:val="000000"/>
                <w:kern w:val="0"/>
                <w:sz w:val="24"/>
                <w:szCs w:val="24"/>
              </w:rPr>
              <w:t>15,359,911.00</w:t>
            </w:r>
          </w:p>
        </w:tc>
        <w:tc>
          <w:tcPr>
            <w:vAlign w:val="center"/>
          </w:tcPr>
          <w:p>
            <w:pPr>
              <w:jc w:val="right"/>
            </w:pPr>
            <w:r>
              <w:rPr>
                <w:color w:val="000000"/>
                <w:kern w:val="0"/>
                <w:sz w:val="24"/>
                <w:szCs w:val="24"/>
              </w:rPr>
              <w:t>5.36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314,024</w:t>
            </w:r>
          </w:p>
        </w:tc>
        <w:tc>
          <w:tcPr>
            <w:vAlign w:val="center"/>
          </w:tcPr>
          <w:p>
            <w:pPr>
              <w:jc w:val="right"/>
            </w:pPr>
            <w:r>
              <w:rPr>
                <w:color w:val="000000"/>
                <w:kern w:val="0"/>
                <w:sz w:val="24"/>
                <w:szCs w:val="24"/>
              </w:rPr>
              <w:t>15,026,048.40</w:t>
            </w:r>
          </w:p>
        </w:tc>
        <w:tc>
          <w:tcPr>
            <w:vAlign w:val="center"/>
          </w:tcPr>
          <w:p>
            <w:pPr>
              <w:jc w:val="right"/>
            </w:pPr>
            <w:r>
              <w:rPr>
                <w:color w:val="000000"/>
                <w:kern w:val="0"/>
                <w:sz w:val="24"/>
                <w:szCs w:val="24"/>
              </w:rPr>
              <w:t>5.24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002402</w:t>
            </w:r>
          </w:p>
        </w:tc>
        <w:tc>
          <w:tcPr>
            <w:vAlign w:val="center"/>
          </w:tcPr>
          <w:p>
            <w:pPr>
              <w:jc w:val="center"/>
            </w:pPr>
            <w:r>
              <w:rPr>
                <w:color w:val="000000"/>
                <w:kern w:val="0"/>
                <w:sz w:val="24"/>
                <w:szCs w:val="24"/>
              </w:rPr>
              <w:t>和而泰</w:t>
            </w:r>
          </w:p>
        </w:tc>
        <w:tc>
          <w:tcPr>
            <w:vAlign w:val="center"/>
          </w:tcPr>
          <w:p>
            <w:pPr>
              <w:jc w:val="right"/>
            </w:pPr>
            <w:r>
              <w:rPr>
                <w:color w:val="000000"/>
                <w:kern w:val="0"/>
                <w:sz w:val="24"/>
                <w:szCs w:val="24"/>
              </w:rPr>
              <w:t>866,400</w:t>
            </w:r>
          </w:p>
        </w:tc>
        <w:tc>
          <w:tcPr>
            <w:vAlign w:val="center"/>
          </w:tcPr>
          <w:p>
            <w:pPr>
              <w:jc w:val="right"/>
            </w:pPr>
            <w:r>
              <w:rPr>
                <w:color w:val="000000"/>
                <w:kern w:val="0"/>
                <w:sz w:val="24"/>
                <w:szCs w:val="24"/>
              </w:rPr>
              <w:t>14,044,344.00</w:t>
            </w:r>
          </w:p>
        </w:tc>
        <w:tc>
          <w:tcPr>
            <w:vAlign w:val="center"/>
          </w:tcPr>
          <w:p>
            <w:pPr>
              <w:jc w:val="right"/>
            </w:pPr>
            <w:r>
              <w:rPr>
                <w:color w:val="000000"/>
                <w:kern w:val="0"/>
                <w:sz w:val="24"/>
                <w:szCs w:val="24"/>
              </w:rPr>
              <w:t>4.90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600031</w:t>
            </w:r>
          </w:p>
        </w:tc>
        <w:tc>
          <w:tcPr>
            <w:vAlign w:val="center"/>
          </w:tcPr>
          <w:p>
            <w:pPr>
              <w:jc w:val="center"/>
            </w:pPr>
            <w:r>
              <w:rPr>
                <w:color w:val="000000"/>
                <w:kern w:val="0"/>
                <w:sz w:val="24"/>
                <w:szCs w:val="24"/>
              </w:rPr>
              <w:t>三一重工</w:t>
            </w:r>
          </w:p>
        </w:tc>
        <w:tc>
          <w:tcPr>
            <w:vAlign w:val="center"/>
          </w:tcPr>
          <w:p>
            <w:pPr>
              <w:jc w:val="right"/>
            </w:pPr>
            <w:r>
              <w:rPr>
                <w:color w:val="000000"/>
                <w:kern w:val="0"/>
                <w:sz w:val="24"/>
                <w:szCs w:val="24"/>
              </w:rPr>
              <w:t>738,500</w:t>
            </w:r>
          </w:p>
        </w:tc>
        <w:tc>
          <w:tcPr>
            <w:vAlign w:val="center"/>
          </w:tcPr>
          <w:p>
            <w:pPr>
              <w:jc w:val="right"/>
            </w:pPr>
            <w:r>
              <w:rPr>
                <w:color w:val="000000"/>
                <w:kern w:val="0"/>
                <w:sz w:val="24"/>
                <w:szCs w:val="24"/>
              </w:rPr>
              <w:t>13,854,260.00</w:t>
            </w:r>
          </w:p>
        </w:tc>
        <w:tc>
          <w:tcPr>
            <w:vAlign w:val="center"/>
          </w:tcPr>
          <w:p>
            <w:pPr>
              <w:jc w:val="right"/>
            </w:pPr>
            <w:r>
              <w:rPr>
                <w:color w:val="000000"/>
                <w:kern w:val="0"/>
                <w:sz w:val="24"/>
                <w:szCs w:val="24"/>
              </w:rPr>
              <w:t>4.83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600116</w:t>
            </w:r>
          </w:p>
        </w:tc>
        <w:tc>
          <w:tcPr>
            <w:vAlign w:val="center"/>
          </w:tcPr>
          <w:p>
            <w:pPr>
              <w:jc w:val="center"/>
            </w:pPr>
            <w:r>
              <w:rPr>
                <w:color w:val="000000"/>
                <w:kern w:val="0"/>
                <w:sz w:val="24"/>
                <w:szCs w:val="24"/>
              </w:rPr>
              <w:t>三峡水利</w:t>
            </w:r>
          </w:p>
        </w:tc>
        <w:tc>
          <w:tcPr>
            <w:vAlign w:val="center"/>
          </w:tcPr>
          <w:p>
            <w:pPr>
              <w:jc w:val="right"/>
            </w:pPr>
            <w:r>
              <w:rPr>
                <w:color w:val="000000"/>
                <w:kern w:val="0"/>
                <w:sz w:val="24"/>
                <w:szCs w:val="24"/>
              </w:rPr>
              <w:t>1,548,927</w:t>
            </w:r>
          </w:p>
        </w:tc>
        <w:tc>
          <w:tcPr>
            <w:vAlign w:val="center"/>
          </w:tcPr>
          <w:p>
            <w:pPr>
              <w:jc w:val="right"/>
            </w:pPr>
            <w:r>
              <w:rPr>
                <w:color w:val="000000"/>
                <w:kern w:val="0"/>
                <w:sz w:val="24"/>
                <w:szCs w:val="24"/>
              </w:rPr>
              <w:t>13,769,961.03</w:t>
            </w:r>
          </w:p>
        </w:tc>
        <w:tc>
          <w:tcPr>
            <w:vAlign w:val="center"/>
          </w:tcPr>
          <w:p>
            <w:pPr>
              <w:jc w:val="right"/>
            </w:pPr>
            <w:r>
              <w:rPr>
                <w:color w:val="000000"/>
                <w:kern w:val="0"/>
                <w:sz w:val="24"/>
                <w:szCs w:val="24"/>
              </w:rPr>
              <w:t>4.80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227,700</w:t>
            </w:r>
          </w:p>
        </w:tc>
        <w:tc>
          <w:tcPr>
            <w:vAlign w:val="center"/>
          </w:tcPr>
          <w:p>
            <w:pPr>
              <w:jc w:val="right"/>
            </w:pPr>
            <w:r>
              <w:rPr>
                <w:color w:val="000000"/>
                <w:kern w:val="0"/>
                <w:sz w:val="24"/>
                <w:szCs w:val="24"/>
              </w:rPr>
              <w:t>13,614,183.00</w:t>
            </w:r>
          </w:p>
        </w:tc>
        <w:tc>
          <w:tcPr>
            <w:vAlign w:val="center"/>
          </w:tcPr>
          <w:p>
            <w:pPr>
              <w:jc w:val="right"/>
            </w:pPr>
            <w:r>
              <w:rPr>
                <w:color w:val="000000"/>
                <w:kern w:val="0"/>
                <w:sz w:val="24"/>
                <w:szCs w:val="24"/>
              </w:rPr>
              <w:t>4.75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600486</w:t>
            </w:r>
          </w:p>
        </w:tc>
        <w:tc>
          <w:tcPr>
            <w:vAlign w:val="center"/>
          </w:tcPr>
          <w:p>
            <w:pPr>
              <w:jc w:val="center"/>
            </w:pPr>
            <w:r>
              <w:rPr>
                <w:color w:val="000000"/>
                <w:kern w:val="0"/>
                <w:sz w:val="24"/>
                <w:szCs w:val="24"/>
              </w:rPr>
              <w:t>扬农化工</w:t>
            </w:r>
          </w:p>
        </w:tc>
        <w:tc>
          <w:tcPr>
            <w:vAlign w:val="center"/>
          </w:tcPr>
          <w:p>
            <w:pPr>
              <w:jc w:val="right"/>
            </w:pPr>
            <w:r>
              <w:rPr>
                <w:color w:val="000000"/>
                <w:kern w:val="0"/>
                <w:sz w:val="24"/>
                <w:szCs w:val="24"/>
              </w:rPr>
              <w:t>164,339</w:t>
            </w:r>
          </w:p>
        </w:tc>
        <w:tc>
          <w:tcPr>
            <w:vAlign w:val="center"/>
          </w:tcPr>
          <w:p>
            <w:pPr>
              <w:jc w:val="right"/>
            </w:pPr>
            <w:r>
              <w:rPr>
                <w:color w:val="000000"/>
                <w:kern w:val="0"/>
                <w:sz w:val="24"/>
                <w:szCs w:val="24"/>
              </w:rPr>
              <w:t>13,557,967.50</w:t>
            </w:r>
          </w:p>
        </w:tc>
        <w:tc>
          <w:tcPr>
            <w:vAlign w:val="center"/>
          </w:tcPr>
          <w:p>
            <w:pPr>
              <w:jc w:val="right"/>
            </w:pPr>
            <w:r>
              <w:rPr>
                <w:color w:val="000000"/>
                <w:kern w:val="0"/>
                <w:sz w:val="24"/>
                <w:szCs w:val="24"/>
              </w:rPr>
              <w:t>4.73</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601636</w:t>
            </w:r>
          </w:p>
        </w:tc>
        <w:tc>
          <w:tcPr>
            <w:vAlign w:val="center"/>
          </w:tcPr>
          <w:p>
            <w:pPr>
              <w:jc w:val="center"/>
            </w:pPr>
            <w:r>
              <w:rPr>
                <w:color w:val="000000"/>
                <w:kern w:val="0"/>
                <w:sz w:val="24"/>
                <w:szCs w:val="24"/>
              </w:rPr>
              <w:t>旗滨集团</w:t>
            </w:r>
          </w:p>
        </w:tc>
        <w:tc>
          <w:tcPr>
            <w:vAlign w:val="center"/>
          </w:tcPr>
          <w:p>
            <w:pPr>
              <w:jc w:val="right"/>
            </w:pPr>
            <w:r>
              <w:rPr>
                <w:color w:val="000000"/>
                <w:kern w:val="0"/>
                <w:sz w:val="24"/>
                <w:szCs w:val="24"/>
              </w:rPr>
              <w:t>2,243,500</w:t>
            </w:r>
          </w:p>
        </w:tc>
        <w:tc>
          <w:tcPr>
            <w:vAlign w:val="center"/>
          </w:tcPr>
          <w:p>
            <w:pPr>
              <w:jc w:val="right"/>
            </w:pPr>
            <w:r>
              <w:rPr>
                <w:color w:val="000000"/>
                <w:kern w:val="0"/>
                <w:sz w:val="24"/>
                <w:szCs w:val="24"/>
              </w:rPr>
              <w:t>13,281,520.00</w:t>
            </w:r>
          </w:p>
        </w:tc>
        <w:tc>
          <w:tcPr>
            <w:vAlign w:val="center"/>
          </w:tcPr>
          <w:p>
            <w:pPr>
              <w:jc w:val="right"/>
            </w:pPr>
            <w:r>
              <w:rPr>
                <w:color w:val="000000"/>
                <w:kern w:val="0"/>
                <w:sz w:val="24"/>
                <w:szCs w:val="24"/>
              </w:rPr>
              <w:t>4.63</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本基金投资的前十名证券的发行主体本期未出现被监管部门立案调查，或在报告编制日前一年内受到公开谴责、处罚的情形。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99,568.62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1,534,564.88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5,932.08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3,717,354.16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5,357,419.74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155,638,672.97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37,623,067.52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48,214,417.44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145,047,323.05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2020年04月01日~2020年04月12日,2020年04月14日,2020年04月20日~2020年04月21日,2020年04月29日~2020年06月30日</w:t>
            </w:r>
          </w:p>
        </w:tc>
        <w:tc>
          <w:tcPr>
            <w:vAlign w:val="center"/>
          </w:tcPr>
          <w:p>
            <w:pPr>
              <w:jc w:val="center"/>
            </w:pPr>
            <w:r>
              <w:rPr>
                <w:sz w:val="24"/>
                <w:szCs w:val="24"/>
              </w:rPr>
              <w:t>31,224,824.36</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31,224,824.36</w:t>
            </w:r>
          </w:p>
        </w:tc>
        <w:tc>
          <w:tcPr>
            <w:vAlign w:val="center"/>
          </w:tcPr>
          <w:p>
            <w:pPr>
              <w:jc w:val="center"/>
            </w:pPr>
            <w:r>
              <w:rPr>
                <w:sz w:val="24"/>
                <w:szCs w:val="24"/>
              </w:rPr>
              <w:t>21.53%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1.中国证监会准予易方达环保主题灵活配置混合型证券投资基金注册的文件；</w:t>
      </w:r>
    </w:p>
    <w:p>
      <w:pPr>
        <w:spacing w:line="360" w:lineRule="auto"/>
        <w:ind w:firstLine="480" w:firstLineChars="200"/>
        <w:rPr>
          <w:color w:val="000000"/>
          <w:sz w:val="24"/>
          <w:szCs w:val="24"/>
        </w:rPr>
      </w:pPr>
      <w:r>
        <w:rPr>
          <w:color w:val="000000"/>
          <w:sz w:val="24"/>
          <w:szCs w:val="24"/>
        </w:rPr>
        <w:t>2.《易方达环保主题灵活配置混合型证券投资基金基金合同》；</w:t>
      </w:r>
    </w:p>
    <w:p>
      <w:pPr>
        <w:spacing w:line="360" w:lineRule="auto"/>
        <w:ind w:firstLine="480" w:firstLineChars="200"/>
        <w:rPr>
          <w:color w:val="000000"/>
          <w:sz w:val="24"/>
          <w:szCs w:val="24"/>
        </w:rPr>
      </w:pPr>
      <w:r>
        <w:rPr>
          <w:color w:val="000000"/>
          <w:sz w:val="24"/>
          <w:szCs w:val="24"/>
        </w:rPr>
        <w:t>3.《易方达环保主题灵活配置混合型证券投资基金托管协议》；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易方达环保主题灵活配置混合型证券投资基金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