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易方达瑞祥灵活配置混合型证券投资基金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中国民生银行股份有限公司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基金托管人中国民生银行股份有限公司根据本基金合同规定，于2020年7月17日复核了本报告中的财务指标、净值表现和投资组合报告等内容，保证复核内容不存在虚假记载、误导性陈述或者重大遗漏。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易方达瑞祥混合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001835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2018年1月19日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614,237,577.16</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的基本面、股票的估值水平出现较大变化时，本基金将对股票组合适时进行动态调整。在债券投资方面，本基金将主要通过类属配置与券种选择两个层次进行投资管理。</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中债新综合指数（财富）收益率×75%+沪深300指数收益率×25%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本基金为混合基金，理论上其预期风险与预期收益水平低于股票基金，高于债券基金和货币市场基金。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中国民生银行股份有限公司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易方达瑞祥混合I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易方达瑞祥混合E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001835</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001836</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447,577,376.33</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166,660,200.83</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易方达瑞祥混合I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易方达瑞祥混合E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8,734,539.07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2,973,143.05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8,396,499.30</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2,575,833.65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0.0233</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0.0199</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547,427,557.01</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203,647,983.94</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1.223</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1.222</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易方达瑞祥混合I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2.00%</w:t>
            </w:r>
          </w:p>
        </w:tc>
        <w:tc>
          <w:tcPr>
            <w:vAlign w:val="center"/>
          </w:tcPr>
          <w:p>
            <w:pPr>
              <w:jc w:val="center"/>
            </w:pPr>
            <w:r>
              <w:rPr>
                <w:color w:val="000000"/>
                <w:sz w:val="24"/>
              </w:rPr>
              <w:t>0.17%</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-1.07%</w:t>
            </w:r>
          </w:p>
        </w:tc>
        <w:tc>
          <w:tcPr>
            <w:vAlign w:val="center"/>
          </w:tcPr>
          <w:p>
            <w:pPr>
              <w:jc w:val="center"/>
            </w:pPr>
            <w:r>
              <w:rPr>
                <w:color w:val="000000"/>
                <w:sz w:val="24"/>
              </w:rPr>
              <w:t>-0.07%</w:t>
            </w:r>
          </w:p>
        </w:tc>
      </w:tr>
      <w:tr>
        <w:tc>
          <w:tcPr>
            <w:vAlign w:val="center"/>
          </w:tcPr>
          <w:p>
            <w:pPr>
              <w:jc w:val="left"/>
            </w:pPr>
            <w:r>
              <w:rPr>
                <w:color w:val="000000"/>
                <w:sz w:val="24"/>
              </w:rPr>
              <w:t>过去六个月</w:t>
            </w:r>
          </w:p>
        </w:tc>
        <w:tc>
          <w:tcPr>
            <w:vAlign w:val="center"/>
          </w:tcPr>
          <w:p>
            <w:pPr>
              <w:jc w:val="center"/>
            </w:pPr>
            <w:r>
              <w:rPr>
                <w:color w:val="000000"/>
                <w:sz w:val="24"/>
              </w:rPr>
              <w:t>4.17%</w:t>
            </w:r>
          </w:p>
        </w:tc>
        <w:tc>
          <w:tcPr>
            <w:vAlign w:val="center"/>
          </w:tcPr>
          <w:p>
            <w:pPr>
              <w:jc w:val="center"/>
            </w:pPr>
            <w:r>
              <w:rPr>
                <w:color w:val="000000"/>
                <w:sz w:val="24"/>
              </w:rPr>
              <w:t>0.23%</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2.01%</w:t>
            </w:r>
          </w:p>
        </w:tc>
        <w:tc>
          <w:tcPr>
            <w:vAlign w:val="center"/>
          </w:tcPr>
          <w:p>
            <w:pPr>
              <w:jc w:val="center"/>
            </w:pPr>
            <w:r>
              <w:rPr>
                <w:color w:val="000000"/>
                <w:sz w:val="24"/>
              </w:rPr>
              <w:t>-0.13%</w:t>
            </w:r>
          </w:p>
        </w:tc>
      </w:tr>
      <w:tr>
        <w:tc>
          <w:tcPr>
            <w:vAlign w:val="center"/>
          </w:tcPr>
          <w:p>
            <w:pPr>
              <w:jc w:val="left"/>
            </w:pPr>
            <w:r>
              <w:rPr>
                <w:color w:val="000000"/>
                <w:sz w:val="24"/>
              </w:rPr>
              <w:t>过去一年</w:t>
            </w:r>
          </w:p>
        </w:tc>
        <w:tc>
          <w:tcPr>
            <w:vAlign w:val="center"/>
          </w:tcPr>
          <w:p>
            <w:pPr>
              <w:jc w:val="center"/>
            </w:pPr>
            <w:r>
              <w:rPr>
                <w:color w:val="000000"/>
                <w:sz w:val="24"/>
              </w:rPr>
              <w:t>12.51%</w:t>
            </w:r>
          </w:p>
        </w:tc>
        <w:tc>
          <w:tcPr>
            <w:vAlign w:val="center"/>
          </w:tcPr>
          <w:p>
            <w:pPr>
              <w:jc w:val="center"/>
            </w:pPr>
            <w:r>
              <w:rPr>
                <w:color w:val="000000"/>
                <w:sz w:val="24"/>
              </w:rPr>
              <w:t>0.26%</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6.46%</w:t>
            </w:r>
          </w:p>
        </w:tc>
        <w:tc>
          <w:tcPr>
            <w:vAlign w:val="center"/>
          </w:tcPr>
          <w:p>
            <w:pPr>
              <w:jc w:val="center"/>
            </w:pPr>
            <w:r>
              <w:rPr>
                <w:color w:val="000000"/>
                <w:sz w:val="24"/>
              </w:rPr>
              <w:t>-0.03%</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22.30%</w:t>
            </w:r>
          </w:p>
        </w:tc>
        <w:tc>
          <w:tcPr>
            <w:vAlign w:val="center"/>
          </w:tcPr>
          <w:p>
            <w:pPr>
              <w:jc w:val="center"/>
            </w:pPr>
            <w:r>
              <w:rPr>
                <w:color w:val="000000"/>
                <w:sz w:val="24"/>
              </w:rPr>
              <w:t>0.34%</w:t>
            </w:r>
          </w:p>
        </w:tc>
        <w:tc>
          <w:tcPr>
            <w:vAlign w:val="center"/>
          </w:tcPr>
          <w:p>
            <w:pPr>
              <w:jc w:val="center"/>
            </w:pPr>
            <w:r>
              <w:rPr>
                <w:color w:val="000000"/>
                <w:sz w:val="24"/>
              </w:rPr>
              <w:t>11.17%</w:t>
            </w:r>
          </w:p>
        </w:tc>
        <w:tc>
          <w:tcPr>
            <w:vAlign w:val="center"/>
          </w:tcPr>
          <w:p>
            <w:pPr>
              <w:jc w:val="center"/>
            </w:pPr>
            <w:r>
              <w:rPr>
                <w:color w:val="000000"/>
                <w:sz w:val="24"/>
              </w:rPr>
              <w:t>0.33%</w:t>
            </w:r>
          </w:p>
        </w:tc>
        <w:tc>
          <w:tcPr>
            <w:vAlign w:val="center"/>
          </w:tcPr>
          <w:p>
            <w:pPr>
              <w:jc w:val="center"/>
            </w:pPr>
            <w:r>
              <w:rPr>
                <w:color w:val="000000"/>
                <w:sz w:val="24"/>
              </w:rPr>
              <w:t>11.13%</w:t>
            </w:r>
          </w:p>
        </w:tc>
        <w:tc>
          <w:tcPr>
            <w:vAlign w:val="center"/>
          </w:tcPr>
          <w:p>
            <w:pPr>
              <w:jc w:val="center"/>
            </w:pPr>
            <w:r>
              <w:rPr>
                <w:color w:val="000000"/>
                <w:sz w:val="24"/>
              </w:rPr>
              <w:t>0.01%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易方达瑞祥混合E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2.00%</w:t>
            </w:r>
          </w:p>
        </w:tc>
        <w:tc>
          <w:tcPr>
            <w:vAlign w:val="center"/>
          </w:tcPr>
          <w:p>
            <w:pPr>
              <w:jc w:val="center"/>
            </w:pPr>
            <w:r>
              <w:rPr>
                <w:color w:val="000000"/>
                <w:sz w:val="24"/>
              </w:rPr>
              <w:t>0.16%</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-1.07%</w:t>
            </w:r>
          </w:p>
        </w:tc>
        <w:tc>
          <w:tcPr>
            <w:vAlign w:val="center"/>
          </w:tcPr>
          <w:p>
            <w:pPr>
              <w:jc w:val="center"/>
            </w:pPr>
            <w:r>
              <w:rPr>
                <w:color w:val="000000"/>
                <w:sz w:val="24"/>
              </w:rPr>
              <w:t>-0.08%</w:t>
            </w:r>
          </w:p>
        </w:tc>
      </w:tr>
      <w:tr>
        <w:tc>
          <w:tcPr>
            <w:vAlign w:val="center"/>
          </w:tcPr>
          <w:p>
            <w:pPr>
              <w:jc w:val="left"/>
            </w:pPr>
            <w:r>
              <w:rPr>
                <w:color w:val="000000"/>
                <w:sz w:val="24"/>
              </w:rPr>
              <w:t>过去六个月</w:t>
            </w:r>
          </w:p>
        </w:tc>
        <w:tc>
          <w:tcPr>
            <w:vAlign w:val="center"/>
          </w:tcPr>
          <w:p>
            <w:pPr>
              <w:jc w:val="center"/>
            </w:pPr>
            <w:r>
              <w:rPr>
                <w:color w:val="000000"/>
                <w:sz w:val="24"/>
              </w:rPr>
              <w:t>4.09%</w:t>
            </w:r>
          </w:p>
        </w:tc>
        <w:tc>
          <w:tcPr>
            <w:vAlign w:val="center"/>
          </w:tcPr>
          <w:p>
            <w:pPr>
              <w:jc w:val="center"/>
            </w:pPr>
            <w:r>
              <w:rPr>
                <w:color w:val="000000"/>
                <w:sz w:val="24"/>
              </w:rPr>
              <w:t>0.23%</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1.93%</w:t>
            </w:r>
          </w:p>
        </w:tc>
        <w:tc>
          <w:tcPr>
            <w:vAlign w:val="center"/>
          </w:tcPr>
          <w:p>
            <w:pPr>
              <w:jc w:val="center"/>
            </w:pPr>
            <w:r>
              <w:rPr>
                <w:color w:val="000000"/>
                <w:sz w:val="24"/>
              </w:rPr>
              <w:t>-0.13%</w:t>
            </w:r>
          </w:p>
        </w:tc>
      </w:tr>
      <w:tr>
        <w:tc>
          <w:tcPr>
            <w:vAlign w:val="center"/>
          </w:tcPr>
          <w:p>
            <w:pPr>
              <w:jc w:val="left"/>
            </w:pPr>
            <w:r>
              <w:rPr>
                <w:color w:val="000000"/>
                <w:sz w:val="24"/>
              </w:rPr>
              <w:t>过去一年</w:t>
            </w:r>
          </w:p>
        </w:tc>
        <w:tc>
          <w:tcPr>
            <w:vAlign w:val="center"/>
          </w:tcPr>
          <w:p>
            <w:pPr>
              <w:jc w:val="center"/>
            </w:pPr>
            <w:r>
              <w:rPr>
                <w:color w:val="000000"/>
                <w:sz w:val="24"/>
              </w:rPr>
              <w:t>12.21%</w:t>
            </w:r>
          </w:p>
        </w:tc>
        <w:tc>
          <w:tcPr>
            <w:vAlign w:val="center"/>
          </w:tcPr>
          <w:p>
            <w:pPr>
              <w:jc w:val="center"/>
            </w:pPr>
            <w:r>
              <w:rPr>
                <w:color w:val="000000"/>
                <w:sz w:val="24"/>
              </w:rPr>
              <w:t>0.25%</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6.16%</w:t>
            </w:r>
          </w:p>
        </w:tc>
        <w:tc>
          <w:tcPr>
            <w:vAlign w:val="center"/>
          </w:tcPr>
          <w:p>
            <w:pPr>
              <w:jc w:val="center"/>
            </w:pPr>
            <w:r>
              <w:rPr>
                <w:color w:val="000000"/>
                <w:sz w:val="24"/>
              </w:rPr>
              <w:t>-0.04%</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22.20%</w:t>
            </w:r>
          </w:p>
        </w:tc>
        <w:tc>
          <w:tcPr>
            <w:vAlign w:val="center"/>
          </w:tcPr>
          <w:p>
            <w:pPr>
              <w:jc w:val="center"/>
            </w:pPr>
            <w:r>
              <w:rPr>
                <w:color w:val="000000"/>
                <w:sz w:val="24"/>
              </w:rPr>
              <w:t>0.34%</w:t>
            </w:r>
          </w:p>
        </w:tc>
        <w:tc>
          <w:tcPr>
            <w:vAlign w:val="center"/>
          </w:tcPr>
          <w:p>
            <w:pPr>
              <w:jc w:val="center"/>
            </w:pPr>
            <w:r>
              <w:rPr>
                <w:color w:val="000000"/>
                <w:sz w:val="24"/>
              </w:rPr>
              <w:t>11.17%</w:t>
            </w:r>
          </w:p>
        </w:tc>
        <w:tc>
          <w:tcPr>
            <w:vAlign w:val="center"/>
          </w:tcPr>
          <w:p>
            <w:pPr>
              <w:jc w:val="center"/>
            </w:pPr>
            <w:r>
              <w:rPr>
                <w:color w:val="000000"/>
                <w:sz w:val="24"/>
              </w:rPr>
              <w:t>0.33%</w:t>
            </w:r>
          </w:p>
        </w:tc>
        <w:tc>
          <w:tcPr>
            <w:vAlign w:val="center"/>
          </w:tcPr>
          <w:p>
            <w:pPr>
              <w:jc w:val="center"/>
            </w:pPr>
            <w:r>
              <w:rPr>
                <w:color w:val="000000"/>
                <w:sz w:val="24"/>
              </w:rPr>
              <w:t>11.03%</w:t>
            </w:r>
          </w:p>
        </w:tc>
        <w:tc>
          <w:tcPr>
            <w:vAlign w:val="center"/>
          </w:tcPr>
          <w:p>
            <w:pPr>
              <w:jc w:val="center"/>
            </w:pPr>
            <w:r>
              <w:rPr>
                <w:color w:val="000000"/>
                <w:sz w:val="24"/>
              </w:rPr>
              <w:t>0.01%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易方达瑞祥灵活配置混合型证券投资基金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（2018年1月19日至2020年6月30日）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易方达瑞祥混合I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易方达瑞祥混合E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注：自基金合同生效至报告期末，I类基金份额净值增长率为22.30%，E类基金份额净值增长率为22.20%，同期业绩比较基准收益率为11.17%。</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享灵活配置混合型证券投资基金的基金经理、易方达新利灵活配置混合型证券投资基金的基金经理、易方达瑞兴灵活配置混合型证券投资基金的基金经理、易方达瑞智灵活配置混合型证券投资基金的基金经理、易方达新鑫灵活配置混合型证券投资基金的基金经理、易方达瑞景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2019-06-26</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组合在二季度均以自下而上策略为主，精选高分红、低估值、较高ROE的优质个股并长期持有。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截至报告期末，本基金I类基金份额净值为1.223元，本报告期份额净值增长率为2.00%，同期业绩比较基准收益率为3.07%；E类基金份额净值为1.222元，本报告期份额净值增长率为2.00%，同期业绩比较基准收益率为3.07%。</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132,897,933.26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14.83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132,897,933.26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14.83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747,481,670.96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83.42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717,413,670.96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80.06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30,068,000.00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3.36</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5,922,479.56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0.66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9,788,552.23</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896,090,636.01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8,296,773.00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1.10</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68,303,062.73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9.09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6,293,780.64</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0.84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2,845,305.00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0.38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18,147,660.12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2.42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190,731.77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13,973,746.00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14,846,874.00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132,897,933.26</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17.69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0.74</w:t>
            </w:r>
          </w:p>
        </w:tc>
      </w:tr>
      <w:tr>
        <w:tc>
          <w:tcPr>
            <w:vAlign w:val="center"/>
          </w:tcPr>
          <w:p>
            <w:pPr>
              <w:jc w:val="center"/>
            </w:pPr>
            <w:r>
              <w:rPr>
                <w:color w:val="000000"/>
                <w:sz w:val="24"/>
              </w:rPr>
              <w:t>2</w:t>
            </w:r>
          </w:p>
        </w:tc>
        <w:tc>
          <w:tcPr>
            <w:vAlign w:val="center"/>
          </w:tcPr>
          <w:p>
            <w:pPr>
              <w:jc w:val="center"/>
            </w:pPr>
            <w:r>
              <w:rPr>
                <w:color w:val="000000"/>
                <w:sz w:val="24"/>
              </w:rPr>
              <w:t>600585</w:t>
            </w:r>
          </w:p>
        </w:tc>
        <w:tc>
          <w:tcPr>
            <w:vAlign w:val="center"/>
          </w:tcPr>
          <w:p>
            <w:pPr>
              <w:jc w:val="center"/>
            </w:pPr>
            <w:r>
              <w:rPr>
                <w:color w:val="000000"/>
                <w:sz w:val="24"/>
              </w:rPr>
              <w:t>海螺水泥</w:t>
            </w:r>
          </w:p>
        </w:tc>
        <w:tc>
          <w:tcPr>
            <w:vAlign w:val="center"/>
          </w:tcPr>
          <w:p>
            <w:pPr>
              <w:jc w:val="right"/>
            </w:pPr>
            <w:r>
              <w:rPr>
                <w:color w:val="000000"/>
                <w:sz w:val="24"/>
              </w:rPr>
              <w:t>81,200</w:t>
            </w:r>
          </w:p>
        </w:tc>
        <w:tc>
          <w:tcPr>
            <w:vAlign w:val="center"/>
          </w:tcPr>
          <w:p>
            <w:pPr>
              <w:jc w:val="right"/>
            </w:pPr>
            <w:r>
              <w:rPr>
                <w:color w:val="000000"/>
                <w:sz w:val="24"/>
              </w:rPr>
              <w:t>4,296,292.00</w:t>
            </w:r>
          </w:p>
        </w:tc>
        <w:tc>
          <w:tcPr>
            <w:vAlign w:val="center"/>
          </w:tcPr>
          <w:p>
            <w:pPr>
              <w:jc w:val="right"/>
            </w:pPr>
            <w:r>
              <w:rPr>
                <w:color w:val="000000"/>
                <w:sz w:val="24"/>
              </w:rPr>
              <w:t>0.57</w:t>
            </w:r>
          </w:p>
        </w:tc>
      </w:tr>
      <w:tr>
        <w:tc>
          <w:tcPr>
            <w:vAlign w:val="center"/>
          </w:tcPr>
          <w:p>
            <w:pPr>
              <w:jc w:val="center"/>
            </w:pPr>
            <w:r>
              <w:rPr>
                <w:color w:val="000000"/>
                <w:sz w:val="24"/>
              </w:rPr>
              <w:t>3</w:t>
            </w:r>
          </w:p>
        </w:tc>
        <w:tc>
          <w:tcPr>
            <w:vAlign w:val="center"/>
          </w:tcPr>
          <w:p>
            <w:pPr>
              <w:jc w:val="center"/>
            </w:pPr>
            <w:r>
              <w:rPr>
                <w:color w:val="000000"/>
                <w:sz w:val="24"/>
              </w:rPr>
              <w:t>600383</w:t>
            </w:r>
          </w:p>
        </w:tc>
        <w:tc>
          <w:tcPr>
            <w:vAlign w:val="center"/>
          </w:tcPr>
          <w:p>
            <w:pPr>
              <w:jc w:val="center"/>
            </w:pPr>
            <w:r>
              <w:rPr>
                <w:color w:val="000000"/>
                <w:sz w:val="24"/>
              </w:rPr>
              <w:t>金地集团</w:t>
            </w:r>
          </w:p>
        </w:tc>
        <w:tc>
          <w:tcPr>
            <w:vAlign w:val="center"/>
          </w:tcPr>
          <w:p>
            <w:pPr>
              <w:jc w:val="right"/>
            </w:pPr>
            <w:r>
              <w:rPr>
                <w:color w:val="000000"/>
                <w:sz w:val="24"/>
              </w:rPr>
              <w:t>262,000</w:t>
            </w:r>
          </w:p>
        </w:tc>
        <w:tc>
          <w:tcPr>
            <w:vAlign w:val="center"/>
          </w:tcPr>
          <w:p>
            <w:pPr>
              <w:jc w:val="right"/>
            </w:pPr>
            <w:r>
              <w:rPr>
                <w:color w:val="000000"/>
                <w:sz w:val="24"/>
              </w:rPr>
              <w:t>3,589,400.00</w:t>
            </w:r>
          </w:p>
        </w:tc>
        <w:tc>
          <w:tcPr>
            <w:vAlign w:val="center"/>
          </w:tcPr>
          <w:p>
            <w:pPr>
              <w:jc w:val="right"/>
            </w:pPr>
            <w:r>
              <w:rPr>
                <w:color w:val="000000"/>
                <w:sz w:val="24"/>
              </w:rPr>
              <w:t>0.48</w:t>
            </w:r>
          </w:p>
        </w:tc>
      </w:tr>
      <w:tr>
        <w:tc>
          <w:tcPr>
            <w:vAlign w:val="center"/>
          </w:tcPr>
          <w:p>
            <w:pPr>
              <w:jc w:val="center"/>
            </w:pPr>
            <w:r>
              <w:rPr>
                <w:color w:val="000000"/>
                <w:sz w:val="24"/>
              </w:rPr>
              <w:t>4</w:t>
            </w:r>
          </w:p>
        </w:tc>
        <w:tc>
          <w:tcPr>
            <w:vAlign w:val="center"/>
          </w:tcPr>
          <w:p>
            <w:pPr>
              <w:jc w:val="center"/>
            </w:pPr>
            <w:r>
              <w:rPr>
                <w:color w:val="000000"/>
                <w:sz w:val="24"/>
              </w:rPr>
              <w:t>600900</w:t>
            </w:r>
          </w:p>
        </w:tc>
        <w:tc>
          <w:tcPr>
            <w:vAlign w:val="center"/>
          </w:tcPr>
          <w:p>
            <w:pPr>
              <w:jc w:val="center"/>
            </w:pPr>
            <w:r>
              <w:rPr>
                <w:color w:val="000000"/>
                <w:sz w:val="24"/>
              </w:rPr>
              <w:t>长江电力</w:t>
            </w:r>
          </w:p>
        </w:tc>
        <w:tc>
          <w:tcPr>
            <w:vAlign w:val="center"/>
          </w:tcPr>
          <w:p>
            <w:pPr>
              <w:jc w:val="right"/>
            </w:pPr>
            <w:r>
              <w:rPr>
                <w:color w:val="000000"/>
                <w:sz w:val="24"/>
              </w:rPr>
              <w:t>187,308</w:t>
            </w:r>
          </w:p>
        </w:tc>
        <w:tc>
          <w:tcPr>
            <w:vAlign w:val="center"/>
          </w:tcPr>
          <w:p>
            <w:pPr>
              <w:jc w:val="right"/>
            </w:pPr>
            <w:r>
              <w:rPr>
                <w:color w:val="000000"/>
                <w:sz w:val="24"/>
              </w:rPr>
              <w:t>3,547,613.52</w:t>
            </w:r>
          </w:p>
        </w:tc>
        <w:tc>
          <w:tcPr>
            <w:vAlign w:val="center"/>
          </w:tcPr>
          <w:p>
            <w:pPr>
              <w:jc w:val="right"/>
            </w:pPr>
            <w:r>
              <w:rPr>
                <w:color w:val="000000"/>
                <w:sz w:val="24"/>
              </w:rPr>
              <w:t>0.47</w:t>
            </w:r>
          </w:p>
        </w:tc>
      </w:tr>
      <w:tr>
        <w:tc>
          <w:tcPr>
            <w:vAlign w:val="center"/>
          </w:tcPr>
          <w:p>
            <w:pPr>
              <w:jc w:val="center"/>
            </w:pPr>
            <w:r>
              <w:rPr>
                <w:color w:val="000000"/>
                <w:sz w:val="24"/>
              </w:rPr>
              <w:t>5</w:t>
            </w:r>
          </w:p>
        </w:tc>
        <w:tc>
          <w:tcPr>
            <w:vAlign w:val="center"/>
          </w:tcPr>
          <w:p>
            <w:pPr>
              <w:jc w:val="center"/>
            </w:pPr>
            <w:r>
              <w:rPr>
                <w:color w:val="000000"/>
                <w:sz w:val="24"/>
              </w:rPr>
              <w:t>002242</w:t>
            </w:r>
          </w:p>
        </w:tc>
        <w:tc>
          <w:tcPr>
            <w:vAlign w:val="center"/>
          </w:tcPr>
          <w:p>
            <w:pPr>
              <w:jc w:val="center"/>
            </w:pPr>
            <w:r>
              <w:rPr>
                <w:color w:val="000000"/>
                <w:sz w:val="24"/>
              </w:rPr>
              <w:t>九阳股份</w:t>
            </w:r>
          </w:p>
        </w:tc>
        <w:tc>
          <w:tcPr>
            <w:vAlign w:val="center"/>
          </w:tcPr>
          <w:p>
            <w:pPr>
              <w:jc w:val="right"/>
            </w:pPr>
            <w:r>
              <w:rPr>
                <w:color w:val="000000"/>
                <w:sz w:val="24"/>
              </w:rPr>
              <w:t>93,800</w:t>
            </w:r>
          </w:p>
        </w:tc>
        <w:tc>
          <w:tcPr>
            <w:vAlign w:val="center"/>
          </w:tcPr>
          <w:p>
            <w:pPr>
              <w:jc w:val="right"/>
            </w:pPr>
            <w:r>
              <w:rPr>
                <w:color w:val="000000"/>
                <w:sz w:val="24"/>
              </w:rPr>
              <w:t>3,495,926.00</w:t>
            </w:r>
          </w:p>
        </w:tc>
        <w:tc>
          <w:tcPr>
            <w:vAlign w:val="center"/>
          </w:tcPr>
          <w:p>
            <w:pPr>
              <w:jc w:val="right"/>
            </w:pPr>
            <w:r>
              <w:rPr>
                <w:color w:val="000000"/>
                <w:sz w:val="24"/>
              </w:rPr>
              <w:t>0.47</w:t>
            </w:r>
          </w:p>
        </w:tc>
      </w:tr>
      <w:tr>
        <w:tc>
          <w:tcPr>
            <w:vAlign w:val="center"/>
          </w:tcPr>
          <w:p>
            <w:pPr>
              <w:jc w:val="center"/>
            </w:pPr>
            <w:r>
              <w:rPr>
                <w:color w:val="000000"/>
                <w:sz w:val="24"/>
              </w:rPr>
              <w:t>6</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235,400</w:t>
            </w:r>
          </w:p>
        </w:tc>
        <w:tc>
          <w:tcPr>
            <w:vAlign w:val="center"/>
          </w:tcPr>
          <w:p>
            <w:pPr>
              <w:jc w:val="right"/>
            </w:pPr>
            <w:r>
              <w:rPr>
                <w:color w:val="000000"/>
                <w:sz w:val="24"/>
              </w:rPr>
              <w:t>3,479,212.00</w:t>
            </w:r>
          </w:p>
        </w:tc>
        <w:tc>
          <w:tcPr>
            <w:vAlign w:val="center"/>
          </w:tcPr>
          <w:p>
            <w:pPr>
              <w:jc w:val="right"/>
            </w:pPr>
            <w:r>
              <w:rPr>
                <w:color w:val="000000"/>
                <w:sz w:val="24"/>
              </w:rPr>
              <w:t>0.46</w:t>
            </w:r>
          </w:p>
        </w:tc>
      </w:tr>
      <w:tr>
        <w:tc>
          <w:tcPr>
            <w:vAlign w:val="center"/>
          </w:tcPr>
          <w:p>
            <w:pPr>
              <w:jc w:val="center"/>
            </w:pPr>
            <w:r>
              <w:rPr>
                <w:color w:val="000000"/>
                <w:sz w:val="24"/>
              </w:rPr>
              <w:t>7</w:t>
            </w:r>
          </w:p>
        </w:tc>
        <w:tc>
          <w:tcPr>
            <w:vAlign w:val="center"/>
          </w:tcPr>
          <w:p>
            <w:pPr>
              <w:jc w:val="center"/>
            </w:pPr>
            <w:r>
              <w:rPr>
                <w:color w:val="000000"/>
                <w:sz w:val="24"/>
              </w:rPr>
              <w:t>601877</w:t>
            </w:r>
          </w:p>
        </w:tc>
        <w:tc>
          <w:tcPr>
            <w:vAlign w:val="center"/>
          </w:tcPr>
          <w:p>
            <w:pPr>
              <w:jc w:val="center"/>
            </w:pPr>
            <w:r>
              <w:rPr>
                <w:color w:val="000000"/>
                <w:sz w:val="24"/>
              </w:rPr>
              <w:t>正泰电器</w:t>
            </w:r>
          </w:p>
        </w:tc>
        <w:tc>
          <w:tcPr>
            <w:vAlign w:val="center"/>
          </w:tcPr>
          <w:p>
            <w:pPr>
              <w:jc w:val="right"/>
            </w:pPr>
            <w:r>
              <w:rPr>
                <w:color w:val="000000"/>
                <w:sz w:val="24"/>
              </w:rPr>
              <w:t>130,303</w:t>
            </w:r>
          </w:p>
        </w:tc>
        <w:tc>
          <w:tcPr>
            <w:vAlign w:val="center"/>
          </w:tcPr>
          <w:p>
            <w:pPr>
              <w:jc w:val="right"/>
            </w:pPr>
            <w:r>
              <w:rPr>
                <w:color w:val="000000"/>
                <w:sz w:val="24"/>
              </w:rPr>
              <w:t>3,433,484.05</w:t>
            </w:r>
          </w:p>
        </w:tc>
        <w:tc>
          <w:tcPr>
            <w:vAlign w:val="center"/>
          </w:tcPr>
          <w:p>
            <w:pPr>
              <w:jc w:val="right"/>
            </w:pPr>
            <w:r>
              <w:rPr>
                <w:color w:val="000000"/>
                <w:sz w:val="24"/>
              </w:rPr>
              <w:t>0.46</w:t>
            </w:r>
          </w:p>
        </w:tc>
      </w:tr>
      <w:tr>
        <w:tc>
          <w:tcPr>
            <w:vAlign w:val="center"/>
          </w:tcPr>
          <w:p>
            <w:pPr>
              <w:jc w:val="center"/>
            </w:pPr>
            <w:r>
              <w:rPr>
                <w:color w:val="000000"/>
                <w:sz w:val="24"/>
              </w:rPr>
              <w:t>8</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61,800</w:t>
            </w:r>
          </w:p>
        </w:tc>
        <w:tc>
          <w:tcPr>
            <w:vAlign w:val="center"/>
          </w:tcPr>
          <w:p>
            <w:pPr>
              <w:jc w:val="right"/>
            </w:pPr>
            <w:r>
              <w:rPr>
                <w:color w:val="000000"/>
                <w:sz w:val="24"/>
              </w:rPr>
              <w:t>3,380,460.00</w:t>
            </w:r>
          </w:p>
        </w:tc>
        <w:tc>
          <w:tcPr>
            <w:vAlign w:val="center"/>
          </w:tcPr>
          <w:p>
            <w:pPr>
              <w:jc w:val="right"/>
            </w:pPr>
            <w:r>
              <w:rPr>
                <w:color w:val="000000"/>
                <w:sz w:val="24"/>
              </w:rPr>
              <w:t>0.45</w:t>
            </w:r>
          </w:p>
        </w:tc>
      </w:tr>
      <w:tr>
        <w:tc>
          <w:tcPr>
            <w:vAlign w:val="center"/>
          </w:tcPr>
          <w:p>
            <w:pPr>
              <w:jc w:val="center"/>
            </w:pPr>
            <w:r>
              <w:rPr>
                <w:color w:val="000000"/>
                <w:sz w:val="24"/>
              </w:rPr>
              <w:t>9</w:t>
            </w:r>
          </w:p>
        </w:tc>
        <w:tc>
          <w:tcPr>
            <w:vAlign w:val="center"/>
          </w:tcPr>
          <w:p>
            <w:pPr>
              <w:jc w:val="center"/>
            </w:pPr>
            <w:r>
              <w:rPr>
                <w:color w:val="000000"/>
                <w:sz w:val="24"/>
              </w:rPr>
              <w:t>002601</w:t>
            </w:r>
          </w:p>
        </w:tc>
        <w:tc>
          <w:tcPr>
            <w:vAlign w:val="center"/>
          </w:tcPr>
          <w:p>
            <w:pPr>
              <w:jc w:val="center"/>
            </w:pPr>
            <w:r>
              <w:rPr>
                <w:color w:val="000000"/>
                <w:sz w:val="24"/>
              </w:rPr>
              <w:t>龙蟒佰利</w:t>
            </w:r>
          </w:p>
        </w:tc>
        <w:tc>
          <w:tcPr>
            <w:vAlign w:val="center"/>
          </w:tcPr>
          <w:p>
            <w:pPr>
              <w:jc w:val="right"/>
            </w:pPr>
            <w:r>
              <w:rPr>
                <w:color w:val="000000"/>
                <w:sz w:val="24"/>
              </w:rPr>
              <w:t>178,300</w:t>
            </w:r>
          </w:p>
        </w:tc>
        <w:tc>
          <w:tcPr>
            <w:vAlign w:val="center"/>
          </w:tcPr>
          <w:p>
            <w:pPr>
              <w:jc w:val="right"/>
            </w:pPr>
            <w:r>
              <w:rPr>
                <w:color w:val="000000"/>
                <w:sz w:val="24"/>
              </w:rPr>
              <w:t>3,298,550.00</w:t>
            </w:r>
          </w:p>
        </w:tc>
        <w:tc>
          <w:tcPr>
            <w:vAlign w:val="center"/>
          </w:tcPr>
          <w:p>
            <w:pPr>
              <w:jc w:val="right"/>
            </w:pPr>
            <w:r>
              <w:rPr>
                <w:color w:val="000000"/>
                <w:sz w:val="24"/>
              </w:rPr>
              <w:t>0.44</w:t>
            </w:r>
          </w:p>
        </w:tc>
      </w:tr>
      <w:tr>
        <w:tc>
          <w:tcPr>
            <w:vAlign w:val="center"/>
          </w:tcPr>
          <w:p>
            <w:pPr>
              <w:jc w:val="center"/>
            </w:pPr>
            <w:r>
              <w:rPr>
                <w:color w:val="000000"/>
                <w:sz w:val="24"/>
              </w:rPr>
              <w:t>10</w:t>
            </w:r>
          </w:p>
        </w:tc>
        <w:tc>
          <w:tcPr>
            <w:vAlign w:val="center"/>
          </w:tcPr>
          <w:p>
            <w:pPr>
              <w:jc w:val="center"/>
            </w:pPr>
            <w:r>
              <w:rPr>
                <w:color w:val="000000"/>
                <w:sz w:val="24"/>
              </w:rPr>
              <w:t>002078</w:t>
            </w:r>
          </w:p>
        </w:tc>
        <w:tc>
          <w:tcPr>
            <w:vAlign w:val="center"/>
          </w:tcPr>
          <w:p>
            <w:pPr>
              <w:jc w:val="center"/>
            </w:pPr>
            <w:r>
              <w:rPr>
                <w:color w:val="000000"/>
                <w:sz w:val="24"/>
              </w:rPr>
              <w:t>太阳纸业</w:t>
            </w:r>
          </w:p>
        </w:tc>
        <w:tc>
          <w:tcPr>
            <w:vAlign w:val="center"/>
          </w:tcPr>
          <w:p>
            <w:pPr>
              <w:jc w:val="right"/>
            </w:pPr>
            <w:r>
              <w:rPr>
                <w:color w:val="000000"/>
                <w:sz w:val="24"/>
              </w:rPr>
              <w:t>343,800</w:t>
            </w:r>
          </w:p>
        </w:tc>
        <w:tc>
          <w:tcPr>
            <w:vAlign w:val="center"/>
          </w:tcPr>
          <w:p>
            <w:pPr>
              <w:jc w:val="right"/>
            </w:pPr>
            <w:r>
              <w:rPr>
                <w:color w:val="000000"/>
                <w:sz w:val="24"/>
              </w:rPr>
              <w:t>3,272,976.00</w:t>
            </w:r>
          </w:p>
        </w:tc>
        <w:tc>
          <w:tcPr>
            <w:vAlign w:val="center"/>
          </w:tcPr>
          <w:p>
            <w:pPr>
              <w:jc w:val="right"/>
            </w:pPr>
            <w:r>
              <w:rPr>
                <w:color w:val="000000"/>
                <w:sz w:val="24"/>
              </w:rPr>
              <w:t>0.44</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1,200,600.00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0.16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36,475,100.00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4.86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36,475,100.00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4.86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157,608,000.00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20.98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70,188,000.00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9.34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450,916,000.00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60.04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1,025,970.96</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0.14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717,413,670.96</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95.52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310,000</w:t>
            </w:r>
          </w:p>
        </w:tc>
        <w:tc>
          <w:tcPr>
            <w:vAlign w:val="center"/>
          </w:tcPr>
          <w:p>
            <w:pPr>
              <w:jc w:val="right"/>
            </w:pPr>
            <w:r>
              <w:rPr>
                <w:color w:val="000000"/>
                <w:sz w:val="24"/>
              </w:rPr>
              <w:t>31,468,100.00</w:t>
            </w:r>
          </w:p>
        </w:tc>
        <w:tc>
          <w:tcPr>
            <w:vAlign w:val="center"/>
          </w:tcPr>
          <w:p>
            <w:pPr>
              <w:jc w:val="right"/>
            </w:pPr>
            <w:r>
              <w:rPr>
                <w:color w:val="000000"/>
                <w:sz w:val="24"/>
              </w:rPr>
              <w:t>4.19</w:t>
            </w:r>
          </w:p>
        </w:tc>
      </w:tr>
      <w:tr>
        <w:tc>
          <w:tcPr>
            <w:vAlign w:val="center"/>
          </w:tcPr>
          <w:p>
            <w:pPr>
              <w:jc w:val="center"/>
            </w:pPr>
            <w:r>
              <w:rPr>
                <w:color w:val="000000"/>
                <w:sz w:val="24"/>
              </w:rPr>
              <w:t>2</w:t>
            </w:r>
          </w:p>
        </w:tc>
        <w:tc>
          <w:tcPr>
            <w:vAlign w:val="center"/>
          </w:tcPr>
          <w:p>
            <w:pPr>
              <w:jc w:val="center"/>
            </w:pPr>
            <w:r>
              <w:rPr>
                <w:color w:val="000000"/>
                <w:sz w:val="24"/>
              </w:rPr>
              <w:t>101900626</w:t>
            </w:r>
          </w:p>
        </w:tc>
        <w:tc>
          <w:tcPr>
            <w:vAlign w:val="center"/>
          </w:tcPr>
          <w:p>
            <w:pPr>
              <w:jc w:val="center"/>
            </w:pPr>
            <w:r>
              <w:rPr>
                <w:color w:val="000000"/>
                <w:sz w:val="24"/>
              </w:rPr>
              <w:t>19吉利MTN001</w:t>
            </w:r>
          </w:p>
        </w:tc>
        <w:tc>
          <w:tcPr>
            <w:vAlign w:val="center"/>
          </w:tcPr>
          <w:p>
            <w:pPr>
              <w:jc w:val="right"/>
            </w:pPr>
            <w:r>
              <w:rPr>
                <w:color w:val="000000"/>
                <w:sz w:val="24"/>
              </w:rPr>
              <w:t>300,000</w:t>
            </w:r>
          </w:p>
        </w:tc>
        <w:tc>
          <w:tcPr>
            <w:vAlign w:val="center"/>
          </w:tcPr>
          <w:p>
            <w:pPr>
              <w:jc w:val="right"/>
            </w:pPr>
            <w:r>
              <w:rPr>
                <w:color w:val="000000"/>
                <w:sz w:val="24"/>
              </w:rPr>
              <w:t>30,339,000.00</w:t>
            </w:r>
          </w:p>
        </w:tc>
        <w:tc>
          <w:tcPr>
            <w:vAlign w:val="center"/>
          </w:tcPr>
          <w:p>
            <w:pPr>
              <w:jc w:val="right"/>
            </w:pPr>
            <w:r>
              <w:rPr>
                <w:color w:val="000000"/>
                <w:sz w:val="24"/>
              </w:rPr>
              <w:t>4.04</w:t>
            </w:r>
          </w:p>
        </w:tc>
      </w:tr>
      <w:tr>
        <w:tc>
          <w:tcPr>
            <w:vAlign w:val="center"/>
          </w:tcPr>
          <w:p>
            <w:pPr>
              <w:jc w:val="center"/>
            </w:pPr>
            <w:r>
              <w:rPr>
                <w:color w:val="000000"/>
                <w:sz w:val="24"/>
              </w:rPr>
              <w:t>3</w:t>
            </w:r>
          </w:p>
        </w:tc>
        <w:tc>
          <w:tcPr>
            <w:vAlign w:val="center"/>
          </w:tcPr>
          <w:p>
            <w:pPr>
              <w:jc w:val="center"/>
            </w:pPr>
            <w:r>
              <w:rPr>
                <w:color w:val="000000"/>
                <w:sz w:val="24"/>
              </w:rPr>
              <w:t>041900290</w:t>
            </w:r>
          </w:p>
        </w:tc>
        <w:tc>
          <w:tcPr>
            <w:vAlign w:val="center"/>
          </w:tcPr>
          <w:p>
            <w:pPr>
              <w:jc w:val="center"/>
            </w:pPr>
            <w:r>
              <w:rPr>
                <w:color w:val="000000"/>
                <w:sz w:val="24"/>
              </w:rPr>
              <w:t>19中化农化CP002</w:t>
            </w:r>
          </w:p>
        </w:tc>
        <w:tc>
          <w:tcPr>
            <w:vAlign w:val="center"/>
          </w:tcPr>
          <w:p>
            <w:pPr>
              <w:jc w:val="right"/>
            </w:pPr>
            <w:r>
              <w:rPr>
                <w:color w:val="000000"/>
                <w:sz w:val="24"/>
              </w:rPr>
              <w:t>300,000</w:t>
            </w:r>
          </w:p>
        </w:tc>
        <w:tc>
          <w:tcPr>
            <w:vAlign w:val="center"/>
          </w:tcPr>
          <w:p>
            <w:pPr>
              <w:jc w:val="right"/>
            </w:pPr>
            <w:r>
              <w:rPr>
                <w:color w:val="000000"/>
                <w:sz w:val="24"/>
              </w:rPr>
              <w:t>30,213,000.00</w:t>
            </w:r>
          </w:p>
        </w:tc>
        <w:tc>
          <w:tcPr>
            <w:vAlign w:val="center"/>
          </w:tcPr>
          <w:p>
            <w:pPr>
              <w:jc w:val="right"/>
            </w:pPr>
            <w:r>
              <w:rPr>
                <w:color w:val="000000"/>
                <w:sz w:val="24"/>
              </w:rPr>
              <w:t>4.02</w:t>
            </w:r>
          </w:p>
        </w:tc>
      </w:tr>
      <w:tr>
        <w:tc>
          <w:tcPr>
            <w:vAlign w:val="center"/>
          </w:tcPr>
          <w:p>
            <w:pPr>
              <w:jc w:val="center"/>
            </w:pPr>
            <w:r>
              <w:rPr>
                <w:color w:val="000000"/>
                <w:sz w:val="24"/>
              </w:rPr>
              <w:t>4</w:t>
            </w:r>
          </w:p>
        </w:tc>
        <w:tc>
          <w:tcPr>
            <w:vAlign w:val="center"/>
          </w:tcPr>
          <w:p>
            <w:pPr>
              <w:jc w:val="center"/>
            </w:pPr>
            <w:r>
              <w:rPr>
                <w:color w:val="000000"/>
                <w:sz w:val="24"/>
              </w:rPr>
              <w:t>163541</w:t>
            </w:r>
          </w:p>
        </w:tc>
        <w:tc>
          <w:tcPr>
            <w:vAlign w:val="center"/>
          </w:tcPr>
          <w:p>
            <w:pPr>
              <w:jc w:val="center"/>
            </w:pPr>
            <w:r>
              <w:rPr>
                <w:color w:val="000000"/>
                <w:sz w:val="24"/>
              </w:rPr>
              <w:t>20诚通10</w:t>
            </w:r>
          </w:p>
        </w:tc>
        <w:tc>
          <w:tcPr>
            <w:vAlign w:val="center"/>
          </w:tcPr>
          <w:p>
            <w:pPr>
              <w:jc w:val="right"/>
            </w:pPr>
            <w:r>
              <w:rPr>
                <w:color w:val="000000"/>
                <w:sz w:val="24"/>
              </w:rPr>
              <w:t>300,000</w:t>
            </w:r>
          </w:p>
        </w:tc>
        <w:tc>
          <w:tcPr>
            <w:vAlign w:val="center"/>
          </w:tcPr>
          <w:p>
            <w:pPr>
              <w:jc w:val="right"/>
            </w:pPr>
            <w:r>
              <w:rPr>
                <w:color w:val="000000"/>
                <w:sz w:val="24"/>
              </w:rPr>
              <w:t>29,709,000.00</w:t>
            </w:r>
          </w:p>
        </w:tc>
        <w:tc>
          <w:tcPr>
            <w:vAlign w:val="center"/>
          </w:tcPr>
          <w:p>
            <w:pPr>
              <w:jc w:val="right"/>
            </w:pPr>
            <w:r>
              <w:rPr>
                <w:color w:val="000000"/>
                <w:sz w:val="24"/>
              </w:rPr>
              <w:t>3.96</w:t>
            </w:r>
          </w:p>
        </w:tc>
      </w:tr>
      <w:tr>
        <w:tc>
          <w:tcPr>
            <w:vAlign w:val="center"/>
          </w:tcPr>
          <w:p>
            <w:pPr>
              <w:jc w:val="center"/>
            </w:pPr>
            <w:r>
              <w:rPr>
                <w:color w:val="000000"/>
                <w:sz w:val="24"/>
              </w:rPr>
              <w:t>5</w:t>
            </w:r>
          </w:p>
        </w:tc>
        <w:tc>
          <w:tcPr>
            <w:vAlign w:val="center"/>
          </w:tcPr>
          <w:p>
            <w:pPr>
              <w:jc w:val="center"/>
            </w:pPr>
            <w:r>
              <w:rPr>
                <w:color w:val="000000"/>
                <w:sz w:val="24"/>
              </w:rPr>
              <w:t>101800202</w:t>
            </w:r>
          </w:p>
        </w:tc>
        <w:tc>
          <w:tcPr>
            <w:vAlign w:val="center"/>
          </w:tcPr>
          <w:p>
            <w:pPr>
              <w:jc w:val="center"/>
            </w:pPr>
            <w:r>
              <w:rPr>
                <w:color w:val="000000"/>
                <w:sz w:val="24"/>
              </w:rPr>
              <w:t>18天恒置业MTN001</w:t>
            </w:r>
          </w:p>
        </w:tc>
        <w:tc>
          <w:tcPr>
            <w:vAlign w:val="center"/>
          </w:tcPr>
          <w:p>
            <w:pPr>
              <w:jc w:val="right"/>
            </w:pPr>
            <w:r>
              <w:rPr>
                <w:color w:val="000000"/>
                <w:sz w:val="24"/>
              </w:rPr>
              <w:t>200,000</w:t>
            </w:r>
          </w:p>
        </w:tc>
        <w:tc>
          <w:tcPr>
            <w:vAlign w:val="center"/>
          </w:tcPr>
          <w:p>
            <w:pPr>
              <w:jc w:val="right"/>
            </w:pPr>
            <w:r>
              <w:rPr>
                <w:color w:val="000000"/>
                <w:sz w:val="24"/>
              </w:rPr>
              <w:t>20,514,000.00</w:t>
            </w:r>
          </w:p>
        </w:tc>
        <w:tc>
          <w:tcPr>
            <w:vAlign w:val="center"/>
          </w:tcPr>
          <w:p>
            <w:pPr>
              <w:jc w:val="right"/>
            </w:pPr>
            <w:r>
              <w:rPr>
                <w:color w:val="000000"/>
                <w:sz w:val="24"/>
              </w:rPr>
              <w:t>2.73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138020</w:t>
            </w:r>
          </w:p>
        </w:tc>
        <w:tc>
          <w:tcPr>
            <w:vAlign w:val="center"/>
          </w:tcPr>
          <w:p>
            <w:pPr>
              <w:jc w:val="center"/>
            </w:pPr>
            <w:r>
              <w:rPr>
                <w:color w:val="000000"/>
                <w:sz w:val="24"/>
              </w:rPr>
              <w:t>绿城15优</w:t>
            </w:r>
          </w:p>
        </w:tc>
        <w:tc>
          <w:tcPr>
            <w:vAlign w:val="center"/>
          </w:tcPr>
          <w:p>
            <w:pPr>
              <w:jc w:val="right"/>
            </w:pPr>
            <w:r>
              <w:rPr>
                <w:color w:val="000000"/>
                <w:sz w:val="24"/>
              </w:rPr>
              <w:t>100,000</w:t>
            </w:r>
          </w:p>
        </w:tc>
        <w:tc>
          <w:tcPr>
            <w:vAlign w:val="center"/>
          </w:tcPr>
          <w:p>
            <w:pPr>
              <w:jc w:val="right"/>
            </w:pPr>
            <w:r>
              <w:rPr>
                <w:color w:val="000000"/>
                <w:sz w:val="24"/>
              </w:rPr>
              <w:t>10,068,000.00</w:t>
            </w:r>
          </w:p>
        </w:tc>
        <w:tc>
          <w:tcPr>
            <w:vAlign w:val="center"/>
          </w:tcPr>
          <w:p>
            <w:pPr>
              <w:jc w:val="right"/>
            </w:pPr>
            <w:r>
              <w:rPr>
                <w:color w:val="000000"/>
                <w:sz w:val="24"/>
              </w:rPr>
              <w:t>1.34</w:t>
            </w:r>
          </w:p>
        </w:tc>
      </w:tr>
      <w:tr>
        <w:tc>
          <w:tcPr>
            <w:vAlign w:val="center"/>
          </w:tcPr>
          <w:p>
            <w:pPr>
              <w:jc w:val="center"/>
            </w:pPr>
            <w:r>
              <w:rPr>
                <w:color w:val="000000"/>
                <w:sz w:val="24"/>
              </w:rPr>
              <w:t>2</w:t>
            </w:r>
          </w:p>
        </w:tc>
        <w:tc>
          <w:tcPr>
            <w:vAlign w:val="center"/>
          </w:tcPr>
          <w:p>
            <w:pPr>
              <w:jc w:val="center"/>
            </w:pPr>
            <w:r>
              <w:rPr>
                <w:color w:val="000000"/>
                <w:sz w:val="24"/>
              </w:rPr>
              <w:t>168589</w:t>
            </w:r>
          </w:p>
        </w:tc>
        <w:tc>
          <w:tcPr>
            <w:vAlign w:val="center"/>
          </w:tcPr>
          <w:p>
            <w:pPr>
              <w:jc w:val="center"/>
            </w:pPr>
            <w:r>
              <w:rPr>
                <w:color w:val="000000"/>
                <w:sz w:val="24"/>
              </w:rPr>
              <w:t>天信7A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1.33</w:t>
            </w:r>
          </w:p>
        </w:tc>
      </w:tr>
      <w:tr>
        <w:tc>
          <w:tcPr>
            <w:vAlign w:val="center"/>
          </w:tcPr>
          <w:p>
            <w:pPr>
              <w:jc w:val="center"/>
            </w:pPr>
            <w:r>
              <w:rPr>
                <w:color w:val="000000"/>
                <w:sz w:val="24"/>
              </w:rPr>
              <w:t>2</w:t>
            </w:r>
          </w:p>
        </w:tc>
        <w:tc>
          <w:tcPr>
            <w:vAlign w:val="center"/>
          </w:tcPr>
          <w:p>
            <w:pPr>
              <w:jc w:val="center"/>
            </w:pPr>
            <w:r>
              <w:rPr>
                <w:color w:val="000000"/>
                <w:sz w:val="24"/>
              </w:rPr>
              <w:t>168733</w:t>
            </w:r>
          </w:p>
        </w:tc>
        <w:tc>
          <w:tcPr>
            <w:vAlign w:val="center"/>
          </w:tcPr>
          <w:p>
            <w:pPr>
              <w:jc w:val="center"/>
            </w:pPr>
            <w:r>
              <w:rPr>
                <w:color w:val="000000"/>
                <w:sz w:val="24"/>
              </w:rPr>
              <w:t>申程01优</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1.33</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13,501.63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9,775,050.60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9,788,552.23</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0.74</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易方达瑞祥混合I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易方达瑞祥混合E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320,086,279.15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100,077,915.55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301,413,089.10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66,582,435.28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173,921,991.92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150.00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447,577,376.33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166,660,200.83</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1.中国证监会准予易方达瑞祥灵活配置混合型证券投资基金注册的文件；</w:t>
      </w:r>
    </w:p>
    <w:p>
      <w:pPr>
        <w:spacing w:line="360" w:lineRule="auto"/>
        <w:ind w:firstLine="480" w:firstLineChars="200"/>
        <w:rPr>
          <w:color w:val="000000"/>
          <w:sz w:val="24"/>
        </w:rPr>
      </w:pPr>
      <w:r>
        <w:rPr>
          <w:color w:val="000000"/>
          <w:sz w:val="24"/>
        </w:rPr>
        <w:t>2.《易方达瑞祥灵活配置混合型证券投资基金基金合同》；</w:t>
      </w:r>
    </w:p>
    <w:p>
      <w:pPr>
        <w:spacing w:line="360" w:lineRule="auto"/>
        <w:ind w:firstLine="480" w:firstLineChars="200"/>
        <w:rPr>
          <w:color w:val="000000"/>
          <w:sz w:val="24"/>
        </w:rPr>
      </w:pPr>
      <w:r>
        <w:rPr>
          <w:color w:val="000000"/>
          <w:sz w:val="24"/>
        </w:rPr>
        <w:t>3.《易方达瑞祥灵活配置混合型证券投资基金托管协议》；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易方达瑞祥灵活配置混合型证券投资基金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