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易方达瑞恒灵活配置混合型证券投资基金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招商银行股份有限公司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基金托管人招商银行股份有限公司根据本基金合同规定，于2020年7月17日复核了本报告中的财务指标、净值表现和投资组合报告等内容，保证复核内容不存在虚假记载、误导性陈述或者重大遗漏。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易方达瑞恒混合</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001832</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001832</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2018年1月10日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260,754,291.67</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本基金在控制风险的前提下，追求基金资产的稳健增值。</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基于定量与定性相结合的宏观及市场因素、估值及流动性因素、政策因素等分析，确定组合中各类资产的配置比例。股票投资方面，本基金通过分析行业景气度及竞争格局，对各行业的投资价值进行综合评估，从而确定并动态调整行业配置比例，同时在公司基本面评价、估值水平分析等基础上进行股票组合的构建。在债券投资方面，本基金将主要通过类属配置与券种选择两个层次进行投资管理。</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沪深300指数收益率×25%+一年期人民币定期存款利率（税后）×75%</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本基金为混合型基金，理论上其预期风险与预期收益水平低于股票型基金，高于债券型基金和货币市场基金。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招商银行股份有限公司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21,752,205.28</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87,072,405.38</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0.3202</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407,810,025.96</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1.564</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25.52%</w:t>
            </w:r>
          </w:p>
        </w:tc>
        <w:tc>
          <w:tcPr>
            <w:vAlign w:val="center"/>
          </w:tcPr>
          <w:p>
            <w:pPr>
              <w:jc w:val="center"/>
            </w:pPr>
            <w:r>
              <w:rPr>
                <w:color w:val="000000"/>
                <w:kern w:val="0"/>
                <w:sz w:val="24"/>
                <w:szCs w:val="24"/>
              </w:rPr>
              <w:t>1.07%</w:t>
            </w:r>
          </w:p>
        </w:tc>
        <w:tc>
          <w:tcPr>
            <w:vAlign w:val="center"/>
          </w:tcPr>
          <w:p>
            <w:pPr>
              <w:jc w:val="center"/>
            </w:pPr>
            <w:r>
              <w:rPr>
                <w:color w:val="000000"/>
                <w:kern w:val="0"/>
                <w:sz w:val="24"/>
                <w:szCs w:val="24"/>
              </w:rPr>
              <w:t>3.43%</w:t>
            </w:r>
          </w:p>
        </w:tc>
        <w:tc>
          <w:tcPr>
            <w:vAlign w:val="center"/>
          </w:tcPr>
          <w:p>
            <w:pPr>
              <w:jc w:val="center"/>
            </w:pPr>
            <w:r>
              <w:rPr>
                <w:color w:val="000000"/>
                <w:kern w:val="0"/>
                <w:sz w:val="24"/>
                <w:szCs w:val="24"/>
              </w:rPr>
              <w:t>0.22%</w:t>
            </w:r>
          </w:p>
        </w:tc>
        <w:tc>
          <w:tcPr>
            <w:vAlign w:val="center"/>
          </w:tcPr>
          <w:p>
            <w:pPr>
              <w:jc w:val="center"/>
            </w:pPr>
            <w:r>
              <w:rPr>
                <w:color w:val="000000"/>
                <w:kern w:val="0"/>
                <w:sz w:val="24"/>
                <w:szCs w:val="24"/>
              </w:rPr>
              <w:t>22.09%</w:t>
            </w:r>
          </w:p>
        </w:tc>
        <w:tc>
          <w:tcPr>
            <w:vAlign w:val="center"/>
          </w:tcPr>
          <w:p>
            <w:pPr>
              <w:jc w:val="center"/>
            </w:pPr>
            <w:r>
              <w:rPr>
                <w:color w:val="000000"/>
                <w:kern w:val="0"/>
                <w:sz w:val="24"/>
                <w:szCs w:val="24"/>
              </w:rPr>
              <w:t>0.85%</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16.37%</w:t>
            </w:r>
          </w:p>
        </w:tc>
        <w:tc>
          <w:tcPr>
            <w:vAlign w:val="center"/>
          </w:tcPr>
          <w:p>
            <w:pPr>
              <w:jc w:val="center"/>
            </w:pPr>
            <w:r>
              <w:rPr>
                <w:color w:val="000000"/>
                <w:kern w:val="0"/>
                <w:sz w:val="24"/>
                <w:szCs w:val="24"/>
              </w:rPr>
              <w:t>1.70%</w:t>
            </w:r>
          </w:p>
        </w:tc>
        <w:tc>
          <w:tcPr>
            <w:vAlign w:val="center"/>
          </w:tcPr>
          <w:p>
            <w:pPr>
              <w:jc w:val="center"/>
            </w:pPr>
            <w:r>
              <w:rPr>
                <w:color w:val="000000"/>
                <w:kern w:val="0"/>
                <w:sz w:val="24"/>
                <w:szCs w:val="24"/>
              </w:rPr>
              <w:t>1.24%</w:t>
            </w:r>
          </w:p>
        </w:tc>
        <w:tc>
          <w:tcPr>
            <w:vAlign w:val="center"/>
          </w:tcPr>
          <w:p>
            <w:pPr>
              <w:jc w:val="center"/>
            </w:pPr>
            <w:r>
              <w:rPr>
                <w:color w:val="000000"/>
                <w:kern w:val="0"/>
                <w:sz w:val="24"/>
                <w:szCs w:val="24"/>
              </w:rPr>
              <w:t>0.38%</w:t>
            </w:r>
          </w:p>
        </w:tc>
        <w:tc>
          <w:tcPr>
            <w:vAlign w:val="center"/>
          </w:tcPr>
          <w:p>
            <w:pPr>
              <w:jc w:val="center"/>
            </w:pPr>
            <w:r>
              <w:rPr>
                <w:color w:val="000000"/>
                <w:kern w:val="0"/>
                <w:sz w:val="24"/>
                <w:szCs w:val="24"/>
              </w:rPr>
              <w:t>15.13%</w:t>
            </w:r>
          </w:p>
        </w:tc>
        <w:tc>
          <w:tcPr>
            <w:vAlign w:val="center"/>
          </w:tcPr>
          <w:p>
            <w:pPr>
              <w:jc w:val="center"/>
            </w:pPr>
            <w:r>
              <w:rPr>
                <w:color w:val="000000"/>
                <w:kern w:val="0"/>
                <w:sz w:val="24"/>
                <w:szCs w:val="24"/>
              </w:rPr>
              <w:t>1.32%</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32.43%</w:t>
            </w:r>
          </w:p>
        </w:tc>
        <w:tc>
          <w:tcPr>
            <w:vAlign w:val="center"/>
          </w:tcPr>
          <w:p>
            <w:pPr>
              <w:jc w:val="center"/>
            </w:pPr>
            <w:r>
              <w:rPr>
                <w:color w:val="000000"/>
                <w:kern w:val="0"/>
                <w:sz w:val="24"/>
                <w:szCs w:val="24"/>
              </w:rPr>
              <w:t>1.39%</w:t>
            </w:r>
          </w:p>
        </w:tc>
        <w:tc>
          <w:tcPr>
            <w:vAlign w:val="center"/>
          </w:tcPr>
          <w:p>
            <w:pPr>
              <w:jc w:val="center"/>
            </w:pPr>
            <w:r>
              <w:rPr>
                <w:color w:val="000000"/>
                <w:kern w:val="0"/>
                <w:sz w:val="24"/>
                <w:szCs w:val="24"/>
              </w:rPr>
              <w:t>3.67%</w:t>
            </w:r>
          </w:p>
        </w:tc>
        <w:tc>
          <w:tcPr>
            <w:vAlign w:val="center"/>
          </w:tcPr>
          <w:p>
            <w:pPr>
              <w:jc w:val="center"/>
            </w:pPr>
            <w:r>
              <w:rPr>
                <w:color w:val="000000"/>
                <w:kern w:val="0"/>
                <w:sz w:val="24"/>
                <w:szCs w:val="24"/>
              </w:rPr>
              <w:t>0.30%</w:t>
            </w:r>
          </w:p>
        </w:tc>
        <w:tc>
          <w:tcPr>
            <w:vAlign w:val="center"/>
          </w:tcPr>
          <w:p>
            <w:pPr>
              <w:jc w:val="center"/>
            </w:pPr>
            <w:r>
              <w:rPr>
                <w:color w:val="000000"/>
                <w:kern w:val="0"/>
                <w:sz w:val="24"/>
                <w:szCs w:val="24"/>
              </w:rPr>
              <w:t>28.76%</w:t>
            </w:r>
          </w:p>
        </w:tc>
        <w:tc>
          <w:tcPr>
            <w:vAlign w:val="center"/>
          </w:tcPr>
          <w:p>
            <w:pPr>
              <w:jc w:val="center"/>
            </w:pPr>
            <w:r>
              <w:rPr>
                <w:color w:val="000000"/>
                <w:kern w:val="0"/>
                <w:sz w:val="24"/>
                <w:szCs w:val="24"/>
              </w:rPr>
              <w:t>1.09%</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56.40%</w:t>
            </w:r>
          </w:p>
        </w:tc>
        <w:tc>
          <w:tcPr>
            <w:vAlign w:val="center"/>
          </w:tcPr>
          <w:p>
            <w:pPr>
              <w:jc w:val="center"/>
            </w:pPr>
            <w:r>
              <w:rPr>
                <w:color w:val="000000"/>
                <w:kern w:val="0"/>
                <w:sz w:val="24"/>
                <w:szCs w:val="24"/>
              </w:rPr>
              <w:t>1.58%</w:t>
            </w:r>
          </w:p>
        </w:tc>
        <w:tc>
          <w:tcPr>
            <w:vAlign w:val="center"/>
          </w:tcPr>
          <w:p>
            <w:pPr>
              <w:jc w:val="center"/>
            </w:pPr>
            <w:r>
              <w:rPr>
                <w:color w:val="000000"/>
                <w:kern w:val="0"/>
                <w:sz w:val="24"/>
                <w:szCs w:val="24"/>
              </w:rPr>
              <w:t>3.77%</w:t>
            </w:r>
          </w:p>
        </w:tc>
        <w:tc>
          <w:tcPr>
            <w:vAlign w:val="center"/>
          </w:tcPr>
          <w:p>
            <w:pPr>
              <w:jc w:val="center"/>
            </w:pPr>
            <w:r>
              <w:rPr>
                <w:color w:val="000000"/>
                <w:kern w:val="0"/>
                <w:sz w:val="24"/>
                <w:szCs w:val="24"/>
              </w:rPr>
              <w:t>0.34%</w:t>
            </w:r>
          </w:p>
        </w:tc>
        <w:tc>
          <w:tcPr>
            <w:vAlign w:val="center"/>
          </w:tcPr>
          <w:p>
            <w:pPr>
              <w:jc w:val="center"/>
            </w:pPr>
            <w:r>
              <w:rPr>
                <w:color w:val="000000"/>
                <w:kern w:val="0"/>
                <w:sz w:val="24"/>
                <w:szCs w:val="24"/>
              </w:rPr>
              <w:t>52.63%</w:t>
            </w:r>
          </w:p>
        </w:tc>
        <w:tc>
          <w:tcPr>
            <w:vAlign w:val="center"/>
          </w:tcPr>
          <w:p>
            <w:pPr>
              <w:jc w:val="center"/>
            </w:pPr>
            <w:r>
              <w:rPr>
                <w:color w:val="000000"/>
                <w:kern w:val="0"/>
                <w:sz w:val="24"/>
                <w:szCs w:val="24"/>
              </w:rPr>
              <w:t>1.24%</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易方达瑞恒灵活配置混合型证券投资基金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2018年1月10日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注：自基金合同生效至报告期末，基金份额净值增长率为56.40%，同期业绩比较基准收益率为3.77%。</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萧楠</w:t>
            </w:r>
          </w:p>
        </w:tc>
        <w:tc>
          <w:tcPr>
            <w:vAlign w:val="center"/>
          </w:tcPr>
          <w:p>
            <w:pPr>
              <w:jc w:val="left"/>
            </w:pPr>
            <w:r>
              <w:rPr>
                <w:color w:val="000000"/>
                <w:sz w:val="24"/>
              </w:rPr>
              <w:t>本基金的基金经理、易方达消费行业股票型证券投资基金的基金经理、易方达大健康主题灵活配置混合型证券投资基金的基金经理、易方达现代服务业灵活配置混合型证券投资基金的基金经理（自2017年11月22日至2020年06月05日）、易方达科顺定期开放灵活配置混合型证券投资基金的基金经理、易方达消费精选股票型证券投资基金的基金经理、投资三部总经理、研究部副总经理</w:t>
            </w:r>
          </w:p>
        </w:tc>
        <w:tc>
          <w:tcPr>
            <w:vAlign w:val="center"/>
          </w:tcPr>
          <w:p>
            <w:pPr>
              <w:jc w:val="center"/>
            </w:pPr>
            <w:r>
              <w:rPr>
                <w:color w:val="000000"/>
                <w:sz w:val="24"/>
              </w:rPr>
              <w:t>2018-01-10</w:t>
            </w:r>
          </w:p>
        </w:tc>
        <w:tc>
          <w:tcPr>
            <w:vAlign w:val="center"/>
          </w:tcPr>
          <w:p>
            <w:pPr>
              <w:jc w:val="center"/>
            </w:pPr>
            <w:r>
              <w:rPr>
                <w:color w:val="000000"/>
                <w:sz w:val="24"/>
              </w:rPr>
              <w:t>-</w:t>
            </w:r>
          </w:p>
        </w:tc>
        <w:tc>
          <w:tcPr>
            <w:vAlign w:val="center"/>
          </w:tcPr>
          <w:p>
            <w:pPr>
              <w:jc w:val="center"/>
            </w:pPr>
            <w:r>
              <w:rPr>
                <w:color w:val="000000"/>
                <w:sz w:val="24"/>
              </w:rPr>
              <w:t>14年</w:t>
            </w:r>
          </w:p>
        </w:tc>
        <w:tc>
          <w:tcPr>
            <w:vAlign w:val="center"/>
          </w:tcPr>
          <w:p>
            <w:pPr>
              <w:jc w:val="both"/>
            </w:pPr>
            <w:r>
              <w:rPr>
                <w:color w:val="000000"/>
                <w:sz w:val="24"/>
              </w:rPr>
              <w:t>硕士研究生，具有基金从业资格。曾任易方达基金管理有限公司研究部行业研究员、基金投资部基金经理助理、投资经理、易方达裕如灵活配置混合型证券投资基金基金经理、易方达新享灵活配置混合型证券投资基金基金经理、易方达瑞和灵活配置混合型证券投资基金基金经理、易方达价值成长混合型证券投资基金基金经理助理。</w:t>
            </w:r>
          </w:p>
        </w:tc>
      </w:tr>
      <w:tr>
        <w:tc>
          <w:tcPr>
            <w:vAlign w:val="center"/>
          </w:tcPr>
          <w:p>
            <w:pPr>
              <w:jc w:val="center"/>
            </w:pPr>
            <w:r>
              <w:rPr>
                <w:color w:val="000000"/>
                <w:sz w:val="24"/>
              </w:rPr>
              <w:t>王元春</w:t>
            </w:r>
          </w:p>
        </w:tc>
        <w:tc>
          <w:tcPr>
            <w:vAlign w:val="center"/>
          </w:tcPr>
          <w:p>
            <w:pPr>
              <w:jc w:val="left"/>
            </w:pPr>
            <w:r>
              <w:rPr>
                <w:color w:val="000000"/>
                <w:sz w:val="24"/>
              </w:rPr>
              <w:t>本基金的基金经理、易方达现代服务业灵活配置混合型证券投资基金的基金经理、易方达消费行业股票型证券投资基金的基金经理助理</w:t>
            </w:r>
          </w:p>
        </w:tc>
        <w:tc>
          <w:tcPr>
            <w:vAlign w:val="center"/>
          </w:tcPr>
          <w:p>
            <w:pPr>
              <w:jc w:val="center"/>
            </w:pPr>
            <w:r>
              <w:rPr>
                <w:color w:val="000000"/>
                <w:sz w:val="24"/>
              </w:rPr>
              <w:t>2018-12-08</w:t>
            </w:r>
          </w:p>
        </w:tc>
        <w:tc>
          <w:tcPr>
            <w:vAlign w:val="center"/>
          </w:tcPr>
          <w:p>
            <w:pPr>
              <w:jc w:val="center"/>
            </w:pPr>
            <w:r>
              <w:rPr>
                <w:color w:val="000000"/>
                <w:sz w:val="24"/>
              </w:rPr>
              <w:t>-</w:t>
            </w:r>
          </w:p>
        </w:tc>
        <w:tc>
          <w:tcPr>
            <w:vAlign w:val="center"/>
          </w:tcPr>
          <w:p>
            <w:pPr>
              <w:jc w:val="center"/>
            </w:pPr>
            <w:r>
              <w:rPr>
                <w:color w:val="000000"/>
                <w:sz w:val="24"/>
              </w:rPr>
              <w:t>9年</w:t>
            </w:r>
          </w:p>
        </w:tc>
        <w:tc>
          <w:tcPr>
            <w:vAlign w:val="center"/>
          </w:tcPr>
          <w:p>
            <w:pPr>
              <w:jc w:val="both"/>
            </w:pPr>
            <w:r>
              <w:rPr>
                <w:color w:val="000000"/>
                <w:sz w:val="24"/>
              </w:rPr>
              <w:t>硕士研究生，具有基金从业资格。曾任广东新价值投资有限公司研究部行业研究员，光大永明资产管理股份有限公司研究部行业研究员，易方达基金管理有限公司研究部行业研究员、易方达现代服务业灵活配置混合型证券投资基金基金经理助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二季度，我国政策的主线从抗击疫情转向扶持经济，流动性不断宽松，刺激了资本市场估值水平不断提高，市场风险偏好有较明显的提升。上证综指上涨8.52%，上证50指数上涨9.40%，创业板指数上涨30.25%。医药、科技板块继续成为市场主线，而随着疫情得到控制，消费板块也明显受益。</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面对这样的市场，我们仍然坚持排除噪音，做好自下而上的研究，并且努力控制组合的估值水平。我们减持了一些短期估值较高的品种，增加了一些长期不受市场欢迎但基本面已经有所变化的个股。</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截至报告期末，本基金份额净值为1.564元，本报告期份额净值增长率为25.52%，同期业绩比较基准收益率为3.43%。</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366,274,832.22</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88.98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366,274,832.22</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88.98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722,899.70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0.18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722,899.70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0.18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42,640,451.75</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10.36</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1,999,897.60</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0.49</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411,638,081.27</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358,468,519.68</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87.90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12,766.32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5,593,327.12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1.37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190,731.77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0.05</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179,547.13</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1,829,940.20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0.45</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366,274,832.22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89.82</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000858</w:t>
            </w:r>
          </w:p>
        </w:tc>
        <w:tc>
          <w:tcPr>
            <w:vAlign w:val="center"/>
          </w:tcPr>
          <w:p>
            <w:pPr>
              <w:jc w:val="center"/>
            </w:pPr>
            <w:r>
              <w:rPr>
                <w:color w:val="000000"/>
                <w:kern w:val="0"/>
                <w:sz w:val="24"/>
                <w:szCs w:val="24"/>
              </w:rPr>
              <w:t>五粮液</w:t>
            </w:r>
          </w:p>
        </w:tc>
        <w:tc>
          <w:tcPr>
            <w:vAlign w:val="center"/>
          </w:tcPr>
          <w:p>
            <w:pPr>
              <w:jc w:val="right"/>
            </w:pPr>
            <w:r>
              <w:rPr>
                <w:color w:val="000000"/>
                <w:kern w:val="0"/>
                <w:sz w:val="24"/>
                <w:szCs w:val="24"/>
              </w:rPr>
              <w:t>243,341</w:t>
            </w:r>
          </w:p>
        </w:tc>
        <w:tc>
          <w:tcPr>
            <w:vAlign w:val="center"/>
          </w:tcPr>
          <w:p>
            <w:pPr>
              <w:jc w:val="right"/>
            </w:pPr>
            <w:r>
              <w:rPr>
                <w:color w:val="000000"/>
                <w:kern w:val="0"/>
                <w:sz w:val="24"/>
                <w:szCs w:val="24"/>
              </w:rPr>
              <w:t>41,640,511.92</w:t>
            </w:r>
          </w:p>
        </w:tc>
        <w:tc>
          <w:tcPr>
            <w:vAlign w:val="center"/>
          </w:tcPr>
          <w:p>
            <w:pPr>
              <w:jc w:val="right"/>
            </w:pPr>
            <w:r>
              <w:rPr>
                <w:color w:val="000000"/>
                <w:kern w:val="0"/>
                <w:sz w:val="24"/>
                <w:szCs w:val="24"/>
              </w:rPr>
              <w:t>10.21</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600519</w:t>
            </w:r>
          </w:p>
        </w:tc>
        <w:tc>
          <w:tcPr>
            <w:vAlign w:val="center"/>
          </w:tcPr>
          <w:p>
            <w:pPr>
              <w:jc w:val="center"/>
            </w:pPr>
            <w:r>
              <w:rPr>
                <w:color w:val="000000"/>
                <w:kern w:val="0"/>
                <w:sz w:val="24"/>
                <w:szCs w:val="24"/>
              </w:rPr>
              <w:t>贵州茅台</w:t>
            </w:r>
          </w:p>
        </w:tc>
        <w:tc>
          <w:tcPr>
            <w:vAlign w:val="center"/>
          </w:tcPr>
          <w:p>
            <w:pPr>
              <w:jc w:val="right"/>
            </w:pPr>
            <w:r>
              <w:rPr>
                <w:color w:val="000000"/>
                <w:kern w:val="0"/>
                <w:sz w:val="24"/>
                <w:szCs w:val="24"/>
              </w:rPr>
              <w:t>27,150</w:t>
            </w:r>
          </w:p>
        </w:tc>
        <w:tc>
          <w:tcPr>
            <w:vAlign w:val="center"/>
          </w:tcPr>
          <w:p>
            <w:pPr>
              <w:jc w:val="right"/>
            </w:pPr>
            <w:r>
              <w:rPr>
                <w:color w:val="000000"/>
                <w:kern w:val="0"/>
                <w:sz w:val="24"/>
                <w:szCs w:val="24"/>
              </w:rPr>
              <w:t>39,717,192.00</w:t>
            </w:r>
          </w:p>
        </w:tc>
        <w:tc>
          <w:tcPr>
            <w:vAlign w:val="center"/>
          </w:tcPr>
          <w:p>
            <w:pPr>
              <w:jc w:val="right"/>
            </w:pPr>
            <w:r>
              <w:rPr>
                <w:color w:val="000000"/>
                <w:kern w:val="0"/>
                <w:sz w:val="24"/>
                <w:szCs w:val="24"/>
              </w:rPr>
              <w:t>9.74</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600809</w:t>
            </w:r>
          </w:p>
        </w:tc>
        <w:tc>
          <w:tcPr>
            <w:vAlign w:val="center"/>
          </w:tcPr>
          <w:p>
            <w:pPr>
              <w:jc w:val="center"/>
            </w:pPr>
            <w:r>
              <w:rPr>
                <w:color w:val="000000"/>
                <w:kern w:val="0"/>
                <w:sz w:val="24"/>
                <w:szCs w:val="24"/>
              </w:rPr>
              <w:t>山西汾酒</w:t>
            </w:r>
          </w:p>
        </w:tc>
        <w:tc>
          <w:tcPr>
            <w:vAlign w:val="center"/>
          </w:tcPr>
          <w:p>
            <w:pPr>
              <w:jc w:val="right"/>
            </w:pPr>
            <w:r>
              <w:rPr>
                <w:color w:val="000000"/>
                <w:kern w:val="0"/>
                <w:sz w:val="24"/>
                <w:szCs w:val="24"/>
              </w:rPr>
              <w:t>268,118</w:t>
            </w:r>
          </w:p>
        </w:tc>
        <w:tc>
          <w:tcPr>
            <w:vAlign w:val="center"/>
          </w:tcPr>
          <w:p>
            <w:pPr>
              <w:jc w:val="right"/>
            </w:pPr>
            <w:r>
              <w:rPr>
                <w:color w:val="000000"/>
                <w:kern w:val="0"/>
                <w:sz w:val="24"/>
                <w:szCs w:val="24"/>
              </w:rPr>
              <w:t>38,877,110.00</w:t>
            </w:r>
          </w:p>
        </w:tc>
        <w:tc>
          <w:tcPr>
            <w:vAlign w:val="center"/>
          </w:tcPr>
          <w:p>
            <w:pPr>
              <w:jc w:val="right"/>
            </w:pPr>
            <w:r>
              <w:rPr>
                <w:color w:val="000000"/>
                <w:kern w:val="0"/>
                <w:sz w:val="24"/>
                <w:szCs w:val="24"/>
              </w:rPr>
              <w:t>9.53</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600486</w:t>
            </w:r>
          </w:p>
        </w:tc>
        <w:tc>
          <w:tcPr>
            <w:vAlign w:val="center"/>
          </w:tcPr>
          <w:p>
            <w:pPr>
              <w:jc w:val="center"/>
            </w:pPr>
            <w:r>
              <w:rPr>
                <w:color w:val="000000"/>
                <w:kern w:val="0"/>
                <w:sz w:val="24"/>
                <w:szCs w:val="24"/>
              </w:rPr>
              <w:t>扬农化工</w:t>
            </w:r>
          </w:p>
        </w:tc>
        <w:tc>
          <w:tcPr>
            <w:vAlign w:val="center"/>
          </w:tcPr>
          <w:p>
            <w:pPr>
              <w:jc w:val="right"/>
            </w:pPr>
            <w:r>
              <w:rPr>
                <w:color w:val="000000"/>
                <w:kern w:val="0"/>
                <w:sz w:val="24"/>
                <w:szCs w:val="24"/>
              </w:rPr>
              <w:t>443,305</w:t>
            </w:r>
          </w:p>
        </w:tc>
        <w:tc>
          <w:tcPr>
            <w:vAlign w:val="center"/>
          </w:tcPr>
          <w:p>
            <w:pPr>
              <w:jc w:val="right"/>
            </w:pPr>
            <w:r>
              <w:rPr>
                <w:color w:val="000000"/>
                <w:kern w:val="0"/>
                <w:sz w:val="24"/>
                <w:szCs w:val="24"/>
              </w:rPr>
              <w:t>36,572,662.50</w:t>
            </w:r>
          </w:p>
        </w:tc>
        <w:tc>
          <w:tcPr>
            <w:vAlign w:val="center"/>
          </w:tcPr>
          <w:p>
            <w:pPr>
              <w:jc w:val="right"/>
            </w:pPr>
            <w:r>
              <w:rPr>
                <w:color w:val="000000"/>
                <w:kern w:val="0"/>
                <w:sz w:val="24"/>
                <w:szCs w:val="24"/>
              </w:rPr>
              <w:t>8.97</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000651</w:t>
            </w:r>
          </w:p>
        </w:tc>
        <w:tc>
          <w:tcPr>
            <w:vAlign w:val="center"/>
          </w:tcPr>
          <w:p>
            <w:pPr>
              <w:jc w:val="center"/>
            </w:pPr>
            <w:r>
              <w:rPr>
                <w:color w:val="000000"/>
                <w:kern w:val="0"/>
                <w:sz w:val="24"/>
                <w:szCs w:val="24"/>
              </w:rPr>
              <w:t>格力电器</w:t>
            </w:r>
          </w:p>
        </w:tc>
        <w:tc>
          <w:tcPr>
            <w:vAlign w:val="center"/>
          </w:tcPr>
          <w:p>
            <w:pPr>
              <w:jc w:val="right"/>
            </w:pPr>
            <w:r>
              <w:rPr>
                <w:color w:val="000000"/>
                <w:kern w:val="0"/>
                <w:sz w:val="24"/>
                <w:szCs w:val="24"/>
              </w:rPr>
              <w:t>637,600</w:t>
            </w:r>
          </w:p>
        </w:tc>
        <w:tc>
          <w:tcPr>
            <w:vAlign w:val="center"/>
          </w:tcPr>
          <w:p>
            <w:pPr>
              <w:jc w:val="right"/>
            </w:pPr>
            <w:r>
              <w:rPr>
                <w:color w:val="000000"/>
                <w:kern w:val="0"/>
                <w:sz w:val="24"/>
                <w:szCs w:val="24"/>
              </w:rPr>
              <w:t>36,069,032.00</w:t>
            </w:r>
          </w:p>
        </w:tc>
        <w:tc>
          <w:tcPr>
            <w:vAlign w:val="center"/>
          </w:tcPr>
          <w:p>
            <w:pPr>
              <w:jc w:val="right"/>
            </w:pPr>
            <w:r>
              <w:rPr>
                <w:color w:val="000000"/>
                <w:kern w:val="0"/>
                <w:sz w:val="24"/>
                <w:szCs w:val="24"/>
              </w:rPr>
              <w:t>8.84</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000596</w:t>
            </w:r>
          </w:p>
        </w:tc>
        <w:tc>
          <w:tcPr>
            <w:vAlign w:val="center"/>
          </w:tcPr>
          <w:p>
            <w:pPr>
              <w:jc w:val="center"/>
            </w:pPr>
            <w:r>
              <w:rPr>
                <w:color w:val="000000"/>
                <w:kern w:val="0"/>
                <w:sz w:val="24"/>
                <w:szCs w:val="24"/>
              </w:rPr>
              <w:t>古井贡酒</w:t>
            </w:r>
          </w:p>
        </w:tc>
        <w:tc>
          <w:tcPr>
            <w:vAlign w:val="center"/>
          </w:tcPr>
          <w:p>
            <w:pPr>
              <w:jc w:val="right"/>
            </w:pPr>
            <w:r>
              <w:rPr>
                <w:color w:val="000000"/>
                <w:kern w:val="0"/>
                <w:sz w:val="24"/>
                <w:szCs w:val="24"/>
              </w:rPr>
              <w:t>239,291</w:t>
            </w:r>
          </w:p>
        </w:tc>
        <w:tc>
          <w:tcPr>
            <w:vAlign w:val="center"/>
          </w:tcPr>
          <w:p>
            <w:pPr>
              <w:jc w:val="right"/>
            </w:pPr>
            <w:r>
              <w:rPr>
                <w:color w:val="000000"/>
                <w:kern w:val="0"/>
                <w:sz w:val="24"/>
                <w:szCs w:val="24"/>
              </w:rPr>
              <w:t>35,951,079.84</w:t>
            </w:r>
          </w:p>
        </w:tc>
        <w:tc>
          <w:tcPr>
            <w:vAlign w:val="center"/>
          </w:tcPr>
          <w:p>
            <w:pPr>
              <w:jc w:val="right"/>
            </w:pPr>
            <w:r>
              <w:rPr>
                <w:color w:val="000000"/>
                <w:kern w:val="0"/>
                <w:sz w:val="24"/>
                <w:szCs w:val="24"/>
              </w:rPr>
              <w:t>8.82</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000860</w:t>
            </w:r>
          </w:p>
        </w:tc>
        <w:tc>
          <w:tcPr>
            <w:vAlign w:val="center"/>
          </w:tcPr>
          <w:p>
            <w:pPr>
              <w:jc w:val="center"/>
            </w:pPr>
            <w:r>
              <w:rPr>
                <w:color w:val="000000"/>
                <w:kern w:val="0"/>
                <w:sz w:val="24"/>
                <w:szCs w:val="24"/>
              </w:rPr>
              <w:t>顺鑫农业</w:t>
            </w:r>
          </w:p>
        </w:tc>
        <w:tc>
          <w:tcPr>
            <w:vAlign w:val="center"/>
          </w:tcPr>
          <w:p>
            <w:pPr>
              <w:jc w:val="right"/>
            </w:pPr>
            <w:r>
              <w:rPr>
                <w:color w:val="000000"/>
                <w:kern w:val="0"/>
                <w:sz w:val="24"/>
                <w:szCs w:val="24"/>
              </w:rPr>
              <w:t>573,614</w:t>
            </w:r>
          </w:p>
        </w:tc>
        <w:tc>
          <w:tcPr>
            <w:vAlign w:val="center"/>
          </w:tcPr>
          <w:p>
            <w:pPr>
              <w:jc w:val="right"/>
            </w:pPr>
            <w:r>
              <w:rPr>
                <w:color w:val="000000"/>
                <w:kern w:val="0"/>
                <w:sz w:val="24"/>
                <w:szCs w:val="24"/>
              </w:rPr>
              <w:t>32,684,525.72</w:t>
            </w:r>
          </w:p>
        </w:tc>
        <w:tc>
          <w:tcPr>
            <w:vAlign w:val="center"/>
          </w:tcPr>
          <w:p>
            <w:pPr>
              <w:jc w:val="right"/>
            </w:pPr>
            <w:r>
              <w:rPr>
                <w:color w:val="000000"/>
                <w:kern w:val="0"/>
                <w:sz w:val="24"/>
                <w:szCs w:val="24"/>
              </w:rPr>
              <w:t>8.01</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000333</w:t>
            </w:r>
          </w:p>
        </w:tc>
        <w:tc>
          <w:tcPr>
            <w:vAlign w:val="center"/>
          </w:tcPr>
          <w:p>
            <w:pPr>
              <w:jc w:val="center"/>
            </w:pPr>
            <w:r>
              <w:rPr>
                <w:color w:val="000000"/>
                <w:kern w:val="0"/>
                <w:sz w:val="24"/>
                <w:szCs w:val="24"/>
              </w:rPr>
              <w:t>美的集团</w:t>
            </w:r>
          </w:p>
        </w:tc>
        <w:tc>
          <w:tcPr>
            <w:vAlign w:val="center"/>
          </w:tcPr>
          <w:p>
            <w:pPr>
              <w:jc w:val="right"/>
            </w:pPr>
            <w:r>
              <w:rPr>
                <w:color w:val="000000"/>
                <w:kern w:val="0"/>
                <w:sz w:val="24"/>
                <w:szCs w:val="24"/>
              </w:rPr>
              <w:t>526,064</w:t>
            </w:r>
          </w:p>
        </w:tc>
        <w:tc>
          <w:tcPr>
            <w:vAlign w:val="center"/>
          </w:tcPr>
          <w:p>
            <w:pPr>
              <w:jc w:val="right"/>
            </w:pPr>
            <w:r>
              <w:rPr>
                <w:color w:val="000000"/>
                <w:kern w:val="0"/>
                <w:sz w:val="24"/>
                <w:szCs w:val="24"/>
              </w:rPr>
              <w:t>31,453,366.56</w:t>
            </w:r>
          </w:p>
        </w:tc>
        <w:tc>
          <w:tcPr>
            <w:vAlign w:val="center"/>
          </w:tcPr>
          <w:p>
            <w:pPr>
              <w:jc w:val="right"/>
            </w:pPr>
            <w:r>
              <w:rPr>
                <w:color w:val="000000"/>
                <w:kern w:val="0"/>
                <w:sz w:val="24"/>
                <w:szCs w:val="24"/>
              </w:rPr>
              <w:t>7.71</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000568</w:t>
            </w:r>
          </w:p>
        </w:tc>
        <w:tc>
          <w:tcPr>
            <w:vAlign w:val="center"/>
          </w:tcPr>
          <w:p>
            <w:pPr>
              <w:jc w:val="center"/>
            </w:pPr>
            <w:r>
              <w:rPr>
                <w:color w:val="000000"/>
                <w:kern w:val="0"/>
                <w:sz w:val="24"/>
                <w:szCs w:val="24"/>
              </w:rPr>
              <w:t>泸州老窖</w:t>
            </w:r>
          </w:p>
        </w:tc>
        <w:tc>
          <w:tcPr>
            <w:vAlign w:val="center"/>
          </w:tcPr>
          <w:p>
            <w:pPr>
              <w:jc w:val="right"/>
            </w:pPr>
            <w:r>
              <w:rPr>
                <w:color w:val="000000"/>
                <w:kern w:val="0"/>
                <w:sz w:val="24"/>
                <w:szCs w:val="24"/>
              </w:rPr>
              <w:t>244,229</w:t>
            </w:r>
          </w:p>
        </w:tc>
        <w:tc>
          <w:tcPr>
            <w:vAlign w:val="center"/>
          </w:tcPr>
          <w:p>
            <w:pPr>
              <w:jc w:val="right"/>
            </w:pPr>
            <w:r>
              <w:rPr>
                <w:color w:val="000000"/>
                <w:kern w:val="0"/>
                <w:sz w:val="24"/>
                <w:szCs w:val="24"/>
              </w:rPr>
              <w:t>22,254,146.48</w:t>
            </w:r>
          </w:p>
        </w:tc>
        <w:tc>
          <w:tcPr>
            <w:vAlign w:val="center"/>
          </w:tcPr>
          <w:p>
            <w:pPr>
              <w:jc w:val="right"/>
            </w:pPr>
            <w:r>
              <w:rPr>
                <w:color w:val="000000"/>
                <w:kern w:val="0"/>
                <w:sz w:val="24"/>
                <w:szCs w:val="24"/>
              </w:rPr>
              <w:t>5.46</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000423</w:t>
            </w:r>
          </w:p>
        </w:tc>
        <w:tc>
          <w:tcPr>
            <w:vAlign w:val="center"/>
          </w:tcPr>
          <w:p>
            <w:pPr>
              <w:jc w:val="center"/>
            </w:pPr>
            <w:r>
              <w:rPr>
                <w:color w:val="000000"/>
                <w:kern w:val="0"/>
                <w:sz w:val="24"/>
                <w:szCs w:val="24"/>
              </w:rPr>
              <w:t>东阿阿胶</w:t>
            </w:r>
          </w:p>
        </w:tc>
        <w:tc>
          <w:tcPr>
            <w:vAlign w:val="center"/>
          </w:tcPr>
          <w:p>
            <w:pPr>
              <w:jc w:val="right"/>
            </w:pPr>
            <w:r>
              <w:rPr>
                <w:color w:val="000000"/>
                <w:kern w:val="0"/>
                <w:sz w:val="24"/>
                <w:szCs w:val="24"/>
              </w:rPr>
              <w:t>456,846</w:t>
            </w:r>
          </w:p>
        </w:tc>
        <w:tc>
          <w:tcPr>
            <w:vAlign w:val="center"/>
          </w:tcPr>
          <w:p>
            <w:pPr>
              <w:jc w:val="right"/>
            </w:pPr>
            <w:r>
              <w:rPr>
                <w:color w:val="000000"/>
                <w:kern w:val="0"/>
                <w:sz w:val="24"/>
                <w:szCs w:val="24"/>
              </w:rPr>
              <w:t>16,359,655.26</w:t>
            </w:r>
          </w:p>
        </w:tc>
        <w:tc>
          <w:tcPr>
            <w:vAlign w:val="center"/>
          </w:tcPr>
          <w:p>
            <w:pPr>
              <w:jc w:val="right"/>
            </w:pPr>
            <w:r>
              <w:rPr>
                <w:color w:val="000000"/>
                <w:kern w:val="0"/>
                <w:sz w:val="24"/>
                <w:szCs w:val="24"/>
              </w:rPr>
              <w:t>4.01</w:t>
            </w:r>
          </w:p>
        </w:tc>
      </w:tr>
    </w:tbl>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注：本报告期末本基金投资五粮液占基金资产净值比例超过10%，属于被动超标。</w:t>
      </w:r>
    </w:p>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722,899.70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0.18</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722,899.70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0.18</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128045</w:t>
            </w:r>
          </w:p>
        </w:tc>
        <w:tc>
          <w:tcPr>
            <w:vAlign w:val="center"/>
          </w:tcPr>
          <w:p>
            <w:pPr>
              <w:jc w:val="center"/>
            </w:pPr>
            <w:r>
              <w:rPr>
                <w:color w:val="000000"/>
                <w:kern w:val="0"/>
                <w:sz w:val="24"/>
                <w:szCs w:val="24"/>
              </w:rPr>
              <w:t>机电转债</w:t>
            </w:r>
          </w:p>
        </w:tc>
        <w:tc>
          <w:tcPr>
            <w:vAlign w:val="center"/>
          </w:tcPr>
          <w:p>
            <w:pPr>
              <w:jc w:val="right"/>
            </w:pPr>
            <w:r>
              <w:rPr>
                <w:color w:val="000000"/>
                <w:kern w:val="0"/>
                <w:sz w:val="24"/>
                <w:szCs w:val="24"/>
              </w:rPr>
              <w:t>4,780</w:t>
            </w:r>
          </w:p>
        </w:tc>
        <w:tc>
          <w:tcPr>
            <w:vAlign w:val="center"/>
          </w:tcPr>
          <w:p>
            <w:pPr>
              <w:jc w:val="right"/>
            </w:pPr>
            <w:r>
              <w:rPr>
                <w:color w:val="000000"/>
                <w:kern w:val="0"/>
                <w:sz w:val="24"/>
                <w:szCs w:val="24"/>
              </w:rPr>
              <w:t>568,628.80</w:t>
            </w:r>
          </w:p>
        </w:tc>
        <w:tc>
          <w:tcPr>
            <w:vAlign w:val="center"/>
          </w:tcPr>
          <w:p>
            <w:pPr>
              <w:jc w:val="right"/>
            </w:pPr>
            <w:r>
              <w:rPr>
                <w:color w:val="000000"/>
                <w:kern w:val="0"/>
                <w:sz w:val="24"/>
                <w:szCs w:val="24"/>
              </w:rPr>
              <w:t>0.14</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113544</w:t>
            </w:r>
          </w:p>
        </w:tc>
        <w:tc>
          <w:tcPr>
            <w:vAlign w:val="center"/>
          </w:tcPr>
          <w:p>
            <w:pPr>
              <w:jc w:val="center"/>
            </w:pPr>
            <w:r>
              <w:rPr>
                <w:color w:val="000000"/>
                <w:kern w:val="0"/>
                <w:sz w:val="24"/>
                <w:szCs w:val="24"/>
              </w:rPr>
              <w:t>桃李转债</w:t>
            </w:r>
          </w:p>
        </w:tc>
        <w:tc>
          <w:tcPr>
            <w:vAlign w:val="center"/>
          </w:tcPr>
          <w:p>
            <w:pPr>
              <w:jc w:val="right"/>
            </w:pPr>
            <w:r>
              <w:rPr>
                <w:color w:val="000000"/>
                <w:kern w:val="0"/>
                <w:sz w:val="24"/>
                <w:szCs w:val="24"/>
              </w:rPr>
              <w:t>620</w:t>
            </w:r>
          </w:p>
        </w:tc>
        <w:tc>
          <w:tcPr>
            <w:vAlign w:val="center"/>
          </w:tcPr>
          <w:p>
            <w:pPr>
              <w:jc w:val="right"/>
            </w:pPr>
            <w:r>
              <w:rPr>
                <w:color w:val="000000"/>
                <w:kern w:val="0"/>
                <w:sz w:val="24"/>
                <w:szCs w:val="24"/>
              </w:rPr>
              <w:t>77,847.20</w:t>
            </w:r>
          </w:p>
        </w:tc>
        <w:tc>
          <w:tcPr>
            <w:vAlign w:val="center"/>
          </w:tcPr>
          <w:p>
            <w:pPr>
              <w:jc w:val="right"/>
            </w:pPr>
            <w:r>
              <w:rPr>
                <w:color w:val="000000"/>
                <w:kern w:val="0"/>
                <w:sz w:val="24"/>
                <w:szCs w:val="24"/>
              </w:rPr>
              <w:t>0.02</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113021</w:t>
            </w:r>
          </w:p>
        </w:tc>
        <w:tc>
          <w:tcPr>
            <w:vAlign w:val="center"/>
          </w:tcPr>
          <w:p>
            <w:pPr>
              <w:jc w:val="center"/>
            </w:pPr>
            <w:r>
              <w:rPr>
                <w:color w:val="000000"/>
                <w:kern w:val="0"/>
                <w:sz w:val="24"/>
                <w:szCs w:val="24"/>
              </w:rPr>
              <w:t>中信转债</w:t>
            </w:r>
          </w:p>
        </w:tc>
        <w:tc>
          <w:tcPr>
            <w:vAlign w:val="center"/>
          </w:tcPr>
          <w:p>
            <w:pPr>
              <w:jc w:val="right"/>
            </w:pPr>
            <w:r>
              <w:rPr>
                <w:color w:val="000000"/>
                <w:kern w:val="0"/>
                <w:sz w:val="24"/>
                <w:szCs w:val="24"/>
              </w:rPr>
              <w:t>730</w:t>
            </w:r>
          </w:p>
        </w:tc>
        <w:tc>
          <w:tcPr>
            <w:vAlign w:val="center"/>
          </w:tcPr>
          <w:p>
            <w:pPr>
              <w:jc w:val="right"/>
            </w:pPr>
            <w:r>
              <w:rPr>
                <w:color w:val="000000"/>
                <w:kern w:val="0"/>
                <w:sz w:val="24"/>
                <w:szCs w:val="24"/>
              </w:rPr>
              <w:t>76,423.70</w:t>
            </w:r>
          </w:p>
        </w:tc>
        <w:tc>
          <w:tcPr>
            <w:vAlign w:val="center"/>
          </w:tcPr>
          <w:p>
            <w:pPr>
              <w:jc w:val="right"/>
            </w:pPr>
            <w:r>
              <w:rPr>
                <w:color w:val="000000"/>
                <w:kern w:val="0"/>
                <w:sz w:val="24"/>
                <w:szCs w:val="24"/>
              </w:rPr>
              <w:t>0.02</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2019年11月18日，珠海市交通运输局对珠海格力电器股份有限公司违反《超限运输车辆行驶公路管理规定》第四十三条的行为作出“罚款4000元”的行政处罚决定。2019年12月4日，珠海市交通运输局对珠海格力电器股份有限公司违反《超限运输车辆行驶公路管理规定》第四十三条的行为作出“罚款4000元”的行政处罚决定。</w:t>
      </w:r>
    </w:p>
    <w:p>
      <w:pPr>
        <w:spacing w:line="360" w:lineRule="auto"/>
        <w:rPr>
          <w:rFonts w:ascii="宋体" w:hAnsi="宋体"/>
          <w:color w:val="000000"/>
          <w:sz w:val="24"/>
          <w:szCs w:val="24"/>
        </w:rPr>
      </w:pPr>
      <w:r>
        <w:rPr>
          <w:rFonts w:ascii="宋体" w:hAnsi="宋体"/>
          <w:color w:val="000000"/>
          <w:sz w:val="24"/>
          <w:szCs w:val="24"/>
        </w:rPr>
        <w:t>本基金投资格力电器的投资决策程序符合公司投资制度的规定。</w:t>
      </w:r>
    </w:p>
    <w:p>
      <w:pPr>
        <w:spacing w:line="360" w:lineRule="auto"/>
        <w:rPr>
          <w:rFonts w:ascii="宋体" w:hAnsi="宋体"/>
          <w:color w:val="000000"/>
          <w:sz w:val="24"/>
          <w:szCs w:val="24"/>
        </w:rPr>
      </w:pPr>
      <w:r>
        <w:rPr>
          <w:rFonts w:ascii="宋体" w:hAnsi="宋体"/>
          <w:color w:val="000000"/>
          <w:sz w:val="24"/>
          <w:szCs w:val="24"/>
        </w:rPr>
        <w:t>除格力电器外，本基金投资的前十名证券的发行主体本期没有出现被监管部门立案调查，或在报告编制日前一年内受到公开谴责、处罚的情形。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53,599.65</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6,188.75</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1,940,109.20</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1,999,897.60</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808"/>
        <w:gridCol w:w="1729"/>
        <w:gridCol w:w="1658"/>
        <w:gridCol w:w="1697"/>
        <w:gridCol w:w="1621"/>
      </w:tblGrid>
      <w:tr w:rsidR="00750D48" w:rsidRPr="00264E55" w:rsidTr="00B05049">
        <w:tc>
          <w:tcPr>
            <w:tcW w:type="dxa" w:w="1808"/>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序号</w:t>
            </w:r>
          </w:p>
        </w:tc>
        <w:tc>
          <w:tcPr>
            <w:tcW w:type="dxa" w:w="1729"/>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债券代码</w:t>
            </w:r>
          </w:p>
        </w:tc>
        <w:tc>
          <w:tcPr>
            <w:tcW w:type="dxa" w:w="1658"/>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债券名称</w:t>
            </w:r>
          </w:p>
        </w:tc>
        <w:tc>
          <w:tcPr>
            <w:tcW w:type="dxa" w:w="1697"/>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公允价值</w:t>
            </w:r>
            <w:r w:rsidR="005F7917" w:rsidRPr="00B227EA">
              <w:rPr>
                <w:color w:val="000000"/>
                <w:kern w:val="0"/>
                <w:sz w:val="24"/>
                <w:szCs w:val="24"/>
              </w:rPr>
              <w:t>（元）</w:t>
            </w:r>
          </w:p>
        </w:tc>
        <w:tc>
          <w:tcPr>
            <w:tcW w:type="dxa" w:w="1621"/>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占基金资产净值比例</w:t>
            </w:r>
            <w:r w:rsidR="005F7917" w:rsidRPr="00B227EA">
              <w:rPr>
                <w:color w:val="000000"/>
                <w:kern w:val="0"/>
                <w:sz w:val="24"/>
                <w:szCs w:val="24"/>
              </w:rPr>
              <w:t>（</w:t>
            </w:r>
            <w:r w:rsidR="005F7917" w:rsidRPr="00B227EA">
              <w:rPr>
                <w:color w:val="000000"/>
                <w:kern w:val="0"/>
                <w:sz w:val="24"/>
                <w:szCs w:val="24"/>
              </w:rPr>
              <w:t>%</w:t>
            </w:r>
            <w:r w:rsidR="005F7917" w:rsidRPr="00B227EA">
              <w:rPr>
                <w:color w:val="000000"/>
                <w:kern w:val="0"/>
                <w:sz w:val="24"/>
                <w:szCs w:val="24"/>
              </w:rPr>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128045</w:t>
            </w:r>
          </w:p>
        </w:tc>
        <w:tc>
          <w:tcPr>
            <w:vAlign w:val="center"/>
          </w:tcPr>
          <w:p>
            <w:pPr>
              <w:jc w:val="center"/>
            </w:pPr>
            <w:r>
              <w:rPr>
                <w:color w:val="000000"/>
                <w:kern w:val="0"/>
                <w:sz w:val="24"/>
                <w:szCs w:val="24"/>
              </w:rPr>
              <w:t>机电转债</w:t>
            </w:r>
          </w:p>
        </w:tc>
        <w:tc>
          <w:tcPr>
            <w:vAlign w:val="center"/>
          </w:tcPr>
          <w:p>
            <w:pPr>
              <w:jc w:val="right"/>
            </w:pPr>
            <w:r>
              <w:rPr>
                <w:color w:val="000000"/>
                <w:kern w:val="0"/>
                <w:sz w:val="24"/>
                <w:szCs w:val="24"/>
              </w:rPr>
              <w:t>568,628.80</w:t>
            </w:r>
          </w:p>
        </w:tc>
        <w:tc>
          <w:tcPr>
            <w:vAlign w:val="center"/>
          </w:tcPr>
          <w:p>
            <w:pPr>
              <w:jc w:val="right"/>
            </w:pPr>
            <w:r>
              <w:rPr>
                <w:color w:val="000000"/>
                <w:kern w:val="0"/>
                <w:sz w:val="24"/>
                <w:szCs w:val="24"/>
              </w:rPr>
              <w:t>0.14</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113544</w:t>
            </w:r>
          </w:p>
        </w:tc>
        <w:tc>
          <w:tcPr>
            <w:vAlign w:val="center"/>
          </w:tcPr>
          <w:p>
            <w:pPr>
              <w:jc w:val="center"/>
            </w:pPr>
            <w:r>
              <w:rPr>
                <w:color w:val="000000"/>
                <w:kern w:val="0"/>
                <w:sz w:val="24"/>
                <w:szCs w:val="24"/>
              </w:rPr>
              <w:t>桃李转债</w:t>
            </w:r>
          </w:p>
        </w:tc>
        <w:tc>
          <w:tcPr>
            <w:vAlign w:val="center"/>
          </w:tcPr>
          <w:p>
            <w:pPr>
              <w:jc w:val="right"/>
            </w:pPr>
            <w:r>
              <w:rPr>
                <w:color w:val="000000"/>
                <w:kern w:val="0"/>
                <w:sz w:val="24"/>
                <w:szCs w:val="24"/>
              </w:rPr>
              <w:t>77,847.20</w:t>
            </w:r>
          </w:p>
        </w:tc>
        <w:tc>
          <w:tcPr>
            <w:vAlign w:val="center"/>
          </w:tcPr>
          <w:p>
            <w:pPr>
              <w:jc w:val="right"/>
            </w:pPr>
            <w:r>
              <w:rPr>
                <w:color w:val="000000"/>
                <w:kern w:val="0"/>
                <w:sz w:val="24"/>
                <w:szCs w:val="24"/>
              </w:rPr>
              <w:t>0.02</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113021</w:t>
            </w:r>
          </w:p>
        </w:tc>
        <w:tc>
          <w:tcPr>
            <w:vAlign w:val="center"/>
          </w:tcPr>
          <w:p>
            <w:pPr>
              <w:jc w:val="center"/>
            </w:pPr>
            <w:r>
              <w:rPr>
                <w:color w:val="000000"/>
                <w:kern w:val="0"/>
                <w:sz w:val="24"/>
                <w:szCs w:val="24"/>
              </w:rPr>
              <w:t>中信转债</w:t>
            </w:r>
          </w:p>
        </w:tc>
        <w:tc>
          <w:tcPr>
            <w:vAlign w:val="center"/>
          </w:tcPr>
          <w:p>
            <w:pPr>
              <w:jc w:val="right"/>
            </w:pPr>
            <w:r>
              <w:rPr>
                <w:color w:val="000000"/>
                <w:kern w:val="0"/>
                <w:sz w:val="24"/>
                <w:szCs w:val="24"/>
              </w:rPr>
              <w:t>76,423.70</w:t>
            </w:r>
          </w:p>
        </w:tc>
        <w:tc>
          <w:tcPr>
            <w:vAlign w:val="center"/>
          </w:tcPr>
          <w:p>
            <w:pPr>
              <w:jc w:val="right"/>
            </w:pPr>
            <w:r>
              <w:rPr>
                <w:color w:val="000000"/>
                <w:kern w:val="0"/>
                <w:sz w:val="24"/>
                <w:szCs w:val="24"/>
              </w:rPr>
              <w:t>0.02</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282,932,196.16</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33,037,087.57</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55,214,992.06</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260,754,291.67</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1.中国证监会准予易方达瑞恒灵活配置混合型证券投资基金注册的文件；</w:t>
      </w:r>
    </w:p>
    <w:p>
      <w:pPr>
        <w:spacing w:line="360" w:lineRule="auto"/>
        <w:ind w:firstLine="480" w:firstLineChars="200"/>
        <w:rPr>
          <w:color w:val="000000"/>
          <w:sz w:val="24"/>
          <w:szCs w:val="24"/>
        </w:rPr>
      </w:pPr>
      <w:r>
        <w:rPr>
          <w:color w:val="000000"/>
          <w:sz w:val="24"/>
          <w:szCs w:val="24"/>
        </w:rPr>
        <w:t>2.《易方达瑞恒灵活配置混合型证券投资基金基金合同》；</w:t>
      </w:r>
    </w:p>
    <w:p>
      <w:pPr>
        <w:spacing w:line="360" w:lineRule="auto"/>
        <w:ind w:firstLine="480" w:firstLineChars="200"/>
        <w:rPr>
          <w:color w:val="000000"/>
          <w:sz w:val="24"/>
          <w:szCs w:val="24"/>
        </w:rPr>
      </w:pPr>
      <w:r>
        <w:rPr>
          <w:color w:val="000000"/>
          <w:sz w:val="24"/>
          <w:szCs w:val="24"/>
        </w:rPr>
        <w:t>3.《易方达瑞恒灵活配置混合型证券投资基金托管协议》；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易方达瑞恒灵活配置混合型证券投资基金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