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FC13C8" w:rsidR="00F016DD" w:rsidRDefault="00F016DD" w:rsidRPr="0078105B">
      <w:pPr>
        <w:spacing w:line="360" w:lineRule="auto"/>
        <w:jc w:val="center"/>
        <w:rPr>
          <w:rFonts w:ascii="宋体" w:hAnsi="宋体"/>
          <w:b/>
          <w:sz w:val="36"/>
          <w:szCs w:val="36"/>
        </w:rPr>
      </w:pPr>
      <w:r w:rsidRPr="0078105B">
        <w:rPr>
          <w:rFonts w:ascii="宋体"/>
          <w:b/>
          <w:sz w:val="36"/>
          <w:szCs w:val="36"/>
        </w:rPr>
        <w:t/>
      </w:r>
      <w:proofErr w:type="spellStart"/>
      <w:proofErr w:type="gramStart"/>
      <w:r w:rsidRPr="0078105B">
        <w:rPr>
          <w:rFonts w:ascii="宋体" w:hAnsi="宋体"/>
          <w:b/>
          <w:sz w:val="36"/>
          <w:szCs w:val="36"/>
        </w:rPr>
        <w:t/>
      </w:r>
      <w:proofErr w:type="spellEnd"/>
      <w:proofErr w:type="gramEnd"/>
      <w:r w:rsidRPr="0078105B">
        <w:rPr>
          <w:rFonts w:ascii="宋体" w:hAnsi="宋体"/>
          <w:b/>
          <w:sz w:val="36"/>
          <w:szCs w:val="36"/>
        </w:rPr>
        <w:t>易方达瑞兴灵活配置混合型证券投资基金</w:t>
      </w:r>
    </w:p>
    <w:p w:rsidP="00FC13C8" w:rsidR="00F016DD" w:rsidRDefault="00F016DD" w:rsidRPr="0078105B">
      <w:pPr>
        <w:spacing w:line="360" w:lineRule="auto"/>
        <w:jc w:val="center"/>
        <w:rPr>
          <w:rFonts w:ascii="宋体" w:hAnsi="宋体"/>
          <w:b/>
          <w:sz w:val="36"/>
          <w:szCs w:val="36"/>
        </w:rPr>
      </w:pPr>
      <w:r w:rsidRPr="0078105B">
        <w:rPr>
          <w:rFonts w:ascii="宋体" w:hAnsi="宋体"/>
          <w:b/>
          <w:sz w:val="36"/>
          <w:szCs w:val="36"/>
        </w:rPr>
        <w:t/>
      </w:r>
      <w:proofErr w:type="spellStart"/>
      <w:r w:rsidRPr="0078105B">
        <w:rPr>
          <w:rFonts w:ascii="宋体" w:hAnsi="宋体"/>
          <w:b/>
          <w:sz w:val="36"/>
          <w:szCs w:val="36"/>
        </w:rPr>
        <w:t/>
      </w:r>
      <w:proofErr w:type="spellEnd"/>
      <w:r w:rsidRPr="0078105B">
        <w:rPr>
          <w:rFonts w:ascii="宋体" w:hAnsi="宋体"/>
          <w:b/>
          <w:sz w:val="36"/>
          <w:szCs w:val="36"/>
        </w:rPr>
        <w:t>2020年第2季度报告</w:t>
      </w:r>
    </w:p>
    <w:p w:rsidP="00FC13C8" w:rsidR="00F016DD" w:rsidRDefault="00F016DD" w:rsidRPr="00DA451D">
      <w:pPr>
        <w:spacing w:line="360" w:lineRule="auto"/>
        <w:jc w:val="center"/>
        <w:rPr>
          <w:rFonts w:ascii="宋体" w:hAnsi="宋体"/>
          <w:b/>
          <w:sz w:val="24"/>
        </w:rPr>
      </w:pPr>
      <w:r w:rsidRPr="00DA451D">
        <w:rPr>
          <w:rFonts w:ascii="宋体"/>
          <w:b/>
          <w:sz w:val="24"/>
        </w:rPr>
        <w:t/>
      </w:r>
      <w:proofErr w:type="spellStart"/>
      <w:proofErr w:type="gramStart"/>
      <w:r w:rsidRPr="00DA451D">
        <w:rPr>
          <w:rFonts w:ascii="宋体" w:hAnsi="宋体"/>
          <w:b/>
          <w:sz w:val="24"/>
        </w:rPr>
        <w:t/>
      </w:r>
      <w:proofErr w:type="spellEnd"/>
      <w:proofErr w:type="gramEnd"/>
      <w:r w:rsidRPr="00DA451D">
        <w:rPr>
          <w:rFonts w:ascii="宋体" w:hAnsi="宋体"/>
          <w:b/>
          <w:sz w:val="24"/>
        </w:rPr>
        <w:t>2020年6月30日</w:t>
      </w: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rPr>
          <w:rFonts w:ascii="宋体"/>
          <w:b/>
          <w:color w:val="000000"/>
          <w:sz w:val="24"/>
        </w:rPr>
      </w:pP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基金管理人：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易方达基金管理有限公司</w:t>
      </w: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基金托管人：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兴业银行股份有限公司</w:t>
      </w:r>
    </w:p>
    <w:p w:rsidP="00174038" w:rsidR="00F016DD" w:rsidRDefault="00F016DD" w:rsidRPr="0078105B">
      <w:pPr>
        <w:spacing w:line="360" w:lineRule="auto"/>
        <w:ind w:firstLine="2168" w:firstLineChars="900"/>
        <w:rPr>
          <w:rFonts w:ascii="宋体"/>
          <w:sz w:val="24"/>
        </w:rPr>
        <w:sectPr w:rsidR="00F016DD" w:rsidRPr="0078105B" w:rsidSect="00F7094A">
          <w:headerReference r:id="rId8" w:type="default"/>
          <w:footerReference r:id="rId9" w:type="default"/>
          <w:pgSz w:h="15840" w:w="11926"/>
          <w:pgMar w:bottom="851" w:footer="992" w:gutter="0" w:header="851" w:left="1418" w:right="1418" w:top="1418"/>
          <w:cols w:space="720"/>
          <w:noEndnote/>
        </w:sectPr>
      </w:pPr>
      <w:r w:rsidRPr="0078105B">
        <w:rPr>
          <w:rFonts w:ascii="宋体" w:hAnsi="宋体" w:hint="eastAsia"/>
          <w:b/>
          <w:color w:val="000000"/>
          <w:sz w:val="24"/>
        </w:rPr>
        <w:t>报告送出日期：</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二〇二〇年七月二十一日</w:t>
      </w:r>
    </w:p>
    <w:p w:rsidP="00B54884" w:rsidR="00F016DD" w:rsidRDefault="00F016DD" w:rsidRPr="0078105B">
      <w:pPr>
        <w:pStyle w:val="1"/>
        <w:spacing w:after="312" w:afterLines="100" w:before="312" w:beforeLines="100" w:line="360" w:lineRule="auto"/>
        <w:jc w:val="center"/>
        <w:rPr>
          <w:rFonts w:ascii="宋体" w:cs="Arial"/>
          <w:b w:val="0"/>
          <w:color w:val="000000"/>
          <w:kern w:val="0"/>
          <w:sz w:val="24"/>
          <w:szCs w:val="24"/>
        </w:rPr>
      </w:pPr>
      <w:r w:rsidRPr="0078105B">
        <w:rPr>
          <w:rFonts w:ascii="宋体" w:cs="Arial" w:hAnsi="宋体" w:hint="eastAsia"/>
          <w:color w:val="000000"/>
          <w:kern w:val="0"/>
          <w:sz w:val="24"/>
          <w:szCs w:val="24"/>
        </w:rPr>
        <w:lastRenderedPageBreak/>
        <w:t>§</w:t>
      </w:r>
      <w:r w:rsidRPr="0078105B">
        <w:rPr>
          <w:rFonts w:ascii="宋体" w:cs="Arial" w:hAnsi="宋体"/>
          <w:color w:val="000000"/>
          <w:kern w:val="0"/>
          <w:sz w:val="24"/>
          <w:szCs w:val="24"/>
        </w:rPr>
        <w:t xml:space="preserve">1  </w:t>
      </w:r>
      <w:r w:rsidRPr="0078105B">
        <w:rPr>
          <w:rFonts w:ascii="宋体" w:cs="Arial" w:hAnsi="宋体" w:hint="eastAsia"/>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基金托管人兴业银行股份有限公司根据本基金合同规定，于2020年7月17日复核了本报告中的财务指标、净值表现和投资组合报告等内容，保证复核内容不存在虚假记载、误导性陈述或者重大遗漏。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本报告期自2020年4月1日起至6月30日止。</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2  </w:t>
      </w:r>
      <w:r w:rsidRPr="0078105B">
        <w:rPr>
          <w:rFonts w:ascii="宋体" w:cs="Arial"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90"/>
      </w:tblGrid>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基金简称</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易方达瑞兴混合</w:t>
            </w:r>
          </w:p>
        </w:tc>
      </w:tr>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基金主代码</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001817</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基金运作方式</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契约型开放式</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基金合同生效日</w:t>
            </w:r>
          </w:p>
        </w:tc>
        <w:tc>
          <w:tcPr>
            <w:tcW w:type="dxa" w:w="5529"/>
            <w:gridSpan w:val="2"/>
          </w:tcPr>
          <w:p w:rsidP="00121533"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2017年6月23日</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报告期末基金份额总额</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631,496,084.70</w:t>
            </w:r>
            <w:r w:rsidRPr="00C30CFF">
              <w:rPr>
                <w:color w:val="000000"/>
                <w:kern w:val="0"/>
                <w:sz w:val="24"/>
              </w:rPr>
              <w:t>份</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投资目标</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本基金在控制风险的前提下，追求基金资产的稳健增值。</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投资策略</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基于定量与定性相结合的宏观及市场因素、估值及流动性因素、政策因素等分析，确定组合中股票、债券、货币市场工具等资产类别的配置比例。本基金在债券投资方面，主要通过类属配置与券种选择两个层次进行投资管理。本基金在行业分析、公司基本面分析及估值水平分析的基础上，进行股票组合的构建。当行业、公司的基本面、股票的估值水平出现较大变化时，本基金将对股票组合适时进行动态调整。</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业绩比较基准</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 xml:space="preserve">中债新综合指数（财富）收益率*75%+沪深300指数收益率*25% </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风险收益特征</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本基金为混合型基金，理论上其预期风险与预期收益水平低于股票型基金，高于债券型基金和货币市场基金。</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基金管理人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易方达基金管理有限公司</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基金托管人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兴业银行股份有限公司</w:t>
            </w:r>
          </w:p>
        </w:tc>
      </w:tr>
      <w:tr w:rsidR="00F016DD" w:rsidRPr="0078105B" w:rsidTr="00414367">
        <w:tc>
          <w:tcPr>
            <w:tcW w:type="dxa" w:w="2835"/>
          </w:tcPr>
          <w:p w:rsidP="003F13CD" w:rsidR="00F016DD" w:rsidRDefault="00F016DD" w:rsidRPr="00C30CFF">
            <w:pPr>
              <w:adjustRightInd w:val="0"/>
              <w:spacing w:before="29" w:line="360" w:lineRule="auto"/>
              <w:ind w:left="17"/>
              <w:jc w:val="left"/>
              <w:rPr>
                <w:kern w:val="0"/>
                <w:sz w:val="24"/>
              </w:rPr>
            </w:pPr>
            <w:r w:rsidRPr="00C30CFF">
              <w:rPr>
                <w:color w:val="000000"/>
                <w:sz w:val="24"/>
              </w:rPr>
              <w:t>下属</w:t>
            </w:r>
            <w:r w:rsidR="003F13CD" w:rsidRPr="00C30CFF">
              <w:rPr>
                <w:color w:val="000000"/>
                <w:sz w:val="24"/>
              </w:rPr>
              <w:t>分</w:t>
            </w:r>
            <w:r w:rsidRPr="00C30CFF">
              <w:rPr>
                <w:color w:val="000000"/>
                <w:sz w:val="24"/>
              </w:rPr>
              <w:t>级基金的基金简称</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易方达瑞兴混合I</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易方达瑞兴混合E</w:t>
            </w:r>
          </w:p>
        </w:tc>
      </w:tr>
      <w:tr w:rsidR="00F016DD" w:rsidRPr="004D29A9" w:rsidTr="00414367">
        <w:tc>
          <w:tcPr>
            <w:tcW w:type="dxa" w:w="2835"/>
          </w:tcPr>
          <w:p w:rsidP="003F13CD" w:rsidR="00F016DD" w:rsidRDefault="00F016DD" w:rsidRPr="00C30CFF">
            <w:pPr>
              <w:adjustRightInd w:val="0"/>
              <w:spacing w:before="29" w:line="360" w:lineRule="auto"/>
              <w:ind w:left="17"/>
              <w:jc w:val="left"/>
              <w:rPr>
                <w:color w:val="000000"/>
                <w:sz w:val="24"/>
              </w:rPr>
            </w:pPr>
            <w:r w:rsidRPr="00C30CFF">
              <w:rPr>
                <w:color w:val="000000"/>
                <w:sz w:val="24"/>
              </w:rPr>
              <w:t>下属</w:t>
            </w:r>
            <w:r w:rsidR="003F13CD" w:rsidRPr="00C30CFF">
              <w:rPr>
                <w:color w:val="000000"/>
                <w:sz w:val="24"/>
              </w:rPr>
              <w:t>分</w:t>
            </w:r>
            <w:r w:rsidRPr="00C30CFF">
              <w:rPr>
                <w:color w:val="000000"/>
                <w:sz w:val="24"/>
              </w:rPr>
              <w:t>级基金的交易代</w:t>
            </w:r>
            <w:r w:rsidRPr="00C30CFF">
              <w:rPr>
                <w:color w:val="000000"/>
                <w:sz w:val="24"/>
              </w:rPr>
              <w:lastRenderedPageBreak/>
              <w:t>码</w:t>
            </w:r>
            <w:r w:rsidRPr="00C30CFF">
              <w:rPr>
                <w:color w:val="000000"/>
                <w:sz w:val="24"/>
              </w:rPr>
              <w:t/>
            </w:r>
            <w:proofErr w:type="spellStart"/>
            <w:r w:rsidRPr="00C30CFF">
              <w:rPr>
                <w:color w:val="000000"/>
              </w:rPr>
              <w:t/>
            </w:r>
            <w:proofErr w:type="spellEnd"/>
            <w:r w:rsidRPr="00C30CFF">
              <w:rPr>
                <w:color w:val="000000"/>
                <w:sz w:val="24"/>
              </w:rPr>
              <w:t/>
            </w:r>
          </w:p>
        </w:tc>
        <w:tc>
          <w:tcPr>
            <w:tcW w:type="dxa" w:w="2739"/>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proofErr w:type="spellStart"/>
            <w:r w:rsidRPr="00C30CFF">
              <w:rPr>
                <w:color w:val="000000"/>
                <w:sz w:val="24"/>
              </w:rPr>
              <w:t/>
            </w:r>
            <w:proofErr w:type="spellEnd"/>
            <w:r w:rsidRPr="00C30CFF">
              <w:rPr>
                <w:color w:val="000000"/>
                <w:sz w:val="24"/>
              </w:rPr>
              <w:t/>
            </w:r>
            <w:r w:rsidRPr="00C30CFF">
              <w:rPr>
                <w:color w:val="000000"/>
                <w:sz w:val="24"/>
              </w:rPr>
              <w:lastRenderedPageBreak/>
              <w:t>001817</w:t>
            </w:r>
          </w:p>
        </w:tc>
        <w:tc>
          <w:tcPr>
            <w:tcW w:type="dxa" w:w="2790"/>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r w:rsidRPr="00C30CFF">
              <w:rPr>
                <w:color w:val="000000"/>
                <w:sz w:val="24"/>
              </w:rPr>
              <w:t>001818</w:t>
            </w:r>
          </w:p>
        </w:tc>
      </w:tr>
      <w:tr w:rsidR="00F016DD" w:rsidRPr="0078105B" w:rsidTr="00414367">
        <w:tc>
          <w:tcPr>
            <w:tcW w:type="dxa" w:w="2835"/>
          </w:tcPr>
          <w:p w:rsidP="00162D92" w:rsidR="00F016DD" w:rsidRDefault="00F016DD" w:rsidRPr="00C30CFF">
            <w:pPr>
              <w:adjustRightInd w:val="0"/>
              <w:spacing w:before="29" w:line="360" w:lineRule="auto"/>
              <w:ind w:left="17"/>
              <w:jc w:val="left"/>
              <w:rPr>
                <w:color w:val="000000"/>
                <w:sz w:val="24"/>
              </w:rPr>
            </w:pPr>
            <w:r w:rsidRPr="00C30CFF">
              <w:rPr>
                <w:color w:val="000000"/>
                <w:sz w:val="24"/>
              </w:rPr>
              <w:t>报告期末下属</w:t>
            </w:r>
            <w:r w:rsidR="00162D92" w:rsidRPr="00C30CFF">
              <w:rPr>
                <w:color w:val="000000"/>
                <w:sz w:val="24"/>
              </w:rPr>
              <w:t>分</w:t>
            </w:r>
            <w:r w:rsidRPr="00C30CFF">
              <w:rPr>
                <w:color w:val="000000"/>
                <w:sz w:val="24"/>
              </w:rPr>
              <w:t>级基金的份额总额</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536,979,728.57</w:t>
            </w:r>
            <w:r w:rsidRPr="00C30CFF">
              <w:rPr>
                <w:color w:val="000000"/>
                <w:kern w:val="0"/>
                <w:sz w:val="24"/>
              </w:rPr>
              <w:t>份</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94,516,356.13</w:t>
            </w:r>
            <w:r w:rsidRPr="00C30CFF">
              <w:rPr>
                <w:color w:val="000000"/>
                <w:kern w:val="0"/>
                <w:sz w:val="24"/>
              </w:rPr>
              <w:t>份</w:t>
            </w:r>
          </w:p>
        </w:tc>
      </w:tr>
    </w:tbl>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3  </w:t>
      </w:r>
      <w:r w:rsidRPr="0078105B">
        <w:rPr>
          <w:rFonts w:ascii="宋体" w:cs="Arial" w:hAnsi="宋体" w:hint="eastAsia"/>
          <w:color w:val="000000"/>
          <w:kern w:val="0"/>
          <w:sz w:val="24"/>
          <w:szCs w:val="24"/>
        </w:rPr>
        <w:t>主要财务指标和基金净值表现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3.1 </w:t>
      </w:r>
      <w:r w:rsidRPr="0078105B">
        <w:rPr>
          <w:rFonts w:ascii="宋体" w:cs="Arial" w:hAnsi="宋体" w:hint="eastAsia"/>
          <w:b/>
          <w:color w:val="000000"/>
          <w:kern w:val="0"/>
          <w:sz w:val="24"/>
        </w:rPr>
        <w:t>主要财务指标</w:t>
      </w:r>
    </w:p>
    <w:p w:rsidP="00E27360"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F016DD" w:rsidRPr="00FA472B" w:rsidTr="008B5312">
        <w:tc>
          <w:tcPr>
            <w:tcW w:type="dxa" w:w="3402"/>
            <w:vMerge w:val="restart"/>
            <w:vAlign w:val="center"/>
          </w:tcPr>
          <w:p w:rsidP="00E205AA" w:rsidR="00F016DD" w:rsidRDefault="00F016DD" w:rsidRPr="00FA472B">
            <w:pPr>
              <w:adjustRightInd w:val="0"/>
              <w:spacing w:before="29" w:line="360" w:lineRule="auto"/>
              <w:ind w:left="17"/>
              <w:jc w:val="center"/>
              <w:rPr>
                <w:kern w:val="0"/>
                <w:sz w:val="24"/>
              </w:rPr>
            </w:pPr>
            <w:r w:rsidRPr="00FA472B">
              <w:rPr>
                <w:kern w:val="0"/>
                <w:sz w:val="24"/>
              </w:rPr>
              <w:t>主要财务指标</w:t>
            </w:r>
          </w:p>
        </w:tc>
        <w:tc>
          <w:tcPr>
            <w:tcW w:type="dxa" w:w="4962"/>
            <w:gridSpan w:val="2"/>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sz w:val="24"/>
              </w:rPr>
              <w:t>报告期</w:t>
            </w:r>
          </w:p>
          <w:p w:rsidP="00E205AA" w:rsidR="00F016DD" w:rsidRDefault="00F016DD" w:rsidRPr="00FA472B">
            <w:pPr>
              <w:adjustRightInd w:val="0"/>
              <w:spacing w:before="29" w:line="360" w:lineRule="auto"/>
              <w:ind w:left="17"/>
              <w:jc w:val="center"/>
              <w:rPr>
                <w:color w:val="000000"/>
                <w:sz w:val="24"/>
              </w:rPr>
            </w:pPr>
            <w:r w:rsidRPr="00FA472B">
              <w:rPr>
                <w:color w:val="000000"/>
                <w:sz w:val="24"/>
              </w:rPr>
              <w:t>(</w:t>
            </w:r>
            <w:proofErr w:type="spellStart"/>
            <w:r w:rsidRPr="00FA472B">
              <w:rPr>
                <w:color w:val="000000"/>
                <w:sz w:val="24"/>
              </w:rPr>
              <w:t/>
            </w:r>
            <w:proofErr w:type="spellEnd"/>
            <w:r w:rsidRPr="00FA472B">
              <w:rPr>
                <w:color w:val="000000"/>
                <w:sz w:val="24"/>
              </w:rPr>
              <w:t>2020年4月1日-</w:t>
            </w:r>
            <w:proofErr w:type="spellStart"/>
            <w:r w:rsidRPr="00FA472B">
              <w:rPr>
                <w:color w:val="000000"/>
                <w:sz w:val="24"/>
              </w:rPr>
              <w:t/>
            </w:r>
            <w:proofErr w:type="spellEnd"/>
            <w:r w:rsidRPr="00FA472B">
              <w:rPr>
                <w:color w:val="000000"/>
                <w:sz w:val="24"/>
              </w:rPr>
              <w:t>2020年6月30日)</w:t>
            </w:r>
          </w:p>
        </w:tc>
      </w:tr>
      <w:tr w:rsidR="00F016DD" w:rsidRPr="00FA472B" w:rsidTr="008B5312">
        <w:tc>
          <w:tcPr>
            <w:tcW w:type="dxa" w:w="3402"/>
            <w:vMerge/>
            <w:vAlign w:val="center"/>
          </w:tcPr>
          <w:p w:rsidP="00E205AA" w:rsidR="00F016DD" w:rsidRDefault="00F016DD" w:rsidRPr="00FA472B">
            <w:pPr>
              <w:adjustRightInd w:val="0"/>
              <w:spacing w:before="29" w:line="360" w:lineRule="auto"/>
              <w:ind w:left="17"/>
              <w:jc w:val="center"/>
              <w:rPr>
                <w:kern w:val="0"/>
                <w:sz w:val="24"/>
              </w:rPr>
            </w:pP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proofErr w:type="spellStart"/>
            <w:r w:rsidRPr="00FA472B">
              <w:rPr>
                <w:sz w:val="24"/>
              </w:rPr>
              <w:t/>
            </w:r>
            <w:proofErr w:type="spellEnd"/>
            <w:r w:rsidRPr="00FA472B">
              <w:rPr>
                <w:sz w:val="24"/>
              </w:rPr>
              <w:t>易方达瑞兴混合I</w:t>
            </w: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r w:rsidRPr="00FA472B">
              <w:rPr>
                <w:sz w:val="24"/>
              </w:rPr>
              <w:t>易方达瑞兴混合E</w:t>
            </w:r>
          </w:p>
        </w:tc>
      </w:tr>
      <w:tr w:rsidR="00F016DD" w:rsidRPr="00FA472B" w:rsidTr="00973B57">
        <w:tc>
          <w:tcPr>
            <w:tcW w:type="dxa" w:w="3402"/>
          </w:tcPr>
          <w:p w:rsidP="00973B57" w:rsidR="00F016DD" w:rsidRDefault="00F016DD" w:rsidRPr="00FA472B">
            <w:pPr>
              <w:adjustRightInd w:val="0"/>
              <w:spacing w:before="29" w:line="360" w:lineRule="auto"/>
              <w:ind w:left="17"/>
              <w:rPr>
                <w:kern w:val="0"/>
                <w:sz w:val="24"/>
              </w:rPr>
            </w:pPr>
            <w:r w:rsidRPr="00FA472B">
              <w:rPr>
                <w:kern w:val="0"/>
                <w:sz w:val="24"/>
              </w:rPr>
              <w:t>1.</w:t>
            </w:r>
            <w:r w:rsidRPr="00FA472B">
              <w:rPr>
                <w:kern w:val="0"/>
                <w:sz w:val="24"/>
              </w:rPr>
              <w:t>本期已实现收益</w:t>
            </w:r>
          </w:p>
        </w:tc>
        <w:tc>
          <w:tcPr>
            <w:tcW w:type="dxa" w:w="2481"/>
            <w:vAlign w:val="bottom"/>
          </w:tcPr>
          <w:p w:rsidP="00973B57" w:rsidR="00F016DD" w:rsidRDefault="00F016DD" w:rsidRPr="00FA472B">
            <w:pPr>
              <w:adjustRightInd w:val="0"/>
              <w:spacing w:before="29" w:line="360" w:lineRule="auto"/>
              <w:ind w:left="17"/>
              <w:jc w:val="right"/>
              <w:rPr>
                <w:color w:val="000000"/>
                <w:sz w:val="24"/>
              </w:rPr>
            </w:pPr>
            <w:r w:rsidRPr="00FA472B">
              <w:rPr>
                <w:color w:val="000000"/>
                <w:sz w:val="24"/>
              </w:rPr>
              <w:t>10,059,488.84</w:t>
            </w:r>
          </w:p>
        </w:tc>
        <w:tc>
          <w:tcPr>
            <w:tcW w:type="dxa" w:w="2481"/>
            <w:vAlign w:val="bottom"/>
          </w:tcPr>
          <w:p w:rsidP="0037768B" w:rsidR="00F016DD" w:rsidRDefault="00F016DD" w:rsidRPr="00FA472B">
            <w:pPr>
              <w:adjustRightInd w:val="0"/>
              <w:spacing w:before="29" w:line="360" w:lineRule="auto"/>
              <w:ind w:left="17"/>
              <w:jc w:val="right"/>
              <w:rPr>
                <w:color w:val="000000"/>
                <w:sz w:val="24"/>
              </w:rPr>
            </w:pPr>
            <w:r w:rsidRPr="00FA472B">
              <w:rPr>
                <w:color w:val="000000"/>
                <w:sz w:val="24"/>
              </w:rPr>
              <w:t>1,168,013.02</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2.</w:t>
            </w:r>
            <w:r w:rsidRPr="00FA472B">
              <w:rPr>
                <w:kern w:val="0"/>
                <w:sz w:val="24"/>
              </w:rPr>
              <w:t>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10,015,638.05</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811,096.35</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3.</w:t>
            </w:r>
            <w:r w:rsidRPr="00FA472B">
              <w:rPr>
                <w:kern w:val="0"/>
                <w:sz w:val="24"/>
              </w:rPr>
              <w:t>加权平均基金份额本期利润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0.0224</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0.0161</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4.</w:t>
            </w:r>
            <w:r w:rsidRPr="00FA472B">
              <w:rPr>
                <w:kern w:val="0"/>
                <w:sz w:val="24"/>
              </w:rPr>
              <w:t>期末基金资产净值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636,334,031.94</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111,409,207.22</w:t>
            </w:r>
          </w:p>
        </w:tc>
      </w:tr>
      <w:tr w:rsidR="00F016DD" w:rsidRPr="00FA472B" w:rsidTr="009A5C1D">
        <w:trPr>
          <w:trHeight w:val="158"/>
        </w:trPr>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lastRenderedPageBreak/>
              <w:t>5.</w:t>
            </w:r>
            <w:r w:rsidRPr="00FA472B">
              <w:rPr>
                <w:kern w:val="0"/>
                <w:sz w:val="24"/>
              </w:rPr>
              <w:t>期末基金份额净值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1.185</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1.179</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2.本期已实现收益指基金本期利息收入、投资收益、其他收入(不含公允价值变动收益)扣除相关费用后的余额,本期利润为本期已实现收益加上本期公允价值变动收益。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3.2 </w:t>
      </w:r>
      <w:r w:rsidRPr="0078105B">
        <w:rPr>
          <w:rFonts w:ascii="宋体" w:cs="Arial" w:hAnsi="宋体" w:hint="eastAsia"/>
          <w:b/>
          <w:color w:val="000000"/>
          <w:kern w:val="0"/>
          <w:sz w:val="24"/>
        </w:rPr>
        <w:t>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3.2.1</w:t>
      </w:r>
      <w:r w:rsidRPr="0078105B">
        <w:rPr>
          <w:rFonts w:ascii="宋体" w:cs="Arial" w:hAnsi="宋体" w:hint="eastAsia"/>
          <w:b/>
          <w:color w:val="000000"/>
          <w:kern w:val="0"/>
          <w:sz w:val="24"/>
        </w:rPr>
        <w:t>本报告</w:t>
      </w:r>
      <w:proofErr w:type="gramStart"/>
      <w:r w:rsidRPr="0078105B">
        <w:rPr>
          <w:rFonts w:ascii="宋体" w:cs="Arial" w:hAnsi="宋体" w:hint="eastAsia"/>
          <w:b/>
          <w:color w:val="000000"/>
          <w:kern w:val="0"/>
          <w:sz w:val="24"/>
        </w:rPr>
        <w:t>期基金</w:t>
      </w:r>
      <w:proofErr w:type="gramEnd"/>
      <w:r w:rsidRPr="0078105B">
        <w:rPr>
          <w:rFonts w:ascii="宋体" w:cs="Arial" w:hAnsi="宋体" w:hint="eastAsia"/>
          <w:b/>
          <w:color w:val="000000"/>
          <w:kern w:val="0"/>
          <w:sz w:val="24"/>
        </w:rPr>
        <w:t>份额净值增长率及其与同期业绩比较基准收益率的比较</w:t>
      </w:r>
    </w:p>
    <w:p w:rsidP="00174038" w:rsidR="00F016DD" w:rsidRDefault="00F016DD" w:rsidRPr="0078105B">
      <w:pPr>
        <w:spacing w:line="360" w:lineRule="auto"/>
        <w:ind w:firstLine="361" w:firstLineChars="150"/>
        <w:rPr>
          <w:rFonts w:ascii="宋体"/>
          <w:b/>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spellStart"/>
      <w:r w:rsidRPr="0078105B">
        <w:rPr>
          <w:rFonts w:ascii="宋体" w:cs="Arial" w:hAnsi="宋体"/>
          <w:b/>
          <w:color w:val="000000"/>
          <w:kern w:val="0"/>
          <w:sz w:val="24"/>
        </w:rPr>
        <w:t/>
      </w:r>
      <w:proofErr w:type="spellEnd"/>
      <w:r w:rsidRPr="0078105B">
        <w:rPr>
          <w:rFonts w:ascii="宋体" w:cs="Arial" w:hAnsi="宋体"/>
          <w:b/>
          <w:color w:val="000000"/>
          <w:kern w:val="0"/>
          <w:sz w:val="24"/>
        </w:rPr>
        <w:t/>
      </w:r>
      <w:proofErr w:type="gramEnd"/>
      <w:r w:rsidRPr="0078105B">
        <w:rPr>
          <w:rFonts w:ascii="宋体" w:cs="Arial" w:hAnsi="宋体"/>
          <w:b/>
          <w:color w:val="000000"/>
          <w:kern w:val="0"/>
          <w:sz w:val="24"/>
        </w:rPr>
        <w:t>易方达瑞兴混合I</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414367">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2.07%</w:t>
            </w:r>
          </w:p>
        </w:tc>
        <w:tc>
          <w:tcPr>
            <w:vAlign w:val="center"/>
          </w:tcPr>
          <w:p>
            <w:pPr>
              <w:jc w:val="center"/>
            </w:pPr>
            <w:r>
              <w:rPr>
                <w:color w:val="000000"/>
                <w:sz w:val="24"/>
              </w:rPr>
              <w:t>0.16%</w:t>
            </w:r>
          </w:p>
        </w:tc>
        <w:tc>
          <w:tcPr>
            <w:vAlign w:val="center"/>
          </w:tcPr>
          <w:p>
            <w:pPr>
              <w:jc w:val="center"/>
            </w:pPr>
            <w:r>
              <w:rPr>
                <w:color w:val="000000"/>
                <w:sz w:val="24"/>
              </w:rPr>
              <w:t>3.07%</w:t>
            </w:r>
          </w:p>
        </w:tc>
        <w:tc>
          <w:tcPr>
            <w:vAlign w:val="center"/>
          </w:tcPr>
          <w:p>
            <w:pPr>
              <w:jc w:val="center"/>
            </w:pPr>
            <w:r>
              <w:rPr>
                <w:color w:val="000000"/>
                <w:sz w:val="24"/>
              </w:rPr>
              <w:t>0.24%</w:t>
            </w:r>
          </w:p>
        </w:tc>
        <w:tc>
          <w:tcPr>
            <w:vAlign w:val="center"/>
          </w:tcPr>
          <w:p>
            <w:pPr>
              <w:jc w:val="center"/>
            </w:pPr>
            <w:r>
              <w:rPr>
                <w:color w:val="000000"/>
                <w:sz w:val="24"/>
              </w:rPr>
              <w:t>-1.00%</w:t>
            </w:r>
          </w:p>
        </w:tc>
        <w:tc>
          <w:tcPr>
            <w:vAlign w:val="center"/>
          </w:tcPr>
          <w:p>
            <w:pPr>
              <w:jc w:val="center"/>
            </w:pPr>
            <w:r>
              <w:rPr>
                <w:color w:val="000000"/>
                <w:sz w:val="24"/>
              </w:rPr>
              <w:t>-0.08%</w:t>
            </w:r>
          </w:p>
        </w:tc>
      </w:tr>
      <w:tr>
        <w:tc>
          <w:tcPr>
            <w:vAlign w:val="center"/>
          </w:tcPr>
          <w:p>
            <w:pPr>
              <w:jc w:val="left"/>
            </w:pPr>
            <w:r>
              <w:rPr>
                <w:color w:val="000000"/>
                <w:sz w:val="24"/>
              </w:rPr>
              <w:t>过去六个月</w:t>
            </w:r>
          </w:p>
        </w:tc>
        <w:tc>
          <w:tcPr>
            <w:vAlign w:val="center"/>
          </w:tcPr>
          <w:p>
            <w:pPr>
              <w:jc w:val="center"/>
            </w:pPr>
            <w:r>
              <w:rPr>
                <w:color w:val="000000"/>
                <w:sz w:val="24"/>
              </w:rPr>
              <w:t>4.04%</w:t>
            </w:r>
          </w:p>
        </w:tc>
        <w:tc>
          <w:tcPr>
            <w:vAlign w:val="center"/>
          </w:tcPr>
          <w:p>
            <w:pPr>
              <w:jc w:val="center"/>
            </w:pPr>
            <w:r>
              <w:rPr>
                <w:color w:val="000000"/>
                <w:sz w:val="24"/>
              </w:rPr>
              <w:t>0.23%</w:t>
            </w:r>
          </w:p>
        </w:tc>
        <w:tc>
          <w:tcPr>
            <w:vAlign w:val="center"/>
          </w:tcPr>
          <w:p>
            <w:pPr>
              <w:jc w:val="center"/>
            </w:pPr>
            <w:r>
              <w:rPr>
                <w:color w:val="000000"/>
                <w:sz w:val="24"/>
              </w:rPr>
              <w:t>2.16%</w:t>
            </w:r>
          </w:p>
        </w:tc>
        <w:tc>
          <w:tcPr>
            <w:vAlign w:val="center"/>
          </w:tcPr>
          <w:p>
            <w:pPr>
              <w:jc w:val="center"/>
            </w:pPr>
            <w:r>
              <w:rPr>
                <w:color w:val="000000"/>
                <w:sz w:val="24"/>
              </w:rPr>
              <w:t>0.36%</w:t>
            </w:r>
          </w:p>
        </w:tc>
        <w:tc>
          <w:tcPr>
            <w:vAlign w:val="center"/>
          </w:tcPr>
          <w:p>
            <w:pPr>
              <w:jc w:val="center"/>
            </w:pPr>
            <w:r>
              <w:rPr>
                <w:color w:val="000000"/>
                <w:sz w:val="24"/>
              </w:rPr>
              <w:t>1.88%</w:t>
            </w:r>
          </w:p>
        </w:tc>
        <w:tc>
          <w:tcPr>
            <w:vAlign w:val="center"/>
          </w:tcPr>
          <w:p>
            <w:pPr>
              <w:jc w:val="center"/>
            </w:pPr>
            <w:r>
              <w:rPr>
                <w:color w:val="000000"/>
                <w:sz w:val="24"/>
              </w:rPr>
              <w:t>-0.13%</w:t>
            </w:r>
          </w:p>
        </w:tc>
      </w:tr>
      <w:tr>
        <w:tc>
          <w:tcPr>
            <w:vAlign w:val="center"/>
          </w:tcPr>
          <w:p>
            <w:pPr>
              <w:jc w:val="left"/>
            </w:pPr>
            <w:r>
              <w:rPr>
                <w:color w:val="000000"/>
                <w:sz w:val="24"/>
              </w:rPr>
              <w:t>过去一年</w:t>
            </w:r>
          </w:p>
        </w:tc>
        <w:tc>
          <w:tcPr>
            <w:vAlign w:val="center"/>
          </w:tcPr>
          <w:p>
            <w:pPr>
              <w:jc w:val="center"/>
            </w:pPr>
            <w:r>
              <w:rPr>
                <w:color w:val="000000"/>
                <w:sz w:val="24"/>
              </w:rPr>
              <w:t>13.07%</w:t>
            </w:r>
          </w:p>
        </w:tc>
        <w:tc>
          <w:tcPr>
            <w:vAlign w:val="center"/>
          </w:tcPr>
          <w:p>
            <w:pPr>
              <w:jc w:val="center"/>
            </w:pPr>
            <w:r>
              <w:rPr>
                <w:color w:val="000000"/>
                <w:sz w:val="24"/>
              </w:rPr>
              <w:t>0.27%</w:t>
            </w:r>
          </w:p>
        </w:tc>
        <w:tc>
          <w:tcPr>
            <w:vAlign w:val="center"/>
          </w:tcPr>
          <w:p>
            <w:pPr>
              <w:jc w:val="center"/>
            </w:pPr>
            <w:r>
              <w:rPr>
                <w:color w:val="000000"/>
                <w:sz w:val="24"/>
              </w:rPr>
              <w:t>6.05%</w:t>
            </w:r>
          </w:p>
        </w:tc>
        <w:tc>
          <w:tcPr>
            <w:vAlign w:val="center"/>
          </w:tcPr>
          <w:p>
            <w:pPr>
              <w:jc w:val="center"/>
            </w:pPr>
            <w:r>
              <w:rPr>
                <w:color w:val="000000"/>
                <w:sz w:val="24"/>
              </w:rPr>
              <w:t>0.29%</w:t>
            </w:r>
          </w:p>
        </w:tc>
        <w:tc>
          <w:tcPr>
            <w:vAlign w:val="center"/>
          </w:tcPr>
          <w:p>
            <w:pPr>
              <w:jc w:val="center"/>
            </w:pPr>
            <w:r>
              <w:rPr>
                <w:color w:val="000000"/>
                <w:sz w:val="24"/>
              </w:rPr>
              <w:t>7.02%</w:t>
            </w:r>
          </w:p>
        </w:tc>
        <w:tc>
          <w:tcPr>
            <w:vAlign w:val="center"/>
          </w:tcPr>
          <w:p>
            <w:pPr>
              <w:jc w:val="center"/>
            </w:pPr>
            <w:r>
              <w:rPr>
                <w:color w:val="000000"/>
                <w:sz w:val="24"/>
              </w:rPr>
              <w:t>-0.02%</w:t>
            </w:r>
          </w:p>
        </w:tc>
      </w:tr>
      <w:tr>
        <w:tc>
          <w:tcPr>
            <w:vAlign w:val="center"/>
          </w:tcPr>
          <w:p>
            <w:pPr>
              <w:jc w:val="left"/>
            </w:pPr>
            <w:r>
              <w:rPr>
                <w:color w:val="000000"/>
                <w:sz w:val="24"/>
              </w:rPr>
              <w:t>过去三年</w:t>
            </w:r>
          </w:p>
        </w:tc>
        <w:tc>
          <w:tcPr>
            <w:vAlign w:val="center"/>
          </w:tcPr>
          <w:p>
            <w:pPr>
              <w:jc w:val="center"/>
            </w:pPr>
            <w:r>
              <w:rPr>
                <w:color w:val="000000"/>
                <w:sz w:val="24"/>
              </w:rPr>
              <w:t>18.50%</w:t>
            </w:r>
          </w:p>
        </w:tc>
        <w:tc>
          <w:tcPr>
            <w:vAlign w:val="center"/>
          </w:tcPr>
          <w:p>
            <w:pPr>
              <w:jc w:val="center"/>
            </w:pPr>
            <w:r>
              <w:rPr>
                <w:color w:val="000000"/>
                <w:sz w:val="24"/>
              </w:rPr>
              <w:t>0.26%</w:t>
            </w:r>
          </w:p>
        </w:tc>
        <w:tc>
          <w:tcPr>
            <w:vAlign w:val="center"/>
          </w:tcPr>
          <w:p>
            <w:pPr>
              <w:jc w:val="center"/>
            </w:pPr>
            <w:r>
              <w:rPr>
                <w:color w:val="000000"/>
                <w:sz w:val="24"/>
              </w:rPr>
              <w:t>15.57%</w:t>
            </w:r>
          </w:p>
        </w:tc>
        <w:tc>
          <w:tcPr>
            <w:vAlign w:val="center"/>
          </w:tcPr>
          <w:p>
            <w:pPr>
              <w:jc w:val="center"/>
            </w:pPr>
            <w:r>
              <w:rPr>
                <w:color w:val="000000"/>
                <w:sz w:val="24"/>
              </w:rPr>
              <w:t>0.30%</w:t>
            </w:r>
          </w:p>
        </w:tc>
        <w:tc>
          <w:tcPr>
            <w:vAlign w:val="center"/>
          </w:tcPr>
          <w:p>
            <w:pPr>
              <w:jc w:val="center"/>
            </w:pPr>
            <w:r>
              <w:rPr>
                <w:color w:val="000000"/>
                <w:sz w:val="24"/>
              </w:rPr>
              <w:t>2.93%</w:t>
            </w:r>
          </w:p>
        </w:tc>
        <w:tc>
          <w:tcPr>
            <w:vAlign w:val="center"/>
          </w:tcPr>
          <w:p>
            <w:pPr>
              <w:jc w:val="center"/>
            </w:pPr>
            <w:r>
              <w:rPr>
                <w:color w:val="000000"/>
                <w:sz w:val="24"/>
              </w:rPr>
              <w:t>-0.04%</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18.50%</w:t>
            </w:r>
          </w:p>
        </w:tc>
        <w:tc>
          <w:tcPr>
            <w:vAlign w:val="center"/>
          </w:tcPr>
          <w:p>
            <w:pPr>
              <w:jc w:val="center"/>
            </w:pPr>
            <w:r>
              <w:rPr>
                <w:color w:val="000000"/>
                <w:sz w:val="24"/>
              </w:rPr>
              <w:t>0.26%</w:t>
            </w:r>
          </w:p>
        </w:tc>
        <w:tc>
          <w:tcPr>
            <w:vAlign w:val="center"/>
          </w:tcPr>
          <w:p>
            <w:pPr>
              <w:jc w:val="center"/>
            </w:pPr>
            <w:r>
              <w:rPr>
                <w:color w:val="000000"/>
                <w:sz w:val="24"/>
              </w:rPr>
              <w:t>16.42%</w:t>
            </w:r>
          </w:p>
        </w:tc>
        <w:tc>
          <w:tcPr>
            <w:vAlign w:val="center"/>
          </w:tcPr>
          <w:p>
            <w:pPr>
              <w:jc w:val="center"/>
            </w:pPr>
            <w:r>
              <w:rPr>
                <w:color w:val="000000"/>
                <w:sz w:val="24"/>
              </w:rPr>
              <w:t>0.30%</w:t>
            </w:r>
          </w:p>
        </w:tc>
        <w:tc>
          <w:tcPr>
            <w:vAlign w:val="center"/>
          </w:tcPr>
          <w:p>
            <w:pPr>
              <w:jc w:val="center"/>
            </w:pPr>
            <w:r>
              <w:rPr>
                <w:color w:val="000000"/>
                <w:sz w:val="24"/>
              </w:rPr>
              <w:t>2.08%</w:t>
            </w:r>
          </w:p>
        </w:tc>
        <w:tc>
          <w:tcPr>
            <w:vAlign w:val="center"/>
          </w:tcPr>
          <w:p>
            <w:pPr>
              <w:jc w:val="center"/>
            </w:pPr>
            <w:r>
              <w:rPr>
                <w:color w:val="000000"/>
                <w:sz w:val="24"/>
              </w:rPr>
              <w:t>-0.04%</w:t>
            </w:r>
          </w:p>
        </w:tc>
      </w:tr>
    </w:tbl>
    <w:p w:rsidP="00174038" w:rsidR="00F016DD" w:rsidRDefault="00F016DD" w:rsidRPr="0078105B">
      <w:pPr>
        <w:adjustRightInd w:val="0"/>
        <w:spacing w:line="360" w:lineRule="auto"/>
        <w:ind w:firstLine="361" w:firstLineChars="150"/>
        <w:rPr>
          <w:rFonts w:ascii="宋体" w:cs="Arial"/>
          <w:b/>
          <w:color w:val="000000"/>
          <w:kern w:val="0"/>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gramEnd"/>
      <w:r w:rsidRPr="0078105B">
        <w:rPr>
          <w:rFonts w:ascii="宋体" w:cs="Arial" w:hAnsi="宋体"/>
          <w:b/>
          <w:color w:val="000000"/>
          <w:kern w:val="0"/>
          <w:sz w:val="24"/>
        </w:rPr>
        <w:t>易方达瑞兴混合E</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F4518C">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1.99%</w:t>
            </w:r>
          </w:p>
        </w:tc>
        <w:tc>
          <w:tcPr>
            <w:vAlign w:val="center"/>
          </w:tcPr>
          <w:p>
            <w:pPr>
              <w:jc w:val="center"/>
            </w:pPr>
            <w:r>
              <w:rPr>
                <w:color w:val="000000"/>
                <w:sz w:val="24"/>
              </w:rPr>
              <w:t>0.16%</w:t>
            </w:r>
          </w:p>
        </w:tc>
        <w:tc>
          <w:tcPr>
            <w:vAlign w:val="center"/>
          </w:tcPr>
          <w:p>
            <w:pPr>
              <w:jc w:val="center"/>
            </w:pPr>
            <w:r>
              <w:rPr>
                <w:color w:val="000000"/>
                <w:sz w:val="24"/>
              </w:rPr>
              <w:t>3.07%</w:t>
            </w:r>
          </w:p>
        </w:tc>
        <w:tc>
          <w:tcPr>
            <w:vAlign w:val="center"/>
          </w:tcPr>
          <w:p>
            <w:pPr>
              <w:jc w:val="center"/>
            </w:pPr>
            <w:r>
              <w:rPr>
                <w:color w:val="000000"/>
                <w:sz w:val="24"/>
              </w:rPr>
              <w:t>0.24%</w:t>
            </w:r>
          </w:p>
        </w:tc>
        <w:tc>
          <w:tcPr>
            <w:vAlign w:val="center"/>
          </w:tcPr>
          <w:p>
            <w:pPr>
              <w:jc w:val="center"/>
            </w:pPr>
            <w:r>
              <w:rPr>
                <w:color w:val="000000"/>
                <w:sz w:val="24"/>
              </w:rPr>
              <w:t>-1.08%</w:t>
            </w:r>
          </w:p>
        </w:tc>
        <w:tc>
          <w:tcPr>
            <w:vAlign w:val="center"/>
          </w:tcPr>
          <w:p>
            <w:pPr>
              <w:jc w:val="center"/>
            </w:pPr>
            <w:r>
              <w:rPr>
                <w:color w:val="000000"/>
                <w:sz w:val="24"/>
              </w:rPr>
              <w:t>-0.08%</w:t>
            </w:r>
          </w:p>
        </w:tc>
      </w:tr>
      <w:tr>
        <w:tc>
          <w:tcPr>
            <w:vAlign w:val="center"/>
          </w:tcPr>
          <w:p>
            <w:pPr>
              <w:jc w:val="left"/>
            </w:pPr>
            <w:r>
              <w:rPr>
                <w:color w:val="000000"/>
                <w:sz w:val="24"/>
              </w:rPr>
              <w:t>过去六个月</w:t>
            </w:r>
          </w:p>
        </w:tc>
        <w:tc>
          <w:tcPr>
            <w:vAlign w:val="center"/>
          </w:tcPr>
          <w:p>
            <w:pPr>
              <w:jc w:val="center"/>
            </w:pPr>
            <w:r>
              <w:rPr>
                <w:color w:val="000000"/>
                <w:sz w:val="24"/>
              </w:rPr>
              <w:t>3.88%</w:t>
            </w:r>
          </w:p>
        </w:tc>
        <w:tc>
          <w:tcPr>
            <w:vAlign w:val="center"/>
          </w:tcPr>
          <w:p>
            <w:pPr>
              <w:jc w:val="center"/>
            </w:pPr>
            <w:r>
              <w:rPr>
                <w:color w:val="000000"/>
                <w:sz w:val="24"/>
              </w:rPr>
              <w:t>0.24%</w:t>
            </w:r>
          </w:p>
        </w:tc>
        <w:tc>
          <w:tcPr>
            <w:vAlign w:val="center"/>
          </w:tcPr>
          <w:p>
            <w:pPr>
              <w:jc w:val="center"/>
            </w:pPr>
            <w:r>
              <w:rPr>
                <w:color w:val="000000"/>
                <w:sz w:val="24"/>
              </w:rPr>
              <w:t>2.16%</w:t>
            </w:r>
          </w:p>
        </w:tc>
        <w:tc>
          <w:tcPr>
            <w:vAlign w:val="center"/>
          </w:tcPr>
          <w:p>
            <w:pPr>
              <w:jc w:val="center"/>
            </w:pPr>
            <w:r>
              <w:rPr>
                <w:color w:val="000000"/>
                <w:sz w:val="24"/>
              </w:rPr>
              <w:t>0.36%</w:t>
            </w:r>
          </w:p>
        </w:tc>
        <w:tc>
          <w:tcPr>
            <w:vAlign w:val="center"/>
          </w:tcPr>
          <w:p>
            <w:pPr>
              <w:jc w:val="center"/>
            </w:pPr>
            <w:r>
              <w:rPr>
                <w:color w:val="000000"/>
                <w:sz w:val="24"/>
              </w:rPr>
              <w:t>1.72%</w:t>
            </w:r>
          </w:p>
        </w:tc>
        <w:tc>
          <w:tcPr>
            <w:vAlign w:val="center"/>
          </w:tcPr>
          <w:p>
            <w:pPr>
              <w:jc w:val="center"/>
            </w:pPr>
            <w:r>
              <w:rPr>
                <w:color w:val="000000"/>
                <w:sz w:val="24"/>
              </w:rPr>
              <w:t>-0.12%</w:t>
            </w:r>
          </w:p>
        </w:tc>
      </w:tr>
      <w:tr>
        <w:tc>
          <w:tcPr>
            <w:vAlign w:val="center"/>
          </w:tcPr>
          <w:p>
            <w:pPr>
              <w:jc w:val="left"/>
            </w:pPr>
            <w:r>
              <w:rPr>
                <w:color w:val="000000"/>
                <w:sz w:val="24"/>
              </w:rPr>
              <w:t>过去一年</w:t>
            </w:r>
          </w:p>
        </w:tc>
        <w:tc>
          <w:tcPr>
            <w:vAlign w:val="center"/>
          </w:tcPr>
          <w:p>
            <w:pPr>
              <w:jc w:val="center"/>
            </w:pPr>
            <w:r>
              <w:rPr>
                <w:color w:val="000000"/>
                <w:sz w:val="24"/>
              </w:rPr>
              <w:t>12.93%</w:t>
            </w:r>
          </w:p>
        </w:tc>
        <w:tc>
          <w:tcPr>
            <w:vAlign w:val="center"/>
          </w:tcPr>
          <w:p>
            <w:pPr>
              <w:jc w:val="center"/>
            </w:pPr>
            <w:r>
              <w:rPr>
                <w:color w:val="000000"/>
                <w:sz w:val="24"/>
              </w:rPr>
              <w:t>0.28%</w:t>
            </w:r>
          </w:p>
        </w:tc>
        <w:tc>
          <w:tcPr>
            <w:vAlign w:val="center"/>
          </w:tcPr>
          <w:p>
            <w:pPr>
              <w:jc w:val="center"/>
            </w:pPr>
            <w:r>
              <w:rPr>
                <w:color w:val="000000"/>
                <w:sz w:val="24"/>
              </w:rPr>
              <w:t>6.05%</w:t>
            </w:r>
          </w:p>
        </w:tc>
        <w:tc>
          <w:tcPr>
            <w:vAlign w:val="center"/>
          </w:tcPr>
          <w:p>
            <w:pPr>
              <w:jc w:val="center"/>
            </w:pPr>
            <w:r>
              <w:rPr>
                <w:color w:val="000000"/>
                <w:sz w:val="24"/>
              </w:rPr>
              <w:t>0.29%</w:t>
            </w:r>
          </w:p>
        </w:tc>
        <w:tc>
          <w:tcPr>
            <w:vAlign w:val="center"/>
          </w:tcPr>
          <w:p>
            <w:pPr>
              <w:jc w:val="center"/>
            </w:pPr>
            <w:r>
              <w:rPr>
                <w:color w:val="000000"/>
                <w:sz w:val="24"/>
              </w:rPr>
              <w:t>6.88%</w:t>
            </w:r>
          </w:p>
        </w:tc>
        <w:tc>
          <w:tcPr>
            <w:vAlign w:val="center"/>
          </w:tcPr>
          <w:p>
            <w:pPr>
              <w:jc w:val="center"/>
            </w:pPr>
            <w:r>
              <w:rPr>
                <w:color w:val="000000"/>
                <w:sz w:val="24"/>
              </w:rPr>
              <w:t>-0.01%</w:t>
            </w:r>
          </w:p>
        </w:tc>
      </w:tr>
      <w:tr>
        <w:tc>
          <w:tcPr>
            <w:vAlign w:val="center"/>
          </w:tcPr>
          <w:p>
            <w:pPr>
              <w:jc w:val="left"/>
            </w:pPr>
            <w:r>
              <w:rPr>
                <w:color w:val="000000"/>
                <w:sz w:val="24"/>
              </w:rPr>
              <w:t>过去三年</w:t>
            </w:r>
          </w:p>
        </w:tc>
        <w:tc>
          <w:tcPr>
            <w:vAlign w:val="center"/>
          </w:tcPr>
          <w:p>
            <w:pPr>
              <w:jc w:val="center"/>
            </w:pPr>
            <w:r>
              <w:rPr>
                <w:color w:val="000000"/>
                <w:sz w:val="24"/>
              </w:rPr>
              <w:t>17.90%</w:t>
            </w:r>
          </w:p>
        </w:tc>
        <w:tc>
          <w:tcPr>
            <w:vAlign w:val="center"/>
          </w:tcPr>
          <w:p>
            <w:pPr>
              <w:jc w:val="center"/>
            </w:pPr>
            <w:r>
              <w:rPr>
                <w:color w:val="000000"/>
                <w:sz w:val="24"/>
              </w:rPr>
              <w:t>0.26%</w:t>
            </w:r>
          </w:p>
        </w:tc>
        <w:tc>
          <w:tcPr>
            <w:vAlign w:val="center"/>
          </w:tcPr>
          <w:p>
            <w:pPr>
              <w:jc w:val="center"/>
            </w:pPr>
            <w:r>
              <w:rPr>
                <w:color w:val="000000"/>
                <w:sz w:val="24"/>
              </w:rPr>
              <w:t>15.57%</w:t>
            </w:r>
          </w:p>
        </w:tc>
        <w:tc>
          <w:tcPr>
            <w:vAlign w:val="center"/>
          </w:tcPr>
          <w:p>
            <w:pPr>
              <w:jc w:val="center"/>
            </w:pPr>
            <w:r>
              <w:rPr>
                <w:color w:val="000000"/>
                <w:sz w:val="24"/>
              </w:rPr>
              <w:t>0.30%</w:t>
            </w:r>
          </w:p>
        </w:tc>
        <w:tc>
          <w:tcPr>
            <w:vAlign w:val="center"/>
          </w:tcPr>
          <w:p>
            <w:pPr>
              <w:jc w:val="center"/>
            </w:pPr>
            <w:r>
              <w:rPr>
                <w:color w:val="000000"/>
                <w:sz w:val="24"/>
              </w:rPr>
              <w:t>2.33%</w:t>
            </w:r>
          </w:p>
        </w:tc>
        <w:tc>
          <w:tcPr>
            <w:vAlign w:val="center"/>
          </w:tcPr>
          <w:p>
            <w:pPr>
              <w:jc w:val="center"/>
            </w:pPr>
            <w:r>
              <w:rPr>
                <w:color w:val="000000"/>
                <w:sz w:val="24"/>
              </w:rPr>
              <w:t>-0.04%</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17.90%</w:t>
            </w:r>
          </w:p>
        </w:tc>
        <w:tc>
          <w:tcPr>
            <w:vAlign w:val="center"/>
          </w:tcPr>
          <w:p>
            <w:pPr>
              <w:jc w:val="center"/>
            </w:pPr>
            <w:r>
              <w:rPr>
                <w:color w:val="000000"/>
                <w:sz w:val="24"/>
              </w:rPr>
              <w:t>0.26%</w:t>
            </w:r>
          </w:p>
        </w:tc>
        <w:tc>
          <w:tcPr>
            <w:vAlign w:val="center"/>
          </w:tcPr>
          <w:p>
            <w:pPr>
              <w:jc w:val="center"/>
            </w:pPr>
            <w:r>
              <w:rPr>
                <w:color w:val="000000"/>
                <w:sz w:val="24"/>
              </w:rPr>
              <w:t>16.42%</w:t>
            </w:r>
          </w:p>
        </w:tc>
        <w:tc>
          <w:tcPr>
            <w:vAlign w:val="center"/>
          </w:tcPr>
          <w:p>
            <w:pPr>
              <w:jc w:val="center"/>
            </w:pPr>
            <w:r>
              <w:rPr>
                <w:color w:val="000000"/>
                <w:sz w:val="24"/>
              </w:rPr>
              <w:t>0.30%</w:t>
            </w:r>
          </w:p>
        </w:tc>
        <w:tc>
          <w:tcPr>
            <w:vAlign w:val="center"/>
          </w:tcPr>
          <w:p>
            <w:pPr>
              <w:jc w:val="center"/>
            </w:pPr>
            <w:r>
              <w:rPr>
                <w:color w:val="000000"/>
                <w:sz w:val="24"/>
              </w:rPr>
              <w:t>1.48%</w:t>
            </w:r>
          </w:p>
        </w:tc>
        <w:tc>
          <w:tcPr>
            <w:vAlign w:val="center"/>
          </w:tcPr>
          <w:p>
            <w:pPr>
              <w:jc w:val="center"/>
            </w:pPr>
            <w:r>
              <w:rPr>
                <w:color w:val="000000"/>
                <w:sz w:val="24"/>
              </w:rPr>
              <w:t>-0.04%</w:t>
            </w:r>
          </w:p>
        </w:tc>
      </w:tr>
    </w:tbl>
    <w:p w:rsidP="00FC13C8" w:rsidR="00F016DD" w:rsidRDefault="00F016DD" w:rsidRPr="0078105B">
      <w:pPr>
        <w:spacing w:line="360" w:lineRule="auto"/>
        <w:rPr>
          <w:rFonts w:ascii="宋体" w:cs="Arial"/>
          <w:b/>
          <w:color w:val="000000"/>
          <w:kern w:val="0"/>
          <w:sz w:val="24"/>
        </w:rPr>
      </w:pPr>
      <w:r w:rsidRPr="0078105B">
        <w:rPr>
          <w:rFonts w:ascii="宋体" w:cs="Arial" w:hAnsi="宋体"/>
          <w:b/>
          <w:color w:val="000000"/>
          <w:kern w:val="0"/>
          <w:sz w:val="24"/>
        </w:rPr>
        <w:t>3.2.2</w:t>
      </w:r>
      <w:r w:rsidRPr="0078105B">
        <w:rPr>
          <w:rFonts w:ascii="宋体" w:cs="Arial" w:hAnsi="宋体" w:hint="eastAsia"/>
          <w:b/>
          <w:color w:val="000000"/>
          <w:kern w:val="0"/>
          <w:sz w:val="24"/>
        </w:rPr>
        <w:t xml:space="preserve">　</w:t>
      </w:r>
      <w:r w:rsidR="00AE2480" w:rsidRPr="00370BEA">
        <w:rPr>
          <w:rStyle w:val="af6"/>
          <w:rFonts w:hint="eastAsia"/>
          <w:color w:val="000000"/>
          <w:sz w:val="24"/>
          <w:shd w:color="auto" w:fill="FFFFFF" w:val="clear"/>
        </w:rPr>
        <w:t/>
      </w:r>
      <w:proofErr w:type="spellStart"/>
      <w:r w:rsidR="00AE2480" w:rsidRPr="00370BEA">
        <w:rPr>
          <w:rStyle w:val="af6"/>
          <w:rFonts w:hint="eastAsia"/>
          <w:color w:val="000000"/>
          <w:sz w:val="24"/>
          <w:shd w:color="auto" w:fill="FFFFFF" w:val="clear"/>
        </w:rPr>
        <w:t/>
      </w:r>
      <w:proofErr w:type="spellEnd"/>
      <w:r w:rsidR="00AE2480" w:rsidRPr="00370BEA">
        <w:rPr>
          <w:rStyle w:val="af6"/>
          <w:rFonts w:hint="eastAsia"/>
          <w:color w:val="000000"/>
          <w:sz w:val="24"/>
          <w:shd w:color="auto" w:fill="FFFFFF" w:val="clear"/>
        </w:rPr>
        <w:t>自基金合同生效以来</w:t>
      </w:r>
      <w:r w:rsidRPr="0078105B">
        <w:rPr>
          <w:rFonts w:ascii="宋体" w:hAnsi="宋体" w:hint="eastAsia"/>
          <w:b/>
          <w:color w:val="000000"/>
          <w:sz w:val="24"/>
        </w:rPr>
        <w:t>基金累计净值增长率变动及其与同期业绩比较基准收益率变动的比较</w:t>
      </w:r>
    </w:p>
    <w:p w:rsidP="00FC13C8" w:rsidR="00F016DD" w:rsidRDefault="00F016DD" w:rsidRPr="00FA472B">
      <w:pPr>
        <w:spacing w:line="360" w:lineRule="auto"/>
        <w:jc w:val="center"/>
        <w:rPr>
          <w:color w:val="000000"/>
          <w:sz w:val="24"/>
        </w:rPr>
      </w:pPr>
      <w:r w:rsidRPr="00FA472B">
        <w:rPr>
          <w:color w:val="000000"/>
          <w:sz w:val="24"/>
        </w:rPr>
        <w:t/>
      </w:r>
      <w:proofErr w:type="spellStart"/>
      <w:proofErr w:type="gramStart"/>
      <w:r w:rsidRPr="00FA472B">
        <w:rPr>
          <w:color w:val="000000"/>
          <w:sz w:val="24"/>
        </w:rPr>
        <w:t/>
      </w:r>
      <w:proofErr w:type="spellEnd"/>
      <w:proofErr w:type="gramEnd"/>
      <w:r w:rsidRPr="00FA472B">
        <w:rPr>
          <w:color w:val="000000"/>
          <w:sz w:val="24"/>
        </w:rPr>
        <w:t>易方达瑞兴灵活配置混合型证券投资基金</w:t>
      </w:r>
    </w:p>
    <w:p w:rsidP="00526282" w:rsidR="00526282" w:rsidRDefault="00F016DD">
      <w:pPr>
        <w:pStyle w:val="a5"/>
        <w:snapToGrid w:val="0"/>
        <w:spacing w:line="360" w:lineRule="auto"/>
        <w:jc w:val="center"/>
        <w:rPr>
          <w:rFonts w:ascii="Times New Roman" w:eastAsiaTheme="minorEastAsia" w:hAnsi="Times New Roman"/>
          <w:color w:themeColor="text1" w:val="000000"/>
          <w:sz w:val="24"/>
          <w:szCs w:val="24"/>
        </w:rPr>
      </w:pPr>
      <w:r w:rsidRPr="00FA472B">
        <w:rPr>
          <w:rFonts w:ascii="Times New Roman" w:hAnsi="Times New Roman"/>
          <w:color w:val="000000"/>
          <w:sz w:val="24"/>
          <w:szCs w:val="24"/>
        </w:rPr>
        <w:t>累计净值增长率与业绩比较基准收益率的历史走势对比图</w:t>
      </w:r>
    </w:p>
    <w:p w:rsidP="00D477DB" w:rsidR="00F016DD" w:rsidRDefault="00526282" w:rsidRPr="00FA472B">
      <w:pPr>
        <w:pStyle w:val="a5"/>
        <w:snapToGrid w:val="0"/>
        <w:spacing w:line="360" w:lineRule="auto"/>
        <w:jc w:val="center"/>
        <w:rPr>
          <w:rFonts w:ascii="Times New Roman" w:hAnsi="Times New Roman"/>
          <w:sz w:val="24"/>
          <w:szCs w:val="24"/>
        </w:rPr>
      </w:pPr>
      <w:r w:rsidRPr="00526282">
        <w:rPr>
          <w:rFonts w:ascii="Times New Roman" w:hAnsi="Times New Roman"/>
          <w:sz w:val="24"/>
          <w:szCs w:val="24"/>
        </w:rPr>
        <w:t/>
      </w:r>
      <w:proofErr w:type="spellStart"/>
      <w:proofErr w:type="gramStart"/>
      <w:r w:rsidRPr="00526282">
        <w:rPr>
          <w:rFonts w:ascii="Times New Roman" w:hAnsi="Times New Roman"/>
          <w:sz w:val="24"/>
          <w:szCs w:val="24"/>
        </w:rPr>
        <w:t/>
      </w:r>
      <w:proofErr w:type="spellEnd"/>
      <w:r w:rsidRPr="00526282">
        <w:rPr>
          <w:rFonts w:ascii="Times New Roman" w:hAnsi="Times New Roman"/>
          <w:sz w:val="24"/>
          <w:szCs w:val="24"/>
        </w:rPr>
        <w:t/>
      </w:r>
      <w:proofErr w:type="gramEnd"/>
      <w:r w:rsidRPr="00526282">
        <w:rPr>
          <w:rFonts w:ascii="Times New Roman" w:hAnsi="Times New Roman"/>
          <w:sz w:val="24"/>
          <w:szCs w:val="24"/>
        </w:rPr>
        <w:t>（2017年6月23日至2020年6月30日）</w:t>
      </w:r>
    </w:p>
    <w:p w:rsidP="00526282" w:rsidR="00526282" w:rsidRDefault="00F016DD">
      <w:pPr>
        <w:snapToGrid w:val="0"/>
        <w:spacing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spellStart"/>
      <w:r w:rsidRPr="00611CB2">
        <w:rPr>
          <w:color w:val="000000"/>
          <w:sz w:val="24"/>
        </w:rPr>
        <w:t/>
      </w:r>
      <w:proofErr w:type="spellEnd"/>
      <w:r w:rsidRPr="00611CB2">
        <w:rPr>
          <w:color w:val="000000"/>
          <w:sz w:val="24"/>
        </w:rPr>
        <w:t/>
      </w:r>
      <w:proofErr w:type="gramEnd"/>
      <w:r w:rsidRPr="00611CB2">
        <w:rPr>
          <w:color w:val="000000"/>
          <w:sz w:val="24"/>
        </w:rPr>
        <w:t>易方达瑞兴混合I</w:t>
      </w:r>
    </w:p>
    <w:p w:rsidP="00FC7F43" w:rsidR="00F016DD" w:rsidRDefault="0001612A" w:rsidRPr="0078105B">
      <w:pPr>
        <w:pStyle w:val="20"/>
        <w:spacing w:line="288" w:lineRule="auto"/>
        <w:ind w:firstLine="0" w:firstLineChars="0"/>
        <w:jc w:val="center"/>
        <w:rPr>
          <w:color w:val="000000"/>
        </w:rPr>
      </w:pPr>
      <w:r>
        <w:rPr>
          <w:noProof/>
          <w:color w:val="000000"/>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2" o:spid="_x0000_i1025" style="width:435.75pt;height:258pt;visibility:visible" type="#_x0000_t75">
            <v:imagedata o:title="" r:id="rId10"/>
          </v:shape>
        </w:pict>
      </w:r>
    </w:p>
    <w:p w:rsidP="00526282" w:rsidR="00526282" w:rsidRDefault="00F016DD">
      <w:pPr>
        <w:snapToGrid w:val="0"/>
        <w:spacing w:before="312" w:beforeLines="100"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gramEnd"/>
      <w:r w:rsidRPr="00611CB2">
        <w:rPr>
          <w:color w:val="000000"/>
          <w:sz w:val="24"/>
        </w:rPr>
        <w:t>易方达瑞兴混合E</w:t>
      </w:r>
    </w:p>
    <w:p w:rsidP="00FC7F43" w:rsidR="00F016DD" w:rsidRDefault="0001612A" w:rsidRPr="0078105B">
      <w:pPr>
        <w:pStyle w:val="20"/>
        <w:spacing w:line="288" w:lineRule="auto"/>
        <w:ind w:firstLine="0" w:firstLineChars="0"/>
        <w:jc w:val="center"/>
        <w:rPr>
          <w:color w:val="000000"/>
        </w:rPr>
      </w:pPr>
      <w:r>
        <w:rPr>
          <w:noProof/>
          <w:color w:val="000000"/>
        </w:rPr>
        <w:pict>
          <v:shape id="图片 3" o:spid="_x0000_i1026" style="width:435.75pt;height:258pt;visibility:visible" type="#_x0000_t75">
            <v:imagedata o:title="" r:id="rId11"/>
          </v:shape>
        </w:pic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注：自基金合同生效至报告期末，I类基金份额净值增长率为18.50%，E类基金份额净值增长率为17.90%，同期业绩比较基准收益率为16.42%。</w:t>
      </w:r>
    </w:p>
    <w:p w:rsidP="006C5BC9" w:rsidR="00F016DD" w:rsidRDefault="00F016DD" w:rsidRPr="00FA472B">
      <w:pPr>
        <w:tabs>
          <w:tab w:pos="1800" w:val="left"/>
        </w:tabs>
        <w:spacing w:line="288" w:lineRule="auto"/>
        <w:rPr>
          <w:color w:val="000000"/>
          <w:sz w:val="24"/>
        </w:rPr>
      </w:pP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4  </w:t>
      </w:r>
      <w:r w:rsidRPr="0078105B">
        <w:rPr>
          <w:rFonts w:ascii="宋体" w:cs="Arial" w:hAnsi="宋体" w:hint="eastAsia"/>
          <w:color w:val="000000"/>
          <w:kern w:val="0"/>
          <w:sz w:val="24"/>
          <w:szCs w:val="24"/>
        </w:rPr>
        <w:t>管理人报告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4.1 </w:t>
      </w:r>
      <w:r w:rsidRPr="0078105B">
        <w:rPr>
          <w:rFonts w:ascii="宋体" w:cs="Arial" w:hAnsi="宋体" w:hint="eastAsia"/>
          <w:b/>
          <w:color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F016DD" w:rsidRPr="0078105B" w:rsidTr="00B54884">
        <w:trPr>
          <w:cantSplit/>
        </w:trPr>
        <w:tc>
          <w:tcPr>
            <w:tcW w:type="dxa" w:w="56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58694E" w:rsidR="00F016DD" w:rsidRDefault="00F016DD" w:rsidRPr="00FA472B">
            <w:pPr>
              <w:autoSpaceDE w:val="0"/>
              <w:autoSpaceDN w:val="0"/>
              <w:adjustRightInd w:val="0"/>
              <w:spacing w:before="29" w:line="288" w:lineRule="auto"/>
              <w:ind w:left="15"/>
              <w:jc w:val="center"/>
              <w:rPr>
                <w:color w:val="000000"/>
                <w:kern w:val="0"/>
                <w:sz w:val="24"/>
              </w:rPr>
            </w:pPr>
            <w:proofErr w:type="gramStart"/>
            <w:r w:rsidRPr="00FA472B">
              <w:rPr>
                <w:color w:val="000000"/>
                <w:kern w:val="0"/>
                <w:sz w:val="24"/>
              </w:rPr>
              <w:t>任本基金</w:t>
            </w:r>
            <w:proofErr w:type="gramEnd"/>
            <w:r w:rsidRPr="00FA472B">
              <w:rPr>
                <w:color w:val="000000"/>
                <w:kern w:val="0"/>
                <w:sz w:val="24"/>
              </w:rPr>
              <w:t>的基金经理期限</w:t>
            </w:r>
          </w:p>
        </w:tc>
        <w:tc>
          <w:tcPr>
            <w:tcW w:type="dxa" w:w="851"/>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F016DD" w:rsidRPr="0078105B" w:rsidTr="00B54884">
        <w:trPr>
          <w:cantSplit/>
        </w:trPr>
        <w:tc>
          <w:tcPr>
            <w:tcW w:type="dxa" w:w="56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835"/>
            <w:vMerge/>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韩阅川</w:t>
            </w:r>
          </w:p>
        </w:tc>
        <w:tc>
          <w:tcPr>
            <w:vAlign w:val="center"/>
          </w:tcPr>
          <w:p>
            <w:pPr>
              <w:jc w:val="left"/>
            </w:pPr>
            <w:r>
              <w:rPr>
                <w:color w:val="000000"/>
                <w:sz w:val="24"/>
              </w:rPr>
              <w:t>本基金的基金经理、易方达新享灵活配置混合型证券投资基金的基金经理、易方达新利灵活配置混合型证券投资基金的基金经理、易方达瑞祥灵活配置混合型证券投资基金的基金经理、易方达瑞智灵活配置混合型证券投资基金的基金经理、易方达新鑫灵活配置混合型证券投资基金的基金经理、易方达瑞景灵活配置混合型证券投资基金的基金经理、易方达新益灵活配置混合型证券投资基金的基金经理、易方达瑞选灵活配置混合型证券投资基金的基金经理、易方达裕鑫债券型证券投资基金的基金经理、易方达瑞祺灵活配置混合型证券投资基金的基金经理、易方达鑫转招利混合型证券投资基金的基金经理、易方达鑫转添利混合型证券投资基金的基金经理、易方达瑞和灵活配置混合型证券投资基金的基金经理、易方达瑞信灵活配置混合型证券投资基金的基金经理、易方达瑞川灵活配置混合型发起式证券投资基金的基金经理、易方达丰惠混合型证券投资基金的基金经理、易方达新收益灵活配置混合型证券投资基金的基金经理助理</w:t>
            </w:r>
          </w:p>
        </w:tc>
        <w:tc>
          <w:tcPr>
            <w:vAlign w:val="center"/>
          </w:tcPr>
          <w:p>
            <w:pPr>
              <w:jc w:val="center"/>
            </w:pPr>
            <w:r>
              <w:rPr>
                <w:color w:val="000000"/>
                <w:sz w:val="24"/>
              </w:rPr>
              <w:t>2019-06-26</w:t>
            </w:r>
          </w:p>
        </w:tc>
        <w:tc>
          <w:tcPr>
            <w:vAlign w:val="center"/>
          </w:tcPr>
          <w:p>
            <w:pPr>
              <w:jc w:val="center"/>
            </w:pPr>
            <w:r>
              <w:rPr>
                <w:color w:val="000000"/>
                <w:sz w:val="24"/>
              </w:rPr>
              <w:t>-</w:t>
            </w:r>
          </w:p>
        </w:tc>
        <w:tc>
          <w:tcPr>
            <w:vAlign w:val="center"/>
          </w:tcPr>
          <w:p>
            <w:pPr>
              <w:jc w:val="center"/>
            </w:pPr>
            <w:r>
              <w:rPr>
                <w:color w:val="000000"/>
                <w:sz w:val="24"/>
              </w:rPr>
              <w:t>9年</w:t>
            </w:r>
          </w:p>
        </w:tc>
        <w:tc>
          <w:tcPr>
            <w:vAlign w:val="center"/>
          </w:tcPr>
          <w:p>
            <w:pPr>
              <w:jc w:val="both"/>
            </w:pPr>
            <w:r>
              <w:rPr>
                <w:color w:val="000000"/>
                <w:sz w:val="24"/>
              </w:rPr>
              <w:t>硕士研究生，具有基金从业资格。曾任嘉实基金管理有限公司固定收益部研究员、投资经理，易方达基金管理有限公司易方达新享灵活配置混合型证券投资基金基金经理助理、易方达新利灵活配置混合型证券投资基金基金经理助理、易方达瑞景灵活配置混合型证券投资基金基金经理助理、易方达瑞兴灵活配置混合型证券投资基金基金经理助理、易方达瑞祥灵活配置混合型证券投资基金基金经理助理、易方达瑞智灵活配置混合型证券投资基金基金经理助理、易方达新鑫灵活配置混合型证券投资基金基金经理助理、易方达瑞选灵活配置混合型证券投资基金基金经理助理、易方达新益灵活配置混合型证券投资基金基金经理助理、易方达裕鑫债券型证券投资基金基金经理助理、易方达瑞信灵活配置混合型证券投资基金基金经理助理、易方达瑞和灵活配置混合型证券投资基金基金经理助理。</w:t>
            </w:r>
          </w:p>
        </w:tc>
      </w:tr>
    </w:tbl>
    <w:p>
      <w:pPr>
        <w:spacing w:line="360" w:lineRule="auto"/>
        <w:ind w:firstLine="480" w:firstLineChars="200"/>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gramStart"/>
      <w:r w:rsidRPr="00DF18FE">
        <w:rPr>
          <w:color w:val="000000"/>
          <w:sz w:val="24"/>
        </w:rPr>
        <w:t/>
      </w:r>
      <w:proofErr w:type="gramEnd"/>
      <w:r w:rsidRPr="00DF18FE">
        <w:rPr>
          <w:color w:val="000000"/>
          <w:sz w:val="24"/>
        </w:rPr>
        <w:t>2.证券从业的含义遵从《证券业从业人员资格管理办法》的相关规定。</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4.2</w:t>
      </w:r>
      <w:r>
        <w:rPr>
          <w:rFonts w:cs="Arial" w:hint="eastAsia"/>
          <w:b/>
          <w:color w:val="000000"/>
          <w:kern w:val="0"/>
          <w:sz w:val="24"/>
        </w:rPr>
        <w:t>管理人对</w:t>
      </w:r>
      <w:r w:rsidRPr="00BB04BF">
        <w:rPr>
          <w:rFonts w:cs="Arial" w:hint="eastAsia"/>
          <w:b/>
          <w:color w:val="000000"/>
          <w:kern w:val="0"/>
          <w:sz w:val="24"/>
        </w:rPr>
        <w:t>报告期内本基金运作遵规守信情况</w:t>
      </w:r>
      <w:r>
        <w:rPr>
          <w:rFonts w:cs="Arial" w:hint="eastAsia"/>
          <w:b/>
          <w:color w:val="000000"/>
          <w:kern w:val="0"/>
          <w:sz w:val="24"/>
        </w:rPr>
        <w:t>的</w:t>
      </w:r>
      <w:r w:rsidRPr="00BB04BF">
        <w:rPr>
          <w:rFonts w:cs="Arial" w:hint="eastAsia"/>
          <w:b/>
          <w:color w:val="000000"/>
          <w:kern w:val="0"/>
          <w:sz w:val="24"/>
        </w:rPr>
        <w:t>说明</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4.3 </w:t>
      </w:r>
      <w:r w:rsidRPr="0078105B">
        <w:rPr>
          <w:rFonts w:ascii="宋体" w:cs="Arial" w:hAnsi="宋体" w:hint="eastAsia"/>
          <w:b/>
          <w:color w:val="000000"/>
          <w:kern w:val="0"/>
          <w:sz w:val="24"/>
        </w:rPr>
        <w:t>公平交易专项说明</w:t>
      </w:r>
    </w:p>
    <w:p w:rsidP="00FC13C8" w:rsidR="00F016DD" w:rsidRDefault="00F016DD" w:rsidRPr="00FA472B">
      <w:pPr>
        <w:spacing w:line="360" w:lineRule="auto"/>
        <w:rPr>
          <w:rFonts w:ascii="宋体" w:hAnsi="宋体"/>
          <w:sz w:val="24"/>
        </w:rPr>
      </w:pPr>
      <w:r w:rsidRPr="00FA472B">
        <w:rPr>
          <w:rFonts w:ascii="宋体" w:hAnsi="宋体"/>
          <w:sz w:val="24"/>
        </w:rPr>
        <w:t xml:space="preserve">4.3.1 </w:t>
      </w:r>
      <w:r w:rsidRPr="00FA472B">
        <w:rPr>
          <w:rFonts w:ascii="宋体" w:hAnsi="宋体" w:hint="eastAsia"/>
          <w:sz w:val="24"/>
        </w:rPr>
        <w:t>公平交易制度的执行情况</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FC13C8" w:rsidR="00F016DD" w:rsidRDefault="00F016DD" w:rsidRPr="00FA472B">
      <w:pPr>
        <w:spacing w:line="360" w:lineRule="auto"/>
        <w:rPr>
          <w:rFonts w:ascii="宋体" w:hAnsi="宋体"/>
          <w:sz w:val="24"/>
        </w:rPr>
      </w:pPr>
      <w:r w:rsidRPr="00FA472B">
        <w:rPr>
          <w:rFonts w:ascii="宋体" w:hAnsi="宋体"/>
          <w:sz w:val="24"/>
        </w:rPr>
        <w:lastRenderedPageBreak/>
        <w:t xml:space="preserve">4.3.2 </w:t>
      </w:r>
      <w:r w:rsidRPr="00FA472B">
        <w:rPr>
          <w:rFonts w:ascii="宋体" w:hAnsi="宋体" w:hint="eastAsia"/>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本报告期内，未发现本基金有可能导致不公平交易和利益输送的异常交易。</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4.4 </w:t>
      </w:r>
      <w:r w:rsidRPr="0078105B">
        <w:rPr>
          <w:rFonts w:ascii="宋体" w:cs="Arial" w:hAnsi="宋体" w:hint="eastAsia"/>
          <w:b/>
          <w:color w:val="000000"/>
          <w:kern w:val="0"/>
          <w:sz w:val="24"/>
        </w:rPr>
        <w:t>报告期内基金的投资策略和业绩表现说明</w:t>
      </w:r>
    </w:p>
    <w:p w:rsidP="00FC13C8" w:rsidR="00F016DD" w:rsidRDefault="00F016DD" w:rsidRPr="0078105B">
      <w:pPr>
        <w:spacing w:line="360" w:lineRule="auto"/>
        <w:rPr>
          <w:rFonts w:ascii="宋体"/>
          <w:sz w:val="24"/>
        </w:rPr>
      </w:pPr>
      <w:r w:rsidRPr="0078105B">
        <w:rPr>
          <w:rFonts w:ascii="宋体" w:hAnsi="宋体"/>
          <w:sz w:val="24"/>
        </w:rPr>
        <w:t>4.4.1</w:t>
      </w:r>
      <w:r w:rsidRPr="0078105B">
        <w:rPr>
          <w:rFonts w:ascii="宋体" w:hAnsi="宋体" w:hint="eastAsia"/>
          <w:sz w:val="24"/>
        </w:rPr>
        <w:t>报告期内基金投资策略和运作分析</w:t>
      </w:r>
    </w:p>
    <w:p>
      <w:pPr>
        <w:spacing w:line="360" w:lineRule="auto"/>
        <w:ind w:firstLine="480" w:firstLineChars="200"/>
        <w:rPr>
          <w:color w:val="000000"/>
          <w:sz w:val="24"/>
        </w:rPr>
      </w:pPr>
      <w:r>
        <w:rPr>
          <w:color w:val="000000"/>
          <w:sz w:val="24"/>
        </w:rPr>
        <w:t>债券市场方面，二季度收益率先下后上，整体波动很大。季度初，海内外疫情影响仍在持续，市场风险偏好仍处于相对低位。清明节期间央行实行定向降准、下调超额准备金利率等操作，资金面整体较为宽松，长端收益率震荡下行。但到5月上旬，货币政策进一步宽松不及预期叠加五一消费复苏经济修复延续，长端收益率开始上行。随后，社融放量强化经济修复预期，收益率进一步大幅上行，且短端上行幅度更大，曲线呈现出熊平趋势。进入6月，货币环境仍未好转，叠加首批1000亿元特别国债发行但央行无配套动作，市场情绪进一步悲观，继续推动长端收益率上行。直到半年末，央行适时开启逆回购呵护半年末流动性，市场情绪有所恢复，长端收益率趋于稳定。信用债走势与利率债类似，全季来看收益率整体大幅上行，长端信用利差整体走阔。</w:t>
      </w:r>
    </w:p>
    <w:p>
      <w:pPr>
        <w:spacing w:line="360" w:lineRule="auto"/>
        <w:ind w:firstLine="480" w:firstLineChars="200"/>
        <w:rPr>
          <w:color w:val="000000"/>
          <w:sz w:val="24"/>
        </w:rPr>
      </w:pPr>
      <w:r>
        <w:rPr>
          <w:color w:val="000000"/>
          <w:sz w:val="24"/>
        </w:rPr>
        <w:t>权益市场方面，二季度整体收涨，各类风格及指数品种均呈现较好的弹性。从一季度末开始，在海外金融风险期过后，国内及海外资本市场均有较强的表现，体现出风险偏好的快速提升。从国内市场来看，A股主要沿着业绩“确定性”的方向延伸，其中一季报超预期品种的超额收益尤为确定及显著，医药行业表现持续强势，机构配置持续维持高位。二季度初，伴随海外疫情逐渐消散，国内工业及服务业复工复产快速恢复，与稳增长相关的板块及部分恢复速度较快的可选消费板块表现强劲，其中食品饮料、水泥、半导体等表现突出。市场投资者情绪也呈现快速修复，主动管理基金申购再度回暖。进入5月，中美贸易摩擦再度有所升温，美国疫情进入二次爆发，致使TMT板块的风险偏好有小幅降温，但在海外市场持续强劲的背景下，北上资金不改前期持续流入的趋势，市场并未出现明显调整，保持着结构性行情的震荡格局。6月份以来，资本市场改革政策逐步推出，创业板注册制的快速推进、三板精选层基金的发布等，显著提升了权益市场的风险偏好，也催生二季度后期科技板块的强劲反弹。</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组合在二季度均以自下而上策略为主，精选高分红、低估值、较高ROE的优质个股并长期持有。债券方面，组合继续维持较高的杠杆和中性的久期水平，整体仍按照票息策略的偏绝对收益操作思路为主。此外，组合仍积极参与科创版打新。</w:t>
      </w:r>
    </w:p>
    <w:p w:rsidP="00FC13C8" w:rsidR="00F016DD" w:rsidRDefault="00F016DD" w:rsidRPr="0078105B">
      <w:pPr>
        <w:spacing w:line="360" w:lineRule="auto"/>
        <w:rPr>
          <w:rFonts w:ascii="宋体"/>
          <w:sz w:val="24"/>
        </w:rPr>
      </w:pPr>
      <w:r w:rsidRPr="0078105B">
        <w:rPr>
          <w:rFonts w:ascii="宋体" w:hAnsi="宋体"/>
          <w:sz w:val="24"/>
        </w:rPr>
        <w:t>4.4.2</w:t>
      </w:r>
      <w:r w:rsidRPr="0078105B">
        <w:rPr>
          <w:rFonts w:ascii="宋体" w:hAnsi="宋体" w:hint="eastAsia"/>
          <w:sz w:val="24"/>
        </w:rPr>
        <w:t>报告期内基金的业绩表现</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截至报告期末，本基金I类基金份额净值为1.185元，本报告期份额净值增长率为2.07%，同期业绩比较基准收益率为3.07%；E类基金份额净值为1.179元，本报告期份额净值增长率为1.99%，同期业绩比较基准收益率为3.07%。</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5  </w:t>
      </w:r>
      <w:r w:rsidRPr="0078105B">
        <w:rPr>
          <w:rFonts w:ascii="宋体" w:cs="Arial" w:hAnsi="宋体" w:hint="eastAsia"/>
          <w:color w:val="000000"/>
          <w:kern w:val="0"/>
          <w:sz w:val="24"/>
          <w:szCs w:val="24"/>
        </w:rPr>
        <w:t>投资组合报告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5.1 </w:t>
      </w:r>
      <w:r w:rsidRPr="0078105B">
        <w:rPr>
          <w:rFonts w:ascii="宋体" w:cs="Arial" w:hAnsi="宋体" w:hint="eastAsia"/>
          <w:b/>
          <w:color w:val="000000"/>
          <w:kern w:val="0"/>
          <w:sz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335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项目</w:t>
            </w:r>
          </w:p>
        </w:tc>
        <w:tc>
          <w:tcPr>
            <w:tcW w:type="dxa" w:w="297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金额</w:t>
            </w:r>
            <w:r w:rsidRPr="00FA472B">
              <w:rPr>
                <w:color w:val="000000"/>
                <w:sz w:val="24"/>
              </w:rPr>
              <w:t>(</w:t>
            </w:r>
            <w:r w:rsidRPr="00FA472B">
              <w:rPr>
                <w:color w:val="000000"/>
                <w:sz w:val="24"/>
              </w:rPr>
              <w:t>元</w:t>
            </w:r>
            <w:r w:rsidRPr="00FA472B">
              <w:rPr>
                <w:color w:val="000000"/>
                <w:sz w:val="24"/>
              </w:rPr>
              <w:t>)</w:t>
            </w:r>
          </w:p>
        </w:tc>
        <w:tc>
          <w:tcPr>
            <w:tcW w:type="dxa" w:w="1843"/>
            <w:vAlign w:val="center"/>
          </w:tcPr>
          <w:p w:rsidP="00F4518C" w:rsidR="00F016DD" w:rsidRDefault="00F016DD" w:rsidRPr="00FA472B">
            <w:pPr>
              <w:spacing w:before="29" w:line="360" w:lineRule="auto"/>
              <w:ind w:left="17"/>
              <w:jc w:val="center"/>
              <w:rPr>
                <w:color w:val="000000"/>
                <w:sz w:val="24"/>
              </w:rPr>
            </w:pPr>
            <w:r w:rsidRPr="00FA472B">
              <w:rPr>
                <w:color w:val="000000"/>
                <w:sz w:val="24"/>
              </w:rPr>
              <w:t>占基金总资产的比例</w:t>
            </w: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1</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权益投资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133,326,286.72</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14.34</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其中：股票</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133,326,286.72</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14.34</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2</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固定收益投资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776,284,128.32</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83.49</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其中：债券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746,216,128.32</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80.26</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autoSpaceDE w:val="0"/>
              <w:autoSpaceDN w:val="0"/>
              <w:adjustRightInd w:val="0"/>
              <w:spacing w:before="29" w:line="360" w:lineRule="auto"/>
              <w:ind w:left="17"/>
              <w:jc w:val="left"/>
              <w:rPr>
                <w:color w:val="000000"/>
                <w:sz w:val="24"/>
              </w:rPr>
            </w:pPr>
            <w:r w:rsidRPr="00FA472B">
              <w:rPr>
                <w:color w:val="000000"/>
                <w:sz w:val="24"/>
              </w:rPr>
              <w:t>资产支持证券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30,068,000.00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3.23</w:t>
            </w:r>
          </w:p>
        </w:tc>
      </w:tr>
      <w:tr w:rsidR="00F016DD" w:rsidRPr="00264E55" w:rsidTr="00F4518C">
        <w:trPr>
          <w:jc w:val="center"/>
        </w:trPr>
        <w:tc>
          <w:tcPr>
            <w:tcW w:type="dxa" w:w="720"/>
          </w:tcPr>
          <w:p w:rsidP="00F4518C" w:rsidR="00F016DD" w:rsidRDefault="00F016DD" w:rsidRPr="00FA472B">
            <w:pPr>
              <w:spacing w:before="29" w:line="360" w:lineRule="auto"/>
              <w:ind w:left="17"/>
              <w:jc w:val="center"/>
              <w:rPr>
                <w:color w:val="000000"/>
                <w:sz w:val="24"/>
              </w:rPr>
            </w:pPr>
            <w:r w:rsidRPr="00FA472B">
              <w:rPr>
                <w:color w:val="000000"/>
                <w:sz w:val="24"/>
              </w:rPr>
              <w:t>3</w:t>
            </w:r>
          </w:p>
        </w:tc>
        <w:tc>
          <w:tcPr>
            <w:tcW w:type="dxa" w:w="3357"/>
          </w:tcPr>
          <w:p w:rsidP="00174038" w:rsidR="00F016DD" w:rsidRDefault="00F016DD" w:rsidRPr="00FA472B">
            <w:pPr>
              <w:spacing w:before="29" w:line="360" w:lineRule="auto"/>
              <w:ind w:left="105" w:leftChars="50"/>
              <w:rPr>
                <w:color w:val="000000"/>
                <w:sz w:val="24"/>
              </w:rPr>
            </w:pPr>
            <w:r w:rsidRPr="00FA472B">
              <w:rPr>
                <w:color w:val="000000"/>
                <w:sz w:val="24"/>
              </w:rPr>
              <w:t>贵金属投资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4</w:t>
            </w:r>
          </w:p>
        </w:tc>
        <w:tc>
          <w:tcPr>
            <w:tcW w:type="dxa" w:w="3357"/>
            <w:vAlign w:val="center"/>
          </w:tcPr>
          <w:p w:rsidP="00F4518C" w:rsidR="00F016DD" w:rsidRDefault="00F016DD" w:rsidRPr="00FA472B">
            <w:pPr>
              <w:spacing w:before="29" w:line="360" w:lineRule="auto"/>
              <w:ind w:left="17"/>
              <w:jc w:val="left"/>
              <w:rPr>
                <w:color w:val="000000"/>
                <w:sz w:val="24"/>
              </w:rPr>
            </w:pPr>
            <w:r w:rsidRPr="00FA472B">
              <w:rPr>
                <w:color w:val="000000"/>
                <w:sz w:val="24"/>
              </w:rPr>
              <w:t>金融衍生</w:t>
            </w:r>
            <w:proofErr w:type="gramStart"/>
            <w:r w:rsidRPr="00FA472B">
              <w:rPr>
                <w:color w:val="000000"/>
                <w:sz w:val="24"/>
              </w:rPr>
              <w:t>品投资</w:t>
            </w:r>
            <w:proofErr w:type="gramEnd"/>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5</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其中：买断式回购的买入返售金融资产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6</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银行存款和结算备付金合计</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9,870,248.19</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1.06</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7</w:t>
            </w:r>
          </w:p>
        </w:tc>
        <w:tc>
          <w:tcPr>
            <w:tcW w:type="dxa" w:w="3357"/>
            <w:vAlign w:val="center"/>
          </w:tcPr>
          <w:p w:rsidP="00F4518C" w:rsidR="00F016DD" w:rsidRDefault="00F016DD" w:rsidRPr="00FA472B">
            <w:pPr>
              <w:jc w:val="left"/>
              <w:rPr>
                <w:sz w:val="24"/>
              </w:rPr>
            </w:pPr>
            <w:r w:rsidRPr="00FA472B">
              <w:rPr>
                <w:color w:val="000000"/>
                <w:sz w:val="24"/>
              </w:rPr>
              <w:t>其他资产</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10,293,776.55</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1.11</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8</w:t>
            </w:r>
          </w:p>
        </w:tc>
        <w:tc>
          <w:tcPr>
            <w:tcW w:type="dxa" w:w="3357"/>
            <w:vAlign w:val="center"/>
          </w:tcPr>
          <w:p w:rsidP="00F4518C" w:rsidR="00F016DD" w:rsidRDefault="00F016DD" w:rsidRPr="00FA472B">
            <w:pPr>
              <w:jc w:val="left"/>
              <w:rPr>
                <w:sz w:val="24"/>
              </w:rPr>
            </w:pPr>
            <w:r w:rsidRPr="00FA472B">
              <w:rPr>
                <w:color w:val="000000"/>
                <w:sz w:val="24"/>
              </w:rPr>
              <w:t>合计</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929,774,439.78</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100.00</w:t>
            </w:r>
          </w:p>
        </w:tc>
      </w:tr>
    </w:tbl>
    <w:p w:rsidP="00B54884" w:rsidR="00874AA3" w:rsidRDefault="00874AA3" w:rsidRPr="00C70969">
      <w:pPr>
        <w:autoSpaceDE w:val="0"/>
        <w:autoSpaceDN w:val="0"/>
        <w:adjustRightInd w:val="0"/>
        <w:spacing w:before="312" w:beforeLines="100" w:line="360" w:lineRule="auto"/>
        <w:jc w:val="left"/>
        <w:rPr>
          <w:rFonts w:eastAsiaTheme="minorEastAsia"/>
          <w:b/>
          <w:color w:themeColor="text1" w:val="000000"/>
          <w:kern w:val="0"/>
          <w:sz w:val="24"/>
        </w:rPr>
      </w:pPr>
      <w:r w:rsidRPr="00C70969">
        <w:rPr>
          <w:rFonts w:eastAsiaTheme="minorEastAsia"/>
          <w:b/>
          <w:color w:themeColor="text1" w:val="000000"/>
          <w:kern w:val="0"/>
          <w:sz w:val="24"/>
        </w:rPr>
        <w:t xml:space="preserve">5.2 </w:t>
      </w:r>
      <w:r w:rsidRPr="00C70969">
        <w:rPr>
          <w:rFonts w:eastAsiaTheme="minorEastAsia"/>
          <w:b/>
          <w:color w:themeColor="text1" w:val="000000"/>
          <w:kern w:val="0"/>
          <w:sz w:val="24"/>
        </w:rPr>
        <w:t>报告期末按行业分类的股票投资组合</w:t>
      </w:r>
    </w:p>
    <w:p w:rsidP="00874AA3" w:rsidR="00874AA3" w:rsidRDefault="00874AA3" w:rsidRPr="00C70969">
      <w:pPr>
        <w:rPr>
          <w:b/>
          <w:sz w:val="24"/>
        </w:rPr>
      </w:pPr>
      <w:r w:rsidRPr="00C70969">
        <w:rPr>
          <w:b/>
          <w:sz w:val="24"/>
        </w:rPr>
        <w:t xml:space="preserve"> </w:t>
      </w:r>
      <w:r w:rsidRPr="00C70969">
        <w:rPr>
          <w:b/>
          <w:color w:themeColor="text1" w:val="000000"/>
          <w:sz w:val="24"/>
        </w:rPr>
        <w:t/>
      </w:r>
      <w:proofErr w:type="spellStart"/>
      <w:r w:rsidRPr="00C70969">
        <w:rPr>
          <w:b/>
          <w:color w:themeColor="text1" w:val="000000"/>
          <w:sz w:val="24"/>
        </w:rPr>
        <w:t/>
      </w:r>
      <w:proofErr w:type="spellEnd"/>
      <w:r w:rsidRPr="00C70969">
        <w:rPr>
          <w:b/>
          <w:color w:themeColor="text1" w:val="000000"/>
          <w:sz w:val="24"/>
        </w:rPr>
        <w:t/>
      </w:r>
      <w:r w:rsidRPr="00C70969">
        <w:rPr>
          <w:rFonts w:eastAsiaTheme="minorEastAsia"/>
          <w:b/>
          <w:color w:themeColor="text1" w:val="000000"/>
          <w:kern w:val="0"/>
          <w:sz w:val="24"/>
        </w:rPr>
        <w:t>5.2.1</w:t>
      </w:r>
      <w:r w:rsidRPr="00C70969">
        <w:rPr>
          <w:rFonts w:eastAsiaTheme="minorEastAsia"/>
          <w:b/>
          <w:color w:themeColor="text1" w:val="000000"/>
          <w:kern w:val="0"/>
          <w:sz w:val="24"/>
        </w:rPr>
        <w:t>报告期末按行业分类的境内股票投资组合</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540"/>
        <w:gridCol w:w="3691"/>
        <w:gridCol w:w="2852"/>
        <w:gridCol w:w="1648"/>
      </w:tblGrid>
      <w:tr w:rsidR="00874AA3" w:rsidRPr="00C70969" w:rsidTr="0001612A">
        <w:trPr>
          <w:trHeight w:val="390"/>
        </w:trPr>
        <w:tc>
          <w:tcPr>
            <w:tcW w:type="dxa" w:w="540"/>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代码</w:t>
            </w: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行业类别</w:t>
            </w:r>
          </w:p>
        </w:tc>
        <w:tc>
          <w:tcPr>
            <w:tcW w:type="dxa" w:w="2852"/>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公允价值（元）</w:t>
            </w:r>
          </w:p>
        </w:tc>
        <w:tc>
          <w:tcPr>
            <w:tcW w:type="dxa" w:w="1648"/>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占基金资产净值比例（％）</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A</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农、林、牧、渔业</w:t>
            </w:r>
          </w:p>
        </w:tc>
        <w:tc>
          <w:tcPr>
            <w:tcW w:type="dxa" w:w="2852"/>
            <w:vAlign w:val="center"/>
          </w:tcPr>
          <w:p w:rsidP="0071134C" w:rsidR="00874AA3" w:rsidRDefault="00874AA3" w:rsidRPr="00C70969">
            <w:pPr>
              <w:autoSpaceDE w:val="0"/>
              <w:autoSpaceDN w:val="0"/>
              <w:adjustRightInd w:val="0"/>
              <w:spacing w:before="29" w:line="360" w:lineRule="auto"/>
              <w:ind w:left="15"/>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autoSpaceDE w:val="0"/>
              <w:autoSpaceDN w:val="0"/>
              <w:adjustRightInd w:val="0"/>
              <w:spacing w:before="29" w:line="360" w:lineRule="auto"/>
              <w:ind w:left="15"/>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B</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采矿业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8,200,756.04</w:t>
            </w:r>
          </w:p>
          <w:p w:rsidP="0071134C" w:rsidR="00874AA3" w:rsidRDefault="00874AA3" w:rsidRPr="00C70969">
            <w:pPr>
              <w:jc w:val="right"/>
              <w:rPr>
                <w:rFonts w:eastAsiaTheme="minorEastAsia"/>
                <w:color w:themeColor="text1" w:val="000000"/>
                <w:sz w:val="24"/>
              </w:rPr>
            </w:pP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1.10</w:t>
            </w:r>
          </w:p>
          <w:p w:rsidP="0071134C" w:rsidR="00874AA3" w:rsidRDefault="00874AA3" w:rsidRPr="00C70969">
            <w:pPr>
              <w:jc w:val="right"/>
              <w:rPr>
                <w:rFonts w:eastAsiaTheme="minorEastAsia"/>
                <w:color w:themeColor="text1" w:val="000000"/>
                <w:sz w:val="24"/>
              </w:rPr>
            </w:pP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C</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制造业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68,826,209.39</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9.20</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D</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电力、热力、燃气及水生产和供应业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6,284,372.92</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0.84</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E</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建筑业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2,869,242.68</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0.38</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F</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批发和零售业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G</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交通运输、仓储和邮政业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18,317,258.92</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r w:rsidRPr="00C70969">
              <w:rPr>
                <w:rFonts w:eastAsiaTheme="minorEastAsia"/>
                <w:color w:themeColor="text1" w:val="000000"/>
                <w:sz w:val="24"/>
              </w:rPr>
              <w:lastRenderedPageBreak/>
              <w:t>2.45</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lastRenderedPageBreak/>
              <w:t>H</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住宿和餐饮业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I</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信息传输、软件和信息技术服务业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190,731.77</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0.03</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J</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金融业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13,973,975.00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1.87</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K</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房地产业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14,663,740.00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1.96</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L</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租赁和商务服务业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M</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科学研究和技术服务业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N</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水利、环境和公共设施管理业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O</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居民服务、修理和其他服务业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P</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教育</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r w:rsidRPr="00C70969">
              <w:rPr>
                <w:rFonts w:eastAsiaTheme="minorEastAsia"/>
                <w:color w:themeColor="text1" w:val="000000"/>
                <w:sz w:val="24"/>
              </w:rPr>
              <w:lastRenderedPageBreak/>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lastRenderedPageBreak/>
              <w:t>Q</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卫生和社会工作</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R</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文化、体育和娱乐业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S</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综合</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合计</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133,326,286.72</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17.83</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5.3 </w:t>
      </w:r>
      <w:r w:rsidRPr="0078105B">
        <w:rPr>
          <w:rFonts w:ascii="宋体" w:cs="Arial" w:hAnsi="宋体" w:hint="eastAsia"/>
          <w:b/>
          <w:color w:val="000000"/>
          <w:kern w:val="0"/>
          <w:sz w:val="24"/>
        </w:rPr>
        <w:t>报告期末按公允价值占基金资产净值比例大小排序的前十名股票投资明细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17"/>
        <w:gridCol w:w="1276"/>
        <w:gridCol w:w="1417"/>
        <w:gridCol w:w="1560"/>
        <w:gridCol w:w="2268"/>
        <w:gridCol w:w="1559"/>
      </w:tblGrid>
      <w:tr w:rsidR="00F016DD" w:rsidRPr="0078105B" w:rsidTr="00174038">
        <w:tc>
          <w:tcPr>
            <w:tcW w:type="dxa" w:w="817"/>
            <w:vAlign w:val="center"/>
          </w:tcPr>
          <w:p w:rsidP="000871DB"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1276"/>
            <w:vAlign w:val="center"/>
          </w:tcPr>
          <w:p w:rsidP="000871DB" w:rsidR="00F016DD" w:rsidRDefault="00F016DD" w:rsidRPr="00FA472B">
            <w:pPr>
              <w:spacing w:before="29" w:line="360" w:lineRule="auto"/>
              <w:ind w:left="17"/>
              <w:jc w:val="center"/>
              <w:rPr>
                <w:color w:val="000000"/>
                <w:sz w:val="24"/>
              </w:rPr>
            </w:pPr>
            <w:r w:rsidRPr="00FA472B">
              <w:rPr>
                <w:color w:val="000000"/>
                <w:sz w:val="24"/>
              </w:rPr>
              <w:t>股票代码</w:t>
            </w:r>
          </w:p>
        </w:tc>
        <w:tc>
          <w:tcPr>
            <w:tcW w:type="dxa" w:w="1417"/>
            <w:vAlign w:val="center"/>
          </w:tcPr>
          <w:p w:rsidP="000871DB" w:rsidR="00F016DD" w:rsidRDefault="00F016DD" w:rsidRPr="00FA472B">
            <w:pPr>
              <w:spacing w:before="29" w:line="360" w:lineRule="auto"/>
              <w:ind w:left="17"/>
              <w:jc w:val="center"/>
              <w:rPr>
                <w:color w:val="000000"/>
                <w:sz w:val="24"/>
              </w:rPr>
            </w:pPr>
            <w:r w:rsidRPr="00FA472B">
              <w:rPr>
                <w:color w:val="000000"/>
                <w:sz w:val="24"/>
              </w:rPr>
              <w:t>股票名称</w:t>
            </w:r>
          </w:p>
        </w:tc>
        <w:tc>
          <w:tcPr>
            <w:tcW w:type="dxa" w:w="1560"/>
            <w:vAlign w:val="center"/>
          </w:tcPr>
          <w:p w:rsidP="000871DB" w:rsidR="00F016DD" w:rsidRDefault="00F016DD" w:rsidRPr="00FA472B">
            <w:pPr>
              <w:spacing w:before="29" w:line="360" w:lineRule="auto"/>
              <w:ind w:left="17"/>
              <w:jc w:val="center"/>
              <w:rPr>
                <w:color w:val="000000"/>
                <w:sz w:val="24"/>
              </w:rPr>
            </w:pPr>
            <w:r w:rsidRPr="00FA472B">
              <w:rPr>
                <w:color w:val="000000"/>
                <w:sz w:val="24"/>
              </w:rPr>
              <w:t>数量</w:t>
            </w:r>
            <w:r w:rsidRPr="00FA472B">
              <w:rPr>
                <w:color w:val="000000"/>
                <w:sz w:val="24"/>
              </w:rPr>
              <w:t>(</w:t>
            </w:r>
            <w:r w:rsidRPr="00FA472B">
              <w:rPr>
                <w:color w:val="000000"/>
                <w:sz w:val="24"/>
              </w:rPr>
              <w:t>股</w:t>
            </w:r>
            <w:r w:rsidRPr="00FA472B">
              <w:rPr>
                <w:color w:val="000000"/>
                <w:sz w:val="24"/>
              </w:rPr>
              <w:t>)</w:t>
            </w:r>
          </w:p>
        </w:tc>
        <w:tc>
          <w:tcPr>
            <w:tcW w:type="dxa" w:w="2268"/>
            <w:vAlign w:val="center"/>
          </w:tcPr>
          <w:p w:rsidP="000871DB" w:rsidR="00F016DD" w:rsidRDefault="00F016DD" w:rsidRPr="00FA472B">
            <w:pPr>
              <w:autoSpaceDE w:val="0"/>
              <w:autoSpaceDN w:val="0"/>
              <w:adjustRightInd w:val="0"/>
              <w:spacing w:before="29" w:line="360" w:lineRule="auto"/>
              <w:ind w:left="17"/>
              <w:jc w:val="center"/>
              <w:rPr>
                <w:color w:val="000000"/>
                <w:sz w:val="24"/>
              </w:rPr>
            </w:pPr>
            <w:r w:rsidRPr="00FA472B">
              <w:rPr>
                <w:color w:val="000000"/>
                <w:sz w:val="24"/>
              </w:rPr>
              <w:t>公允价值</w:t>
            </w:r>
            <w:r w:rsidRPr="00FA472B">
              <w:rPr>
                <w:color w:val="000000"/>
                <w:sz w:val="24"/>
              </w:rPr>
              <w:t>(</w:t>
            </w:r>
            <w:r w:rsidRPr="00FA472B">
              <w:rPr>
                <w:color w:val="000000"/>
                <w:sz w:val="24"/>
              </w:rPr>
              <w:t>元</w:t>
            </w:r>
            <w:r w:rsidRPr="00FA472B">
              <w:rPr>
                <w:color w:val="000000"/>
                <w:sz w:val="24"/>
              </w:rPr>
              <w:t>)</w:t>
            </w:r>
          </w:p>
        </w:tc>
        <w:tc>
          <w:tcPr>
            <w:tcW w:type="dxa" w:w="1559"/>
            <w:vAlign w:val="center"/>
          </w:tcPr>
          <w:p w:rsidP="000871DB" w:rsidR="00F016DD" w:rsidRDefault="00F016DD" w:rsidRPr="00FA472B">
            <w:pPr>
              <w:spacing w:before="29" w:line="360" w:lineRule="auto"/>
              <w:ind w:left="17"/>
              <w:jc w:val="center"/>
              <w:rPr>
                <w:color w:val="000000"/>
                <w:sz w:val="24"/>
              </w:rPr>
            </w:pPr>
            <w:r w:rsidRPr="00FA472B">
              <w:rPr>
                <w:color w:val="000000"/>
                <w:sz w:val="24"/>
              </w:rPr>
              <w:t>占基金资产净值比例</w:t>
            </w:r>
            <w:r w:rsidRPr="00FA472B">
              <w:rPr>
                <w:color w:val="000000"/>
                <w:sz w:val="24"/>
              </w:rPr>
              <w:t>(</w:t>
            </w:r>
            <w:r w:rsidRPr="00FA472B">
              <w:rPr>
                <w:color w:val="000000"/>
                <w:sz w:val="24"/>
              </w:rPr>
              <w:t>％</w:t>
            </w:r>
            <w:r w:rsidRPr="00FA472B">
              <w:rPr>
                <w:color w:val="000000"/>
                <w:sz w:val="24"/>
              </w:rPr>
              <w:t>)</w:t>
            </w:r>
          </w:p>
        </w:tc>
      </w:tr>
      <w:tr>
        <w:tc>
          <w:tcPr>
            <w:vAlign w:val="center"/>
          </w:tcPr>
          <w:p>
            <w:pPr>
              <w:jc w:val="center"/>
            </w:pPr>
            <w:r>
              <w:rPr>
                <w:color w:val="000000"/>
                <w:sz w:val="24"/>
              </w:rPr>
              <w:t>1</w:t>
            </w:r>
          </w:p>
        </w:tc>
        <w:tc>
          <w:tcPr>
            <w:vAlign w:val="center"/>
          </w:tcPr>
          <w:p>
            <w:pPr>
              <w:jc w:val="center"/>
            </w:pPr>
            <w:r>
              <w:rPr>
                <w:color w:val="000000"/>
                <w:sz w:val="24"/>
              </w:rPr>
              <w:t>601816</w:t>
            </w:r>
          </w:p>
        </w:tc>
        <w:tc>
          <w:tcPr>
            <w:vAlign w:val="center"/>
          </w:tcPr>
          <w:p>
            <w:pPr>
              <w:jc w:val="center"/>
            </w:pPr>
            <w:r>
              <w:rPr>
                <w:color w:val="000000"/>
                <w:sz w:val="24"/>
              </w:rPr>
              <w:t>京沪高铁</w:t>
            </w:r>
          </w:p>
        </w:tc>
        <w:tc>
          <w:tcPr>
            <w:vAlign w:val="center"/>
          </w:tcPr>
          <w:p>
            <w:pPr>
              <w:jc w:val="right"/>
            </w:pPr>
            <w:r>
              <w:rPr>
                <w:color w:val="000000"/>
                <w:sz w:val="24"/>
              </w:rPr>
              <w:t>906,536</w:t>
            </w:r>
          </w:p>
        </w:tc>
        <w:tc>
          <w:tcPr>
            <w:vAlign w:val="center"/>
          </w:tcPr>
          <w:p>
            <w:pPr>
              <w:jc w:val="right"/>
            </w:pPr>
            <w:r>
              <w:rPr>
                <w:color w:val="000000"/>
                <w:sz w:val="24"/>
              </w:rPr>
              <w:t>5,593,327.12</w:t>
            </w:r>
          </w:p>
        </w:tc>
        <w:tc>
          <w:tcPr>
            <w:vAlign w:val="center"/>
          </w:tcPr>
          <w:p>
            <w:pPr>
              <w:jc w:val="right"/>
            </w:pPr>
            <w:r>
              <w:rPr>
                <w:color w:val="000000"/>
                <w:sz w:val="24"/>
              </w:rPr>
              <w:t>0.75</w:t>
            </w:r>
          </w:p>
        </w:tc>
      </w:tr>
      <w:tr>
        <w:tc>
          <w:tcPr>
            <w:vAlign w:val="center"/>
          </w:tcPr>
          <w:p>
            <w:pPr>
              <w:jc w:val="center"/>
            </w:pPr>
            <w:r>
              <w:rPr>
                <w:color w:val="000000"/>
                <w:sz w:val="24"/>
              </w:rPr>
              <w:t>2</w:t>
            </w:r>
          </w:p>
        </w:tc>
        <w:tc>
          <w:tcPr>
            <w:vAlign w:val="center"/>
          </w:tcPr>
          <w:p>
            <w:pPr>
              <w:jc w:val="center"/>
            </w:pPr>
            <w:r>
              <w:rPr>
                <w:color w:val="000000"/>
                <w:sz w:val="24"/>
              </w:rPr>
              <w:t>600585</w:t>
            </w:r>
          </w:p>
        </w:tc>
        <w:tc>
          <w:tcPr>
            <w:vAlign w:val="center"/>
          </w:tcPr>
          <w:p>
            <w:pPr>
              <w:jc w:val="center"/>
            </w:pPr>
            <w:r>
              <w:rPr>
                <w:color w:val="000000"/>
                <w:sz w:val="24"/>
              </w:rPr>
              <w:t>海螺水泥</w:t>
            </w:r>
          </w:p>
        </w:tc>
        <w:tc>
          <w:tcPr>
            <w:vAlign w:val="center"/>
          </w:tcPr>
          <w:p>
            <w:pPr>
              <w:jc w:val="right"/>
            </w:pPr>
            <w:r>
              <w:rPr>
                <w:color w:val="000000"/>
                <w:sz w:val="24"/>
              </w:rPr>
              <w:t>81,200</w:t>
            </w:r>
          </w:p>
        </w:tc>
        <w:tc>
          <w:tcPr>
            <w:vAlign w:val="center"/>
          </w:tcPr>
          <w:p>
            <w:pPr>
              <w:jc w:val="right"/>
            </w:pPr>
            <w:r>
              <w:rPr>
                <w:color w:val="000000"/>
                <w:sz w:val="24"/>
              </w:rPr>
              <w:t>4,296,292.00</w:t>
            </w:r>
          </w:p>
        </w:tc>
        <w:tc>
          <w:tcPr>
            <w:vAlign w:val="center"/>
          </w:tcPr>
          <w:p>
            <w:pPr>
              <w:jc w:val="right"/>
            </w:pPr>
            <w:r>
              <w:rPr>
                <w:color w:val="000000"/>
                <w:sz w:val="24"/>
              </w:rPr>
              <w:t>0.57</w:t>
            </w:r>
          </w:p>
        </w:tc>
      </w:tr>
      <w:tr>
        <w:tc>
          <w:tcPr>
            <w:vAlign w:val="center"/>
          </w:tcPr>
          <w:p>
            <w:pPr>
              <w:jc w:val="center"/>
            </w:pPr>
            <w:r>
              <w:rPr>
                <w:color w:val="000000"/>
                <w:sz w:val="24"/>
              </w:rPr>
              <w:t>3</w:t>
            </w:r>
          </w:p>
        </w:tc>
        <w:tc>
          <w:tcPr>
            <w:vAlign w:val="center"/>
          </w:tcPr>
          <w:p>
            <w:pPr>
              <w:jc w:val="center"/>
            </w:pPr>
            <w:r>
              <w:rPr>
                <w:color w:val="000000"/>
                <w:sz w:val="24"/>
              </w:rPr>
              <w:t>600900</w:t>
            </w:r>
          </w:p>
        </w:tc>
        <w:tc>
          <w:tcPr>
            <w:vAlign w:val="center"/>
          </w:tcPr>
          <w:p>
            <w:pPr>
              <w:jc w:val="center"/>
            </w:pPr>
            <w:r>
              <w:rPr>
                <w:color w:val="000000"/>
                <w:sz w:val="24"/>
              </w:rPr>
              <w:t>长江电力</w:t>
            </w:r>
          </w:p>
        </w:tc>
        <w:tc>
          <w:tcPr>
            <w:vAlign w:val="center"/>
          </w:tcPr>
          <w:p>
            <w:pPr>
              <w:jc w:val="right"/>
            </w:pPr>
            <w:r>
              <w:rPr>
                <w:color w:val="000000"/>
                <w:sz w:val="24"/>
              </w:rPr>
              <w:t>188,150</w:t>
            </w:r>
          </w:p>
        </w:tc>
        <w:tc>
          <w:tcPr>
            <w:vAlign w:val="center"/>
          </w:tcPr>
          <w:p>
            <w:pPr>
              <w:jc w:val="right"/>
            </w:pPr>
            <w:r>
              <w:rPr>
                <w:color w:val="000000"/>
                <w:sz w:val="24"/>
              </w:rPr>
              <w:t>3,563,561.00</w:t>
            </w:r>
          </w:p>
        </w:tc>
        <w:tc>
          <w:tcPr>
            <w:vAlign w:val="center"/>
          </w:tcPr>
          <w:p>
            <w:pPr>
              <w:jc w:val="right"/>
            </w:pPr>
            <w:r>
              <w:rPr>
                <w:color w:val="000000"/>
                <w:sz w:val="24"/>
              </w:rPr>
              <w:t>0.48</w:t>
            </w:r>
          </w:p>
        </w:tc>
      </w:tr>
      <w:tr>
        <w:tc>
          <w:tcPr>
            <w:vAlign w:val="center"/>
          </w:tcPr>
          <w:p>
            <w:pPr>
              <w:jc w:val="center"/>
            </w:pPr>
            <w:r>
              <w:rPr>
                <w:color w:val="000000"/>
                <w:sz w:val="24"/>
              </w:rPr>
              <w:t>4</w:t>
            </w:r>
          </w:p>
        </w:tc>
        <w:tc>
          <w:tcPr>
            <w:vAlign w:val="center"/>
          </w:tcPr>
          <w:p>
            <w:pPr>
              <w:jc w:val="center"/>
            </w:pPr>
            <w:r>
              <w:rPr>
                <w:color w:val="000000"/>
                <w:sz w:val="24"/>
              </w:rPr>
              <w:t>002242</w:t>
            </w:r>
          </w:p>
        </w:tc>
        <w:tc>
          <w:tcPr>
            <w:vAlign w:val="center"/>
          </w:tcPr>
          <w:p>
            <w:pPr>
              <w:jc w:val="center"/>
            </w:pPr>
            <w:r>
              <w:rPr>
                <w:color w:val="000000"/>
                <w:sz w:val="24"/>
              </w:rPr>
              <w:t>九阳股份</w:t>
            </w:r>
          </w:p>
        </w:tc>
        <w:tc>
          <w:tcPr>
            <w:vAlign w:val="center"/>
          </w:tcPr>
          <w:p>
            <w:pPr>
              <w:jc w:val="right"/>
            </w:pPr>
            <w:r>
              <w:rPr>
                <w:color w:val="000000"/>
                <w:sz w:val="24"/>
              </w:rPr>
              <w:t>93,800</w:t>
            </w:r>
          </w:p>
        </w:tc>
        <w:tc>
          <w:tcPr>
            <w:vAlign w:val="center"/>
          </w:tcPr>
          <w:p>
            <w:pPr>
              <w:jc w:val="right"/>
            </w:pPr>
            <w:r>
              <w:rPr>
                <w:color w:val="000000"/>
                <w:sz w:val="24"/>
              </w:rPr>
              <w:t>3,495,926.00</w:t>
            </w:r>
          </w:p>
        </w:tc>
        <w:tc>
          <w:tcPr>
            <w:vAlign w:val="center"/>
          </w:tcPr>
          <w:p>
            <w:pPr>
              <w:jc w:val="right"/>
            </w:pPr>
            <w:r>
              <w:rPr>
                <w:color w:val="000000"/>
                <w:sz w:val="24"/>
              </w:rPr>
              <w:t>0.47</w:t>
            </w:r>
          </w:p>
        </w:tc>
      </w:tr>
      <w:tr>
        <w:tc>
          <w:tcPr>
            <w:vAlign w:val="center"/>
          </w:tcPr>
          <w:p>
            <w:pPr>
              <w:jc w:val="center"/>
            </w:pPr>
            <w:r>
              <w:rPr>
                <w:color w:val="000000"/>
                <w:sz w:val="24"/>
              </w:rPr>
              <w:t>5</w:t>
            </w:r>
          </w:p>
        </w:tc>
        <w:tc>
          <w:tcPr>
            <w:vAlign w:val="center"/>
          </w:tcPr>
          <w:p>
            <w:pPr>
              <w:jc w:val="center"/>
            </w:pPr>
            <w:r>
              <w:rPr>
                <w:color w:val="000000"/>
                <w:sz w:val="24"/>
              </w:rPr>
              <w:t>600048</w:t>
            </w:r>
          </w:p>
        </w:tc>
        <w:tc>
          <w:tcPr>
            <w:vAlign w:val="center"/>
          </w:tcPr>
          <w:p>
            <w:pPr>
              <w:jc w:val="center"/>
            </w:pPr>
            <w:r>
              <w:rPr>
                <w:color w:val="000000"/>
                <w:sz w:val="24"/>
              </w:rPr>
              <w:t>保利地产</w:t>
            </w:r>
          </w:p>
        </w:tc>
        <w:tc>
          <w:tcPr>
            <w:vAlign w:val="center"/>
          </w:tcPr>
          <w:p>
            <w:pPr>
              <w:jc w:val="right"/>
            </w:pPr>
            <w:r>
              <w:rPr>
                <w:color w:val="000000"/>
                <w:sz w:val="24"/>
              </w:rPr>
              <w:t>236,500</w:t>
            </w:r>
          </w:p>
        </w:tc>
        <w:tc>
          <w:tcPr>
            <w:vAlign w:val="center"/>
          </w:tcPr>
          <w:p>
            <w:pPr>
              <w:jc w:val="right"/>
            </w:pPr>
            <w:r>
              <w:rPr>
                <w:color w:val="000000"/>
                <w:sz w:val="24"/>
              </w:rPr>
              <w:t>3,495,470.00</w:t>
            </w:r>
          </w:p>
        </w:tc>
        <w:tc>
          <w:tcPr>
            <w:vAlign w:val="center"/>
          </w:tcPr>
          <w:p>
            <w:pPr>
              <w:jc w:val="right"/>
            </w:pPr>
            <w:r>
              <w:rPr>
                <w:color w:val="000000"/>
                <w:sz w:val="24"/>
              </w:rPr>
              <w:t>0.47</w:t>
            </w:r>
          </w:p>
        </w:tc>
      </w:tr>
      <w:tr>
        <w:tc>
          <w:tcPr>
            <w:vAlign w:val="center"/>
          </w:tcPr>
          <w:p>
            <w:pPr>
              <w:jc w:val="center"/>
            </w:pPr>
            <w:r>
              <w:rPr>
                <w:color w:val="000000"/>
                <w:sz w:val="24"/>
              </w:rPr>
              <w:t>6</w:t>
            </w:r>
          </w:p>
        </w:tc>
        <w:tc>
          <w:tcPr>
            <w:vAlign w:val="center"/>
          </w:tcPr>
          <w:p>
            <w:pPr>
              <w:jc w:val="center"/>
            </w:pPr>
            <w:r>
              <w:rPr>
                <w:color w:val="000000"/>
                <w:sz w:val="24"/>
              </w:rPr>
              <w:t>600383</w:t>
            </w:r>
          </w:p>
        </w:tc>
        <w:tc>
          <w:tcPr>
            <w:vAlign w:val="center"/>
          </w:tcPr>
          <w:p>
            <w:pPr>
              <w:jc w:val="center"/>
            </w:pPr>
            <w:r>
              <w:rPr>
                <w:color w:val="000000"/>
                <w:sz w:val="24"/>
              </w:rPr>
              <w:t>金地集团</w:t>
            </w:r>
          </w:p>
        </w:tc>
        <w:tc>
          <w:tcPr>
            <w:vAlign w:val="center"/>
          </w:tcPr>
          <w:p>
            <w:pPr>
              <w:jc w:val="right"/>
            </w:pPr>
            <w:r>
              <w:rPr>
                <w:color w:val="000000"/>
                <w:sz w:val="24"/>
              </w:rPr>
              <w:t>253,300</w:t>
            </w:r>
          </w:p>
        </w:tc>
        <w:tc>
          <w:tcPr>
            <w:vAlign w:val="center"/>
          </w:tcPr>
          <w:p>
            <w:pPr>
              <w:jc w:val="right"/>
            </w:pPr>
            <w:r>
              <w:rPr>
                <w:color w:val="000000"/>
                <w:sz w:val="24"/>
              </w:rPr>
              <w:t>3,470,210.00</w:t>
            </w:r>
          </w:p>
        </w:tc>
        <w:tc>
          <w:tcPr>
            <w:vAlign w:val="center"/>
          </w:tcPr>
          <w:p>
            <w:pPr>
              <w:jc w:val="right"/>
            </w:pPr>
            <w:r>
              <w:rPr>
                <w:color w:val="000000"/>
                <w:sz w:val="24"/>
              </w:rPr>
              <w:t>0.46</w:t>
            </w:r>
          </w:p>
        </w:tc>
      </w:tr>
      <w:tr>
        <w:tc>
          <w:tcPr>
            <w:vAlign w:val="center"/>
          </w:tcPr>
          <w:p>
            <w:pPr>
              <w:jc w:val="center"/>
            </w:pPr>
            <w:r>
              <w:rPr>
                <w:color w:val="000000"/>
                <w:sz w:val="24"/>
              </w:rPr>
              <w:t>7</w:t>
            </w:r>
          </w:p>
        </w:tc>
        <w:tc>
          <w:tcPr>
            <w:vAlign w:val="center"/>
          </w:tcPr>
          <w:p>
            <w:pPr>
              <w:jc w:val="center"/>
            </w:pPr>
            <w:r>
              <w:rPr>
                <w:color w:val="000000"/>
                <w:sz w:val="24"/>
              </w:rPr>
              <w:t>002352</w:t>
            </w:r>
          </w:p>
        </w:tc>
        <w:tc>
          <w:tcPr>
            <w:vAlign w:val="center"/>
          </w:tcPr>
          <w:p>
            <w:pPr>
              <w:jc w:val="center"/>
            </w:pPr>
            <w:r>
              <w:rPr>
                <w:color w:val="000000"/>
                <w:sz w:val="24"/>
              </w:rPr>
              <w:t>顺丰控股</w:t>
            </w:r>
          </w:p>
        </w:tc>
        <w:tc>
          <w:tcPr>
            <w:vAlign w:val="center"/>
          </w:tcPr>
          <w:p>
            <w:pPr>
              <w:jc w:val="right"/>
            </w:pPr>
            <w:r>
              <w:rPr>
                <w:color w:val="000000"/>
                <w:sz w:val="24"/>
              </w:rPr>
              <w:t>61,794</w:t>
            </w:r>
          </w:p>
        </w:tc>
        <w:tc>
          <w:tcPr>
            <w:vAlign w:val="center"/>
          </w:tcPr>
          <w:p>
            <w:pPr>
              <w:jc w:val="right"/>
            </w:pPr>
            <w:r>
              <w:rPr>
                <w:color w:val="000000"/>
                <w:sz w:val="24"/>
              </w:rPr>
              <w:t>3,380,131.80</w:t>
            </w:r>
          </w:p>
        </w:tc>
        <w:tc>
          <w:tcPr>
            <w:vAlign w:val="center"/>
          </w:tcPr>
          <w:p>
            <w:pPr>
              <w:jc w:val="right"/>
            </w:pPr>
            <w:r>
              <w:rPr>
                <w:color w:val="000000"/>
                <w:sz w:val="24"/>
              </w:rPr>
              <w:t>0.45</w:t>
            </w:r>
          </w:p>
        </w:tc>
      </w:tr>
      <w:tr>
        <w:tc>
          <w:tcPr>
            <w:vAlign w:val="center"/>
          </w:tcPr>
          <w:p>
            <w:pPr>
              <w:jc w:val="center"/>
            </w:pPr>
            <w:r>
              <w:rPr>
                <w:color w:val="000000"/>
                <w:sz w:val="24"/>
              </w:rPr>
              <w:t>8</w:t>
            </w:r>
          </w:p>
        </w:tc>
        <w:tc>
          <w:tcPr>
            <w:vAlign w:val="center"/>
          </w:tcPr>
          <w:p>
            <w:pPr>
              <w:jc w:val="center"/>
            </w:pPr>
            <w:r>
              <w:rPr>
                <w:color w:val="000000"/>
                <w:sz w:val="24"/>
              </w:rPr>
              <w:t>601877</w:t>
            </w:r>
          </w:p>
        </w:tc>
        <w:tc>
          <w:tcPr>
            <w:vAlign w:val="center"/>
          </w:tcPr>
          <w:p>
            <w:pPr>
              <w:jc w:val="center"/>
            </w:pPr>
            <w:r>
              <w:rPr>
                <w:color w:val="000000"/>
                <w:sz w:val="24"/>
              </w:rPr>
              <w:t>正泰电器</w:t>
            </w:r>
          </w:p>
        </w:tc>
        <w:tc>
          <w:tcPr>
            <w:vAlign w:val="center"/>
          </w:tcPr>
          <w:p>
            <w:pPr>
              <w:jc w:val="right"/>
            </w:pPr>
            <w:r>
              <w:rPr>
                <w:color w:val="000000"/>
                <w:sz w:val="24"/>
              </w:rPr>
              <w:t>128,200</w:t>
            </w:r>
          </w:p>
        </w:tc>
        <w:tc>
          <w:tcPr>
            <w:vAlign w:val="center"/>
          </w:tcPr>
          <w:p>
            <w:pPr>
              <w:jc w:val="right"/>
            </w:pPr>
            <w:r>
              <w:rPr>
                <w:color w:val="000000"/>
                <w:sz w:val="24"/>
              </w:rPr>
              <w:t>3,378,070.00</w:t>
            </w:r>
          </w:p>
        </w:tc>
        <w:tc>
          <w:tcPr>
            <w:vAlign w:val="center"/>
          </w:tcPr>
          <w:p>
            <w:pPr>
              <w:jc w:val="right"/>
            </w:pPr>
            <w:r>
              <w:rPr>
                <w:color w:val="000000"/>
                <w:sz w:val="24"/>
              </w:rPr>
              <w:t>0.45</w:t>
            </w:r>
          </w:p>
        </w:tc>
      </w:tr>
      <w:tr>
        <w:tc>
          <w:tcPr>
            <w:vAlign w:val="center"/>
          </w:tcPr>
          <w:p>
            <w:pPr>
              <w:jc w:val="center"/>
            </w:pPr>
            <w:r>
              <w:rPr>
                <w:color w:val="000000"/>
                <w:sz w:val="24"/>
              </w:rPr>
              <w:t>9</w:t>
            </w:r>
          </w:p>
        </w:tc>
        <w:tc>
          <w:tcPr>
            <w:vAlign w:val="center"/>
          </w:tcPr>
          <w:p>
            <w:pPr>
              <w:jc w:val="center"/>
            </w:pPr>
            <w:r>
              <w:rPr>
                <w:color w:val="000000"/>
                <w:sz w:val="24"/>
              </w:rPr>
              <w:t>002601</w:t>
            </w:r>
          </w:p>
        </w:tc>
        <w:tc>
          <w:tcPr>
            <w:vAlign w:val="center"/>
          </w:tcPr>
          <w:p>
            <w:pPr>
              <w:jc w:val="center"/>
            </w:pPr>
            <w:r>
              <w:rPr>
                <w:color w:val="000000"/>
                <w:sz w:val="24"/>
              </w:rPr>
              <w:t>龙蟒佰利</w:t>
            </w:r>
          </w:p>
        </w:tc>
        <w:tc>
          <w:tcPr>
            <w:vAlign w:val="center"/>
          </w:tcPr>
          <w:p>
            <w:pPr>
              <w:jc w:val="right"/>
            </w:pPr>
            <w:r>
              <w:rPr>
                <w:color w:val="000000"/>
                <w:sz w:val="24"/>
              </w:rPr>
              <w:t>178,300</w:t>
            </w:r>
          </w:p>
        </w:tc>
        <w:tc>
          <w:tcPr>
            <w:vAlign w:val="center"/>
          </w:tcPr>
          <w:p>
            <w:pPr>
              <w:jc w:val="right"/>
            </w:pPr>
            <w:r>
              <w:rPr>
                <w:color w:val="000000"/>
                <w:sz w:val="24"/>
              </w:rPr>
              <w:t>3,298,550.00</w:t>
            </w:r>
          </w:p>
        </w:tc>
        <w:tc>
          <w:tcPr>
            <w:vAlign w:val="center"/>
          </w:tcPr>
          <w:p>
            <w:pPr>
              <w:jc w:val="right"/>
            </w:pPr>
            <w:r>
              <w:rPr>
                <w:color w:val="000000"/>
                <w:sz w:val="24"/>
              </w:rPr>
              <w:t>0.44</w:t>
            </w:r>
          </w:p>
        </w:tc>
      </w:tr>
      <w:tr>
        <w:tc>
          <w:tcPr>
            <w:vAlign w:val="center"/>
          </w:tcPr>
          <w:p>
            <w:pPr>
              <w:jc w:val="center"/>
            </w:pPr>
            <w:r>
              <w:rPr>
                <w:color w:val="000000"/>
                <w:sz w:val="24"/>
              </w:rPr>
              <w:t>10</w:t>
            </w:r>
          </w:p>
        </w:tc>
        <w:tc>
          <w:tcPr>
            <w:vAlign w:val="center"/>
          </w:tcPr>
          <w:p>
            <w:pPr>
              <w:jc w:val="center"/>
            </w:pPr>
            <w:r>
              <w:rPr>
                <w:color w:val="000000"/>
                <w:sz w:val="24"/>
              </w:rPr>
              <w:t>002078</w:t>
            </w:r>
          </w:p>
        </w:tc>
        <w:tc>
          <w:tcPr>
            <w:vAlign w:val="center"/>
          </w:tcPr>
          <w:p>
            <w:pPr>
              <w:jc w:val="center"/>
            </w:pPr>
            <w:r>
              <w:rPr>
                <w:color w:val="000000"/>
                <w:sz w:val="24"/>
              </w:rPr>
              <w:t>太阳纸业</w:t>
            </w:r>
          </w:p>
        </w:tc>
        <w:tc>
          <w:tcPr>
            <w:vAlign w:val="center"/>
          </w:tcPr>
          <w:p>
            <w:pPr>
              <w:jc w:val="right"/>
            </w:pPr>
            <w:r>
              <w:rPr>
                <w:color w:val="000000"/>
                <w:sz w:val="24"/>
              </w:rPr>
              <w:t>343,700</w:t>
            </w:r>
          </w:p>
        </w:tc>
        <w:tc>
          <w:tcPr>
            <w:vAlign w:val="center"/>
          </w:tcPr>
          <w:p>
            <w:pPr>
              <w:jc w:val="right"/>
            </w:pPr>
            <w:r>
              <w:rPr>
                <w:color w:val="000000"/>
                <w:sz w:val="24"/>
              </w:rPr>
              <w:t>3,272,024.00</w:t>
            </w:r>
          </w:p>
        </w:tc>
        <w:tc>
          <w:tcPr>
            <w:vAlign w:val="center"/>
          </w:tcPr>
          <w:p>
            <w:pPr>
              <w:jc w:val="right"/>
            </w:pPr>
            <w:r>
              <w:rPr>
                <w:color w:val="000000"/>
                <w:sz w:val="24"/>
              </w:rPr>
              <w:t>0.44</w:t>
            </w:r>
          </w:p>
        </w:tc>
      </w:tr>
    </w:tbl>
    <w:p w:rsidP="00B54884" w:rsidR="006A1153" w:rsidRDefault="00F016DD" w:rsidRPr="006A1153">
      <w:pPr>
        <w:autoSpaceDE w:val="0"/>
        <w:autoSpaceDN w:val="0"/>
        <w:adjustRightInd w:val="0"/>
        <w:spacing w:before="312" w:beforeLines="100" w:line="360" w:lineRule="auto"/>
        <w:jc w:val="left"/>
        <w:rPr>
          <w:rFonts w:eastAsiaTheme="minorEastAsia"/>
          <w:b/>
          <w:color w:themeColor="text1" w:val="000000"/>
          <w:kern w:val="0"/>
          <w:sz w:val="24"/>
        </w:rPr>
      </w:pPr>
      <w:r w:rsidRPr="0078105B">
        <w:rPr>
          <w:rFonts w:ascii="宋体" w:cs="Arial" w:hAnsi="宋体"/>
          <w:b/>
          <w:color w:val="000000"/>
          <w:kern w:val="0"/>
          <w:sz w:val="24"/>
        </w:rPr>
        <w:t xml:space="preserve">5.4 </w:t>
      </w:r>
      <w:r w:rsidRPr="0078105B">
        <w:rPr>
          <w:rFonts w:ascii="宋体" w:cs="Arial" w:hAnsi="宋体" w:hint="eastAsia"/>
          <w:b/>
          <w:color w:val="000000"/>
          <w:kern w:val="0"/>
          <w:sz w:val="24"/>
        </w:rPr>
        <w:t>报告期末按债券品种分类的债券投资组合</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3260"/>
        <w:gridCol w:w="2835"/>
        <w:gridCol w:w="1616"/>
      </w:tblGrid>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序号</w:t>
            </w:r>
          </w:p>
        </w:tc>
        <w:tc>
          <w:tcPr>
            <w:tcW w:type="dxa" w:w="3260"/>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债券品种</w:t>
            </w: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
            </w:r>
          </w:p>
        </w:tc>
        <w:tc>
          <w:tcPr>
            <w:tcW w:type="dxa" w:w="2835"/>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公允价值</w:t>
            </w:r>
            <w:r w:rsidRPr="006A1153">
              <w:rPr>
                <w:rFonts w:eastAsiaTheme="minorEastAsia"/>
                <w:color w:themeColor="text1" w:val="000000"/>
                <w:sz w:val="24"/>
              </w:rPr>
              <w:t>(</w:t>
            </w:r>
            <w:r w:rsidRPr="006A1153">
              <w:rPr>
                <w:rFonts w:eastAsiaTheme="minorEastAsia"/>
                <w:color w:themeColor="text1" w:val="000000"/>
                <w:sz w:val="24"/>
              </w:rPr>
              <w:t>元</w:t>
            </w:r>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占基金资产净值比例</w:t>
            </w:r>
            <w:r w:rsidRPr="006A1153">
              <w:rPr>
                <w:rFonts w:eastAsiaTheme="minorEastAsia"/>
                <w:color w:themeColor="text1" w:val="000000"/>
                <w:sz w:val="24"/>
              </w:rPr>
              <w:t>(</w:t>
            </w:r>
            <w:r w:rsidRPr="006A1153">
              <w:rPr>
                <w:rFonts w:eastAsiaTheme="minorEastAsia"/>
                <w:color w:themeColor="text1" w:val="000000"/>
                <w:sz w:val="24"/>
              </w:rPr>
              <w:t>％</w:t>
            </w: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国家债券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3,104,350.00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0.42</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2</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央行票据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3</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金融债券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34,513,400.00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lastRenderedPageBreak/>
              <w:t/>
            </w:r>
            <w:r w:rsidRPr="006A1153">
              <w:rPr>
                <w:rFonts w:eastAsiaTheme="minorEastAsia"/>
                <w:color w:themeColor="text1" w:val="000000"/>
                <w:sz w:val="24"/>
              </w:rPr>
              <w:lastRenderedPageBreak/>
              <w:t>4.62</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其中：政策性金融债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34,513,400.00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4.62</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4</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213,102,942.00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28.50</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5</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企业短期融资</w:t>
            </w:r>
            <w:proofErr w:type="gramStart"/>
            <w:r w:rsidRPr="006A1153">
              <w:rPr>
                <w:rFonts w:eastAsiaTheme="minorEastAsia"/>
                <w:color w:themeColor="text1" w:val="000000"/>
                <w:sz w:val="24"/>
              </w:rPr>
              <w:t>券</w:t>
            </w:r>
            <w:proofErr w:type="gramEnd"/>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40,019,000.00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5.35</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6</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中期票据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454,562,000.00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r w:rsidRPr="006A1153">
              <w:rPr>
                <w:rFonts w:eastAsiaTheme="minorEastAsia"/>
                <w:color w:themeColor="text1" w:val="000000"/>
                <w:sz w:val="24"/>
              </w:rPr>
              <w:lastRenderedPageBreak/>
              <w:t>60.79</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lastRenderedPageBreak/>
              <w:t>7</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可转债</w:t>
            </w:r>
            <w:r w:rsidR="00524368" w:rsidRPr="00524368">
              <w:rPr>
                <w:rFonts w:eastAsiaTheme="minorEastAsia" w:hint="eastAsia"/>
                <w:color w:themeColor="text1" w:val="000000"/>
                <w:sz w:val="24"/>
              </w:rPr>
              <w:t>（可交换债）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914,436.32</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0.12</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8</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同业存单</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9</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其他</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10</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合计</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746,216,128.32</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99.80</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5.5 </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的前五名债券投资明细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02"/>
        <w:gridCol w:w="1559"/>
        <w:gridCol w:w="1985"/>
        <w:gridCol w:w="1559"/>
        <w:gridCol w:w="2126"/>
        <w:gridCol w:w="990"/>
      </w:tblGrid>
      <w:tr w:rsidR="00F016DD" w:rsidRPr="0078105B" w:rsidTr="00CA7FF7">
        <w:tc>
          <w:tcPr>
            <w:tcW w:type="dxa" w:w="802"/>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债券代码</w:t>
            </w:r>
          </w:p>
        </w:tc>
        <w:tc>
          <w:tcPr>
            <w:tcW w:type="dxa" w:w="1985"/>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债券名称</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数量（张）</w:t>
            </w:r>
          </w:p>
        </w:tc>
        <w:tc>
          <w:tcPr>
            <w:tcW w:type="dxa" w:w="2126"/>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type="dxa" w:w="990"/>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180208</w:t>
            </w:r>
          </w:p>
        </w:tc>
        <w:tc>
          <w:tcPr>
            <w:vAlign w:val="center"/>
          </w:tcPr>
          <w:p>
            <w:pPr>
              <w:jc w:val="center"/>
            </w:pPr>
            <w:r>
              <w:rPr>
                <w:color w:val="000000"/>
                <w:sz w:val="24"/>
              </w:rPr>
              <w:t>18国开08</w:t>
            </w:r>
          </w:p>
        </w:tc>
        <w:tc>
          <w:tcPr>
            <w:vAlign w:val="center"/>
          </w:tcPr>
          <w:p>
            <w:pPr>
              <w:jc w:val="right"/>
            </w:pPr>
            <w:r>
              <w:rPr>
                <w:color w:val="000000"/>
                <w:sz w:val="24"/>
              </w:rPr>
              <w:t>340,000</w:t>
            </w:r>
          </w:p>
        </w:tc>
        <w:tc>
          <w:tcPr>
            <w:vAlign w:val="center"/>
          </w:tcPr>
          <w:p>
            <w:pPr>
              <w:jc w:val="right"/>
            </w:pPr>
            <w:r>
              <w:rPr>
                <w:color w:val="000000"/>
                <w:sz w:val="24"/>
              </w:rPr>
              <w:t>34,513,400.00</w:t>
            </w:r>
          </w:p>
        </w:tc>
        <w:tc>
          <w:tcPr>
            <w:vAlign w:val="center"/>
          </w:tcPr>
          <w:p>
            <w:pPr>
              <w:jc w:val="right"/>
            </w:pPr>
            <w:r>
              <w:rPr>
                <w:color w:val="000000"/>
                <w:sz w:val="24"/>
              </w:rPr>
              <w:t>4.62</w:t>
            </w:r>
          </w:p>
        </w:tc>
      </w:tr>
      <w:tr>
        <w:tc>
          <w:tcPr>
            <w:vAlign w:val="center"/>
          </w:tcPr>
          <w:p>
            <w:pPr>
              <w:jc w:val="center"/>
            </w:pPr>
            <w:r>
              <w:rPr>
                <w:color w:val="000000"/>
                <w:sz w:val="24"/>
              </w:rPr>
              <w:t>2</w:t>
            </w:r>
          </w:p>
        </w:tc>
        <w:tc>
          <w:tcPr>
            <w:vAlign w:val="center"/>
          </w:tcPr>
          <w:p>
            <w:pPr>
              <w:jc w:val="center"/>
            </w:pPr>
            <w:r>
              <w:rPr>
                <w:color w:val="000000"/>
                <w:sz w:val="24"/>
              </w:rPr>
              <w:t>101801464</w:t>
            </w:r>
          </w:p>
        </w:tc>
        <w:tc>
          <w:tcPr>
            <w:vAlign w:val="center"/>
          </w:tcPr>
          <w:p>
            <w:pPr>
              <w:jc w:val="center"/>
            </w:pPr>
            <w:r>
              <w:rPr>
                <w:color w:val="000000"/>
                <w:sz w:val="24"/>
              </w:rPr>
              <w:t>18中联重科MTN001</w:t>
            </w:r>
          </w:p>
        </w:tc>
        <w:tc>
          <w:tcPr>
            <w:vAlign w:val="center"/>
          </w:tcPr>
          <w:p>
            <w:pPr>
              <w:jc w:val="right"/>
            </w:pPr>
            <w:r>
              <w:rPr>
                <w:color w:val="000000"/>
                <w:sz w:val="24"/>
              </w:rPr>
              <w:t>300,000</w:t>
            </w:r>
          </w:p>
        </w:tc>
        <w:tc>
          <w:tcPr>
            <w:vAlign w:val="center"/>
          </w:tcPr>
          <w:p>
            <w:pPr>
              <w:jc w:val="right"/>
            </w:pPr>
            <w:r>
              <w:rPr>
                <w:color w:val="000000"/>
                <w:sz w:val="24"/>
              </w:rPr>
              <w:t>30,684,000.00</w:t>
            </w:r>
          </w:p>
        </w:tc>
        <w:tc>
          <w:tcPr>
            <w:vAlign w:val="center"/>
          </w:tcPr>
          <w:p>
            <w:pPr>
              <w:jc w:val="right"/>
            </w:pPr>
            <w:r>
              <w:rPr>
                <w:color w:val="000000"/>
                <w:sz w:val="24"/>
              </w:rPr>
              <w:t>4.10</w:t>
            </w:r>
          </w:p>
        </w:tc>
      </w:tr>
      <w:tr>
        <w:tc>
          <w:tcPr>
            <w:vAlign w:val="center"/>
          </w:tcPr>
          <w:p>
            <w:pPr>
              <w:jc w:val="center"/>
            </w:pPr>
            <w:r>
              <w:rPr>
                <w:color w:val="000000"/>
                <w:sz w:val="24"/>
              </w:rPr>
              <w:t>3</w:t>
            </w:r>
          </w:p>
        </w:tc>
        <w:tc>
          <w:tcPr>
            <w:vAlign w:val="center"/>
          </w:tcPr>
          <w:p>
            <w:pPr>
              <w:jc w:val="center"/>
            </w:pPr>
            <w:r>
              <w:rPr>
                <w:color w:val="000000"/>
                <w:sz w:val="24"/>
              </w:rPr>
              <w:t>112729</w:t>
            </w:r>
          </w:p>
        </w:tc>
        <w:tc>
          <w:tcPr>
            <w:vAlign w:val="center"/>
          </w:tcPr>
          <w:p>
            <w:pPr>
              <w:jc w:val="center"/>
            </w:pPr>
            <w:r>
              <w:rPr>
                <w:color w:val="000000"/>
                <w:sz w:val="24"/>
              </w:rPr>
              <w:t>18申宏02</w:t>
            </w:r>
          </w:p>
        </w:tc>
        <w:tc>
          <w:tcPr>
            <w:vAlign w:val="center"/>
          </w:tcPr>
          <w:p>
            <w:pPr>
              <w:jc w:val="right"/>
            </w:pPr>
            <w:r>
              <w:rPr>
                <w:color w:val="000000"/>
                <w:sz w:val="24"/>
              </w:rPr>
              <w:t>200,000</w:t>
            </w:r>
          </w:p>
        </w:tc>
        <w:tc>
          <w:tcPr>
            <w:vAlign w:val="center"/>
          </w:tcPr>
          <w:p>
            <w:pPr>
              <w:jc w:val="right"/>
            </w:pPr>
            <w:r>
              <w:rPr>
                <w:color w:val="000000"/>
                <w:sz w:val="24"/>
              </w:rPr>
              <w:t>20,862,000.00</w:t>
            </w:r>
          </w:p>
        </w:tc>
        <w:tc>
          <w:tcPr>
            <w:vAlign w:val="center"/>
          </w:tcPr>
          <w:p>
            <w:pPr>
              <w:jc w:val="right"/>
            </w:pPr>
            <w:r>
              <w:rPr>
                <w:color w:val="000000"/>
                <w:sz w:val="24"/>
              </w:rPr>
              <w:t>2.79</w:t>
            </w:r>
          </w:p>
        </w:tc>
      </w:tr>
      <w:tr>
        <w:tc>
          <w:tcPr>
            <w:vAlign w:val="center"/>
          </w:tcPr>
          <w:p>
            <w:pPr>
              <w:jc w:val="center"/>
            </w:pPr>
            <w:r>
              <w:rPr>
                <w:color w:val="000000"/>
                <w:sz w:val="24"/>
              </w:rPr>
              <w:t>4</w:t>
            </w:r>
          </w:p>
        </w:tc>
        <w:tc>
          <w:tcPr>
            <w:vAlign w:val="center"/>
          </w:tcPr>
          <w:p>
            <w:pPr>
              <w:jc w:val="center"/>
            </w:pPr>
            <w:r>
              <w:rPr>
                <w:color w:val="000000"/>
                <w:sz w:val="24"/>
              </w:rPr>
              <w:t>101800773</w:t>
            </w:r>
          </w:p>
        </w:tc>
        <w:tc>
          <w:tcPr>
            <w:vAlign w:val="center"/>
          </w:tcPr>
          <w:p>
            <w:pPr>
              <w:jc w:val="center"/>
            </w:pPr>
            <w:r>
              <w:rPr>
                <w:color w:val="000000"/>
                <w:sz w:val="24"/>
              </w:rPr>
              <w:t>18首钢MTN002</w:t>
            </w:r>
          </w:p>
        </w:tc>
        <w:tc>
          <w:tcPr>
            <w:vAlign w:val="center"/>
          </w:tcPr>
          <w:p>
            <w:pPr>
              <w:jc w:val="right"/>
            </w:pPr>
            <w:r>
              <w:rPr>
                <w:color w:val="000000"/>
                <w:sz w:val="24"/>
              </w:rPr>
              <w:t>200,000</w:t>
            </w:r>
          </w:p>
        </w:tc>
        <w:tc>
          <w:tcPr>
            <w:vAlign w:val="center"/>
          </w:tcPr>
          <w:p>
            <w:pPr>
              <w:jc w:val="right"/>
            </w:pPr>
            <w:r>
              <w:rPr>
                <w:color w:val="000000"/>
                <w:sz w:val="24"/>
              </w:rPr>
              <w:t>20,540,000.00</w:t>
            </w:r>
          </w:p>
        </w:tc>
        <w:tc>
          <w:tcPr>
            <w:vAlign w:val="center"/>
          </w:tcPr>
          <w:p>
            <w:pPr>
              <w:jc w:val="right"/>
            </w:pPr>
            <w:r>
              <w:rPr>
                <w:color w:val="000000"/>
                <w:sz w:val="24"/>
              </w:rPr>
              <w:t>2.75</w:t>
            </w:r>
          </w:p>
        </w:tc>
      </w:tr>
      <w:tr>
        <w:tc>
          <w:tcPr>
            <w:vAlign w:val="center"/>
          </w:tcPr>
          <w:p>
            <w:pPr>
              <w:jc w:val="center"/>
            </w:pPr>
            <w:r>
              <w:rPr>
                <w:color w:val="000000"/>
                <w:sz w:val="24"/>
              </w:rPr>
              <w:t>5</w:t>
            </w:r>
          </w:p>
        </w:tc>
        <w:tc>
          <w:tcPr>
            <w:vAlign w:val="center"/>
          </w:tcPr>
          <w:p>
            <w:pPr>
              <w:jc w:val="center"/>
            </w:pPr>
            <w:r>
              <w:rPr>
                <w:color w:val="000000"/>
                <w:sz w:val="24"/>
              </w:rPr>
              <w:t>136962</w:t>
            </w:r>
          </w:p>
        </w:tc>
        <w:tc>
          <w:tcPr>
            <w:vAlign w:val="center"/>
          </w:tcPr>
          <w:p>
            <w:pPr>
              <w:jc w:val="center"/>
            </w:pPr>
            <w:r>
              <w:rPr>
                <w:color w:val="000000"/>
                <w:sz w:val="24"/>
              </w:rPr>
              <w:t>18中化Y2</w:t>
            </w:r>
          </w:p>
        </w:tc>
        <w:tc>
          <w:tcPr>
            <w:vAlign w:val="center"/>
          </w:tcPr>
          <w:p>
            <w:pPr>
              <w:jc w:val="right"/>
            </w:pPr>
            <w:r>
              <w:rPr>
                <w:color w:val="000000"/>
                <w:sz w:val="24"/>
              </w:rPr>
              <w:t>200,000</w:t>
            </w:r>
          </w:p>
        </w:tc>
        <w:tc>
          <w:tcPr>
            <w:vAlign w:val="center"/>
          </w:tcPr>
          <w:p>
            <w:pPr>
              <w:jc w:val="right"/>
            </w:pPr>
            <w:r>
              <w:rPr>
                <w:color w:val="000000"/>
                <w:sz w:val="24"/>
              </w:rPr>
              <w:t>20,404,000.00</w:t>
            </w:r>
          </w:p>
        </w:tc>
        <w:tc>
          <w:tcPr>
            <w:vAlign w:val="center"/>
          </w:tcPr>
          <w:p>
            <w:pPr>
              <w:jc w:val="right"/>
            </w:pPr>
            <w:r>
              <w:rPr>
                <w:color w:val="000000"/>
                <w:sz w:val="24"/>
              </w:rPr>
              <w:t>2.73</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5.6</w:t>
      </w:r>
      <w:r w:rsidRPr="0078105B">
        <w:rPr>
          <w:rFonts w:ascii="宋体" w:cs="Arial" w:hAnsi="宋体" w:hint="eastAsia"/>
          <w:b/>
          <w:color w:val="000000"/>
          <w:kern w:val="0"/>
          <w:sz w:val="24"/>
        </w:rPr>
        <w:t xml:space="preserve">　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的前十名资产支持证券投资明细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21"/>
        <w:gridCol w:w="1316"/>
        <w:gridCol w:w="1272"/>
        <w:gridCol w:w="1732"/>
        <w:gridCol w:w="1652"/>
        <w:gridCol w:w="1828"/>
      </w:tblGrid>
      <w:tr w:rsidR="00F016DD" w:rsidRPr="0078105B" w:rsidTr="00174038">
        <w:tc>
          <w:tcPr>
            <w:tcW w:type="dxa" w:w="1187"/>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type="dxa" w:w="132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证券代码</w:t>
            </w:r>
          </w:p>
        </w:tc>
        <w:tc>
          <w:tcPr>
            <w:tcW w:type="dxa" w:w="1263"/>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证券名称</w:t>
            </w:r>
          </w:p>
        </w:tc>
        <w:tc>
          <w:tcPr>
            <w:tcW w:type="dxa" w:w="1815"/>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数量</w:t>
            </w:r>
            <w:r w:rsidRPr="00FA472B">
              <w:rPr>
                <w:color w:val="000000"/>
                <w:kern w:val="0"/>
                <w:sz w:val="24"/>
              </w:rPr>
              <w:t>(</w:t>
            </w:r>
            <w:r w:rsidRPr="00FA472B">
              <w:rPr>
                <w:color w:val="000000"/>
                <w:kern w:val="0"/>
                <w:sz w:val="24"/>
              </w:rPr>
              <w:t>份</w:t>
            </w:r>
            <w:r w:rsidRPr="00FA472B">
              <w:rPr>
                <w:color w:val="000000"/>
                <w:kern w:val="0"/>
                <w:sz w:val="24"/>
              </w:rPr>
              <w:t>)</w:t>
            </w:r>
          </w:p>
        </w:tc>
        <w:tc>
          <w:tcPr>
            <w:tcW w:type="dxa" w:w="1698"/>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type="dxa" w:w="172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r w:rsidRPr="00FA472B">
              <w:rPr>
                <w:color w:val="000000"/>
                <w:kern w:val="0"/>
                <w:sz w:val="24"/>
              </w:rPr>
              <w:t>%</w:t>
            </w:r>
            <w:r w:rsidRPr="00FA472B">
              <w:rPr>
                <w:color w:val="000000"/>
                <w:kern w:val="0"/>
                <w:sz w:val="24"/>
              </w:rPr>
              <w:t>）</w:t>
            </w:r>
          </w:p>
        </w:tc>
      </w:tr>
      <w:tr>
        <w:tc>
          <w:tcPr>
            <w:vAlign w:val="center"/>
          </w:tcPr>
          <w:p>
            <w:pPr>
              <w:jc w:val="center"/>
            </w:pPr>
            <w:r>
              <w:rPr>
                <w:color w:val="000000"/>
                <w:sz w:val="24"/>
              </w:rPr>
              <w:t>1</w:t>
            </w:r>
          </w:p>
        </w:tc>
        <w:tc>
          <w:tcPr>
            <w:vAlign w:val="center"/>
          </w:tcPr>
          <w:p>
            <w:pPr>
              <w:jc w:val="center"/>
            </w:pPr>
            <w:r>
              <w:rPr>
                <w:color w:val="000000"/>
                <w:sz w:val="24"/>
              </w:rPr>
              <w:t>138020</w:t>
            </w:r>
          </w:p>
        </w:tc>
        <w:tc>
          <w:tcPr>
            <w:vAlign w:val="center"/>
          </w:tcPr>
          <w:p>
            <w:pPr>
              <w:jc w:val="center"/>
            </w:pPr>
            <w:r>
              <w:rPr>
                <w:color w:val="000000"/>
                <w:sz w:val="24"/>
              </w:rPr>
              <w:t>绿城15优</w:t>
            </w:r>
          </w:p>
        </w:tc>
        <w:tc>
          <w:tcPr>
            <w:vAlign w:val="center"/>
          </w:tcPr>
          <w:p>
            <w:pPr>
              <w:jc w:val="right"/>
            </w:pPr>
            <w:r>
              <w:rPr>
                <w:color w:val="000000"/>
                <w:sz w:val="24"/>
              </w:rPr>
              <w:t>100,000</w:t>
            </w:r>
          </w:p>
        </w:tc>
        <w:tc>
          <w:tcPr>
            <w:vAlign w:val="center"/>
          </w:tcPr>
          <w:p>
            <w:pPr>
              <w:jc w:val="right"/>
            </w:pPr>
            <w:r>
              <w:rPr>
                <w:color w:val="000000"/>
                <w:sz w:val="24"/>
              </w:rPr>
              <w:t>10,068,000.00</w:t>
            </w:r>
          </w:p>
        </w:tc>
        <w:tc>
          <w:tcPr>
            <w:vAlign w:val="center"/>
          </w:tcPr>
          <w:p>
            <w:pPr>
              <w:jc w:val="right"/>
            </w:pPr>
            <w:r>
              <w:rPr>
                <w:color w:val="000000"/>
                <w:sz w:val="24"/>
              </w:rPr>
              <w:t>1.35</w:t>
            </w:r>
          </w:p>
        </w:tc>
      </w:tr>
      <w:tr>
        <w:tc>
          <w:tcPr>
            <w:vAlign w:val="center"/>
          </w:tcPr>
          <w:p>
            <w:pPr>
              <w:jc w:val="center"/>
            </w:pPr>
            <w:r>
              <w:rPr>
                <w:color w:val="000000"/>
                <w:sz w:val="24"/>
              </w:rPr>
              <w:t>2</w:t>
            </w:r>
          </w:p>
        </w:tc>
        <w:tc>
          <w:tcPr>
            <w:vAlign w:val="center"/>
          </w:tcPr>
          <w:p>
            <w:pPr>
              <w:jc w:val="center"/>
            </w:pPr>
            <w:r>
              <w:rPr>
                <w:color w:val="000000"/>
                <w:sz w:val="24"/>
              </w:rPr>
              <w:t>168620</w:t>
            </w:r>
          </w:p>
        </w:tc>
        <w:tc>
          <w:tcPr>
            <w:vAlign w:val="center"/>
          </w:tcPr>
          <w:p>
            <w:pPr>
              <w:jc w:val="center"/>
            </w:pPr>
            <w:r>
              <w:rPr>
                <w:color w:val="000000"/>
                <w:sz w:val="24"/>
              </w:rPr>
              <w:t>益行03A1</w:t>
            </w:r>
          </w:p>
        </w:tc>
        <w:tc>
          <w:tcPr>
            <w:vAlign w:val="center"/>
          </w:tcPr>
          <w:p>
            <w:pPr>
              <w:jc w:val="right"/>
            </w:pPr>
            <w:r>
              <w:rPr>
                <w:color w:val="000000"/>
                <w:sz w:val="24"/>
              </w:rPr>
              <w:t>100,000</w:t>
            </w:r>
          </w:p>
        </w:tc>
        <w:tc>
          <w:tcPr>
            <w:vAlign w:val="center"/>
          </w:tcPr>
          <w:p>
            <w:pPr>
              <w:jc w:val="right"/>
            </w:pPr>
            <w:r>
              <w:rPr>
                <w:color w:val="000000"/>
                <w:sz w:val="24"/>
              </w:rPr>
              <w:t>10,000,000.00</w:t>
            </w:r>
          </w:p>
        </w:tc>
        <w:tc>
          <w:tcPr>
            <w:vAlign w:val="center"/>
          </w:tcPr>
          <w:p>
            <w:pPr>
              <w:jc w:val="right"/>
            </w:pPr>
            <w:r>
              <w:rPr>
                <w:color w:val="000000"/>
                <w:sz w:val="24"/>
              </w:rPr>
              <w:t>1.34</w:t>
            </w:r>
          </w:p>
        </w:tc>
      </w:tr>
      <w:tr>
        <w:tc>
          <w:tcPr>
            <w:vAlign w:val="center"/>
          </w:tcPr>
          <w:p>
            <w:pPr>
              <w:jc w:val="center"/>
            </w:pPr>
            <w:r>
              <w:rPr>
                <w:color w:val="000000"/>
                <w:sz w:val="24"/>
              </w:rPr>
              <w:t>2</w:t>
            </w:r>
          </w:p>
        </w:tc>
        <w:tc>
          <w:tcPr>
            <w:vAlign w:val="center"/>
          </w:tcPr>
          <w:p>
            <w:pPr>
              <w:jc w:val="center"/>
            </w:pPr>
            <w:r>
              <w:rPr>
                <w:color w:val="000000"/>
                <w:sz w:val="24"/>
              </w:rPr>
              <w:t>YA0131</w:t>
            </w:r>
          </w:p>
        </w:tc>
        <w:tc>
          <w:tcPr>
            <w:vAlign w:val="center"/>
          </w:tcPr>
          <w:p>
            <w:pPr>
              <w:jc w:val="center"/>
            </w:pPr>
            <w:r>
              <w:rPr>
                <w:color w:val="000000"/>
                <w:sz w:val="24"/>
              </w:rPr>
              <w:t>荟享041A</w:t>
            </w:r>
          </w:p>
        </w:tc>
        <w:tc>
          <w:tcPr>
            <w:vAlign w:val="center"/>
          </w:tcPr>
          <w:p>
            <w:pPr>
              <w:jc w:val="right"/>
            </w:pPr>
            <w:r>
              <w:rPr>
                <w:color w:val="000000"/>
                <w:sz w:val="24"/>
              </w:rPr>
              <w:t>100,000</w:t>
            </w:r>
          </w:p>
        </w:tc>
        <w:tc>
          <w:tcPr>
            <w:vAlign w:val="center"/>
          </w:tcPr>
          <w:p>
            <w:pPr>
              <w:jc w:val="right"/>
            </w:pPr>
            <w:r>
              <w:rPr>
                <w:color w:val="000000"/>
                <w:sz w:val="24"/>
              </w:rPr>
              <w:t>10,000,000.00</w:t>
            </w:r>
          </w:p>
        </w:tc>
        <w:tc>
          <w:tcPr>
            <w:vAlign w:val="center"/>
          </w:tcPr>
          <w:p>
            <w:pPr>
              <w:jc w:val="right"/>
            </w:pPr>
            <w:r>
              <w:rPr>
                <w:color w:val="000000"/>
                <w:sz w:val="24"/>
              </w:rPr>
              <w:t>1.34</w:t>
            </w:r>
          </w:p>
        </w:tc>
      </w:tr>
    </w:tbl>
    <w:p w:rsidP="006D462B" w:rsidR="00F016DD" w:rsidRDefault="00F016DD" w:rsidRPr="001D63BB">
      <w:pPr>
        <w:autoSpaceDE w:val="0"/>
        <w:autoSpaceDN w:val="0"/>
        <w:adjustRightInd w:val="0"/>
        <w:spacing w:line="360" w:lineRule="auto"/>
        <w:jc w:val="left"/>
        <w:rPr>
          <w:rFonts w:ascii="宋体"/>
          <w:b/>
          <w:bCs/>
          <w:color w:val="000000"/>
          <w:kern w:val="0"/>
          <w:sz w:val="24"/>
        </w:rPr>
      </w:pPr>
      <w:r w:rsidRPr="001B0A62">
        <w:rPr>
          <w:rFonts w:ascii="宋体"/>
          <w:b/>
          <w:bCs/>
          <w:color w:val="000000"/>
          <w:kern w:val="0"/>
          <w:sz w:val="24"/>
        </w:rPr>
        <w:t/>
      </w:r>
      <w:r w:rsidRPr="001B0A62">
        <w:rPr>
          <w:rFonts w:ascii="宋体" w:hAnsi="宋体"/>
          <w:b/>
          <w:bCs/>
          <w:color w:val="000000"/>
          <w:kern w:val="0"/>
          <w:sz w:val="24"/>
        </w:rPr>
        <w:t>5</w:t>
      </w:r>
      <w:proofErr w:type="gramStart"/>
      <w:r w:rsidRPr="001B0A62">
        <w:rPr>
          <w:rFonts w:ascii="宋体" w:hAnsi="宋体"/>
          <w:b/>
          <w:bCs/>
          <w:color w:val="000000"/>
          <w:kern w:val="0"/>
          <w:sz w:val="24"/>
        </w:rPr>
        <w:t>.</w:t>
      </w:r>
      <w:proofErr w:type="gramEnd"/>
      <w:r w:rsidRPr="001B0A62">
        <w:rPr>
          <w:rFonts w:ascii="宋体" w:hAnsi="宋体"/>
          <w:b/>
          <w:bCs/>
          <w:color w:val="000000"/>
          <w:kern w:val="0"/>
          <w:sz w:val="24"/>
        </w:rPr>
        <w:t/>
      </w:r>
      <w:r>
        <w:rPr>
          <w:rFonts w:ascii="宋体" w:hAnsi="宋体"/>
          <w:b/>
          <w:bCs/>
          <w:color w:val="000000"/>
          <w:kern w:val="0"/>
          <w:sz w:val="24"/>
        </w:rPr>
        <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本基金本报告期末未持有贵金属。</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Pr>
          <w:rFonts w:ascii="宋体" w:cs="Arial"/>
          <w:b/>
          <w:color w:val="000000"/>
          <w:kern w:val="0"/>
          <w:sz w:val="24"/>
        </w:rPr>
        <w:t/>
      </w:r>
      <w:proofErr w:type="gramStart"/>
      <w:r>
        <w:rPr>
          <w:rFonts w:ascii="宋体" w:cs="Arial" w:hAnsi="宋体"/>
          <w:b/>
          <w:color w:val="000000"/>
          <w:kern w:val="0"/>
          <w:sz w:val="24"/>
        </w:rPr>
        <w:t/>
      </w:r>
      <w:proofErr w:type="gramEnd"/>
      <w:r>
        <w:rPr>
          <w:rFonts w:ascii="宋体" w:cs="Arial" w:hAnsi="宋体"/>
          <w:b/>
          <w:color w:val="000000"/>
          <w:kern w:val="0"/>
          <w:sz w:val="24"/>
        </w:rPr>
        <w:t>5</w:t>
      </w:r>
      <w:r w:rsidRPr="0078105B">
        <w:rPr>
          <w:rFonts w:ascii="宋体" w:cs="Arial"/>
          <w:b/>
          <w:color w:val="000000"/>
          <w:kern w:val="0"/>
          <w:sz w:val="24"/>
        </w:rPr>
        <w:t>.</w:t>
      </w:r>
      <w:r>
        <w:rPr>
          <w:rFonts w:ascii="宋体" w:cs="Arial"/>
          <w:b/>
          <w:color w:val="000000"/>
          <w:kern w:val="0"/>
          <w:sz w:val="24"/>
        </w:rPr>
        <w:t/>
      </w:r>
      <w:r>
        <w:rPr>
          <w:rFonts w:ascii="宋体" w:cs="Arial" w:hAnsi="宋体"/>
          <w:b/>
          <w:color w:val="000000"/>
          <w:kern w:val="0"/>
          <w:sz w:val="24"/>
        </w:rPr>
        <w:t>8</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的前五名权证投资明细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本基金本报告期末未持有权证。</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Pr>
          <w:rFonts w:ascii="宋体"/>
          <w:b/>
          <w:sz w:val="24"/>
        </w:rPr>
        <w:t/>
      </w:r>
      <w:proofErr w:type="gramStart"/>
      <w:r>
        <w:rPr>
          <w:rFonts w:ascii="宋体" w:hAnsi="宋体"/>
          <w:b/>
          <w:sz w:val="24"/>
        </w:rPr>
        <w:t/>
      </w:r>
      <w:proofErr w:type="gramEnd"/>
      <w:r>
        <w:rPr>
          <w:rFonts w:ascii="宋体" w:hAnsi="宋体"/>
          <w:b/>
          <w:sz w:val="24"/>
        </w:rPr>
        <w:t>5.</w:t>
      </w:r>
      <w:r w:rsidRPr="00E85E29">
        <w:rPr>
          <w:rFonts w:ascii="宋体"/>
          <w:b/>
          <w:sz w:val="24"/>
        </w:rPr>
        <w:t>9</w:t>
      </w:r>
      <w:r w:rsidRPr="00E85E29">
        <w:rPr>
          <w:rFonts w:ascii="宋体" w:hAnsi="宋体" w:hint="eastAsia"/>
          <w:b/>
          <w:sz w:val="24"/>
        </w:rPr>
        <w:t>报告期末本基金投资的股指期货交易情况说明</w:t>
      </w:r>
    </w:p>
    <w:p w:rsidP="001F60E9" w:rsidR="001F60E9" w:rsidRDefault="001F60E9">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r>
        <w:rPr>
          <w:rFonts w:eastAsiaTheme="minorEastAsia"/>
          <w:color w:themeColor="text1" w:val="000000"/>
          <w:sz w:val="24"/>
        </w:rPr>
        <w:t/>
      </w:r>
      <w:proofErr w:type="spellEnd"/>
      <w:proofErr w:type="gramEnd"/>
      <w:r>
        <w:rPr>
          <w:rFonts w:eastAsiaTheme="minorEastAsia"/>
          <w:color w:themeColor="text1" w:val="000000"/>
          <w:sz w:val="24"/>
        </w:rPr>
        <w:t>本基金本报告期末未投资股指期货。</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sidRPr="00E85E29">
        <w:rPr>
          <w:rFonts w:ascii="宋体" w:hAnsi="宋体"/>
          <w:b/>
          <w:sz w:val="24"/>
        </w:rPr>
        <w:t/>
      </w:r>
      <w:proofErr w:type="gramStart"/>
      <w:r w:rsidRPr="00E85E29">
        <w:rPr>
          <w:rFonts w:ascii="宋体" w:hAnsi="宋体"/>
          <w:b/>
          <w:sz w:val="24"/>
        </w:rPr>
        <w:t/>
      </w:r>
      <w:proofErr w:type="gramEnd"/>
      <w:r w:rsidRPr="00E85E29">
        <w:rPr>
          <w:rFonts w:ascii="宋体" w:hAnsi="宋体"/>
          <w:b/>
          <w:sz w:val="24"/>
        </w:rPr>
        <w:t>5.10</w:t>
      </w:r>
      <w:r w:rsidRPr="00E85E29">
        <w:rPr>
          <w:rFonts w:ascii="宋体" w:hAnsi="宋体" w:hint="eastAsia"/>
          <w:b/>
          <w:sz w:val="24"/>
        </w:rPr>
        <w:t>报告期末本基金投资的国债期货交易情况说明</w:t>
      </w:r>
    </w:p>
    <w:p w:rsidP="00B249C0" w:rsidR="00B249C0" w:rsidRDefault="00B249C0">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proofErr w:type="spellEnd"/>
      <w:proofErr w:type="gramEnd"/>
      <w:r>
        <w:rPr>
          <w:color w:val="000000"/>
          <w:sz w:val="24"/>
        </w:rPr>
        <w:t>本基金本报告期末未投资国债期货。</w:t>
      </w:r>
    </w:p>
    <w:p w:rsidP="001D5CD0" w:rsidR="00F016DD" w:rsidRDefault="00F016DD" w:rsidRPr="00E85E29">
      <w:pPr>
        <w:autoSpaceDE w:val="0"/>
        <w:autoSpaceDN w:val="0"/>
        <w:adjustRightInd w:val="0"/>
        <w:spacing w:line="360" w:lineRule="auto"/>
        <w:jc w:val="left"/>
        <w:rPr>
          <w:rFonts w:ascii="宋体" w:cs="Arial"/>
          <w:b/>
          <w:kern w:val="0"/>
          <w:sz w:val="24"/>
        </w:rPr>
      </w:pPr>
      <w:r w:rsidRPr="00E85E29">
        <w:rPr>
          <w:rFonts w:ascii="宋体" w:cs="Arial"/>
          <w:b/>
          <w:kern w:val="0"/>
          <w:sz w:val="24"/>
        </w:rPr>
        <w:t/>
      </w:r>
      <w:proofErr w:type="gramStart"/>
      <w:r w:rsidRPr="00E85E29">
        <w:rPr>
          <w:rFonts w:ascii="宋体" w:cs="Arial" w:hAnsi="宋体"/>
          <w:b/>
          <w:kern w:val="0"/>
          <w:sz w:val="24"/>
        </w:rPr>
        <w:t/>
      </w:r>
      <w:proofErr w:type="gramEnd"/>
      <w:r w:rsidRPr="00E85E29">
        <w:rPr>
          <w:rFonts w:ascii="宋体" w:cs="Arial" w:hAnsi="宋体"/>
          <w:b/>
          <w:kern w:val="0"/>
          <w:sz w:val="24"/>
        </w:rPr>
        <w:t>5.11</w:t>
      </w:r>
      <w:r w:rsidRPr="00E85E29">
        <w:rPr>
          <w:rFonts w:ascii="宋体" w:cs="Arial" w:hAnsi="宋体" w:hint="eastAsia"/>
          <w:b/>
          <w:kern w:val="0"/>
          <w:sz w:val="24"/>
        </w:rPr>
        <w:t>投资组合报告附注</w:t>
      </w:r>
    </w:p>
    <w:p w:rsidP="006456D3" w:rsidR="00F016DD" w:rsidRDefault="00B63F2B" w:rsidRPr="00414367">
      <w:pPr>
        <w:widowControl/>
        <w:spacing w:line="360" w:lineRule="auto"/>
        <w:rPr>
          <w:color w:val="000000"/>
          <w:sz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5.11.1</w:t>
      </w:r>
      <w:r w:rsidR="00293065">
        <w:rPr>
          <w:rFonts w:hint="eastAsia"/>
          <w:color w:val="000000"/>
          <w:sz w:val="24"/>
        </w:rPr>
        <w:t xml:space="preserve"> </w:t>
      </w:r>
      <w:r w:rsidR="00F016DD" w:rsidRPr="00414367">
        <w:rPr>
          <w:color w:val="000000"/>
          <w:sz w:val="24"/>
        </w:rPr>
        <w:t>2019年12月2日，重庆渝中区税务局对中联重科股份有限公司未按照规定期限办理纳税申报和报送纳税资料的行为，作出行政处罚。</w:t>
      </w:r>
    </w:p>
    <w:p>
      <w:pPr>
        <w:widowControl/>
        <w:spacing w:line="360" w:lineRule="auto"/>
        <w:rPr>
          <w:color w:val="000000"/>
          <w:sz w:val="24"/>
        </w:rPr>
      </w:pPr>
      <w:r>
        <w:rPr>
          <w:color w:val="000000"/>
          <w:sz w:val="24"/>
        </w:rPr>
        <w:t>2019年11月18日，北京市规划委员会石景山分局对首钢集团有限公司“因设计失误造成实测建筑面积超出规划许可建筑面积”的行为罚款额58765.25元。</w:t>
      </w:r>
    </w:p>
    <w:p>
      <w:pPr>
        <w:widowControl/>
        <w:spacing w:line="360" w:lineRule="auto"/>
        <w:rPr>
          <w:color w:val="000000"/>
          <w:sz w:val="24"/>
        </w:rPr>
      </w:pPr>
      <w:r>
        <w:rPr>
          <w:color w:val="000000"/>
          <w:sz w:val="24"/>
        </w:rPr>
        <w:t>本基金投资18中联重科MTN001、18首钢MTN002的投资决策程序符合公司投资制度的规定。</w:t>
      </w:r>
    </w:p>
    <w:p>
      <w:pPr>
        <w:widowControl/>
        <w:spacing w:line="360" w:lineRule="auto"/>
        <w:rPr>
          <w:color w:val="000000"/>
          <w:sz w:val="24"/>
        </w:rPr>
      </w:pPr>
      <w:r>
        <w:rPr>
          <w:color w:val="000000"/>
          <w:sz w:val="24"/>
        </w:rPr>
        <w:t>除18中联重科MTN001、18首钢MTN002以外，本基金投资的前十名证券的发行主体本期没有出现被监管部门立案调查，或在报告编制日前一年内受到公开谴责、处罚的情形。</w:t>
      </w:r>
    </w:p>
    <w:p w:rsidP="006456D3" w:rsidR="00F016DD" w:rsidRDefault="00B63F2B" w:rsidRPr="00414367">
      <w:pPr>
        <w:widowControl/>
        <w:spacing w:line="360" w:lineRule="auto"/>
        <w:rPr>
          <w:color w:val="000000"/>
          <w:sz w:val="24"/>
        </w:rPr>
      </w:pPr>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5.11.2</w:t>
      </w:r>
      <w:r w:rsidR="00293065">
        <w:rPr>
          <w:rFonts w:hint="eastAsia"/>
          <w:color w:val="000000"/>
          <w:sz w:val="24"/>
        </w:rPr>
        <w:t xml:space="preserve"> </w:t>
      </w:r>
      <w:r w:rsidR="00F016DD" w:rsidRPr="00414367">
        <w:rPr>
          <w:color w:val="000000"/>
          <w:sz w:val="24"/>
        </w:rPr>
        <w:t>本基金投资的前十名股票没有超出基金合同规定的备选股票库。</w:t>
      </w:r>
    </w:p>
    <w:p w:rsidP="001D5CD0" w:rsidR="00F016DD" w:rsidRDefault="00F016DD" w:rsidRPr="00414367">
      <w:pPr>
        <w:autoSpaceDE w:val="0"/>
        <w:autoSpaceDN w:val="0"/>
        <w:adjustRightInd w:val="0"/>
        <w:spacing w:line="360" w:lineRule="auto"/>
        <w:rPr>
          <w:kern w:val="0"/>
          <w:sz w:val="24"/>
        </w:rPr>
      </w:pPr>
      <w:r w:rsidRPr="00414367">
        <w:rPr>
          <w:kern w:val="0"/>
          <w:sz w:val="24"/>
        </w:rPr>
        <w:t/>
      </w:r>
      <w:proofErr w:type="gramStart"/>
      <w:r w:rsidRPr="00414367">
        <w:rPr>
          <w:kern w:val="0"/>
          <w:sz w:val="24"/>
        </w:rPr>
        <w:t/>
      </w:r>
      <w:proofErr w:type="gramEnd"/>
      <w:r w:rsidRPr="00414367">
        <w:rPr>
          <w:kern w:val="0"/>
          <w:sz w:val="24"/>
        </w:rPr>
        <w:t>5.11.3</w:t>
      </w:r>
      <w:r w:rsidRPr="00414367">
        <w:rPr>
          <w:kern w:val="0"/>
          <w:sz w:val="24"/>
        </w:rPr>
        <w:t>其他资产构成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761"/>
        <w:gridCol w:w="4808"/>
      </w:tblGrid>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序号</w:t>
            </w:r>
          </w:p>
        </w:tc>
        <w:tc>
          <w:tcPr>
            <w:tcW w:type="dxa" w:w="2761"/>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名称</w:t>
            </w:r>
          </w:p>
        </w:tc>
        <w:tc>
          <w:tcPr>
            <w:tcW w:type="dxa" w:w="4808"/>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金额</w:t>
            </w:r>
            <w:r w:rsidRPr="00FA472B">
              <w:rPr>
                <w:color w:val="000000"/>
                <w:kern w:val="0"/>
                <w:sz w:val="24"/>
              </w:rPr>
              <w:t>(</w:t>
            </w:r>
            <w:r w:rsidRPr="00FA472B">
              <w:rPr>
                <w:color w:val="000000"/>
                <w:kern w:val="0"/>
                <w:sz w:val="24"/>
              </w:rPr>
              <w:t>元</w:t>
            </w:r>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kern w:val="0"/>
                <w:sz w:val="24"/>
              </w:rPr>
            </w:pPr>
            <w:r w:rsidRPr="00FA472B">
              <w:rPr>
                <w:color w:val="000000"/>
                <w:sz w:val="24"/>
              </w:rPr>
              <w:t>1</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存出保证金</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21,467.72</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2</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应收证券清算款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3</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应收股利</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lastRenderedPageBreak/>
              <w:t>4</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应收利息</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10,272,308.83</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5</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应收申购款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6</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其他应收款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7</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sz w:val="24"/>
              </w:rPr>
            </w:pPr>
            <w:r w:rsidRPr="00FA472B">
              <w:rPr>
                <w:color w:val="000000"/>
                <w:sz w:val="24"/>
              </w:rPr>
              <w:t>待摊费用</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8</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9</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合计</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10,293,776.55</w:t>
            </w:r>
          </w:p>
        </w:tc>
      </w:tr>
    </w:tbl>
    <w:p w:rsidP="001D5CD0" w:rsidR="00F016DD" w:rsidRDefault="00F016DD" w:rsidRPr="00E7356F">
      <w:pPr>
        <w:autoSpaceDE w:val="0"/>
        <w:autoSpaceDN w:val="0"/>
        <w:adjustRightInd w:val="0"/>
        <w:spacing w:line="360" w:lineRule="auto"/>
        <w:jc w:val="left"/>
        <w:rPr>
          <w:rFonts w:ascii="宋体" w:cs="Arial"/>
          <w:kern w:val="0"/>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5.11.4</w:t>
      </w:r>
      <w:r w:rsidRPr="00E7356F">
        <w:rPr>
          <w:rFonts w:ascii="宋体" w:cs="Arial" w:hAnsi="宋体" w:hint="eastAsia"/>
          <w:kern w:val="0"/>
          <w:sz w:val="24"/>
        </w:rPr>
        <w:t>报告期末持有的处于转股期的可转换债券明细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本基金本报告期末未持有处于转股期的可转换债券。</w:t>
      </w:r>
    </w:p>
    <w:p w:rsidP="001D5CD0" w:rsidR="00F016DD" w:rsidRDefault="00F016DD" w:rsidRPr="00E7356F">
      <w:pPr>
        <w:autoSpaceDE w:val="0"/>
        <w:autoSpaceDN w:val="0"/>
        <w:adjustRightInd w:val="0"/>
        <w:spacing w:line="360" w:lineRule="auto"/>
        <w:jc w:val="left"/>
        <w:rPr>
          <w:rFonts w:ascii="宋体"/>
          <w:bCs/>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5.11.5</w:t>
      </w:r>
      <w:r w:rsidRPr="00E7356F">
        <w:rPr>
          <w:rFonts w:ascii="宋体" w:hAnsi="宋体" w:hint="eastAsia"/>
          <w:bCs/>
          <w:sz w:val="24"/>
        </w:rPr>
        <w:t>报告期末前十名股票中存在流通受限情况的说明</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083"/>
        <w:gridCol w:w="1302"/>
        <w:gridCol w:w="1301"/>
        <w:gridCol w:w="1805"/>
        <w:gridCol w:w="1655"/>
        <w:gridCol w:w="1367"/>
      </w:tblGrid>
      <w:tr w:rsidR="00F016DD" w:rsidRPr="00E85E29" w:rsidTr="00F4518C">
        <w:tc>
          <w:tcPr>
            <w:tcW w:type="dxa" w:w="1083"/>
            <w:vAlign w:val="center"/>
          </w:tcPr>
          <w:p w:rsidP="00F4518C"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1302"/>
            <w:vAlign w:val="center"/>
          </w:tcPr>
          <w:p w:rsidP="00F4518C" w:rsidR="00F016DD" w:rsidRDefault="00F016DD" w:rsidRPr="00FA472B">
            <w:pPr>
              <w:spacing w:before="29" w:line="360" w:lineRule="auto"/>
              <w:ind w:left="17"/>
              <w:jc w:val="center"/>
              <w:rPr>
                <w:color w:val="000000"/>
                <w:sz w:val="24"/>
              </w:rPr>
            </w:pPr>
            <w:r w:rsidRPr="00FA472B">
              <w:rPr>
                <w:color w:val="000000"/>
                <w:sz w:val="24"/>
              </w:rPr>
              <w:t>股票代码</w:t>
            </w:r>
          </w:p>
        </w:tc>
        <w:tc>
          <w:tcPr>
            <w:tcW w:type="dxa" w:w="1301"/>
            <w:vAlign w:val="center"/>
          </w:tcPr>
          <w:p w:rsidP="00F4518C" w:rsidR="00F016DD" w:rsidRDefault="00F016DD" w:rsidRPr="00FA472B">
            <w:pPr>
              <w:spacing w:before="29" w:line="360" w:lineRule="auto"/>
              <w:ind w:left="17"/>
              <w:jc w:val="center"/>
              <w:rPr>
                <w:color w:val="000000"/>
                <w:sz w:val="24"/>
              </w:rPr>
            </w:pPr>
            <w:r w:rsidRPr="00FA472B">
              <w:rPr>
                <w:color w:val="000000"/>
                <w:sz w:val="24"/>
              </w:rPr>
              <w:t>股票名称</w:t>
            </w:r>
          </w:p>
        </w:tc>
        <w:tc>
          <w:tcPr>
            <w:tcW w:type="dxa" w:w="1805"/>
            <w:vAlign w:val="center"/>
          </w:tcPr>
          <w:p w:rsidP="00F4518C" w:rsidR="00F016DD" w:rsidRDefault="00F016DD" w:rsidRPr="00FA472B">
            <w:pPr>
              <w:spacing w:before="29" w:line="360" w:lineRule="auto"/>
              <w:ind w:left="17"/>
              <w:jc w:val="center"/>
              <w:rPr>
                <w:color w:val="000000"/>
                <w:sz w:val="24"/>
              </w:rPr>
            </w:pPr>
            <w:r w:rsidRPr="00FA472B">
              <w:rPr>
                <w:color w:val="000000"/>
                <w:sz w:val="24"/>
              </w:rPr>
              <w:t>流通受限部分的公允价值</w:t>
            </w:r>
            <w:r w:rsidRPr="00FA472B">
              <w:rPr>
                <w:color w:val="000000"/>
                <w:sz w:val="24"/>
              </w:rPr>
              <w:t>(</w:t>
            </w:r>
            <w:r w:rsidRPr="00FA472B">
              <w:rPr>
                <w:color w:val="000000"/>
                <w:sz w:val="24"/>
              </w:rPr>
              <w:t>元</w:t>
            </w:r>
            <w:r w:rsidRPr="00FA472B">
              <w:rPr>
                <w:color w:val="000000"/>
                <w:sz w:val="24"/>
              </w:rPr>
              <w:t>)</w:t>
            </w:r>
          </w:p>
        </w:tc>
        <w:tc>
          <w:tcPr>
            <w:tcW w:type="dxa" w:w="1655"/>
            <w:vAlign w:val="center"/>
          </w:tcPr>
          <w:p w:rsidP="00F4518C" w:rsidR="00F016DD" w:rsidRDefault="00F016DD" w:rsidRPr="00FA472B">
            <w:pPr>
              <w:spacing w:before="29" w:line="360" w:lineRule="auto"/>
              <w:ind w:left="17"/>
              <w:jc w:val="center"/>
              <w:rPr>
                <w:color w:val="000000"/>
                <w:sz w:val="24"/>
              </w:rPr>
            </w:pPr>
            <w:r w:rsidRPr="00FA472B">
              <w:rPr>
                <w:color w:val="000000"/>
                <w:sz w:val="24"/>
              </w:rPr>
              <w:t>占基金资产净值比例</w:t>
            </w:r>
            <w:r w:rsidRPr="00FA472B">
              <w:rPr>
                <w:color w:val="000000"/>
                <w:sz w:val="24"/>
              </w:rPr>
              <w:t>(%)</w:t>
            </w:r>
          </w:p>
        </w:tc>
        <w:tc>
          <w:tcPr>
            <w:tcW w:type="dxa" w:w="1367"/>
            <w:vAlign w:val="center"/>
          </w:tcPr>
          <w:p w:rsidP="00F4518C" w:rsidR="00F016DD" w:rsidRDefault="00F016DD" w:rsidRPr="00FA472B">
            <w:pPr>
              <w:spacing w:before="29" w:line="360" w:lineRule="auto"/>
              <w:ind w:left="17"/>
              <w:jc w:val="center"/>
              <w:rPr>
                <w:color w:val="000000"/>
                <w:sz w:val="24"/>
              </w:rPr>
            </w:pPr>
            <w:r w:rsidRPr="00FA472B">
              <w:rPr>
                <w:color w:val="000000"/>
                <w:sz w:val="24"/>
              </w:rPr>
              <w:t>流通受限情况说明</w:t>
            </w:r>
          </w:p>
        </w:tc>
      </w:tr>
      <w:tr>
        <w:tc>
          <w:tcPr>
            <w:vAlign w:val="center"/>
          </w:tcPr>
          <w:p>
            <w:pPr>
              <w:jc w:val="center"/>
            </w:pPr>
            <w:r>
              <w:rPr>
                <w:color w:val="000000"/>
                <w:sz w:val="24"/>
              </w:rPr>
              <w:t>1</w:t>
            </w:r>
          </w:p>
        </w:tc>
        <w:tc>
          <w:tcPr>
            <w:vAlign w:val="center"/>
          </w:tcPr>
          <w:p>
            <w:pPr>
              <w:jc w:val="center"/>
            </w:pPr>
            <w:r>
              <w:rPr>
                <w:color w:val="000000"/>
                <w:sz w:val="24"/>
              </w:rPr>
              <w:t>601816</w:t>
            </w:r>
          </w:p>
        </w:tc>
        <w:tc>
          <w:tcPr>
            <w:vAlign w:val="center"/>
          </w:tcPr>
          <w:p>
            <w:pPr>
              <w:jc w:val="center"/>
            </w:pPr>
            <w:r>
              <w:rPr>
                <w:color w:val="000000"/>
                <w:sz w:val="24"/>
              </w:rPr>
              <w:t>京沪高铁</w:t>
            </w:r>
          </w:p>
        </w:tc>
        <w:tc>
          <w:tcPr>
            <w:vAlign w:val="center"/>
          </w:tcPr>
          <w:p>
            <w:pPr>
              <w:jc w:val="right"/>
            </w:pPr>
            <w:r>
              <w:rPr>
                <w:color w:val="000000"/>
                <w:sz w:val="24"/>
              </w:rPr>
              <w:t>5,593,327.12</w:t>
            </w:r>
          </w:p>
        </w:tc>
        <w:tc>
          <w:tcPr>
            <w:vAlign w:val="center"/>
          </w:tcPr>
          <w:p>
            <w:pPr>
              <w:jc w:val="right"/>
            </w:pPr>
            <w:r>
              <w:rPr>
                <w:color w:val="000000"/>
                <w:sz w:val="24"/>
              </w:rPr>
              <w:t>0.75</w:t>
            </w:r>
          </w:p>
        </w:tc>
        <w:tc>
          <w:tcPr>
            <w:vAlign w:val="center"/>
          </w:tcPr>
          <w:p>
            <w:pPr>
              <w:jc w:val="right"/>
            </w:pPr>
            <w:r>
              <w:rPr>
                <w:color w:val="000000"/>
                <w:sz w:val="24"/>
              </w:rPr>
              <w:t>新股流通受限</w:t>
            </w:r>
          </w:p>
        </w:tc>
      </w:tr>
    </w:tbl>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6  </w:t>
      </w:r>
      <w:r w:rsidRPr="0078105B">
        <w:rPr>
          <w:rFonts w:ascii="宋体" w:cs="Arial" w:hAnsi="宋体" w:hint="eastAsia"/>
          <w:color w:val="000000"/>
          <w:kern w:val="0"/>
          <w:sz w:val="24"/>
          <w:szCs w:val="24"/>
        </w:rPr>
        <w:t>开放式基金份额变动</w:t>
      </w:r>
    </w:p>
    <w:p w:rsidP="00302187"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F016DD" w:rsidRPr="0078105B" w:rsidTr="0001612A">
        <w:tc>
          <w:tcPr>
            <w:tcW w:type="dxa" w:w="3900"/>
            <w:vAlign w:val="center"/>
          </w:tcPr>
          <w:p w:rsidP="00B84643"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项目</w:t>
            </w:r>
            <w:r w:rsidRPr="00FA472B">
              <w:rPr>
                <w:color w:val="000000"/>
                <w:kern w:val="0"/>
              </w:rPr>
              <w:t/>
            </w:r>
            <w:proofErr w:type="spellStart"/>
            <w:r w:rsidRPr="00FA472B">
              <w:rPr>
                <w:color w:val="000000"/>
                <w:kern w:val="0"/>
              </w:rPr>
              <w:t/>
            </w:r>
            <w:proofErr w:type="spellEnd"/>
            <w:r w:rsidRPr="00FA472B">
              <w:rPr>
                <w:color w:val="000000"/>
                <w:kern w:val="0"/>
              </w:rPr>
              <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proofErr w:type="spellStart"/>
            <w:r w:rsidRPr="00FA472B">
              <w:rPr>
                <w:sz w:val="24"/>
              </w:rPr>
              <w:t/>
            </w:r>
            <w:proofErr w:type="spellEnd"/>
            <w:r w:rsidRPr="00FA472B">
              <w:rPr>
                <w:sz w:val="24"/>
              </w:rPr>
              <w:t>易方达瑞兴混合I</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r w:rsidRPr="00FA472B">
              <w:rPr>
                <w:sz w:val="24"/>
              </w:rPr>
              <w:t>易方达瑞兴混合E</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w:t>
            </w:r>
            <w:proofErr w:type="gramStart"/>
            <w:r w:rsidRPr="00FA472B">
              <w:rPr>
                <w:color w:val="000000"/>
                <w:kern w:val="0"/>
                <w:sz w:val="24"/>
              </w:rPr>
              <w:t>初基金</w:t>
            </w:r>
            <w:proofErr w:type="gramEnd"/>
            <w:r w:rsidRPr="00FA472B">
              <w:rPr>
                <w:color w:val="000000"/>
                <w:kern w:val="0"/>
                <w:sz w:val="24"/>
              </w:rPr>
              <w:t>份额总额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400,131,503.22</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25,329,769.71</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基金总申购份额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223,636,094.92</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69,186,646.42</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减：</w:t>
            </w: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基金总赎回份额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86,787,869.57</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60.00</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基金拆分变动份额</w:t>
            </w:r>
            <w:r w:rsidR="009533AD" w:rsidRPr="009533AD">
              <w:rPr>
                <w:rFonts w:hint="eastAsia"/>
                <w:color w:val="000000"/>
                <w:kern w:val="0"/>
                <w:sz w:val="24"/>
              </w:rPr>
              <w:t>（份额减少以“</w:t>
            </w:r>
            <w:r w:rsidR="009533AD" w:rsidRPr="009533AD">
              <w:rPr>
                <w:rFonts w:hint="eastAsia"/>
                <w:color w:val="000000"/>
                <w:kern w:val="0"/>
                <w:sz w:val="24"/>
              </w:rPr>
              <w:t>-</w:t>
            </w:r>
            <w:r w:rsidR="009533AD" w:rsidRPr="009533AD">
              <w:rPr>
                <w:rFonts w:hint="eastAsia"/>
                <w:color w:val="000000"/>
                <w:kern w:val="0"/>
                <w:sz w:val="24"/>
              </w:rPr>
              <w:t>”填列）</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报告期期末基金份额总额</w:t>
            </w:r>
          </w:p>
        </w:tc>
        <w:tc>
          <w:tcPr>
            <w:tcW w:type="dxa" w:w="2367"/>
            <w:vAlign w:val="center"/>
          </w:tcPr>
          <w:p w:rsidP="00B57BCF"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r w:rsidRPr="00FA472B">
              <w:rPr>
                <w:color w:val="000000"/>
                <w:sz w:val="24"/>
              </w:rPr>
              <w:lastRenderedPageBreak/>
              <w:t/>
            </w:r>
            <w:proofErr w:type="spellEnd"/>
            <w:r w:rsidRPr="00FA472B">
              <w:rPr>
                <w:color w:val="000000"/>
                <w:sz w:val="24"/>
              </w:rPr>
              <w:t>536,979,728.57</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lastRenderedPageBreak/>
              <w:t/>
            </w:r>
            <w:r w:rsidRPr="00FA472B">
              <w:rPr>
                <w:color w:val="000000"/>
                <w:sz w:val="24"/>
              </w:rPr>
              <w:lastRenderedPageBreak/>
              <w:t>94,516,356.13</w:t>
            </w:r>
          </w:p>
        </w:tc>
      </w:tr>
    </w:tbl>
    <w:p w:rsidP="00B54884" w:rsidR="00F016DD" w:rsidRDefault="00F016DD">
      <w:pPr>
        <w:pStyle w:val="1"/>
        <w:tabs>
          <w:tab w:pos="4156" w:val="center"/>
          <w:tab w:pos="8312" w:val="right"/>
        </w:tabs>
        <w:spacing w:after="312" w:afterLines="100" w:before="312" w:beforeLines="100" w:line="360" w:lineRule="auto"/>
        <w:jc w:val="center"/>
        <w:rPr>
          <w:rFonts w:ascii="方正仿宋简体"/>
          <w:sz w:val="24"/>
          <w:szCs w:val="24"/>
        </w:rPr>
      </w:pPr>
      <w:r w:rsidRPr="00AB67DE">
        <w:rPr>
          <w:rFonts w:ascii="宋体"/>
          <w:color w:val="000000"/>
          <w:kern w:val="0"/>
          <w:sz w:val="24"/>
          <w:szCs w:val="24"/>
        </w:rPr>
        <w:t/>
      </w:r>
      <w:proofErr w:type="spellStart"/>
      <w:r w:rsidRPr="00AB67DE">
        <w:rPr>
          <w:rFonts w:ascii="宋体" w:hAnsi="宋体"/>
          <w:color w:val="000000"/>
          <w:kern w:val="0"/>
          <w:sz w:val="24"/>
          <w:szCs w:val="24"/>
        </w:rPr>
        <w:t/>
      </w:r>
      <w:proofErr w:type="spellEnd"/>
      <w:r w:rsidRPr="00AB67DE">
        <w:rPr>
          <w:rFonts w:ascii="宋体" w:hAnsi="宋体"/>
          <w:color w:val="000000"/>
          <w:kern w:val="0"/>
          <w:sz w:val="24"/>
          <w:szCs w:val="24"/>
        </w:rPr>
        <w:t/>
      </w:r>
      <w:r w:rsidRPr="00AB67DE">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w:r>
      <w:r w:rsidRPr="00AB67DE">
        <w:rPr>
          <w:rFonts w:ascii="宋体" w:cs="Arial"/>
          <w:color w:val="000000"/>
          <w:kern w:val="0"/>
          <w:sz w:val="24"/>
          <w:szCs w:val="24"/>
        </w:rPr>
        <w:t>7</w:t>
      </w:r>
      <w:r w:rsidR="0066098B" w:rsidRPr="0078105B">
        <w:rPr>
          <w:rFonts w:ascii="宋体" w:cs="Arial" w:hAnsi="宋体"/>
          <w:color w:val="000000"/>
          <w:kern w:val="0"/>
          <w:sz w:val="24"/>
          <w:szCs w:val="24"/>
        </w:rPr>
        <w:t xml:space="preserve">  </w:t>
      </w:r>
      <w:r w:rsidRPr="0016464C">
        <w:rPr>
          <w:rFonts w:ascii="方正仿宋简体" w:hint="eastAsia"/>
          <w:sz w:val="24"/>
          <w:szCs w:val="24"/>
        </w:rPr>
        <w:t>基金管理人运用</w:t>
      </w:r>
      <w:proofErr w:type="gramStart"/>
      <w:r w:rsidRPr="0016464C">
        <w:rPr>
          <w:rFonts w:ascii="方正仿宋简体" w:hint="eastAsia"/>
          <w:sz w:val="24"/>
          <w:szCs w:val="24"/>
        </w:rPr>
        <w:t>固有资金</w:t>
      </w:r>
      <w:proofErr w:type="gramEnd"/>
      <w:r w:rsidRPr="0016464C">
        <w:rPr>
          <w:rFonts w:ascii="方正仿宋简体" w:hint="eastAsia"/>
          <w:sz w:val="24"/>
          <w:szCs w:val="24"/>
        </w:rPr>
        <w:t>投资本基金情况</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7.1 </w:t>
      </w:r>
      <w:r>
        <w:rPr>
          <w:rFonts w:hint="eastAsia"/>
          <w:b/>
          <w:sz w:val="24"/>
        </w:rPr>
        <w:t>基</w:t>
      </w:r>
      <w:r w:rsidRPr="00B404F1">
        <w:rPr>
          <w:rFonts w:hint="eastAsia"/>
          <w:b/>
          <w:sz w:val="24"/>
        </w:rPr>
        <w:t>金管理人持有本基金份额变动情况</w:t>
      </w:r>
    </w:p>
    <w:p w:rsidP="00DF18FE" w:rsidR="00F016DD" w:rsidRDefault="00CC78C7" w:rsidRPr="00DF18FE">
      <w:pPr>
        <w:spacing w:line="360" w:lineRule="auto"/>
        <w:ind w:firstLine="480" w:firstLineChars="200"/>
        <w:rPr>
          <w:color w:val="000000"/>
          <w:sz w:val="24"/>
        </w:rPr>
      </w:pPr>
      <w:r w:rsidRPr="00DF18FE">
        <w:rPr>
          <w:color w:val="000000"/>
          <w:sz w:val="24"/>
        </w:rPr>
        <w:t/>
      </w:r>
      <w:r w:rsidRPr="00EA6415">
        <w:rPr>
          <w:color w:val="000000"/>
          <w:sz w:val="24"/>
        </w:rPr>
        <w:t/>
      </w: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 xml:space="preserve">本报告期内基金管理人未持有本基金份额。 </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7.2 </w:t>
      </w:r>
      <w:r>
        <w:rPr>
          <w:rFonts w:hint="eastAsia"/>
          <w:b/>
          <w:sz w:val="24"/>
        </w:rPr>
        <w:t>基</w:t>
      </w:r>
      <w:r w:rsidRPr="00B404F1">
        <w:rPr>
          <w:rFonts w:hint="eastAsia"/>
          <w:b/>
          <w:sz w:val="24"/>
        </w:rPr>
        <w:t>金管理人运用固有资金投资本基金交易明细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 xml:space="preserve">本报告期内基金管理人未运用固有资金申购、赎回、买卖本基金份额。 </w:t>
      </w:r>
    </w:p>
    <w:p w:rsidP="00997454" w:rsidR="00997454" w:rsidRDefault="00997454" w:rsidRPr="00B75F09">
      <w:pPr>
        <w:pStyle w:val="1"/>
        <w:spacing w:after="312" w:afterLines="100" w:before="312" w:beforeLines="100" w:line="360" w:lineRule="auto"/>
        <w:jc w:val="center"/>
        <w:rPr>
          <w:rFonts w:ascii="宋体" w:cs="Arial" w:hAnsi="宋体"/>
          <w:color w:val="000000"/>
          <w:kern w:val="0"/>
          <w:sz w:val="24"/>
          <w:szCs w:val="24"/>
        </w:rPr>
      </w:pPr>
      <w:r w:rsidRPr="00B75F09">
        <w:rPr>
          <w:rFonts w:ascii="宋体" w:cs="Arial" w:hAnsi="宋体"/>
          <w:color w:val="000000"/>
          <w:kern w:val="0"/>
          <w:sz w:val="24"/>
          <w:szCs w:val="24"/>
        </w:rPr>
        <w:t/>
      </w:r>
      <w:proofErr w:type="spellStart"/>
      <w:r w:rsidRPr="00B75F09">
        <w:rPr>
          <w:rFonts w:ascii="宋体" w:cs="Arial" w:hAnsi="宋体"/>
          <w:color w:val="000000"/>
          <w:kern w:val="0"/>
          <w:sz w:val="24"/>
          <w:szCs w:val="24"/>
        </w:rPr>
        <w:t/>
      </w:r>
      <w:proofErr w:type="spellEnd"/>
      <w:r w:rsidRPr="00B75F09">
        <w:rPr>
          <w:rFonts w:ascii="宋体" w:cs="Arial" w:hAnsi="宋体"/>
          <w:color w:val="000000"/>
          <w:kern w:val="0"/>
          <w:sz w:val="24"/>
          <w:szCs w:val="24"/>
        </w:rPr>
        <w:t>§8</w:t>
      </w:r>
      <w:r w:rsidR="0066098B" w:rsidRPr="0078105B">
        <w:rPr>
          <w:rFonts w:ascii="宋体" w:cs="Arial" w:hAnsi="宋体"/>
          <w:color w:val="000000"/>
          <w:kern w:val="0"/>
          <w:sz w:val="24"/>
          <w:szCs w:val="24"/>
        </w:rPr>
        <w:t xml:space="preserve">  </w:t>
      </w:r>
      <w:r w:rsidRPr="00B75F09">
        <w:rPr>
          <w:rFonts w:ascii="宋体" w:cs="Arial" w:hAnsi="宋体"/>
          <w:color w:val="000000"/>
          <w:kern w:val="0"/>
          <w:sz w:val="24"/>
          <w:szCs w:val="24"/>
        </w:rPr>
        <w:t>影响投资者决策的其他重要信息</w:t>
      </w:r>
    </w:p>
    <w:p w:rsidP="00575C75" w:rsidR="00575C75" w:rsidRDefault="00575C75" w:rsidRPr="001F5F5D">
      <w:pPr>
        <w:autoSpaceDE w:val="0"/>
        <w:autoSpaceDN w:val="0"/>
        <w:adjustRightInd w:val="0"/>
        <w:spacing w:line="360" w:lineRule="auto"/>
        <w:jc w:val="left"/>
        <w:rPr>
          <w:rFonts w:ascii="宋体"/>
          <w:b/>
          <w:bCs/>
          <w:color w:val="000000"/>
          <w:kern w:val="0"/>
          <w:sz w:val="24"/>
        </w:rPr>
      </w:pPr>
      <w:r w:rsidRPr="001F5F5D">
        <w:rPr>
          <w:rFonts w:ascii="宋体"/>
          <w:b/>
          <w:bCs/>
          <w:color w:val="000000"/>
          <w:kern w:val="0"/>
          <w:sz w:val="24"/>
        </w:rPr>
        <w:t/>
      </w:r>
      <w:proofErr w:type="spellStart"/>
      <w:r w:rsidRPr="001F5F5D">
        <w:rPr>
          <w:rFonts w:ascii="宋体"/>
          <w:b/>
          <w:bCs/>
          <w:color w:val="000000"/>
          <w:kern w:val="0"/>
          <w:sz w:val="24"/>
        </w:rPr>
        <w:t/>
      </w:r>
      <w:proofErr w:type="spellEnd"/>
      <w:r w:rsidRPr="001F5F5D">
        <w:rPr>
          <w:rFonts w:ascii="宋体"/>
          <w:b/>
          <w:bCs/>
          <w:color w:val="000000"/>
          <w:kern w:val="0"/>
          <w:sz w:val="24"/>
        </w:rPr>
        <w:t/>
      </w:r>
      <w:proofErr w:type="gramStart"/>
      <w:r w:rsidRPr="001F5F5D">
        <w:rPr>
          <w:rFonts w:ascii="宋体"/>
          <w:b/>
          <w:bCs/>
          <w:color w:val="000000"/>
          <w:kern w:val="0"/>
          <w:sz w:val="24"/>
        </w:rPr>
        <w:t/>
      </w:r>
      <w:proofErr w:type="gramEnd"/>
      <w:r w:rsidRPr="001F5F5D">
        <w:rPr>
          <w:rFonts w:ascii="宋体"/>
          <w:b/>
          <w:bCs/>
          <w:color w:val="000000"/>
          <w:kern w:val="0"/>
          <w:sz w:val="24"/>
        </w:rPr>
        <w:t>8.1 报告期内单一投资者持有基金份额比例达到或超过20%的情况</w:t>
      </w:r>
    </w:p>
    <w:tbl>
      <w:tblPr>
        <w:tblStyle w:val="af2"/>
        <w:tblW w:type="dxa" w:w="9640"/>
        <w:jc w:val="center"/>
        <w:tblLayout w:type="fixed"/>
        <w:tblLook w:firstColumn="1" w:firstRow="1" w:lastColumn="0" w:lastRow="0" w:noHBand="0" w:noVBand="1" w:val="04A0"/>
      </w:tblPr>
      <w:tblGrid>
        <w:gridCol w:w="709"/>
        <w:gridCol w:w="709"/>
        <w:gridCol w:w="2126"/>
        <w:gridCol w:w="1276"/>
        <w:gridCol w:w="1276"/>
        <w:gridCol w:w="1276"/>
        <w:gridCol w:w="1417"/>
        <w:gridCol w:w="851"/>
      </w:tblGrid>
      <w:tr w:rsidR="00575C75" w:rsidRPr="00FC0759" w:rsidTr="00CD72D6">
        <w:trPr>
          <w:jc w:val="center"/>
        </w:trPr>
        <w:tc>
          <w:tcPr>
            <w:tcW w:type="dxa" w:w="709"/>
            <w:vMerge w:val="restart"/>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投资者类别</w:t>
            </w:r>
            <w:r w:rsidRPr="00FC0759">
              <w:rPr>
                <w:rFonts w:eastAsia="仿宋"/>
                <w:color w:themeColor="text1" w:val="000000"/>
                <w:sz w:val="24"/>
              </w:rPr>
              <w:t/>
            </w:r>
            <w:proofErr w:type="spellStart"/>
            <w:r w:rsidRPr="00FC0759">
              <w:rPr>
                <w:rFonts w:eastAsia="仿宋"/>
                <w:color w:themeColor="text1" w:val="000000"/>
                <w:sz w:val="24"/>
              </w:rPr>
              <w:t/>
            </w:r>
            <w:proofErr w:type="spellEnd"/>
            <w:r w:rsidRPr="00FC0759">
              <w:rPr>
                <w:rFonts w:eastAsia="仿宋"/>
                <w:color w:themeColor="text1" w:val="000000"/>
                <w:sz w:val="24"/>
              </w:rPr>
              <w:t/>
            </w:r>
            <w:proofErr w:type="spellStart"/>
            <w:r w:rsidRPr="00FC0759">
              <w:rPr>
                <w:rFonts w:eastAsia="仿宋"/>
                <w:color w:themeColor="text1" w:val="000000"/>
                <w:sz w:val="24"/>
              </w:rPr>
              <w:t/>
            </w:r>
            <w:proofErr w:type="spellEnd"/>
            <w:r w:rsidRPr="00FC0759">
              <w:rPr>
                <w:rFonts w:eastAsia="仿宋"/>
                <w:color w:themeColor="text1" w:val="000000"/>
                <w:sz w:val="24"/>
              </w:rPr>
              <w:t/>
            </w:r>
          </w:p>
        </w:tc>
        <w:tc>
          <w:tcPr>
            <w:tcW w:type="dxa" w:w="6663"/>
            <w:gridSpan w:val="5"/>
            <w:vAlign w:val="center"/>
          </w:tcPr>
          <w:p w:rsidP="00CD72D6" w:rsidR="00575C75" w:rsidRDefault="00575C75" w:rsidRPr="00FC0759">
            <w:pPr>
              <w:autoSpaceDE w:val="0"/>
              <w:autoSpaceDN w:val="0"/>
              <w:adjustRightInd w:val="0"/>
              <w:ind w:firstLine="1126"/>
              <w:jc w:val="center"/>
              <w:rPr>
                <w:rFonts w:eastAsiaTheme="minorEastAsia"/>
                <w:b/>
                <w:bCs/>
                <w:color w:themeColor="text1" w:val="000000"/>
                <w:sz w:val="24"/>
              </w:rPr>
            </w:pPr>
            <w:r w:rsidRPr="00FC0759">
              <w:rPr>
                <w:color w:val="000000"/>
                <w:sz w:val="24"/>
              </w:rPr>
              <w:t>报告期内持有基金份额变化情况</w:t>
            </w:r>
          </w:p>
        </w:tc>
        <w:tc>
          <w:tcPr>
            <w:tcW w:type="dxa" w:w="2268"/>
            <w:gridSpan w:val="2"/>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报告期末持有基金情况</w:t>
            </w:r>
          </w:p>
        </w:tc>
      </w:tr>
      <w:tr w:rsidR="00575C75" w:rsidRPr="00FC0759" w:rsidTr="00CD72D6">
        <w:trPr>
          <w:jc w:val="center"/>
        </w:trPr>
        <w:tc>
          <w:tcPr>
            <w:tcW w:type="dxa" w:w="709"/>
            <w:vMerge/>
            <w:vAlign w:val="center"/>
          </w:tcPr>
          <w:p w:rsidP="00CD72D6" w:rsidR="00575C75" w:rsidRDefault="00575C75" w:rsidRPr="00FC0759">
            <w:pPr>
              <w:autoSpaceDE w:val="0"/>
              <w:autoSpaceDN w:val="0"/>
              <w:adjustRightInd w:val="0"/>
              <w:ind w:firstLine="1234"/>
              <w:jc w:val="center"/>
              <w:rPr>
                <w:rFonts w:eastAsiaTheme="minorEastAsia"/>
                <w:b/>
                <w:bCs/>
                <w:color w:themeColor="text1" w:val="000000"/>
                <w:sz w:val="24"/>
              </w:rPr>
            </w:pPr>
          </w:p>
        </w:tc>
        <w:tc>
          <w:tcPr>
            <w:tcW w:type="dxa" w:w="709"/>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序号</w:t>
            </w:r>
          </w:p>
        </w:tc>
        <w:tc>
          <w:tcPr>
            <w:tcW w:type="dxa" w:w="2126"/>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持有基金份额比例达到或者超过</w:t>
            </w:r>
            <w:r w:rsidRPr="00FC0759">
              <w:rPr>
                <w:color w:val="000000"/>
                <w:sz w:val="24"/>
              </w:rPr>
              <w:t>20%</w:t>
            </w:r>
            <w:r w:rsidRPr="00FC0759">
              <w:rPr>
                <w:color w:val="000000"/>
                <w:sz w:val="24"/>
              </w:rPr>
              <w:t>的时间区间</w:t>
            </w:r>
          </w:p>
        </w:tc>
        <w:tc>
          <w:tcPr>
            <w:tcW w:type="dxa" w:w="1276"/>
            <w:vAlign w:val="center"/>
          </w:tcPr>
          <w:p w:rsidP="00CD72D6" w:rsidR="00575C75" w:rsidRDefault="00575C75" w:rsidRPr="00FC0759">
            <w:pPr>
              <w:widowControl/>
              <w:rPr>
                <w:rFonts w:eastAsiaTheme="minorEastAsia"/>
                <w:b/>
                <w:bCs/>
                <w:color w:themeColor="text1" w:val="000000"/>
                <w:sz w:val="24"/>
              </w:rPr>
            </w:pPr>
            <w:r w:rsidRPr="00FC0759">
              <w:rPr>
                <w:color w:val="000000"/>
                <w:sz w:val="24"/>
              </w:rPr>
              <w:t>期初份额</w:t>
            </w:r>
          </w:p>
        </w:tc>
        <w:tc>
          <w:tcPr>
            <w:tcW w:type="dxa" w:w="1276"/>
            <w:vAlign w:val="center"/>
          </w:tcPr>
          <w:p w:rsidP="00CD72D6" w:rsidR="00575C75" w:rsidRDefault="00575C75" w:rsidRPr="00FC0759">
            <w:pPr>
              <w:widowControl/>
              <w:rPr>
                <w:rFonts w:eastAsiaTheme="minorEastAsia"/>
                <w:b/>
                <w:bCs/>
                <w:color w:themeColor="text1" w:val="000000"/>
                <w:sz w:val="24"/>
              </w:rPr>
            </w:pPr>
            <w:r w:rsidRPr="00FC0759">
              <w:rPr>
                <w:color w:val="000000"/>
                <w:sz w:val="24"/>
              </w:rPr>
              <w:t>申购份额</w:t>
            </w:r>
          </w:p>
        </w:tc>
        <w:tc>
          <w:tcPr>
            <w:tcW w:type="dxa" w:w="1276"/>
            <w:vAlign w:val="center"/>
          </w:tcPr>
          <w:p w:rsidP="00CD72D6" w:rsidR="00575C75" w:rsidRDefault="00575C75" w:rsidRPr="00FC0759">
            <w:pPr>
              <w:widowControl/>
              <w:rPr>
                <w:rFonts w:eastAsiaTheme="minorEastAsia"/>
                <w:b/>
                <w:bCs/>
                <w:color w:themeColor="text1" w:val="000000"/>
                <w:sz w:val="24"/>
              </w:rPr>
            </w:pPr>
            <w:r w:rsidRPr="00FC0759">
              <w:rPr>
                <w:color w:val="000000"/>
                <w:sz w:val="24"/>
              </w:rPr>
              <w:t>赎回份额</w:t>
            </w:r>
          </w:p>
        </w:tc>
        <w:tc>
          <w:tcPr>
            <w:tcW w:type="dxa" w:w="1417"/>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持有份额</w:t>
            </w:r>
          </w:p>
        </w:tc>
        <w:tc>
          <w:tcPr>
            <w:tcW w:type="dxa" w:w="851"/>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份额占比</w:t>
            </w:r>
          </w:p>
        </w:tc>
      </w:tr>
      <w:tr>
        <w:tc>
          <w:tcPr>
            <w:vMerge w:val="restart"/>
            <w:vAlign w:val="center"/>
          </w:tcPr>
          <w:p>
            <w:r>
              <w:rPr>
                <w:rFonts w:eastAsiaTheme="minorEastAsia"/>
                <w:bCs/>
                <w:color w:themeColor="text1" w:val="000000"/>
                <w:sz w:val="24"/>
              </w:rPr>
              <w:t>机构</w:t>
            </w:r>
          </w:p>
        </w:tc>
        <w:tc>
          <w:tcPr>
            <w:vAlign w:val="center"/>
          </w:tcPr>
          <w:p>
            <w:pPr>
              <w:jc w:val="center"/>
            </w:pPr>
            <w:r>
              <w:rPr>
                <w:sz w:val="24"/>
              </w:rPr>
              <w:t>1</w:t>
            </w:r>
          </w:p>
        </w:tc>
        <w:tc>
          <w:tcPr>
            <w:vAlign w:val="center"/>
          </w:tcPr>
          <w:p>
            <w:pPr>
              <w:jc w:val="center"/>
            </w:pPr>
            <w:r>
              <w:rPr>
                <w:sz w:val="24"/>
              </w:rPr>
              <w:t>2020年04月01日~2020年05月20日</w:t>
            </w:r>
          </w:p>
        </w:tc>
        <w:tc>
          <w:tcPr>
            <w:vAlign w:val="center"/>
          </w:tcPr>
          <w:p>
            <w:pPr>
              <w:jc w:val="center"/>
            </w:pPr>
            <w:r>
              <w:rPr>
                <w:sz w:val="24"/>
              </w:rPr>
              <w:t>96,431,051.11</w:t>
            </w:r>
          </w:p>
        </w:tc>
        <w:tc>
          <w:tcPr>
            <w:vAlign w:val="center"/>
          </w:tcPr>
          <w:p>
            <w:pPr>
              <w:jc w:val="center"/>
            </w:pPr>
            <w:r>
              <w:rPr>
                <w:sz w:val="24"/>
              </w:rPr>
              <w:t>-</w:t>
            </w:r>
          </w:p>
        </w:tc>
        <w:tc>
          <w:tcPr>
            <w:vAlign w:val="center"/>
          </w:tcPr>
          <w:p>
            <w:pPr>
              <w:jc w:val="center"/>
            </w:pPr>
            <w:r>
              <w:rPr>
                <w:sz w:val="24"/>
              </w:rPr>
              <w:t>-</w:t>
            </w:r>
          </w:p>
        </w:tc>
        <w:tc>
          <w:tcPr>
            <w:vAlign w:val="center"/>
          </w:tcPr>
          <w:p>
            <w:pPr>
              <w:jc w:val="center"/>
            </w:pPr>
            <w:r>
              <w:rPr>
                <w:sz w:val="24"/>
              </w:rPr>
              <w:t>96,431,051.11</w:t>
            </w:r>
          </w:p>
        </w:tc>
        <w:tc>
          <w:tcPr>
            <w:vAlign w:val="center"/>
          </w:tcPr>
          <w:p>
            <w:pPr>
              <w:jc w:val="center"/>
            </w:pPr>
            <w:r>
              <w:rPr>
                <w:sz w:val="24"/>
              </w:rPr>
              <w:t>15.27%</w:t>
            </w:r>
          </w:p>
        </w:tc>
      </w:tr>
      <w:tr>
        <w:tc>
          <w:tcPr>
            <w:vMerge/>
          </w:tcPr>
          <w:p/>
        </w:tc>
        <w:tc>
          <w:tcPr>
            <w:vAlign w:val="center"/>
          </w:tcPr>
          <w:p>
            <w:pPr>
              <w:jc w:val="center"/>
            </w:pPr>
            <w:r>
              <w:rPr>
                <w:sz w:val="24"/>
              </w:rPr>
              <w:t>2</w:t>
            </w:r>
          </w:p>
        </w:tc>
        <w:tc>
          <w:tcPr>
            <w:vAlign w:val="center"/>
          </w:tcPr>
          <w:p>
            <w:pPr>
              <w:jc w:val="center"/>
            </w:pPr>
            <w:r>
              <w:rPr>
                <w:sz w:val="24"/>
              </w:rPr>
              <w:t>2020年04月01日~2020年05月17日</w:t>
            </w:r>
          </w:p>
        </w:tc>
        <w:tc>
          <w:tcPr>
            <w:vAlign w:val="center"/>
          </w:tcPr>
          <w:p>
            <w:pPr>
              <w:jc w:val="center"/>
            </w:pPr>
            <w:r>
              <w:rPr>
                <w:sz w:val="24"/>
              </w:rPr>
              <w:t>86,787,849.57</w:t>
            </w:r>
          </w:p>
        </w:tc>
        <w:tc>
          <w:tcPr>
            <w:vAlign w:val="center"/>
          </w:tcPr>
          <w:p>
            <w:pPr>
              <w:jc w:val="center"/>
            </w:pPr>
            <w:r>
              <w:rPr>
                <w:sz w:val="24"/>
              </w:rPr>
              <w:t>-</w:t>
            </w:r>
          </w:p>
        </w:tc>
        <w:tc>
          <w:tcPr>
            <w:vAlign w:val="center"/>
          </w:tcPr>
          <w:p>
            <w:pPr>
              <w:jc w:val="center"/>
            </w:pPr>
            <w:r>
              <w:rPr>
                <w:sz w:val="24"/>
              </w:rPr>
              <w:t>86,787,849.57</w:t>
            </w:r>
          </w:p>
        </w:tc>
        <w:tc>
          <w:tcPr>
            <w:vAlign w:val="center"/>
          </w:tcPr>
          <w:p>
            <w:pPr>
              <w:jc w:val="center"/>
            </w:pPr>
            <w:r>
              <w:rPr>
                <w:sz w:val="24"/>
              </w:rPr>
              <w:t>-</w:t>
            </w:r>
          </w:p>
        </w:tc>
        <w:tc>
          <w:tcPr>
            <w:vAlign w:val="center"/>
          </w:tcPr>
          <w:p>
            <w:pPr>
              <w:jc w:val="center"/>
            </w:pPr>
            <w:r>
              <w:rPr>
                <w:sz w:val="24"/>
              </w:rPr>
              <w:t>-</w:t>
            </w:r>
          </w:p>
        </w:tc>
      </w:tr>
    </w:tbl>
    <w:tbl>
      <w:tblPr>
        <w:tblStyle w:val="af2"/>
        <w:tblW w:type="dxa" w:w="9637"/>
        <w:jc w:val="center"/>
        <w:tblLayout w:type="fixed"/>
        <w:tblLook w:firstColumn="1" w:firstRow="1" w:lastColumn="0" w:lastRow="0" w:noHBand="0" w:noVBand="1" w:val="04A0"/>
      </w:tblPr>
      <w:tblGrid>
        <w:gridCol w:w="9637"/>
      </w:tblGrid>
      <w:tr w:rsidR="00575C75" w:rsidRPr="00FC0759" w:rsidTr="00CD72D6">
        <w:trPr>
          <w:jc w:val="center"/>
        </w:trPr>
        <w:tc>
          <w:tcPr>
            <w:tcW w:type="dxa" w:w="9637"/>
            <w:vAlign w:val="center"/>
          </w:tcPr>
          <w:p w:rsidP="00BF07C4" w:rsidR="00575C75" w:rsidRDefault="00575C75" w:rsidRPr="00FC0759">
            <w:pPr>
              <w:autoSpaceDE w:val="0"/>
              <w:autoSpaceDN w:val="0"/>
              <w:adjustRightInd w:val="0"/>
              <w:jc w:val="center"/>
              <w:rPr>
                <w:sz w:val="24"/>
              </w:rPr>
            </w:pPr>
            <w:bookmarkStart w:id="2" w:name="_GoBack"/>
            <w:r w:rsidRPr="00FC0759">
              <w:rPr>
                <w:color w:val="000000"/>
                <w:sz w:val="24"/>
              </w:rPr>
              <w:t>产品特有风险</w:t>
            </w:r>
            <w:r w:rsidRPr="00FC0759">
              <w:rPr>
                <w:sz w:val="24"/>
              </w:rPr>
              <w:t/>
            </w:r>
            <w:proofErr w:type="spellStart"/>
            <w:r w:rsidRPr="00FC0759">
              <w:rPr>
                <w:sz w:val="24"/>
              </w:rPr>
              <w:t/>
            </w:r>
            <w:proofErr w:type="spellEnd"/>
            <w:r w:rsidRPr="00FC0759">
              <w:rPr>
                <w:sz w:val="24"/>
              </w:rPr>
              <w:t/>
            </w:r>
          </w:p>
        </w:tc>
      </w:tr>
      <w:tr w:rsidR="00575C75" w:rsidRPr="00FC0759" w:rsidTr="00CD72D6">
        <w:trPr>
          <w:jc w:val="center"/>
        </w:trPr>
        <w:tc>
          <w:tcPr>
            <w:tcW w:type="dxa" w:w="9637"/>
            <w:vAlign w:val="center"/>
          </w:tcPr>
          <w:p w:rsidP="00CD72D6" w:rsidR="00575C75" w:rsidRDefault="00575C75" w:rsidRPr="00FC0759">
            <w:pPr>
              <w:autoSpaceDE w:val="0"/>
              <w:autoSpaceDN w:val="0"/>
              <w:adjustRightInd w:val="0"/>
              <w:jc w:val="left"/>
              <w:rPr>
                <w:sz w:val="24"/>
              </w:rPr>
            </w:pPr>
            <w:r w:rsidRPr="00FC0759">
              <w:rPr>
                <w:sz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5000万元，基金还可能面临转换运作方式、与其他基金合并或者终止基金合同等情形；持有基金份额占比较高的投资者在召开持有人大会并对审议事项进行投票表决时可能拥有较大话语权。</w:t>
            </w:r>
          </w:p>
        </w:tc>
      </w:tr>
    </w:tbl>
    <w:bookmarkEnd w:id="2"/>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color w:val="000000"/>
          <w:kern w:val="0"/>
          <w:sz w:val="24"/>
          <w:szCs w:val="24"/>
        </w:rPr>
        <w:t/>
      </w:r>
      <w:r w:rsidRPr="0078105B">
        <w:rPr>
          <w:rFonts w:ascii="宋体" w:cs="Arial" w:hAnsi="宋体"/>
          <w:color w:val="000000"/>
          <w:kern w:val="0"/>
          <w:sz w:val="24"/>
          <w:szCs w:val="24"/>
        </w:rPr>
        <w:t>9</w:t>
      </w:r>
      <w:r w:rsidR="0066098B" w:rsidRPr="0078105B">
        <w:rPr>
          <w:rFonts w:ascii="宋体" w:cs="Arial" w:hAnsi="宋体"/>
          <w:color w:val="000000"/>
          <w:kern w:val="0"/>
          <w:sz w:val="24"/>
          <w:szCs w:val="24"/>
        </w:rPr>
        <w:t xml:space="preserve">  </w:t>
      </w:r>
      <w:r w:rsidRPr="0078105B">
        <w:rPr>
          <w:rFonts w:ascii="宋体" w:cs="Arial" w:hAnsi="宋体" w:hint="eastAsia"/>
          <w:color w:val="000000"/>
          <w:kern w:val="0"/>
          <w:sz w:val="24"/>
          <w:szCs w:val="24"/>
        </w:rPr>
        <w:t>备查文件目录</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9.1</w:t>
      </w:r>
      <w:r w:rsidRPr="00E8153C">
        <w:rPr>
          <w:color w:val="000000"/>
          <w:kern w:val="0"/>
          <w:sz w:val="24"/>
        </w:rPr>
        <w:t>备查文件目录</w:t>
      </w:r>
    </w:p>
    <w:p>
      <w:pPr>
        <w:spacing w:line="360" w:lineRule="auto"/>
        <w:ind w:firstLine="480" w:firstLineChars="200"/>
        <w:rPr>
          <w:color w:val="000000"/>
          <w:sz w:val="24"/>
        </w:rPr>
      </w:pPr>
      <w:r>
        <w:rPr>
          <w:color w:val="000000"/>
          <w:sz w:val="24"/>
        </w:rPr>
        <w:t>1.中国证监会准予易方达瑞兴灵活配置混合型证券投资基金注册的文件；</w:t>
      </w:r>
    </w:p>
    <w:p>
      <w:pPr>
        <w:spacing w:line="360" w:lineRule="auto"/>
        <w:ind w:firstLine="480" w:firstLineChars="200"/>
        <w:rPr>
          <w:color w:val="000000"/>
          <w:sz w:val="24"/>
        </w:rPr>
      </w:pPr>
      <w:r>
        <w:rPr>
          <w:color w:val="000000"/>
          <w:sz w:val="24"/>
        </w:rPr>
        <w:t>2.《易方达瑞兴灵活配置混合型证券投资基金基金合同》；</w:t>
      </w:r>
    </w:p>
    <w:p>
      <w:pPr>
        <w:spacing w:line="360" w:lineRule="auto"/>
        <w:ind w:firstLine="480" w:firstLineChars="200"/>
        <w:rPr>
          <w:color w:val="000000"/>
          <w:sz w:val="24"/>
        </w:rPr>
      </w:pPr>
      <w:r>
        <w:rPr>
          <w:color w:val="000000"/>
          <w:sz w:val="24"/>
        </w:rPr>
        <w:t>3.《易方达瑞兴灵活配置混合型证券投资基金托管协议》；</w:t>
      </w:r>
    </w:p>
    <w:p>
      <w:pPr>
        <w:spacing w:line="360" w:lineRule="auto"/>
        <w:ind w:firstLine="480" w:firstLineChars="200"/>
        <w:rPr>
          <w:color w:val="000000"/>
          <w:sz w:val="24"/>
        </w:rPr>
      </w:pPr>
      <w:r>
        <w:rPr>
          <w:color w:val="000000"/>
          <w:sz w:val="24"/>
        </w:rPr>
        <w:t>4.《易方达基金管理有限公司开放式基金业务规则》；</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5.基金管理人业务资格批件、营业执照。</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9.2</w:t>
      </w:r>
      <w:r w:rsidRPr="00E8153C">
        <w:rPr>
          <w:color w:val="000000"/>
          <w:kern w:val="0"/>
          <w:sz w:val="24"/>
        </w:rPr>
        <w:t>存放地点</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广州市天河区珠江新城珠江东路30号广州银行大厦40-43楼。</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9.3</w:t>
      </w:r>
      <w:r w:rsidRPr="00E8153C">
        <w:rPr>
          <w:color w:val="000000"/>
          <w:kern w:val="0"/>
          <w:sz w:val="24"/>
        </w:rPr>
        <w:t>查阅方式</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投资者可在营业时间免费查阅，也可按工本费购买复印件。</w:t>
      </w:r>
    </w:p>
    <w:p w:rsidP="00FB3C94" w:rsidR="00F016DD" w:rsidRDefault="00F016DD" w:rsidRPr="0078105B">
      <w:pPr>
        <w:spacing w:line="360" w:lineRule="auto"/>
        <w:ind w:left="840"/>
        <w:jc w:val="right"/>
        <w:rPr>
          <w:rFonts w:ascii="宋体"/>
          <w:color w:val="000000"/>
          <w:sz w:val="24"/>
        </w:rPr>
      </w:pPr>
    </w:p>
    <w:p w:rsidP="00053FFD" w:rsidR="00F016DD" w:rsidRDefault="00F016DD" w:rsidRPr="0078105B">
      <w:pPr>
        <w:spacing w:line="360" w:lineRule="auto"/>
        <w:ind w:left="840"/>
        <w:jc w:val="center"/>
        <w:rPr>
          <w:rFonts w:ascii="宋体"/>
          <w:b/>
          <w:color w:val="000000"/>
          <w:sz w:val="24"/>
        </w:rPr>
      </w:pPr>
    </w:p>
    <w:p w:rsidP="00B1493B" w:rsidR="00F016DD" w:rsidRDefault="00F016DD" w:rsidRPr="0078105B">
      <w:pPr>
        <w:spacing w:line="360" w:lineRule="auto"/>
        <w:jc w:val="right"/>
        <w:rPr>
          <w:rFonts w:ascii="宋体" w:hAnsi="宋体"/>
          <w:b/>
          <w:bCs/>
          <w:sz w:val="24"/>
        </w:rPr>
      </w:pPr>
      <w:r w:rsidRPr="0078105B">
        <w:rPr>
          <w:rFonts w:asci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易方达基金管理有限公司</w:t>
      </w:r>
    </w:p>
    <w:p w:rsidP="00B1493B" w:rsidR="00F016DD" w:rsidRDefault="00F016DD" w:rsidRPr="0078105B">
      <w:pPr>
        <w:spacing w:line="360" w:lineRule="auto"/>
        <w:jc w:val="right"/>
        <w:rPr>
          <w:rFonts w:ascii="宋体" w:hAnsi="宋体"/>
          <w:b/>
          <w:bCs/>
          <w:sz w:val="24"/>
        </w:rPr>
      </w:pPr>
      <w:r w:rsidRPr="0078105B">
        <w:rPr>
          <w:rFonts w:ascii="宋体" w:hAns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二〇二〇年七月二十一日</w:t>
      </w:r>
    </w:p>
    <w:sectPr w:rsidR="00F016DD" w:rsidRPr="0078105B" w:rsidSect="00A8324F">
      <w:footerReference r:id="rId12" w:type="even"/>
      <w:footerReference r:id="rId13" w:type="default"/>
      <w:pgSz w:h="16838" w:w="11906"/>
      <w:pgMar w:bottom="1440" w:footer="992" w:gutter="0" w:header="851" w:left="1800" w:right="1286"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041" w:rsidRDefault="00901041">
      <w:r>
        <w:separator/>
      </w:r>
    </w:p>
  </w:endnote>
  <w:endnote w:type="continuationSeparator" w:id="0">
    <w:p w:rsidR="00901041" w:rsidRDefault="00901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简体">
    <w:altName w:val="微软雅黑"/>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7094A" w:rsidR="00611CB2" w:rsidRDefault="00611CB2" w:rsidRPr="001D0DB0">
    <w:pPr>
      <w:pStyle w:val="a6"/>
      <w:jc w:val="center"/>
    </w:pPr>
    <w:r>
      <w:rPr>
        <w:rFonts w:hint="eastAsia"/>
        <w:szCs w:val="21"/>
      </w:rPr>
      <w:t>第</w:t>
    </w:r>
    <w:r w:rsidR="00F85FCB">
      <w:rPr>
        <w:szCs w:val="21"/>
      </w:rPr>
      <w:fldChar w:fldCharType="begin"/>
    </w:r>
    <w:r>
      <w:rPr>
        <w:szCs w:val="21"/>
      </w:rPr>
      <w:instrText xml:space="preserve"> PAGE </w:instrText>
    </w:r>
    <w:r w:rsidR="00F85FCB">
      <w:rPr>
        <w:szCs w:val="21"/>
      </w:rPr>
      <w:fldChar w:fldCharType="separate"/>
    </w:r>
    <w:r w:rsidR="0001612A">
      <w:rPr>
        <w:noProof/>
        <w:szCs w:val="21"/>
      </w:rPr>
      <w:t>1</w:t>
    </w:r>
    <w:r w:rsidR="00F85FCB">
      <w:rPr>
        <w:szCs w:val="21"/>
      </w:rPr>
      <w:fldChar w:fldCharType="end"/>
    </w:r>
    <w:proofErr w:type="gramStart"/>
    <w:r>
      <w:rPr>
        <w:rFonts w:hint="eastAsia"/>
        <w:szCs w:val="21"/>
      </w:rPr>
      <w:t>页共</w:t>
    </w:r>
    <w:proofErr w:type="gramEnd"/>
    <w:r w:rsidR="00F85FCB">
      <w:rPr>
        <w:szCs w:val="21"/>
      </w:rPr>
      <w:fldChar w:fldCharType="begin"/>
    </w:r>
    <w:r>
      <w:rPr>
        <w:szCs w:val="21"/>
      </w:rPr>
      <w:instrText xml:space="preserve"> NUMPAGES </w:instrText>
    </w:r>
    <w:r w:rsidR="00F85FCB">
      <w:rPr>
        <w:szCs w:val="21"/>
      </w:rPr>
      <w:fldChar w:fldCharType="separate"/>
    </w:r>
    <w:r w:rsidR="0001612A">
      <w:rPr>
        <w:noProof/>
        <w:szCs w:val="21"/>
      </w:rPr>
      <w:t>1</w:t>
    </w:r>
    <w:r w:rsidR="00F85FCB">
      <w:rPr>
        <w:szCs w:val="21"/>
      </w:rPr>
      <w:fldChar w:fldCharType="end"/>
    </w:r>
    <w:r>
      <w:rPr>
        <w:rFonts w:hint="eastAsia"/>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end"/>
    </w:r>
  </w:p>
  <w:p w:rsidR="00611CB2" w:rsidRDefault="00611CB2">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separate"/>
    </w:r>
    <w:r w:rsidR="0001612A">
      <w:rPr>
        <w:rStyle w:val="a7"/>
        <w:noProof/>
      </w:rPr>
      <w:t>29</w:t>
    </w:r>
    <w:r>
      <w:rPr>
        <w:rStyle w:val="a7"/>
      </w:rPr>
      <w:fldChar w:fldCharType="end"/>
    </w:r>
  </w:p>
  <w:p w:rsidR="00611CB2" w:rsidRDefault="00611CB2">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901041" w:rsidRDefault="00901041">
      <w:r>
        <w:separator/>
      </w:r>
    </w:p>
  </w:footnote>
  <w:footnote w:id="0" w:type="continuationSeparator">
    <w:p w:rsidR="00901041" w:rsidRDefault="00901041">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207F2" w:rsidR="00611CB2" w:rsidRDefault="00611CB2" w:rsidRPr="00DA451D">
    <w:pPr>
      <w:pStyle w:val="a9"/>
      <w:pBdr>
        <w:bottom w:color="auto" w:space="0" w:sz="6" w:val="single"/>
      </w:pBdr>
      <w:jc w:val="right"/>
    </w:pPr>
    <w:r w:rsidRPr="00DA451D">
      <w:t/>
    </w:r>
    <w:proofErr w:type="spellStart"/>
    <w:proofErr w:type="gramStart"/>
    <w:r w:rsidRPr="00DA451D">
      <w:t/>
    </w:r>
    <w:proofErr w:type="spellEnd"/>
    <w:proofErr w:type="gramEnd"/>
    <w:r w:rsidRPr="00DA451D">
      <w:t>易方达瑞兴灵活配置混合型证券投资基金</w:t>
    </w:r>
    <w:proofErr w:type="spellStart"/>
    <w:r w:rsidRPr="00DA451D">
      <w:t/>
    </w:r>
    <w:proofErr w:type="spellEnd"/>
    <w:r w:rsidRPr="00DA451D">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2A93165E"/>
    <w:multiLevelType w:val="hybridMultilevel"/>
    <w:tmpl w:val="8F54F77E"/>
    <w:lvl w:ilvl="0" w:tplc="8996D53A">
      <w:start w:val="1"/>
      <w:numFmt w:val="japaneseCounting"/>
      <w:lvlText w:val="（%1）"/>
      <w:lvlJc w:val="left"/>
      <w:pPr>
        <w:tabs>
          <w:tab w:pos="1200" w:val="num"/>
        </w:tabs>
        <w:ind w:hanging="720" w:left="1200"/>
      </w:pPr>
      <w:rPr>
        <w:rFonts w:cs="Times New Roman" w:hAnsi="宋体" w:hint="default"/>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32C43FA3"/>
    <w:multiLevelType w:val="hybridMultilevel"/>
    <w:tmpl w:val="2658615A"/>
    <w:lvl w:ilvl="0" w:tplc="04090001">
      <w:start w:val="1"/>
      <w:numFmt w:val="bullet"/>
      <w:lvlText w:val=""/>
      <w:lvlJc w:val="left"/>
      <w:pPr>
        <w:tabs>
          <w:tab w:pos="420" w:val="num"/>
        </w:tabs>
        <w:ind w:hanging="420" w:left="420"/>
      </w:pPr>
      <w:rPr>
        <w:rFonts w:ascii="Wingdings" w:hAnsi="Wingdings" w:hint="default"/>
      </w:rPr>
    </w:lvl>
    <w:lvl w:ilvl="1" w:tentative="1" w:tplc="04090003">
      <w:start w:val="1"/>
      <w:numFmt w:val="bullet"/>
      <w:lvlText w:val=""/>
      <w:lvlJc w:val="left"/>
      <w:pPr>
        <w:tabs>
          <w:tab w:pos="840" w:val="num"/>
        </w:tabs>
        <w:ind w:hanging="420" w:left="840"/>
      </w:pPr>
      <w:rPr>
        <w:rFonts w:ascii="Wingdings" w:hAnsi="Wingdings" w:hint="default"/>
      </w:rPr>
    </w:lvl>
    <w:lvl w:ilvl="2" w:tentative="1" w:tplc="04090005">
      <w:start w:val="1"/>
      <w:numFmt w:val="bullet"/>
      <w:lvlText w:val=""/>
      <w:lvlJc w:val="left"/>
      <w:pPr>
        <w:tabs>
          <w:tab w:pos="1260" w:val="num"/>
        </w:tabs>
        <w:ind w:hanging="420" w:left="1260"/>
      </w:pPr>
      <w:rPr>
        <w:rFonts w:ascii="Wingdings" w:hAnsi="Wingdings" w:hint="default"/>
      </w:rPr>
    </w:lvl>
    <w:lvl w:ilvl="3" w:tentative="1" w:tplc="04090001">
      <w:start w:val="1"/>
      <w:numFmt w:val="bullet"/>
      <w:lvlText w:val=""/>
      <w:lvlJc w:val="left"/>
      <w:pPr>
        <w:tabs>
          <w:tab w:pos="1680" w:val="num"/>
        </w:tabs>
        <w:ind w:hanging="420" w:left="1680"/>
      </w:pPr>
      <w:rPr>
        <w:rFonts w:ascii="Wingdings" w:hAnsi="Wingdings" w:hint="default"/>
      </w:rPr>
    </w:lvl>
    <w:lvl w:ilvl="4" w:tentative="1" w:tplc="04090003">
      <w:start w:val="1"/>
      <w:numFmt w:val="bullet"/>
      <w:lvlText w:val=""/>
      <w:lvlJc w:val="left"/>
      <w:pPr>
        <w:tabs>
          <w:tab w:pos="2100" w:val="num"/>
        </w:tabs>
        <w:ind w:hanging="420" w:left="2100"/>
      </w:pPr>
      <w:rPr>
        <w:rFonts w:ascii="Wingdings" w:hAnsi="Wingdings" w:hint="default"/>
      </w:rPr>
    </w:lvl>
    <w:lvl w:ilvl="5" w:tentative="1" w:tplc="04090005">
      <w:start w:val="1"/>
      <w:numFmt w:val="bullet"/>
      <w:lvlText w:val=""/>
      <w:lvlJc w:val="left"/>
      <w:pPr>
        <w:tabs>
          <w:tab w:pos="2520" w:val="num"/>
        </w:tabs>
        <w:ind w:hanging="420" w:left="2520"/>
      </w:pPr>
      <w:rPr>
        <w:rFonts w:ascii="Wingdings" w:hAnsi="Wingdings" w:hint="default"/>
      </w:rPr>
    </w:lvl>
    <w:lvl w:ilvl="6" w:tentative="1" w:tplc="04090001">
      <w:start w:val="1"/>
      <w:numFmt w:val="bullet"/>
      <w:lvlText w:val=""/>
      <w:lvlJc w:val="left"/>
      <w:pPr>
        <w:tabs>
          <w:tab w:pos="2940" w:val="num"/>
        </w:tabs>
        <w:ind w:hanging="420" w:left="2940"/>
      </w:pPr>
      <w:rPr>
        <w:rFonts w:ascii="Wingdings" w:hAnsi="Wingdings" w:hint="default"/>
      </w:rPr>
    </w:lvl>
    <w:lvl w:ilvl="7" w:tentative="1" w:tplc="04090003">
      <w:start w:val="1"/>
      <w:numFmt w:val="bullet"/>
      <w:lvlText w:val=""/>
      <w:lvlJc w:val="left"/>
      <w:pPr>
        <w:tabs>
          <w:tab w:pos="3360" w:val="num"/>
        </w:tabs>
        <w:ind w:hanging="420" w:left="3360"/>
      </w:pPr>
      <w:rPr>
        <w:rFonts w:ascii="Wingdings" w:hAnsi="Wingdings" w:hint="default"/>
      </w:rPr>
    </w:lvl>
    <w:lvl w:ilvl="8" w:tentative="1" w:tplc="04090005">
      <w:start w:val="1"/>
      <w:numFmt w:val="bullet"/>
      <w:lvlText w:val=""/>
      <w:lvlJc w:val="left"/>
      <w:pPr>
        <w:tabs>
          <w:tab w:pos="3780" w:val="num"/>
        </w:tabs>
        <w:ind w:hanging="420" w:left="3780"/>
      </w:pPr>
      <w:rPr>
        <w:rFonts w:ascii="Wingdings" w:hAnsi="Wingdings" w:hint="default"/>
      </w:rPr>
    </w:lvl>
  </w:abstractNum>
  <w:abstractNum w:abstractNumId="3">
    <w:nsid w:val="45342383"/>
    <w:multiLevelType w:val="multilevel"/>
    <w:tmpl w:val="0409001D"/>
    <w:styleLink w:val="5"/>
    <w:lvl w:ilvl="0">
      <w:start w:val="1"/>
      <w:numFmt w:val="decimal"/>
      <w:lvlText w:val="%1"/>
      <w:lvlJc w:val="left"/>
      <w:pPr>
        <w:tabs>
          <w:tab w:pos="425" w:val="num"/>
        </w:tabs>
        <w:ind w:hanging="425" w:left="425"/>
      </w:pPr>
      <w:rPr>
        <w:rFonts w:cs="Times New Roman"/>
      </w:rPr>
    </w:lvl>
    <w:lvl w:ilvl="1">
      <w:start w:val="1"/>
      <w:numFmt w:val="decimal"/>
      <w:lvlText w:val="%1.%2"/>
      <w:lvlJc w:val="left"/>
      <w:pPr>
        <w:tabs>
          <w:tab w:pos="992" w:val="num"/>
        </w:tabs>
        <w:ind w:hanging="567" w:left="992"/>
      </w:pPr>
      <w:rPr>
        <w:rFonts w:cs="Times New Roman"/>
      </w:rPr>
    </w:lvl>
    <w:lvl w:ilvl="2">
      <w:start w:val="1"/>
      <w:numFmt w:val="decimal"/>
      <w:lvlText w:val="%1.%2.%3"/>
      <w:lvlJc w:val="left"/>
      <w:pPr>
        <w:tabs>
          <w:tab w:pos="1418" w:val="num"/>
        </w:tabs>
        <w:ind w:hanging="567" w:left="1418"/>
      </w:pPr>
      <w:rPr>
        <w:rFonts w:cs="Times New Roman"/>
      </w:rPr>
    </w:lvl>
    <w:lvl w:ilvl="3">
      <w:start w:val="1"/>
      <w:numFmt w:val="decimal"/>
      <w:lvlText w:val="%1.%2.%3.%4"/>
      <w:lvlJc w:val="left"/>
      <w:pPr>
        <w:tabs>
          <w:tab w:pos="1984" w:val="num"/>
        </w:tabs>
        <w:ind w:hanging="708" w:left="1984"/>
      </w:pPr>
      <w:rPr>
        <w:rFonts w:cs="Times New Roman"/>
      </w:rPr>
    </w:lvl>
    <w:lvl w:ilvl="4">
      <w:start w:val="1"/>
      <w:numFmt w:val="decimal"/>
      <w:lvlText w:val="%1.%2.%3.%4.%5"/>
      <w:lvlJc w:val="left"/>
      <w:pPr>
        <w:tabs>
          <w:tab w:pos="2551" w:val="num"/>
        </w:tabs>
        <w:ind w:hanging="850" w:left="2551"/>
      </w:pPr>
      <w:rPr>
        <w:rFonts w:cs="Times New Roman"/>
      </w:rPr>
    </w:lvl>
    <w:lvl w:ilvl="5">
      <w:start w:val="1"/>
      <w:numFmt w:val="decimal"/>
      <w:lvlText w:val="%1.%2.%3.%4.%5.%6"/>
      <w:lvlJc w:val="left"/>
      <w:pPr>
        <w:tabs>
          <w:tab w:pos="3260" w:val="num"/>
        </w:tabs>
        <w:ind w:hanging="1134" w:left="3260"/>
      </w:pPr>
      <w:rPr>
        <w:rFonts w:cs="Times New Roman"/>
      </w:rPr>
    </w:lvl>
    <w:lvl w:ilvl="6">
      <w:start w:val="1"/>
      <w:numFmt w:val="decimal"/>
      <w:lvlText w:val="%1.%2.%3.%4.%5.%6.%7"/>
      <w:lvlJc w:val="left"/>
      <w:pPr>
        <w:tabs>
          <w:tab w:pos="3827" w:val="num"/>
        </w:tabs>
        <w:ind w:hanging="1276" w:left="3827"/>
      </w:pPr>
      <w:rPr>
        <w:rFonts w:cs="Times New Roman"/>
      </w:rPr>
    </w:lvl>
    <w:lvl w:ilvl="7">
      <w:start w:val="1"/>
      <w:numFmt w:val="decimal"/>
      <w:lvlText w:val="%1.%2.%3.%4.%5.%6.%7.%8"/>
      <w:lvlJc w:val="left"/>
      <w:pPr>
        <w:tabs>
          <w:tab w:pos="4394" w:val="num"/>
        </w:tabs>
        <w:ind w:hanging="1418" w:left="4394"/>
      </w:pPr>
      <w:rPr>
        <w:rFonts w:cs="Times New Roman"/>
      </w:rPr>
    </w:lvl>
    <w:lvl w:ilvl="8">
      <w:start w:val="1"/>
      <w:numFmt w:val="decimal"/>
      <w:lvlText w:val="%1.%2.%3.%4.%5.%6.%7.%8.%9"/>
      <w:lvlJc w:val="left"/>
      <w:pPr>
        <w:tabs>
          <w:tab w:pos="5102" w:val="num"/>
        </w:tabs>
        <w:ind w:hanging="1700" w:left="5102"/>
      </w:pPr>
      <w:rPr>
        <w:rFonts w:cs="Times New Roman"/>
      </w:rPr>
    </w:lvl>
  </w:abstractNum>
  <w:abstractNum w:abstractNumId="4">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5">
    <w:nsid w:val="64C22724"/>
    <w:multiLevelType w:val="multilevel"/>
    <w:tmpl w:val="0409001D"/>
    <w:numStyleLink w:val="5"/>
  </w:abstractNum>
  <w:abstractNum w:abstractNumId="6">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rPr>
          <w:rFonts w:cs="Times New Roman"/>
        </w:rPr>
      </w:lvl>
    </w:lvlOverride>
    <w:lvlOverride w:ilvl="1">
      <w:lvl w:ilvl="1">
        <w:start w:val="1"/>
        <w:numFmt w:val="decimal"/>
        <w:lvlText w:val="%1.%2"/>
        <w:lvlJc w:val="left"/>
        <w:pPr>
          <w:tabs>
            <w:tab w:pos="992" w:val="num"/>
          </w:tabs>
          <w:ind w:hanging="567" w:left="992"/>
        </w:pPr>
        <w:rPr>
          <w:rFonts w:cs="Times New Roman"/>
        </w:rPr>
      </w:lvl>
    </w:lvlOverride>
    <w:lvlOverride w:ilvl="2">
      <w:lvl w:ilvl="2">
        <w:start w:val="1"/>
        <w:numFmt w:val="decimal"/>
        <w:lvlText w:val="%1.%2.%3"/>
        <w:lvlJc w:val="left"/>
        <w:pPr>
          <w:tabs>
            <w:tab w:pos="1418" w:val="num"/>
          </w:tabs>
          <w:ind w:hanging="567" w:left="1418"/>
        </w:pPr>
        <w:rPr>
          <w:rFonts w:cs="Times New Roman"/>
        </w:rPr>
      </w:lvl>
    </w:lvlOverride>
  </w:num>
  <w:num w:numId="8">
    <w:abstractNumId w:val="3"/>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02187"/>
    <w:rsid w:val="0000059C"/>
    <w:rsid w:val="000008B1"/>
    <w:rsid w:val="0000403B"/>
    <w:rsid w:val="00007441"/>
    <w:rsid w:val="00007F1F"/>
    <w:rsid w:val="000108A5"/>
    <w:rsid w:val="00010A83"/>
    <w:rsid w:val="000137C1"/>
    <w:rsid w:val="0001579C"/>
    <w:rsid w:val="0001612A"/>
    <w:rsid w:val="00016551"/>
    <w:rsid w:val="00020737"/>
    <w:rsid w:val="00020C27"/>
    <w:rsid w:val="000219D5"/>
    <w:rsid w:val="00022396"/>
    <w:rsid w:val="00023073"/>
    <w:rsid w:val="00023B86"/>
    <w:rsid w:val="00023B97"/>
    <w:rsid w:val="00024836"/>
    <w:rsid w:val="000252D8"/>
    <w:rsid w:val="0003338D"/>
    <w:rsid w:val="0003564A"/>
    <w:rsid w:val="00037B55"/>
    <w:rsid w:val="00037C73"/>
    <w:rsid w:val="00041CC8"/>
    <w:rsid w:val="00042065"/>
    <w:rsid w:val="00043FD2"/>
    <w:rsid w:val="00045558"/>
    <w:rsid w:val="00045BA9"/>
    <w:rsid w:val="00047D87"/>
    <w:rsid w:val="000510AB"/>
    <w:rsid w:val="00053FFD"/>
    <w:rsid w:val="00056D5C"/>
    <w:rsid w:val="00061B0B"/>
    <w:rsid w:val="00061E09"/>
    <w:rsid w:val="00062C69"/>
    <w:rsid w:val="00062E1F"/>
    <w:rsid w:val="00064601"/>
    <w:rsid w:val="00064AE3"/>
    <w:rsid w:val="00064F4B"/>
    <w:rsid w:val="00065ABE"/>
    <w:rsid w:val="0006750A"/>
    <w:rsid w:val="000776C0"/>
    <w:rsid w:val="00077849"/>
    <w:rsid w:val="000803AD"/>
    <w:rsid w:val="000813D6"/>
    <w:rsid w:val="00081D05"/>
    <w:rsid w:val="000827CC"/>
    <w:rsid w:val="000871DB"/>
    <w:rsid w:val="000922C5"/>
    <w:rsid w:val="0009314F"/>
    <w:rsid w:val="00093A23"/>
    <w:rsid w:val="00097169"/>
    <w:rsid w:val="000A08FC"/>
    <w:rsid w:val="000A15F1"/>
    <w:rsid w:val="000A1617"/>
    <w:rsid w:val="000A40A5"/>
    <w:rsid w:val="000A457E"/>
    <w:rsid w:val="000A549A"/>
    <w:rsid w:val="000A5A81"/>
    <w:rsid w:val="000A6D8C"/>
    <w:rsid w:val="000A72F2"/>
    <w:rsid w:val="000A7BFD"/>
    <w:rsid w:val="000B000E"/>
    <w:rsid w:val="000B1CB9"/>
    <w:rsid w:val="000B24AF"/>
    <w:rsid w:val="000B251E"/>
    <w:rsid w:val="000B3E43"/>
    <w:rsid w:val="000B4E99"/>
    <w:rsid w:val="000B5B16"/>
    <w:rsid w:val="000B648A"/>
    <w:rsid w:val="000C45E7"/>
    <w:rsid w:val="000C5956"/>
    <w:rsid w:val="000C757F"/>
    <w:rsid w:val="000C7DD4"/>
    <w:rsid w:val="000D1164"/>
    <w:rsid w:val="000D1BBE"/>
    <w:rsid w:val="000D3773"/>
    <w:rsid w:val="000D4DE9"/>
    <w:rsid w:val="000D58E0"/>
    <w:rsid w:val="000D6660"/>
    <w:rsid w:val="000D6BA0"/>
    <w:rsid w:val="000D7ECA"/>
    <w:rsid w:val="000E2F81"/>
    <w:rsid w:val="000E3726"/>
    <w:rsid w:val="000E39DB"/>
    <w:rsid w:val="000F0558"/>
    <w:rsid w:val="000F0AC3"/>
    <w:rsid w:val="000F1611"/>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1533"/>
    <w:rsid w:val="0012304E"/>
    <w:rsid w:val="00123051"/>
    <w:rsid w:val="0012558C"/>
    <w:rsid w:val="001257C7"/>
    <w:rsid w:val="00125E66"/>
    <w:rsid w:val="001262F4"/>
    <w:rsid w:val="001263E1"/>
    <w:rsid w:val="00126AC0"/>
    <w:rsid w:val="00126C2B"/>
    <w:rsid w:val="00127A01"/>
    <w:rsid w:val="00130D77"/>
    <w:rsid w:val="00131EF6"/>
    <w:rsid w:val="0013251D"/>
    <w:rsid w:val="00134734"/>
    <w:rsid w:val="00134CBE"/>
    <w:rsid w:val="00140C30"/>
    <w:rsid w:val="001427AE"/>
    <w:rsid w:val="00142C74"/>
    <w:rsid w:val="001453EF"/>
    <w:rsid w:val="00145E5B"/>
    <w:rsid w:val="00147319"/>
    <w:rsid w:val="00147551"/>
    <w:rsid w:val="0015012F"/>
    <w:rsid w:val="00150C2E"/>
    <w:rsid w:val="0015170D"/>
    <w:rsid w:val="001517AE"/>
    <w:rsid w:val="00154FA5"/>
    <w:rsid w:val="0015531A"/>
    <w:rsid w:val="00156F9D"/>
    <w:rsid w:val="001602E3"/>
    <w:rsid w:val="00160539"/>
    <w:rsid w:val="00161548"/>
    <w:rsid w:val="00162D92"/>
    <w:rsid w:val="0016464C"/>
    <w:rsid w:val="0017176A"/>
    <w:rsid w:val="00172B54"/>
    <w:rsid w:val="00174038"/>
    <w:rsid w:val="00174D16"/>
    <w:rsid w:val="00176874"/>
    <w:rsid w:val="0017725A"/>
    <w:rsid w:val="0018052A"/>
    <w:rsid w:val="00180952"/>
    <w:rsid w:val="0018191A"/>
    <w:rsid w:val="00185B68"/>
    <w:rsid w:val="00186199"/>
    <w:rsid w:val="001874E3"/>
    <w:rsid w:val="001878B0"/>
    <w:rsid w:val="00194155"/>
    <w:rsid w:val="001A0417"/>
    <w:rsid w:val="001A0B71"/>
    <w:rsid w:val="001A1389"/>
    <w:rsid w:val="001A3016"/>
    <w:rsid w:val="001A3914"/>
    <w:rsid w:val="001A5FA6"/>
    <w:rsid w:val="001B053A"/>
    <w:rsid w:val="001B08B3"/>
    <w:rsid w:val="001B0A62"/>
    <w:rsid w:val="001B0C78"/>
    <w:rsid w:val="001B151C"/>
    <w:rsid w:val="001B1A13"/>
    <w:rsid w:val="001B22BA"/>
    <w:rsid w:val="001B3C1C"/>
    <w:rsid w:val="001B4983"/>
    <w:rsid w:val="001C2045"/>
    <w:rsid w:val="001C5040"/>
    <w:rsid w:val="001C715A"/>
    <w:rsid w:val="001D0DB0"/>
    <w:rsid w:val="001D0F6A"/>
    <w:rsid w:val="001D2FA5"/>
    <w:rsid w:val="001D3394"/>
    <w:rsid w:val="001D3D57"/>
    <w:rsid w:val="001D4980"/>
    <w:rsid w:val="001D5045"/>
    <w:rsid w:val="001D5A44"/>
    <w:rsid w:val="001D5CD0"/>
    <w:rsid w:val="001D63BB"/>
    <w:rsid w:val="001D724B"/>
    <w:rsid w:val="001E023C"/>
    <w:rsid w:val="001E0BA5"/>
    <w:rsid w:val="001F03E1"/>
    <w:rsid w:val="001F1F19"/>
    <w:rsid w:val="001F2BD1"/>
    <w:rsid w:val="001F3080"/>
    <w:rsid w:val="001F3CC6"/>
    <w:rsid w:val="001F5F5F"/>
    <w:rsid w:val="001F60E9"/>
    <w:rsid w:val="002035B9"/>
    <w:rsid w:val="00205064"/>
    <w:rsid w:val="0020548A"/>
    <w:rsid w:val="002079FA"/>
    <w:rsid w:val="00211668"/>
    <w:rsid w:val="002118A6"/>
    <w:rsid w:val="002122FF"/>
    <w:rsid w:val="002125F7"/>
    <w:rsid w:val="0021288A"/>
    <w:rsid w:val="002150AC"/>
    <w:rsid w:val="0021650B"/>
    <w:rsid w:val="00221938"/>
    <w:rsid w:val="00222262"/>
    <w:rsid w:val="00222ABD"/>
    <w:rsid w:val="002230A8"/>
    <w:rsid w:val="00227D20"/>
    <w:rsid w:val="00231BCE"/>
    <w:rsid w:val="0023336A"/>
    <w:rsid w:val="002359EB"/>
    <w:rsid w:val="0023649E"/>
    <w:rsid w:val="00236926"/>
    <w:rsid w:val="00241740"/>
    <w:rsid w:val="002424E4"/>
    <w:rsid w:val="00243122"/>
    <w:rsid w:val="002437F5"/>
    <w:rsid w:val="00244DB1"/>
    <w:rsid w:val="00244FDA"/>
    <w:rsid w:val="00245012"/>
    <w:rsid w:val="0024504E"/>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4E55"/>
    <w:rsid w:val="00266645"/>
    <w:rsid w:val="00267386"/>
    <w:rsid w:val="00267C2E"/>
    <w:rsid w:val="00267DA9"/>
    <w:rsid w:val="00273E5C"/>
    <w:rsid w:val="0027576B"/>
    <w:rsid w:val="00275FD0"/>
    <w:rsid w:val="00280514"/>
    <w:rsid w:val="002810D8"/>
    <w:rsid w:val="002819E7"/>
    <w:rsid w:val="00282FF2"/>
    <w:rsid w:val="00283483"/>
    <w:rsid w:val="002844B5"/>
    <w:rsid w:val="0028459B"/>
    <w:rsid w:val="00285618"/>
    <w:rsid w:val="002872F8"/>
    <w:rsid w:val="00293065"/>
    <w:rsid w:val="002953E8"/>
    <w:rsid w:val="00296E4A"/>
    <w:rsid w:val="00297260"/>
    <w:rsid w:val="002976E5"/>
    <w:rsid w:val="002A1F14"/>
    <w:rsid w:val="002A2678"/>
    <w:rsid w:val="002A3369"/>
    <w:rsid w:val="002A3965"/>
    <w:rsid w:val="002A4B8A"/>
    <w:rsid w:val="002A5161"/>
    <w:rsid w:val="002A5C0F"/>
    <w:rsid w:val="002A6385"/>
    <w:rsid w:val="002A7929"/>
    <w:rsid w:val="002B41D7"/>
    <w:rsid w:val="002B5240"/>
    <w:rsid w:val="002B6A13"/>
    <w:rsid w:val="002C0904"/>
    <w:rsid w:val="002C0F67"/>
    <w:rsid w:val="002C1E84"/>
    <w:rsid w:val="002C36C3"/>
    <w:rsid w:val="002C77CC"/>
    <w:rsid w:val="002D2A00"/>
    <w:rsid w:val="002D5199"/>
    <w:rsid w:val="002E2862"/>
    <w:rsid w:val="002E2BEF"/>
    <w:rsid w:val="002E356A"/>
    <w:rsid w:val="002E4C01"/>
    <w:rsid w:val="002F0516"/>
    <w:rsid w:val="002F22D2"/>
    <w:rsid w:val="002F778A"/>
    <w:rsid w:val="00302187"/>
    <w:rsid w:val="003028D8"/>
    <w:rsid w:val="0030290F"/>
    <w:rsid w:val="00302DE9"/>
    <w:rsid w:val="00302FAB"/>
    <w:rsid w:val="00303869"/>
    <w:rsid w:val="00303F1D"/>
    <w:rsid w:val="00305084"/>
    <w:rsid w:val="00305153"/>
    <w:rsid w:val="00311ABF"/>
    <w:rsid w:val="00314A81"/>
    <w:rsid w:val="00314DD2"/>
    <w:rsid w:val="00315A7C"/>
    <w:rsid w:val="00317705"/>
    <w:rsid w:val="00320453"/>
    <w:rsid w:val="003204E9"/>
    <w:rsid w:val="003232AA"/>
    <w:rsid w:val="00323A10"/>
    <w:rsid w:val="00323E6A"/>
    <w:rsid w:val="00323F25"/>
    <w:rsid w:val="00324A71"/>
    <w:rsid w:val="003303E3"/>
    <w:rsid w:val="00334656"/>
    <w:rsid w:val="00337A86"/>
    <w:rsid w:val="0034147B"/>
    <w:rsid w:val="00341889"/>
    <w:rsid w:val="003426CE"/>
    <w:rsid w:val="00343016"/>
    <w:rsid w:val="0034447B"/>
    <w:rsid w:val="00351704"/>
    <w:rsid w:val="003570C8"/>
    <w:rsid w:val="00367770"/>
    <w:rsid w:val="00371424"/>
    <w:rsid w:val="00371FF4"/>
    <w:rsid w:val="00372209"/>
    <w:rsid w:val="003771ED"/>
    <w:rsid w:val="0037768B"/>
    <w:rsid w:val="00381791"/>
    <w:rsid w:val="00382E6F"/>
    <w:rsid w:val="00387C00"/>
    <w:rsid w:val="00397960"/>
    <w:rsid w:val="00397F75"/>
    <w:rsid w:val="003A2008"/>
    <w:rsid w:val="003A3BC4"/>
    <w:rsid w:val="003A4AA3"/>
    <w:rsid w:val="003B405E"/>
    <w:rsid w:val="003B4843"/>
    <w:rsid w:val="003B494E"/>
    <w:rsid w:val="003C6E9E"/>
    <w:rsid w:val="003C792F"/>
    <w:rsid w:val="003D117A"/>
    <w:rsid w:val="003D36B2"/>
    <w:rsid w:val="003D42D5"/>
    <w:rsid w:val="003D656E"/>
    <w:rsid w:val="003D7783"/>
    <w:rsid w:val="003D78B5"/>
    <w:rsid w:val="003E0BD4"/>
    <w:rsid w:val="003E45B9"/>
    <w:rsid w:val="003E654C"/>
    <w:rsid w:val="003F0DE5"/>
    <w:rsid w:val="003F0E22"/>
    <w:rsid w:val="003F1058"/>
    <w:rsid w:val="003F13CD"/>
    <w:rsid w:val="003F46FC"/>
    <w:rsid w:val="003F4AA5"/>
    <w:rsid w:val="003F697D"/>
    <w:rsid w:val="003F7C45"/>
    <w:rsid w:val="00400500"/>
    <w:rsid w:val="0040132C"/>
    <w:rsid w:val="00404257"/>
    <w:rsid w:val="00407F66"/>
    <w:rsid w:val="004113B4"/>
    <w:rsid w:val="0041220A"/>
    <w:rsid w:val="00413B96"/>
    <w:rsid w:val="00413C2C"/>
    <w:rsid w:val="00414367"/>
    <w:rsid w:val="00415168"/>
    <w:rsid w:val="00415A8A"/>
    <w:rsid w:val="00415B04"/>
    <w:rsid w:val="00416A6B"/>
    <w:rsid w:val="0042044C"/>
    <w:rsid w:val="00421624"/>
    <w:rsid w:val="00424151"/>
    <w:rsid w:val="00425208"/>
    <w:rsid w:val="00425A5A"/>
    <w:rsid w:val="00425FB6"/>
    <w:rsid w:val="004268BB"/>
    <w:rsid w:val="0042785F"/>
    <w:rsid w:val="004314FF"/>
    <w:rsid w:val="004408EC"/>
    <w:rsid w:val="00440F74"/>
    <w:rsid w:val="00441816"/>
    <w:rsid w:val="00441FEC"/>
    <w:rsid w:val="004425E8"/>
    <w:rsid w:val="00443C8F"/>
    <w:rsid w:val="00447BC6"/>
    <w:rsid w:val="004501CE"/>
    <w:rsid w:val="00452481"/>
    <w:rsid w:val="00454A0F"/>
    <w:rsid w:val="0046335D"/>
    <w:rsid w:val="00463C2C"/>
    <w:rsid w:val="00471D81"/>
    <w:rsid w:val="004733AC"/>
    <w:rsid w:val="00483271"/>
    <w:rsid w:val="00490F85"/>
    <w:rsid w:val="0049210E"/>
    <w:rsid w:val="0049297D"/>
    <w:rsid w:val="0049327D"/>
    <w:rsid w:val="0049405D"/>
    <w:rsid w:val="0049455C"/>
    <w:rsid w:val="00495A03"/>
    <w:rsid w:val="004A135B"/>
    <w:rsid w:val="004A1BE1"/>
    <w:rsid w:val="004A3251"/>
    <w:rsid w:val="004A4980"/>
    <w:rsid w:val="004A4F68"/>
    <w:rsid w:val="004A63CB"/>
    <w:rsid w:val="004A67B0"/>
    <w:rsid w:val="004A6FB2"/>
    <w:rsid w:val="004B0847"/>
    <w:rsid w:val="004B0E6D"/>
    <w:rsid w:val="004B16E8"/>
    <w:rsid w:val="004B67DB"/>
    <w:rsid w:val="004C0541"/>
    <w:rsid w:val="004C3A16"/>
    <w:rsid w:val="004C634A"/>
    <w:rsid w:val="004C660B"/>
    <w:rsid w:val="004D050C"/>
    <w:rsid w:val="004D23D9"/>
    <w:rsid w:val="004D29A9"/>
    <w:rsid w:val="004D3537"/>
    <w:rsid w:val="004D4D4E"/>
    <w:rsid w:val="004D614E"/>
    <w:rsid w:val="004D650F"/>
    <w:rsid w:val="004E2133"/>
    <w:rsid w:val="004E4E04"/>
    <w:rsid w:val="004E6CBA"/>
    <w:rsid w:val="004F521C"/>
    <w:rsid w:val="00502CD8"/>
    <w:rsid w:val="0050361C"/>
    <w:rsid w:val="00503BF4"/>
    <w:rsid w:val="00506A40"/>
    <w:rsid w:val="0051064F"/>
    <w:rsid w:val="00513461"/>
    <w:rsid w:val="00513A0E"/>
    <w:rsid w:val="00515D7B"/>
    <w:rsid w:val="00515F29"/>
    <w:rsid w:val="0052009E"/>
    <w:rsid w:val="00523F04"/>
    <w:rsid w:val="00524368"/>
    <w:rsid w:val="0052438C"/>
    <w:rsid w:val="00526282"/>
    <w:rsid w:val="00530161"/>
    <w:rsid w:val="00532DB7"/>
    <w:rsid w:val="00536F71"/>
    <w:rsid w:val="00544342"/>
    <w:rsid w:val="005450F7"/>
    <w:rsid w:val="00545A0B"/>
    <w:rsid w:val="0054672F"/>
    <w:rsid w:val="00547FA4"/>
    <w:rsid w:val="005536D4"/>
    <w:rsid w:val="00553EC8"/>
    <w:rsid w:val="005564EE"/>
    <w:rsid w:val="00557D4A"/>
    <w:rsid w:val="0056176B"/>
    <w:rsid w:val="00561889"/>
    <w:rsid w:val="005621F6"/>
    <w:rsid w:val="0056291C"/>
    <w:rsid w:val="005668D3"/>
    <w:rsid w:val="00566EBD"/>
    <w:rsid w:val="00571535"/>
    <w:rsid w:val="0057154B"/>
    <w:rsid w:val="0057278A"/>
    <w:rsid w:val="005742DB"/>
    <w:rsid w:val="00575C75"/>
    <w:rsid w:val="00577209"/>
    <w:rsid w:val="005800A9"/>
    <w:rsid w:val="00581139"/>
    <w:rsid w:val="00581645"/>
    <w:rsid w:val="0058694E"/>
    <w:rsid w:val="005875F9"/>
    <w:rsid w:val="00593A35"/>
    <w:rsid w:val="00593C74"/>
    <w:rsid w:val="00594934"/>
    <w:rsid w:val="005954CF"/>
    <w:rsid w:val="00597D8B"/>
    <w:rsid w:val="005A46FF"/>
    <w:rsid w:val="005A557E"/>
    <w:rsid w:val="005A63FD"/>
    <w:rsid w:val="005B462A"/>
    <w:rsid w:val="005B5137"/>
    <w:rsid w:val="005B6047"/>
    <w:rsid w:val="005C0ED7"/>
    <w:rsid w:val="005C5409"/>
    <w:rsid w:val="005C62A5"/>
    <w:rsid w:val="005C6FF7"/>
    <w:rsid w:val="005C7D00"/>
    <w:rsid w:val="005D01A4"/>
    <w:rsid w:val="005D0BAB"/>
    <w:rsid w:val="005D1893"/>
    <w:rsid w:val="005D26E9"/>
    <w:rsid w:val="005D2CAA"/>
    <w:rsid w:val="005D4B66"/>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1CB2"/>
    <w:rsid w:val="0061321C"/>
    <w:rsid w:val="00613F44"/>
    <w:rsid w:val="006160BD"/>
    <w:rsid w:val="00620EDB"/>
    <w:rsid w:val="0062386E"/>
    <w:rsid w:val="00624C10"/>
    <w:rsid w:val="006253EF"/>
    <w:rsid w:val="00626075"/>
    <w:rsid w:val="0062680E"/>
    <w:rsid w:val="00630C47"/>
    <w:rsid w:val="00631158"/>
    <w:rsid w:val="00632923"/>
    <w:rsid w:val="006341E6"/>
    <w:rsid w:val="00634439"/>
    <w:rsid w:val="006366C6"/>
    <w:rsid w:val="00636B55"/>
    <w:rsid w:val="00636EB1"/>
    <w:rsid w:val="006373D6"/>
    <w:rsid w:val="006403D4"/>
    <w:rsid w:val="00642CBC"/>
    <w:rsid w:val="0064454A"/>
    <w:rsid w:val="00645293"/>
    <w:rsid w:val="006456D3"/>
    <w:rsid w:val="00651B78"/>
    <w:rsid w:val="0065237A"/>
    <w:rsid w:val="00652FF5"/>
    <w:rsid w:val="0065303C"/>
    <w:rsid w:val="00653246"/>
    <w:rsid w:val="00654382"/>
    <w:rsid w:val="006548FA"/>
    <w:rsid w:val="0066098B"/>
    <w:rsid w:val="00661244"/>
    <w:rsid w:val="006640DF"/>
    <w:rsid w:val="00666A3C"/>
    <w:rsid w:val="00667519"/>
    <w:rsid w:val="006676A0"/>
    <w:rsid w:val="00670857"/>
    <w:rsid w:val="00670868"/>
    <w:rsid w:val="00673D69"/>
    <w:rsid w:val="00676431"/>
    <w:rsid w:val="00677A9C"/>
    <w:rsid w:val="0068050D"/>
    <w:rsid w:val="00684C6B"/>
    <w:rsid w:val="00685FFC"/>
    <w:rsid w:val="00686943"/>
    <w:rsid w:val="00686EDE"/>
    <w:rsid w:val="00687AD5"/>
    <w:rsid w:val="00690A31"/>
    <w:rsid w:val="006911CE"/>
    <w:rsid w:val="00692002"/>
    <w:rsid w:val="00695251"/>
    <w:rsid w:val="00695B58"/>
    <w:rsid w:val="006A1153"/>
    <w:rsid w:val="006A4828"/>
    <w:rsid w:val="006A7C09"/>
    <w:rsid w:val="006B046C"/>
    <w:rsid w:val="006B252F"/>
    <w:rsid w:val="006B3940"/>
    <w:rsid w:val="006B4B1E"/>
    <w:rsid w:val="006B7FA5"/>
    <w:rsid w:val="006C168D"/>
    <w:rsid w:val="006C21E6"/>
    <w:rsid w:val="006C4033"/>
    <w:rsid w:val="006C5BC9"/>
    <w:rsid w:val="006C642C"/>
    <w:rsid w:val="006C7247"/>
    <w:rsid w:val="006D462B"/>
    <w:rsid w:val="006D7386"/>
    <w:rsid w:val="006E0DAD"/>
    <w:rsid w:val="006E313F"/>
    <w:rsid w:val="006E6CA2"/>
    <w:rsid w:val="006F1F1A"/>
    <w:rsid w:val="006F5AC2"/>
    <w:rsid w:val="006F6C28"/>
    <w:rsid w:val="007007EB"/>
    <w:rsid w:val="00701109"/>
    <w:rsid w:val="00701F57"/>
    <w:rsid w:val="00701FD8"/>
    <w:rsid w:val="00703E8A"/>
    <w:rsid w:val="00706046"/>
    <w:rsid w:val="007112F0"/>
    <w:rsid w:val="00711343"/>
    <w:rsid w:val="00714309"/>
    <w:rsid w:val="0071450F"/>
    <w:rsid w:val="00717772"/>
    <w:rsid w:val="00720B42"/>
    <w:rsid w:val="00721DBE"/>
    <w:rsid w:val="007226EC"/>
    <w:rsid w:val="00722B5E"/>
    <w:rsid w:val="00724F6D"/>
    <w:rsid w:val="0072678C"/>
    <w:rsid w:val="00732D1D"/>
    <w:rsid w:val="00734119"/>
    <w:rsid w:val="007350D4"/>
    <w:rsid w:val="00736034"/>
    <w:rsid w:val="00736D15"/>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D4"/>
    <w:rsid w:val="007661FD"/>
    <w:rsid w:val="00766A7C"/>
    <w:rsid w:val="00767A27"/>
    <w:rsid w:val="0077111A"/>
    <w:rsid w:val="00775419"/>
    <w:rsid w:val="007763A5"/>
    <w:rsid w:val="0078105B"/>
    <w:rsid w:val="00782B50"/>
    <w:rsid w:val="007836C2"/>
    <w:rsid w:val="00784FE0"/>
    <w:rsid w:val="007858B1"/>
    <w:rsid w:val="0078648E"/>
    <w:rsid w:val="00790803"/>
    <w:rsid w:val="00791A3A"/>
    <w:rsid w:val="00791D9C"/>
    <w:rsid w:val="007A391B"/>
    <w:rsid w:val="007A4409"/>
    <w:rsid w:val="007A4F37"/>
    <w:rsid w:val="007A5241"/>
    <w:rsid w:val="007A59B8"/>
    <w:rsid w:val="007B06C7"/>
    <w:rsid w:val="007B3D06"/>
    <w:rsid w:val="007B42F5"/>
    <w:rsid w:val="007B5157"/>
    <w:rsid w:val="007B5CD8"/>
    <w:rsid w:val="007C1122"/>
    <w:rsid w:val="007C19EC"/>
    <w:rsid w:val="007C364E"/>
    <w:rsid w:val="007C5359"/>
    <w:rsid w:val="007C6701"/>
    <w:rsid w:val="007D16ED"/>
    <w:rsid w:val="007D2398"/>
    <w:rsid w:val="007D440B"/>
    <w:rsid w:val="007D62F9"/>
    <w:rsid w:val="007D63A4"/>
    <w:rsid w:val="007D732D"/>
    <w:rsid w:val="007D7C43"/>
    <w:rsid w:val="007E0F19"/>
    <w:rsid w:val="007E2A84"/>
    <w:rsid w:val="007E5ECB"/>
    <w:rsid w:val="007F063D"/>
    <w:rsid w:val="007F0D73"/>
    <w:rsid w:val="007F153F"/>
    <w:rsid w:val="007F3137"/>
    <w:rsid w:val="007F432A"/>
    <w:rsid w:val="007F63AA"/>
    <w:rsid w:val="008006B7"/>
    <w:rsid w:val="008032FD"/>
    <w:rsid w:val="00806461"/>
    <w:rsid w:val="008064CE"/>
    <w:rsid w:val="0080673A"/>
    <w:rsid w:val="00807A94"/>
    <w:rsid w:val="00810B79"/>
    <w:rsid w:val="00810EAD"/>
    <w:rsid w:val="00814530"/>
    <w:rsid w:val="00815386"/>
    <w:rsid w:val="00821F9C"/>
    <w:rsid w:val="00825570"/>
    <w:rsid w:val="00826403"/>
    <w:rsid w:val="00827990"/>
    <w:rsid w:val="00834CA6"/>
    <w:rsid w:val="00835146"/>
    <w:rsid w:val="0083623B"/>
    <w:rsid w:val="00836C5A"/>
    <w:rsid w:val="00837E59"/>
    <w:rsid w:val="00840AC0"/>
    <w:rsid w:val="00842100"/>
    <w:rsid w:val="008428A9"/>
    <w:rsid w:val="0084308F"/>
    <w:rsid w:val="00846C2B"/>
    <w:rsid w:val="0085139A"/>
    <w:rsid w:val="008524F6"/>
    <w:rsid w:val="008532F3"/>
    <w:rsid w:val="00854B3F"/>
    <w:rsid w:val="00861C2C"/>
    <w:rsid w:val="00863744"/>
    <w:rsid w:val="00865CFA"/>
    <w:rsid w:val="008668B8"/>
    <w:rsid w:val="0086748F"/>
    <w:rsid w:val="00867B4D"/>
    <w:rsid w:val="00867CF3"/>
    <w:rsid w:val="00874AA3"/>
    <w:rsid w:val="00874AB5"/>
    <w:rsid w:val="00877671"/>
    <w:rsid w:val="00877A13"/>
    <w:rsid w:val="008811F8"/>
    <w:rsid w:val="008869BC"/>
    <w:rsid w:val="00887DDD"/>
    <w:rsid w:val="00887DE6"/>
    <w:rsid w:val="00887E9F"/>
    <w:rsid w:val="008908AA"/>
    <w:rsid w:val="00890E08"/>
    <w:rsid w:val="008927F0"/>
    <w:rsid w:val="00894DCA"/>
    <w:rsid w:val="00896602"/>
    <w:rsid w:val="00897D88"/>
    <w:rsid w:val="008A00BE"/>
    <w:rsid w:val="008A1539"/>
    <w:rsid w:val="008A2C5D"/>
    <w:rsid w:val="008A3BE2"/>
    <w:rsid w:val="008A6957"/>
    <w:rsid w:val="008A6B30"/>
    <w:rsid w:val="008B05E7"/>
    <w:rsid w:val="008B0758"/>
    <w:rsid w:val="008B1875"/>
    <w:rsid w:val="008B4146"/>
    <w:rsid w:val="008B5312"/>
    <w:rsid w:val="008B59CE"/>
    <w:rsid w:val="008B6078"/>
    <w:rsid w:val="008B6085"/>
    <w:rsid w:val="008B7110"/>
    <w:rsid w:val="008B7F4A"/>
    <w:rsid w:val="008C04E1"/>
    <w:rsid w:val="008C04FE"/>
    <w:rsid w:val="008C2F50"/>
    <w:rsid w:val="008C3109"/>
    <w:rsid w:val="008C32F7"/>
    <w:rsid w:val="008C383A"/>
    <w:rsid w:val="008C5312"/>
    <w:rsid w:val="008C5DBD"/>
    <w:rsid w:val="008C61D6"/>
    <w:rsid w:val="008C7498"/>
    <w:rsid w:val="008D49AF"/>
    <w:rsid w:val="008D4A2B"/>
    <w:rsid w:val="008D4A9F"/>
    <w:rsid w:val="008D6294"/>
    <w:rsid w:val="008E1FE0"/>
    <w:rsid w:val="008E3939"/>
    <w:rsid w:val="008E3DDD"/>
    <w:rsid w:val="008F23F4"/>
    <w:rsid w:val="008F61C4"/>
    <w:rsid w:val="008F7763"/>
    <w:rsid w:val="009007CB"/>
    <w:rsid w:val="00901041"/>
    <w:rsid w:val="009010F0"/>
    <w:rsid w:val="00901162"/>
    <w:rsid w:val="00901C2E"/>
    <w:rsid w:val="00901D46"/>
    <w:rsid w:val="009028E2"/>
    <w:rsid w:val="00903692"/>
    <w:rsid w:val="00904E07"/>
    <w:rsid w:val="00906059"/>
    <w:rsid w:val="00912BAF"/>
    <w:rsid w:val="0091311E"/>
    <w:rsid w:val="00914EAB"/>
    <w:rsid w:val="0091541F"/>
    <w:rsid w:val="00920D98"/>
    <w:rsid w:val="0092108C"/>
    <w:rsid w:val="00922D49"/>
    <w:rsid w:val="009238DB"/>
    <w:rsid w:val="00925E37"/>
    <w:rsid w:val="00925EDD"/>
    <w:rsid w:val="0092665C"/>
    <w:rsid w:val="00930079"/>
    <w:rsid w:val="00930966"/>
    <w:rsid w:val="00932F64"/>
    <w:rsid w:val="00935FB1"/>
    <w:rsid w:val="00936075"/>
    <w:rsid w:val="00936D40"/>
    <w:rsid w:val="00937ABF"/>
    <w:rsid w:val="00937DB1"/>
    <w:rsid w:val="009463CC"/>
    <w:rsid w:val="0094687A"/>
    <w:rsid w:val="00950413"/>
    <w:rsid w:val="0095078E"/>
    <w:rsid w:val="00952404"/>
    <w:rsid w:val="00952A72"/>
    <w:rsid w:val="009533AD"/>
    <w:rsid w:val="009542B3"/>
    <w:rsid w:val="009550A8"/>
    <w:rsid w:val="00955FF2"/>
    <w:rsid w:val="0095693D"/>
    <w:rsid w:val="00956B0D"/>
    <w:rsid w:val="0096224F"/>
    <w:rsid w:val="0096260B"/>
    <w:rsid w:val="009631C1"/>
    <w:rsid w:val="00970C69"/>
    <w:rsid w:val="00973B57"/>
    <w:rsid w:val="00973E0D"/>
    <w:rsid w:val="0097403F"/>
    <w:rsid w:val="00976797"/>
    <w:rsid w:val="00980C0C"/>
    <w:rsid w:val="00982E47"/>
    <w:rsid w:val="00983E7D"/>
    <w:rsid w:val="00991642"/>
    <w:rsid w:val="0099260C"/>
    <w:rsid w:val="009942F4"/>
    <w:rsid w:val="00995B3C"/>
    <w:rsid w:val="00996BCA"/>
    <w:rsid w:val="00997454"/>
    <w:rsid w:val="009A045B"/>
    <w:rsid w:val="009A0513"/>
    <w:rsid w:val="009A1119"/>
    <w:rsid w:val="009A2283"/>
    <w:rsid w:val="009A31AF"/>
    <w:rsid w:val="009A3507"/>
    <w:rsid w:val="009A529F"/>
    <w:rsid w:val="009A5C1D"/>
    <w:rsid w:val="009A6018"/>
    <w:rsid w:val="009A7C28"/>
    <w:rsid w:val="009B0273"/>
    <w:rsid w:val="009B4286"/>
    <w:rsid w:val="009B5BF9"/>
    <w:rsid w:val="009B5DAF"/>
    <w:rsid w:val="009B5F83"/>
    <w:rsid w:val="009B61C5"/>
    <w:rsid w:val="009B769E"/>
    <w:rsid w:val="009C03E5"/>
    <w:rsid w:val="009C3F17"/>
    <w:rsid w:val="009C4D19"/>
    <w:rsid w:val="009C5FDB"/>
    <w:rsid w:val="009C65AF"/>
    <w:rsid w:val="009C70CB"/>
    <w:rsid w:val="009C74DD"/>
    <w:rsid w:val="009D0312"/>
    <w:rsid w:val="009D27AA"/>
    <w:rsid w:val="009D2AD9"/>
    <w:rsid w:val="009D514E"/>
    <w:rsid w:val="009D5A40"/>
    <w:rsid w:val="009D5C39"/>
    <w:rsid w:val="009D6FED"/>
    <w:rsid w:val="009E0A95"/>
    <w:rsid w:val="009E0D47"/>
    <w:rsid w:val="009E549D"/>
    <w:rsid w:val="009E54AF"/>
    <w:rsid w:val="009E5C59"/>
    <w:rsid w:val="009E6BB8"/>
    <w:rsid w:val="009F0FB1"/>
    <w:rsid w:val="009F1CC3"/>
    <w:rsid w:val="009F26F2"/>
    <w:rsid w:val="009F3E1E"/>
    <w:rsid w:val="009F4CC5"/>
    <w:rsid w:val="009F6550"/>
    <w:rsid w:val="00A003BE"/>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17E5B"/>
    <w:rsid w:val="00A20263"/>
    <w:rsid w:val="00A2168F"/>
    <w:rsid w:val="00A248B1"/>
    <w:rsid w:val="00A26437"/>
    <w:rsid w:val="00A30E4D"/>
    <w:rsid w:val="00A32410"/>
    <w:rsid w:val="00A32B48"/>
    <w:rsid w:val="00A35D6F"/>
    <w:rsid w:val="00A36D00"/>
    <w:rsid w:val="00A42462"/>
    <w:rsid w:val="00A43389"/>
    <w:rsid w:val="00A4642E"/>
    <w:rsid w:val="00A47AF8"/>
    <w:rsid w:val="00A52D75"/>
    <w:rsid w:val="00A53013"/>
    <w:rsid w:val="00A54BD6"/>
    <w:rsid w:val="00A5643A"/>
    <w:rsid w:val="00A57678"/>
    <w:rsid w:val="00A6090C"/>
    <w:rsid w:val="00A6200E"/>
    <w:rsid w:val="00A62D1E"/>
    <w:rsid w:val="00A65C6D"/>
    <w:rsid w:val="00A670C7"/>
    <w:rsid w:val="00A716B9"/>
    <w:rsid w:val="00A720D8"/>
    <w:rsid w:val="00A72216"/>
    <w:rsid w:val="00A733F2"/>
    <w:rsid w:val="00A75705"/>
    <w:rsid w:val="00A75BE1"/>
    <w:rsid w:val="00A8187C"/>
    <w:rsid w:val="00A82C9E"/>
    <w:rsid w:val="00A8324F"/>
    <w:rsid w:val="00A84193"/>
    <w:rsid w:val="00A85142"/>
    <w:rsid w:val="00A875B4"/>
    <w:rsid w:val="00A95B37"/>
    <w:rsid w:val="00A96B6F"/>
    <w:rsid w:val="00AA0CE8"/>
    <w:rsid w:val="00AA35FD"/>
    <w:rsid w:val="00AA3DB7"/>
    <w:rsid w:val="00AA5EF2"/>
    <w:rsid w:val="00AA5F63"/>
    <w:rsid w:val="00AA7EBD"/>
    <w:rsid w:val="00AB0590"/>
    <w:rsid w:val="00AB1112"/>
    <w:rsid w:val="00AB67DE"/>
    <w:rsid w:val="00AB69EF"/>
    <w:rsid w:val="00AC11DC"/>
    <w:rsid w:val="00AC23B0"/>
    <w:rsid w:val="00AC3E87"/>
    <w:rsid w:val="00AC469F"/>
    <w:rsid w:val="00AD0611"/>
    <w:rsid w:val="00AD0E4F"/>
    <w:rsid w:val="00AD26D7"/>
    <w:rsid w:val="00AD3905"/>
    <w:rsid w:val="00AD4555"/>
    <w:rsid w:val="00AD4A31"/>
    <w:rsid w:val="00AD5638"/>
    <w:rsid w:val="00AD7214"/>
    <w:rsid w:val="00AE1066"/>
    <w:rsid w:val="00AE12A4"/>
    <w:rsid w:val="00AE2480"/>
    <w:rsid w:val="00AE2E1B"/>
    <w:rsid w:val="00AE5129"/>
    <w:rsid w:val="00AE5645"/>
    <w:rsid w:val="00AE68BC"/>
    <w:rsid w:val="00AF1D6B"/>
    <w:rsid w:val="00AF24AA"/>
    <w:rsid w:val="00AF3AF9"/>
    <w:rsid w:val="00AF3E5F"/>
    <w:rsid w:val="00AF44C1"/>
    <w:rsid w:val="00AF4F09"/>
    <w:rsid w:val="00AF643E"/>
    <w:rsid w:val="00AF79C8"/>
    <w:rsid w:val="00B00FA8"/>
    <w:rsid w:val="00B011B0"/>
    <w:rsid w:val="00B0391C"/>
    <w:rsid w:val="00B047F6"/>
    <w:rsid w:val="00B06019"/>
    <w:rsid w:val="00B06246"/>
    <w:rsid w:val="00B0700F"/>
    <w:rsid w:val="00B1493B"/>
    <w:rsid w:val="00B15119"/>
    <w:rsid w:val="00B17169"/>
    <w:rsid w:val="00B23996"/>
    <w:rsid w:val="00B23CB2"/>
    <w:rsid w:val="00B249C0"/>
    <w:rsid w:val="00B24A18"/>
    <w:rsid w:val="00B255C5"/>
    <w:rsid w:val="00B25807"/>
    <w:rsid w:val="00B268DD"/>
    <w:rsid w:val="00B32AE1"/>
    <w:rsid w:val="00B35FEC"/>
    <w:rsid w:val="00B37780"/>
    <w:rsid w:val="00B37813"/>
    <w:rsid w:val="00B37EEF"/>
    <w:rsid w:val="00B404F1"/>
    <w:rsid w:val="00B41C1D"/>
    <w:rsid w:val="00B43917"/>
    <w:rsid w:val="00B4515C"/>
    <w:rsid w:val="00B46220"/>
    <w:rsid w:val="00B464EA"/>
    <w:rsid w:val="00B47574"/>
    <w:rsid w:val="00B5430C"/>
    <w:rsid w:val="00B54884"/>
    <w:rsid w:val="00B56A90"/>
    <w:rsid w:val="00B5711C"/>
    <w:rsid w:val="00B57BCF"/>
    <w:rsid w:val="00B57E36"/>
    <w:rsid w:val="00B60209"/>
    <w:rsid w:val="00B606A3"/>
    <w:rsid w:val="00B625CB"/>
    <w:rsid w:val="00B63F2B"/>
    <w:rsid w:val="00B64D3A"/>
    <w:rsid w:val="00B65D6F"/>
    <w:rsid w:val="00B673F3"/>
    <w:rsid w:val="00B67A25"/>
    <w:rsid w:val="00B7354A"/>
    <w:rsid w:val="00B7435B"/>
    <w:rsid w:val="00B74446"/>
    <w:rsid w:val="00B74B59"/>
    <w:rsid w:val="00B75F09"/>
    <w:rsid w:val="00B76BBB"/>
    <w:rsid w:val="00B77142"/>
    <w:rsid w:val="00B8024E"/>
    <w:rsid w:val="00B80C3A"/>
    <w:rsid w:val="00B84643"/>
    <w:rsid w:val="00B90452"/>
    <w:rsid w:val="00B90780"/>
    <w:rsid w:val="00B916D6"/>
    <w:rsid w:val="00B91AD8"/>
    <w:rsid w:val="00B9209B"/>
    <w:rsid w:val="00B9240D"/>
    <w:rsid w:val="00B95753"/>
    <w:rsid w:val="00B97E42"/>
    <w:rsid w:val="00BA0425"/>
    <w:rsid w:val="00BA0C05"/>
    <w:rsid w:val="00BA54D0"/>
    <w:rsid w:val="00BA7E30"/>
    <w:rsid w:val="00BB04BF"/>
    <w:rsid w:val="00BB1013"/>
    <w:rsid w:val="00BB4515"/>
    <w:rsid w:val="00BB7B89"/>
    <w:rsid w:val="00BC1A9B"/>
    <w:rsid w:val="00BC2A22"/>
    <w:rsid w:val="00BC4986"/>
    <w:rsid w:val="00BC5E2E"/>
    <w:rsid w:val="00BC6379"/>
    <w:rsid w:val="00BC6C3E"/>
    <w:rsid w:val="00BC7EEF"/>
    <w:rsid w:val="00BD2308"/>
    <w:rsid w:val="00BD43BB"/>
    <w:rsid w:val="00BD72C1"/>
    <w:rsid w:val="00BD7ADE"/>
    <w:rsid w:val="00BE1A85"/>
    <w:rsid w:val="00BE46ED"/>
    <w:rsid w:val="00BE4FD1"/>
    <w:rsid w:val="00BE642D"/>
    <w:rsid w:val="00BE6D7A"/>
    <w:rsid w:val="00BF07C4"/>
    <w:rsid w:val="00BF2511"/>
    <w:rsid w:val="00BF377F"/>
    <w:rsid w:val="00BF3F88"/>
    <w:rsid w:val="00BF416F"/>
    <w:rsid w:val="00BF57BE"/>
    <w:rsid w:val="00C0042B"/>
    <w:rsid w:val="00C02E58"/>
    <w:rsid w:val="00C030B6"/>
    <w:rsid w:val="00C04B38"/>
    <w:rsid w:val="00C067B7"/>
    <w:rsid w:val="00C10A09"/>
    <w:rsid w:val="00C121BC"/>
    <w:rsid w:val="00C12FA4"/>
    <w:rsid w:val="00C14D92"/>
    <w:rsid w:val="00C16739"/>
    <w:rsid w:val="00C17F3F"/>
    <w:rsid w:val="00C23BA2"/>
    <w:rsid w:val="00C260A2"/>
    <w:rsid w:val="00C30CFF"/>
    <w:rsid w:val="00C30DEC"/>
    <w:rsid w:val="00C31142"/>
    <w:rsid w:val="00C31DEF"/>
    <w:rsid w:val="00C338EB"/>
    <w:rsid w:val="00C35BB7"/>
    <w:rsid w:val="00C36B35"/>
    <w:rsid w:val="00C400CD"/>
    <w:rsid w:val="00C41617"/>
    <w:rsid w:val="00C4309A"/>
    <w:rsid w:val="00C43F23"/>
    <w:rsid w:val="00C43FF1"/>
    <w:rsid w:val="00C45494"/>
    <w:rsid w:val="00C52D18"/>
    <w:rsid w:val="00C559CE"/>
    <w:rsid w:val="00C55E19"/>
    <w:rsid w:val="00C563AD"/>
    <w:rsid w:val="00C563BF"/>
    <w:rsid w:val="00C56EF8"/>
    <w:rsid w:val="00C57512"/>
    <w:rsid w:val="00C57607"/>
    <w:rsid w:val="00C61133"/>
    <w:rsid w:val="00C64009"/>
    <w:rsid w:val="00C7016D"/>
    <w:rsid w:val="00C754C7"/>
    <w:rsid w:val="00C767B3"/>
    <w:rsid w:val="00C76C07"/>
    <w:rsid w:val="00C80F23"/>
    <w:rsid w:val="00C850A3"/>
    <w:rsid w:val="00C87568"/>
    <w:rsid w:val="00C9167A"/>
    <w:rsid w:val="00C92451"/>
    <w:rsid w:val="00C9272C"/>
    <w:rsid w:val="00C97764"/>
    <w:rsid w:val="00C97C9B"/>
    <w:rsid w:val="00CA2211"/>
    <w:rsid w:val="00CA28FE"/>
    <w:rsid w:val="00CA344C"/>
    <w:rsid w:val="00CA7FF7"/>
    <w:rsid w:val="00CB142D"/>
    <w:rsid w:val="00CB29F6"/>
    <w:rsid w:val="00CB2BBF"/>
    <w:rsid w:val="00CB481C"/>
    <w:rsid w:val="00CB4C8C"/>
    <w:rsid w:val="00CB62E1"/>
    <w:rsid w:val="00CB6EFE"/>
    <w:rsid w:val="00CC16F9"/>
    <w:rsid w:val="00CC28A9"/>
    <w:rsid w:val="00CC4183"/>
    <w:rsid w:val="00CC70A4"/>
    <w:rsid w:val="00CC78C7"/>
    <w:rsid w:val="00CD4A0C"/>
    <w:rsid w:val="00CD5CEF"/>
    <w:rsid w:val="00CE06EC"/>
    <w:rsid w:val="00CE592E"/>
    <w:rsid w:val="00CE5BB5"/>
    <w:rsid w:val="00CE5BC5"/>
    <w:rsid w:val="00CF16A4"/>
    <w:rsid w:val="00CF299F"/>
    <w:rsid w:val="00CF3357"/>
    <w:rsid w:val="00CF58DF"/>
    <w:rsid w:val="00D00BC3"/>
    <w:rsid w:val="00D03538"/>
    <w:rsid w:val="00D04410"/>
    <w:rsid w:val="00D05EE7"/>
    <w:rsid w:val="00D06394"/>
    <w:rsid w:val="00D06A9D"/>
    <w:rsid w:val="00D07C15"/>
    <w:rsid w:val="00D11D4F"/>
    <w:rsid w:val="00D13A01"/>
    <w:rsid w:val="00D15733"/>
    <w:rsid w:val="00D20364"/>
    <w:rsid w:val="00D207B2"/>
    <w:rsid w:val="00D2130C"/>
    <w:rsid w:val="00D26746"/>
    <w:rsid w:val="00D26DDD"/>
    <w:rsid w:val="00D27BDC"/>
    <w:rsid w:val="00D3194F"/>
    <w:rsid w:val="00D33751"/>
    <w:rsid w:val="00D36169"/>
    <w:rsid w:val="00D37343"/>
    <w:rsid w:val="00D37495"/>
    <w:rsid w:val="00D41727"/>
    <w:rsid w:val="00D427E4"/>
    <w:rsid w:val="00D45F1B"/>
    <w:rsid w:val="00D477DB"/>
    <w:rsid w:val="00D47A9E"/>
    <w:rsid w:val="00D52289"/>
    <w:rsid w:val="00D55A37"/>
    <w:rsid w:val="00D55B7E"/>
    <w:rsid w:val="00D564C7"/>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0E11"/>
    <w:rsid w:val="00D9110D"/>
    <w:rsid w:val="00D91124"/>
    <w:rsid w:val="00D91987"/>
    <w:rsid w:val="00D92168"/>
    <w:rsid w:val="00D93426"/>
    <w:rsid w:val="00D94B22"/>
    <w:rsid w:val="00D958D3"/>
    <w:rsid w:val="00D9594F"/>
    <w:rsid w:val="00D97213"/>
    <w:rsid w:val="00DA134E"/>
    <w:rsid w:val="00DA13F3"/>
    <w:rsid w:val="00DA2DE3"/>
    <w:rsid w:val="00DA451D"/>
    <w:rsid w:val="00DA64AF"/>
    <w:rsid w:val="00DB1F4F"/>
    <w:rsid w:val="00DB2AC7"/>
    <w:rsid w:val="00DB704C"/>
    <w:rsid w:val="00DC693B"/>
    <w:rsid w:val="00DC7C77"/>
    <w:rsid w:val="00DD0F5D"/>
    <w:rsid w:val="00DD426D"/>
    <w:rsid w:val="00DD74FC"/>
    <w:rsid w:val="00DE117F"/>
    <w:rsid w:val="00DE1769"/>
    <w:rsid w:val="00DE1A17"/>
    <w:rsid w:val="00DE44C8"/>
    <w:rsid w:val="00DE64CC"/>
    <w:rsid w:val="00DE6AA9"/>
    <w:rsid w:val="00DE7B30"/>
    <w:rsid w:val="00DF0C0B"/>
    <w:rsid w:val="00DF18FE"/>
    <w:rsid w:val="00DF20C7"/>
    <w:rsid w:val="00DF4D0C"/>
    <w:rsid w:val="00DF5C20"/>
    <w:rsid w:val="00DF7D81"/>
    <w:rsid w:val="00E02DEB"/>
    <w:rsid w:val="00E042A1"/>
    <w:rsid w:val="00E0476C"/>
    <w:rsid w:val="00E0576B"/>
    <w:rsid w:val="00E067EA"/>
    <w:rsid w:val="00E06D18"/>
    <w:rsid w:val="00E104FA"/>
    <w:rsid w:val="00E12F1F"/>
    <w:rsid w:val="00E1320D"/>
    <w:rsid w:val="00E139F8"/>
    <w:rsid w:val="00E16022"/>
    <w:rsid w:val="00E1738C"/>
    <w:rsid w:val="00E174FF"/>
    <w:rsid w:val="00E205AA"/>
    <w:rsid w:val="00E22296"/>
    <w:rsid w:val="00E270C6"/>
    <w:rsid w:val="00E27360"/>
    <w:rsid w:val="00E27C04"/>
    <w:rsid w:val="00E27C82"/>
    <w:rsid w:val="00E30713"/>
    <w:rsid w:val="00E30EDF"/>
    <w:rsid w:val="00E312D7"/>
    <w:rsid w:val="00E316AF"/>
    <w:rsid w:val="00E31FBA"/>
    <w:rsid w:val="00E328E2"/>
    <w:rsid w:val="00E336BB"/>
    <w:rsid w:val="00E3384E"/>
    <w:rsid w:val="00E34B63"/>
    <w:rsid w:val="00E374C8"/>
    <w:rsid w:val="00E40156"/>
    <w:rsid w:val="00E4042D"/>
    <w:rsid w:val="00E4135D"/>
    <w:rsid w:val="00E43750"/>
    <w:rsid w:val="00E508EB"/>
    <w:rsid w:val="00E521E3"/>
    <w:rsid w:val="00E53B7A"/>
    <w:rsid w:val="00E550C9"/>
    <w:rsid w:val="00E55405"/>
    <w:rsid w:val="00E5645D"/>
    <w:rsid w:val="00E627A4"/>
    <w:rsid w:val="00E6280E"/>
    <w:rsid w:val="00E62C9C"/>
    <w:rsid w:val="00E630EE"/>
    <w:rsid w:val="00E67A61"/>
    <w:rsid w:val="00E70455"/>
    <w:rsid w:val="00E73221"/>
    <w:rsid w:val="00E7356F"/>
    <w:rsid w:val="00E75116"/>
    <w:rsid w:val="00E763EB"/>
    <w:rsid w:val="00E80A5B"/>
    <w:rsid w:val="00E8153C"/>
    <w:rsid w:val="00E8342F"/>
    <w:rsid w:val="00E84632"/>
    <w:rsid w:val="00E847EE"/>
    <w:rsid w:val="00E85E29"/>
    <w:rsid w:val="00E876F9"/>
    <w:rsid w:val="00E90508"/>
    <w:rsid w:val="00E90B39"/>
    <w:rsid w:val="00E94FFB"/>
    <w:rsid w:val="00E96A72"/>
    <w:rsid w:val="00E96B52"/>
    <w:rsid w:val="00EA01F7"/>
    <w:rsid w:val="00EA083F"/>
    <w:rsid w:val="00EA1D33"/>
    <w:rsid w:val="00EA1F5A"/>
    <w:rsid w:val="00EA375F"/>
    <w:rsid w:val="00EA6415"/>
    <w:rsid w:val="00EA7104"/>
    <w:rsid w:val="00EA7533"/>
    <w:rsid w:val="00EB067F"/>
    <w:rsid w:val="00EB2419"/>
    <w:rsid w:val="00EB45F5"/>
    <w:rsid w:val="00EB58F5"/>
    <w:rsid w:val="00EB6E6B"/>
    <w:rsid w:val="00EC010F"/>
    <w:rsid w:val="00EC224D"/>
    <w:rsid w:val="00EC2E3A"/>
    <w:rsid w:val="00EC3CCB"/>
    <w:rsid w:val="00EC54CD"/>
    <w:rsid w:val="00EC5A74"/>
    <w:rsid w:val="00EC737D"/>
    <w:rsid w:val="00ED2154"/>
    <w:rsid w:val="00ED4277"/>
    <w:rsid w:val="00ED576D"/>
    <w:rsid w:val="00ED7C8C"/>
    <w:rsid w:val="00ED7DDB"/>
    <w:rsid w:val="00ED7FDD"/>
    <w:rsid w:val="00EE0DEA"/>
    <w:rsid w:val="00EE431B"/>
    <w:rsid w:val="00EE4874"/>
    <w:rsid w:val="00EE53E5"/>
    <w:rsid w:val="00EE6654"/>
    <w:rsid w:val="00EE73FB"/>
    <w:rsid w:val="00EE7BF0"/>
    <w:rsid w:val="00EF2674"/>
    <w:rsid w:val="00EF556F"/>
    <w:rsid w:val="00EF7BE0"/>
    <w:rsid w:val="00EF7D07"/>
    <w:rsid w:val="00F016DD"/>
    <w:rsid w:val="00F0181C"/>
    <w:rsid w:val="00F03512"/>
    <w:rsid w:val="00F0433A"/>
    <w:rsid w:val="00F0519B"/>
    <w:rsid w:val="00F059D4"/>
    <w:rsid w:val="00F11783"/>
    <w:rsid w:val="00F119AF"/>
    <w:rsid w:val="00F1480B"/>
    <w:rsid w:val="00F1498D"/>
    <w:rsid w:val="00F20065"/>
    <w:rsid w:val="00F22211"/>
    <w:rsid w:val="00F22341"/>
    <w:rsid w:val="00F22F1D"/>
    <w:rsid w:val="00F22F9F"/>
    <w:rsid w:val="00F24039"/>
    <w:rsid w:val="00F24E0E"/>
    <w:rsid w:val="00F26693"/>
    <w:rsid w:val="00F33991"/>
    <w:rsid w:val="00F3477D"/>
    <w:rsid w:val="00F347FE"/>
    <w:rsid w:val="00F34859"/>
    <w:rsid w:val="00F356F7"/>
    <w:rsid w:val="00F40055"/>
    <w:rsid w:val="00F40868"/>
    <w:rsid w:val="00F44FDE"/>
    <w:rsid w:val="00F4518C"/>
    <w:rsid w:val="00F46467"/>
    <w:rsid w:val="00F4715C"/>
    <w:rsid w:val="00F47FF8"/>
    <w:rsid w:val="00F50707"/>
    <w:rsid w:val="00F529B5"/>
    <w:rsid w:val="00F52AA4"/>
    <w:rsid w:val="00F56162"/>
    <w:rsid w:val="00F56B7E"/>
    <w:rsid w:val="00F6052F"/>
    <w:rsid w:val="00F60F44"/>
    <w:rsid w:val="00F62FDE"/>
    <w:rsid w:val="00F645D2"/>
    <w:rsid w:val="00F654E6"/>
    <w:rsid w:val="00F662CD"/>
    <w:rsid w:val="00F67E39"/>
    <w:rsid w:val="00F703A8"/>
    <w:rsid w:val="00F707F1"/>
    <w:rsid w:val="00F7094A"/>
    <w:rsid w:val="00F710BE"/>
    <w:rsid w:val="00F72579"/>
    <w:rsid w:val="00F804B9"/>
    <w:rsid w:val="00F80AE2"/>
    <w:rsid w:val="00F8265F"/>
    <w:rsid w:val="00F83FF9"/>
    <w:rsid w:val="00F85FCB"/>
    <w:rsid w:val="00F870C3"/>
    <w:rsid w:val="00F91B52"/>
    <w:rsid w:val="00F97478"/>
    <w:rsid w:val="00F97B71"/>
    <w:rsid w:val="00F97B9E"/>
    <w:rsid w:val="00FA0527"/>
    <w:rsid w:val="00FA085E"/>
    <w:rsid w:val="00FA0947"/>
    <w:rsid w:val="00FA2D49"/>
    <w:rsid w:val="00FA472B"/>
    <w:rsid w:val="00FA4B52"/>
    <w:rsid w:val="00FA4D4F"/>
    <w:rsid w:val="00FA4D5B"/>
    <w:rsid w:val="00FA54E8"/>
    <w:rsid w:val="00FA6245"/>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1E47"/>
    <w:rsid w:val="00FE275D"/>
    <w:rsid w:val="00FE4F1A"/>
    <w:rsid w:val="00FE65AC"/>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Normal Indent" w:semiHidden="0" w:uiPriority="0" w:unhideWhenUsed="0"/>
    <w:lsdException w:name="annotation text" w:uiPriority="0"/>
    <w:lsdException w:locked="1" w:name="header" w:semiHidden="0" w:uiPriority="0" w:unhideWhenUsed="0"/>
    <w:lsdException w:locked="1" w:name="caption" w:qFormat="1" w:uiPriority="0"/>
    <w:lsdException w:name="annotation reference"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6A4828"/>
    <w:pPr>
      <w:widowControl w:val="0"/>
      <w:jc w:val="both"/>
    </w:pPr>
    <w:rPr>
      <w:kern w:val="2"/>
      <w:sz w:val="21"/>
      <w:szCs w:val="24"/>
    </w:rPr>
  </w:style>
  <w:style w:styleId="1" w:type="paragraph">
    <w:name w:val="heading 1"/>
    <w:basedOn w:val="a"/>
    <w:next w:val="a"/>
    <w:link w:val="1Char"/>
    <w:uiPriority w:val="99"/>
    <w:qFormat/>
    <w:rsid w:val="00180952"/>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6A4828"/>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180952"/>
    <w:rPr>
      <w:b/>
      <w:kern w:val="44"/>
      <w:sz w:val="44"/>
    </w:rPr>
  </w:style>
  <w:style w:customStyle="1" w:styleId="2Char" w:type="character">
    <w:name w:val="标题 2 Char"/>
    <w:link w:val="2"/>
    <w:uiPriority w:val="99"/>
    <w:semiHidden/>
    <w:locked/>
    <w:rsid w:val="00AB1112"/>
    <w:rPr>
      <w:rFonts w:ascii="Cambria" w:eastAsia="宋体" w:hAnsi="Cambria"/>
      <w:b/>
      <w:sz w:val="32"/>
    </w:rPr>
  </w:style>
  <w:style w:styleId="a0" w:type="paragraph">
    <w:name w:val="Normal Indent"/>
    <w:basedOn w:val="a"/>
    <w:uiPriority w:val="99"/>
    <w:rsid w:val="006A4828"/>
    <w:pPr>
      <w:ind w:firstLine="420" w:firstLineChars="200"/>
    </w:pPr>
  </w:style>
  <w:style w:styleId="a4" w:type="paragraph">
    <w:name w:val="Body Text Indent"/>
    <w:basedOn w:val="a"/>
    <w:link w:val="Char"/>
    <w:uiPriority w:val="99"/>
    <w:rsid w:val="006A4828"/>
    <w:pPr>
      <w:widowControl/>
      <w:spacing w:after="100" w:afterAutospacing="1" w:before="100" w:beforeAutospacing="1"/>
      <w:jc w:val="left"/>
    </w:pPr>
    <w:rPr>
      <w:kern w:val="0"/>
      <w:sz w:val="24"/>
    </w:rPr>
  </w:style>
  <w:style w:customStyle="1" w:styleId="Char" w:type="character">
    <w:name w:val="正文文本缩进 Char"/>
    <w:link w:val="a4"/>
    <w:uiPriority w:val="99"/>
    <w:semiHidden/>
    <w:locked/>
    <w:rsid w:val="00AB1112"/>
    <w:rPr>
      <w:sz w:val="24"/>
    </w:rPr>
  </w:style>
  <w:style w:styleId="a5" w:type="paragraph">
    <w:name w:val="Plain Text"/>
    <w:basedOn w:val="a"/>
    <w:link w:val="Char0"/>
    <w:uiPriority w:val="99"/>
    <w:rsid w:val="006A4828"/>
    <w:rPr>
      <w:rFonts w:ascii="宋体" w:hAnsi="Courier New"/>
      <w:szCs w:val="21"/>
    </w:rPr>
  </w:style>
  <w:style w:customStyle="1" w:styleId="Char0" w:type="character">
    <w:name w:val="纯文本 Char"/>
    <w:link w:val="a5"/>
    <w:uiPriority w:val="99"/>
    <w:locked/>
    <w:rsid w:val="009A045B"/>
    <w:rPr>
      <w:rFonts w:ascii="宋体" w:hAnsi="Courier New"/>
      <w:kern w:val="2"/>
      <w:sz w:val="21"/>
    </w:rPr>
  </w:style>
  <w:style w:styleId="20" w:type="paragraph">
    <w:name w:val="Body Text Indent 2"/>
    <w:basedOn w:val="a"/>
    <w:link w:val="2Char0"/>
    <w:uiPriority w:val="99"/>
    <w:rsid w:val="006A4828"/>
    <w:pPr>
      <w:spacing w:line="560" w:lineRule="exact"/>
      <w:ind w:firstLine="480" w:firstLineChars="200"/>
    </w:pPr>
    <w:rPr>
      <w:kern w:val="0"/>
      <w:sz w:val="24"/>
    </w:rPr>
  </w:style>
  <w:style w:customStyle="1" w:styleId="2Char0" w:type="character">
    <w:name w:val="正文文本缩进 2 Char"/>
    <w:link w:val="20"/>
    <w:uiPriority w:val="99"/>
    <w:semiHidden/>
    <w:locked/>
    <w:rsid w:val="00AB1112"/>
    <w:rPr>
      <w:sz w:val="24"/>
    </w:rPr>
  </w:style>
  <w:style w:styleId="a6" w:type="paragraph">
    <w:name w:val="footer"/>
    <w:basedOn w:val="a"/>
    <w:link w:val="Char1"/>
    <w:uiPriority w:val="99"/>
    <w:rsid w:val="006A4828"/>
    <w:pPr>
      <w:tabs>
        <w:tab w:pos="4153" w:val="center"/>
        <w:tab w:pos="8306" w:val="right"/>
      </w:tabs>
      <w:snapToGrid w:val="0"/>
      <w:jc w:val="left"/>
    </w:pPr>
    <w:rPr>
      <w:kern w:val="0"/>
      <w:sz w:val="18"/>
      <w:szCs w:val="18"/>
    </w:rPr>
  </w:style>
  <w:style w:customStyle="1" w:styleId="Char1" w:type="character">
    <w:name w:val="页脚 Char"/>
    <w:link w:val="a6"/>
    <w:uiPriority w:val="99"/>
    <w:semiHidden/>
    <w:locked/>
    <w:rsid w:val="00AB1112"/>
    <w:rPr>
      <w:sz w:val="18"/>
    </w:rPr>
  </w:style>
  <w:style w:styleId="a7" w:type="character">
    <w:name w:val="page number"/>
    <w:uiPriority w:val="99"/>
    <w:rsid w:val="006A4828"/>
    <w:rPr>
      <w:rFonts w:cs="Times New Roman"/>
    </w:rPr>
  </w:style>
  <w:style w:styleId="a8" w:type="character">
    <w:name w:val="Hyperlink"/>
    <w:uiPriority w:val="99"/>
    <w:rsid w:val="006A4828"/>
    <w:rPr>
      <w:rFonts w:cs="Times New Roman"/>
      <w:color w:val="0000FF"/>
      <w:u w:val="single"/>
    </w:rPr>
  </w:style>
  <w:style w:styleId="3" w:type="paragraph">
    <w:name w:val="Body Text Indent 3"/>
    <w:basedOn w:val="a"/>
    <w:link w:val="3Char"/>
    <w:uiPriority w:val="99"/>
    <w:rsid w:val="006A4828"/>
    <w:pPr>
      <w:spacing w:line="560" w:lineRule="exact"/>
      <w:ind w:firstLine="420" w:firstLineChars="200"/>
    </w:pPr>
    <w:rPr>
      <w:kern w:val="0"/>
      <w:sz w:val="16"/>
      <w:szCs w:val="16"/>
    </w:rPr>
  </w:style>
  <w:style w:customStyle="1" w:styleId="3Char" w:type="character">
    <w:name w:val="正文文本缩进 3 Char"/>
    <w:link w:val="3"/>
    <w:uiPriority w:val="99"/>
    <w:semiHidden/>
    <w:locked/>
    <w:rsid w:val="00AB1112"/>
    <w:rPr>
      <w:sz w:val="16"/>
    </w:rPr>
  </w:style>
  <w:style w:styleId="a9" w:type="paragraph">
    <w:name w:val="header"/>
    <w:basedOn w:val="a"/>
    <w:link w:val="Char2"/>
    <w:uiPriority w:val="99"/>
    <w:rsid w:val="006A4828"/>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1207F2"/>
    <w:rPr>
      <w:kern w:val="2"/>
      <w:sz w:val="18"/>
    </w:rPr>
  </w:style>
  <w:style w:customStyle="1" w:styleId="10" w:type="character">
    <w:name w:val="已访问的超链接1"/>
    <w:uiPriority w:val="99"/>
    <w:rsid w:val="006A4828"/>
    <w:rPr>
      <w:color w:val="800080"/>
      <w:u w:val="single"/>
    </w:rPr>
  </w:style>
  <w:style w:styleId="aa" w:type="paragraph">
    <w:name w:val="List"/>
    <w:basedOn w:val="ab"/>
    <w:uiPriority w:val="99"/>
    <w:rsid w:val="006A4828"/>
    <w:pPr>
      <w:spacing w:after="220" w:line="220" w:lineRule="atLeast"/>
      <w:ind w:hanging="360" w:left="1440"/>
    </w:pPr>
    <w:rPr>
      <w:szCs w:val="20"/>
    </w:rPr>
  </w:style>
  <w:style w:styleId="ab" w:type="paragraph">
    <w:name w:val="Body Text"/>
    <w:basedOn w:val="a"/>
    <w:link w:val="Char3"/>
    <w:uiPriority w:val="99"/>
    <w:rsid w:val="006A4828"/>
    <w:pPr>
      <w:spacing w:after="120"/>
    </w:pPr>
    <w:rPr>
      <w:kern w:val="0"/>
      <w:sz w:val="24"/>
    </w:rPr>
  </w:style>
  <w:style w:customStyle="1" w:styleId="Char3" w:type="character">
    <w:name w:val="正文文本 Char"/>
    <w:link w:val="ab"/>
    <w:uiPriority w:val="99"/>
    <w:semiHidden/>
    <w:locked/>
    <w:rsid w:val="00AB1112"/>
    <w:rPr>
      <w:sz w:val="24"/>
    </w:rPr>
  </w:style>
  <w:style w:styleId="ac" w:type="paragraph">
    <w:name w:val="Date"/>
    <w:basedOn w:val="a"/>
    <w:next w:val="a"/>
    <w:link w:val="Char4"/>
    <w:uiPriority w:val="99"/>
    <w:rsid w:val="006A4828"/>
    <w:rPr>
      <w:sz w:val="24"/>
      <w:szCs w:val="20"/>
    </w:rPr>
  </w:style>
  <w:style w:customStyle="1" w:styleId="Char4" w:type="character">
    <w:name w:val="日期 Char"/>
    <w:link w:val="ac"/>
    <w:uiPriority w:val="99"/>
    <w:locked/>
    <w:rsid w:val="00D66685"/>
    <w:rPr>
      <w:kern w:val="2"/>
      <w:sz w:val="24"/>
    </w:rPr>
  </w:style>
  <w:style w:customStyle="1" w:styleId="c1" w:type="character">
    <w:name w:val="c1"/>
    <w:uiPriority w:val="99"/>
    <w:rsid w:val="006A4828"/>
    <w:rPr>
      <w:color w:val="000000"/>
      <w:sz w:val="18"/>
    </w:rPr>
  </w:style>
  <w:style w:styleId="11" w:type="paragraph">
    <w:name w:val="index 1"/>
    <w:basedOn w:val="a"/>
    <w:next w:val="a"/>
    <w:autoRedefine/>
    <w:uiPriority w:val="99"/>
    <w:semiHidden/>
    <w:rsid w:val="006A4828"/>
    <w:pPr>
      <w:jc w:val="right"/>
    </w:pPr>
    <w:rPr>
      <w:color w:val="008000"/>
    </w:rPr>
  </w:style>
  <w:style w:customStyle="1" w:styleId="font5" w:type="paragraph">
    <w:name w:val="font5"/>
    <w:basedOn w:val="a"/>
    <w:uiPriority w:val="99"/>
    <w:rsid w:val="006A4828"/>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6A482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d" w:type="paragraph">
    <w:name w:val="Balloon Text"/>
    <w:basedOn w:val="a"/>
    <w:link w:val="Char5"/>
    <w:uiPriority w:val="99"/>
    <w:semiHidden/>
    <w:rsid w:val="006A4828"/>
    <w:rPr>
      <w:kern w:val="0"/>
      <w:sz w:val="2"/>
      <w:szCs w:val="20"/>
    </w:rPr>
  </w:style>
  <w:style w:customStyle="1" w:styleId="Char5" w:type="character">
    <w:name w:val="批注框文本 Char"/>
    <w:link w:val="ad"/>
    <w:uiPriority w:val="99"/>
    <w:semiHidden/>
    <w:locked/>
    <w:rsid w:val="00AB1112"/>
    <w:rPr>
      <w:sz w:val="2"/>
    </w:rPr>
  </w:style>
  <w:style w:styleId="ae" w:type="character">
    <w:name w:val="annotation reference"/>
    <w:semiHidden/>
    <w:rsid w:val="006A4828"/>
    <w:rPr>
      <w:rFonts w:cs="Times New Roman"/>
      <w:sz w:val="21"/>
    </w:rPr>
  </w:style>
  <w:style w:styleId="af" w:type="paragraph">
    <w:name w:val="annotation text"/>
    <w:basedOn w:val="a"/>
    <w:link w:val="Char6"/>
    <w:semiHidden/>
    <w:rsid w:val="006A4828"/>
    <w:pPr>
      <w:jc w:val="left"/>
    </w:pPr>
    <w:rPr>
      <w:kern w:val="0"/>
      <w:sz w:val="24"/>
    </w:rPr>
  </w:style>
  <w:style w:customStyle="1" w:styleId="Char6" w:type="character">
    <w:name w:val="批注文字 Char"/>
    <w:link w:val="af"/>
    <w:uiPriority w:val="99"/>
    <w:semiHidden/>
    <w:locked/>
    <w:rsid w:val="00AB1112"/>
    <w:rPr>
      <w:sz w:val="24"/>
    </w:rPr>
  </w:style>
  <w:style w:styleId="af0" w:type="paragraph">
    <w:name w:val="annotation subject"/>
    <w:basedOn w:val="af"/>
    <w:next w:val="af"/>
    <w:link w:val="Char7"/>
    <w:uiPriority w:val="99"/>
    <w:semiHidden/>
    <w:rsid w:val="006A4828"/>
    <w:rPr>
      <w:b/>
      <w:bCs/>
    </w:rPr>
  </w:style>
  <w:style w:customStyle="1" w:styleId="Char7" w:type="character">
    <w:name w:val="批注主题 Char"/>
    <w:link w:val="af0"/>
    <w:uiPriority w:val="99"/>
    <w:semiHidden/>
    <w:locked/>
    <w:rsid w:val="00AB1112"/>
    <w:rPr>
      <w:b/>
      <w:sz w:val="24"/>
    </w:rPr>
  </w:style>
  <w:style w:customStyle="1" w:styleId="Char8" w:type="paragraph">
    <w:name w:val="Char"/>
    <w:basedOn w:val="a"/>
    <w:uiPriority w:val="99"/>
    <w:rsid w:val="006A4828"/>
  </w:style>
  <w:style w:styleId="af1" w:type="paragraph">
    <w:name w:val="Document Map"/>
    <w:basedOn w:val="a"/>
    <w:link w:val="Char9"/>
    <w:uiPriority w:val="99"/>
    <w:semiHidden/>
    <w:rsid w:val="000A549A"/>
    <w:pPr>
      <w:shd w:color="auto" w:fill="000080" w:val="clear"/>
    </w:pPr>
    <w:rPr>
      <w:kern w:val="0"/>
      <w:sz w:val="2"/>
      <w:szCs w:val="20"/>
    </w:rPr>
  </w:style>
  <w:style w:customStyle="1" w:styleId="Char9" w:type="character">
    <w:name w:val="文档结构图 Char"/>
    <w:link w:val="af1"/>
    <w:uiPriority w:val="99"/>
    <w:semiHidden/>
    <w:locked/>
    <w:rsid w:val="00AB1112"/>
    <w:rPr>
      <w:sz w:val="2"/>
    </w:rPr>
  </w:style>
  <w:style w:styleId="af2" w:type="table">
    <w:name w:val="Table Grid"/>
    <w:basedOn w:val="a2"/>
    <w:qFormat/>
    <w:rsid w:val="009A31AF"/>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f3" w:type="paragraph">
    <w:name w:val="footnote text"/>
    <w:basedOn w:val="a"/>
    <w:link w:val="Chara"/>
    <w:uiPriority w:val="99"/>
    <w:rsid w:val="000B251E"/>
    <w:pPr>
      <w:snapToGrid w:val="0"/>
      <w:jc w:val="left"/>
    </w:pPr>
    <w:rPr>
      <w:sz w:val="18"/>
      <w:szCs w:val="18"/>
    </w:rPr>
  </w:style>
  <w:style w:customStyle="1" w:styleId="Chara" w:type="character">
    <w:name w:val="脚注文本 Char"/>
    <w:link w:val="af3"/>
    <w:uiPriority w:val="99"/>
    <w:locked/>
    <w:rsid w:val="00CB481C"/>
    <w:rPr>
      <w:kern w:val="2"/>
      <w:sz w:val="18"/>
    </w:rPr>
  </w:style>
  <w:style w:styleId="af4" w:type="character">
    <w:name w:val="footnote reference"/>
    <w:uiPriority w:val="99"/>
    <w:rsid w:val="000B251E"/>
    <w:rPr>
      <w:rFonts w:cs="Times New Roman"/>
      <w:vertAlign w:val="superscript"/>
    </w:rPr>
  </w:style>
  <w:style w:styleId="af5" w:type="paragraph">
    <w:name w:val="Normal (Web)"/>
    <w:basedOn w:val="a"/>
    <w:uiPriority w:val="99"/>
    <w:rsid w:val="00B25807"/>
    <w:pPr>
      <w:widowControl/>
      <w:spacing w:after="100" w:afterAutospacing="1" w:before="100" w:beforeAutospacing="1"/>
      <w:jc w:val="left"/>
    </w:pPr>
    <w:rPr>
      <w:rFonts w:ascii="宋体" w:hAnsi="宋体"/>
      <w:kern w:val="0"/>
      <w:sz w:val="24"/>
    </w:rPr>
  </w:style>
  <w:style w:customStyle="1" w:styleId="Char10" w:type="paragraph">
    <w:name w:val="Char1"/>
    <w:basedOn w:val="a"/>
    <w:uiPriority w:val="99"/>
    <w:rsid w:val="00D97213"/>
  </w:style>
  <w:style w:customStyle="1" w:styleId="t1" w:type="character">
    <w:name w:val="t1"/>
    <w:uiPriority w:val="99"/>
    <w:rsid w:val="002D2A00"/>
    <w:rPr>
      <w:color w:val="990000"/>
    </w:rPr>
  </w:style>
  <w:style w:customStyle="1" w:styleId="Default" w:type="paragraph">
    <w:name w:val="Default"/>
    <w:uiPriority w:val="99"/>
    <w:rsid w:val="00CB481C"/>
    <w:pPr>
      <w:widowControl w:val="0"/>
      <w:autoSpaceDE w:val="0"/>
      <w:autoSpaceDN w:val="0"/>
      <w:adjustRightInd w:val="0"/>
    </w:pPr>
    <w:rPr>
      <w:rFonts w:ascii="FangSong" w:cs="FangSong" w:hAnsi="FangSong"/>
      <w:color w:val="000000"/>
      <w:sz w:val="24"/>
      <w:szCs w:val="24"/>
    </w:rPr>
  </w:style>
  <w:style w:customStyle="1" w:styleId="5" w:type="numbering">
    <w:name w:val="样式5"/>
    <w:rsid w:val="00C00FED"/>
    <w:pPr>
      <w:numPr>
        <w:numId w:val="8"/>
      </w:numPr>
    </w:pPr>
  </w:style>
  <w:style w:styleId="af6" w:type="character">
    <w:name w:val="Strong"/>
    <w:uiPriority w:val="22"/>
    <w:qFormat/>
    <w:locked/>
    <w:rsid w:val="00AE248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Char">
    <w:name w:val="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021212">
      <w:bodyDiv w:val="1"/>
      <w:marLeft w:val="0"/>
      <w:marRight w:val="0"/>
      <w:marTop w:val="0"/>
      <w:marBottom w:val="0"/>
      <w:divBdr>
        <w:top w:val="none" w:sz="0" w:space="0" w:color="auto"/>
        <w:left w:val="none" w:sz="0" w:space="0" w:color="auto"/>
        <w:bottom w:val="none" w:sz="0" w:space="0" w:color="auto"/>
        <w:right w:val="none" w:sz="0" w:space="0" w:color="auto"/>
      </w:divBdr>
    </w:div>
    <w:div w:id="888423083">
      <w:marLeft w:val="0"/>
      <w:marRight w:val="0"/>
      <w:marTop w:val="0"/>
      <w:marBottom w:val="0"/>
      <w:divBdr>
        <w:top w:val="none" w:sz="0" w:space="0" w:color="auto"/>
        <w:left w:val="none" w:sz="0" w:space="0" w:color="auto"/>
        <w:bottom w:val="none" w:sz="0" w:space="0" w:color="auto"/>
        <w:right w:val="none" w:sz="0" w:space="0" w:color="auto"/>
      </w:divBdr>
    </w:div>
    <w:div w:id="888423084">
      <w:marLeft w:val="0"/>
      <w:marRight w:val="0"/>
      <w:marTop w:val="0"/>
      <w:marBottom w:val="0"/>
      <w:divBdr>
        <w:top w:val="none" w:sz="0" w:space="0" w:color="auto"/>
        <w:left w:val="none" w:sz="0" w:space="0" w:color="auto"/>
        <w:bottom w:val="none" w:sz="0" w:space="0" w:color="auto"/>
        <w:right w:val="none" w:sz="0" w:space="0" w:color="auto"/>
      </w:divBdr>
    </w:div>
    <w:div w:id="888423085">
      <w:marLeft w:val="0"/>
      <w:marRight w:val="0"/>
      <w:marTop w:val="0"/>
      <w:marBottom w:val="0"/>
      <w:divBdr>
        <w:top w:val="none" w:sz="0" w:space="0" w:color="auto"/>
        <w:left w:val="none" w:sz="0" w:space="0" w:color="auto"/>
        <w:bottom w:val="none" w:sz="0" w:space="0" w:color="auto"/>
        <w:right w:val="none" w:sz="0" w:space="0" w:color="auto"/>
      </w:divBdr>
    </w:div>
    <w:div w:id="888423086">
      <w:marLeft w:val="0"/>
      <w:marRight w:val="0"/>
      <w:marTop w:val="0"/>
      <w:marBottom w:val="0"/>
      <w:divBdr>
        <w:top w:val="none" w:sz="0" w:space="0" w:color="auto"/>
        <w:left w:val="none" w:sz="0" w:space="0" w:color="auto"/>
        <w:bottom w:val="none" w:sz="0" w:space="0" w:color="auto"/>
        <w:right w:val="none" w:sz="0" w:space="0" w:color="auto"/>
      </w:divBdr>
    </w:div>
    <w:div w:id="888423087">
      <w:marLeft w:val="0"/>
      <w:marRight w:val="0"/>
      <w:marTop w:val="0"/>
      <w:marBottom w:val="0"/>
      <w:divBdr>
        <w:top w:val="none" w:sz="0" w:space="0" w:color="auto"/>
        <w:left w:val="none" w:sz="0" w:space="0" w:color="auto"/>
        <w:bottom w:val="none" w:sz="0" w:space="0" w:color="auto"/>
        <w:right w:val="none" w:sz="0" w:space="0" w:color="auto"/>
      </w:divBdr>
    </w:div>
    <w:div w:id="888423088">
      <w:marLeft w:val="0"/>
      <w:marRight w:val="0"/>
      <w:marTop w:val="0"/>
      <w:marBottom w:val="0"/>
      <w:divBdr>
        <w:top w:val="none" w:sz="0" w:space="0" w:color="auto"/>
        <w:left w:val="none" w:sz="0" w:space="0" w:color="auto"/>
        <w:bottom w:val="none" w:sz="0" w:space="0" w:color="auto"/>
        <w:right w:val="none" w:sz="0" w:space="0" w:color="auto"/>
      </w:divBdr>
    </w:div>
    <w:div w:id="888423089">
      <w:marLeft w:val="0"/>
      <w:marRight w:val="0"/>
      <w:marTop w:val="0"/>
      <w:marBottom w:val="0"/>
      <w:divBdr>
        <w:top w:val="none" w:sz="0" w:space="0" w:color="auto"/>
        <w:left w:val="none" w:sz="0" w:space="0" w:color="auto"/>
        <w:bottom w:val="none" w:sz="0" w:space="0" w:color="auto"/>
        <w:right w:val="none" w:sz="0" w:space="0" w:color="auto"/>
      </w:divBdr>
    </w:div>
    <w:div w:id="888423090">
      <w:marLeft w:val="0"/>
      <w:marRight w:val="0"/>
      <w:marTop w:val="0"/>
      <w:marBottom w:val="0"/>
      <w:divBdr>
        <w:top w:val="none" w:sz="0" w:space="0" w:color="auto"/>
        <w:left w:val="none" w:sz="0" w:space="0" w:color="auto"/>
        <w:bottom w:val="none" w:sz="0" w:space="0" w:color="auto"/>
        <w:right w:val="none" w:sz="0" w:space="0" w:color="auto"/>
      </w:divBdr>
    </w:div>
    <w:div w:id="888423091">
      <w:marLeft w:val="0"/>
      <w:marRight w:val="0"/>
      <w:marTop w:val="0"/>
      <w:marBottom w:val="0"/>
      <w:divBdr>
        <w:top w:val="none" w:sz="0" w:space="0" w:color="auto"/>
        <w:left w:val="none" w:sz="0" w:space="0" w:color="auto"/>
        <w:bottom w:val="none" w:sz="0" w:space="0" w:color="auto"/>
        <w:right w:val="none" w:sz="0" w:space="0" w:color="auto"/>
      </w:divBdr>
    </w:div>
    <w:div w:id="888423092">
      <w:marLeft w:val="0"/>
      <w:marRight w:val="0"/>
      <w:marTop w:val="0"/>
      <w:marBottom w:val="0"/>
      <w:divBdr>
        <w:top w:val="none" w:sz="0" w:space="0" w:color="auto"/>
        <w:left w:val="none" w:sz="0" w:space="0" w:color="auto"/>
        <w:bottom w:val="none" w:sz="0" w:space="0" w:color="auto"/>
        <w:right w:val="none" w:sz="0" w:space="0" w:color="auto"/>
      </w:divBdr>
    </w:div>
    <w:div w:id="888423093">
      <w:marLeft w:val="0"/>
      <w:marRight w:val="0"/>
      <w:marTop w:val="0"/>
      <w:marBottom w:val="0"/>
      <w:divBdr>
        <w:top w:val="none" w:sz="0" w:space="0" w:color="auto"/>
        <w:left w:val="none" w:sz="0" w:space="0" w:color="auto"/>
        <w:bottom w:val="none" w:sz="0" w:space="0" w:color="auto"/>
        <w:right w:val="none" w:sz="0" w:space="0" w:color="auto"/>
      </w:divBdr>
    </w:div>
    <w:div w:id="888423095">
      <w:marLeft w:val="0"/>
      <w:marRight w:val="0"/>
      <w:marTop w:val="0"/>
      <w:marBottom w:val="0"/>
      <w:divBdr>
        <w:top w:val="none" w:sz="0" w:space="0" w:color="auto"/>
        <w:left w:val="none" w:sz="0" w:space="0" w:color="auto"/>
        <w:bottom w:val="none" w:sz="0" w:space="0" w:color="auto"/>
        <w:right w:val="none" w:sz="0" w:space="0" w:color="auto"/>
      </w:divBdr>
    </w:div>
    <w:div w:id="888423096">
      <w:marLeft w:val="0"/>
      <w:marRight w:val="0"/>
      <w:marTop w:val="0"/>
      <w:marBottom w:val="0"/>
      <w:divBdr>
        <w:top w:val="none" w:sz="0" w:space="0" w:color="auto"/>
        <w:left w:val="none" w:sz="0" w:space="0" w:color="auto"/>
        <w:bottom w:val="none" w:sz="0" w:space="0" w:color="auto"/>
        <w:right w:val="none" w:sz="0" w:space="0" w:color="auto"/>
      </w:divBdr>
    </w:div>
    <w:div w:id="888423097">
      <w:marLeft w:val="0"/>
      <w:marRight w:val="0"/>
      <w:marTop w:val="0"/>
      <w:marBottom w:val="0"/>
      <w:divBdr>
        <w:top w:val="none" w:sz="0" w:space="0" w:color="auto"/>
        <w:left w:val="none" w:sz="0" w:space="0" w:color="auto"/>
        <w:bottom w:val="none" w:sz="0" w:space="0" w:color="auto"/>
        <w:right w:val="none" w:sz="0" w:space="0" w:color="auto"/>
      </w:divBdr>
    </w:div>
    <w:div w:id="888423098">
      <w:marLeft w:val="0"/>
      <w:marRight w:val="0"/>
      <w:marTop w:val="0"/>
      <w:marBottom w:val="0"/>
      <w:divBdr>
        <w:top w:val="none" w:sz="0" w:space="0" w:color="auto"/>
        <w:left w:val="none" w:sz="0" w:space="0" w:color="auto"/>
        <w:bottom w:val="none" w:sz="0" w:space="0" w:color="auto"/>
        <w:right w:val="none" w:sz="0" w:space="0" w:color="auto"/>
      </w:divBdr>
    </w:div>
    <w:div w:id="888423099">
      <w:marLeft w:val="0"/>
      <w:marRight w:val="0"/>
      <w:marTop w:val="0"/>
      <w:marBottom w:val="0"/>
      <w:divBdr>
        <w:top w:val="none" w:sz="0" w:space="0" w:color="auto"/>
        <w:left w:val="none" w:sz="0" w:space="0" w:color="auto"/>
        <w:bottom w:val="none" w:sz="0" w:space="0" w:color="auto"/>
        <w:right w:val="none" w:sz="0" w:space="0" w:color="auto"/>
      </w:divBdr>
    </w:div>
    <w:div w:id="888423100">
      <w:marLeft w:val="150"/>
      <w:marRight w:val="150"/>
      <w:marTop w:val="150"/>
      <w:marBottom w:val="150"/>
      <w:divBdr>
        <w:top w:val="none" w:sz="0" w:space="0" w:color="auto"/>
        <w:left w:val="none" w:sz="0" w:space="0" w:color="auto"/>
        <w:bottom w:val="none" w:sz="0" w:space="0" w:color="auto"/>
        <w:right w:val="none" w:sz="0" w:space="0" w:color="auto"/>
      </w:divBdr>
      <w:divsChild>
        <w:div w:id="888423094">
          <w:marLeft w:val="0"/>
          <w:marRight w:val="0"/>
          <w:marTop w:val="0"/>
          <w:marBottom w:val="0"/>
          <w:divBdr>
            <w:top w:val="none" w:sz="0" w:space="0" w:color="auto"/>
            <w:left w:val="none" w:sz="0" w:space="0" w:color="auto"/>
            <w:bottom w:val="none" w:sz="0" w:space="0" w:color="auto"/>
            <w:right w:val="none" w:sz="0" w:space="0" w:color="auto"/>
          </w:divBdr>
        </w:div>
      </w:divsChild>
    </w:div>
    <w:div w:id="1691950885">
      <w:bodyDiv w:val="1"/>
      <w:marLeft w:val="0"/>
      <w:marRight w:val="0"/>
      <w:marTop w:val="0"/>
      <w:marBottom w:val="0"/>
      <w:divBdr>
        <w:top w:val="none" w:sz="0" w:space="0" w:color="auto"/>
        <w:left w:val="none" w:sz="0" w:space="0" w:color="auto"/>
        <w:bottom w:val="none" w:sz="0" w:space="0" w:color="auto"/>
        <w:right w:val="none" w:sz="0" w:space="0" w:color="auto"/>
      </w:divBdr>
    </w:div>
    <w:div w:id="1704014345">
      <w:bodyDiv w:val="1"/>
      <w:marLeft w:val="0"/>
      <w:marRight w:val="0"/>
      <w:marTop w:val="0"/>
      <w:marBottom w:val="0"/>
      <w:divBdr>
        <w:top w:val="none" w:sz="0" w:space="0" w:color="auto"/>
        <w:left w:val="none" w:sz="0" w:space="0" w:color="auto"/>
        <w:bottom w:val="none" w:sz="0" w:space="0" w:color="auto"/>
        <w:right w:val="none" w:sz="0" w:space="0" w:color="auto"/>
      </w:divBdr>
    </w:div>
    <w:div w:id="1712071077">
      <w:bodyDiv w:val="1"/>
      <w:marLeft w:val="0"/>
      <w:marRight w:val="0"/>
      <w:marTop w:val="0"/>
      <w:marBottom w:val="0"/>
      <w:divBdr>
        <w:top w:val="none" w:sz="0" w:space="0" w:color="auto"/>
        <w:left w:val="none" w:sz="0" w:space="0" w:color="auto"/>
        <w:bottom w:val="none" w:sz="0" w:space="0" w:color="auto"/>
        <w:right w:val="none" w:sz="0" w:space="0" w:color="auto"/>
      </w:divBdr>
    </w:div>
    <w:div w:id="179405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footer2.xml" Type="http://schemas.openxmlformats.org/officeDocument/2006/relationships/footer"/>
<Relationship Id="rId13" Target="footer3.xml" Type="http://schemas.openxmlformats.org/officeDocument/2006/relationships/footer"/>
<Relationship Id="rId14" Target="fontTable.xml" Type="http://schemas.openxmlformats.org/officeDocument/2006/relationships/fontTable"/>
<Relationship Id="rId15"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_rels/settings.xml.rels><?xml version="1.0" encoding="UTF-8" standalone="no"?>
<Relationships xmlns="http://schemas.openxmlformats.org/package/2006/relationships">
<Relationship Id="rId1" Target="file:///C:/Users/Administrator/Desktop/abc&#23395;&#25253;.dot" TargetMode="External" Type="http://schemas.openxmlformats.org/officeDocument/2006/relationships/attachedTemplat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abc季报.dot</Template>
  <TotalTime>407</TotalTime>
  <Pages>29</Pages>
  <Words>4352</Words>
  <Characters>24809</Characters>
  <Application>Microsoft Office Word</Application>
  <DocSecurity>0</DocSecurity>
  <Lines>206</Lines>
  <Paragraphs>58</Paragraphs>
  <ScaleCrop>false</ScaleCrop>
  <Company>TRT. Ltd. Co.</Company>
  <LinksUpToDate>false</LinksUpToDate>
  <CharactersWithSpaces>29103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2013-06-21T06:56:00Z</dcterms:created>
  <dc:creator>bonnieliu</dc:creator>
  <cp:lastModifiedBy>swinghan</cp:lastModifiedBy>
  <cp:lastPrinted>2007-07-19T00:46:00Z</cp:lastPrinted>
  <dcterms:modified xsi:type="dcterms:W3CDTF">2020-06-21T03:01:00Z</dcterms:modified>
  <cp:revision>173</cp:revision>
</cp:coreProperties>
</file>