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易方达瑞祺灵活配置混合型证券投资基金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中国农业银行股份有限公司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易方达瑞祺混合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001747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2018年1月29日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260,197,581.43</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的基本面、股票的估值水平出现较大变化时，本基金将对股票组合适时进行动态调整。在债券投资方面，本基金将主要通过类属配置与券种选择两个层次进行投资管理。</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中债新综合指数（财富）收益率*75%+沪深300指数收益率*25%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中国农业银行股份有限公司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易方达瑞祺混合I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易方达瑞祺混合E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001747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001748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260,054,285.62</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143,295.81</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易方达瑞祺混合I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易方达瑞祺混合E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13,456,325.85</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7,356.73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26,676,816.61</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14,676.45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0.1026</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0.1015</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342,039,187.67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187,549.12</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1.315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1.309</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易方达瑞祺混合I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8.41%</w:t>
            </w:r>
          </w:p>
        </w:tc>
        <w:tc>
          <w:tcPr>
            <w:vAlign w:val="center"/>
          </w:tcPr>
          <w:p>
            <w:pPr>
              <w:jc w:val="center"/>
            </w:pPr>
            <w:r>
              <w:rPr>
                <w:color w:val="000000"/>
                <w:sz w:val="24"/>
              </w:rPr>
              <w:t>0.40%</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5.34%</w:t>
            </w:r>
          </w:p>
        </w:tc>
        <w:tc>
          <w:tcPr>
            <w:vAlign w:val="center"/>
          </w:tcPr>
          <w:p>
            <w:pPr>
              <w:jc w:val="center"/>
            </w:pPr>
            <w:r>
              <w:rPr>
                <w:color w:val="000000"/>
                <w:sz w:val="24"/>
              </w:rPr>
              <w:t>0.16%</w:t>
            </w:r>
          </w:p>
        </w:tc>
      </w:tr>
      <w:tr>
        <w:tc>
          <w:tcPr>
            <w:vAlign w:val="center"/>
          </w:tcPr>
          <w:p>
            <w:pPr>
              <w:jc w:val="left"/>
            </w:pPr>
            <w:r>
              <w:rPr>
                <w:color w:val="000000"/>
                <w:sz w:val="24"/>
              </w:rPr>
              <w:t>过去六个月</w:t>
            </w:r>
          </w:p>
        </w:tc>
        <w:tc>
          <w:tcPr>
            <w:vAlign w:val="center"/>
          </w:tcPr>
          <w:p>
            <w:pPr>
              <w:jc w:val="center"/>
            </w:pPr>
            <w:r>
              <w:rPr>
                <w:color w:val="000000"/>
                <w:sz w:val="24"/>
              </w:rPr>
              <w:t>11.91%</w:t>
            </w:r>
          </w:p>
        </w:tc>
        <w:tc>
          <w:tcPr>
            <w:vAlign w:val="center"/>
          </w:tcPr>
          <w:p>
            <w:pPr>
              <w:jc w:val="center"/>
            </w:pPr>
            <w:r>
              <w:rPr>
                <w:color w:val="000000"/>
                <w:sz w:val="24"/>
              </w:rPr>
              <w:t>0.65%</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9.75%</w:t>
            </w:r>
          </w:p>
        </w:tc>
        <w:tc>
          <w:tcPr>
            <w:vAlign w:val="center"/>
          </w:tcPr>
          <w:p>
            <w:pPr>
              <w:jc w:val="center"/>
            </w:pPr>
            <w:r>
              <w:rPr>
                <w:color w:val="000000"/>
                <w:sz w:val="24"/>
              </w:rPr>
              <w:t>0.29%</w:t>
            </w:r>
          </w:p>
        </w:tc>
      </w:tr>
      <w:tr>
        <w:tc>
          <w:tcPr>
            <w:vAlign w:val="center"/>
          </w:tcPr>
          <w:p>
            <w:pPr>
              <w:jc w:val="left"/>
            </w:pPr>
            <w:r>
              <w:rPr>
                <w:color w:val="000000"/>
                <w:sz w:val="24"/>
              </w:rPr>
              <w:t>过去一年</w:t>
            </w:r>
          </w:p>
        </w:tc>
        <w:tc>
          <w:tcPr>
            <w:vAlign w:val="center"/>
          </w:tcPr>
          <w:p>
            <w:pPr>
              <w:jc w:val="center"/>
            </w:pPr>
            <w:r>
              <w:rPr>
                <w:color w:val="000000"/>
                <w:sz w:val="24"/>
              </w:rPr>
              <w:t>21.09%</w:t>
            </w:r>
          </w:p>
        </w:tc>
        <w:tc>
          <w:tcPr>
            <w:vAlign w:val="center"/>
          </w:tcPr>
          <w:p>
            <w:pPr>
              <w:jc w:val="center"/>
            </w:pPr>
            <w:r>
              <w:rPr>
                <w:color w:val="000000"/>
                <w:sz w:val="24"/>
              </w:rPr>
              <w:t>0.49%</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15.04%</w:t>
            </w:r>
          </w:p>
        </w:tc>
        <w:tc>
          <w:tcPr>
            <w:vAlign w:val="center"/>
          </w:tcPr>
          <w:p>
            <w:pPr>
              <w:jc w:val="center"/>
            </w:pPr>
            <w:r>
              <w:rPr>
                <w:color w:val="000000"/>
                <w:sz w:val="24"/>
              </w:rPr>
              <w:t>0.20%</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31.50%</w:t>
            </w:r>
          </w:p>
        </w:tc>
        <w:tc>
          <w:tcPr>
            <w:vAlign w:val="center"/>
          </w:tcPr>
          <w:p>
            <w:pPr>
              <w:jc w:val="center"/>
            </w:pPr>
            <w:r>
              <w:rPr>
                <w:color w:val="000000"/>
                <w:sz w:val="24"/>
              </w:rPr>
              <w:t>0.41%</w:t>
            </w:r>
          </w:p>
        </w:tc>
        <w:tc>
          <w:tcPr>
            <w:vAlign w:val="center"/>
          </w:tcPr>
          <w:p>
            <w:pPr>
              <w:jc w:val="center"/>
            </w:pPr>
            <w:r>
              <w:rPr>
                <w:color w:val="000000"/>
                <w:sz w:val="24"/>
              </w:rPr>
              <w:t>10.42%</w:t>
            </w:r>
          </w:p>
        </w:tc>
        <w:tc>
          <w:tcPr>
            <w:vAlign w:val="center"/>
          </w:tcPr>
          <w:p>
            <w:pPr>
              <w:jc w:val="center"/>
            </w:pPr>
            <w:r>
              <w:rPr>
                <w:color w:val="000000"/>
                <w:sz w:val="24"/>
              </w:rPr>
              <w:t>0.33%</w:t>
            </w:r>
          </w:p>
        </w:tc>
        <w:tc>
          <w:tcPr>
            <w:vAlign w:val="center"/>
          </w:tcPr>
          <w:p>
            <w:pPr>
              <w:jc w:val="center"/>
            </w:pPr>
            <w:r>
              <w:rPr>
                <w:color w:val="000000"/>
                <w:sz w:val="24"/>
              </w:rPr>
              <w:t>21.08%</w:t>
            </w:r>
          </w:p>
        </w:tc>
        <w:tc>
          <w:tcPr>
            <w:vAlign w:val="center"/>
          </w:tcPr>
          <w:p>
            <w:pPr>
              <w:jc w:val="center"/>
            </w:pPr>
            <w:r>
              <w:rPr>
                <w:color w:val="000000"/>
                <w:sz w:val="24"/>
              </w:rPr>
              <w:t>0.08%</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易方达瑞祺混合E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8.45%</w:t>
            </w:r>
          </w:p>
        </w:tc>
        <w:tc>
          <w:tcPr>
            <w:vAlign w:val="center"/>
          </w:tcPr>
          <w:p>
            <w:pPr>
              <w:jc w:val="center"/>
            </w:pPr>
            <w:r>
              <w:rPr>
                <w:color w:val="000000"/>
                <w:sz w:val="24"/>
              </w:rPr>
              <w:t>0.39%</w:t>
            </w:r>
          </w:p>
        </w:tc>
        <w:tc>
          <w:tcPr>
            <w:vAlign w:val="center"/>
          </w:tcPr>
          <w:p>
            <w:pPr>
              <w:jc w:val="center"/>
            </w:pPr>
            <w:r>
              <w:rPr>
                <w:color w:val="000000"/>
                <w:sz w:val="24"/>
              </w:rPr>
              <w:t>3.07%</w:t>
            </w:r>
          </w:p>
        </w:tc>
        <w:tc>
          <w:tcPr>
            <w:vAlign w:val="center"/>
          </w:tcPr>
          <w:p>
            <w:pPr>
              <w:jc w:val="center"/>
            </w:pPr>
            <w:r>
              <w:rPr>
                <w:color w:val="000000"/>
                <w:sz w:val="24"/>
              </w:rPr>
              <w:t>0.24%</w:t>
            </w:r>
          </w:p>
        </w:tc>
        <w:tc>
          <w:tcPr>
            <w:vAlign w:val="center"/>
          </w:tcPr>
          <w:p>
            <w:pPr>
              <w:jc w:val="center"/>
            </w:pPr>
            <w:r>
              <w:rPr>
                <w:color w:val="000000"/>
                <w:sz w:val="24"/>
              </w:rPr>
              <w:t>5.38%</w:t>
            </w:r>
          </w:p>
        </w:tc>
        <w:tc>
          <w:tcPr>
            <w:vAlign w:val="center"/>
          </w:tcPr>
          <w:p>
            <w:pPr>
              <w:jc w:val="center"/>
            </w:pPr>
            <w:r>
              <w:rPr>
                <w:color w:val="000000"/>
                <w:sz w:val="24"/>
              </w:rPr>
              <w:t>0.15%</w:t>
            </w:r>
          </w:p>
        </w:tc>
      </w:tr>
      <w:tr>
        <w:tc>
          <w:tcPr>
            <w:vAlign w:val="center"/>
          </w:tcPr>
          <w:p>
            <w:pPr>
              <w:jc w:val="left"/>
            </w:pPr>
            <w:r>
              <w:rPr>
                <w:color w:val="000000"/>
                <w:sz w:val="24"/>
              </w:rPr>
              <w:t>过去六个月</w:t>
            </w:r>
          </w:p>
        </w:tc>
        <w:tc>
          <w:tcPr>
            <w:vAlign w:val="center"/>
          </w:tcPr>
          <w:p>
            <w:pPr>
              <w:jc w:val="center"/>
            </w:pPr>
            <w:r>
              <w:rPr>
                <w:color w:val="000000"/>
                <w:sz w:val="24"/>
              </w:rPr>
              <w:t>11.88%</w:t>
            </w:r>
          </w:p>
        </w:tc>
        <w:tc>
          <w:tcPr>
            <w:vAlign w:val="center"/>
          </w:tcPr>
          <w:p>
            <w:pPr>
              <w:jc w:val="center"/>
            </w:pPr>
            <w:r>
              <w:rPr>
                <w:color w:val="000000"/>
                <w:sz w:val="24"/>
              </w:rPr>
              <w:t>0.65%</w:t>
            </w:r>
          </w:p>
        </w:tc>
        <w:tc>
          <w:tcPr>
            <w:vAlign w:val="center"/>
          </w:tcPr>
          <w:p>
            <w:pPr>
              <w:jc w:val="center"/>
            </w:pPr>
            <w:r>
              <w:rPr>
                <w:color w:val="000000"/>
                <w:sz w:val="24"/>
              </w:rPr>
              <w:t>2.16%</w:t>
            </w:r>
          </w:p>
        </w:tc>
        <w:tc>
          <w:tcPr>
            <w:vAlign w:val="center"/>
          </w:tcPr>
          <w:p>
            <w:pPr>
              <w:jc w:val="center"/>
            </w:pPr>
            <w:r>
              <w:rPr>
                <w:color w:val="000000"/>
                <w:sz w:val="24"/>
              </w:rPr>
              <w:t>0.36%</w:t>
            </w:r>
          </w:p>
        </w:tc>
        <w:tc>
          <w:tcPr>
            <w:vAlign w:val="center"/>
          </w:tcPr>
          <w:p>
            <w:pPr>
              <w:jc w:val="center"/>
            </w:pPr>
            <w:r>
              <w:rPr>
                <w:color w:val="000000"/>
                <w:sz w:val="24"/>
              </w:rPr>
              <w:t>9.72%</w:t>
            </w:r>
          </w:p>
        </w:tc>
        <w:tc>
          <w:tcPr>
            <w:vAlign w:val="center"/>
          </w:tcPr>
          <w:p>
            <w:pPr>
              <w:jc w:val="center"/>
            </w:pPr>
            <w:r>
              <w:rPr>
                <w:color w:val="000000"/>
                <w:sz w:val="24"/>
              </w:rPr>
              <w:t>0.29%</w:t>
            </w:r>
          </w:p>
        </w:tc>
      </w:tr>
      <w:tr>
        <w:tc>
          <w:tcPr>
            <w:vAlign w:val="center"/>
          </w:tcPr>
          <w:p>
            <w:pPr>
              <w:jc w:val="left"/>
            </w:pPr>
            <w:r>
              <w:rPr>
                <w:color w:val="000000"/>
                <w:sz w:val="24"/>
              </w:rPr>
              <w:t>过去一年</w:t>
            </w:r>
          </w:p>
        </w:tc>
        <w:tc>
          <w:tcPr>
            <w:vAlign w:val="center"/>
          </w:tcPr>
          <w:p>
            <w:pPr>
              <w:jc w:val="center"/>
            </w:pPr>
            <w:r>
              <w:rPr>
                <w:color w:val="000000"/>
                <w:sz w:val="24"/>
              </w:rPr>
              <w:t>20.87%</w:t>
            </w:r>
          </w:p>
        </w:tc>
        <w:tc>
          <w:tcPr>
            <w:vAlign w:val="center"/>
          </w:tcPr>
          <w:p>
            <w:pPr>
              <w:jc w:val="center"/>
            </w:pPr>
            <w:r>
              <w:rPr>
                <w:color w:val="000000"/>
                <w:sz w:val="24"/>
              </w:rPr>
              <w:t>0.49%</w:t>
            </w:r>
          </w:p>
        </w:tc>
        <w:tc>
          <w:tcPr>
            <w:vAlign w:val="center"/>
          </w:tcPr>
          <w:p>
            <w:pPr>
              <w:jc w:val="center"/>
            </w:pPr>
            <w:r>
              <w:rPr>
                <w:color w:val="000000"/>
                <w:sz w:val="24"/>
              </w:rPr>
              <w:t>6.05%</w:t>
            </w:r>
          </w:p>
        </w:tc>
        <w:tc>
          <w:tcPr>
            <w:vAlign w:val="center"/>
          </w:tcPr>
          <w:p>
            <w:pPr>
              <w:jc w:val="center"/>
            </w:pPr>
            <w:r>
              <w:rPr>
                <w:color w:val="000000"/>
                <w:sz w:val="24"/>
              </w:rPr>
              <w:t>0.29%</w:t>
            </w:r>
          </w:p>
        </w:tc>
        <w:tc>
          <w:tcPr>
            <w:vAlign w:val="center"/>
          </w:tcPr>
          <w:p>
            <w:pPr>
              <w:jc w:val="center"/>
            </w:pPr>
            <w:r>
              <w:rPr>
                <w:color w:val="000000"/>
                <w:sz w:val="24"/>
              </w:rPr>
              <w:t>14.82%</w:t>
            </w:r>
          </w:p>
        </w:tc>
        <w:tc>
          <w:tcPr>
            <w:vAlign w:val="center"/>
          </w:tcPr>
          <w:p>
            <w:pPr>
              <w:jc w:val="center"/>
            </w:pPr>
            <w:r>
              <w:rPr>
                <w:color w:val="000000"/>
                <w:sz w:val="24"/>
              </w:rPr>
              <w:t>0.20%</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30.90%</w:t>
            </w:r>
          </w:p>
        </w:tc>
        <w:tc>
          <w:tcPr>
            <w:vAlign w:val="center"/>
          </w:tcPr>
          <w:p>
            <w:pPr>
              <w:jc w:val="center"/>
            </w:pPr>
            <w:r>
              <w:rPr>
                <w:color w:val="000000"/>
                <w:sz w:val="24"/>
              </w:rPr>
              <w:t>0.41%</w:t>
            </w:r>
          </w:p>
        </w:tc>
        <w:tc>
          <w:tcPr>
            <w:vAlign w:val="center"/>
          </w:tcPr>
          <w:p>
            <w:pPr>
              <w:jc w:val="center"/>
            </w:pPr>
            <w:r>
              <w:rPr>
                <w:color w:val="000000"/>
                <w:sz w:val="24"/>
              </w:rPr>
              <w:t>10.42%</w:t>
            </w:r>
          </w:p>
        </w:tc>
        <w:tc>
          <w:tcPr>
            <w:vAlign w:val="center"/>
          </w:tcPr>
          <w:p>
            <w:pPr>
              <w:jc w:val="center"/>
            </w:pPr>
            <w:r>
              <w:rPr>
                <w:color w:val="000000"/>
                <w:sz w:val="24"/>
              </w:rPr>
              <w:t>0.33%</w:t>
            </w:r>
          </w:p>
        </w:tc>
        <w:tc>
          <w:tcPr>
            <w:vAlign w:val="center"/>
          </w:tcPr>
          <w:p>
            <w:pPr>
              <w:jc w:val="center"/>
            </w:pPr>
            <w:r>
              <w:rPr>
                <w:color w:val="000000"/>
                <w:sz w:val="24"/>
              </w:rPr>
              <w:t>20.48%</w:t>
            </w:r>
          </w:p>
        </w:tc>
        <w:tc>
          <w:tcPr>
            <w:vAlign w:val="center"/>
          </w:tcPr>
          <w:p>
            <w:pPr>
              <w:jc w:val="center"/>
            </w:pPr>
            <w:r>
              <w:rPr>
                <w:color w:val="000000"/>
                <w:sz w:val="24"/>
              </w:rPr>
              <w:t>0.08%</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易方达瑞祺灵活配置混合型证券投资基金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（2018年1月29日至2020年6月30日）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易方达瑞祺混合I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易方达瑞祺混合E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注：自基金合同生效至报告期末，I类基金份额净值增长率为31.50%，E类基金份额净值增长率为30.90%，同期业绩比较基准收益率为10.42%。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瑞景灵活配置混合型证券投资基金的基金经理、易方达新利灵活配置混合型证券投资基金的基金经理、易方达瑞祥灵活配置混合型证券投资基金的基金经理、易方达瑞兴灵活配置混合型证券投资基金的基金经理、易方达新鑫灵活配置混合型证券投资基金的基金经理、易方达瑞智灵活配置混合型证券投资基金的基金经理、易方达新享灵活配置混合型证券投资基金的基金经理、易方达新益灵活配置混合型证券投资基金的基金经理、易方达瑞选灵活配置混合型证券投资基金的基金经理、易方达裕鑫债券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2019-10-17</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权益坚持自下而上选择个股的长期配置价值，逐步增加股票仓位，以提升组合弹性。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截至报告期末，本基金I类基金份额净值为1.315元，本报告期份额净值增长率为8.41%，同期业绩比较基准收益率为3.07%；E类基金份额净值为1.309元，本报告期份额净值增长率为8.45%，同期业绩比较基准收益率为3.07%。</w:t>
      </w:r>
    </w:p>
    <w:p w:rsidP="003F1058" w:rsidR="003F1058" w:rsidRDefault="003F1058" w:rsidRPr="00701A03">
      <w:pPr>
        <w:autoSpaceDE w:val="0"/>
        <w:autoSpaceDN w:val="0"/>
        <w:adjustRightInd w:val="0"/>
        <w:spacing w:line="360" w:lineRule="auto"/>
        <w:jc w:val="left"/>
        <w:rPr>
          <w:rFonts w:ascii="宋体" w:cs="Arial" w:hAnsi="宋体"/>
          <w:b/>
          <w:color w:val="000000"/>
          <w:kern w:val="0"/>
          <w:sz w:val="24"/>
        </w:rPr>
      </w:pPr>
      <w:r w:rsidRPr="00701A03">
        <w:rPr>
          <w:rFonts w:ascii="宋体" w:cs="Arial" w:hAnsi="宋体"/>
          <w:b/>
          <w:color w:val="000000"/>
          <w:kern w:val="0"/>
          <w:sz w:val="24"/>
        </w:rPr>
        <w:t/>
      </w:r>
      <w:proofErr w:type="spellStart"/>
      <w:r w:rsidRPr="00701A03">
        <w:rPr>
          <w:rFonts w:ascii="宋体" w:cs="Arial" w:hAnsi="宋体"/>
          <w:b/>
          <w:color w:val="000000"/>
          <w:kern w:val="0"/>
          <w:sz w:val="24"/>
        </w:rPr>
        <w:t/>
      </w:r>
      <w:proofErr w:type="spellEnd"/>
      <w:r w:rsidRPr="00701A03">
        <w:rPr>
          <w:rFonts w:ascii="宋体" w:cs="Arial" w:hAnsi="宋体"/>
          <w:b/>
          <w:color w:val="000000"/>
          <w:kern w:val="0"/>
          <w:sz w:val="24"/>
        </w:rPr>
        <w:t>4</w:t>
      </w:r>
      <w:r w:rsidR="00624C10">
        <w:rPr>
          <w:rFonts w:ascii="宋体" w:cs="Arial" w:hAnsi="宋体" w:hint="eastAsia"/>
          <w:b/>
          <w:color w:val="000000"/>
          <w:kern w:val="0"/>
          <w:sz w:val="24"/>
        </w:rPr>
        <w:t>.</w:t>
      </w:r>
      <w:r w:rsidRPr="00701A03">
        <w:rPr>
          <w:rFonts w:ascii="宋体" w:cs="Arial" w:hAnsi="宋体" w:hint="eastAsia"/>
          <w:b/>
          <w:color w:val="000000"/>
          <w:kern w:val="0"/>
          <w:sz w:val="24"/>
        </w:rPr>
        <w:t>5报告期内基金持有人数或基金资产净值预警说明</w:t>
      </w:r>
    </w:p>
    <w:p>
      <w:pPr>
        <w:spacing w:line="360" w:lineRule="auto"/>
        <w:ind w:firstLine="480" w:firstLineChars="200"/>
        <w:rPr>
          <w:color w:val="000000"/>
          <w:sz w:val="24"/>
        </w:rPr>
      </w:pPr>
      <w:r>
        <w:rPr>
          <w:color w:val="000000"/>
          <w:sz w:val="24"/>
        </w:rPr>
        <w:t>本报告期，本基金均存在连续二十个工作日基金份额持有人数量不满二百人的情形。</w:t>
      </w:r>
    </w:p>
    <w:p w:rsidP="003F1058" w:rsidR="008B6085" w:rsidRDefault="003F1058" w:rsidRPr="00DF18FE">
      <w:pPr>
        <w:spacing w:line="360" w:lineRule="auto"/>
        <w:ind w:firstLine="480" w:firstLineChars="200"/>
        <w:rPr>
          <w:color w:val="000000"/>
          <w:sz w:val="24"/>
        </w:rPr>
      </w:pPr>
      <w:r w:rsidRPr="0006661F">
        <w:rPr>
          <w:color w:val="000000"/>
          <w:sz w:val="24"/>
        </w:rPr>
        <w:t/>
      </w:r>
      <w:proofErr w:type="gramStart"/>
      <w:r w:rsidRPr="0006661F">
        <w:rPr>
          <w:color w:val="000000"/>
          <w:sz w:val="24"/>
        </w:rPr>
        <w:t/>
      </w:r>
      <w:proofErr w:type="gramEnd"/>
      <w:r w:rsidRPr="0006661F">
        <w:rPr>
          <w:color w:val="000000"/>
          <w:sz w:val="24"/>
        </w:rPr>
        <w:t>本报告期，本基金均存在连续六十个工作日基金份额持有人数量不满二百人的情形。鉴于基金份额持有人数量的下滑主要受市场环境影响，本基金将继续运作。</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116,859,392.51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26.75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116,859,392.51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26.75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309,966,595.73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70.95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309,966,595.73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70.95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4,942,030.45</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1.13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5,112,936.40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436,880,955.09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3,274,480.00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0.96</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84,251,483.84</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24.62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12,766.32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5,593,327.12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1.63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3,847,988.51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1.12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3,417,840.00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6,071,624.00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1.77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8,466,024.00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1,923,858.72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0.56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116,859,392.51</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34.15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601799</w:t>
            </w:r>
          </w:p>
        </w:tc>
        <w:tc>
          <w:tcPr>
            <w:vAlign w:val="center"/>
          </w:tcPr>
          <w:p>
            <w:pPr>
              <w:jc w:val="center"/>
            </w:pPr>
            <w:r>
              <w:rPr>
                <w:color w:val="000000"/>
                <w:sz w:val="24"/>
              </w:rPr>
              <w:t>星宇股份</w:t>
            </w:r>
          </w:p>
        </w:tc>
        <w:tc>
          <w:tcPr>
            <w:vAlign w:val="center"/>
          </w:tcPr>
          <w:p>
            <w:pPr>
              <w:jc w:val="right"/>
            </w:pPr>
            <w:r>
              <w:rPr>
                <w:color w:val="000000"/>
                <w:sz w:val="24"/>
              </w:rPr>
              <w:t>70,400</w:t>
            </w:r>
          </w:p>
        </w:tc>
        <w:tc>
          <w:tcPr>
            <w:vAlign w:val="center"/>
          </w:tcPr>
          <w:p>
            <w:pPr>
              <w:jc w:val="right"/>
            </w:pPr>
            <w:r>
              <w:rPr>
                <w:color w:val="000000"/>
                <w:sz w:val="24"/>
              </w:rPr>
              <w:t>8,940,800.00</w:t>
            </w:r>
          </w:p>
        </w:tc>
        <w:tc>
          <w:tcPr>
            <w:vAlign w:val="center"/>
          </w:tcPr>
          <w:p>
            <w:pPr>
              <w:jc w:val="right"/>
            </w:pPr>
            <w:r>
              <w:rPr>
                <w:color w:val="000000"/>
                <w:sz w:val="24"/>
              </w:rPr>
              <w:t>2.61</w:t>
            </w:r>
          </w:p>
        </w:tc>
      </w:tr>
      <w:tr>
        <w:tc>
          <w:tcPr>
            <w:vAlign w:val="center"/>
          </w:tcPr>
          <w:p>
            <w:pPr>
              <w:jc w:val="center"/>
            </w:pPr>
            <w:r>
              <w:rPr>
                <w:color w:val="000000"/>
                <w:sz w:val="24"/>
              </w:rPr>
              <w:t>2</w:t>
            </w:r>
          </w:p>
        </w:tc>
        <w:tc>
          <w:tcPr>
            <w:vAlign w:val="center"/>
          </w:tcPr>
          <w:p>
            <w:pPr>
              <w:jc w:val="center"/>
            </w:pPr>
            <w:r>
              <w:rPr>
                <w:color w:val="000000"/>
                <w:sz w:val="24"/>
              </w:rPr>
              <w:t>603259</w:t>
            </w:r>
          </w:p>
        </w:tc>
        <w:tc>
          <w:tcPr>
            <w:vAlign w:val="center"/>
          </w:tcPr>
          <w:p>
            <w:pPr>
              <w:jc w:val="center"/>
            </w:pPr>
            <w:r>
              <w:rPr>
                <w:color w:val="000000"/>
                <w:sz w:val="24"/>
              </w:rPr>
              <w:t>药明康德</w:t>
            </w:r>
          </w:p>
        </w:tc>
        <w:tc>
          <w:tcPr>
            <w:vAlign w:val="center"/>
          </w:tcPr>
          <w:p>
            <w:pPr>
              <w:jc w:val="right"/>
            </w:pPr>
            <w:r>
              <w:rPr>
                <w:color w:val="000000"/>
                <w:sz w:val="24"/>
              </w:rPr>
              <w:t>87,640</w:t>
            </w:r>
          </w:p>
        </w:tc>
        <w:tc>
          <w:tcPr>
            <w:vAlign w:val="center"/>
          </w:tcPr>
          <w:p>
            <w:pPr>
              <w:jc w:val="right"/>
            </w:pPr>
            <w:r>
              <w:rPr>
                <w:color w:val="000000"/>
                <w:sz w:val="24"/>
              </w:rPr>
              <w:t>8,466,024.00</w:t>
            </w:r>
          </w:p>
        </w:tc>
        <w:tc>
          <w:tcPr>
            <w:vAlign w:val="center"/>
          </w:tcPr>
          <w:p>
            <w:pPr>
              <w:jc w:val="right"/>
            </w:pPr>
            <w:r>
              <w:rPr>
                <w:color w:val="000000"/>
                <w:sz w:val="24"/>
              </w:rPr>
              <w:t>2.47</w:t>
            </w:r>
          </w:p>
        </w:tc>
      </w:tr>
      <w:tr>
        <w:tc>
          <w:tcPr>
            <w:vAlign w:val="center"/>
          </w:tcPr>
          <w:p>
            <w:pPr>
              <w:jc w:val="center"/>
            </w:pPr>
            <w:r>
              <w:rPr>
                <w:color w:val="000000"/>
                <w:sz w:val="24"/>
              </w:rPr>
              <w:t>3</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151,585</w:t>
            </w:r>
          </w:p>
        </w:tc>
        <w:tc>
          <w:tcPr>
            <w:vAlign w:val="center"/>
          </w:tcPr>
          <w:p>
            <w:pPr>
              <w:jc w:val="right"/>
            </w:pPr>
            <w:r>
              <w:rPr>
                <w:color w:val="000000"/>
                <w:sz w:val="24"/>
              </w:rPr>
              <w:t>7,565,607.35</w:t>
            </w:r>
          </w:p>
        </w:tc>
        <w:tc>
          <w:tcPr>
            <w:vAlign w:val="center"/>
          </w:tcPr>
          <w:p>
            <w:pPr>
              <w:jc w:val="right"/>
            </w:pPr>
            <w:r>
              <w:rPr>
                <w:color w:val="000000"/>
                <w:sz w:val="24"/>
              </w:rPr>
              <w:t>2.21</w:t>
            </w:r>
          </w:p>
        </w:tc>
      </w:tr>
      <w:tr>
        <w:tc>
          <w:tcPr>
            <w:vAlign w:val="center"/>
          </w:tcPr>
          <w:p>
            <w:pPr>
              <w:jc w:val="center"/>
            </w:pPr>
            <w:r>
              <w:rPr>
                <w:color w:val="000000"/>
                <w:sz w:val="24"/>
              </w:rPr>
              <w:t>4</w:t>
            </w:r>
          </w:p>
        </w:tc>
        <w:tc>
          <w:tcPr>
            <w:vAlign w:val="center"/>
          </w:tcPr>
          <w:p>
            <w:pPr>
              <w:jc w:val="center"/>
            </w:pPr>
            <w:r>
              <w:rPr>
                <w:color w:val="000000"/>
                <w:sz w:val="24"/>
              </w:rPr>
              <w:t>600519</w:t>
            </w:r>
          </w:p>
        </w:tc>
        <w:tc>
          <w:tcPr>
            <w:vAlign w:val="center"/>
          </w:tcPr>
          <w:p>
            <w:pPr>
              <w:jc w:val="center"/>
            </w:pPr>
            <w:r>
              <w:rPr>
                <w:color w:val="000000"/>
                <w:sz w:val="24"/>
              </w:rPr>
              <w:t>贵州茅台</w:t>
            </w:r>
          </w:p>
        </w:tc>
        <w:tc>
          <w:tcPr>
            <w:vAlign w:val="center"/>
          </w:tcPr>
          <w:p>
            <w:pPr>
              <w:jc w:val="right"/>
            </w:pPr>
            <w:r>
              <w:rPr>
                <w:color w:val="000000"/>
                <w:sz w:val="24"/>
              </w:rPr>
              <w:t>5,100</w:t>
            </w:r>
          </w:p>
        </w:tc>
        <w:tc>
          <w:tcPr>
            <w:vAlign w:val="center"/>
          </w:tcPr>
          <w:p>
            <w:pPr>
              <w:jc w:val="right"/>
            </w:pPr>
            <w:r>
              <w:rPr>
                <w:color w:val="000000"/>
                <w:sz w:val="24"/>
              </w:rPr>
              <w:t>7,460,688.00</w:t>
            </w:r>
          </w:p>
        </w:tc>
        <w:tc>
          <w:tcPr>
            <w:vAlign w:val="center"/>
          </w:tcPr>
          <w:p>
            <w:pPr>
              <w:jc w:val="right"/>
            </w:pPr>
            <w:r>
              <w:rPr>
                <w:color w:val="000000"/>
                <w:sz w:val="24"/>
              </w:rPr>
              <w:t>2.18</w:t>
            </w:r>
          </w:p>
        </w:tc>
      </w:tr>
      <w:tr>
        <w:tc>
          <w:tcPr>
            <w:vAlign w:val="center"/>
          </w:tcPr>
          <w:p>
            <w:pPr>
              <w:jc w:val="center"/>
            </w:pPr>
            <w:r>
              <w:rPr>
                <w:color w:val="000000"/>
                <w:sz w:val="24"/>
              </w:rPr>
              <w:t>5</w:t>
            </w:r>
          </w:p>
        </w:tc>
        <w:tc>
          <w:tcPr>
            <w:vAlign w:val="center"/>
          </w:tcPr>
          <w:p>
            <w:pPr>
              <w:jc w:val="center"/>
            </w:pPr>
            <w:r>
              <w:rPr>
                <w:color w:val="000000"/>
                <w:sz w:val="24"/>
              </w:rPr>
              <w:t>603179</w:t>
            </w:r>
          </w:p>
        </w:tc>
        <w:tc>
          <w:tcPr>
            <w:vAlign w:val="center"/>
          </w:tcPr>
          <w:p>
            <w:pPr>
              <w:jc w:val="center"/>
            </w:pPr>
            <w:r>
              <w:rPr>
                <w:color w:val="000000"/>
                <w:sz w:val="24"/>
              </w:rPr>
              <w:t>新泉股份</w:t>
            </w:r>
          </w:p>
        </w:tc>
        <w:tc>
          <w:tcPr>
            <w:vAlign w:val="center"/>
          </w:tcPr>
          <w:p>
            <w:pPr>
              <w:jc w:val="right"/>
            </w:pPr>
            <w:r>
              <w:rPr>
                <w:color w:val="000000"/>
                <w:sz w:val="24"/>
              </w:rPr>
              <w:t>317,150</w:t>
            </w:r>
          </w:p>
        </w:tc>
        <w:tc>
          <w:tcPr>
            <w:vAlign w:val="center"/>
          </w:tcPr>
          <w:p>
            <w:pPr>
              <w:jc w:val="right"/>
            </w:pPr>
            <w:r>
              <w:rPr>
                <w:color w:val="000000"/>
                <w:sz w:val="24"/>
              </w:rPr>
              <w:t>7,180,276.00</w:t>
            </w:r>
          </w:p>
        </w:tc>
        <w:tc>
          <w:tcPr>
            <w:vAlign w:val="center"/>
          </w:tcPr>
          <w:p>
            <w:pPr>
              <w:jc w:val="right"/>
            </w:pPr>
            <w:r>
              <w:rPr>
                <w:color w:val="000000"/>
                <w:sz w:val="24"/>
              </w:rPr>
              <w:t>2.10</w:t>
            </w:r>
          </w:p>
        </w:tc>
      </w:tr>
      <w:tr>
        <w:tc>
          <w:tcPr>
            <w:vAlign w:val="center"/>
          </w:tcPr>
          <w:p>
            <w:pPr>
              <w:jc w:val="center"/>
            </w:pPr>
            <w:r>
              <w:rPr>
                <w:color w:val="000000"/>
                <w:sz w:val="24"/>
              </w:rPr>
              <w:t>6</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105,150</w:t>
            </w:r>
          </w:p>
        </w:tc>
        <w:tc>
          <w:tcPr>
            <w:vAlign w:val="center"/>
          </w:tcPr>
          <w:p>
            <w:pPr>
              <w:jc w:val="right"/>
            </w:pPr>
            <w:r>
              <w:rPr>
                <w:color w:val="000000"/>
                <w:sz w:val="24"/>
              </w:rPr>
              <w:t>7,177,539.00</w:t>
            </w:r>
          </w:p>
        </w:tc>
        <w:tc>
          <w:tcPr>
            <w:vAlign w:val="center"/>
          </w:tcPr>
          <w:p>
            <w:pPr>
              <w:jc w:val="right"/>
            </w:pPr>
            <w:r>
              <w:rPr>
                <w:color w:val="000000"/>
                <w:sz w:val="24"/>
              </w:rPr>
              <w:t>2.10</w:t>
            </w:r>
          </w:p>
        </w:tc>
      </w:tr>
      <w:tr>
        <w:tc>
          <w:tcPr>
            <w:vAlign w:val="center"/>
          </w:tcPr>
          <w:p>
            <w:pPr>
              <w:jc w:val="center"/>
            </w:pPr>
            <w:r>
              <w:rPr>
                <w:color w:val="000000"/>
                <w:sz w:val="24"/>
              </w:rPr>
              <w:t>7</w:t>
            </w:r>
          </w:p>
        </w:tc>
        <w:tc>
          <w:tcPr>
            <w:vAlign w:val="center"/>
          </w:tcPr>
          <w:p>
            <w:pPr>
              <w:jc w:val="center"/>
            </w:pPr>
            <w:r>
              <w:rPr>
                <w:color w:val="000000"/>
                <w:sz w:val="24"/>
              </w:rPr>
              <w:t>000651</w:t>
            </w:r>
          </w:p>
        </w:tc>
        <w:tc>
          <w:tcPr>
            <w:vAlign w:val="center"/>
          </w:tcPr>
          <w:p>
            <w:pPr>
              <w:jc w:val="center"/>
            </w:pPr>
            <w:r>
              <w:rPr>
                <w:color w:val="000000"/>
                <w:sz w:val="24"/>
              </w:rPr>
              <w:t>格力电器</w:t>
            </w:r>
          </w:p>
        </w:tc>
        <w:tc>
          <w:tcPr>
            <w:vAlign w:val="center"/>
          </w:tcPr>
          <w:p>
            <w:pPr>
              <w:jc w:val="right"/>
            </w:pPr>
            <w:r>
              <w:rPr>
                <w:color w:val="000000"/>
                <w:sz w:val="24"/>
              </w:rPr>
              <w:t>111,900</w:t>
            </w:r>
          </w:p>
        </w:tc>
        <w:tc>
          <w:tcPr>
            <w:vAlign w:val="center"/>
          </w:tcPr>
          <w:p>
            <w:pPr>
              <w:jc w:val="right"/>
            </w:pPr>
            <w:r>
              <w:rPr>
                <w:color w:val="000000"/>
                <w:sz w:val="24"/>
              </w:rPr>
              <w:t>6,330,183.00</w:t>
            </w:r>
          </w:p>
        </w:tc>
        <w:tc>
          <w:tcPr>
            <w:vAlign w:val="center"/>
          </w:tcPr>
          <w:p>
            <w:pPr>
              <w:jc w:val="right"/>
            </w:pPr>
            <w:r>
              <w:rPr>
                <w:color w:val="000000"/>
                <w:sz w:val="24"/>
              </w:rPr>
              <w:t>1.85</w:t>
            </w:r>
          </w:p>
        </w:tc>
      </w:tr>
      <w:tr>
        <w:tc>
          <w:tcPr>
            <w:vAlign w:val="center"/>
          </w:tcPr>
          <w:p>
            <w:pPr>
              <w:jc w:val="center"/>
            </w:pPr>
            <w:r>
              <w:rPr>
                <w:color w:val="000000"/>
                <w:sz w:val="24"/>
              </w:rPr>
              <w:t>8</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410,800</w:t>
            </w:r>
          </w:p>
        </w:tc>
        <w:tc>
          <w:tcPr>
            <w:vAlign w:val="center"/>
          </w:tcPr>
          <w:p>
            <w:pPr>
              <w:jc w:val="right"/>
            </w:pPr>
            <w:r>
              <w:rPr>
                <w:color w:val="000000"/>
                <w:sz w:val="24"/>
              </w:rPr>
              <w:t>6,071,624.00</w:t>
            </w:r>
          </w:p>
        </w:tc>
        <w:tc>
          <w:tcPr>
            <w:vAlign w:val="center"/>
          </w:tcPr>
          <w:p>
            <w:pPr>
              <w:jc w:val="right"/>
            </w:pPr>
            <w:r>
              <w:rPr>
                <w:color w:val="000000"/>
                <w:sz w:val="24"/>
              </w:rPr>
              <w:t>1.77</w:t>
            </w:r>
          </w:p>
        </w:tc>
      </w:tr>
      <w:tr>
        <w:tc>
          <w:tcPr>
            <w:vAlign w:val="center"/>
          </w:tcPr>
          <w:p>
            <w:pPr>
              <w:jc w:val="center"/>
            </w:pPr>
            <w:r>
              <w:rPr>
                <w:color w:val="000000"/>
                <w:sz w:val="24"/>
              </w:rPr>
              <w:t>9</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906,536</w:t>
            </w:r>
          </w:p>
        </w:tc>
        <w:tc>
          <w:tcPr>
            <w:vAlign w:val="center"/>
          </w:tcPr>
          <w:p>
            <w:pPr>
              <w:jc w:val="right"/>
            </w:pPr>
            <w:r>
              <w:rPr>
                <w:color w:val="000000"/>
                <w:sz w:val="24"/>
              </w:rPr>
              <w:t>5,593,327.12</w:t>
            </w:r>
          </w:p>
        </w:tc>
        <w:tc>
          <w:tcPr>
            <w:vAlign w:val="center"/>
          </w:tcPr>
          <w:p>
            <w:pPr>
              <w:jc w:val="right"/>
            </w:pPr>
            <w:r>
              <w:rPr>
                <w:color w:val="000000"/>
                <w:sz w:val="24"/>
              </w:rPr>
              <w:t>1.63</w:t>
            </w:r>
          </w:p>
        </w:tc>
      </w:tr>
      <w:tr>
        <w:tc>
          <w:tcPr>
            <w:vAlign w:val="center"/>
          </w:tcPr>
          <w:p>
            <w:pPr>
              <w:jc w:val="center"/>
            </w:pPr>
            <w:r>
              <w:rPr>
                <w:color w:val="000000"/>
                <w:sz w:val="24"/>
              </w:rPr>
              <w:t>10</w:t>
            </w:r>
          </w:p>
        </w:tc>
        <w:tc>
          <w:tcPr>
            <w:vAlign w:val="center"/>
          </w:tcPr>
          <w:p>
            <w:pPr>
              <w:jc w:val="center"/>
            </w:pPr>
            <w:r>
              <w:rPr>
                <w:color w:val="000000"/>
                <w:sz w:val="24"/>
              </w:rPr>
              <w:t>300115</w:t>
            </w:r>
          </w:p>
        </w:tc>
        <w:tc>
          <w:tcPr>
            <w:vAlign w:val="center"/>
          </w:tcPr>
          <w:p>
            <w:pPr>
              <w:jc w:val="center"/>
            </w:pPr>
            <w:r>
              <w:rPr>
                <w:color w:val="000000"/>
                <w:sz w:val="24"/>
              </w:rPr>
              <w:t>长盈精密</w:t>
            </w:r>
          </w:p>
        </w:tc>
        <w:tc>
          <w:tcPr>
            <w:vAlign w:val="center"/>
          </w:tcPr>
          <w:p>
            <w:pPr>
              <w:jc w:val="right"/>
            </w:pPr>
            <w:r>
              <w:rPr>
                <w:color w:val="000000"/>
                <w:sz w:val="24"/>
              </w:rPr>
              <w:t>183,800</w:t>
            </w:r>
          </w:p>
        </w:tc>
        <w:tc>
          <w:tcPr>
            <w:vAlign w:val="center"/>
          </w:tcPr>
          <w:p>
            <w:pPr>
              <w:jc w:val="right"/>
            </w:pPr>
            <w:r>
              <w:rPr>
                <w:color w:val="000000"/>
                <w:sz w:val="24"/>
              </w:rPr>
              <w:t>4,199,830.00</w:t>
            </w:r>
          </w:p>
        </w:tc>
        <w:tc>
          <w:tcPr>
            <w:vAlign w:val="center"/>
          </w:tcPr>
          <w:p>
            <w:pPr>
              <w:jc w:val="right"/>
            </w:pPr>
            <w:r>
              <w:rPr>
                <w:color w:val="000000"/>
                <w:sz w:val="24"/>
              </w:rPr>
              <w:t>1.23</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17,256,700.00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5.04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17,256,700.00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5.04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85,388,000.00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24.95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183,527,000.00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53.63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23,794,895.73</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6.95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309,966,595.73</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90.57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101800944</w:t>
            </w:r>
          </w:p>
        </w:tc>
        <w:tc>
          <w:tcPr>
            <w:vAlign w:val="center"/>
          </w:tcPr>
          <w:p>
            <w:pPr>
              <w:jc w:val="center"/>
            </w:pPr>
            <w:r>
              <w:rPr>
                <w:color w:val="000000"/>
                <w:sz w:val="24"/>
              </w:rPr>
              <w:t>18鲁能源MTN001</w:t>
            </w:r>
          </w:p>
        </w:tc>
        <w:tc>
          <w:tcPr>
            <w:vAlign w:val="center"/>
          </w:tcPr>
          <w:p>
            <w:pPr>
              <w:jc w:val="right"/>
            </w:pPr>
            <w:r>
              <w:rPr>
                <w:color w:val="000000"/>
                <w:sz w:val="24"/>
              </w:rPr>
              <w:t>200,000</w:t>
            </w:r>
          </w:p>
        </w:tc>
        <w:tc>
          <w:tcPr>
            <w:vAlign w:val="center"/>
          </w:tcPr>
          <w:p>
            <w:pPr>
              <w:jc w:val="right"/>
            </w:pPr>
            <w:r>
              <w:rPr>
                <w:color w:val="000000"/>
                <w:sz w:val="24"/>
              </w:rPr>
              <w:t>21,564,000.00</w:t>
            </w:r>
          </w:p>
        </w:tc>
        <w:tc>
          <w:tcPr>
            <w:vAlign w:val="center"/>
          </w:tcPr>
          <w:p>
            <w:pPr>
              <w:jc w:val="right"/>
            </w:pPr>
            <w:r>
              <w:rPr>
                <w:color w:val="000000"/>
                <w:sz w:val="24"/>
              </w:rPr>
              <w:t>6.30</w:t>
            </w:r>
          </w:p>
        </w:tc>
      </w:tr>
      <w:tr>
        <w:tc>
          <w:tcPr>
            <w:vAlign w:val="center"/>
          </w:tcPr>
          <w:p>
            <w:pPr>
              <w:jc w:val="center"/>
            </w:pPr>
            <w:r>
              <w:rPr>
                <w:color w:val="000000"/>
                <w:sz w:val="24"/>
              </w:rPr>
              <w:t>2</w:t>
            </w:r>
          </w:p>
        </w:tc>
        <w:tc>
          <w:tcPr>
            <w:vAlign w:val="center"/>
          </w:tcPr>
          <w:p>
            <w:pPr>
              <w:jc w:val="center"/>
            </w:pPr>
            <w:r>
              <w:rPr>
                <w:color w:val="000000"/>
                <w:sz w:val="24"/>
              </w:rPr>
              <w:t>101900761</w:t>
            </w:r>
          </w:p>
        </w:tc>
        <w:tc>
          <w:tcPr>
            <w:vAlign w:val="center"/>
          </w:tcPr>
          <w:p>
            <w:pPr>
              <w:jc w:val="center"/>
            </w:pPr>
            <w:r>
              <w:rPr>
                <w:color w:val="000000"/>
                <w:sz w:val="24"/>
              </w:rPr>
              <w:t>19首钢MTN004</w:t>
            </w:r>
          </w:p>
        </w:tc>
        <w:tc>
          <w:tcPr>
            <w:vAlign w:val="center"/>
          </w:tcPr>
          <w:p>
            <w:pPr>
              <w:jc w:val="right"/>
            </w:pPr>
            <w:r>
              <w:rPr>
                <w:color w:val="000000"/>
                <w:sz w:val="24"/>
              </w:rPr>
              <w:t>200,000</w:t>
            </w:r>
          </w:p>
        </w:tc>
        <w:tc>
          <w:tcPr>
            <w:vAlign w:val="center"/>
          </w:tcPr>
          <w:p>
            <w:pPr>
              <w:jc w:val="right"/>
            </w:pPr>
            <w:r>
              <w:rPr>
                <w:color w:val="000000"/>
                <w:sz w:val="24"/>
              </w:rPr>
              <w:t>20,542,000.00</w:t>
            </w:r>
          </w:p>
        </w:tc>
        <w:tc>
          <w:tcPr>
            <w:vAlign w:val="center"/>
          </w:tcPr>
          <w:p>
            <w:pPr>
              <w:jc w:val="right"/>
            </w:pPr>
            <w:r>
              <w:rPr>
                <w:color w:val="000000"/>
                <w:sz w:val="24"/>
              </w:rPr>
              <w:t>6.00</w:t>
            </w:r>
          </w:p>
        </w:tc>
      </w:tr>
      <w:tr>
        <w:tc>
          <w:tcPr>
            <w:vAlign w:val="center"/>
          </w:tcPr>
          <w:p>
            <w:pPr>
              <w:jc w:val="center"/>
            </w:pPr>
            <w:r>
              <w:rPr>
                <w:color w:val="000000"/>
                <w:sz w:val="24"/>
              </w:rPr>
              <w:t>3</w:t>
            </w:r>
          </w:p>
        </w:tc>
        <w:tc>
          <w:tcPr>
            <w:vAlign w:val="center"/>
          </w:tcPr>
          <w:p>
            <w:pPr>
              <w:jc w:val="center"/>
            </w:pPr>
            <w:r>
              <w:rPr>
                <w:color w:val="000000"/>
                <w:sz w:val="24"/>
              </w:rPr>
              <w:t>101901400</w:t>
            </w:r>
          </w:p>
        </w:tc>
        <w:tc>
          <w:tcPr>
            <w:vAlign w:val="center"/>
          </w:tcPr>
          <w:p>
            <w:pPr>
              <w:jc w:val="center"/>
            </w:pPr>
            <w:r>
              <w:rPr>
                <w:color w:val="000000"/>
                <w:sz w:val="24"/>
              </w:rPr>
              <w:t>19闽高速MTN004</w:t>
            </w:r>
          </w:p>
        </w:tc>
        <w:tc>
          <w:tcPr>
            <w:vAlign w:val="center"/>
          </w:tcPr>
          <w:p>
            <w:pPr>
              <w:jc w:val="right"/>
            </w:pPr>
            <w:r>
              <w:rPr>
                <w:color w:val="000000"/>
                <w:sz w:val="24"/>
              </w:rPr>
              <w:t>200,000</w:t>
            </w:r>
          </w:p>
        </w:tc>
        <w:tc>
          <w:tcPr>
            <w:vAlign w:val="center"/>
          </w:tcPr>
          <w:p>
            <w:pPr>
              <w:jc w:val="right"/>
            </w:pPr>
            <w:r>
              <w:rPr>
                <w:color w:val="000000"/>
                <w:sz w:val="24"/>
              </w:rPr>
              <w:t>20,488,000.00</w:t>
            </w:r>
          </w:p>
        </w:tc>
        <w:tc>
          <w:tcPr>
            <w:vAlign w:val="center"/>
          </w:tcPr>
          <w:p>
            <w:pPr>
              <w:jc w:val="right"/>
            </w:pPr>
            <w:r>
              <w:rPr>
                <w:color w:val="000000"/>
                <w:sz w:val="24"/>
              </w:rPr>
              <w:t>5.99</w:t>
            </w:r>
          </w:p>
        </w:tc>
      </w:tr>
      <w:tr>
        <w:tc>
          <w:tcPr>
            <w:vAlign w:val="center"/>
          </w:tcPr>
          <w:p>
            <w:pPr>
              <w:jc w:val="center"/>
            </w:pPr>
            <w:r>
              <w:rPr>
                <w:color w:val="000000"/>
                <w:sz w:val="24"/>
              </w:rPr>
              <w:t>4</w:t>
            </w:r>
          </w:p>
        </w:tc>
        <w:tc>
          <w:tcPr>
            <w:vAlign w:val="center"/>
          </w:tcPr>
          <w:p>
            <w:pPr>
              <w:jc w:val="center"/>
            </w:pPr>
            <w:r>
              <w:rPr>
                <w:color w:val="000000"/>
                <w:sz w:val="24"/>
              </w:rPr>
              <w:t>101901434</w:t>
            </w:r>
          </w:p>
        </w:tc>
        <w:tc>
          <w:tcPr>
            <w:vAlign w:val="center"/>
          </w:tcPr>
          <w:p>
            <w:pPr>
              <w:jc w:val="center"/>
            </w:pPr>
            <w:r>
              <w:rPr>
                <w:color w:val="000000"/>
                <w:sz w:val="24"/>
              </w:rPr>
              <w:t>19津城建MTN009A</w:t>
            </w:r>
          </w:p>
        </w:tc>
        <w:tc>
          <w:tcPr>
            <w:vAlign w:val="center"/>
          </w:tcPr>
          <w:p>
            <w:pPr>
              <w:jc w:val="right"/>
            </w:pPr>
            <w:r>
              <w:rPr>
                <w:color w:val="000000"/>
                <w:sz w:val="24"/>
              </w:rPr>
              <w:t>200,000</w:t>
            </w:r>
          </w:p>
        </w:tc>
        <w:tc>
          <w:tcPr>
            <w:vAlign w:val="center"/>
          </w:tcPr>
          <w:p>
            <w:pPr>
              <w:jc w:val="right"/>
            </w:pPr>
            <w:r>
              <w:rPr>
                <w:color w:val="000000"/>
                <w:sz w:val="24"/>
              </w:rPr>
              <w:t>20,346,000.00</w:t>
            </w:r>
          </w:p>
        </w:tc>
        <w:tc>
          <w:tcPr>
            <w:vAlign w:val="center"/>
          </w:tcPr>
          <w:p>
            <w:pPr>
              <w:jc w:val="right"/>
            </w:pPr>
            <w:r>
              <w:rPr>
                <w:color w:val="000000"/>
                <w:sz w:val="24"/>
              </w:rPr>
              <w:t>5.95</w:t>
            </w:r>
          </w:p>
        </w:tc>
      </w:tr>
      <w:tr>
        <w:tc>
          <w:tcPr>
            <w:vAlign w:val="center"/>
          </w:tcPr>
          <w:p>
            <w:pPr>
              <w:jc w:val="center"/>
            </w:pPr>
            <w:r>
              <w:rPr>
                <w:color w:val="000000"/>
                <w:sz w:val="24"/>
              </w:rPr>
              <w:t>5</w:t>
            </w:r>
          </w:p>
        </w:tc>
        <w:tc>
          <w:tcPr>
            <w:vAlign w:val="center"/>
          </w:tcPr>
          <w:p>
            <w:pPr>
              <w:jc w:val="center"/>
            </w:pPr>
            <w:r>
              <w:rPr>
                <w:color w:val="000000"/>
                <w:sz w:val="24"/>
              </w:rPr>
              <w:t>101901430</w:t>
            </w:r>
          </w:p>
        </w:tc>
        <w:tc>
          <w:tcPr>
            <w:vAlign w:val="center"/>
          </w:tcPr>
          <w:p>
            <w:pPr>
              <w:jc w:val="center"/>
            </w:pPr>
            <w:r>
              <w:rPr>
                <w:color w:val="000000"/>
                <w:sz w:val="24"/>
              </w:rPr>
              <w:t>19湘投MTN001A</w:t>
            </w:r>
          </w:p>
        </w:tc>
        <w:tc>
          <w:tcPr>
            <w:vAlign w:val="center"/>
          </w:tcPr>
          <w:p>
            <w:pPr>
              <w:jc w:val="right"/>
            </w:pPr>
            <w:r>
              <w:rPr>
                <w:color w:val="000000"/>
                <w:sz w:val="24"/>
              </w:rPr>
              <w:t>200,000</w:t>
            </w:r>
          </w:p>
        </w:tc>
        <w:tc>
          <w:tcPr>
            <w:vAlign w:val="center"/>
          </w:tcPr>
          <w:p>
            <w:pPr>
              <w:jc w:val="right"/>
            </w:pPr>
            <w:r>
              <w:rPr>
                <w:color w:val="000000"/>
                <w:sz w:val="24"/>
              </w:rPr>
              <w:t>20,300,000.00</w:t>
            </w:r>
          </w:p>
        </w:tc>
        <w:tc>
          <w:tcPr>
            <w:vAlign w:val="center"/>
          </w:tcPr>
          <w:p>
            <w:pPr>
              <w:jc w:val="right"/>
            </w:pPr>
            <w:r>
              <w:rPr>
                <w:color w:val="000000"/>
                <w:sz w:val="24"/>
              </w:rPr>
              <w:t>5.93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本基金投资19首钢MTN004的投资决策程序符合公司投资制度的规定。</w:t>
      </w:r>
    </w:p>
    <w:p>
      <w:pPr>
        <w:widowControl/>
        <w:spacing w:line="360" w:lineRule="auto"/>
        <w:rPr>
          <w:color w:val="000000"/>
          <w:sz w:val="24"/>
        </w:rPr>
      </w:pPr>
      <w:r>
        <w:rPr>
          <w:color w:val="000000"/>
          <w:sz w:val="24"/>
        </w:rPr>
        <w:t>除19首钢MTN004外，本基金投资的前十名证券的发行主体本期没有出现被监管部门立案调查，或在报告编制日前一年内受到公开谴责、处罚的情形。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39,196.92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5,073,739.48</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5,112,936.40</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128023</w:t>
            </w:r>
          </w:p>
        </w:tc>
        <w:tc>
          <w:tcPr>
            <w:vAlign w:val="center"/>
          </w:tcPr>
          <w:p>
            <w:pPr>
              <w:jc w:val="center"/>
            </w:pPr>
            <w:r>
              <w:rPr>
                <w:color w:val="000000"/>
                <w:sz w:val="24"/>
              </w:rPr>
              <w:t>亚太转债</w:t>
            </w:r>
          </w:p>
        </w:tc>
        <w:tc>
          <w:tcPr>
            <w:vAlign w:val="center"/>
          </w:tcPr>
          <w:p>
            <w:pPr>
              <w:jc w:val="right"/>
            </w:pPr>
            <w:r>
              <w:rPr>
                <w:color w:val="000000"/>
                <w:sz w:val="24"/>
              </w:rPr>
              <w:t>5,778,885.72</w:t>
            </w:r>
          </w:p>
        </w:tc>
        <w:tc>
          <w:tcPr>
            <w:vAlign w:val="center"/>
          </w:tcPr>
          <w:p>
            <w:pPr>
              <w:jc w:val="right"/>
            </w:pPr>
            <w:r>
              <w:rPr>
                <w:color w:val="000000"/>
                <w:sz w:val="24"/>
              </w:rPr>
              <w:t>1.69</w:t>
            </w:r>
          </w:p>
        </w:tc>
      </w:tr>
      <w:tr>
        <w:tc>
          <w:tcPr>
            <w:vAlign w:val="center"/>
          </w:tcPr>
          <w:p>
            <w:pPr>
              <w:jc w:val="center"/>
            </w:pPr>
            <w:r>
              <w:rPr>
                <w:color w:val="000000"/>
                <w:sz w:val="24"/>
              </w:rPr>
              <w:t>2</w:t>
            </w:r>
          </w:p>
        </w:tc>
        <w:tc>
          <w:tcPr>
            <w:vAlign w:val="center"/>
          </w:tcPr>
          <w:p>
            <w:pPr>
              <w:jc w:val="center"/>
            </w:pPr>
            <w:r>
              <w:rPr>
                <w:color w:val="000000"/>
                <w:sz w:val="24"/>
              </w:rPr>
              <w:t>128026</w:t>
            </w:r>
          </w:p>
        </w:tc>
        <w:tc>
          <w:tcPr>
            <w:vAlign w:val="center"/>
          </w:tcPr>
          <w:p>
            <w:pPr>
              <w:jc w:val="center"/>
            </w:pPr>
            <w:r>
              <w:rPr>
                <w:color w:val="000000"/>
                <w:sz w:val="24"/>
              </w:rPr>
              <w:t>众兴转债</w:t>
            </w:r>
          </w:p>
        </w:tc>
        <w:tc>
          <w:tcPr>
            <w:vAlign w:val="center"/>
          </w:tcPr>
          <w:p>
            <w:pPr>
              <w:jc w:val="right"/>
            </w:pPr>
            <w:r>
              <w:rPr>
                <w:color w:val="000000"/>
                <w:sz w:val="24"/>
              </w:rPr>
              <w:t>5,028,124.20</w:t>
            </w:r>
          </w:p>
        </w:tc>
        <w:tc>
          <w:tcPr>
            <w:vAlign w:val="center"/>
          </w:tcPr>
          <w:p>
            <w:pPr>
              <w:jc w:val="right"/>
            </w:pPr>
            <w:r>
              <w:rPr>
                <w:color w:val="000000"/>
                <w:sz w:val="24"/>
              </w:rPr>
              <w:t>1.47</w:t>
            </w:r>
          </w:p>
        </w:tc>
      </w:tr>
      <w:tr>
        <w:tc>
          <w:tcPr>
            <w:vAlign w:val="center"/>
          </w:tcPr>
          <w:p>
            <w:pPr>
              <w:jc w:val="center"/>
            </w:pPr>
            <w:r>
              <w:rPr>
                <w:color w:val="000000"/>
                <w:sz w:val="24"/>
              </w:rPr>
              <w:t>3</w:t>
            </w:r>
          </w:p>
        </w:tc>
        <w:tc>
          <w:tcPr>
            <w:vAlign w:val="center"/>
          </w:tcPr>
          <w:p>
            <w:pPr>
              <w:jc w:val="center"/>
            </w:pPr>
            <w:r>
              <w:rPr>
                <w:color w:val="000000"/>
                <w:sz w:val="24"/>
              </w:rPr>
              <w:t>128037</w:t>
            </w:r>
          </w:p>
        </w:tc>
        <w:tc>
          <w:tcPr>
            <w:vAlign w:val="center"/>
          </w:tcPr>
          <w:p>
            <w:pPr>
              <w:jc w:val="center"/>
            </w:pPr>
            <w:r>
              <w:rPr>
                <w:color w:val="000000"/>
                <w:sz w:val="24"/>
              </w:rPr>
              <w:t>岩土转债</w:t>
            </w:r>
          </w:p>
        </w:tc>
        <w:tc>
          <w:tcPr>
            <w:vAlign w:val="center"/>
          </w:tcPr>
          <w:p>
            <w:pPr>
              <w:jc w:val="right"/>
            </w:pPr>
            <w:r>
              <w:rPr>
                <w:color w:val="000000"/>
                <w:sz w:val="24"/>
              </w:rPr>
              <w:t>4,345,869.64</w:t>
            </w:r>
          </w:p>
        </w:tc>
        <w:tc>
          <w:tcPr>
            <w:vAlign w:val="center"/>
          </w:tcPr>
          <w:p>
            <w:pPr>
              <w:jc w:val="right"/>
            </w:pPr>
            <w:r>
              <w:rPr>
                <w:color w:val="000000"/>
                <w:sz w:val="24"/>
              </w:rPr>
              <w:t>1.27</w:t>
            </w:r>
          </w:p>
        </w:tc>
      </w:tr>
      <w:tr>
        <w:tc>
          <w:tcPr>
            <w:vAlign w:val="center"/>
          </w:tcPr>
          <w:p>
            <w:pPr>
              <w:jc w:val="center"/>
            </w:pPr>
            <w:r>
              <w:rPr>
                <w:color w:val="000000"/>
                <w:sz w:val="24"/>
              </w:rPr>
              <w:t>4</w:t>
            </w:r>
          </w:p>
        </w:tc>
        <w:tc>
          <w:tcPr>
            <w:vAlign w:val="center"/>
          </w:tcPr>
          <w:p>
            <w:pPr>
              <w:jc w:val="center"/>
            </w:pPr>
            <w:r>
              <w:rPr>
                <w:color w:val="000000"/>
                <w:sz w:val="24"/>
              </w:rPr>
              <w:t>128019</w:t>
            </w:r>
          </w:p>
        </w:tc>
        <w:tc>
          <w:tcPr>
            <w:vAlign w:val="center"/>
          </w:tcPr>
          <w:p>
            <w:pPr>
              <w:jc w:val="center"/>
            </w:pPr>
            <w:r>
              <w:rPr>
                <w:color w:val="000000"/>
                <w:sz w:val="24"/>
              </w:rPr>
              <w:t>久立转2</w:t>
            </w:r>
          </w:p>
        </w:tc>
        <w:tc>
          <w:tcPr>
            <w:vAlign w:val="center"/>
          </w:tcPr>
          <w:p>
            <w:pPr>
              <w:jc w:val="right"/>
            </w:pPr>
            <w:r>
              <w:rPr>
                <w:color w:val="000000"/>
                <w:sz w:val="24"/>
              </w:rPr>
              <w:t>3,930,148.35</w:t>
            </w:r>
          </w:p>
        </w:tc>
        <w:tc>
          <w:tcPr>
            <w:vAlign w:val="center"/>
          </w:tcPr>
          <w:p>
            <w:pPr>
              <w:jc w:val="right"/>
            </w:pPr>
            <w:r>
              <w:rPr>
                <w:color w:val="000000"/>
                <w:sz w:val="24"/>
              </w:rPr>
              <w:t>1.15</w:t>
            </w:r>
          </w:p>
        </w:tc>
      </w:tr>
      <w:tr>
        <w:tc>
          <w:tcPr>
            <w:vAlign w:val="center"/>
          </w:tcPr>
          <w:p>
            <w:pPr>
              <w:jc w:val="center"/>
            </w:pPr>
            <w:r>
              <w:rPr>
                <w:color w:val="000000"/>
                <w:sz w:val="24"/>
              </w:rPr>
              <w:t>5</w:t>
            </w:r>
          </w:p>
        </w:tc>
        <w:tc>
          <w:tcPr>
            <w:vAlign w:val="center"/>
          </w:tcPr>
          <w:p>
            <w:pPr>
              <w:jc w:val="center"/>
            </w:pPr>
            <w:r>
              <w:rPr>
                <w:color w:val="000000"/>
                <w:sz w:val="24"/>
              </w:rPr>
              <w:t>127011</w:t>
            </w:r>
          </w:p>
        </w:tc>
        <w:tc>
          <w:tcPr>
            <w:vAlign w:val="center"/>
          </w:tcPr>
          <w:p>
            <w:pPr>
              <w:jc w:val="center"/>
            </w:pPr>
            <w:r>
              <w:rPr>
                <w:color w:val="000000"/>
                <w:sz w:val="24"/>
              </w:rPr>
              <w:t>中鼎转2</w:t>
            </w:r>
          </w:p>
        </w:tc>
        <w:tc>
          <w:tcPr>
            <w:vAlign w:val="center"/>
          </w:tcPr>
          <w:p>
            <w:pPr>
              <w:jc w:val="right"/>
            </w:pPr>
            <w:r>
              <w:rPr>
                <w:color w:val="000000"/>
                <w:sz w:val="24"/>
              </w:rPr>
              <w:t>1,395,297.20</w:t>
            </w:r>
          </w:p>
        </w:tc>
        <w:tc>
          <w:tcPr>
            <w:vAlign w:val="center"/>
          </w:tcPr>
          <w:p>
            <w:pPr>
              <w:jc w:val="right"/>
            </w:pPr>
            <w:r>
              <w:rPr>
                <w:color w:val="000000"/>
                <w:sz w:val="24"/>
              </w:rPr>
              <w:t>0.41</w:t>
            </w:r>
          </w:p>
        </w:tc>
      </w:tr>
      <w:tr>
        <w:tc>
          <w:tcPr>
            <w:vAlign w:val="center"/>
          </w:tcPr>
          <w:p>
            <w:pPr>
              <w:jc w:val="center"/>
            </w:pPr>
            <w:r>
              <w:rPr>
                <w:color w:val="000000"/>
                <w:sz w:val="24"/>
              </w:rPr>
              <w:t>6</w:t>
            </w:r>
          </w:p>
        </w:tc>
        <w:tc>
          <w:tcPr>
            <w:vAlign w:val="center"/>
          </w:tcPr>
          <w:p>
            <w:pPr>
              <w:jc w:val="center"/>
            </w:pPr>
            <w:r>
              <w:rPr>
                <w:color w:val="000000"/>
                <w:sz w:val="24"/>
              </w:rPr>
              <w:t>128030</w:t>
            </w:r>
          </w:p>
        </w:tc>
        <w:tc>
          <w:tcPr>
            <w:vAlign w:val="center"/>
          </w:tcPr>
          <w:p>
            <w:pPr>
              <w:jc w:val="center"/>
            </w:pPr>
            <w:r>
              <w:rPr>
                <w:color w:val="000000"/>
                <w:sz w:val="24"/>
              </w:rPr>
              <w:t>天康转债</w:t>
            </w:r>
          </w:p>
        </w:tc>
        <w:tc>
          <w:tcPr>
            <w:vAlign w:val="center"/>
          </w:tcPr>
          <w:p>
            <w:pPr>
              <w:jc w:val="right"/>
            </w:pPr>
            <w:r>
              <w:rPr>
                <w:color w:val="000000"/>
                <w:sz w:val="24"/>
              </w:rPr>
              <w:t>1,021,902.10</w:t>
            </w:r>
          </w:p>
        </w:tc>
        <w:tc>
          <w:tcPr>
            <w:vAlign w:val="center"/>
          </w:tcPr>
          <w:p>
            <w:pPr>
              <w:jc w:val="right"/>
            </w:pPr>
            <w:r>
              <w:rPr>
                <w:color w:val="000000"/>
                <w:sz w:val="24"/>
              </w:rPr>
              <w:t>0.30</w:t>
            </w:r>
          </w:p>
        </w:tc>
      </w:tr>
      <w:tr>
        <w:tc>
          <w:tcPr>
            <w:vAlign w:val="center"/>
          </w:tcPr>
          <w:p>
            <w:pPr>
              <w:jc w:val="center"/>
            </w:pPr>
            <w:r>
              <w:rPr>
                <w:color w:val="000000"/>
                <w:sz w:val="24"/>
              </w:rPr>
              <w:t>7</w:t>
            </w:r>
          </w:p>
        </w:tc>
        <w:tc>
          <w:tcPr>
            <w:vAlign w:val="center"/>
          </w:tcPr>
          <w:p>
            <w:pPr>
              <w:jc w:val="center"/>
            </w:pPr>
            <w:r>
              <w:rPr>
                <w:color w:val="000000"/>
                <w:sz w:val="24"/>
              </w:rPr>
              <w:t>110045</w:t>
            </w:r>
          </w:p>
        </w:tc>
        <w:tc>
          <w:tcPr>
            <w:vAlign w:val="center"/>
          </w:tcPr>
          <w:p>
            <w:pPr>
              <w:jc w:val="center"/>
            </w:pPr>
            <w:r>
              <w:rPr>
                <w:color w:val="000000"/>
                <w:sz w:val="24"/>
              </w:rPr>
              <w:t>海澜转债</w:t>
            </w:r>
          </w:p>
        </w:tc>
        <w:tc>
          <w:tcPr>
            <w:vAlign w:val="center"/>
          </w:tcPr>
          <w:p>
            <w:pPr>
              <w:jc w:val="right"/>
            </w:pPr>
            <w:r>
              <w:rPr>
                <w:color w:val="000000"/>
                <w:sz w:val="24"/>
              </w:rPr>
              <w:t>924,058.00</w:t>
            </w:r>
          </w:p>
        </w:tc>
        <w:tc>
          <w:tcPr>
            <w:vAlign w:val="center"/>
          </w:tcPr>
          <w:p>
            <w:pPr>
              <w:jc w:val="right"/>
            </w:pPr>
            <w:r>
              <w:rPr>
                <w:color w:val="000000"/>
                <w:sz w:val="24"/>
              </w:rPr>
              <w:t>0.27</w:t>
            </w:r>
          </w:p>
        </w:tc>
      </w:tr>
      <w:tr>
        <w:tc>
          <w:tcPr>
            <w:vAlign w:val="center"/>
          </w:tcPr>
          <w:p>
            <w:pPr>
              <w:jc w:val="center"/>
            </w:pPr>
            <w:r>
              <w:rPr>
                <w:color w:val="000000"/>
                <w:sz w:val="24"/>
              </w:rPr>
              <w:t>8</w:t>
            </w:r>
          </w:p>
        </w:tc>
        <w:tc>
          <w:tcPr>
            <w:vAlign w:val="center"/>
          </w:tcPr>
          <w:p>
            <w:pPr>
              <w:jc w:val="center"/>
            </w:pPr>
            <w:r>
              <w:rPr>
                <w:color w:val="000000"/>
                <w:sz w:val="24"/>
              </w:rPr>
              <w:t>127005</w:t>
            </w:r>
          </w:p>
        </w:tc>
        <w:tc>
          <w:tcPr>
            <w:vAlign w:val="center"/>
          </w:tcPr>
          <w:p>
            <w:pPr>
              <w:jc w:val="center"/>
            </w:pPr>
            <w:r>
              <w:rPr>
                <w:color w:val="000000"/>
                <w:sz w:val="24"/>
              </w:rPr>
              <w:t>长证转债</w:t>
            </w:r>
          </w:p>
        </w:tc>
        <w:tc>
          <w:tcPr>
            <w:vAlign w:val="center"/>
          </w:tcPr>
          <w:p>
            <w:pPr>
              <w:jc w:val="right"/>
            </w:pPr>
            <w:r>
              <w:rPr>
                <w:color w:val="000000"/>
                <w:sz w:val="24"/>
              </w:rPr>
              <w:t>723,168.00</w:t>
            </w:r>
          </w:p>
        </w:tc>
        <w:tc>
          <w:tcPr>
            <w:vAlign w:val="center"/>
          </w:tcPr>
          <w:p>
            <w:pPr>
              <w:jc w:val="right"/>
            </w:pPr>
            <w:r>
              <w:rPr>
                <w:color w:val="000000"/>
                <w:sz w:val="24"/>
              </w:rPr>
              <w:t>0.21</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601816</w:t>
            </w:r>
          </w:p>
        </w:tc>
        <w:tc>
          <w:tcPr>
            <w:vAlign w:val="center"/>
          </w:tcPr>
          <w:p>
            <w:pPr>
              <w:jc w:val="center"/>
            </w:pPr>
            <w:r>
              <w:rPr>
                <w:color w:val="000000"/>
                <w:sz w:val="24"/>
              </w:rPr>
              <w:t>京沪高铁</w:t>
            </w:r>
          </w:p>
        </w:tc>
        <w:tc>
          <w:tcPr>
            <w:vAlign w:val="center"/>
          </w:tcPr>
          <w:p>
            <w:pPr>
              <w:jc w:val="right"/>
            </w:pPr>
            <w:r>
              <w:rPr>
                <w:color w:val="000000"/>
                <w:sz w:val="24"/>
              </w:rPr>
              <w:t>5,593,327.12</w:t>
            </w:r>
          </w:p>
        </w:tc>
        <w:tc>
          <w:tcPr>
            <w:vAlign w:val="center"/>
          </w:tcPr>
          <w:p>
            <w:pPr>
              <w:jc w:val="right"/>
            </w:pPr>
            <w:r>
              <w:rPr>
                <w:color w:val="000000"/>
                <w:sz w:val="24"/>
              </w:rPr>
              <w:t>1.63</w:t>
            </w:r>
          </w:p>
        </w:tc>
        <w:tc>
          <w:tcPr>
            <w:vAlign w:val="center"/>
          </w:tcPr>
          <w:p>
            <w:pPr>
              <w:jc w:val="right"/>
            </w:pPr>
            <w:r>
              <w:rPr>
                <w:color w:val="000000"/>
                <w:sz w:val="24"/>
              </w:rPr>
              <w:t>新股流通受限</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易方达瑞祺混合I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易方达瑞祺混合E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260,055,685.62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145,308.19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1,400.00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2,012.38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260,054,285.62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143,295.81</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易方达瑞祺混合I</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易方达瑞祺混合E</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964538" w:rsidR="00CC78C7" w:rsidRDefault="00CC78C7" w:rsidRPr="00FA472B">
            <w:pPr>
              <w:jc w:val="right"/>
              <w:rPr>
                <w:sz w:val="24"/>
              </w:rPr>
            </w:pPr>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w:t>
            </w:r>
            <w:r w:rsidRPr="00FA472B">
              <w:rPr>
                <w:color w:val="000000"/>
                <w:sz w:val="24"/>
              </w:rPr>
              <w:lastRenderedPageBreak/>
              <w:t>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lastRenderedPageBreak/>
              <w:t/>
            </w:r>
            <w:r w:rsidRPr="00FA472B">
              <w:rPr>
                <w:color w:val="000000"/>
                <w:sz w:val="24"/>
              </w:rPr>
              <w:lastRenderedPageBreak/>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lastRenderedPageBreak/>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3.8454</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249,999,000.00</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249,999,000.00</w:t>
            </w:r>
          </w:p>
        </w:tc>
        <w:tc>
          <w:tcPr>
            <w:vAlign w:val="center"/>
          </w:tcPr>
          <w:p>
            <w:pPr>
              <w:jc w:val="center"/>
            </w:pPr>
            <w:r>
              <w:rPr>
                <w:sz w:val="24"/>
              </w:rPr>
              <w:t>96.08%</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1.中国证监会准予易方达瑞祺灵活配置混合型证券投资基金注册的文件；</w:t>
      </w:r>
    </w:p>
    <w:p>
      <w:pPr>
        <w:spacing w:line="360" w:lineRule="auto"/>
        <w:ind w:firstLine="480" w:firstLineChars="200"/>
        <w:rPr>
          <w:color w:val="000000"/>
          <w:sz w:val="24"/>
        </w:rPr>
      </w:pPr>
      <w:r>
        <w:rPr>
          <w:color w:val="000000"/>
          <w:sz w:val="24"/>
        </w:rPr>
        <w:t>2.《易方达瑞祺灵活配置混合型证券投资基金基金合同》；</w:t>
      </w:r>
    </w:p>
    <w:p>
      <w:pPr>
        <w:spacing w:line="360" w:lineRule="auto"/>
        <w:ind w:firstLine="480" w:firstLineChars="200"/>
        <w:rPr>
          <w:color w:val="000000"/>
          <w:sz w:val="24"/>
        </w:rPr>
      </w:pPr>
      <w:r>
        <w:rPr>
          <w:color w:val="000000"/>
          <w:sz w:val="24"/>
        </w:rPr>
        <w:t>3.《易方达瑞祺灵活配置混合型证券投资基金托管协议》；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易方达瑞祺灵活配置混合型证券投资基金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